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76D30" w14:textId="064CB77A" w:rsidR="00F152DC" w:rsidRPr="00252A6F" w:rsidRDefault="00DF7915" w:rsidP="00DF7915">
      <w:pPr>
        <w:pStyle w:val="Pagedecouverture"/>
        <w:rPr>
          <w:noProof/>
        </w:rPr>
      </w:pPr>
      <w:r>
        <w:rPr>
          <w:noProof/>
        </w:rPr>
        <w:pict w14:anchorId="30924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CA8062F-6EC3-4F2D-B708-2D5413308C76" style="width:455.25pt;height:383.25pt">
            <v:imagedata r:id="rId11" o:title=""/>
          </v:shape>
        </w:pict>
      </w:r>
    </w:p>
    <w:p w14:paraId="4B74A241" w14:textId="77777777" w:rsidR="00F152DC" w:rsidRPr="00252A6F" w:rsidRDefault="00F152DC" w:rsidP="00F152DC">
      <w:pPr>
        <w:rPr>
          <w:noProof/>
        </w:rPr>
        <w:sectPr w:rsidR="00F152DC" w:rsidRPr="00252A6F" w:rsidSect="00DF7915">
          <w:footerReference w:type="default" r:id="rId12"/>
          <w:pgSz w:w="11907" w:h="16839"/>
          <w:pgMar w:top="1134" w:right="1417" w:bottom="1134" w:left="1417" w:header="709" w:footer="709" w:gutter="0"/>
          <w:pgNumType w:start="0"/>
          <w:cols w:space="720"/>
          <w:docGrid w:linePitch="360"/>
        </w:sectPr>
      </w:pPr>
    </w:p>
    <w:p w14:paraId="54816CF5" w14:textId="77777777" w:rsidR="00F152DC" w:rsidRPr="00252A6F" w:rsidRDefault="00F152DC" w:rsidP="00D045D9">
      <w:pPr>
        <w:pStyle w:val="Exposdesmotifstitre"/>
        <w:rPr>
          <w:noProof/>
        </w:rPr>
      </w:pPr>
      <w:bookmarkStart w:id="0" w:name="_GoBack"/>
      <w:bookmarkEnd w:id="0"/>
      <w:r w:rsidRPr="00252A6F">
        <w:rPr>
          <w:noProof/>
        </w:rPr>
        <w:lastRenderedPageBreak/>
        <w:t>OBRAZLOŽITVENI MEMORANDUM</w:t>
      </w:r>
    </w:p>
    <w:p w14:paraId="043DC893" w14:textId="77777777" w:rsidR="00F152DC" w:rsidRPr="00252A6F" w:rsidRDefault="4EAF49A8" w:rsidP="61926C97">
      <w:pPr>
        <w:ind w:left="850" w:hanging="850"/>
        <w:rPr>
          <w:noProof/>
        </w:rPr>
      </w:pPr>
      <w:r w:rsidRPr="00252A6F">
        <w:rPr>
          <w:b/>
          <w:smallCaps/>
          <w:noProof/>
        </w:rPr>
        <w:t>1.</w:t>
      </w:r>
      <w:r w:rsidRPr="00252A6F">
        <w:rPr>
          <w:noProof/>
        </w:rPr>
        <w:tab/>
      </w:r>
      <w:r w:rsidRPr="00252A6F">
        <w:rPr>
          <w:b/>
          <w:smallCaps/>
          <w:noProof/>
        </w:rPr>
        <w:t>OZADJE PREDLOGA</w:t>
      </w:r>
    </w:p>
    <w:p w14:paraId="51447383" w14:textId="77777777" w:rsidR="26DEF6C3" w:rsidRPr="00252A6F" w:rsidRDefault="26DEF6C3" w:rsidP="00A3543A">
      <w:pPr>
        <w:pStyle w:val="Bullet0"/>
        <w:numPr>
          <w:ilvl w:val="0"/>
          <w:numId w:val="27"/>
        </w:numPr>
        <w:rPr>
          <w:noProof/>
        </w:rPr>
      </w:pPr>
      <w:r w:rsidRPr="00252A6F">
        <w:rPr>
          <w:noProof/>
        </w:rPr>
        <w:t>Razlogi za predlog in njegovi cilji</w:t>
      </w:r>
    </w:p>
    <w:p w14:paraId="4FAEB011" w14:textId="3E4BD3FF" w:rsidR="008C4FA0" w:rsidRPr="00252A6F" w:rsidRDefault="30770F93" w:rsidP="00AB380C">
      <w:pPr>
        <w:rPr>
          <w:noProof/>
        </w:rPr>
      </w:pPr>
      <w:r w:rsidRPr="00252A6F">
        <w:rPr>
          <w:noProof/>
        </w:rPr>
        <w:t>Namen tega predloga je omogočiti EU, da Ukrajini zagotovi dodatno izredno makrofinančno pomoč v višini 5 milijard EUR v obliki posojil, hkrati pa proračun EU opremiti s sredstvi za pokrivanje tveganja izgub pri teh dodatnih posojilih in posojilu makrofinančne pomoči v višini 1 milijarde EUR, sprejetem 12. julija 2022. Poleg tega si prizadeva podaljšati enako proračunsko zaščito za izplačilo že podpisanih posojil v okviru mandata Evropske investicijske banke za zunanja posojila (v nadaljnjem besedilu: zunanji mandat EIB) ukrajinskim organom in ukrajinskim subjektom v državni lasti po 15. juliju 2022.</w:t>
      </w:r>
    </w:p>
    <w:p w14:paraId="41637F02" w14:textId="60AE47BD" w:rsidR="61926C97" w:rsidRPr="00252A6F" w:rsidRDefault="28D1E4D9" w:rsidP="007F0B43">
      <w:pPr>
        <w:pStyle w:val="Bullet0"/>
        <w:rPr>
          <w:rFonts w:eastAsiaTheme="minorEastAsia"/>
          <w:noProof/>
          <w:szCs w:val="24"/>
        </w:rPr>
      </w:pPr>
      <w:r w:rsidRPr="00252A6F">
        <w:rPr>
          <w:noProof/>
        </w:rPr>
        <w:t>Splošno ozadje</w:t>
      </w:r>
    </w:p>
    <w:p w14:paraId="210C5375" w14:textId="67442CEF" w:rsidR="61926C97" w:rsidRPr="00252A6F" w:rsidRDefault="5103E2AB" w:rsidP="61926C97">
      <w:pPr>
        <w:rPr>
          <w:noProof/>
        </w:rPr>
      </w:pPr>
      <w:r w:rsidRPr="00252A6F">
        <w:rPr>
          <w:noProof/>
        </w:rPr>
        <w:t>Podpora EU Ukrajini izhaja iz trdnih dolgoročnih odnosov. Ukrajina od leta 2014 razvija trdno partnerstvo z EU, ki presega zgolj dvostransko sodelovanje ter se razvija v smeri postopnega političnega in gospodarskega povezovanja. Pridružitveni sporazum med EU in Ukrajino, ki je začel veljati 1. septembra 2017 in vključuje poglobljeno in celovito prostotrgovinsko območje, je glavno orodje za zbliževanje Ukrajine in EU. Sporazum poleg spodbujanja tesnejših političnih vezi, močnejših gospodarskih povezav in spoštovanja skupnih vrednot zagotavlja trden okvir za izvajanje ambicioznega programa reform, osredotočenega na boj proti korupciji, neodvisnost pravosodnega sistema, načelo pravne države in izboljšanje poslovnega ozračja. Pomembne strukturne reforme v Ukrajini, ki so ključne za srednjeročno in dolgoročno privabljanje naložb, povečanje produktivnosti in izboljšanje življenjskega standarda, so stalno deležne podpore EU. Po prošnji države za članstvo v EU in dodelitvi statusa države kandidatke se bo sodelovanje z Ukrajino še poglobilo, ko bo država napredovala na svoji evropski poti</w:t>
      </w:r>
      <w:r w:rsidRPr="00252A6F">
        <w:rPr>
          <w:rStyle w:val="FootnoteReference"/>
          <w:rFonts w:eastAsia="Times New Roman"/>
          <w:noProof/>
        </w:rPr>
        <w:footnoteReference w:id="2"/>
      </w:r>
      <w:r w:rsidRPr="00252A6F">
        <w:rPr>
          <w:noProof/>
        </w:rPr>
        <w:t xml:space="preserve">. </w:t>
      </w:r>
    </w:p>
    <w:p w14:paraId="70EA8046" w14:textId="541F0AFF" w:rsidR="61926C97" w:rsidRPr="00252A6F" w:rsidRDefault="42D736E0" w:rsidP="22327288">
      <w:pPr>
        <w:rPr>
          <w:noProof/>
        </w:rPr>
      </w:pPr>
      <w:r w:rsidRPr="00252A6F">
        <w:rPr>
          <w:noProof/>
        </w:rPr>
        <w:t>Dolgoročni gospodarski razvoj in usmeritev Ukrajine k reformam sta podvržena zelo velikim izzivom, odkar je Rusija 24. februarja 2022 začela invazijo na državo, ki je neupravičeno in neizzvano dejanje agresije brez primere. Poleg trpljenja ljudi je vojna agresija Rusije proti Ukrajini že povzročila veliko škodo na fizični infrastrukturi (cestah, mostovih, tovarnah itd.) ter stanovanjskih in občinskih stavbah (stanovanjih, šolah, bolnišnicah itd.) v državi. Spopadi so povzročili tudi množičen beg ljudi: več kot 8 milijonov oseb je notranje razseljenih, število beguncev pa je preseglo 6 milijonov. Skupne posledice za gospodarstvo v smislu upada proizvodnje v letu 2022 in izpada prihodnje proizvodnje zaradi uničenja kapitala in migracij delovne sile se ocenjujejo na stotine milijard. Zgolj v letu 2022 naj bi se BDP Ukrajine znižal za 30–50 %, kar bi pomenilo dodatno izgubo poleg uničenja fizičnega kapitala v višini več kot 100 milijard EUR.</w:t>
      </w:r>
    </w:p>
    <w:p w14:paraId="6F47F649" w14:textId="7A6CB845" w:rsidR="2FEB44AC" w:rsidRPr="00252A6F" w:rsidRDefault="0FA07279" w:rsidP="22327288">
      <w:pPr>
        <w:rPr>
          <w:noProof/>
        </w:rPr>
      </w:pPr>
      <w:r w:rsidRPr="00252A6F">
        <w:rPr>
          <w:noProof/>
        </w:rPr>
        <w:t>Vojna agresija Rusije proti Ukrajini je povzročila ogromno škodo gospodarstvu, poleg tega pa je ta suverena država izgubila dostop do mednarodnih kapitalskih trgov. To je povzročilo plačilnobilančno vrzel v financiranju, ki naj bi po ocenah organov in Mednarodnega denarnega sklada (MDS) junija 2022 dosegla približno 39 milijard USD za celotno leto 2022. Po začetni oceni MDS bi lahko Ukrajina financirala 9 milijard USD te vrzeli z varnim črpanjem svojih uradnih mednarodnih rezerv, ki ne bi ogrozilo njene makrofinančne stabilnosti</w:t>
      </w:r>
      <w:r w:rsidRPr="00252A6F">
        <w:rPr>
          <w:rStyle w:val="FootnoteReference"/>
          <w:rFonts w:eastAsia="Times New Roman"/>
          <w:noProof/>
        </w:rPr>
        <w:footnoteReference w:id="3"/>
      </w:r>
      <w:r w:rsidRPr="00252A6F">
        <w:rPr>
          <w:noProof/>
        </w:rPr>
        <w:t>.</w:t>
      </w:r>
    </w:p>
    <w:p w14:paraId="6C3D90F1" w14:textId="37E61798" w:rsidR="006D7C8B" w:rsidRPr="00252A6F" w:rsidRDefault="462E5199" w:rsidP="005264A0">
      <w:pPr>
        <w:rPr>
          <w:noProof/>
        </w:rPr>
      </w:pPr>
      <w:r w:rsidRPr="00252A6F">
        <w:rPr>
          <w:noProof/>
        </w:rPr>
        <w:t xml:space="preserve">Dvostranske in večstranske zaveze glede finančne podpore, obljubljene Ukrajini s strani finančnih ministrov in guvernerjev centralnih bank skupine G7, ki so se v Petersbergu sestali med 18. in 20. majem, so dosegle skoraj 20 milijard USD. Čeprav so te zaveze ključne za podporo delovanju ukrajinske države, bi celo njihovo polno in hitro izplačilo pomenilo nepokrito preostalo vrzel v višini približno 10 milijard USD potreb po financiranju, ki jih ocenjuje MDS. Sprostitev velikega dela preostanka izredne makrofinančne pomoči bi zagotovila dodatno znatno pomoč in pomagala pokriti del tega primanjkljaja. </w:t>
      </w:r>
    </w:p>
    <w:p w14:paraId="0A87A1BC" w14:textId="5B8A6DDD" w:rsidR="006D7C8B" w:rsidRPr="00252A6F" w:rsidRDefault="57E70C73" w:rsidP="005264A0">
      <w:pPr>
        <w:rPr>
          <w:noProof/>
        </w:rPr>
      </w:pPr>
      <w:r w:rsidRPr="00252A6F">
        <w:rPr>
          <w:noProof/>
        </w:rPr>
        <w:t>Zaradi precejšnje vrzeli med obveznostmi in izplačili so se mednarodne rezerve države v prvih sedmih mesecih leta 2022 med drugim zmanjšale za 8,5 milijarde USD in so do konca julija znašale približno 22,3 milijarde USD (kar je pokrivalo približno 3,5 meseca prihodnjega uvoza), zaradi česar je ostala zaloga rezerv do konca leta zelo omejena (pri čemer se 20 milijard USD pogosto šteje za kritično raven rezerv, potrebnih za zagotovitev makroekonomske stabilnosti v državi). V teh vse bolj zahtevnih razmerah je Ukrajinska centralna banka 21. julija devalvirala grivno za 25 % v primerjavi z ameriškim dolarjem, pri čemer je ohranila režim fiksnega menjalnega tečaja. Ta korak so spremljali dodatni ukrepi za zmanjšanje povpraševanja po tuji valuti</w:t>
      </w:r>
      <w:r w:rsidRPr="00252A6F">
        <w:rPr>
          <w:rStyle w:val="FootnoteReference"/>
          <w:noProof/>
        </w:rPr>
        <w:footnoteReference w:id="4"/>
      </w:r>
      <w:r w:rsidRPr="00252A6F">
        <w:rPr>
          <w:noProof/>
        </w:rPr>
        <w:t>.</w:t>
      </w:r>
    </w:p>
    <w:p w14:paraId="105455A8" w14:textId="761D398E" w:rsidR="006A0ED9" w:rsidRPr="00252A6F" w:rsidRDefault="01BA6172" w:rsidP="6CC4F004">
      <w:pPr>
        <w:rPr>
          <w:rFonts w:eastAsia="Times New Roman"/>
          <w:noProof/>
        </w:rPr>
      </w:pPr>
      <w:r w:rsidRPr="00252A6F">
        <w:rPr>
          <w:noProof/>
        </w:rPr>
        <w:t>Ukrajina je 21. julija dala tudi uradno soglasje za prekinitev servisiranja komercialnega dolga vsaj do konca leta 2023. To pobudo za začasno opustitev dolžniških obveznosti so pozdravili in podprli tudi ključni dvostranski uradni upniki, zlasti skupina ukrajinskih upnikov</w:t>
      </w:r>
      <w:r w:rsidRPr="00252A6F">
        <w:rPr>
          <w:rStyle w:val="FootnoteReference"/>
          <w:rFonts w:eastAsia="Times New Roman"/>
          <w:noProof/>
        </w:rPr>
        <w:footnoteReference w:id="5"/>
      </w:r>
      <w:r w:rsidRPr="00252A6F">
        <w:rPr>
          <w:noProof/>
        </w:rPr>
        <w:t xml:space="preserve">. Je pomemben prispevek za pomoč Ukrajini pri upravljanju likvidnosti in pričakuje se, da bo dodatno razbremenila proračun. </w:t>
      </w:r>
    </w:p>
    <w:p w14:paraId="0E66D5E4" w14:textId="5A35EAE1" w:rsidR="008022AB" w:rsidRPr="00252A6F" w:rsidRDefault="7821F817" w:rsidP="6CC4F004">
      <w:pPr>
        <w:rPr>
          <w:rFonts w:eastAsia="Times New Roman"/>
          <w:noProof/>
        </w:rPr>
      </w:pPr>
      <w:r w:rsidRPr="00252A6F">
        <w:rPr>
          <w:noProof/>
        </w:rPr>
        <w:t xml:space="preserve">Na strani EU so številne države članice zagotovile nepovratna sredstva ter obljubile dodatna posojila in jamstva, bodisi dvostransko bodisi prek mednarodnih finančnih institucij. Dvostranska posojila, ki so jih doslej zagotovile države članice EU, so ugodne narave in vsebujejo znaten element nepovratnih sredstev pri uporabi uveljavljene metodologije OECD za izračun elementa nepovratnih sredstev uradne razvojne pomoči. </w:t>
      </w:r>
    </w:p>
    <w:p w14:paraId="1A2846B9" w14:textId="5045BDD6" w:rsidR="008022AB" w:rsidRPr="00252A6F" w:rsidRDefault="3DCAC1FA" w:rsidP="6FFD2748">
      <w:pPr>
        <w:rPr>
          <w:rFonts w:eastAsia="Times New Roman"/>
          <w:noProof/>
        </w:rPr>
      </w:pPr>
      <w:r w:rsidRPr="00252A6F">
        <w:rPr>
          <w:noProof/>
        </w:rPr>
        <w:t>EU je Ukrajini v letu 2022 zagotovila 2,2 milijarde EUR makrofinančne pomoči v obliki posojil. Marca in maja je bilo izplačanih 1,2 milijarde EUR nujne makrofinančne pomoči, dodatna milijarda EUR izredne makrofinančne pomoči pa je bila izplačana 1. in 2. avgusta</w:t>
      </w:r>
      <w:r w:rsidRPr="00252A6F">
        <w:rPr>
          <w:rStyle w:val="FootnoteReference"/>
          <w:rFonts w:eastAsia="Times New Roman"/>
          <w:noProof/>
        </w:rPr>
        <w:footnoteReference w:id="6"/>
      </w:r>
      <w:r w:rsidRPr="00252A6F">
        <w:rPr>
          <w:noProof/>
        </w:rPr>
        <w:t>. Slednja je prvi del izredne makrofinančne pomoči v višini do 9 milijard EUR, ki je bila napovedana v sporočilu Komisije o pomoči Ukrajini in njeni obnovi z dne 18. maja ter potrjena na zasedanju Evropskega sveta 23. in 24. junija 2022. Zaradi velike splošne vrzeli v financiranju je EU napovedala, da bo znatno prispevala k pokritju preostalih potreb Ukrajine po financiranju za celotno leto 2022. Nujnost sprostitve znatnih sredstev do konca leta še dodatno poudarja omejen tok mednarodne finančne podpore, obljubljene za četrto četrtletje</w:t>
      </w:r>
      <w:r w:rsidRPr="00252A6F">
        <w:rPr>
          <w:rStyle w:val="FootnoteReference"/>
          <w:rFonts w:eastAsia="Times New Roman"/>
          <w:noProof/>
        </w:rPr>
        <w:footnoteReference w:id="7"/>
      </w:r>
      <w:r w:rsidRPr="00252A6F">
        <w:rPr>
          <w:noProof/>
        </w:rPr>
        <w:t>.</w:t>
      </w:r>
    </w:p>
    <w:p w14:paraId="162DF835" w14:textId="47B7EE1D" w:rsidR="61926C97" w:rsidRPr="00252A6F" w:rsidRDefault="0FA07279" w:rsidP="22327288">
      <w:pPr>
        <w:rPr>
          <w:rFonts w:eastAsia="Times New Roman"/>
          <w:noProof/>
        </w:rPr>
      </w:pPr>
      <w:r w:rsidRPr="00252A6F">
        <w:rPr>
          <w:noProof/>
        </w:rPr>
        <w:t xml:space="preserve">Po pozivu Evropskega sveta z dne 23. in 24. junija in glede na nujnost kratkoročnih potreb Ukrajine po financiranju je Evropska komisija predstavila prvi predlog za izredno makrofinančno pomoč v višini do 1 milijarde EUR, ki je bila 1. in 2. avgusta 2022 v celoti izplačana v dveh tranšah. Za pospešitev izvajanja tega izrednega svežnja pomoči Evropska komisija predstavlja ta predlog za dodatno izredno makrofinančno pomoč v višini 5 milijard EUR v obliki posojil Ukrajini. Preostale 3 milijarde EUR napovedane izredne makrofinančne pomoči v višini do 9 milijard EUR bodo zagotovljene čim prej. </w:t>
      </w:r>
    </w:p>
    <w:p w14:paraId="7C97CA4A" w14:textId="0EA6AF70" w:rsidR="61926C97" w:rsidRPr="00252A6F" w:rsidRDefault="0FA07279" w:rsidP="22327288">
      <w:pPr>
        <w:rPr>
          <w:rFonts w:eastAsia="Times New Roman"/>
          <w:noProof/>
        </w:rPr>
      </w:pPr>
      <w:r w:rsidRPr="00252A6F">
        <w:rPr>
          <w:noProof/>
        </w:rPr>
        <w:t>Poleg zagotavljanja neposredne podpore se je Evropska komisija julija 2022 strinjala s spremembo namena v višini 1,59 milijarde EUR neizplačanih posojil, zagotovljenih v okviru zunanjega mandata EIB, od katerih lahko EIB v tretjem četrtletju leta 2022 izplača 1,05 milijarde EUR kot podporo ukrajinskim organom in 536 milijonov EUR posojil EIB, ki bodo izplačana pozneje za nadaljevanje izbranih projektov. Ta znesek dopolnjuje 668 milijonov EUR, v zvezi s katerimi sta se Komisija in EIB marca 2022 že dogovorili za spremembo namena in ki so bili izplačani v enem mesecu od začetka ruske vojne agresije.</w:t>
      </w:r>
    </w:p>
    <w:p w14:paraId="66386C32" w14:textId="7FD9A6DB" w:rsidR="00512DDF" w:rsidRPr="00252A6F" w:rsidRDefault="3DCAC1FA" w:rsidP="61926C97">
      <w:pPr>
        <w:rPr>
          <w:rFonts w:eastAsia="Times New Roman"/>
          <w:noProof/>
        </w:rPr>
      </w:pPr>
      <w:r w:rsidRPr="00252A6F">
        <w:rPr>
          <w:noProof/>
        </w:rPr>
        <w:t>Makrofinančna pomoč v obliki posojil in posojila v okviru zunanjega mandata EIB dopolnjujejo številne druge vrste podpore EU, zlasti humanitarno pomoč, razvojno in obrambno pomoč, opustitev vseh uvoznih dajatev na ukrajinski izvoz za eno leto in druge solidarnostne pobude, npr. za odpravo ozkih grl v prometu, da bi omogočili izvoz, zlasti žit</w:t>
      </w:r>
      <w:r w:rsidRPr="00252A6F">
        <w:rPr>
          <w:rStyle w:val="FootnoteReference"/>
          <w:rFonts w:eastAsia="Times New Roman"/>
          <w:noProof/>
        </w:rPr>
        <w:footnoteReference w:id="8"/>
      </w:r>
      <w:r w:rsidRPr="00252A6F">
        <w:rPr>
          <w:noProof/>
        </w:rPr>
        <w:t xml:space="preserve">. </w:t>
      </w:r>
    </w:p>
    <w:p w14:paraId="1D9BA8FC" w14:textId="77777777" w:rsidR="61926C97" w:rsidRPr="00252A6F" w:rsidRDefault="61926C97" w:rsidP="61926C97">
      <w:pPr>
        <w:rPr>
          <w:noProof/>
        </w:rPr>
      </w:pPr>
      <w:r w:rsidRPr="00252A6F">
        <w:rPr>
          <w:noProof/>
        </w:rPr>
        <w:t>Poleg tega je ta obsežni program podpore EU del izrednih mednarodnih prizadevanj donatorjev na dvostranski ravni in mednarodnih finančnih institucij za podporo Ukrajini v tem kritičnem trenutku in na poti k dolgoročni obnovi.</w:t>
      </w:r>
    </w:p>
    <w:p w14:paraId="0003500D" w14:textId="6BF7FC61" w:rsidR="006E20AB" w:rsidRPr="00252A6F" w:rsidRDefault="7893A842" w:rsidP="61926C97">
      <w:pPr>
        <w:rPr>
          <w:noProof/>
        </w:rPr>
      </w:pPr>
      <w:r w:rsidRPr="00252A6F">
        <w:rPr>
          <w:noProof/>
        </w:rPr>
        <w:t>Glede na povečano tveganje finančne izpostavljenosti Ukrajini ta predlog tudi pojasnjuje proračunska sredstva, ki so potrebna za podporo odobritvi dodatne izredne makrofinančne pomoči v obliki posojil v višini 5 milijard EUR in izplačilu posojil v okviru zunanjega mandata EIB s spremenjenim namenom.</w:t>
      </w:r>
    </w:p>
    <w:p w14:paraId="1A22A079" w14:textId="77777777" w:rsidR="006E20AB" w:rsidRPr="00252A6F" w:rsidRDefault="006E20AB" w:rsidP="0087343B">
      <w:pPr>
        <w:pStyle w:val="Bullet0"/>
        <w:rPr>
          <w:noProof/>
        </w:rPr>
      </w:pPr>
      <w:r w:rsidRPr="00252A6F">
        <w:rPr>
          <w:noProof/>
        </w:rPr>
        <w:t>Glavni elementi predloga</w:t>
      </w:r>
    </w:p>
    <w:p w14:paraId="7EE25B72" w14:textId="62A40617" w:rsidR="26DEF6C3" w:rsidRPr="00252A6F" w:rsidRDefault="00664ED4" w:rsidP="00664ED4">
      <w:pPr>
        <w:pStyle w:val="Point0"/>
        <w:rPr>
          <w:noProof/>
        </w:rPr>
      </w:pPr>
      <w:r w:rsidRPr="00664ED4">
        <w:t>(1)</w:t>
      </w:r>
      <w:r w:rsidRPr="00664ED4">
        <w:tab/>
      </w:r>
      <w:r w:rsidR="00A54BD1" w:rsidRPr="00252A6F">
        <w:rPr>
          <w:noProof/>
        </w:rPr>
        <w:t>Izjemna narava tega ukrepa makrofinančne pomoči</w:t>
      </w:r>
    </w:p>
    <w:p w14:paraId="1D48B37C" w14:textId="31EF2949" w:rsidR="007261B3" w:rsidRPr="00252A6F" w:rsidRDefault="48E0D374" w:rsidP="22327288">
      <w:pPr>
        <w:tabs>
          <w:tab w:val="left" w:pos="4320"/>
        </w:tabs>
        <w:spacing w:after="0"/>
        <w:rPr>
          <w:rFonts w:eastAsia="Times New Roman"/>
          <w:noProof/>
        </w:rPr>
      </w:pPr>
      <w:r w:rsidRPr="00252A6F">
        <w:rPr>
          <w:noProof/>
        </w:rPr>
        <w:t xml:space="preserve">Glede na neslutene okoliščine ruske vojne agresije proti Ukrajini se ta izredna makrofinančna pomoč razlikuje od rednega ukrepa makrofinančne pomoči, saj zagotavlja večjo prožnost v več pogledih. Ugodna narava pomoči je okrepljena z višjo povprečno zapadlostjo posojil do 25 let in možnostjo, da proračun EU krije obrestne mere in plačila upravnih taks. Poleg tega v sedanjih razmerah in v nasprotju z rednimi ukrepi makrofinančne pomoči predlagana izredna makrofinančna pomoč v višini do 5 milijard EUR formalno ni povezana s programom izplačil MDS. </w:t>
      </w:r>
    </w:p>
    <w:p w14:paraId="4CDB1FE5" w14:textId="7AC7026F" w:rsidR="007261B3" w:rsidRPr="00252A6F" w:rsidRDefault="007261B3" w:rsidP="005C20C9">
      <w:pPr>
        <w:tabs>
          <w:tab w:val="left" w:pos="4320"/>
        </w:tabs>
        <w:spacing w:after="0"/>
        <w:rPr>
          <w:rFonts w:eastAsia="Times New Roman"/>
          <w:noProof/>
          <w:lang w:eastAsia="de-AT"/>
        </w:rPr>
      </w:pPr>
    </w:p>
    <w:p w14:paraId="3C7AE3D1" w14:textId="27A0C0D2" w:rsidR="006E20AB" w:rsidRPr="00252A6F" w:rsidRDefault="0A82F83F" w:rsidP="00B30C97">
      <w:pPr>
        <w:tabs>
          <w:tab w:val="left" w:pos="4320"/>
        </w:tabs>
        <w:spacing w:after="0"/>
        <w:rPr>
          <w:rFonts w:eastAsia="Times New Roman"/>
          <w:b/>
          <w:bCs/>
          <w:noProof/>
          <w:szCs w:val="24"/>
          <w:u w:val="single"/>
        </w:rPr>
      </w:pPr>
      <w:bookmarkStart w:id="1" w:name="_Hlk113366538"/>
      <w:r w:rsidRPr="00252A6F">
        <w:rPr>
          <w:noProof/>
        </w:rPr>
        <w:t>Memorandum o soglasju, o katerem se je treba dogovoriti z ukrajinskimi organi, vsebuje podrobnosti v zvezi s sprostitvijo obrokov posojil. Poleg izbranih pogojev politike, s katerimi bodo povezana izplačila v okviru tega drugega dela izredne makrofinančne pomoči Ukrajini, bo ta memorandum o soglasju zahteval tudi uporabo sistemov poročanja, vzpostavljenih v okviru prvega dela izredne makrofinančne pomoči. Izbrani pogoji politike, s katerimi se pogojuje izplačilo pomoči, bodo pomembni za najbolj kritična vprašanja in sorazmerni s tem, kar bi bilo mogoče doseči v tem trenutku glede na sedanjo vojno agresijo Rusije proti Ukrajini. Prihodnji memorandum o soglasju bi prek sistema poročanja poudaril večjo preglednost in odgovornost glede uporabe proračunskih sredstev (vključno s sredstvi, prejetimi v okviru te pomoči). Vključeval bi lahko tudi ocene potreb, zlasti v zvezi s kritično infrastrukturo, kot so ceste, železnice, bolnišnice, šole in stanovanja. Po potrebi bi se lahko upoštevali tudi ukrepi politike za izboljšanje odpornosti in stabilnosti države, ukrepi na področju upravljanja in pravne države ter ukrepi za energetski sektor v okviru nujne makrofinančne pomoči v višini 1,2 milijarde EUR, izplačane marca in maja 2022, ki zaradi višje sile niso bili dokončani</w:t>
      </w:r>
      <w:r w:rsidRPr="00252A6F">
        <w:rPr>
          <w:rStyle w:val="FootnoteReference"/>
          <w:rFonts w:eastAsia="Times New Roman"/>
          <w:noProof/>
        </w:rPr>
        <w:footnoteReference w:id="9"/>
      </w:r>
      <w:r w:rsidRPr="00252A6F">
        <w:rPr>
          <w:noProof/>
        </w:rPr>
        <w:t>.</w:t>
      </w:r>
    </w:p>
    <w:p w14:paraId="5182A5E9" w14:textId="7A1DC1E2" w:rsidR="26DEF6C3" w:rsidRPr="00252A6F" w:rsidRDefault="00664ED4" w:rsidP="00664ED4">
      <w:pPr>
        <w:pStyle w:val="Point0"/>
        <w:rPr>
          <w:noProof/>
        </w:rPr>
      </w:pPr>
      <w:bookmarkStart w:id="2" w:name="_Hlk113270238"/>
      <w:bookmarkEnd w:id="1"/>
      <w:r w:rsidRPr="00664ED4">
        <w:t>(2)</w:t>
      </w:r>
      <w:r w:rsidRPr="00664ED4">
        <w:tab/>
      </w:r>
      <w:r w:rsidR="00E632E4" w:rsidRPr="00252A6F">
        <w:rPr>
          <w:noProof/>
        </w:rPr>
        <w:t>Proračunski vidiki in vidiki obvladovanja tveganja</w:t>
      </w:r>
    </w:p>
    <w:bookmarkEnd w:id="2"/>
    <w:p w14:paraId="1C23C572" w14:textId="5931E12D" w:rsidR="26DEF6C3" w:rsidRPr="00252A6F" w:rsidRDefault="415AF9A2" w:rsidP="26DEF6C3">
      <w:pPr>
        <w:rPr>
          <w:noProof/>
        </w:rPr>
      </w:pPr>
      <w:r w:rsidRPr="00252A6F">
        <w:rPr>
          <w:noProof/>
        </w:rPr>
        <w:t>Ta sveženj izredne makrofinančne pomoči v obliki posojil mora upoštevati velikost in povečan profil tveganja izpostavljenosti EU Ukrajini ter posebne omejitve, s katerimi se trenutno spoprijema proračun EU. Predvideno pa je tudi, da bodo posojila zagotovljena pod zelo ugodnimi pogoji (povprečna zapadlost do 25 let), hkrati pa bo ukrajinski državi ponujena kratkoročna pomoč, tako da bo razbremenjena bremena odplačila obrestnih mer, vsaj za sedanji večletni finančni okvir. Ob upoštevanju teh različnih vidikov ta predlog odraža naslednje značilnosti:</w:t>
      </w:r>
    </w:p>
    <w:p w14:paraId="235A6C2D" w14:textId="77777777" w:rsidR="26DEF6C3" w:rsidRPr="00252A6F" w:rsidRDefault="61926C97" w:rsidP="00E632E4">
      <w:pPr>
        <w:pStyle w:val="LegalNumPar2"/>
        <w:rPr>
          <w:noProof/>
          <w:u w:val="single"/>
        </w:rPr>
      </w:pPr>
      <w:r w:rsidRPr="00252A6F">
        <w:rPr>
          <w:noProof/>
          <w:u w:val="single"/>
        </w:rPr>
        <w:t>Večja sposobnost pokrivanja izgub, sorazmerna z višjim kreditnim tveganjem</w:t>
      </w:r>
    </w:p>
    <w:p w14:paraId="5EF4B1F1" w14:textId="39180217" w:rsidR="26DEF6C3" w:rsidRPr="00252A6F" w:rsidRDefault="7CB5C296" w:rsidP="26DEF6C3">
      <w:pPr>
        <w:rPr>
          <w:noProof/>
        </w:rPr>
      </w:pPr>
      <w:r w:rsidRPr="00252A6F">
        <w:rPr>
          <w:noProof/>
        </w:rPr>
        <w:t>Podobno kot v nedavnem sklepu Evropskega parlamenta in Sveta o sprejetju izredne makrofinančne pomoči v višini do 1 milijarde EUR v obliki posojil</w:t>
      </w:r>
      <w:r w:rsidRPr="00252A6F">
        <w:rPr>
          <w:rStyle w:val="FootnoteReference"/>
          <w:rFonts w:eastAsia="Times New Roman"/>
          <w:noProof/>
        </w:rPr>
        <w:footnoteReference w:id="10"/>
      </w:r>
      <w:r w:rsidRPr="00252A6F">
        <w:rPr>
          <w:noProof/>
        </w:rPr>
        <w:t xml:space="preserve"> predlagani sveženj posojil Ukrajini v sedanjih razmerah predstavlja povečano tveganje morebitnega nevračila v primerjavi s standardno makrofinančno pomočjo v obliki posojil. Stopnja rezervacij v višini 9 %, ki se na splošno uporablja za države, ki se spoprijemajo s plačilnobilančno krizo, glede na rusko vojno agresijo ni ustrezna. Ob upoštevanju izzivov, s katerimi se spoprijema Ukrajina, in verjetnosti, da bodo nastale izgube, ta predlog predvideva, da bo za zavarovanje proračuna EU pred prihodnjimi nepredvidenimi dogodki potrebno 70-odstotno proračunsko kritje. Ta visoka stopnja rezervacij se trenutno šteje za potrebno za omejitev tveganja, ki ga ta dodatna izredna makrofinančna pomoč Ukrajini pomeni v skladu z načeli dobrega finančnega poslovodenja.</w:t>
      </w:r>
    </w:p>
    <w:p w14:paraId="08D38E88" w14:textId="77777777" w:rsidR="61926C97" w:rsidRPr="00252A6F" w:rsidRDefault="462E5199" w:rsidP="61926C97">
      <w:pPr>
        <w:rPr>
          <w:noProof/>
        </w:rPr>
      </w:pPr>
      <w:r w:rsidRPr="00252A6F">
        <w:rPr>
          <w:noProof/>
        </w:rPr>
        <w:t>Na podlagi tega 70-odstotno kritje predstavlja preudarno in konservativno politiko zmanjševanja tveganja, ki je potrebna, da se vlagateljem zagotovi, da bodo zneski, vloženi v obveznice EU, s katerimi se financira izredna makrofinančna pomoč Ukrajini v obliki posojil, v celoti in pravočasno povrnjeni.</w:t>
      </w:r>
    </w:p>
    <w:p w14:paraId="370FB3E0" w14:textId="77777777" w:rsidR="26DEF6C3" w:rsidRPr="00252A6F" w:rsidRDefault="26DEF6C3" w:rsidP="00E632E4">
      <w:pPr>
        <w:pStyle w:val="LegalNumPar2"/>
        <w:rPr>
          <w:noProof/>
          <w:u w:val="single"/>
        </w:rPr>
      </w:pPr>
      <w:r w:rsidRPr="00252A6F">
        <w:rPr>
          <w:noProof/>
          <w:u w:val="single"/>
        </w:rPr>
        <w:t>Potreba po vzpostavitvi potrebnega proračunskega kritja z jamstvi držav članic</w:t>
      </w:r>
    </w:p>
    <w:p w14:paraId="70746240" w14:textId="306F1E0F" w:rsidR="26DEF6C3" w:rsidRPr="00252A6F" w:rsidRDefault="7A367D63" w:rsidP="07D623CA">
      <w:pPr>
        <w:rPr>
          <w:noProof/>
        </w:rPr>
      </w:pPr>
      <w:r w:rsidRPr="00252A6F">
        <w:rPr>
          <w:noProof/>
        </w:rPr>
        <w:t xml:space="preserve">Jamstvo za zunanje delovanje v okviru Instrumenta za sosedstvo ter razvojno in mednarodno sodelovanje – Globalna Evropa je bilo zasnovano kot jamstvo za ukrepe makrofinančne pomoči v skupni višini približno 11 milijard EUR, za katere so bile oblikovane rezervacije v višini 9 %, glede na to, da makrofinančna pomoč v obliki posojil vključuje tveganje državnih posojilojemalcev. Na podlagi tega so bila pri finančnem načrtovanju iz sredstev iz člena 31(5), tretji pododstavek, Uredbe (EU) 2021/947 za ukrepe makrofinančne pomoči tretjim državam namenjene rezervacije v višini 1 milijarde EUR. </w:t>
      </w:r>
    </w:p>
    <w:p w14:paraId="3BEA3533" w14:textId="77777777" w:rsidR="61926C97" w:rsidRPr="00252A6F" w:rsidRDefault="6C275781" w:rsidP="07D623CA">
      <w:pPr>
        <w:rPr>
          <w:noProof/>
        </w:rPr>
      </w:pPr>
      <w:r w:rsidRPr="00252A6F">
        <w:rPr>
          <w:noProof/>
        </w:rPr>
        <w:t>Večina tega oblikovanja rezervacij je že bila namenjena za makrofinančno pomoč v obliki posojil Ukrajini, vključno z izredno makrofinančno pomočjo v obliki posojil v višini 1,2 milijarde EUR po stopnji 9 % (108 milijonov EUR rezervacij) in nedavno izredno makrofinančno pomočjo v obliki posojil v višini 1 milijarde EUR po stopnji 70 % (700 milijonov EUR rezervacij). Zato preostala proračunska sredstva EU ne zadostujejo za zagotovitev potrebnega proračunskega kritja za dodatna posojila v višini 5 milijard EUR po stopnji 70 % njihove nominalne vrednosti.</w:t>
      </w:r>
    </w:p>
    <w:p w14:paraId="2307BA6C" w14:textId="1FC86A65" w:rsidR="61926C97" w:rsidRPr="00252A6F" w:rsidRDefault="462E5199" w:rsidP="07D623CA">
      <w:pPr>
        <w:rPr>
          <w:noProof/>
        </w:rPr>
      </w:pPr>
      <w:r w:rsidRPr="00252A6F">
        <w:rPr>
          <w:noProof/>
        </w:rPr>
        <w:t>Predlagana nova makrofinančna pomoč v obliki posojil se zato lahko izvaja na finančno zanesljiv način le, če so države članice pripravljene zagotoviti potrebno dodatno proračunsko kritje. Predlaga se, da se to kritje zagotovi v obliki jamstev, pri čemer se zneski, ki jih obljubi vsaka država članica, izračunajo na sorazmerni osnovi BND. EU lahko prek teh jamstev zahteva zneske, potrebne za izpolnitev obveznosti odplačila do imetnikov obveznic, v primeru in v obsegu, ki je potreben za pokritje primanjkljaja v skupnem skladu za rezervacije zaradi morebitnega neplačila Ukrajine. Državam članicam ne bi bilo treba zagotoviti vnaprejšnjih rezervacij v gotovini, unovčitev jamstev pa bi se zgodila le v primeru neplačila Ukrajine, če bi se izčrpalo namensko oblikovanje rezervacij, ki je na voljo v okviru skupnega sklada za rezervacije. Jamstva so tudi ustrezen odziv glede na pogojeno in negotovo naravo morebitnih izgub. Kot je navedeno zgoraj, bi bila posojila strukturirana tako, da bi se čim bolj povečale možnosti za ustrezno okrevanje Ukrajine, ki bi omogočilo, da bi lahko v celoti poravnala svoja odplačila.</w:t>
      </w:r>
    </w:p>
    <w:p w14:paraId="732169CC" w14:textId="535E7D2C" w:rsidR="00604E2B" w:rsidRPr="00252A6F" w:rsidRDefault="0FA07279" w:rsidP="00604E2B">
      <w:pPr>
        <w:rPr>
          <w:noProof/>
        </w:rPr>
      </w:pPr>
      <w:r w:rsidRPr="00252A6F">
        <w:rPr>
          <w:noProof/>
        </w:rPr>
        <w:t>Zagotavljanje jamstev držav članic je tehnika, ki je bila uporabljena v okviru uredbe o evropskem instrumentu za začasno podporo za ublažitev tveganj za brezposelnost v izrednih razmerah (SURE)</w:t>
      </w:r>
      <w:r w:rsidRPr="00252A6F">
        <w:rPr>
          <w:rStyle w:val="FootnoteReference"/>
          <w:rFonts w:eastAsia="Times New Roman"/>
          <w:noProof/>
        </w:rPr>
        <w:footnoteReference w:id="11"/>
      </w:r>
      <w:r w:rsidRPr="00252A6F">
        <w:rPr>
          <w:noProof/>
        </w:rPr>
        <w:t xml:space="preserve"> kot podlaga za zagotavljanje zadostne proračunske zmogljivosti EU za pokrivanje pričakovanih izgub pri posojilih državam članicam. Vendar za razliko od instrumenta SURE, ki je bil pogojen z začetkom veljavnosti vseh jamstev, izredna nujnost potreb Ukrajine po financiranju pomeni, da bi lahko bila izredna makrofinančna pomoč v obliki posojil Ukrajini na voljo pred začetkom veljavnosti posameznih sporazumov o nacionalnem jamstvu med Komisijo in državami članicami, če bi se države članice trdno zavezale, da jih bodo čim prej začele izvajati.</w:t>
      </w:r>
    </w:p>
    <w:p w14:paraId="5C9598F3" w14:textId="77777777" w:rsidR="00604E2B" w:rsidRPr="00252A6F" w:rsidRDefault="00604E2B" w:rsidP="00604E2B">
      <w:pPr>
        <w:pStyle w:val="LegalNumPar2"/>
        <w:rPr>
          <w:rFonts w:eastAsiaTheme="minorEastAsia"/>
          <w:noProof/>
          <w:szCs w:val="24"/>
          <w:u w:val="single"/>
        </w:rPr>
      </w:pPr>
      <w:r w:rsidRPr="00252A6F">
        <w:rPr>
          <w:noProof/>
          <w:u w:val="single"/>
        </w:rPr>
        <w:t>Povečanje sinergij med rezervacijami EU in jamstvi držav članic</w:t>
      </w:r>
    </w:p>
    <w:p w14:paraId="5BA2BB21" w14:textId="66A658FD" w:rsidR="26DEF6C3" w:rsidRPr="00252A6F" w:rsidRDefault="67D4B680" w:rsidP="26DEF6C3">
      <w:pPr>
        <w:rPr>
          <w:noProof/>
        </w:rPr>
      </w:pPr>
      <w:r w:rsidRPr="00252A6F">
        <w:rPr>
          <w:noProof/>
        </w:rPr>
        <w:t xml:space="preserve">Za optimalno obvladovanje razmer, v katerih se lahko uporabijo proračunske določbe EU in jamstva držav članic za zagotovitev odplačil vlagateljem v obveznice EU, se predlaga upravljanje nedavne izredne makrofinančne pomoči v obliki posojil v višini 1 milijarde EUR, izplačane 1. in 2. avgusta 2022, in dodatnih posojil v višini 5 milijard EUR v okviru te pobude kot integriranega sklopa izpostavljenosti v višini 6 milijard EUR. S tem pristopom bo proračun EU zagotovil varovanje pred prvo izgubo za 9 % celotnega svežnja posojil v višini 6 milijard EUR. To bi se z jamstvi držav članic okrepilo za nadaljnjih 61 % vrednosti posojil.  </w:t>
      </w:r>
    </w:p>
    <w:p w14:paraId="0CF1B5F6" w14:textId="16B0D9E0" w:rsidR="26DEF6C3" w:rsidRPr="00252A6F" w:rsidRDefault="009A127F" w:rsidP="26DEF6C3">
      <w:pPr>
        <w:rPr>
          <w:noProof/>
        </w:rPr>
      </w:pPr>
      <w:r w:rsidRPr="00252A6F">
        <w:rPr>
          <w:noProof/>
        </w:rPr>
        <w:t>Skupno upravljanje obeh sklopov izredne makrofinančne pomoči v obliki posojil na ta način ima naslednje posledice:</w:t>
      </w:r>
    </w:p>
    <w:p w14:paraId="2FDE5118" w14:textId="533F5BA0" w:rsidR="26DEF6C3" w:rsidRPr="00252A6F" w:rsidRDefault="57972785" w:rsidP="0087343B">
      <w:pPr>
        <w:pStyle w:val="Bullet0"/>
        <w:rPr>
          <w:noProof/>
        </w:rPr>
      </w:pPr>
      <w:r w:rsidRPr="00252A6F">
        <w:rPr>
          <w:noProof/>
        </w:rPr>
        <w:t>Načrtovane rezervacije iz proračuna EU, ki naj bi se uporabile izključno za kritje 6 milijard EUR potencialnih terjatev, ki izhajajo iz novih izpostavljenosti, povezanih z Ukrajino, bodo znašale 540 milijonov EUR. Ta znatni znesek (ki se bo dodatno povečal z rezervacijami za posojila v okviru zunanjega mandata EIB s spremenjenim namenom – glej spodaj) bo zagotovil dobro rezervo za upravljanje potreb po odplačilu v primeru, da Ukrajina začasno ali drugače ne bo mogla izpolniti svojih plačilnih obveznosti do EU. Rezerva te velikosti je lahko učinkovita prva raven zaščite v primeru, da Ukrajina zamudi plačila EU, in lahko odloži potrebo po unovčitvi jamstev držav članic. Te rezervacije v višini 540 milijonov EUR se lahko hranijo v namenskem oddelku skupnega sklada za rezervacije. To bi omogočilo sprostitev 160 milijonov EUR rezervacij iz 700 milijonov EUR, ki so že bili namenjeni za posojilo v višini 1 milijarde EUR iz prvega dela svežnja izredne makrofinančne pomoči.</w:t>
      </w:r>
    </w:p>
    <w:p w14:paraId="7ED9DE6E" w14:textId="2CED739F" w:rsidR="26DEF6C3" w:rsidRPr="00252A6F" w:rsidRDefault="67D4B680" w:rsidP="0087343B">
      <w:pPr>
        <w:pStyle w:val="Bullet0"/>
        <w:rPr>
          <w:rFonts w:eastAsiaTheme="minorEastAsia"/>
          <w:noProof/>
          <w:szCs w:val="24"/>
        </w:rPr>
      </w:pPr>
      <w:r w:rsidRPr="00252A6F">
        <w:rPr>
          <w:noProof/>
        </w:rPr>
        <w:t xml:space="preserve">Da bi proračunsko kritje doseglo zahtevano raven 70 %, bi morale države članice zagotoviti proračunska jamstva za preostalih 61 % celotnega svežnja izredne makrofinančne pomoči v obliki posojil v višini 6 milijard EUR. Obseg, za katerega bi jamčile države članice, bi znašal skupno 3,66 milijarde EUR. Ta jamstva bi se unovčila le, če bi se izčrpali zneski, ki se hranijo kot rezervacije v posebnem oddelku skupnega sklada za rezervacije, namenjenega makrofinančni pomoči Ukrajini. Države članice se zavezujejo, da bodo brezpogojno in takoj zagotovile sredstva v odgovor na zahtevo Komisije, ki izhaja iz morebitnega neizpolnjevanja plačilnih obveznosti Ukrajine. Ker države članice ne zagotovijo denarnih sredstev vnaprej, proračunska jamstva, o katerih so se dogovorile države članice, predstavljajo pogojne obveznosti. Jamstva so druga raven zaščite vlagateljev v obveznice EU, iz katerih se financira izredna makrofinančna pomoč v obliki posojil. </w:t>
      </w:r>
    </w:p>
    <w:p w14:paraId="07372491" w14:textId="22C90655" w:rsidR="26DEF6C3" w:rsidRPr="00252A6F" w:rsidRDefault="20BCED50" w:rsidP="22327288">
      <w:pPr>
        <w:rPr>
          <w:rFonts w:eastAsia="Times New Roman"/>
          <w:noProof/>
        </w:rPr>
      </w:pPr>
      <w:r w:rsidRPr="00252A6F">
        <w:rPr>
          <w:noProof/>
        </w:rPr>
        <w:t>Ta pristop zahteva nekaj manjših sprememb besedila Sklepa (EU) 2022/1201</w:t>
      </w:r>
      <w:r w:rsidRPr="00252A6F">
        <w:rPr>
          <w:rStyle w:val="FootnoteReference"/>
          <w:rFonts w:eastAsia="Times New Roman"/>
          <w:noProof/>
        </w:rPr>
        <w:footnoteReference w:id="12"/>
      </w:r>
      <w:r w:rsidRPr="00252A6F">
        <w:rPr>
          <w:noProof/>
        </w:rPr>
        <w:t xml:space="preserve"> o izredni makrofinančni pomoči v obliki posojil v višini 1 milijarde EUR. Ta predlog predstavlja te spremembe.</w:t>
      </w:r>
    </w:p>
    <w:p w14:paraId="62A527FE" w14:textId="77777777" w:rsidR="00604E2B" w:rsidRPr="00252A6F" w:rsidRDefault="00604E2B" w:rsidP="00604E2B">
      <w:pPr>
        <w:pStyle w:val="LegalNumPar2"/>
        <w:rPr>
          <w:noProof/>
          <w:u w:val="single"/>
        </w:rPr>
      </w:pPr>
      <w:r w:rsidRPr="00252A6F">
        <w:rPr>
          <w:noProof/>
          <w:u w:val="single"/>
        </w:rPr>
        <w:t xml:space="preserve">Kritje stroškov obresti iz proračuna EU </w:t>
      </w:r>
    </w:p>
    <w:p w14:paraId="57F726AE" w14:textId="4C53D63A" w:rsidR="6BB10541" w:rsidRPr="00252A6F" w:rsidRDefault="6BB10541" w:rsidP="3AD20BBB">
      <w:pPr>
        <w:rPr>
          <w:rFonts w:eastAsia="Times New Roman"/>
          <w:noProof/>
        </w:rPr>
      </w:pPr>
      <w:r w:rsidRPr="00252A6F">
        <w:rPr>
          <w:noProof/>
        </w:rPr>
        <w:t xml:space="preserve">Proračun EU lahko krije stroške obresti, ki izhajajo iz julijskega posojila v višini 1 milijarde EUR v okviru sedanjega večletnega finančnega okvira, če za to zaprosi Ukrajina in glede na razpoložljivost proračunskih sredstev. S prevzemom stroškov obresti bi EU Ukrajini zagotovila dodatno finančno pomoč ter tudi omejila in odložila tveganje morebitnega nevračila glavnice na trenutek izteka posojila ali morebitnega neplačila. Komisija bi lahko uredila posojilo z dolgo zapadlostjo (povprečna zapadlost bi bila 25 let), da bi Ukrajini zagotovila čim več časa za ponovno rast, obnovo gospodarstva v skladu z njeno evropsko potjo in čim večje možnosti za popolno odplačilo. S takšnim strukturiranjem obveznosti lahko Evropska komisija poskuša zmanjšati tudi tveganje unovčitev nekaterih ali vseh jamstev držav članic. Za razširitev enake obravnave na stroške obresti, ki izhajajo iz dodatnih 5 milijard EUR izredne makrofinančne pomoči v obliki posojil, je treba uporabiti dodatna sredstva. </w:t>
      </w:r>
    </w:p>
    <w:p w14:paraId="2C63F463" w14:textId="418FF38F" w:rsidR="73B7382E" w:rsidRPr="00252A6F" w:rsidRDefault="73B7382E" w:rsidP="00604E2B">
      <w:pPr>
        <w:pStyle w:val="LegalNumPar2"/>
        <w:rPr>
          <w:rFonts w:eastAsiaTheme="minorEastAsia"/>
          <w:noProof/>
          <w:szCs w:val="24"/>
        </w:rPr>
      </w:pPr>
      <w:r w:rsidRPr="00252A6F">
        <w:rPr>
          <w:noProof/>
          <w:u w:val="single"/>
        </w:rPr>
        <w:t>Uporaba višje stopnje rezervacij za posojila v okviru zunanjega mandata EIB s spremenjenim namenom, izplačana v tretjem četrtletju leta 2022, in posojila v okviru zunanjega mandata EIB, ki jih je treba še izplačati</w:t>
      </w:r>
    </w:p>
    <w:p w14:paraId="0EC7C633" w14:textId="75FE9308" w:rsidR="61926C97" w:rsidRPr="00252A6F" w:rsidRDefault="3DCAC1FA" w:rsidP="22327288">
      <w:pPr>
        <w:rPr>
          <w:rFonts w:eastAsia="Times New Roman"/>
          <w:noProof/>
        </w:rPr>
      </w:pPr>
      <w:r w:rsidRPr="00252A6F">
        <w:rPr>
          <w:noProof/>
        </w:rPr>
        <w:t xml:space="preserve">Glede na nujne potrebe Ukrajine po financiranju se je Evropska komisija julija 2022 dogovorila o spremembi namena posojil v okviru zunanjega mandata EIB Ukrajini v višini 1,59 milijarde EUR. EIB naj bi v tretjem četrtletju leta 2022 izplačala 1,05 milijarde EUR. V obdobju 2022–2023 namerava EIB izplačati dodatnih 536 milijonov EUR v obliki posojil, da bi pomagala financirati nadaljevanje izbranih naložbenih projektov. Ker pa so to posojila ukrajinski državi (ali za katera jamči država), predstavljajo enako stopnjo tveganja kot izredna makrofinančna pomoč v obliki posojil. V skladu s sporazumi o jamstvu v okviru zunanjega mandata EIB ima EIB pravico, da iz proračuna EU zahteva znesek v skupni višini do celotnega zneska izgub, ki jih ima pri teh posojilih v okviru jamstva zunanjega mandata EIB. Zato bi bilo treba pojasniti, da bi se moral za te izpostavljenosti uporabljati enak previdnostni pristop in da bi bilo treba v skupni oddelek skupnega sklada za rezervacije, ki je namenjen Ukrajini, vključiti ustrezne dodatne rezervacije. Ta predlog zato predvideva razširitev 70-odstotne stopnje rezervacij na te dodatne izpostavljenosti v višini 1,59 milijarde EUR, ki izhajajo iz posojil s spremenjenim namenom. Za vsa nadaljnja morebitna izplačila posojil v okviru zunanjega mandata EIB Ukrajini s spremenjenim namenom bi veljala enaka stopnja rezervacij (kot se redno pregleduje) in pogoj, da se za tako oblikovanje rezervacij najdejo proračunska sredstva. </w:t>
      </w:r>
    </w:p>
    <w:p w14:paraId="210B4EB2" w14:textId="7489598A" w:rsidR="001475A3" w:rsidRPr="00252A6F" w:rsidRDefault="00C60CE2" w:rsidP="22327288">
      <w:pPr>
        <w:rPr>
          <w:rFonts w:eastAsia="Times New Roman"/>
          <w:noProof/>
        </w:rPr>
      </w:pPr>
      <w:r w:rsidRPr="00252A6F">
        <w:rPr>
          <w:noProof/>
        </w:rPr>
        <w:t xml:space="preserve">70-odstotna stopnja rezervacij za posojila v okviru zunanjega mandata EIB v višini 1,59 milijarde EUR bo zagotovljena iz proračuna EU, urejala jih bodo pravila o oblikovanju rezervacij iz finančne uredbe in ne pravila Jamstvenega sklada za zunanje ukrepe ter bodo v ločenem oddelku skupnega sklada za rezervacije. </w:t>
      </w:r>
    </w:p>
    <w:p w14:paraId="49D6D708" w14:textId="683D17DA" w:rsidR="001475A3" w:rsidRPr="00252A6F" w:rsidRDefault="4B2E46E8" w:rsidP="22327288">
      <w:pPr>
        <w:rPr>
          <w:rFonts w:eastAsia="Times New Roman"/>
          <w:noProof/>
        </w:rPr>
      </w:pPr>
      <w:bookmarkStart w:id="3" w:name="_Hlk113262305"/>
      <w:r w:rsidRPr="00252A6F">
        <w:rPr>
          <w:noProof/>
        </w:rPr>
        <w:t>Predlaga se, da so vsa nadaljnja izplačila posojil v okviru zunanjega mandata EIB Ukrajini pogojena z zagotovitvijo proračunskih sredstev za rezervacije za izpostavljenosti v višini 70 % njihove nominalne vrednosti ob upoštevanju prednostnih nalog Instrumenta za sosedstvo ter razvojno in mednarodno sodelovanje – Globalna Evropa, razen če se ocena povezanih tveganj spremeni.</w:t>
      </w:r>
    </w:p>
    <w:bookmarkEnd w:id="3"/>
    <w:p w14:paraId="52043BFA" w14:textId="549993DC" w:rsidR="26DEF6C3" w:rsidRPr="00252A6F" w:rsidRDefault="30770F93" w:rsidP="00604E2B">
      <w:pPr>
        <w:pStyle w:val="LegalNumPar2"/>
        <w:rPr>
          <w:noProof/>
          <w:u w:val="single"/>
        </w:rPr>
      </w:pPr>
      <w:r w:rsidRPr="00252A6F">
        <w:rPr>
          <w:noProof/>
          <w:u w:val="single"/>
        </w:rPr>
        <w:t>Pregled potreb po oblikovanju rezervacij za makrofinančno pomoč v obliki posojil in posojila v okviru zunanjega mandata EIB:</w:t>
      </w:r>
    </w:p>
    <w:p w14:paraId="077DB925" w14:textId="4441CD78" w:rsidR="26DEF6C3" w:rsidRPr="00252A6F" w:rsidRDefault="62966C14" w:rsidP="22327288">
      <w:pPr>
        <w:rPr>
          <w:noProof/>
        </w:rPr>
      </w:pPr>
      <w:r w:rsidRPr="00252A6F">
        <w:rPr>
          <w:noProof/>
        </w:rPr>
        <w:t>Visoka raven rezervacij v tem predlogu je utemeljena z dejstvom, da se Ukrajina trenutno spoprijema z vojaškimi, gospodarskimi in socialnimi posledicami večjega oboroženega spopada. Če se bodo vojaške in gospodarske razmere v Ukrajini stabilizirale ali izboljšale, ta raven rezervacij morda ne bo več potrebna. Ta predlog zato predvideva redni (polletni) pregled te stopnje rezervacij, ki se bo začel sredi leta 2023 ali po potrebi prej. Ta pregled se bo uporabljal tudi za oblikovanje rezervacij za posojilo v višini 1 milijarde EUR, ki je bilo odobreno na podlagi Sklepa (EU) 2022/1201</w:t>
      </w:r>
      <w:r w:rsidRPr="00252A6F">
        <w:rPr>
          <w:rStyle w:val="FootnoteReference"/>
          <w:noProof/>
        </w:rPr>
        <w:footnoteReference w:id="13"/>
      </w:r>
      <w:r w:rsidRPr="00252A6F">
        <w:rPr>
          <w:noProof/>
        </w:rPr>
        <w:t xml:space="preserve">, in za izredno oblikovanje rezervacij v višini 70 % od posojil v okviru zunanjega mandata EIB s spremenjenim namenom v višini 1,59 milijarde EUR (glej spodaj). Poleg tega rednega pregleda lahko Komisija stopnjo rezervacij ponovno oceni </w:t>
      </w:r>
      <w:r w:rsidRPr="00252A6F">
        <w:rPr>
          <w:i/>
          <w:noProof/>
        </w:rPr>
        <w:t>ad hoc</w:t>
      </w:r>
      <w:r w:rsidRPr="00252A6F">
        <w:rPr>
          <w:noProof/>
        </w:rPr>
        <w:t>, zlasti če to upravičuje pomemben zadevni dogodek.</w:t>
      </w:r>
    </w:p>
    <w:p w14:paraId="6038D113" w14:textId="55A99E3E" w:rsidR="006E20AB" w:rsidRPr="00252A6F" w:rsidRDefault="43566008" w:rsidP="00A3543A">
      <w:pPr>
        <w:pStyle w:val="LegalNumPar"/>
        <w:numPr>
          <w:ilvl w:val="0"/>
          <w:numId w:val="31"/>
        </w:numPr>
        <w:rPr>
          <w:b/>
          <w:noProof/>
        </w:rPr>
      </w:pPr>
      <w:r w:rsidRPr="00252A6F">
        <w:rPr>
          <w:b/>
          <w:noProof/>
        </w:rPr>
        <w:t>Izvajanje makrofinančne pomoči v obliki posojil</w:t>
      </w:r>
    </w:p>
    <w:p w14:paraId="7EB9C068" w14:textId="1C8B8D36" w:rsidR="61926C97" w:rsidRPr="00252A6F" w:rsidRDefault="383F910F" w:rsidP="22327288">
      <w:pPr>
        <w:rPr>
          <w:noProof/>
        </w:rPr>
      </w:pPr>
      <w:r w:rsidRPr="00252A6F">
        <w:rPr>
          <w:noProof/>
        </w:rPr>
        <w:t xml:space="preserve">Komisija bo poskrbela za izplačilo obrokov izredne makrofinančne pomoči v obliki posojil čim prej po sprejetju tega predloga in zaključku vseh formalnosti. Te zlasti vključujejo (i) nedvoumno in soglasno zavezo vseh držav članic, da bodo sklenile sporazume o jamstvu, kakor hitro bodo to dopuščali njihovi nacionalni postopki; ter (ii) podpis memoranduma o soglasju in začetek veljavnosti sporazuma o posojilih. </w:t>
      </w:r>
    </w:p>
    <w:p w14:paraId="3717554F" w14:textId="093AD229" w:rsidR="00C94923" w:rsidRPr="00252A6F" w:rsidRDefault="4D671AF0" w:rsidP="00C94923">
      <w:pPr>
        <w:rPr>
          <w:rFonts w:eastAsia="Times New Roman"/>
          <w:noProof/>
        </w:rPr>
      </w:pPr>
      <w:r w:rsidRPr="00252A6F">
        <w:rPr>
          <w:noProof/>
        </w:rPr>
        <w:t>Ta predlog predvideva, da bo Evropska komisija poskrbela za posojila takoj po začetku veljavnosti tega sklepa, pod pogojem, da se bodo vse države članice jasno in nedvoumno zavezale, da bodo jamstva na voljo, kakor hitro bodo to dopuščali njihovi nacionalni postopki. Pretekle izkušnje so pokazale, da lahko številne države članice jamstva zagotovijo v dveh do treh mesecih, vendar lahko do prejetja celotnega sklopa jamstev mine štiri do pet mesecev. To ne bi bilo združljivo s ciljem zagotavljanja nujne podpore Ukrajini. Komisija zaradi teh izrednih razmer izjemoma predvideva, da se bodo posojila uredila hkrati z jamstvi. V tem primeru je tveganje za proračun EU zmanjšano, saj v daljšem obdobju ne zapadejo nobeni plačilni dogodki (plačilo obresti). V vmesnem obdobju (štiri do pet mesecev) pred prejemom vseh jamstev namreč ne bodo zapadli nobeni plačilni dogodki. Če bi teoretično do neplačilnih dogodkov prišlo v tem vmesnem obdobju, se lahko za kritje morebitnih začasnih primanjkljajev uporabijo rezervacije, oblikovane v skupnem skladu za rezervacije (in po potrebi začasno črpanje drugih oddelkov skupnega sklada za rezervacije). Razpoložljivost rezervacij iz skupnega sklada za rezervacije pomeni, da so na voljo denarna sredstva za zagotovitev vseh plačil, dolgovanih vlagateljem v obveznice EU, tudi če jamstva še niso v celoti vzpostavljena.</w:t>
      </w:r>
    </w:p>
    <w:p w14:paraId="04322276" w14:textId="69155E22" w:rsidR="61926C97" w:rsidRPr="00252A6F" w:rsidRDefault="1035FEE8" w:rsidP="61926C97">
      <w:pPr>
        <w:rPr>
          <w:noProof/>
        </w:rPr>
      </w:pPr>
      <w:r w:rsidRPr="00252A6F">
        <w:rPr>
          <w:noProof/>
        </w:rPr>
        <w:t>Zato Evropska komisija predlaga, da se nova makrofinančna pomoč v obliki posojil razporedi v manjše število obrokov čim prej po začetku veljavnosti tega sklepa in sklenitvi povezanega sporazuma o posojilih. Izjemno pomembno je, da vse države članice čim prej zagotovijo potrebna proračunska jamstva in da obstaja skupna zaveza, da se ta proces hitro zaključi.</w:t>
      </w:r>
    </w:p>
    <w:p w14:paraId="266AF385" w14:textId="0E146A49" w:rsidR="26DEF6C3" w:rsidRPr="00252A6F" w:rsidRDefault="4123EAD6" w:rsidP="26DEF6C3">
      <w:pPr>
        <w:spacing w:before="0" w:after="240"/>
        <w:rPr>
          <w:noProof/>
        </w:rPr>
      </w:pPr>
      <w:r w:rsidRPr="00252A6F">
        <w:rPr>
          <w:noProof/>
        </w:rPr>
        <w:t>Za zagotovitev celotnega zneska izredne makrofinančne pomoči v višini do 9 milijard EUR, kot je bilo napovedano v sporočilu o pomoči Ukrajini in njeni obnovi z dne 18. maja 2022, Evropska komisija sodeluje z državami članicami EU pri oblikovanju trdnega in pravičnega mehanizma za izplačilo preostalega zneska v višini do 3 milijard EUR. Ko bo zasnova dokončana, bo Evropska komisija čim prej pripravila predlog o preostalem znesku podpore.</w:t>
      </w:r>
    </w:p>
    <w:p w14:paraId="700CF3E1" w14:textId="77777777" w:rsidR="00F152DC" w:rsidRPr="00252A6F" w:rsidRDefault="00F152DC" w:rsidP="00D045D9">
      <w:pPr>
        <w:pStyle w:val="ManualHeading1"/>
        <w:rPr>
          <w:noProof/>
        </w:rPr>
      </w:pPr>
      <w:r w:rsidRPr="00252A6F">
        <w:rPr>
          <w:noProof/>
        </w:rPr>
        <w:t>2.</w:t>
      </w:r>
      <w:r w:rsidRPr="00252A6F">
        <w:rPr>
          <w:noProof/>
        </w:rPr>
        <w:tab/>
        <w:t>PRAVNA PODLAGA, SUBSIDIARNOST IN SORAZMERNOST</w:t>
      </w:r>
    </w:p>
    <w:p w14:paraId="3BF4F247" w14:textId="77777777" w:rsidR="00F152DC" w:rsidRPr="00252A6F" w:rsidRDefault="00F152DC" w:rsidP="00D045D9">
      <w:pPr>
        <w:pStyle w:val="ManualHeading2"/>
        <w:rPr>
          <w:rFonts w:eastAsia="Arial Unicode MS"/>
          <w:noProof/>
          <w:u w:color="000000"/>
          <w:bdr w:val="nil"/>
        </w:rPr>
      </w:pPr>
      <w:r w:rsidRPr="00252A6F">
        <w:rPr>
          <w:noProof/>
          <w:u w:color="000000"/>
          <w:bdr w:val="nil"/>
        </w:rPr>
        <w:t>•</w:t>
      </w:r>
      <w:r w:rsidRPr="00252A6F">
        <w:rPr>
          <w:noProof/>
        </w:rPr>
        <w:tab/>
      </w:r>
      <w:r w:rsidRPr="00252A6F">
        <w:rPr>
          <w:noProof/>
          <w:u w:color="000000"/>
          <w:bdr w:val="nil"/>
        </w:rPr>
        <w:t>Pravna podlaga</w:t>
      </w:r>
    </w:p>
    <w:p w14:paraId="3EFF6B3B" w14:textId="71A9AE57" w:rsidR="00D24BBA" w:rsidRPr="00252A6F" w:rsidRDefault="6E8ED94A" w:rsidP="00FA50C2">
      <w:pPr>
        <w:rPr>
          <w:noProof/>
        </w:rPr>
      </w:pPr>
      <w:r w:rsidRPr="00252A6F">
        <w:rPr>
          <w:noProof/>
        </w:rPr>
        <w:t xml:space="preserve">Člen 212 Pogodbe o delovanju Evropske unije je ustrezna pravna podlaga za finančno pomoč, ki jo Unija dodeli tretjim državam.  Zaradi neizzvane in neupravičene vojne agresije Rusije je treba Ukrajini dodeliti dodatno finančno pomoč. Za okrepitev proračunske vzdržnosti teh ukrepov je treba vzpostaviti tudi mehanizem jamstev držav članic, na katerih bo temeljila finančna pomoč. V sedanjih razmerah so ta jamstva nepogrešljiv spremljevalni del finančne pomoči. </w:t>
      </w:r>
    </w:p>
    <w:p w14:paraId="67C17D50" w14:textId="77777777" w:rsidR="00F152DC" w:rsidRPr="00252A6F" w:rsidRDefault="00F152DC" w:rsidP="00D045D9">
      <w:pPr>
        <w:pStyle w:val="ManualHeading2"/>
        <w:rPr>
          <w:rFonts w:eastAsia="Arial Unicode MS"/>
          <w:noProof/>
          <w:u w:color="000000"/>
          <w:bdr w:val="nil"/>
        </w:rPr>
      </w:pPr>
      <w:r w:rsidRPr="00252A6F">
        <w:rPr>
          <w:noProof/>
          <w:u w:color="000000"/>
          <w:bdr w:val="nil"/>
        </w:rPr>
        <w:t>•</w:t>
      </w:r>
      <w:r w:rsidRPr="00252A6F">
        <w:rPr>
          <w:noProof/>
        </w:rPr>
        <w:tab/>
      </w:r>
      <w:r w:rsidRPr="00252A6F">
        <w:rPr>
          <w:noProof/>
          <w:u w:color="000000"/>
          <w:bdr w:val="nil"/>
        </w:rPr>
        <w:t xml:space="preserve">Subsidiarnost (za neizključno pristojnost) </w:t>
      </w:r>
    </w:p>
    <w:p w14:paraId="04F15FD3" w14:textId="2764716A" w:rsidR="004D643E" w:rsidRPr="00252A6F" w:rsidRDefault="004D643E" w:rsidP="003C45F0">
      <w:pPr>
        <w:rPr>
          <w:noProof/>
        </w:rPr>
      </w:pPr>
      <w:r w:rsidRPr="00252A6F">
        <w:rPr>
          <w:noProof/>
        </w:rPr>
        <w:t>Načelo subsidiarnosti je spoštovano, saj ciljev ponovne vzpostavitve kratkoročne makroekonomske stabilnosti v Ukrajini ne morejo zadovoljivo uresničiti države članice same in jih lažje uresniči EU. Glavni razlogi so proračunske omejitve na nacionalni ravni in potreba po visoki stopnji usklajenosti donatorjev, da bi bila obseg in učinkovitost pomoči čim večja, breme za upravno zmogljivost ukrajinskih organov, ki je v sedanjih razmerah zelo veliko, pa omejeno.</w:t>
      </w:r>
    </w:p>
    <w:p w14:paraId="3AF5DB7F" w14:textId="77777777" w:rsidR="00F152DC" w:rsidRPr="00252A6F" w:rsidRDefault="00F152DC" w:rsidP="00D045D9">
      <w:pPr>
        <w:pStyle w:val="ManualHeading2"/>
        <w:rPr>
          <w:rFonts w:eastAsia="Arial Unicode MS"/>
          <w:noProof/>
          <w:u w:color="000000"/>
          <w:bdr w:val="nil"/>
        </w:rPr>
      </w:pPr>
      <w:r w:rsidRPr="00252A6F">
        <w:rPr>
          <w:noProof/>
          <w:u w:color="000000"/>
          <w:bdr w:val="nil"/>
        </w:rPr>
        <w:t>•</w:t>
      </w:r>
      <w:r w:rsidRPr="00252A6F">
        <w:rPr>
          <w:noProof/>
        </w:rPr>
        <w:tab/>
      </w:r>
      <w:r w:rsidRPr="00252A6F">
        <w:rPr>
          <w:noProof/>
          <w:u w:color="000000"/>
          <w:bdr w:val="nil"/>
        </w:rPr>
        <w:t>Sorazmernost</w:t>
      </w:r>
    </w:p>
    <w:p w14:paraId="04F279AC" w14:textId="177249EB" w:rsidR="004D643E" w:rsidRPr="00252A6F" w:rsidRDefault="004D643E" w:rsidP="004D643E">
      <w:pPr>
        <w:pBdr>
          <w:top w:val="nil"/>
          <w:left w:val="nil"/>
          <w:bottom w:val="nil"/>
          <w:right w:val="nil"/>
          <w:between w:val="nil"/>
          <w:bar w:val="nil"/>
        </w:pBdr>
        <w:spacing w:before="0" w:after="240"/>
        <w:rPr>
          <w:noProof/>
        </w:rPr>
      </w:pPr>
      <w:r w:rsidRPr="00252A6F">
        <w:rPr>
          <w:noProof/>
        </w:rPr>
        <w:t>Predlog je skladen z načelom sorazmernosti: omejen je na minimum, ki je potreben za doseganje ciljev kratkoročne makroekonomske stabilnosti in ne presega tistega, kar je potrebno za ta namen.</w:t>
      </w:r>
    </w:p>
    <w:p w14:paraId="6532697D" w14:textId="168A8641" w:rsidR="004D643E" w:rsidRPr="00252A6F" w:rsidRDefault="28666615" w:rsidP="22327288">
      <w:pPr>
        <w:pBdr>
          <w:top w:val="nil"/>
          <w:left w:val="nil"/>
          <w:bottom w:val="nil"/>
          <w:right w:val="nil"/>
          <w:between w:val="nil"/>
          <w:bar w:val="nil"/>
        </w:pBdr>
        <w:spacing w:before="0" w:after="240"/>
        <w:rPr>
          <w:noProof/>
        </w:rPr>
      </w:pPr>
      <w:r w:rsidRPr="00252A6F">
        <w:rPr>
          <w:noProof/>
        </w:rPr>
        <w:t>Kot je ugotovila Komisija na podlagi ocen organov in kot je potrdil MDS</w:t>
      </w:r>
      <w:r w:rsidRPr="00252A6F">
        <w:rPr>
          <w:rStyle w:val="FootnoteReference"/>
          <w:rFonts w:eastAsia="Arial Unicode MS"/>
          <w:noProof/>
        </w:rPr>
        <w:footnoteReference w:id="14"/>
      </w:r>
      <w:r w:rsidRPr="00252A6F">
        <w:rPr>
          <w:noProof/>
        </w:rPr>
        <w:t>, znesek predlagane izredne makrofinančne pomoči skupaj z že izplačano nujno makrofinančno pomočjo ustreza največ polovici ocenjene preostale vrzeli v financiranju za leto 2022. To razmerje je v skladu z običajno porazdelitvijo obremenitve za ukrepe makrofinančne pomoči (za države s pridružitvenim sporazumom bi bila zgornja meja 60 % v skladu s sklepi Sveta za ekonomske in finančne zadeve z dne 8. oktobra 2002), pri čemer se upošteva pomoč, ki so jo Ukrajini obljubili drugi dvostranski in večstranski donatorji.</w:t>
      </w:r>
    </w:p>
    <w:p w14:paraId="5A05CE7B" w14:textId="2331B29F" w:rsidR="004D643E" w:rsidRPr="00252A6F" w:rsidRDefault="2D6D47E0" w:rsidP="004D643E">
      <w:pPr>
        <w:pBdr>
          <w:top w:val="nil"/>
          <w:left w:val="nil"/>
          <w:bottom w:val="nil"/>
          <w:right w:val="nil"/>
          <w:between w:val="nil"/>
          <w:bar w:val="nil"/>
        </w:pBdr>
        <w:spacing w:before="0" w:after="240"/>
        <w:rPr>
          <w:noProof/>
        </w:rPr>
      </w:pPr>
      <w:r w:rsidRPr="00252A6F">
        <w:rPr>
          <w:noProof/>
        </w:rPr>
        <w:t>Jamstva držav članic, ki se unovčijo le, ko je to potrebno zaradi izrednih razmer, se zdijo s finančnega vidika najučinkovitejša rešitev. S tem se prepreči, da bi bilo treba poiskati dodatna sredstva v okviru sedanjih zgornjih mej večletnega finančnega okvira, v okviru katerega so vsi zneski trenutno v celoti uporabljeni. Prav tako se z njimi prepreči, da bi morale države članice dodatna sredstva zagotoviti vnaprej, a omogoči, da se zajamčeni zneski naknadno unovčijo, če bi nastale izgube.</w:t>
      </w:r>
    </w:p>
    <w:p w14:paraId="2BCF1801" w14:textId="74D1CDE6" w:rsidR="004D643E" w:rsidRPr="00252A6F" w:rsidRDefault="004D643E" w:rsidP="22327288">
      <w:pPr>
        <w:pBdr>
          <w:top w:val="nil"/>
          <w:left w:val="nil"/>
          <w:bottom w:val="nil"/>
          <w:right w:val="nil"/>
          <w:between w:val="nil"/>
          <w:bar w:val="nil"/>
        </w:pBdr>
        <w:spacing w:before="0" w:after="240"/>
        <w:rPr>
          <w:noProof/>
        </w:rPr>
      </w:pPr>
      <w:r w:rsidRPr="00252A6F">
        <w:rPr>
          <w:noProof/>
        </w:rPr>
        <w:t>Države članice bodo sredstva v okviru tega instrumenta morale dati na voljo le v omejenih okoliščinah, opredeljenih v tem sklepu. Denarnih nakazil zlasti ne bo treba takoj zagotoviti EU, temveč samo, če so izpolnjeni pogoji za unovčitev jamstev. Glede na to, da je mogoče odplačila najprej poravnati iz rezervacij skupnega sklada za rezervacije, je verjetno, da bodo unovčitve jamstev, če bo do njih sploh prišlo, precej redke in predvidljive.</w:t>
      </w:r>
    </w:p>
    <w:p w14:paraId="42D8B79A" w14:textId="77777777" w:rsidR="00F152DC" w:rsidRPr="00252A6F" w:rsidRDefault="00F152DC" w:rsidP="00D045D9">
      <w:pPr>
        <w:pStyle w:val="ManualHeading2"/>
        <w:rPr>
          <w:rFonts w:eastAsia="Arial Unicode MS"/>
          <w:noProof/>
          <w:u w:color="000000"/>
          <w:bdr w:val="nil"/>
        </w:rPr>
      </w:pPr>
      <w:r w:rsidRPr="00252A6F">
        <w:rPr>
          <w:noProof/>
          <w:u w:color="000000"/>
          <w:bdr w:val="nil"/>
        </w:rPr>
        <w:t>•</w:t>
      </w:r>
      <w:r w:rsidRPr="00252A6F">
        <w:rPr>
          <w:noProof/>
        </w:rPr>
        <w:tab/>
      </w:r>
      <w:r w:rsidRPr="00252A6F">
        <w:rPr>
          <w:noProof/>
          <w:u w:color="000000"/>
          <w:bdr w:val="nil"/>
        </w:rPr>
        <w:t>Izbira instrumenta</w:t>
      </w:r>
    </w:p>
    <w:p w14:paraId="52944293" w14:textId="78DA4CE5" w:rsidR="005820EC" w:rsidRPr="00252A6F" w:rsidRDefault="00D95034" w:rsidP="00D95034">
      <w:pPr>
        <w:rPr>
          <w:noProof/>
        </w:rPr>
      </w:pPr>
      <w:r w:rsidRPr="00252A6F">
        <w:rPr>
          <w:noProof/>
        </w:rPr>
        <w:t xml:space="preserve">Projektno financiranje ali tehnična pomoč ne bi bila niti primerna niti zadostna za obravnavanje širših makrofinančnih ciljev te izredne makrofinančne pomoči. Glavna dodana vrednost izredne makrofinančne pomoči v primerjavi z drugimi instrumenti EU je hitra ublažitev zunanjih finančnih omejitev v potrebnem obsegu. Prispeva tudi k zagotavljanju stabilnega makrofinančnega okvira, vključno s spodbujanjem trajnega in bolj vzdržnega stanja plačilne bilance in proračunskega stanja v ustreznem okviru za zahteve glede poročanja in pogoje politike. Makrofinančna pomoč lahko s pomočjo pri zagotavljanju ustreznega splošnega okvira politike poveča učinkovitost ukrepov, financiranih v Ukrajini na podlagi drugih, ožje usmerjenih finančnih instrumentov EU. Zaradi zelo ugodno oblikovanega ukrepa z daljšimi zapadlostmi in subvencijo za kritje stroškov obresti se zmanjša vpliv na vzdržnost dolga države. Hitra zagotovitev zelo potrebnega in velikega zneska finančne podpore z zelo ugodno ureditvijo za posojila v okviru makrofinančne pomoči se zdi upravičena, zlasti zaradi omejitev v zvezi z obsežnejšim financiranjem v obliki nepovratnih sredstev, s katerimi se spoprijema mednarodna skupnost, vključno z EU. </w:t>
      </w:r>
    </w:p>
    <w:p w14:paraId="1CCAF2FF" w14:textId="77777777" w:rsidR="00F152DC" w:rsidRPr="00252A6F" w:rsidRDefault="00F152DC" w:rsidP="00BA468B">
      <w:pPr>
        <w:pStyle w:val="ManualHeading1"/>
        <w:spacing w:before="0" w:after="240"/>
        <w:rPr>
          <w:rFonts w:eastAsia="Arial Unicode MS"/>
          <w:noProof/>
        </w:rPr>
      </w:pPr>
      <w:r w:rsidRPr="00252A6F">
        <w:rPr>
          <w:noProof/>
        </w:rPr>
        <w:t>3.</w:t>
      </w:r>
      <w:r w:rsidRPr="00252A6F">
        <w:rPr>
          <w:noProof/>
        </w:rPr>
        <w:tab/>
        <w:t>REZULTATI NAKNADNIH OCEN, POSVETOVANJ Z DELEŽNIKI IN OCEN UČINKA</w:t>
      </w:r>
    </w:p>
    <w:p w14:paraId="30D8E233" w14:textId="77777777" w:rsidR="00F152DC" w:rsidRPr="00252A6F" w:rsidRDefault="00F152DC" w:rsidP="00D045D9">
      <w:pPr>
        <w:pStyle w:val="ManualHeading2"/>
        <w:rPr>
          <w:rFonts w:eastAsia="Arial Unicode MS"/>
          <w:noProof/>
          <w:u w:color="000000"/>
          <w:bdr w:val="nil"/>
        </w:rPr>
      </w:pPr>
      <w:r w:rsidRPr="00252A6F">
        <w:rPr>
          <w:noProof/>
          <w:bdr w:val="nil"/>
        </w:rPr>
        <w:t>•</w:t>
      </w:r>
      <w:r w:rsidRPr="00252A6F">
        <w:rPr>
          <w:noProof/>
        </w:rPr>
        <w:tab/>
      </w:r>
      <w:r w:rsidRPr="00252A6F">
        <w:rPr>
          <w:noProof/>
          <w:bdr w:val="nil"/>
        </w:rPr>
        <w:t>Naknadne ocene/preverjanja primernosti obstoječe zakonodaje</w:t>
      </w:r>
    </w:p>
    <w:p w14:paraId="0B6A95E6" w14:textId="77777777" w:rsidR="45FEAB70" w:rsidRPr="00252A6F" w:rsidRDefault="45FEAB70" w:rsidP="45FEAB70">
      <w:pPr>
        <w:spacing w:before="0" w:after="240"/>
        <w:rPr>
          <w:noProof/>
        </w:rPr>
      </w:pPr>
      <w:r w:rsidRPr="00252A6F">
        <w:rPr>
          <w:noProof/>
        </w:rPr>
        <w:t xml:space="preserve">Naknadne ocene prejšnjih ukrepov makrofinančne pomoči Ukrajini, opravljene v preteklosti, so pokazale, da so bili na splošno zelo pomembni z vidika ciljev, finančnih sredstev in pogojev politike. </w:t>
      </w:r>
    </w:p>
    <w:p w14:paraId="13054417" w14:textId="77777777" w:rsidR="45FEAB70" w:rsidRPr="00252A6F" w:rsidRDefault="45FEAB70" w:rsidP="4E7789BD">
      <w:pPr>
        <w:spacing w:before="0" w:after="240"/>
        <w:rPr>
          <w:noProof/>
        </w:rPr>
      </w:pPr>
      <w:r w:rsidRPr="00252A6F">
        <w:rPr>
          <w:noProof/>
        </w:rPr>
        <w:t>Bili so ključnega pomena za podporo Ukrajini pri reševanju njenih težav s plačilno bilanco in izvajanju ključnih strukturnih reform za stabilizacijo gospodarstva in povečanje vzdržnosti njenega zunanjega položaja. Omogočili so fiskalne prihranke in finančne koristi ter delovali kot katalizator za dodatno finančno podporo in zaupanje vlagateljev. Sveženj pogojev za prejem makrofinančne pomoči je dopolnjeval povezani program Mednarodnega denarnega sklada in je ustvaril učinek politične okrepitve, ki je prispeval k mobilizaciji ukrajinskih organov v zvezi z bistvenimi reformami, zlasti na področjih, ki niso zajeta v drugih programih mednarodnih donatorjev.</w:t>
      </w:r>
    </w:p>
    <w:p w14:paraId="4C11EE49" w14:textId="1DD87A61" w:rsidR="004D643E" w:rsidRPr="00252A6F" w:rsidRDefault="28666615" w:rsidP="22327288">
      <w:pPr>
        <w:pBdr>
          <w:top w:val="nil"/>
          <w:left w:val="nil"/>
          <w:bottom w:val="nil"/>
          <w:right w:val="nil"/>
          <w:between w:val="nil"/>
          <w:bar w:val="nil"/>
        </w:pBdr>
        <w:spacing w:before="0" w:after="240"/>
        <w:rPr>
          <w:rFonts w:eastAsia="Arial Unicode MS"/>
          <w:noProof/>
        </w:rPr>
      </w:pPr>
      <w:r w:rsidRPr="00252A6F">
        <w:rPr>
          <w:noProof/>
        </w:rPr>
        <w:t>Ni novejših pregledov stopenj rezervacij, ki so se uporabljale za portfelje makrofinančne pomoči in posojil Euratoma, ali rezervacij, oblikovanih za proračunsko jamstvo v okviru mandata za zunanja posojila. Ob sprejetju Uredbe 2021/947 (v nadaljnjem besedilu: uredba o Instrumentu za sosedstvo ter razvojno in mednarodno sodelovanje – Globalna Evropa) je bilo znova potrjeno, da naj stopnja rezervacij za makrofinančno pomoč v okviru jamstva za zunanje delovanje znaša 9 %. Uredba o Instrumentu za sosedstvo ter razvojno in mednarodno sodelovanje – Globalna Evropa določa tudi najvišji znesek rezervacij za jamstvo za zunanje delovanje kot celoto</w:t>
      </w:r>
      <w:r w:rsidRPr="00252A6F">
        <w:rPr>
          <w:rStyle w:val="FootnoteReference"/>
          <w:rFonts w:eastAsia="Arial Unicode MS"/>
          <w:noProof/>
        </w:rPr>
        <w:footnoteReference w:id="15"/>
      </w:r>
      <w:r w:rsidRPr="00252A6F">
        <w:rPr>
          <w:noProof/>
        </w:rPr>
        <w:t>. Pregled oblikovanja rezervacij za makrofinančno pomoč je načrtovan v letu 2024. Čeprav je makrofinančna pomoč po naravi krizni instrument, tveganja posojanja državi v vojni močno presegajo scenarije, predvidene ob sprejetju Instrumenta za sosedstvo ter razvojno in mednarodno sodelovanje – Globalna Evropa. Zato je treba na podlagi razpoložljive analize sprejeti prilagojene rešitve za reševanje perečih razmer.</w:t>
      </w:r>
    </w:p>
    <w:p w14:paraId="66EF4EBE" w14:textId="77777777" w:rsidR="00F152DC" w:rsidRPr="00252A6F" w:rsidRDefault="00F152DC" w:rsidP="00D045D9">
      <w:pPr>
        <w:pStyle w:val="ManualHeading2"/>
        <w:rPr>
          <w:rFonts w:eastAsia="Arial Unicode MS"/>
          <w:noProof/>
          <w:u w:color="000000"/>
          <w:bdr w:val="nil"/>
        </w:rPr>
      </w:pPr>
      <w:r w:rsidRPr="00252A6F">
        <w:rPr>
          <w:noProof/>
          <w:u w:color="000000"/>
          <w:bdr w:val="nil"/>
        </w:rPr>
        <w:t>•</w:t>
      </w:r>
      <w:r w:rsidRPr="00252A6F">
        <w:rPr>
          <w:noProof/>
        </w:rPr>
        <w:tab/>
      </w:r>
      <w:r w:rsidRPr="00252A6F">
        <w:rPr>
          <w:noProof/>
          <w:u w:color="000000"/>
          <w:bdr w:val="nil"/>
        </w:rPr>
        <w:t>Posvetovanja z deležniki</w:t>
      </w:r>
    </w:p>
    <w:p w14:paraId="05ACC244" w14:textId="77777777" w:rsidR="00D95034" w:rsidRPr="00252A6F" w:rsidRDefault="00D95034" w:rsidP="00D95034">
      <w:pPr>
        <w:rPr>
          <w:noProof/>
        </w:rPr>
      </w:pPr>
      <w:r w:rsidRPr="00252A6F">
        <w:rPr>
          <w:noProof/>
        </w:rPr>
        <w:t>Ta izredna makrofinančna pomoč je sestavni del mednarodne podpore Ukrajini. Službe Komisije so se pri pripravi tega predloga posvetovale z Mednarodnim denarnim skladom, Svetovno banko ter drugimi dvostranskimi (vključno z državami članicami) in večstranskimi donatorji z znatnim makrofinančnim strokovnim znanjem, tudi kar zadeva ukrajinsko gospodarstvo. Prav tako je bila Komisija redno v stiku z ukrajinskimi organi.</w:t>
      </w:r>
    </w:p>
    <w:p w14:paraId="4FA56C1D" w14:textId="77777777" w:rsidR="00F152DC" w:rsidRPr="00252A6F" w:rsidRDefault="00F152DC" w:rsidP="00D045D9">
      <w:pPr>
        <w:pStyle w:val="ManualHeading2"/>
        <w:rPr>
          <w:rFonts w:eastAsia="Arial Unicode MS"/>
          <w:noProof/>
          <w:bdr w:val="nil"/>
        </w:rPr>
      </w:pPr>
      <w:r w:rsidRPr="00252A6F">
        <w:rPr>
          <w:noProof/>
          <w:bdr w:val="nil"/>
        </w:rPr>
        <w:t>•</w:t>
      </w:r>
      <w:r w:rsidRPr="00252A6F">
        <w:rPr>
          <w:noProof/>
        </w:rPr>
        <w:tab/>
      </w:r>
      <w:r w:rsidRPr="00252A6F">
        <w:rPr>
          <w:noProof/>
          <w:bdr w:val="nil"/>
        </w:rPr>
        <w:t>Zbiranje in uporaba strokovnih mnenj</w:t>
      </w:r>
    </w:p>
    <w:p w14:paraId="18318455" w14:textId="77777777" w:rsidR="004D643E" w:rsidRPr="00252A6F" w:rsidRDefault="06749905" w:rsidP="003C45F0">
      <w:pPr>
        <w:rPr>
          <w:noProof/>
        </w:rPr>
      </w:pPr>
      <w:r w:rsidRPr="00252A6F">
        <w:rPr>
          <w:noProof/>
        </w:rPr>
        <w:t>Ta predlog služb Komisije temelji na natančni analizi finančnih potreb in splošnega makrofinančnega položaja Ukrajine, opravljeni v sodelovanju z Mednarodnim denarnim skladom in pristojnimi mednarodnimi institucijami. To vključuje redne razprave o najnovejših projekcijah potreb Ukrajine po financiranju v okviru mednarodnih forumov, npr. skupine G7.</w:t>
      </w:r>
    </w:p>
    <w:p w14:paraId="3EAE64A8" w14:textId="77777777" w:rsidR="004D643E" w:rsidRPr="00252A6F" w:rsidRDefault="004D643E" w:rsidP="003C45F0">
      <w:pPr>
        <w:rPr>
          <w:noProof/>
        </w:rPr>
      </w:pPr>
      <w:r w:rsidRPr="00252A6F">
        <w:rPr>
          <w:noProof/>
        </w:rPr>
        <w:t>Službe Komisije so prav tako razpravljale s kolegi iz oddelkov mednarodnih finančnih institucij za obvladovanje tveganj, ki so zelo izpostavljene Ukrajini. Namen razprav je bil razumeti, kako bodo navedene institucije oblikovale rezervacije za svojo izpostavljenost Ukrajini in jo obvladovale. Razprave so pokazale, v kolikšni meri je institucionalni pristop posamezne institucije odvisen od tega, kako je njena bilanca stanja izpostavljena izgubam na izpostavljenosti Ukrajini. Nekatere institucije imajo koristi od polnega ali delnega posrednega jamstva za svojo izpostavljenost ali imajo koristi od drugih oblik varoval (rezerve, ki jih ima Ukrajina pri Mednarodnem denarnem skladu). Ker je EU financirala makrofinančno pomoč v obliki posojil z vzajemnimi posojili, je v edinstvenem položaju, ker mora svojim vlagateljem v obveznice zagotoviti stalen in predvidljiv tok plačil v skladu s fiksnim in rednim časovnim razporedom, če upravičenci do posojil ne vplačujejo odplačil. Unija mora okrepiti skupni sklad za rezervacije z dodatnimi jamstvi držav članic, ki bi delovala kot varovalni mehanizem za izpostavljenost Ukrajini, da bi lahko v sedanjih okoliščinah zagotovila hitro in nadaljnjo izjemno obsežno makrofinančno pomoč posameznemu upravičencu, hkrati pa ohranila model za njeno financiranje.</w:t>
      </w:r>
    </w:p>
    <w:p w14:paraId="43584837" w14:textId="691E7828" w:rsidR="004D643E" w:rsidRPr="00252A6F" w:rsidRDefault="7C4EFAAB" w:rsidP="003C45F0">
      <w:pPr>
        <w:rPr>
          <w:noProof/>
        </w:rPr>
      </w:pPr>
      <w:r w:rsidRPr="00252A6F">
        <w:rPr>
          <w:noProof/>
        </w:rPr>
        <w:t>Službe Komisije bodo v skladu z zahtevami finančne uredbe med izvajanjem pomoči izvedle operativno oceno finančnih in upravnih tokov Ukrajine, da bi preverile, ali vzpostavljeni postopki za upravljanje pomoči iz programa, vključno z makrofinančno pomočjo, zagotavljajo ustrezna jamstva, pri čemer bodo upoštevane izredne razmere zaradi vojne agresije Rusije proti Ukrajini. Zaradi tega bo mogoče posodobiti prejšnjo oceno, v kateri je bilo ugotovljeno, da finančne ureditve in postopki v Ukrajini temeljijo in delujejo na trdnih načelih ter se zato štejejo za ustrezne za namene makrofinančne pomoči.</w:t>
      </w:r>
    </w:p>
    <w:p w14:paraId="2CD72EE3" w14:textId="77777777" w:rsidR="00F152DC" w:rsidRPr="00252A6F" w:rsidRDefault="00F152DC" w:rsidP="00D045D9">
      <w:pPr>
        <w:pStyle w:val="ManualHeading2"/>
        <w:rPr>
          <w:rFonts w:eastAsia="Arial Unicode MS"/>
          <w:noProof/>
          <w:u w:color="000000"/>
          <w:bdr w:val="nil"/>
        </w:rPr>
      </w:pPr>
      <w:r w:rsidRPr="00252A6F">
        <w:rPr>
          <w:noProof/>
          <w:u w:color="000000"/>
          <w:bdr w:val="nil"/>
        </w:rPr>
        <w:t>•</w:t>
      </w:r>
      <w:r w:rsidRPr="00252A6F">
        <w:rPr>
          <w:noProof/>
        </w:rPr>
        <w:tab/>
      </w:r>
      <w:r w:rsidRPr="00252A6F">
        <w:rPr>
          <w:noProof/>
          <w:u w:color="000000"/>
          <w:bdr w:val="nil"/>
        </w:rPr>
        <w:t>Ocena učinka</w:t>
      </w:r>
    </w:p>
    <w:p w14:paraId="52783777" w14:textId="56CD5186" w:rsidR="00D045D9" w:rsidRPr="00252A6F" w:rsidRDefault="00D045D9" w:rsidP="00D045D9">
      <w:pPr>
        <w:pBdr>
          <w:top w:val="nil"/>
          <w:left w:val="nil"/>
          <w:bottom w:val="nil"/>
          <w:right w:val="nil"/>
          <w:between w:val="nil"/>
          <w:bar w:val="nil"/>
        </w:pBdr>
        <w:spacing w:before="0" w:after="240"/>
        <w:rPr>
          <w:noProof/>
        </w:rPr>
      </w:pPr>
      <w:r w:rsidRPr="00252A6F">
        <w:rPr>
          <w:noProof/>
        </w:rPr>
        <w:t xml:space="preserve">Makrofinančna pomoč Unije je instrument za izredno pomoč, namenjen odpravljanju resnih težav s plačilno bilanco v tretjih državah. Na splošno predlogi Komisije za makrofinančno pomoč temeljijo na spoznanjih iz naknadnih ocen preteklih ukrepov v sosedstvu EU. Ta izredna makrofinančna pomoč bo pomagala ublažiti kratkoročne potrebe Ukrajine po financiranju v sedanjih izrednih razmerah. Namen zahtev glede poročanja in pogojev politike, s katerimi se pogojuje ta izredna makrofinančna pomoč, je </w:t>
      </w:r>
      <w:r w:rsidRPr="00252A6F">
        <w:rPr>
          <w:noProof/>
          <w:color w:val="000000" w:themeColor="text1"/>
        </w:rPr>
        <w:t>zagotoviti učinkovitost in preglednost podpore ter prevzemanje odgovornosti zanjo.</w:t>
      </w:r>
      <w:r w:rsidRPr="00252A6F">
        <w:rPr>
          <w:noProof/>
        </w:rPr>
        <w:t xml:space="preserve"> Ta izredna makrofinančna pomoč bi morala temeljiti na dosežkih šestih programov makrofinančne pomoči od leta 2015, vključno z najnovejšo nujno makrofinančno pomočjo zaradi COVID-19 in nujno makrofinančno pomočjo v začetku leta 2022. </w:t>
      </w:r>
    </w:p>
    <w:p w14:paraId="68F4BCE0" w14:textId="1DBD6C9B" w:rsidR="004D643E" w:rsidRPr="00252A6F" w:rsidRDefault="004D643E" w:rsidP="004D643E">
      <w:pPr>
        <w:pBdr>
          <w:top w:val="nil"/>
          <w:left w:val="nil"/>
          <w:bottom w:val="nil"/>
          <w:right w:val="nil"/>
          <w:between w:val="nil"/>
          <w:bar w:val="nil"/>
        </w:pBdr>
        <w:spacing w:before="0" w:after="240"/>
        <w:rPr>
          <w:rFonts w:eastAsia="Arial Unicode MS"/>
          <w:noProof/>
          <w:color w:val="000000" w:themeColor="text1"/>
        </w:rPr>
      </w:pPr>
      <w:r w:rsidRPr="00252A6F">
        <w:rPr>
          <w:noProof/>
        </w:rPr>
        <w:t xml:space="preserve">Za predlog ni potrebna ocena učinka, saj je makrofinančna pomoč edina razpoložljiva možnost politike za obravnavo tega vprašanja. Uporaba dodatnih jamstev sledi temeljiti oceni finančnih tveganj, ki izhajajo iz neporavnanih obveznosti. </w:t>
      </w:r>
    </w:p>
    <w:p w14:paraId="0FFEC5C1" w14:textId="77777777" w:rsidR="00F152DC" w:rsidRPr="00252A6F" w:rsidRDefault="00F152DC" w:rsidP="00D045D9">
      <w:pPr>
        <w:pStyle w:val="ManualHeading2"/>
        <w:rPr>
          <w:rFonts w:eastAsia="Arial Unicode MS"/>
          <w:noProof/>
          <w:u w:color="000000"/>
          <w:bdr w:val="nil"/>
        </w:rPr>
      </w:pPr>
      <w:r w:rsidRPr="00252A6F">
        <w:rPr>
          <w:noProof/>
          <w:u w:color="000000"/>
          <w:bdr w:val="nil"/>
        </w:rPr>
        <w:t>•</w:t>
      </w:r>
      <w:r w:rsidRPr="00252A6F">
        <w:rPr>
          <w:noProof/>
        </w:rPr>
        <w:tab/>
      </w:r>
      <w:r w:rsidRPr="00252A6F">
        <w:rPr>
          <w:noProof/>
          <w:u w:color="000000"/>
          <w:bdr w:val="nil"/>
        </w:rPr>
        <w:t>Primernost in poenostavitev ureditve</w:t>
      </w:r>
    </w:p>
    <w:p w14:paraId="3BF53190" w14:textId="77777777" w:rsidR="004D643E" w:rsidRPr="00252A6F" w:rsidRDefault="004D643E" w:rsidP="004D643E">
      <w:pPr>
        <w:pBdr>
          <w:top w:val="nil"/>
          <w:left w:val="nil"/>
          <w:bottom w:val="nil"/>
          <w:right w:val="nil"/>
          <w:between w:val="nil"/>
          <w:bar w:val="nil"/>
        </w:pBdr>
        <w:spacing w:before="0" w:after="240"/>
        <w:rPr>
          <w:rFonts w:eastAsia="Arial Unicode MS"/>
          <w:noProof/>
        </w:rPr>
      </w:pPr>
      <w:r w:rsidRPr="00252A6F">
        <w:rPr>
          <w:noProof/>
        </w:rPr>
        <w:t xml:space="preserve">Predlog ni povezan s primernostjo in poenostavitvijo ureditve. </w:t>
      </w:r>
    </w:p>
    <w:p w14:paraId="487B40D9" w14:textId="77777777" w:rsidR="00F152DC" w:rsidRPr="00252A6F" w:rsidRDefault="00F152DC" w:rsidP="00D045D9">
      <w:pPr>
        <w:pStyle w:val="ManualHeading2"/>
        <w:rPr>
          <w:rFonts w:eastAsia="Arial Unicode MS"/>
          <w:noProof/>
          <w:u w:color="000000"/>
          <w:bdr w:val="nil"/>
        </w:rPr>
      </w:pPr>
      <w:r w:rsidRPr="00252A6F">
        <w:rPr>
          <w:noProof/>
          <w:u w:color="000000"/>
          <w:bdr w:val="nil"/>
        </w:rPr>
        <w:t>•</w:t>
      </w:r>
      <w:r w:rsidRPr="00252A6F">
        <w:rPr>
          <w:noProof/>
        </w:rPr>
        <w:tab/>
      </w:r>
      <w:r w:rsidRPr="00252A6F">
        <w:rPr>
          <w:noProof/>
          <w:u w:color="000000"/>
          <w:bdr w:val="nil"/>
        </w:rPr>
        <w:t>Temeljne pravice</w:t>
      </w:r>
    </w:p>
    <w:p w14:paraId="3B738F03" w14:textId="77777777" w:rsidR="00D045D9" w:rsidRPr="00252A6F" w:rsidRDefault="00D045D9" w:rsidP="00D045D9">
      <w:pPr>
        <w:pBdr>
          <w:top w:val="nil"/>
          <w:left w:val="nil"/>
          <w:bottom w:val="nil"/>
          <w:right w:val="nil"/>
          <w:between w:val="nil"/>
          <w:bar w:val="nil"/>
        </w:pBdr>
        <w:spacing w:before="0" w:after="240"/>
        <w:rPr>
          <w:noProof/>
        </w:rPr>
      </w:pPr>
      <w:r w:rsidRPr="00252A6F">
        <w:rPr>
          <w:noProof/>
        </w:rPr>
        <w:t xml:space="preserve">Države, zajete v evropski sosedski politiki, so upravičene do makrofinančne pomoči. Pogoj za dodelitev makrofinančne pomoči je, da država upravičenka spoštuje učinkovite demokratične mehanizme, vključno z večstrankarskim parlamentarnim sistemom in pravno državo, ter zagotavlja spoštovanje človekovih pravic. </w:t>
      </w:r>
    </w:p>
    <w:p w14:paraId="5B42392F" w14:textId="77777777" w:rsidR="004D643E" w:rsidRPr="00252A6F" w:rsidRDefault="4AE0E69C" w:rsidP="4E7789BD">
      <w:pPr>
        <w:pBdr>
          <w:top w:val="nil"/>
          <w:left w:val="nil"/>
          <w:bottom w:val="nil"/>
          <w:right w:val="nil"/>
          <w:between w:val="nil"/>
          <w:bar w:val="nil"/>
        </w:pBdr>
        <w:spacing w:before="0" w:after="240"/>
        <w:rPr>
          <w:noProof/>
        </w:rPr>
      </w:pPr>
      <w:r w:rsidRPr="00252A6F">
        <w:rPr>
          <w:noProof/>
        </w:rPr>
        <w:t>Obnovljena zaveza ukrajinskih organov k reformam in njihova močna politična volja, ki sta razvidni zlasti iz uspešnega izpolnjevanja pogojev strukturne politike, ki so spremljali izredni program makrofinančne pomoči Ukrajini v zvezi s COVID-19, na ključnih področjih, vključno s sodstvom, dobrim upravljanjem, pravno državo in bojem proti korupciji, sta jasen pozitiven znak. Prav tako prizadevanja za podporo njihovi prošnji za članstvo v EU, zlasti z zagotavljanjem podrobnih odgovorov na dva zelo celovita in podrobna vprašalnika, jasno kažejo pripravljenost oblasti, da sledijo evropskim težnjam Ukrajine in jih uresničijo. Ukrajinske oblasti so od začetka ruske agresije pokazale izjemno stopnjo odpornosti in ostajajo zavezane, da bodo te reforme izvajale pregledno in v skladu s standardi EU. Zato se šteje, da je politični pogoj za ukrep makrofinančne pomoči v tem trenutku izpolnjen.</w:t>
      </w:r>
    </w:p>
    <w:p w14:paraId="1698AAC6" w14:textId="77777777" w:rsidR="00F152DC" w:rsidRPr="00252A6F" w:rsidRDefault="00F152DC" w:rsidP="00D045D9">
      <w:pPr>
        <w:pStyle w:val="ManualHeading1"/>
        <w:rPr>
          <w:noProof/>
        </w:rPr>
      </w:pPr>
      <w:r w:rsidRPr="00252A6F">
        <w:rPr>
          <w:noProof/>
        </w:rPr>
        <w:t>4.</w:t>
      </w:r>
      <w:r w:rsidRPr="00252A6F">
        <w:rPr>
          <w:noProof/>
        </w:rPr>
        <w:tab/>
        <w:t>PRORAČUNSKE POSLEDICE</w:t>
      </w:r>
    </w:p>
    <w:p w14:paraId="79DC3A94" w14:textId="77777777" w:rsidR="45FEAB70" w:rsidRPr="00252A6F" w:rsidRDefault="45FEAB70" w:rsidP="017598B8">
      <w:pPr>
        <w:rPr>
          <w:rFonts w:eastAsia="Times New Roman"/>
          <w:noProof/>
        </w:rPr>
      </w:pPr>
      <w:r w:rsidRPr="00252A6F">
        <w:rPr>
          <w:noProof/>
        </w:rPr>
        <w:t xml:space="preserve">Sredstva za to izredno makrofinančno pomoč Ukrajini v višini 5 milijard EUR se bodo izposodila na kapitalskih trgih in posodila Ukrajini. To bo dopolnilo izredno makrofinančno pomoč Ukrajini v višini 1 milijarde EUR, dodeljeno na podlagi Sklepa (EU) 2022/1201. </w:t>
      </w:r>
    </w:p>
    <w:p w14:paraId="10C03901" w14:textId="1403E860" w:rsidR="00860E34" w:rsidRPr="00252A6F" w:rsidRDefault="425546C6">
      <w:pPr>
        <w:pBdr>
          <w:top w:val="nil"/>
          <w:left w:val="nil"/>
          <w:bottom w:val="nil"/>
          <w:right w:val="nil"/>
          <w:between w:val="nil"/>
          <w:bar w:val="nil"/>
        </w:pBdr>
        <w:spacing w:before="0" w:after="240"/>
        <w:rPr>
          <w:noProof/>
        </w:rPr>
      </w:pPr>
      <w:r w:rsidRPr="00252A6F">
        <w:rPr>
          <w:noProof/>
        </w:rPr>
        <w:t>Da bi se zaščitil proračun Unije, bi morali biti obe posojili v obliki izredne makrofinančne pomoči Ukrajini v skupnem znesku do 6 milijard EUR upravičeni do 70-odstotnega kritja prek vplačanih rezervacij v višini 9 % in 61-odstotnega unovčljivega jamstva držav članic. Zahtevano oblikovanje vplačanih rezervacij (v višini 9 % jamstva za zunanje delovanje) bo namenjeno v okviru Instrumenta za sosedstvo ter razvojno in mednarodno sodelovanje – Globalna Evropa, in sicer v skupni višini 540 milijonov EUR (proračunska postavka 14 02 01 70 „Instrument NDICI – Globalna Evropa – Oblikovanje rezervacij za skupni sklad za rezervacije“). Vendar so možnosti za uporabo proračunskih sredstev za te dodatne rezervacije v višini nad 9 % v okviru sedanjih zgornjih mej večletnega finančnega okvira omejene. Za zagotovitev nadaljnje makrofinančne pomoči Ukrajini v obliki posojil ob dobrem upravljanju proračuna in brez motenj pri izvajanju večletnega finančnega okvira 2021–2027 je treba uporabiti jamstva držav članic. Zato se predlaga, da države članice zagotovijo jamstva za nadaljnjih 61 % vrednosti predlaganih posojil v višini 6 milijard EUR.</w:t>
      </w:r>
    </w:p>
    <w:p w14:paraId="39578AF2" w14:textId="77777777" w:rsidR="005A3BBB" w:rsidRPr="00252A6F" w:rsidRDefault="005A3BBB" w:rsidP="005A3BBB">
      <w:pPr>
        <w:pBdr>
          <w:top w:val="nil"/>
          <w:left w:val="nil"/>
          <w:bottom w:val="nil"/>
          <w:right w:val="nil"/>
          <w:between w:val="nil"/>
          <w:bar w:val="nil"/>
        </w:pBdr>
        <w:spacing w:before="0" w:after="240"/>
        <w:rPr>
          <w:noProof/>
        </w:rPr>
      </w:pPr>
      <w:r w:rsidRPr="00252A6F">
        <w:rPr>
          <w:noProof/>
        </w:rPr>
        <w:t xml:space="preserve">Skupno kritje bi bilo tako upravičeno do zaščite pred prvo izgubo z vplačanimi rezervacijami v višini 9 % od 6 milijard EUR, ki bi mu sledila dopolnilna jamstva držav članic, ki bi krila izpostavljenosti v znesku do 3,66 milijarde EUR oziroma 61 % posojila iz naslova makrofinančne pomoči v višini 6 milijard EUR, v skladu z veljavno zakonodajo pa bi se vsi preostali zneski krili iz proračuna Unije kot pogojna obveznost. </w:t>
      </w:r>
    </w:p>
    <w:p w14:paraId="6E7A2680" w14:textId="77777777" w:rsidR="00E34702" w:rsidRPr="00252A6F" w:rsidRDefault="0D4F464F" w:rsidP="00E34702">
      <w:pPr>
        <w:pBdr>
          <w:top w:val="nil"/>
          <w:left w:val="nil"/>
          <w:bottom w:val="nil"/>
          <w:right w:val="nil"/>
          <w:between w:val="nil"/>
          <w:bar w:val="nil"/>
        </w:pBdr>
        <w:spacing w:before="0" w:after="240"/>
        <w:rPr>
          <w:noProof/>
        </w:rPr>
      </w:pPr>
      <w:r w:rsidRPr="00252A6F">
        <w:rPr>
          <w:noProof/>
        </w:rPr>
        <w:t>Izredna makrofinančna pomoč Ukrajini na podlagi tega sklepa bo urejena neposredno ob začetku veljavnosti tega sklepa in brez čakanja na prejem zahtevanih nacionalnih jamstev.</w:t>
      </w:r>
    </w:p>
    <w:p w14:paraId="5F23EC5E" w14:textId="309D30E8" w:rsidR="00B6005E" w:rsidRPr="00252A6F" w:rsidRDefault="00B6005E" w:rsidP="00B6005E">
      <w:pPr>
        <w:pBdr>
          <w:top w:val="nil"/>
          <w:left w:val="nil"/>
          <w:bottom w:val="nil"/>
          <w:right w:val="nil"/>
          <w:between w:val="nil"/>
          <w:bar w:val="nil"/>
        </w:pBdr>
        <w:spacing w:before="0" w:after="240"/>
        <w:rPr>
          <w:noProof/>
        </w:rPr>
      </w:pPr>
      <w:r w:rsidRPr="00252A6F">
        <w:rPr>
          <w:noProof/>
        </w:rPr>
        <w:t xml:space="preserve">Glede na to, da je treba v letu 2022 nujno urediti posojila za Ukrajino, bo EU posojila uredila, preden bodo zagotovljena jamstva držav članic. Pretekle izkušnje so pokazale, da lahko številne države članice jamstva zagotovijo v dveh do treh mesecih, vendar lahko do prejetja celotnega sklopa jamstev mine štiri do pet mesecev. Zaradi izjemne nujnosti ukrajinskih potreb po financiranju ni mogoče čakati tako dolgo. Komisija zaradi teh izrednih razmer izjemoma predvideva, da se bodo posojila uredila hkrati z jamstvi. </w:t>
      </w:r>
    </w:p>
    <w:p w14:paraId="002FB356" w14:textId="77777777" w:rsidR="00B6005E" w:rsidRPr="00252A6F" w:rsidRDefault="00B6005E" w:rsidP="00B6005E">
      <w:pPr>
        <w:pBdr>
          <w:top w:val="nil"/>
          <w:left w:val="nil"/>
          <w:bottom w:val="nil"/>
          <w:right w:val="nil"/>
          <w:between w:val="nil"/>
          <w:bar w:val="nil"/>
        </w:pBdr>
        <w:spacing w:before="0" w:after="240"/>
        <w:rPr>
          <w:noProof/>
        </w:rPr>
      </w:pPr>
      <w:r w:rsidRPr="00252A6F">
        <w:rPr>
          <w:noProof/>
        </w:rPr>
        <w:t>V tem vmesnem obdobju vlagatelji v obveznice EU ne bodo izpostavljeni tveganju neplačila s strani EU v kratkem obdobju pred prejemom vseh jamstev, saj je bil ta sveženj posojil oblikovan na drugačen način. V vmesnem obdobju (4–5 mesecev) pred pričakovanim prejemom vseh jamstev namreč ne bodo zapadli nobeni plačilni dogodki. Če bi teoretično do neplačila prišlo v obdobju pred prejemom vseh jamstev, bi lahko Evropska komisija uporabila rezervacije, oblikovane za makrofinančno pomoč v obliki posojil, in po potrebi druge rezervacije iz skupnega sklada EU za rezervacije.</w:t>
      </w:r>
    </w:p>
    <w:p w14:paraId="40FF8DE9" w14:textId="69469BB1" w:rsidR="00E34702" w:rsidRPr="00252A6F" w:rsidRDefault="4272D6CE" w:rsidP="22327288">
      <w:pPr>
        <w:pBdr>
          <w:top w:val="nil"/>
          <w:left w:val="nil"/>
          <w:bottom w:val="nil"/>
          <w:right w:val="nil"/>
          <w:between w:val="nil"/>
          <w:bar w:val="nil"/>
        </w:pBdr>
        <w:spacing w:before="0" w:after="240"/>
        <w:rPr>
          <w:noProof/>
        </w:rPr>
      </w:pPr>
      <w:r w:rsidRPr="00252A6F">
        <w:rPr>
          <w:noProof/>
        </w:rPr>
        <w:t xml:space="preserve">Države članice bi morale čim prej dokončati svoje nacionalne postopke za začetek veljavnosti jamstev. </w:t>
      </w:r>
    </w:p>
    <w:p w14:paraId="763701CC" w14:textId="196A0F19" w:rsidR="007271EB" w:rsidRPr="00252A6F" w:rsidRDefault="70243B41" w:rsidP="007271EB">
      <w:pPr>
        <w:pBdr>
          <w:top w:val="nil"/>
          <w:left w:val="nil"/>
          <w:bottom w:val="nil"/>
          <w:right w:val="nil"/>
          <w:between w:val="nil"/>
          <w:bar w:val="nil"/>
        </w:pBdr>
        <w:spacing w:before="0" w:after="240"/>
        <w:rPr>
          <w:rFonts w:eastAsia="Arial Unicode MS"/>
          <w:noProof/>
        </w:rPr>
      </w:pPr>
      <w:r w:rsidRPr="00252A6F">
        <w:rPr>
          <w:noProof/>
        </w:rPr>
        <w:t xml:space="preserve"> Jamstva bi zajemala zneske, ki presegajo prvotno vplačane rezervacije v višini 9 % zneska posojila na podlagi tega sklepa in Sklepa (EU) 2022/1201, ki bi bile zagotovljene iz večletnega finančnega okvira, kot je predvideno v členu 31(5) uredbe o Instrumentu za sosedstvo ter razvojno in mednarodno sodelovanje – Globalna Evropa in finančnem načrtovanju. Unovčitve bodo omejene na primere, ko Ukrajina ne bo plačala posojila na podlagi tega sklepa in Sklepa (EU) 2022/1201, v prvi vrsti pa se bodo uporabile za izpolnitev obveznosti Unije in po potrebi za dopolnitev namenskega oddelka za Ukrajino v skupnem skladu za rezervacije. Takšni prispevki bi se upoštevali pri izračunu rezervacij, ki izhajajo iz stopnje rezervacij iz člena 211(1) finančne uredbe, z odstopanjem od drugega pododstavka člena 211(4) finančne uredbe. </w:t>
      </w:r>
    </w:p>
    <w:p w14:paraId="374CDC95" w14:textId="77777777" w:rsidR="007271EB" w:rsidRPr="00252A6F" w:rsidRDefault="007271EB" w:rsidP="005A3BBB">
      <w:pPr>
        <w:pBdr>
          <w:top w:val="nil"/>
          <w:left w:val="nil"/>
          <w:bottom w:val="nil"/>
          <w:right w:val="nil"/>
          <w:between w:val="nil"/>
          <w:bar w:val="nil"/>
        </w:pBdr>
        <w:spacing w:before="0" w:after="240"/>
        <w:rPr>
          <w:noProof/>
        </w:rPr>
      </w:pPr>
      <w:r w:rsidRPr="00252A6F">
        <w:rPr>
          <w:noProof/>
        </w:rPr>
        <w:t>Zneski, v katerih bi se unovčila jamstva držav članic, bi pomenili zunanje namenske prejemke v smislu člena 21(2), točka (a)(ii), finančne uredbe za zagotavljanje prispevkov držav članic za rezervacije za makrofinančno pomoč, ki je program zunanje pomoči, za katerega je zagotovljeno jamstvo na podlagi Instrumenta za sosedstvo ter razvojno in mednarodno sodelovanje – Globalna Evropa.</w:t>
      </w:r>
    </w:p>
    <w:p w14:paraId="1AB70225" w14:textId="77777777" w:rsidR="004D643E" w:rsidRPr="00252A6F" w:rsidRDefault="64C48C7E" w:rsidP="005A3BBB">
      <w:pPr>
        <w:pBdr>
          <w:top w:val="nil"/>
          <w:left w:val="nil"/>
          <w:bottom w:val="nil"/>
          <w:right w:val="nil"/>
          <w:between w:val="nil"/>
          <w:bar w:val="nil"/>
        </w:pBdr>
        <w:spacing w:before="0" w:after="240"/>
        <w:rPr>
          <w:noProof/>
        </w:rPr>
      </w:pPr>
      <w:r w:rsidRPr="00252A6F">
        <w:rPr>
          <w:noProof/>
        </w:rPr>
        <w:t>Glede na izjemno naravo makrofinančne pomoči, podprte z jamstvi, je primerno, da se finančna obveznost iz naslova makrofinančne pomoči na podlagi tega sklepa in Sklepa (EU) 2022/1201 krije ločeno od drugih finančnih obveznosti v okviru jamstva za zunanje delovanje. Zlasti je primerno, da se rezervacije, oblikovane v skupnem skladu za rezervacije za to makrofinančno pomoč, uporabijo izključno za finančne obveznosti, ki jih zajema ta sklep, namesto splošnega pravila iz člena 31(6) uredbe o Instrumentu za sosedstvo ter razvojno in mednarodno sodelovanje – Globalna Evropa.</w:t>
      </w:r>
    </w:p>
    <w:p w14:paraId="040FB470" w14:textId="543AE6CB" w:rsidR="00F71640" w:rsidRPr="00252A6F" w:rsidRDefault="26C1F87D" w:rsidP="07D623CA">
      <w:pPr>
        <w:pBdr>
          <w:top w:val="nil"/>
          <w:left w:val="nil"/>
          <w:bottom w:val="nil"/>
          <w:right w:val="nil"/>
          <w:between w:val="nil"/>
          <w:bar w:val="nil"/>
        </w:pBdr>
        <w:spacing w:before="0" w:after="240"/>
        <w:rPr>
          <w:rFonts w:eastAsia="Times New Roman"/>
          <w:noProof/>
        </w:rPr>
      </w:pPr>
      <w:r w:rsidRPr="00252A6F">
        <w:rPr>
          <w:noProof/>
        </w:rPr>
        <w:t xml:space="preserve">Enaka tveganja veljajo za posojila v okviru zunanjega mandata EIB, ki jih je EIB izplačala ali jih bo izplačala po 15. juliju 2022. Ta predlog zato predvideva razširitev 70-odstotne stopnje rezervacij na ta posojila ob uporabi pravil o oblikovanju rezervacij iz finančne uredbe in ne pravil Jamstvenega sklada za zunanje ukrepe ter določa, da bi bilo treba rezervacije ohraniti v ločenem oddelku skupnega sklada za rezervacije. </w:t>
      </w:r>
    </w:p>
    <w:p w14:paraId="79D9F9E3" w14:textId="77293CD5" w:rsidR="00CD6872" w:rsidRPr="00252A6F" w:rsidRDefault="0F7C5A77" w:rsidP="07D623CA">
      <w:pPr>
        <w:pBdr>
          <w:top w:val="nil"/>
          <w:left w:val="nil"/>
          <w:bottom w:val="nil"/>
          <w:right w:val="nil"/>
          <w:between w:val="nil"/>
          <w:bar w:val="nil"/>
        </w:pBdr>
        <w:spacing w:before="0" w:after="240"/>
        <w:rPr>
          <w:rFonts w:eastAsia="Arial Unicode MS"/>
          <w:noProof/>
        </w:rPr>
      </w:pPr>
      <w:r w:rsidRPr="00252A6F">
        <w:rPr>
          <w:noProof/>
        </w:rPr>
        <w:t>Poleg tega bi bilo treba zagotoviti subvencijo obrestne mere, kot je opisano spodaj, ki bi se morala kriti iz sredstev iz člena 6(2), točka (a), prva alinea, Instrumenta za sosedstvo ter razvojno in mednarodno sodelovanje – Globalna Evropa v obdobju večletnega finančnega okvira 2021–2027. Upravni stroški, povezani z najemanjem in dajanjem posojil, bi se opustili in se torej ne bi izterjali od Ukrajine. Krili se bodo v okviru ustreznih upravnih proračunskih vrstic.</w:t>
      </w:r>
    </w:p>
    <w:p w14:paraId="3A547F5D" w14:textId="77777777" w:rsidR="00F152DC" w:rsidRPr="00252A6F" w:rsidRDefault="00F152DC" w:rsidP="00D045D9">
      <w:pPr>
        <w:pStyle w:val="ManualHeading1"/>
        <w:rPr>
          <w:noProof/>
        </w:rPr>
      </w:pPr>
      <w:r w:rsidRPr="00252A6F">
        <w:rPr>
          <w:noProof/>
        </w:rPr>
        <w:t>5.</w:t>
      </w:r>
      <w:r w:rsidRPr="00252A6F">
        <w:rPr>
          <w:noProof/>
        </w:rPr>
        <w:tab/>
        <w:t>DRUGI ELEMENTI</w:t>
      </w:r>
    </w:p>
    <w:p w14:paraId="56A6DD0A" w14:textId="77777777" w:rsidR="00F152DC" w:rsidRPr="00252A6F" w:rsidRDefault="00F152DC" w:rsidP="00D045D9">
      <w:pPr>
        <w:pStyle w:val="ManualHeading2"/>
        <w:rPr>
          <w:rFonts w:eastAsia="Arial Unicode MS"/>
          <w:noProof/>
          <w:u w:color="000000"/>
          <w:bdr w:val="nil"/>
        </w:rPr>
      </w:pPr>
      <w:r w:rsidRPr="00252A6F">
        <w:rPr>
          <w:noProof/>
          <w:u w:color="000000"/>
          <w:bdr w:val="nil"/>
        </w:rPr>
        <w:t>•</w:t>
      </w:r>
      <w:r w:rsidRPr="00252A6F">
        <w:rPr>
          <w:noProof/>
        </w:rPr>
        <w:tab/>
      </w:r>
      <w:r w:rsidRPr="00252A6F">
        <w:rPr>
          <w:noProof/>
          <w:u w:color="000000"/>
          <w:bdr w:val="nil"/>
        </w:rPr>
        <w:t>Načrti za izvedbo ter ureditev spremljanja, ocenjevanja in poročanja</w:t>
      </w:r>
    </w:p>
    <w:p w14:paraId="5A7AA2B2" w14:textId="77777777" w:rsidR="00D422FE" w:rsidRPr="00252A6F" w:rsidRDefault="00E87BDC" w:rsidP="00EB03A9">
      <w:pPr>
        <w:rPr>
          <w:noProof/>
        </w:rPr>
      </w:pPr>
      <w:r w:rsidRPr="00252A6F">
        <w:rPr>
          <w:noProof/>
        </w:rPr>
        <w:t>Evropska unija da Ukrajini na voljo to izredno makrofinančno pomoč v skupnem znesku 5 milijard EUR v obliki dolgoročnih posojil. Ta pomoč, za katero se načrtuje izplačilo v več obrokih, bo prispevala k zapolnitvi preostale vrzeli v zunanjem financiranju Ukrajine v letu 2022. Prvi obrok bo plačan po odobritvi tega predloga in začetku veljavnosti ustreznega memoranduma o soglasju ter takoj, ko bodo države članice soglasno izrazile, da bodo čim prej zaključile svoje nacionalne postopke za predložitev nacionalnih jamstev.</w:t>
      </w:r>
    </w:p>
    <w:p w14:paraId="2DC06D3E" w14:textId="77777777" w:rsidR="00E87BDC" w:rsidRPr="00252A6F" w:rsidRDefault="4149ED77" w:rsidP="003C45F0">
      <w:pPr>
        <w:rPr>
          <w:noProof/>
        </w:rPr>
      </w:pPr>
      <w:r w:rsidRPr="00252A6F">
        <w:rPr>
          <w:noProof/>
        </w:rPr>
        <w:t>Izplačilo bi bilo nadalje pogojeno z izvajanjem zahtev glede poročanja, dogovorjenih v memorandumu o soglasju. Komisija bo tesno sodelovala z mednarodnimi finančnimi institucijami in nacionalnimi organi, da bi spremljala razvoj zadevnih dogodkov ter uporabo zahtev in pogojev, dogovorjenih v memorandumu o soglasju.</w:t>
      </w:r>
    </w:p>
    <w:p w14:paraId="0920E093" w14:textId="3EE02D76" w:rsidR="00E87BDC" w:rsidRPr="00252A6F" w:rsidRDefault="3BB2F731" w:rsidP="00E87BDC">
      <w:pPr>
        <w:pBdr>
          <w:top w:val="nil"/>
          <w:left w:val="nil"/>
          <w:bottom w:val="nil"/>
          <w:right w:val="nil"/>
          <w:between w:val="nil"/>
          <w:bar w:val="nil"/>
        </w:pBdr>
        <w:spacing w:before="0" w:after="240"/>
        <w:rPr>
          <w:noProof/>
        </w:rPr>
      </w:pPr>
      <w:r w:rsidRPr="00252A6F">
        <w:rPr>
          <w:noProof/>
        </w:rPr>
        <w:t xml:space="preserve">Pomoč bo upravljala Komisija. Uporabljajo se posebne določbe o preprečevanju goljufij in drugih nepravilnosti, ki so v skladu s finančno uredbo. </w:t>
      </w:r>
    </w:p>
    <w:p w14:paraId="4D542897" w14:textId="77777777" w:rsidR="00F152DC" w:rsidRPr="00252A6F" w:rsidRDefault="00F152DC" w:rsidP="00D045D9">
      <w:pPr>
        <w:pStyle w:val="ManualHeading2"/>
        <w:rPr>
          <w:rFonts w:eastAsia="Arial Unicode MS"/>
          <w:noProof/>
          <w:u w:color="000000"/>
          <w:bdr w:val="nil"/>
        </w:rPr>
      </w:pPr>
      <w:r w:rsidRPr="00252A6F">
        <w:rPr>
          <w:noProof/>
          <w:u w:color="000000"/>
          <w:bdr w:val="nil"/>
        </w:rPr>
        <w:t>•</w:t>
      </w:r>
      <w:r w:rsidRPr="00252A6F">
        <w:rPr>
          <w:noProof/>
        </w:rPr>
        <w:tab/>
      </w:r>
      <w:r w:rsidRPr="00252A6F">
        <w:rPr>
          <w:noProof/>
          <w:u w:color="000000"/>
          <w:bdr w:val="nil"/>
        </w:rPr>
        <w:t>Obrazložitveni dokumenti (za direktive)</w:t>
      </w:r>
    </w:p>
    <w:p w14:paraId="30A603BF" w14:textId="77777777" w:rsidR="004D643E" w:rsidRPr="00252A6F" w:rsidRDefault="004D643E" w:rsidP="004D643E">
      <w:pPr>
        <w:pBdr>
          <w:top w:val="nil"/>
          <w:left w:val="nil"/>
          <w:bottom w:val="nil"/>
          <w:right w:val="nil"/>
          <w:between w:val="nil"/>
          <w:bar w:val="nil"/>
        </w:pBdr>
        <w:spacing w:before="0" w:after="240"/>
        <w:rPr>
          <w:rFonts w:eastAsia="Arial Unicode MS"/>
          <w:noProof/>
        </w:rPr>
      </w:pPr>
      <w:r w:rsidRPr="00252A6F">
        <w:rPr>
          <w:noProof/>
        </w:rPr>
        <w:t xml:space="preserve">Ni relevantno </w:t>
      </w:r>
    </w:p>
    <w:p w14:paraId="6BEA7686" w14:textId="77777777" w:rsidR="00F152DC" w:rsidRPr="00252A6F" w:rsidRDefault="00F152DC" w:rsidP="00D045D9">
      <w:pPr>
        <w:pStyle w:val="ManualHeading2"/>
        <w:rPr>
          <w:rFonts w:eastAsia="Arial Unicode MS"/>
          <w:noProof/>
          <w:u w:color="000000"/>
          <w:bdr w:val="nil"/>
        </w:rPr>
      </w:pPr>
      <w:r w:rsidRPr="00252A6F">
        <w:rPr>
          <w:noProof/>
          <w:u w:color="000000"/>
          <w:bdr w:val="nil"/>
        </w:rPr>
        <w:t>•</w:t>
      </w:r>
      <w:r w:rsidRPr="00252A6F">
        <w:rPr>
          <w:noProof/>
        </w:rPr>
        <w:tab/>
      </w:r>
      <w:r w:rsidRPr="00252A6F">
        <w:rPr>
          <w:noProof/>
          <w:u w:color="000000"/>
          <w:bdr w:val="nil"/>
        </w:rPr>
        <w:t>Natančnejša pojasnitev posameznih določb predloga</w:t>
      </w:r>
    </w:p>
    <w:p w14:paraId="1CD1DF1A" w14:textId="77777777" w:rsidR="001F3B66" w:rsidRPr="00252A6F" w:rsidRDefault="001F3B66" w:rsidP="4E7789BD">
      <w:pPr>
        <w:pBdr>
          <w:top w:val="nil"/>
          <w:left w:val="nil"/>
          <w:bottom w:val="nil"/>
          <w:right w:val="nil"/>
          <w:between w:val="nil"/>
          <w:bar w:val="nil"/>
        </w:pBdr>
        <w:spacing w:before="0" w:after="240"/>
        <w:rPr>
          <w:noProof/>
        </w:rPr>
      </w:pPr>
      <w:r w:rsidRPr="00252A6F">
        <w:rPr>
          <w:noProof/>
        </w:rPr>
        <w:t>Sklep bo zagotovil tudi okvir za jamstva držav članic za kritje izgub, ki presegajo oblikovane rezervacije, ki so že bile vplačane v skupni sklad za rezervacije ali predvidene v finančnem načrtovanju večletnega finančnega okvira za obdobje 2021–2027.</w:t>
      </w:r>
    </w:p>
    <w:p w14:paraId="3A68BBFE" w14:textId="77777777" w:rsidR="001F3B66" w:rsidRPr="00252A6F" w:rsidRDefault="60BE7756" w:rsidP="4E7789BD">
      <w:pPr>
        <w:pBdr>
          <w:top w:val="nil"/>
          <w:left w:val="nil"/>
          <w:bottom w:val="nil"/>
          <w:right w:val="nil"/>
          <w:between w:val="nil"/>
          <w:bar w:val="nil"/>
        </w:pBdr>
        <w:spacing w:before="0" w:after="240"/>
        <w:rPr>
          <w:noProof/>
        </w:rPr>
      </w:pPr>
      <w:r w:rsidRPr="00252A6F">
        <w:rPr>
          <w:noProof/>
        </w:rPr>
        <w:t>V členu 1 so opredeljene glavne značilnosti te izredne makrofinančne pomoči.</w:t>
      </w:r>
    </w:p>
    <w:p w14:paraId="5F00C70E" w14:textId="77777777" w:rsidR="001F3B66" w:rsidRPr="00252A6F" w:rsidRDefault="60BE7756" w:rsidP="4E7789BD">
      <w:pPr>
        <w:pBdr>
          <w:top w:val="nil"/>
          <w:left w:val="nil"/>
          <w:bottom w:val="nil"/>
          <w:right w:val="nil"/>
          <w:between w:val="nil"/>
          <w:bar w:val="nil"/>
        </w:pBdr>
        <w:spacing w:before="0" w:after="240"/>
        <w:rPr>
          <w:noProof/>
        </w:rPr>
      </w:pPr>
      <w:r w:rsidRPr="00252A6F">
        <w:rPr>
          <w:noProof/>
        </w:rPr>
        <w:t xml:space="preserve">V členu 2 je določena skladnost s političnimi predpogoji, potrebnimi za izplačilo makrofinančne pomoči.  </w:t>
      </w:r>
    </w:p>
    <w:p w14:paraId="3BE13E60" w14:textId="77777777" w:rsidR="001F3B66" w:rsidRPr="00252A6F" w:rsidRDefault="60BE7756" w:rsidP="60BE7756">
      <w:pPr>
        <w:pBdr>
          <w:top w:val="nil"/>
          <w:left w:val="nil"/>
          <w:bottom w:val="nil"/>
          <w:right w:val="nil"/>
          <w:between w:val="nil"/>
          <w:bar w:val="nil"/>
        </w:pBdr>
        <w:spacing w:before="0" w:after="240"/>
        <w:rPr>
          <w:noProof/>
        </w:rPr>
      </w:pPr>
      <w:r w:rsidRPr="00252A6F">
        <w:rPr>
          <w:noProof/>
        </w:rPr>
        <w:t xml:space="preserve">V členu 3 so določene jasno opredeljene zahteve glede poročanja in spremljanja ter pogoji politike, s katerimi se pogojuje ta izredna makrofinančna pomoč Unije. Te zahteve in pogoji se določijo v memorandumu o soglasju. </w:t>
      </w:r>
    </w:p>
    <w:p w14:paraId="4B22BDFE" w14:textId="77777777" w:rsidR="001F3B66" w:rsidRPr="00252A6F" w:rsidRDefault="5DE57DE7" w:rsidP="736EBCC3">
      <w:pPr>
        <w:pBdr>
          <w:top w:val="nil"/>
          <w:left w:val="nil"/>
          <w:bottom w:val="nil"/>
          <w:right w:val="nil"/>
          <w:between w:val="nil"/>
          <w:bar w:val="nil"/>
        </w:pBdr>
        <w:spacing w:before="0" w:after="240"/>
        <w:rPr>
          <w:noProof/>
        </w:rPr>
      </w:pPr>
      <w:r w:rsidRPr="00252A6F">
        <w:rPr>
          <w:noProof/>
        </w:rPr>
        <w:t xml:space="preserve">V členu 4 so določeni pogoji, potrebni za izplačilo te izredne makrofinančne pomoči v več obrokih. Časovni okvir in pogoji za izplačilo posameznega obroka se določijo v memorandumu o soglasju.   </w:t>
      </w:r>
    </w:p>
    <w:p w14:paraId="0EDFA04E" w14:textId="77777777" w:rsidR="001F3B66" w:rsidRPr="00252A6F" w:rsidRDefault="60BE7756" w:rsidP="4E7789BD">
      <w:pPr>
        <w:pBdr>
          <w:top w:val="nil"/>
          <w:left w:val="nil"/>
          <w:bottom w:val="nil"/>
          <w:right w:val="nil"/>
          <w:between w:val="nil"/>
          <w:bar w:val="nil"/>
        </w:pBdr>
        <w:spacing w:before="0" w:after="240" w:line="257" w:lineRule="auto"/>
        <w:rPr>
          <w:noProof/>
        </w:rPr>
      </w:pPr>
      <w:r w:rsidRPr="00252A6F">
        <w:rPr>
          <w:noProof/>
        </w:rPr>
        <w:t>V členu 5 so predstavljena pravila za najemanje in dajanje posojil.</w:t>
      </w:r>
    </w:p>
    <w:p w14:paraId="34157A72" w14:textId="77777777" w:rsidR="001F3B66" w:rsidRPr="00252A6F" w:rsidRDefault="60BE7756" w:rsidP="4E7789BD">
      <w:pPr>
        <w:pBdr>
          <w:top w:val="nil"/>
          <w:left w:val="nil"/>
          <w:bottom w:val="nil"/>
          <w:right w:val="nil"/>
          <w:between w:val="nil"/>
          <w:bar w:val="nil"/>
        </w:pBdr>
        <w:spacing w:before="0" w:after="240"/>
        <w:rPr>
          <w:noProof/>
        </w:rPr>
      </w:pPr>
      <w:r w:rsidRPr="00252A6F">
        <w:rPr>
          <w:noProof/>
        </w:rPr>
        <w:t>V členu 6 je pojasnjeno financiranje subvencije obrestne mere.</w:t>
      </w:r>
    </w:p>
    <w:p w14:paraId="37074467" w14:textId="77777777" w:rsidR="001F3B66" w:rsidRPr="00252A6F" w:rsidRDefault="001F3B66" w:rsidP="6FFD2748">
      <w:pPr>
        <w:pBdr>
          <w:top w:val="nil"/>
          <w:left w:val="nil"/>
          <w:bottom w:val="nil"/>
          <w:right w:val="nil"/>
          <w:between w:val="nil"/>
          <w:bar w:val="nil"/>
        </w:pBdr>
        <w:spacing w:before="0" w:after="240"/>
        <w:rPr>
          <w:noProof/>
        </w:rPr>
      </w:pPr>
      <w:r w:rsidRPr="00252A6F">
        <w:rPr>
          <w:noProof/>
        </w:rPr>
        <w:t xml:space="preserve">V členu 7 </w:t>
      </w:r>
      <w:r w:rsidRPr="00252A6F">
        <w:rPr>
          <w:noProof/>
          <w:color w:val="000000" w:themeColor="text1"/>
        </w:rPr>
        <w:t>so predstavljene obveznosti glede poročanja Komisije Evropskemu parlamentu in Svetu med izvajanjem te izredne makrofinančne pomoči Ukrajini.</w:t>
      </w:r>
      <w:r w:rsidRPr="00252A6F">
        <w:rPr>
          <w:noProof/>
        </w:rPr>
        <w:t xml:space="preserve"> </w:t>
      </w:r>
    </w:p>
    <w:p w14:paraId="2CD7E6DB" w14:textId="77777777" w:rsidR="001F3B66" w:rsidRPr="00252A6F" w:rsidRDefault="001F3B66" w:rsidP="00860E34">
      <w:pPr>
        <w:pBdr>
          <w:top w:val="nil"/>
          <w:left w:val="nil"/>
          <w:bottom w:val="nil"/>
          <w:right w:val="nil"/>
          <w:between w:val="nil"/>
          <w:bar w:val="nil"/>
        </w:pBdr>
        <w:spacing w:before="0" w:after="240"/>
        <w:rPr>
          <w:noProof/>
        </w:rPr>
      </w:pPr>
      <w:r w:rsidRPr="00252A6F">
        <w:rPr>
          <w:noProof/>
        </w:rPr>
        <w:t xml:space="preserve">V členu 8 so določene podrobnosti o oceni izvajanja izredne makrofinančne pomoči. </w:t>
      </w:r>
    </w:p>
    <w:p w14:paraId="71C02550" w14:textId="77777777" w:rsidR="00083866" w:rsidRPr="00252A6F" w:rsidRDefault="00083866" w:rsidP="00083866">
      <w:pPr>
        <w:pBdr>
          <w:top w:val="nil"/>
          <w:left w:val="nil"/>
          <w:bottom w:val="nil"/>
          <w:right w:val="nil"/>
          <w:between w:val="nil"/>
          <w:bar w:val="nil"/>
        </w:pBdr>
        <w:spacing w:before="0" w:after="240"/>
        <w:rPr>
          <w:noProof/>
        </w:rPr>
      </w:pPr>
      <w:r w:rsidRPr="00252A6F">
        <w:rPr>
          <w:noProof/>
        </w:rPr>
        <w:t xml:space="preserve">V členu 9 je določeno, da države članice zagotovijo nacionalna jamstva v skupnem znesku 3,66 milijarde EUR. </w:t>
      </w:r>
    </w:p>
    <w:p w14:paraId="73647262" w14:textId="77777777" w:rsidR="00EB5A43" w:rsidRPr="00252A6F" w:rsidRDefault="003C2EA2" w:rsidP="00083866">
      <w:pPr>
        <w:pBdr>
          <w:top w:val="nil"/>
          <w:left w:val="nil"/>
          <w:bottom w:val="nil"/>
          <w:right w:val="nil"/>
          <w:between w:val="nil"/>
          <w:bar w:val="nil"/>
        </w:pBdr>
        <w:spacing w:before="0" w:after="240"/>
        <w:rPr>
          <w:noProof/>
        </w:rPr>
      </w:pPr>
      <w:r w:rsidRPr="00252A6F">
        <w:rPr>
          <w:noProof/>
        </w:rPr>
        <w:t>V členu 10 so določene podrobnosti o sporazumih o jamstvu, ki jih Komisija sklene z državami članicami.</w:t>
      </w:r>
    </w:p>
    <w:p w14:paraId="6F851169" w14:textId="77777777" w:rsidR="60BE7756" w:rsidRPr="00252A6F" w:rsidRDefault="60BE7756" w:rsidP="6FFD2748">
      <w:pPr>
        <w:rPr>
          <w:rFonts w:eastAsia="Times New Roman"/>
          <w:noProof/>
        </w:rPr>
      </w:pPr>
      <w:r w:rsidRPr="00252A6F">
        <w:rPr>
          <w:noProof/>
          <w:color w:val="000000" w:themeColor="text1"/>
        </w:rPr>
        <w:t xml:space="preserve">V členu 11 je opisano oblikovanje rezervacij v zvezi s kritima makrofinančnima pomočema.  </w:t>
      </w:r>
    </w:p>
    <w:p w14:paraId="5EF9D411" w14:textId="6EEDF6F5" w:rsidR="60BE7756" w:rsidRPr="00252A6F" w:rsidRDefault="60BE7756" w:rsidP="6FFD2748">
      <w:pPr>
        <w:rPr>
          <w:rFonts w:eastAsia="Times New Roman"/>
          <w:noProof/>
        </w:rPr>
      </w:pPr>
      <w:r w:rsidRPr="00252A6F">
        <w:rPr>
          <w:noProof/>
          <w:color w:val="000000" w:themeColor="text1"/>
        </w:rPr>
        <w:t>V členu 12 je določena okrepitev oblikovanja rezervacij za nekatere finančne obveznosti v Ukrajini, za katere je zagotovljeno jamstvo na podlagi Sklepa št. 466/2014/EU.</w:t>
      </w:r>
    </w:p>
    <w:p w14:paraId="314971CF" w14:textId="77777777" w:rsidR="6FFD2748" w:rsidRPr="00252A6F" w:rsidRDefault="6FFD2748" w:rsidP="6FFD2748">
      <w:pPr>
        <w:rPr>
          <w:rFonts w:eastAsia="Times New Roman"/>
          <w:noProof/>
        </w:rPr>
      </w:pPr>
      <w:r w:rsidRPr="00252A6F">
        <w:rPr>
          <w:noProof/>
        </w:rPr>
        <w:t>V členu 13 sta določena ocena ustreznosti rezervacij in postopek pregleda.</w:t>
      </w:r>
    </w:p>
    <w:p w14:paraId="699FDFAC" w14:textId="77777777" w:rsidR="6FFD2748" w:rsidRPr="00252A6F" w:rsidRDefault="6FFD2748" w:rsidP="6FFD2748">
      <w:pPr>
        <w:rPr>
          <w:rFonts w:eastAsia="Times New Roman"/>
          <w:noProof/>
        </w:rPr>
      </w:pPr>
      <w:r w:rsidRPr="00252A6F">
        <w:rPr>
          <w:noProof/>
        </w:rPr>
        <w:t>V členu 14 je določen računovodski vidik oblikovanja rezervacij v skupnem skladu za rezervacije.</w:t>
      </w:r>
    </w:p>
    <w:p w14:paraId="3554C2A5" w14:textId="77777777" w:rsidR="6FFD2748" w:rsidRPr="00252A6F" w:rsidRDefault="6FFD2748" w:rsidP="6FFD2748">
      <w:pPr>
        <w:rPr>
          <w:rFonts w:eastAsia="Times New Roman"/>
          <w:noProof/>
        </w:rPr>
      </w:pPr>
      <w:r w:rsidRPr="00252A6F">
        <w:rPr>
          <w:noProof/>
        </w:rPr>
        <w:t>V členu 15 je določeno, da Komisiji pomaga odbor v skladu s postopki komitologije.</w:t>
      </w:r>
    </w:p>
    <w:p w14:paraId="0FBC02C5" w14:textId="77777777" w:rsidR="6FFD2748" w:rsidRPr="00252A6F" w:rsidRDefault="6FFD2748" w:rsidP="6FFD2748">
      <w:pPr>
        <w:rPr>
          <w:rFonts w:eastAsia="Times New Roman"/>
          <w:noProof/>
        </w:rPr>
      </w:pPr>
      <w:r w:rsidRPr="00252A6F">
        <w:rPr>
          <w:noProof/>
        </w:rPr>
        <w:t>V členu 16 je podrobno opisano izvajanje prenosa pooblastil.</w:t>
      </w:r>
    </w:p>
    <w:p w14:paraId="3AC2F657" w14:textId="77777777" w:rsidR="6FFD2748" w:rsidRPr="00252A6F" w:rsidRDefault="6FFD2748" w:rsidP="6FFD2748">
      <w:pPr>
        <w:rPr>
          <w:rFonts w:eastAsia="Times New Roman"/>
          <w:noProof/>
        </w:rPr>
      </w:pPr>
      <w:r w:rsidRPr="00252A6F">
        <w:rPr>
          <w:noProof/>
        </w:rPr>
        <w:t>V členu 17 so predstavljene obveznosti glede poročanja Komisije Evropskemu parlamentu in Svetu med izvajanjem te izredne makrofinančne pomoči Ukrajini.</w:t>
      </w:r>
    </w:p>
    <w:p w14:paraId="647138FA" w14:textId="77777777" w:rsidR="6FFD2748" w:rsidRPr="00252A6F" w:rsidRDefault="6FFD2748" w:rsidP="6FFD2748">
      <w:pPr>
        <w:rPr>
          <w:rFonts w:eastAsia="Times New Roman"/>
          <w:noProof/>
        </w:rPr>
      </w:pPr>
      <w:r w:rsidRPr="00252A6F">
        <w:rPr>
          <w:noProof/>
        </w:rPr>
        <w:t>Člen 18 vsebuje spremembe Sklepa (EU) 2022/1201.</w:t>
      </w:r>
    </w:p>
    <w:p w14:paraId="66A3B2B3" w14:textId="77777777" w:rsidR="6FFD2748" w:rsidRPr="00252A6F" w:rsidRDefault="6FFD2748" w:rsidP="6FFD2748">
      <w:pPr>
        <w:rPr>
          <w:rFonts w:eastAsia="Times New Roman"/>
          <w:noProof/>
        </w:rPr>
      </w:pPr>
      <w:r w:rsidRPr="00252A6F">
        <w:rPr>
          <w:noProof/>
        </w:rPr>
        <w:t>V členu 19 je pojasnjen datum začetka veljavnosti tega sklepa.</w:t>
      </w:r>
    </w:p>
    <w:p w14:paraId="310B5BBD" w14:textId="77777777" w:rsidR="003A3D0E" w:rsidRPr="00252A6F" w:rsidRDefault="003A3D0E" w:rsidP="00D045D9">
      <w:pPr>
        <w:rPr>
          <w:noProof/>
        </w:rPr>
        <w:sectPr w:rsidR="003A3D0E" w:rsidRPr="00252A6F" w:rsidSect="00DF7915">
          <w:footerReference w:type="default" r:id="rId13"/>
          <w:footerReference w:type="first" r:id="rId14"/>
          <w:pgSz w:w="11907" w:h="16839"/>
          <w:pgMar w:top="1134" w:right="1417" w:bottom="1134" w:left="1417" w:header="709" w:footer="709" w:gutter="0"/>
          <w:cols w:space="708"/>
          <w:docGrid w:linePitch="360"/>
        </w:sectPr>
      </w:pPr>
    </w:p>
    <w:p w14:paraId="71E13A69" w14:textId="64A52DA5" w:rsidR="0055148F" w:rsidRDefault="0055148F" w:rsidP="0055148F">
      <w:pPr>
        <w:pStyle w:val="Rfrenceinterinstitutionnelle"/>
        <w:rPr>
          <w:noProof/>
        </w:rPr>
      </w:pPr>
      <w:r w:rsidRPr="0055148F">
        <w:t>2022/0281 (COD)</w:t>
      </w:r>
    </w:p>
    <w:p w14:paraId="1BCB2BEB" w14:textId="19A534A4" w:rsidR="00F152DC" w:rsidRPr="00252A6F" w:rsidRDefault="006B3DFE" w:rsidP="006B3DFE">
      <w:pPr>
        <w:pStyle w:val="Statut"/>
        <w:rPr>
          <w:noProof/>
        </w:rPr>
      </w:pPr>
      <w:r w:rsidRPr="00252A6F">
        <w:rPr>
          <w:noProof/>
        </w:rPr>
        <w:t>Predlog</w:t>
      </w:r>
    </w:p>
    <w:p w14:paraId="5C608A12" w14:textId="1F7487C9" w:rsidR="00F152DC" w:rsidRPr="00252A6F" w:rsidRDefault="006B3DFE" w:rsidP="006B3DFE">
      <w:pPr>
        <w:pStyle w:val="Typedudocument"/>
        <w:rPr>
          <w:noProof/>
        </w:rPr>
      </w:pPr>
      <w:r w:rsidRPr="00252A6F">
        <w:rPr>
          <w:noProof/>
        </w:rPr>
        <w:t>SKLEP EVROPSKEGA PARLAMENTA IN SVETA</w:t>
      </w:r>
    </w:p>
    <w:p w14:paraId="7E9DBB1D" w14:textId="306BB218" w:rsidR="00F152DC" w:rsidRPr="00252A6F" w:rsidRDefault="006B3DFE" w:rsidP="006B3DFE">
      <w:pPr>
        <w:pStyle w:val="Titreobjet"/>
        <w:rPr>
          <w:noProof/>
        </w:rPr>
      </w:pPr>
      <w:r w:rsidRPr="00252A6F">
        <w:rPr>
          <w:noProof/>
        </w:rPr>
        <w:t>o zagotavljanju izredne makrofinančne pomoči Ukrajini z okrepitvijo skupnega sklada za rezervacije z jamstvi držav članic in posebnimi rezervacijami za nekatere finančne obveznosti v zvezi z Ukrajino, za katere je zagotovljeno jamstvo na podlagi Sklepa št. 466/2014/EU, ter o spremembi Sklepa (EU) 2022/1201</w:t>
      </w:r>
    </w:p>
    <w:p w14:paraId="04203AEE" w14:textId="77777777" w:rsidR="00F152DC" w:rsidRPr="00252A6F" w:rsidRDefault="00F152DC" w:rsidP="00D045D9">
      <w:pPr>
        <w:pStyle w:val="Institutionquiagit"/>
        <w:rPr>
          <w:noProof/>
        </w:rPr>
      </w:pPr>
      <w:r w:rsidRPr="00252A6F">
        <w:rPr>
          <w:noProof/>
        </w:rPr>
        <w:t>EVROPSKI PARLAMENT IN SVET EVROPSKE UNIJE STA –</w:t>
      </w:r>
    </w:p>
    <w:p w14:paraId="63816572" w14:textId="77777777" w:rsidR="00F152DC" w:rsidRPr="00252A6F" w:rsidRDefault="2E74E627" w:rsidP="00D045D9">
      <w:pPr>
        <w:rPr>
          <w:noProof/>
        </w:rPr>
      </w:pPr>
      <w:r w:rsidRPr="00252A6F">
        <w:rPr>
          <w:noProof/>
        </w:rPr>
        <w:t>ob upoštevanju Pogodbe o delovanju Evropske unije in zlasti člena 212 Pogodbe,</w:t>
      </w:r>
    </w:p>
    <w:p w14:paraId="761DADF6" w14:textId="77777777" w:rsidR="00F152DC" w:rsidRPr="00252A6F" w:rsidRDefault="00F152DC" w:rsidP="00D045D9">
      <w:pPr>
        <w:rPr>
          <w:noProof/>
        </w:rPr>
      </w:pPr>
      <w:r w:rsidRPr="00252A6F">
        <w:rPr>
          <w:noProof/>
        </w:rPr>
        <w:t>ob upoštevanju predloga Evropske komisije,</w:t>
      </w:r>
    </w:p>
    <w:p w14:paraId="6BA7B79E" w14:textId="77777777" w:rsidR="00F152DC" w:rsidRPr="00252A6F" w:rsidRDefault="00F152DC" w:rsidP="00D045D9">
      <w:pPr>
        <w:rPr>
          <w:noProof/>
        </w:rPr>
      </w:pPr>
      <w:r w:rsidRPr="00252A6F">
        <w:rPr>
          <w:noProof/>
        </w:rPr>
        <w:t>po posredovanju osnutka zakonodajnega akta nacionalnim parlamentom,</w:t>
      </w:r>
    </w:p>
    <w:p w14:paraId="1C3C0EFA" w14:textId="77777777" w:rsidR="00F152DC" w:rsidRPr="00252A6F" w:rsidRDefault="4B2F8644" w:rsidP="00D045D9">
      <w:pPr>
        <w:rPr>
          <w:noProof/>
        </w:rPr>
      </w:pPr>
      <w:r w:rsidRPr="00252A6F">
        <w:rPr>
          <w:noProof/>
        </w:rPr>
        <w:t>v skladu z rednim zakonodajnim postopkom</w:t>
      </w:r>
      <w:r w:rsidRPr="00252A6F">
        <w:rPr>
          <w:rStyle w:val="FootnoteReference"/>
          <w:noProof/>
        </w:rPr>
        <w:footnoteReference w:id="16"/>
      </w:r>
      <w:r w:rsidRPr="00252A6F">
        <w:rPr>
          <w:noProof/>
        </w:rPr>
        <w:t>,</w:t>
      </w:r>
    </w:p>
    <w:p w14:paraId="471759EC" w14:textId="77777777" w:rsidR="00F152DC" w:rsidRPr="00252A6F" w:rsidRDefault="00F152DC" w:rsidP="00D045D9">
      <w:pPr>
        <w:rPr>
          <w:noProof/>
        </w:rPr>
      </w:pPr>
      <w:r w:rsidRPr="00252A6F">
        <w:rPr>
          <w:noProof/>
        </w:rPr>
        <w:t>ob upoštevanju naslednjega:</w:t>
      </w:r>
    </w:p>
    <w:p w14:paraId="65E1890D" w14:textId="2A7F8BAA" w:rsidR="00681971" w:rsidRPr="00252A6F" w:rsidRDefault="00664ED4" w:rsidP="00664ED4">
      <w:pPr>
        <w:pStyle w:val="ManualConsidrant"/>
        <w:rPr>
          <w:noProof/>
        </w:rPr>
      </w:pPr>
      <w:r w:rsidRPr="00664ED4">
        <w:t>(1)</w:t>
      </w:r>
      <w:r w:rsidRPr="00664ED4">
        <w:tab/>
      </w:r>
      <w:r w:rsidR="323DBF48" w:rsidRPr="00252A6F">
        <w:rPr>
          <w:noProof/>
        </w:rPr>
        <w:t>Pridružitveni sporazum med Unijo in Ukrajino</w:t>
      </w:r>
      <w:r w:rsidR="323DBF48" w:rsidRPr="00252A6F">
        <w:rPr>
          <w:rStyle w:val="FootnoteReference"/>
          <w:b/>
          <w:bCs/>
          <w:noProof/>
        </w:rPr>
        <w:footnoteReference w:id="17"/>
      </w:r>
      <w:r w:rsidR="323DBF48" w:rsidRPr="00252A6F">
        <w:rPr>
          <w:noProof/>
        </w:rPr>
        <w:t xml:space="preserve"> (v nadaljnjem besedilu: pridružitveni sporazum), ki vključuje poglobljeno in celovito prostotrgovinsko območje, je začel veljati 1. septembra 2017.</w:t>
      </w:r>
    </w:p>
    <w:p w14:paraId="18539B28" w14:textId="570D0B83" w:rsidR="00681971" w:rsidRPr="00252A6F" w:rsidRDefault="00664ED4" w:rsidP="00664ED4">
      <w:pPr>
        <w:pStyle w:val="ManualConsidrant"/>
        <w:rPr>
          <w:rFonts w:eastAsia="Times New Roman"/>
          <w:noProof/>
        </w:rPr>
      </w:pPr>
      <w:r w:rsidRPr="00664ED4">
        <w:t>(2)</w:t>
      </w:r>
      <w:r w:rsidRPr="00664ED4">
        <w:tab/>
      </w:r>
      <w:r w:rsidR="5164D000" w:rsidRPr="00252A6F">
        <w:rPr>
          <w:noProof/>
        </w:rPr>
        <w:t>Pomladi 2014 se je Ukrajina zavzela za ambiciozen program reform, katerega cilj je stabilizirati gospodarstvo in izboljšati življenje njenih državljanov. Boj proti korupciji ter ustavne, volilne in pravosodne reforme so med najpomembnejšimi prednostnimi nalogami programa. Izvajanje navedenih reform je bilo podprto z zaporednimi programi makrofinančne pomoči, na podlagi katerih je Ukrajina prejela pomoč v obliki posojil v skupni višini 6,6 milijarde EUR. Z nujno makrofinančno pomočjo, ki je bila dana na voljo v zvezi z vse večjimi napetostmi na meji z Rusijo na podlagi Sklepa (EU) 2022/313 Evropskega parlamenta in Sveta</w:t>
      </w:r>
      <w:r w:rsidR="5164D000" w:rsidRPr="00252A6F">
        <w:rPr>
          <w:rStyle w:val="FootnoteReference"/>
          <w:b/>
          <w:bCs/>
          <w:noProof/>
        </w:rPr>
        <w:footnoteReference w:id="18"/>
      </w:r>
      <w:r w:rsidR="5164D000" w:rsidRPr="00252A6F">
        <w:rPr>
          <w:noProof/>
        </w:rPr>
        <w:t>, je bilo zagotovljenih 1,2 milijarde EUR posojil Ukrajini, izplačanih v dveh obrokih po 600 milijonov EUR v marcu in maju leta 2022. Izredna makrofinančna pomoč v višini do 1 milijarde EUR na podlagi Sklepa (EU) 2022/1201 Evropskega parlamenta in Sveta</w:t>
      </w:r>
      <w:r w:rsidR="5164D000" w:rsidRPr="00252A6F">
        <w:rPr>
          <w:rStyle w:val="FootnoteReference"/>
          <w:noProof/>
        </w:rPr>
        <w:footnoteReference w:id="19"/>
      </w:r>
      <w:r w:rsidR="5164D000" w:rsidRPr="00252A6F">
        <w:rPr>
          <w:noProof/>
        </w:rPr>
        <w:t xml:space="preserve"> je zagotovila hitro in nujno podporo ukrajinskemu proračunu ter je bila v celoti izplačana 1. in 2. avgusta 2022. Predstavljala je prvi del svežnja izredne makrofinančne pomoči Ukrajini, ki ga je Komisija napovedala v svojem sporočilu o pomoči Ukrajini in njeni obnovi z dne 18. maja 2022 ter ga je potrdil Evropski svet na zasedanju 23. in 24. junija 2022. Ta sklep pomeni drugo fazo pri izpolnjevanju zaveze, da se Ukrajini zagotovi do 9 milijard EUR makrofinančne pomoči. Določa podlago za zagotovitev nadaljnjih 5 milijard EUR makrofinančne pomoči v obliki posojil pod zelo ugodnimi pogoji. Hitro bi mu moral slediti tretji sveženj finančne pomoči v višini do dodatnih 3 milijard EUR, ko bodo opredeljene ustrezne modalitete.</w:t>
      </w:r>
    </w:p>
    <w:p w14:paraId="5A74026E" w14:textId="13C71212" w:rsidR="00681971" w:rsidRPr="00252A6F" w:rsidRDefault="00664ED4" w:rsidP="00664ED4">
      <w:pPr>
        <w:pStyle w:val="ManualConsidrant"/>
        <w:rPr>
          <w:noProof/>
        </w:rPr>
      </w:pPr>
      <w:r w:rsidRPr="00664ED4">
        <w:t>(3)</w:t>
      </w:r>
      <w:r w:rsidRPr="00664ED4">
        <w:tab/>
      </w:r>
      <w:r w:rsidR="645EEDD8" w:rsidRPr="00252A6F">
        <w:rPr>
          <w:noProof/>
        </w:rPr>
        <w:t>Zaradi neizzvane in neupravičene vojaške agresije Rusije proti Ukrajini, ki se je začela 24. februarja 2022, in od takrat potekajoče vojne je bil izgubljen dostop do trgov, javnofinančni prihodki pa so drastično upadli, medtem ko so se javnofinančni odhodki za obvladovanje humanitarnih razmer in ohranjanje kontinuitete državnih storitev izrazito povečali. V teh zelo negotovih in nestabilnih razmerah najboljše ocene Mednarodnega denarnega sklada o potrebah Ukrajine po financiranju kažejo na izredno vrzel v financiranju v višini približno 39 milijard USD v letu 2022, od katere bi bilo mogoče približno polovico pokriti, če bi bila doslej obljubljena mednarodna podpora v celoti izplačana. Hitra zagotovitev te druge faze svežnja izredne makrofinančne pomoči Unije Ukrajini se v sedanjih izrednih okoliščinah šteje za ustrezen kratkoročni odziv na znatna tveganja za makrofinančno stabilnost države. S tem dodatnim zneskom izredne makrofinančne pomoči Unije v višini 5 milijard EUR bi se podprla makrofinančna stabilizacija Ukrajine, okrepila neposredna odpornost države in ohranila njena zmogljivost za okrevanje, s čimer bi se prispevalo k vzdržnosti javnega dolga Ukrajine in njeni dolgoročni zmožnosti, da odplača svoje finančne obveznosti.</w:t>
      </w:r>
    </w:p>
    <w:p w14:paraId="2F8E18F1" w14:textId="67B7DDDB" w:rsidR="00681971" w:rsidRPr="00252A6F" w:rsidRDefault="00664ED4" w:rsidP="00664ED4">
      <w:pPr>
        <w:pStyle w:val="ManualConsidrant"/>
        <w:rPr>
          <w:noProof/>
        </w:rPr>
      </w:pPr>
      <w:r w:rsidRPr="00664ED4">
        <w:t>(4)</w:t>
      </w:r>
      <w:r w:rsidRPr="00664ED4">
        <w:tab/>
      </w:r>
      <w:r w:rsidR="349360EF" w:rsidRPr="00252A6F">
        <w:rPr>
          <w:noProof/>
        </w:rPr>
        <w:t>Ta novi krog izredne makrofinančne pomoči bo znatno prispeval k izpolnitvi potreb Ukrajine po financiranju, kot jih ocenjujejo Mednarodni denarni sklad (MDS) in druge mednarodne finančne institucije, ob upoštevanju njene zmožnosti, da se financira z lastnimi sredstvi. Pri določanju zneska pomoči se upoštevajo tudi pričakovani finančni prispevki dvostranskih in večstranskih donatorjev, potreba po zagotavljanju pravične porazdelitve bremena med Unijo in drugimi donatorji, drugi instrumenti Unije za zunanje financiranje, ki se že uporabljajo v Ukrajini, in dodana vrednost celotne vključenosti Unije. Treba je prepoznati zavezanost ukrajinskih organov k tesnemu sodelovanju z MDS pri oblikovanju in izvajanju kratkoročnih nujnih ukrepov ter njihovo namero, da bodo sodelovali z MDS pri ustreznem gospodarskem programu, ko bodo razmere to dopuščale. Tak program je bil uradno zaprošen avgusta 2022. Izredna makrofinančna pomoč Unije bi morala biti namenjena vzdrževanju makrofinančne stabilnosti in odpornosti v razmerah vojne agresije Rusije proti Ukrajini. Komisija bi morala zagotoviti, da je izredna makrofinančna pomoč Unije pravno in vsebinsko skladna z glavnimi načeli in cilji ukrepov z različnih področij zunanjega delovanja in drugih ustreznih politik Unije.</w:t>
      </w:r>
    </w:p>
    <w:p w14:paraId="795FAD5D" w14:textId="33629340" w:rsidR="00681971" w:rsidRPr="00252A6F" w:rsidRDefault="00664ED4" w:rsidP="00664ED4">
      <w:pPr>
        <w:pStyle w:val="ManualConsidrant"/>
        <w:rPr>
          <w:noProof/>
        </w:rPr>
      </w:pPr>
      <w:r w:rsidRPr="00664ED4">
        <w:t>(5)</w:t>
      </w:r>
      <w:r w:rsidRPr="00664ED4">
        <w:tab/>
      </w:r>
      <w:r w:rsidR="26955EDF" w:rsidRPr="00252A6F">
        <w:rPr>
          <w:noProof/>
        </w:rPr>
        <w:t>Izredna makrofinančna pomoč Unije bi morala podpirati zunanjo politiko Unije do Ukrajine. Službe Komisije in Evropska služba za zunanje delovanje bi morale v celotnem obdobju zagotavljanja makrofinančne pomoči tesno sodelovati, da bi usklajevale in zagotavljale doslednost zunanje politike Unije.</w:t>
      </w:r>
    </w:p>
    <w:p w14:paraId="668AC47D" w14:textId="57DC241F" w:rsidR="00681971" w:rsidRPr="00252A6F" w:rsidRDefault="00664ED4" w:rsidP="00664ED4">
      <w:pPr>
        <w:pStyle w:val="ManualConsidrant"/>
        <w:rPr>
          <w:noProof/>
        </w:rPr>
      </w:pPr>
      <w:r w:rsidRPr="00664ED4">
        <w:t>(6)</w:t>
      </w:r>
      <w:r w:rsidRPr="00664ED4">
        <w:tab/>
      </w:r>
      <w:r w:rsidR="453145BA" w:rsidRPr="00252A6F">
        <w:rPr>
          <w:noProof/>
        </w:rPr>
        <w:t>Predpogoj za dodelitev izredne makrofinančne pomoči Unije bi moral biti, da Ukrajina spoštuje učinkovite demokratične mehanizme, vključno z večstrankarskim parlamentarnim sistemom, in pravno državo, ter zagotavlja spoštovanje človekovih pravic. Sedanje razmere, povezane z vojno agresijo Rusije proti Ukrajini, in zlasti trenutno vojno stanje ne bi smeli posegati v ta načela kljub koncentraciji moči v izvršilni veji oblasti.</w:t>
      </w:r>
    </w:p>
    <w:p w14:paraId="74A0EB6A" w14:textId="05F9B688" w:rsidR="00681971" w:rsidRPr="00252A6F" w:rsidRDefault="00664ED4" w:rsidP="00664ED4">
      <w:pPr>
        <w:pStyle w:val="ManualConsidrant"/>
        <w:rPr>
          <w:noProof/>
        </w:rPr>
      </w:pPr>
      <w:r w:rsidRPr="00664ED4">
        <w:t>(7)</w:t>
      </w:r>
      <w:r w:rsidRPr="00664ED4">
        <w:tab/>
      </w:r>
      <w:r w:rsidR="26955EDF" w:rsidRPr="00252A6F">
        <w:rPr>
          <w:noProof/>
        </w:rPr>
        <w:t>Da bi zagotovili učinkovito zaščito finančnih interesov Unije, povezanih z izredno makrofinančno pomočjo Unije, bi morala Ukrajina izvesti ustrezne ukrepe za preprečevanje in boj proti goljufijam, korupciji in drugim nepravilnostim, povezanim s to pomočjo. Poleg tega bi bilo treba sprejeti določbo, na podlagi katere bi Komisija izvajala nadzor, Računsko sodišče revizije, Evropsko javno tožilstvo pa svoje pristojnosti.</w:t>
      </w:r>
    </w:p>
    <w:p w14:paraId="5C7432F3" w14:textId="3F78524A" w:rsidR="00681971" w:rsidRPr="00252A6F" w:rsidRDefault="00664ED4" w:rsidP="00664ED4">
      <w:pPr>
        <w:pStyle w:val="ManualConsidrant"/>
        <w:rPr>
          <w:noProof/>
        </w:rPr>
      </w:pPr>
      <w:r w:rsidRPr="00664ED4">
        <w:t>(8)</w:t>
      </w:r>
      <w:r w:rsidRPr="00664ED4">
        <w:tab/>
      </w:r>
      <w:r w:rsidR="26955EDF" w:rsidRPr="00252A6F">
        <w:rPr>
          <w:noProof/>
        </w:rPr>
        <w:t xml:space="preserve">Izredna makrofinančna pomoč Unije bi se morala pogojevati z zahtevami glede poročanja in pogoji politike, ki se določijo v memorandumu o soglasju. Cilj strogih zahtev glede poročanja je v sedanjih razmerah vojne agresije Rusije proti Ukrajini zagotoviti učinkovitost in preglednost uporabe sredstev ter prevzemanje odgovornosti zanjo. Namen pogojev politike je okrepiti neposredno odpornost države in dolgoročnejšo vzdržnost njenega dolga ter s tem zmanjšati tveganja, povezana z odplačevanjem njenih neporavnanih in prihodnjih finančnih obveznosti. </w:t>
      </w:r>
    </w:p>
    <w:p w14:paraId="70D36E6A" w14:textId="0F976E8A" w:rsidR="00681971" w:rsidRPr="00252A6F" w:rsidRDefault="00664ED4" w:rsidP="00664ED4">
      <w:pPr>
        <w:pStyle w:val="ManualConsidrant"/>
        <w:rPr>
          <w:noProof/>
        </w:rPr>
      </w:pPr>
      <w:r w:rsidRPr="00664ED4">
        <w:t>(9)</w:t>
      </w:r>
      <w:r w:rsidRPr="00664ED4">
        <w:tab/>
      </w:r>
      <w:r w:rsidR="3090100C" w:rsidRPr="00252A6F">
        <w:rPr>
          <w:noProof/>
        </w:rPr>
        <w:t>Za zagotovitev enotnih pogojev izvajanja tega sklepa bi bilo treba na Komisijo prenesti izvedbena pooblastila. Navedena pooblastila bi bilo treba izvajati v skladu z Uredbo (EU) št. 182/2011 Evropskega parlamenta in Sveta</w:t>
      </w:r>
      <w:r w:rsidR="3090100C" w:rsidRPr="00252A6F">
        <w:rPr>
          <w:rStyle w:val="FootnoteReference"/>
          <w:noProof/>
        </w:rPr>
        <w:footnoteReference w:id="20"/>
      </w:r>
      <w:r w:rsidR="3090100C" w:rsidRPr="00252A6F">
        <w:rPr>
          <w:noProof/>
        </w:rPr>
        <w:t>.</w:t>
      </w:r>
    </w:p>
    <w:p w14:paraId="7A3FC60D" w14:textId="49A9BBD3" w:rsidR="00681971" w:rsidRPr="00252A6F" w:rsidRDefault="00664ED4" w:rsidP="00664ED4">
      <w:pPr>
        <w:pStyle w:val="ManualConsidrant"/>
        <w:rPr>
          <w:noProof/>
        </w:rPr>
      </w:pPr>
      <w:r w:rsidRPr="00664ED4">
        <w:t>(10)</w:t>
      </w:r>
      <w:r w:rsidRPr="00664ED4">
        <w:tab/>
      </w:r>
      <w:r w:rsidR="51EC964F" w:rsidRPr="00252A6F">
        <w:rPr>
          <w:noProof/>
        </w:rPr>
        <w:t>Povprečna zapadlost posojil na podlagi tega sklepa in Sklepa (EU) 2022/1201 ne bi smela presegati 25 let.</w:t>
      </w:r>
    </w:p>
    <w:p w14:paraId="7B9DD023" w14:textId="3FF8DFAD" w:rsidR="00681971" w:rsidRPr="00252A6F" w:rsidRDefault="00664ED4" w:rsidP="00664ED4">
      <w:pPr>
        <w:pStyle w:val="ManualConsidrant"/>
        <w:rPr>
          <w:noProof/>
        </w:rPr>
      </w:pPr>
      <w:r w:rsidRPr="00664ED4">
        <w:t>(11)</w:t>
      </w:r>
      <w:r w:rsidRPr="00664ED4">
        <w:tab/>
      </w:r>
      <w:r w:rsidR="3EE7BF6C" w:rsidRPr="00252A6F">
        <w:rPr>
          <w:noProof/>
        </w:rPr>
        <w:t>Ker za posojili na podlagi tega sklepa in Sklepa (EU) 2022/1201 veljajo enaka tveganja za proračun EU in njuna skupna povprečna zapadlost ne bi smela presegati 25 let, bi bilo treba skupni znesek makrofinančne pomoči Ukrajini na podlagi tega sklepa in Sklepa (EU) 2022/1201 v višini 6 milijard EUR kriti s skupno metodologijo za obvladovanje finančnih in proračunskih posledic. Zlasti bi bilo treba določiti enako raven proračunskega kritja kot ustrezno zaščito pred morebitnim nevračilom dela ali vseh posojil s strani Ukrajine ob predvidenem času. Rezervacije, ki so na voljo iz proračuna EU za dva sklopa posojil izredne makrofinančne pomoči, bi bilo treba upravljati kot celovit sklop rezervacij. To bo povečalo odpornost in prožnost proračuna EU pri odzivanju na kakršne koli primere neplačila.  Člen 7(2) Sklepa (EU) 2022/1201 bi bilo zato treba ustrezno spremeniti.</w:t>
      </w:r>
    </w:p>
    <w:p w14:paraId="7046D2D0" w14:textId="298DCCDC" w:rsidR="00681971" w:rsidRPr="00252A6F" w:rsidRDefault="00664ED4" w:rsidP="00664ED4">
      <w:pPr>
        <w:pStyle w:val="ManualConsidrant"/>
        <w:rPr>
          <w:noProof/>
        </w:rPr>
      </w:pPr>
      <w:r w:rsidRPr="00664ED4">
        <w:t>(12)</w:t>
      </w:r>
      <w:r w:rsidRPr="00664ED4">
        <w:tab/>
      </w:r>
      <w:r w:rsidR="2D42B455" w:rsidRPr="00252A6F">
        <w:rPr>
          <w:noProof/>
        </w:rPr>
        <w:t>Izredna makrofinančna pomoč na podlagi tega sklepa in Sklepa (EU) 2022/1201 pomeni finančno obveznost Unije v okviru skupnega obsega jamstva za zunanje delovanje. Za skupni znesek izredne makrofinančne pomoči Ukrajini v obliki posojil v višini do 6 milijard EUR bi bilo treba uporabiti 9 % vplačanih rezervacij, ki so na voljo za makrofinančno pomoč v obliki posojil v okviru jamstva za zunanje delovanje. Znesek rezervacij bi bilo treba financirati iz sredstev, načrtovanih za makrofinančno pomoč na podlagi Uredbe (EU) 2021/947 Evropskega parlamenta in Sveta</w:t>
      </w:r>
      <w:r w:rsidR="2D42B455" w:rsidRPr="00252A6F">
        <w:rPr>
          <w:rStyle w:val="FootnoteReference"/>
          <w:b/>
          <w:bCs/>
          <w:noProof/>
        </w:rPr>
        <w:footnoteReference w:id="21"/>
      </w:r>
      <w:r w:rsidR="2D42B455" w:rsidRPr="00252A6F">
        <w:rPr>
          <w:noProof/>
        </w:rPr>
        <w:t xml:space="preserve">, pri čemer bi skupni znesek rezervacij znašal 540 milijonov EUR. Za ta znesek bi bilo treba prevzeti obveznosti in ga vplačati v skupni sklad za rezervacije v okviru večletnega finančnega okvira 2021–2027. </w:t>
      </w:r>
    </w:p>
    <w:p w14:paraId="68125864" w14:textId="6C7D9A1A" w:rsidR="00681971" w:rsidRPr="00252A6F" w:rsidRDefault="00664ED4" w:rsidP="00664ED4">
      <w:pPr>
        <w:pStyle w:val="ManualConsidrant"/>
        <w:rPr>
          <w:noProof/>
        </w:rPr>
      </w:pPr>
      <w:r w:rsidRPr="00664ED4">
        <w:t>(13)</w:t>
      </w:r>
      <w:r w:rsidRPr="00664ED4">
        <w:tab/>
      </w:r>
      <w:r w:rsidR="2D42B455" w:rsidRPr="00252A6F">
        <w:rPr>
          <w:noProof/>
        </w:rPr>
        <w:t>V skladu s členom 210(3) Uredbe (EU, Euratom) 2018/1046 Evropskega parlamenta in Sveta (v nadaljnjem besedilu: finančna uredba) se pogojne obveznosti, ki izhajajo iz proračunskih jamstev ali finančne pomoči in ki bremenijo proračun, štejejo kot vzdržne, če je njihov napovedani večletni razvoj združljiv z omejitvami, določenimi z Uredbo Sveta (EU, Euratom) 2020/2093</w:t>
      </w:r>
      <w:r w:rsidR="2D42B455" w:rsidRPr="00252A6F">
        <w:rPr>
          <w:rStyle w:val="FootnoteReference"/>
          <w:noProof/>
        </w:rPr>
        <w:footnoteReference w:id="22"/>
      </w:r>
      <w:r w:rsidR="2D42B455" w:rsidRPr="00252A6F">
        <w:rPr>
          <w:noProof/>
        </w:rPr>
        <w:t xml:space="preserve"> o določitvi večletnega finančnega okvira, predvideno v členu 312(2) PDEU, in zgornjimi mejami letnih odobritev plačil, določenimi v členu 3(1) Sklepa Sveta 2014/335/EU, Euratom</w:t>
      </w:r>
      <w:r w:rsidR="2D42B455" w:rsidRPr="00252A6F">
        <w:rPr>
          <w:rStyle w:val="FootnoteReference"/>
          <w:noProof/>
        </w:rPr>
        <w:footnoteReference w:id="23"/>
      </w:r>
      <w:r w:rsidR="2D42B455" w:rsidRPr="00252A6F">
        <w:rPr>
          <w:noProof/>
        </w:rPr>
        <w:t xml:space="preserve">. Da bi Unija lahko na finančno varen način zagotovila doslej največjo znatno podporo Ukrajini z makrofinančno pomočjo, hkrati pa ohranila visoko bonitetno oceno in s tem svojo sposobnost zagotavljanja učinkovitega financiranja v okviru tako notranjih kot zunanjih politik, je bistvenega pomena, da se proračun Unije ustrezno zaščiti pred nastankom navedenih pogojnih obveznosti in da se zagotovi njihova finančna vzdržnost v smislu člena 210(3) finančne uredbe. </w:t>
      </w:r>
    </w:p>
    <w:p w14:paraId="22D5E4A6" w14:textId="7FEAC467" w:rsidR="00681971" w:rsidRPr="00252A6F" w:rsidRDefault="00664ED4" w:rsidP="00664ED4">
      <w:pPr>
        <w:pStyle w:val="ManualConsidrant"/>
        <w:rPr>
          <w:noProof/>
        </w:rPr>
      </w:pPr>
      <w:r w:rsidRPr="00664ED4">
        <w:t>(14)</w:t>
      </w:r>
      <w:r w:rsidRPr="00664ED4">
        <w:tab/>
      </w:r>
      <w:r w:rsidR="0420B2CC" w:rsidRPr="00252A6F">
        <w:rPr>
          <w:noProof/>
        </w:rPr>
        <w:t>V skladu z načelom dobrega finančnega poslovodenja bi bilo treba skupni sklad za rezervacije okrepiti s sredstvi, sorazmernimi s tveganji, ki izhajajo iz pogojnih obveznosti, povezanih s to nepredvidljivo veliko makrofinančno pomočjo eni sami upravičenki. Brez takšne okrepitve proračun Unije ne bi mogel na finančno varen način zagotoviti doslej največje pomoči, ki jo Ukrajina potrebuje zaradi vojne. Za zaščito proračuna Unije bi morala biti izredna makrofinančna pomoč Ukrajini v obliki posojil v višini do 6 milijard EUR upravičena do 70-odstotnega kritja prek vplačanih rezervacij (na ravni 9 %), dopolnjenih z nacionalnimi jamstvi za zagotovitev proračunskega kritja izgub v višini do nadaljnjih 61 % vrednosti posojil.</w:t>
      </w:r>
    </w:p>
    <w:p w14:paraId="02B17280" w14:textId="4F5EB8F7" w:rsidR="00681971" w:rsidRPr="00252A6F" w:rsidRDefault="00664ED4" w:rsidP="00664ED4">
      <w:pPr>
        <w:pStyle w:val="ManualConsidrant"/>
        <w:rPr>
          <w:noProof/>
        </w:rPr>
      </w:pPr>
      <w:r w:rsidRPr="00664ED4">
        <w:t>(15)</w:t>
      </w:r>
      <w:r w:rsidRPr="00664ED4">
        <w:tab/>
      </w:r>
      <w:r w:rsidR="0420B2CC" w:rsidRPr="00252A6F">
        <w:rPr>
          <w:noProof/>
        </w:rPr>
        <w:t xml:space="preserve">Sredstva na podlagi Uredbe (EU, Euratom) 2020/2093 so pod velikim pritiskom zaradi splošnih prednostnih nalog Unije glede porabe. Zato je primerno poiskati alternativno rešitev za dodatna sredstva, ki ne vpliva na redne odhodke, predvidene v finančnem načrtovanju večletnega finančnega okvira za obdobje 2021–2027. </w:t>
      </w:r>
    </w:p>
    <w:p w14:paraId="6C8242D5" w14:textId="66651836" w:rsidR="00112C28" w:rsidRPr="00252A6F" w:rsidRDefault="00664ED4" w:rsidP="00664ED4">
      <w:pPr>
        <w:pStyle w:val="ManualConsidrant"/>
        <w:rPr>
          <w:rStyle w:val="eop"/>
          <w:rFonts w:eastAsiaTheme="minorEastAsia"/>
          <w:noProof/>
          <w:szCs w:val="24"/>
        </w:rPr>
      </w:pPr>
      <w:r w:rsidRPr="00664ED4">
        <w:rPr>
          <w:rStyle w:val="eop"/>
        </w:rPr>
        <w:t>(16)</w:t>
      </w:r>
      <w:r w:rsidRPr="00664ED4">
        <w:rPr>
          <w:rStyle w:val="eop"/>
        </w:rPr>
        <w:tab/>
      </w:r>
      <w:r w:rsidR="00917643" w:rsidRPr="00252A6F">
        <w:rPr>
          <w:rStyle w:val="normaltextrun"/>
          <w:noProof/>
          <w:color w:val="000000"/>
          <w:shd w:val="clear" w:color="auto" w:fill="FFFFFF"/>
        </w:rPr>
        <w:t xml:space="preserve">Glede na ugotovitve so prispevki držav članic v obliki jamstev ustrezno orodje za zagotavljanje zaščite poleg začetnega vplačila rezervacij. </w:t>
      </w:r>
      <w:r w:rsidR="00917643" w:rsidRPr="00252A6F">
        <w:rPr>
          <w:noProof/>
        </w:rPr>
        <w:t>Jamstva držav članic bi bilo treba zagotoviti prostovoljno in bi morala biti ustrezen varovalni mehanizem, ki bi podprl proračun Unije, če bi se izčrpale rezervacije iz skupnega sklada za rezervacije v zvezi s finančnimi obveznostmi na podlagi tega sklepa in Sklepa (EU) 2022/1201.</w:t>
      </w:r>
      <w:r w:rsidR="00917643" w:rsidRPr="00252A6F">
        <w:rPr>
          <w:rStyle w:val="normaltextrun"/>
          <w:noProof/>
          <w:color w:val="000000"/>
          <w:shd w:val="clear" w:color="auto" w:fill="FFFFFF"/>
        </w:rPr>
        <w:t xml:space="preserve"> Prispevki v okviru teh jamstev bi morali biti vključeni v znesek odobrenih finančnih obveznosti z odstopanjem od prvega pododstavka člena 211(1) finančne uredbe. Ti zneski bi se morali upoštevati pri izračunu rezervacij, ki izhajajo iz stopnje rezervacij iz člena 211(1) finančne uredbe, z odstopanjem od drugega pododstavka člena 211(4) finančne uredbe.</w:t>
      </w:r>
      <w:r w:rsidR="00917643" w:rsidRPr="00252A6F">
        <w:rPr>
          <w:rStyle w:val="eop"/>
          <w:noProof/>
          <w:color w:val="000000"/>
          <w:shd w:val="clear" w:color="auto" w:fill="FFFFFF"/>
        </w:rPr>
        <w:t xml:space="preserve"> </w:t>
      </w:r>
    </w:p>
    <w:p w14:paraId="5C4AD745" w14:textId="4F901AE8" w:rsidR="00681971" w:rsidRPr="00252A6F" w:rsidRDefault="00664ED4" w:rsidP="00664ED4">
      <w:pPr>
        <w:pStyle w:val="ManualConsidrant"/>
        <w:rPr>
          <w:rFonts w:eastAsiaTheme="minorEastAsia"/>
          <w:noProof/>
        </w:rPr>
      </w:pPr>
      <w:r w:rsidRPr="00664ED4">
        <w:t>(17)</w:t>
      </w:r>
      <w:r w:rsidRPr="00664ED4">
        <w:tab/>
      </w:r>
      <w:r w:rsidR="4C1E1A58" w:rsidRPr="00252A6F">
        <w:rPr>
          <w:noProof/>
        </w:rPr>
        <w:t>Jamstva, ki jih zagotovijo države članice, bi morala kriti izredno makrofinančno pomoč v obliki posojila na podlagi tega sklepa in izredno makrofinančno pomoč v obliki posojila v višini 1 milijarde EUR na podlagi Sklepa (EU) 2022/1201. Morala bi biti nepreklicna, brezpogojna in na zahtevo. Ta jamstva bi morala zagotoviti zmožnost Unije, da odplača sredstva, izposojena na kapitalskih trgih ali od finančnih institucij. Unovčiti bi jih bilo treba le, če so izpolnjeni strogi pogoji v zvezi z ustreznostjo razpoložljivih rezervacij in če Unija od Ukrajine ne bi prejela plačila makrofinančne pomoči v obliki posojil, odobrenih na podlagi tega sklepa in Sklepa (EU) 2022/1201, pravočasno za izpolnitev finančnih obveznosti Unije iz obveznic ali če bi bilo treba spremeniti časovni razpored plačil posojil, odobrenih na podlagi tega sklepa in Sklepa (EU) 2022/1201. Jamstva držav članic bi bilo treba unovčiti v znesku, ki ustreza znesku, ki izhaja iz izgub pri finančni pomoči Ukrajini na podlagi tega sklepa in Sklepa (EU) 2022/1201, in dopolniti skupni sklad za rezervacije do potrebne ravni plačanih rezervacij. Unovčitve v okviru jamstev držav članic bi se morale izvesti šele, ko je znesek prvotnih rezervacij, oblikovanih za makrofinančno pomoč v skladu s tem sklepom in Sklepom (EU) 2022/1201, izčrpan ali bo izčrpan. Zneske, izterjane na podlagi sporazumov o posojilih v zvezi s finančno pomočjo Ukrajini na podlagi tega sklepa in Sklepa (EU) 2022/1201, bi bilo treba z odstopanjem od člena 211(4)(c) finančne uredbe povrniti državam članicam, ki so poravnale unovčitve jamstva.</w:t>
      </w:r>
    </w:p>
    <w:p w14:paraId="083926EB" w14:textId="6F1D3BE8" w:rsidR="00112C28" w:rsidRPr="00252A6F" w:rsidRDefault="00664ED4" w:rsidP="00664ED4">
      <w:pPr>
        <w:pStyle w:val="ManualConsidrant"/>
        <w:rPr>
          <w:rFonts w:eastAsiaTheme="minorEastAsia"/>
          <w:noProof/>
          <w:szCs w:val="24"/>
        </w:rPr>
      </w:pPr>
      <w:r w:rsidRPr="00664ED4">
        <w:t>(18)</w:t>
      </w:r>
      <w:r w:rsidRPr="00664ED4">
        <w:tab/>
      </w:r>
      <w:r w:rsidR="0420B2CC" w:rsidRPr="00252A6F">
        <w:rPr>
          <w:noProof/>
        </w:rPr>
        <w:t xml:space="preserve">Če bi bile finančne obveznosti Unije, ki izhajajo iz obveznic za makrofinančno pomoč Ukrajini na podlagi tega sklepa in Sklepa (EU) 2022/1201, začasno poravnane iz rezervacij iz skupnega sklada za rezervacije za kritje drugih finančnih obveznosti Unije, bi se lahko unovčitev jamstev držav članic uporabila za dopolnitev rezervacij, oblikovanih za navedene finančne obveznosti. </w:t>
      </w:r>
    </w:p>
    <w:p w14:paraId="1396AF1C" w14:textId="0B4848CB" w:rsidR="00681971" w:rsidRPr="00252A6F" w:rsidRDefault="00664ED4" w:rsidP="00664ED4">
      <w:pPr>
        <w:pStyle w:val="ManualConsidrant"/>
        <w:rPr>
          <w:rFonts w:eastAsiaTheme="minorEastAsia"/>
          <w:noProof/>
          <w:szCs w:val="24"/>
        </w:rPr>
      </w:pPr>
      <w:r w:rsidRPr="00664ED4">
        <w:t>(19)</w:t>
      </w:r>
      <w:r w:rsidRPr="00664ED4">
        <w:tab/>
      </w:r>
      <w:r w:rsidR="2E51F5CD" w:rsidRPr="00252A6F">
        <w:rPr>
          <w:noProof/>
        </w:rPr>
        <w:t>Glede na izjemno naravo makrofinančne pomoči, podprte z jamstvi, je primerno, da se rezervacije za finančne obveznosti, ki izhajajo iz makrofinančne pomoči na podlagi tega sklepa, Sklepa (EU) 2022/1201 in za vsa izplačila posojil, za katera je zagotovljeno jamstvo na podlagi Sklepa št. 466/2014/EU Evropskega parlamenta in Sveta</w:t>
      </w:r>
      <w:r w:rsidR="2E51F5CD" w:rsidRPr="00252A6F">
        <w:rPr>
          <w:rStyle w:val="FootnoteReference"/>
          <w:noProof/>
        </w:rPr>
        <w:footnoteReference w:id="24"/>
      </w:r>
      <w:r w:rsidR="2E51F5CD" w:rsidRPr="00252A6F">
        <w:rPr>
          <w:noProof/>
        </w:rPr>
        <w:t>, po 15. juliju 2022, upravljajo ločeno od drugih finančnih obveznosti v okviru jamstva za zunanje delovanje in Jamstvenega sklada za zunanje ukrepe. Zato se predlaga, da se uporabijo rezervacije, oblikovane v skupnem skladu za rezervacije izključno za finančne obveznosti, ki izhajajo iz makrofinančne pomoči, zajete s tem sklepom in Sklepom (EU) 2022/1201, namesto splošnega pravila iz člena 31(6) uredbe o Instrumentu za sosedstvo ter razvojno in mednarodno sodelovanje – Globalna Evropa</w:t>
      </w:r>
      <w:r w:rsidR="2E51F5CD" w:rsidRPr="00252A6F">
        <w:rPr>
          <w:rStyle w:val="FootnoteReference"/>
          <w:noProof/>
        </w:rPr>
        <w:footnoteReference w:id="25"/>
      </w:r>
      <w:r w:rsidR="2E51F5CD" w:rsidRPr="00252A6F">
        <w:rPr>
          <w:noProof/>
        </w:rPr>
        <w:t>. Poleg tega se predlaga, da se rezervacije, oblikovane v skupnem skladu za rezervacije, za posojila, za katera je zagotovljeno jamstvo na podlagi Sklepa št. 466/2014/EU, izplačana po 15. juliju 2022, uporabijo samo za finančne obveznosti iz teh posojil in da se za oblikovanje rezervacij namesto splošnega pravila iz člena 31(8) uredbe o Instrumentu za sosedstvo ter razvojno in mednarodno sodelovanje – Globalna Evropa uporabijo pravila finančne uredbe. To bi bilo treba dopolniti z izključitvijo rezervacij, oblikovanih v zvezi s to makrofinančno pomočjo, iz uporabe dejanske stopnje rezervacij z odstopanjem od člena 213 finančne uredbe.</w:t>
      </w:r>
    </w:p>
    <w:p w14:paraId="51712194" w14:textId="3F5A6E5A" w:rsidR="0088094E" w:rsidRPr="00252A6F" w:rsidRDefault="00664ED4" w:rsidP="00664ED4">
      <w:pPr>
        <w:pStyle w:val="ManualConsidrant"/>
        <w:rPr>
          <w:rFonts w:eastAsiaTheme="minorEastAsia"/>
          <w:noProof/>
          <w:szCs w:val="24"/>
        </w:rPr>
      </w:pPr>
      <w:r w:rsidRPr="00664ED4">
        <w:t>(20)</w:t>
      </w:r>
      <w:r w:rsidRPr="00664ED4">
        <w:tab/>
      </w:r>
      <w:r w:rsidR="75AC9127" w:rsidRPr="00252A6F">
        <w:rPr>
          <w:noProof/>
        </w:rPr>
        <w:t xml:space="preserve">Relativni delež, ki ga prispeva posamezna država članica (razdelitveni ključ) glede na skupni zajamčeni znesek, bi moral ustrezati sorazmernim deležem držav članic glede na skupni bruto nacionalni dohodek Unije. Unovčitve jamstev bi morale biti sorazmerne in temeljiti na tem razdelitvenem ključu. </w:t>
      </w:r>
    </w:p>
    <w:p w14:paraId="16C87F52" w14:textId="5241BF73" w:rsidR="0088094E" w:rsidRPr="00252A6F" w:rsidRDefault="00664ED4" w:rsidP="00664ED4">
      <w:pPr>
        <w:pStyle w:val="ManualConsidrant"/>
        <w:rPr>
          <w:rFonts w:eastAsiaTheme="minorEastAsia"/>
          <w:noProof/>
        </w:rPr>
      </w:pPr>
      <w:r w:rsidRPr="00664ED4">
        <w:t>(21)</w:t>
      </w:r>
      <w:r w:rsidRPr="00664ED4">
        <w:tab/>
      </w:r>
      <w:r w:rsidR="0E7EC911" w:rsidRPr="00252A6F">
        <w:rPr>
          <w:noProof/>
        </w:rPr>
        <w:t xml:space="preserve">Države članice bi morale čim prej dokončati svoje nacionalne postopke za začetek veljavnosti jamstev. Glede na nujnost razmer čas, potreben za dokončanje teh postopkov, ne bi smel odložiti izplačila nujno potrebne izredne makrofinančne pomoči Ukrajini na podlagi tega sklepa. Dodatna makrofinančna pomoč v obliki posojil na podlagi tega sklepa bo urejena čim prej po začetku veljavnosti tega sklepa, sprejetju memoranduma o soglasju in podpisu sporazuma o posojilu. </w:t>
      </w:r>
    </w:p>
    <w:p w14:paraId="44B328E3" w14:textId="095D102A" w:rsidR="00681971" w:rsidRPr="00252A6F" w:rsidRDefault="00664ED4" w:rsidP="00664ED4">
      <w:pPr>
        <w:pStyle w:val="ManualConsidrant"/>
        <w:rPr>
          <w:noProof/>
        </w:rPr>
      </w:pPr>
      <w:r w:rsidRPr="00664ED4">
        <w:t>(22)</w:t>
      </w:r>
      <w:r w:rsidRPr="00664ED4">
        <w:tab/>
      </w:r>
      <w:r w:rsidR="6F0B73B1" w:rsidRPr="00252A6F">
        <w:rPr>
          <w:noProof/>
        </w:rPr>
        <w:t xml:space="preserve">Glede na težak položaj Ukrajine, ki ga je povzročila ruska vojna agresija, in da bi jo podprli na poti dolgoročne stabilnosti, je primerno odstopati od člena 220(5), točka (e), finančne uredbe in Uniji omogočiti, da krije stroške obresti in Ukrajini ne zaračuna upravnih stroškov. Subvencijo obrestne mere bi bilo treba odobriti kot instrument, ki se šteje za ustreznega za zagotovitev učinkovitosti podpore v smislu člena 220(1) finančne uredbe, in bi jo bilo treba kriti iz proračuna Unije vsaj v trenutnem ciklu večletnega finančnega okvira. V obdobju 2021–2027 bi se morala kriti iz sredstev iz člena 6(2), točka (a), prva alinea, Uredbe (EU) 2021/947. </w:t>
      </w:r>
    </w:p>
    <w:p w14:paraId="28347810" w14:textId="192A5DCC" w:rsidR="00681971" w:rsidRPr="00252A6F" w:rsidRDefault="00664ED4" w:rsidP="00664ED4">
      <w:pPr>
        <w:pStyle w:val="ManualConsidrant"/>
        <w:rPr>
          <w:noProof/>
        </w:rPr>
      </w:pPr>
      <w:r w:rsidRPr="00664ED4">
        <w:t>(23)</w:t>
      </w:r>
      <w:r w:rsidRPr="00664ED4">
        <w:tab/>
      </w:r>
      <w:r w:rsidR="1D20160F" w:rsidRPr="00252A6F">
        <w:rPr>
          <w:noProof/>
        </w:rPr>
        <w:t>Ukrajina bi lahko vsako leto do konca marca zaprosila za subvencijo obrestne mere in oprostitev upravnih stroškov. Za zagotavljanje prožnosti pri odplačilu glavnice bi bilo treba z odstopanjem od člena 220(2) finančne uredbe omogočiti tudi obnovitev povezanih posojil, sklenjenih v imenu Unije.</w:t>
      </w:r>
    </w:p>
    <w:p w14:paraId="7FEED15B" w14:textId="1DE945E0" w:rsidR="00681971" w:rsidRPr="00252A6F" w:rsidRDefault="00664ED4" w:rsidP="00664ED4">
      <w:pPr>
        <w:pStyle w:val="ManualConsidrant"/>
        <w:rPr>
          <w:rFonts w:eastAsiaTheme="minorEastAsia"/>
          <w:noProof/>
        </w:rPr>
      </w:pPr>
      <w:r w:rsidRPr="00664ED4">
        <w:t>(24)</w:t>
      </w:r>
      <w:r w:rsidRPr="00664ED4">
        <w:tab/>
      </w:r>
      <w:r w:rsidR="7E8BFBB6" w:rsidRPr="00252A6F">
        <w:rPr>
          <w:noProof/>
        </w:rPr>
        <w:t xml:space="preserve">Glede na nujne potrebe Ukrajine po financiranju se je Evropska komisija julija 2022 dogovorila o spremembi namena in izplačilu dodatnih 1,59 milijarde EUR posojil EIB Ukrajini, za katera je zagotovljeno jamstvo v okviru mandata Evropske investicijske banke za zunanja posojila 2014–2020 (v nadaljnjem besedilu: zunanji mandat EIB). Ker pa so to posojila ukrajinskim državnim subjektom in subjektom v državni lasti, predstavljajo enako stopnjo tveganja za proračun EU kot makrofinančna pomoč v obliki posojil. Zato bi se moral v okviru proračuna EU za te izpostavljenosti uporabiti enak previdnostni pristop kot za novo makrofinančno pomoč v obliki posojil. V tem sklepu se zato uporablja 70-odstotna stopnja rezervacij za 1,59 milijarde posojil v okviru zunanjega mandata EIB s spremenjenim namenom in za vsa nadaljnja izplačila posojil v okviru zunanjega mandata EIB Ukrajini. Ta stopnja rezervacij bi se morala uporabljati namesto stopnje rezervacij, ki izhaja iz tretjega stavka odstavka 8 člena 31 Uredbe (EU) 2021/947. 70-odstotna stopnja rezervacij za izplačila posojil v okviru zunanjega mandata EIB v višini 1,59 milijarde EUR Ukrajini se bo financirala iz proračuna EU. </w:t>
      </w:r>
    </w:p>
    <w:p w14:paraId="07E27E35" w14:textId="1977A45D" w:rsidR="0088355F" w:rsidRPr="00252A6F" w:rsidRDefault="00664ED4" w:rsidP="00664ED4">
      <w:pPr>
        <w:pStyle w:val="ManualConsidrant"/>
        <w:rPr>
          <w:noProof/>
        </w:rPr>
      </w:pPr>
      <w:r w:rsidRPr="00664ED4">
        <w:t>(25)</w:t>
      </w:r>
      <w:r w:rsidRPr="00664ED4">
        <w:tab/>
      </w:r>
      <w:r w:rsidR="68D11B6A" w:rsidRPr="00252A6F">
        <w:rPr>
          <w:noProof/>
        </w:rPr>
        <w:t xml:space="preserve">Redne preglede oblikovanja rezervacij za zadevni makrofinančni pomoči in posojila v okviru zunanjega mandata EIB bi bilo treba izvajati vsakih šest mesecev, začeti pa bi se morali sredi leta 2023 ali prej, če je ustrezno. Ta pregled bi moral zlasti oceniti, ali so se razmere v Ukrajini spremenile tako, da bi bilo upravičeno zvišanje ali znižanje stopnje rezervacij. Komisija lahko stopnjo rezervacij ponovno oceni </w:t>
      </w:r>
      <w:r w:rsidR="68D11B6A" w:rsidRPr="00252A6F">
        <w:rPr>
          <w:i/>
          <w:noProof/>
        </w:rPr>
        <w:t>ad hoc</w:t>
      </w:r>
      <w:r w:rsidR="68D11B6A" w:rsidRPr="00252A6F">
        <w:rPr>
          <w:noProof/>
        </w:rPr>
        <w:t>, zlasti če to upravičuje pomemben zadevni dogodek. Da se zagotovi, da stopnja rezervacij ostane ustrezna glede na finančna tveganja, bi bilo treba na Komisijo prenesti pooblastilo, da v skladu s členom 290 Pogodbe o delovanju Evropske unije sprejme akte v zvezi s stopnjo rezervacij, kadar je upravičeno zvišanje ali znižanje stopnje rezervacij. Zlasti je pomembno, da se Komisija pri svojem pripravljalnem delu ustrezno posvetuje, vključno na ravni strokovnjakov, in da se ta posvetovanja izvedejo v skladu z načeli, določenimi v Medinstitucionalnem sporazumu o boljši pripravi zakonodaje z dne 13. aprila 2016. Za zagotovitev enakopravnega sodelovanja pri pripravi delegiranih aktov Evropski parlament in Svet zlasti prejmeta vse dokumente sočasno s strokovnjaki iz držav članic, njuni strokovnjaki pa se sistematično lahko udeležujejo sestankov strokovnih skupin Komisije, ki zadevajo pripravo delegiranih aktov.</w:t>
      </w:r>
    </w:p>
    <w:p w14:paraId="53890F2A" w14:textId="0CBBBE13" w:rsidR="00EA0347" w:rsidRPr="00252A6F" w:rsidRDefault="00664ED4" w:rsidP="00664ED4">
      <w:pPr>
        <w:pStyle w:val="ManualConsidrant"/>
        <w:rPr>
          <w:rFonts w:eastAsiaTheme="minorEastAsia"/>
          <w:noProof/>
        </w:rPr>
      </w:pPr>
      <w:r w:rsidRPr="00664ED4">
        <w:t>(26)</w:t>
      </w:r>
      <w:r w:rsidRPr="00664ED4">
        <w:tab/>
      </w:r>
      <w:r w:rsidR="426362F8" w:rsidRPr="00252A6F">
        <w:rPr>
          <w:noProof/>
        </w:rPr>
        <w:t>Ker cilja tega sklepa, in sicer zagotavljanja izredne makrofinančne pomoči Ukrajini za podpiranje zlasti njene gospodarske odpornosti in stabilnosti, države članice ne morejo zadovoljivo doseči, temveč se zaradi obsega in učinkov predlaganega ukrepa lažje doseže na ravni Unije, lahko Unija sprejme ukrepe v skladu z načelom subsidiarnosti iz člena 5(3) Pogodbe o Evropski uniji (v nadaljnjem besedilu: PEU). V skladu z načelom sorazmernosti iz odstavka 4 navedenega člena ta sklep ne presega tistega, kar je potrebno za doseganje navedenega cilja.</w:t>
      </w:r>
    </w:p>
    <w:p w14:paraId="25875B52" w14:textId="706FD142" w:rsidR="00EA0347" w:rsidRPr="00252A6F" w:rsidRDefault="00664ED4" w:rsidP="00664ED4">
      <w:pPr>
        <w:pStyle w:val="ManualConsidrant"/>
        <w:rPr>
          <w:noProof/>
        </w:rPr>
      </w:pPr>
      <w:r w:rsidRPr="00664ED4">
        <w:t>(27)</w:t>
      </w:r>
      <w:r w:rsidRPr="00664ED4">
        <w:tab/>
      </w:r>
      <w:r w:rsidR="426362F8" w:rsidRPr="00252A6F">
        <w:rPr>
          <w:noProof/>
        </w:rPr>
        <w:t xml:space="preserve">Zaradi nujnosti, ki jo narekujejo izjemne okoliščine, ki jih je povzročila neizzvana in neupravičena vojaška agresija Rusije, je primerno določiti izjemo od roka osmih tednov iz člena 4 Protokola št. 1 o vlogi nacionalnih parlamentov v Evropski uniji, ki je priložen PEU, Pogodbi o delovanju Evropske unije in Pogodbi o ustanovitvi Evropske skupnosti za atomsko energijo. </w:t>
      </w:r>
    </w:p>
    <w:p w14:paraId="17106B55" w14:textId="134F9E12" w:rsidR="00EA0347" w:rsidRPr="00252A6F" w:rsidRDefault="00664ED4" w:rsidP="00664ED4">
      <w:pPr>
        <w:pStyle w:val="ManualConsidrant"/>
        <w:rPr>
          <w:noProof/>
        </w:rPr>
      </w:pPr>
      <w:r w:rsidRPr="00664ED4">
        <w:t>(28)</w:t>
      </w:r>
      <w:r w:rsidRPr="00664ED4">
        <w:tab/>
      </w:r>
      <w:r w:rsidR="6F0B73B1" w:rsidRPr="00252A6F">
        <w:rPr>
          <w:noProof/>
        </w:rPr>
        <w:t xml:space="preserve">Glede na pereče razmere v Ukrajini bi moral ta sklep začeti veljati dan po objavi v </w:t>
      </w:r>
      <w:r w:rsidR="6F0B73B1" w:rsidRPr="00252A6F">
        <w:rPr>
          <w:i/>
          <w:noProof/>
        </w:rPr>
        <w:t>Uradnem listu Evropske unije</w:t>
      </w:r>
      <w:r w:rsidR="6F0B73B1" w:rsidRPr="00252A6F">
        <w:rPr>
          <w:noProof/>
        </w:rPr>
        <w:t xml:space="preserve"> –</w:t>
      </w:r>
    </w:p>
    <w:p w14:paraId="6BF25892" w14:textId="77777777" w:rsidR="003C45F0" w:rsidRPr="00252A6F" w:rsidRDefault="00F152DC" w:rsidP="0087343B">
      <w:pPr>
        <w:pStyle w:val="Formuledadoption"/>
        <w:spacing w:before="360"/>
        <w:rPr>
          <w:noProof/>
        </w:rPr>
      </w:pPr>
      <w:r w:rsidRPr="00252A6F">
        <w:rPr>
          <w:noProof/>
        </w:rPr>
        <w:t xml:space="preserve">SPREJELA NASLEDNJI SKLEP: </w:t>
      </w:r>
    </w:p>
    <w:p w14:paraId="4B3CB7D3" w14:textId="77777777" w:rsidR="004D643E" w:rsidRPr="00252A6F" w:rsidRDefault="004D643E" w:rsidP="003C45F0">
      <w:pPr>
        <w:pStyle w:val="ManualHeading2"/>
        <w:jc w:val="center"/>
        <w:rPr>
          <w:noProof/>
        </w:rPr>
      </w:pPr>
      <w:r w:rsidRPr="00252A6F">
        <w:rPr>
          <w:noProof/>
        </w:rPr>
        <w:t xml:space="preserve">Poglavje I </w:t>
      </w:r>
      <w:r w:rsidRPr="00252A6F">
        <w:rPr>
          <w:noProof/>
        </w:rPr>
        <w:br/>
        <w:t>Izredna makrofinančna pomoč</w:t>
      </w:r>
    </w:p>
    <w:p w14:paraId="7364EAF2" w14:textId="77777777" w:rsidR="004D643E" w:rsidRPr="00252A6F" w:rsidRDefault="004D643E" w:rsidP="004D643E">
      <w:pPr>
        <w:pStyle w:val="Titrearticle"/>
        <w:rPr>
          <w:noProof/>
        </w:rPr>
      </w:pPr>
      <w:r w:rsidRPr="00252A6F">
        <w:rPr>
          <w:noProof/>
        </w:rPr>
        <w:t>Člen 1</w:t>
      </w:r>
    </w:p>
    <w:p w14:paraId="01964931" w14:textId="77777777" w:rsidR="00187889" w:rsidRPr="00252A6F" w:rsidRDefault="29339EBF" w:rsidP="00616974">
      <w:pPr>
        <w:jc w:val="center"/>
        <w:rPr>
          <w:b/>
          <w:bCs/>
          <w:noProof/>
        </w:rPr>
      </w:pPr>
      <w:r w:rsidRPr="00252A6F">
        <w:rPr>
          <w:b/>
          <w:noProof/>
        </w:rPr>
        <w:t>Dajanje na voljo izredne makrofinančne pomoči Unije</w:t>
      </w:r>
    </w:p>
    <w:p w14:paraId="7D829944" w14:textId="1699549C" w:rsidR="004D643E" w:rsidRPr="00252A6F" w:rsidRDefault="00664ED4" w:rsidP="00664ED4">
      <w:pPr>
        <w:pStyle w:val="ManualNumPar1"/>
        <w:rPr>
          <w:noProof/>
        </w:rPr>
      </w:pPr>
      <w:r w:rsidRPr="00664ED4">
        <w:t>1.</w:t>
      </w:r>
      <w:r w:rsidRPr="00664ED4">
        <w:tab/>
      </w:r>
      <w:r w:rsidR="4D95487E" w:rsidRPr="00252A6F">
        <w:rPr>
          <w:noProof/>
        </w:rPr>
        <w:t>Unija da Ukrajini na voljo izredno makrofinančno pomoč v višini največ 5 000 000 000 EUR (v nadaljnjem besedilu: izredna makrofinančna pomoč Unije), da bi podprla makrofinančno stabilnost Ukrajine. Makrofinančna pomoč Unije se Ukrajini zagotovi v obliki posojil. Izredna makrofinančna pomoč Unije bo prispevala k zapolnitvi finančne vrzeli Ukrajine, ki je bila ugotovljena v sodelovanju z mednarodnimi finančnimi institucijami.</w:t>
      </w:r>
    </w:p>
    <w:p w14:paraId="163EB5F3" w14:textId="487DA114" w:rsidR="004D643E" w:rsidRPr="00252A6F" w:rsidRDefault="00664ED4" w:rsidP="00664ED4">
      <w:pPr>
        <w:pStyle w:val="ManualNumPar1"/>
        <w:rPr>
          <w:noProof/>
        </w:rPr>
      </w:pPr>
      <w:r w:rsidRPr="00664ED4">
        <w:t>2.</w:t>
      </w:r>
      <w:r w:rsidRPr="00664ED4">
        <w:tab/>
      </w:r>
      <w:r w:rsidR="1A0D313F" w:rsidRPr="00252A6F">
        <w:rPr>
          <w:noProof/>
        </w:rPr>
        <w:t>Za financiranje izredne makrofinančne pomoči Unije se na Komisijo prenese pooblastilo, da si na kapitalskih trgih ali od finančnih institucij v imenu Unije sposodi potrebna sredstva in jih nato posodi Ukrajini. Povprečna skupna zapadlost posojil iz odstavka 1 in Sklepa (EU) 2022/1201 ne presega 25 let.</w:t>
      </w:r>
    </w:p>
    <w:p w14:paraId="7ED6EE09" w14:textId="76201975" w:rsidR="004D643E" w:rsidRPr="00252A6F" w:rsidRDefault="00664ED4" w:rsidP="00664ED4">
      <w:pPr>
        <w:pStyle w:val="ManualNumPar1"/>
        <w:rPr>
          <w:rFonts w:eastAsiaTheme="minorEastAsia"/>
          <w:noProof/>
          <w:szCs w:val="24"/>
        </w:rPr>
      </w:pPr>
      <w:r w:rsidRPr="00664ED4">
        <w:t>3.</w:t>
      </w:r>
      <w:r w:rsidRPr="00664ED4">
        <w:tab/>
      </w:r>
      <w:r w:rsidR="5EDC14F4" w:rsidRPr="00252A6F">
        <w:rPr>
          <w:noProof/>
        </w:rPr>
        <w:t>Izredna makrofinančna pomoč Unije se da na voljo prvi dan po začetku veljavnosti memoranduma o soglasju iz člena 3(1) in v obdobju razpoložljivosti, ki je v njem opredeljeno, tudi če jamstva iz poglavja II, oddelek 1, tega sklepa še niso bila zagotovljena.</w:t>
      </w:r>
    </w:p>
    <w:p w14:paraId="1676C968" w14:textId="665215ED" w:rsidR="004D643E" w:rsidRPr="00252A6F" w:rsidRDefault="00664ED4" w:rsidP="00664ED4">
      <w:pPr>
        <w:pStyle w:val="ManualNumPar1"/>
        <w:rPr>
          <w:noProof/>
        </w:rPr>
      </w:pPr>
      <w:r w:rsidRPr="00664ED4">
        <w:t>4.</w:t>
      </w:r>
      <w:r w:rsidRPr="00664ED4">
        <w:tab/>
      </w:r>
      <w:r w:rsidR="31DA346E" w:rsidRPr="00252A6F">
        <w:rPr>
          <w:noProof/>
        </w:rPr>
        <w:t>Če se finančne potrebe Ukrajine v obdobju izplačevanja izredne makrofinančne pomoči Unije znatno zmanjšajo v primerjavi z začetnimi napovedmi, Komisija zmanjša znesek pomoči oziroma pomoč začasno prekine ali ukine.</w:t>
      </w:r>
    </w:p>
    <w:p w14:paraId="66195141" w14:textId="77777777" w:rsidR="004D643E" w:rsidRPr="00252A6F" w:rsidRDefault="004D643E" w:rsidP="003C45F0">
      <w:pPr>
        <w:pStyle w:val="Titrearticle"/>
        <w:rPr>
          <w:noProof/>
        </w:rPr>
      </w:pPr>
      <w:r w:rsidRPr="00252A6F">
        <w:rPr>
          <w:noProof/>
        </w:rPr>
        <w:t>Člen 2</w:t>
      </w:r>
    </w:p>
    <w:p w14:paraId="744F0679" w14:textId="77777777" w:rsidR="00187889" w:rsidRPr="00252A6F" w:rsidRDefault="24FDF5E8" w:rsidP="00616974">
      <w:pPr>
        <w:jc w:val="center"/>
        <w:rPr>
          <w:b/>
          <w:bCs/>
          <w:noProof/>
        </w:rPr>
      </w:pPr>
      <w:r w:rsidRPr="00252A6F">
        <w:rPr>
          <w:b/>
          <w:noProof/>
        </w:rPr>
        <w:t>Predpogoj za makrofinančno pomoč</w:t>
      </w:r>
    </w:p>
    <w:p w14:paraId="16B84453" w14:textId="58523F45" w:rsidR="004D643E" w:rsidRPr="00252A6F" w:rsidRDefault="00664ED4" w:rsidP="00664ED4">
      <w:pPr>
        <w:pStyle w:val="ManualNumPar1"/>
        <w:rPr>
          <w:noProof/>
        </w:rPr>
      </w:pPr>
      <w:r w:rsidRPr="00664ED4">
        <w:t>1.</w:t>
      </w:r>
      <w:r w:rsidRPr="00664ED4">
        <w:tab/>
      </w:r>
      <w:r w:rsidR="004D643E" w:rsidRPr="00252A6F">
        <w:rPr>
          <w:noProof/>
        </w:rPr>
        <w:t>Predpogoj za dodelitev makrofinančne pomoči Unije je, da Ukrajina spoštuje učinkovite demokratične mehanizme, vključno z večstrankarskim parlamentarnim sistemom, in pravno državo ter zagotavlja spoštovanje človekovih pravic.</w:t>
      </w:r>
    </w:p>
    <w:p w14:paraId="3621DB13" w14:textId="09F0073C" w:rsidR="004D643E" w:rsidRPr="00252A6F" w:rsidRDefault="00664ED4" w:rsidP="00664ED4">
      <w:pPr>
        <w:pStyle w:val="ManualNumPar1"/>
        <w:rPr>
          <w:noProof/>
        </w:rPr>
      </w:pPr>
      <w:r w:rsidRPr="00664ED4">
        <w:t>2.</w:t>
      </w:r>
      <w:r w:rsidRPr="00664ED4">
        <w:tab/>
      </w:r>
      <w:r w:rsidR="2D6D47E0" w:rsidRPr="00252A6F">
        <w:rPr>
          <w:noProof/>
        </w:rPr>
        <w:t>Komisija spremlja izpolnjevanje pogoja iz odstavka 1 v celotnem življenjskem ciklu izredne makrofinančne pomoči Unije, zlasti pred izplačili, pri čemer upošteva tudi stanje na terenu in posledice uporabe vojnega stanja.</w:t>
      </w:r>
    </w:p>
    <w:p w14:paraId="4BDE4736" w14:textId="05E6FFCD" w:rsidR="004D643E" w:rsidRPr="00252A6F" w:rsidRDefault="00664ED4" w:rsidP="00664ED4">
      <w:pPr>
        <w:pStyle w:val="ManualNumPar1"/>
        <w:rPr>
          <w:noProof/>
        </w:rPr>
      </w:pPr>
      <w:r w:rsidRPr="00664ED4">
        <w:t>3.</w:t>
      </w:r>
      <w:r w:rsidRPr="00664ED4">
        <w:tab/>
      </w:r>
      <w:r w:rsidR="657EEE71" w:rsidRPr="00252A6F">
        <w:rPr>
          <w:noProof/>
        </w:rPr>
        <w:t>Odstavka 1 in 2 tega člena se uporabljata v skladu s Sklepom Sveta 2010/427/EU</w:t>
      </w:r>
      <w:r w:rsidR="657EEE71" w:rsidRPr="00252A6F">
        <w:rPr>
          <w:rStyle w:val="FootnoteReference"/>
          <w:rFonts w:eastAsia="Times New Roman"/>
          <w:noProof/>
        </w:rPr>
        <w:footnoteReference w:id="26"/>
      </w:r>
      <w:r w:rsidR="657EEE71" w:rsidRPr="00252A6F">
        <w:rPr>
          <w:noProof/>
        </w:rPr>
        <w:t>.</w:t>
      </w:r>
    </w:p>
    <w:p w14:paraId="295EBE42" w14:textId="77777777" w:rsidR="004D643E" w:rsidRPr="00252A6F" w:rsidRDefault="004D643E" w:rsidP="003C45F0">
      <w:pPr>
        <w:pStyle w:val="Titrearticle"/>
        <w:rPr>
          <w:noProof/>
        </w:rPr>
      </w:pPr>
      <w:r w:rsidRPr="00252A6F">
        <w:rPr>
          <w:noProof/>
        </w:rPr>
        <w:t>Člen 3</w:t>
      </w:r>
    </w:p>
    <w:p w14:paraId="32B5A313" w14:textId="77777777" w:rsidR="00187889" w:rsidRPr="00252A6F" w:rsidRDefault="24FDF5E8" w:rsidP="00616974">
      <w:pPr>
        <w:jc w:val="center"/>
        <w:rPr>
          <w:b/>
          <w:bCs/>
          <w:noProof/>
        </w:rPr>
      </w:pPr>
      <w:r w:rsidRPr="00252A6F">
        <w:rPr>
          <w:b/>
          <w:noProof/>
        </w:rPr>
        <w:t>Memorandum o soglasju</w:t>
      </w:r>
    </w:p>
    <w:p w14:paraId="7D3DD31C" w14:textId="33DB7A13" w:rsidR="004D643E" w:rsidRPr="00252A6F" w:rsidRDefault="00664ED4" w:rsidP="00664ED4">
      <w:pPr>
        <w:pStyle w:val="ManualNumPar1"/>
        <w:rPr>
          <w:noProof/>
        </w:rPr>
      </w:pPr>
      <w:r w:rsidRPr="00664ED4">
        <w:t>1.</w:t>
      </w:r>
      <w:r w:rsidRPr="00664ED4">
        <w:tab/>
      </w:r>
      <w:r w:rsidR="004D643E" w:rsidRPr="00252A6F">
        <w:rPr>
          <w:noProof/>
        </w:rPr>
        <w:t>Komisija se z Ukrajino dogovori o pogojih politike, s katerimi naj se pogojuje izredna makrofinančna pomoč Unije. Pogoji politike se sprejmejo v skladu s postopkom pregleda iz člena 14(2). Ti pogoji politike se določijo v memorandumu o soglasju.</w:t>
      </w:r>
    </w:p>
    <w:p w14:paraId="47D8D6C0" w14:textId="4EDA9D90" w:rsidR="004D643E" w:rsidRPr="00252A6F" w:rsidRDefault="00664ED4" w:rsidP="00664ED4">
      <w:pPr>
        <w:pStyle w:val="ManualNumPar1"/>
        <w:rPr>
          <w:noProof/>
        </w:rPr>
      </w:pPr>
      <w:r w:rsidRPr="00664ED4">
        <w:t>2.</w:t>
      </w:r>
      <w:r w:rsidRPr="00664ED4">
        <w:tab/>
      </w:r>
      <w:r w:rsidR="2D6D47E0" w:rsidRPr="00252A6F">
        <w:rPr>
          <w:noProof/>
        </w:rPr>
        <w:t>Zahteve glede poročanja, ki so bile sprejete v okviru prvega dela te izredne makrofinančne pomoči, se vključijo v memorandum o soglasju in zagotavljajo zlasti učinkovitost, preglednost in odgovornost pri uporabi izredne makrofinančne pomoči Unije.</w:t>
      </w:r>
    </w:p>
    <w:p w14:paraId="64B36E12" w14:textId="0ABB4F37" w:rsidR="004D643E" w:rsidRPr="00252A6F" w:rsidRDefault="00664ED4" w:rsidP="00664ED4">
      <w:pPr>
        <w:pStyle w:val="ManualNumPar1"/>
        <w:rPr>
          <w:noProof/>
        </w:rPr>
      </w:pPr>
      <w:r w:rsidRPr="00664ED4">
        <w:t>3.</w:t>
      </w:r>
      <w:r w:rsidRPr="00664ED4">
        <w:tab/>
      </w:r>
      <w:r w:rsidR="70243B41" w:rsidRPr="00252A6F">
        <w:rPr>
          <w:noProof/>
        </w:rPr>
        <w:t>Podrobni finančni pogoji izredne makrofinančne pomoči Unije se določijo v sporazumu o posojilu, ki ga bosta sklenili Komisija in Ukrajina.</w:t>
      </w:r>
    </w:p>
    <w:p w14:paraId="52929F13" w14:textId="489156CA" w:rsidR="004D643E" w:rsidRPr="00252A6F" w:rsidRDefault="00664ED4" w:rsidP="00664ED4">
      <w:pPr>
        <w:pStyle w:val="ManualNumPar1"/>
        <w:rPr>
          <w:noProof/>
        </w:rPr>
      </w:pPr>
      <w:r w:rsidRPr="00664ED4">
        <w:t>4.</w:t>
      </w:r>
      <w:r w:rsidRPr="00664ED4">
        <w:tab/>
      </w:r>
      <w:r w:rsidR="70243B41" w:rsidRPr="00252A6F">
        <w:rPr>
          <w:noProof/>
        </w:rPr>
        <w:t>Komisija redno preverja izvajanje zahtev glede poročanja in napredek pri izpolnjevanju pogojev politike, dogovorjenih v memorandumu o soglasju. Komisija o rezultatih tega preverjanja obvesti Evropski parlament in Svet.</w:t>
      </w:r>
    </w:p>
    <w:p w14:paraId="5DED8360" w14:textId="77777777" w:rsidR="004D643E" w:rsidRPr="00252A6F" w:rsidRDefault="004D643E" w:rsidP="003C45F0">
      <w:pPr>
        <w:pStyle w:val="Titrearticle"/>
        <w:rPr>
          <w:noProof/>
        </w:rPr>
      </w:pPr>
      <w:r w:rsidRPr="00252A6F">
        <w:rPr>
          <w:noProof/>
        </w:rPr>
        <w:t>Člen 4</w:t>
      </w:r>
    </w:p>
    <w:p w14:paraId="7BD5F428" w14:textId="77777777" w:rsidR="00187889" w:rsidRPr="00252A6F" w:rsidRDefault="29339EBF" w:rsidP="00616974">
      <w:pPr>
        <w:jc w:val="center"/>
        <w:rPr>
          <w:noProof/>
        </w:rPr>
      </w:pPr>
      <w:r w:rsidRPr="00252A6F">
        <w:rPr>
          <w:b/>
          <w:noProof/>
        </w:rPr>
        <w:t>Sprostitev izredne makrofinančne pomoči</w:t>
      </w:r>
    </w:p>
    <w:p w14:paraId="5A048D27" w14:textId="5374F2BE" w:rsidR="004D643E" w:rsidRPr="00252A6F" w:rsidRDefault="00664ED4" w:rsidP="00664ED4">
      <w:pPr>
        <w:pStyle w:val="ManualNumPar1"/>
        <w:rPr>
          <w:noProof/>
        </w:rPr>
      </w:pPr>
      <w:r w:rsidRPr="00664ED4">
        <w:t>1.</w:t>
      </w:r>
      <w:r w:rsidRPr="00664ED4">
        <w:tab/>
      </w:r>
      <w:r w:rsidR="004D643E" w:rsidRPr="00252A6F">
        <w:rPr>
          <w:noProof/>
        </w:rPr>
        <w:t>Ob upoštevanju zahtev iz odstavka 3 da Komisija izredno makrofinančno pomoč Unije na voljo v obrokih v obliki posojila. Komisija določi časovni okvir za izplačilo posameznega obroka. Obrok se lahko izplača v eni ali več tranšah.</w:t>
      </w:r>
    </w:p>
    <w:p w14:paraId="7BA7FD49" w14:textId="7D8787E2" w:rsidR="00187889" w:rsidRPr="00252A6F" w:rsidRDefault="00664ED4" w:rsidP="00664ED4">
      <w:pPr>
        <w:pStyle w:val="ManualNumPar1"/>
        <w:rPr>
          <w:noProof/>
        </w:rPr>
      </w:pPr>
      <w:r w:rsidRPr="00664ED4">
        <w:t>2.</w:t>
      </w:r>
      <w:r w:rsidRPr="00664ED4">
        <w:tab/>
      </w:r>
      <w:r w:rsidR="24FDF5E8" w:rsidRPr="00252A6F">
        <w:rPr>
          <w:noProof/>
        </w:rPr>
        <w:t>Sprostitev izredne makrofinančne pomoči Unije upravlja Komisija v skladu s sporazumi ali dogovori, sklenjenimi med Komisijo in Ukrajino v memorandumu o soglasju iz člena 3(1).</w:t>
      </w:r>
    </w:p>
    <w:p w14:paraId="76ACDDD7" w14:textId="4BB518DC" w:rsidR="004D643E" w:rsidRPr="00252A6F" w:rsidRDefault="00664ED4" w:rsidP="00664ED4">
      <w:pPr>
        <w:pStyle w:val="ManualNumPar1"/>
        <w:rPr>
          <w:noProof/>
        </w:rPr>
      </w:pPr>
      <w:r w:rsidRPr="00664ED4">
        <w:t>3.</w:t>
      </w:r>
      <w:r w:rsidRPr="00664ED4">
        <w:tab/>
      </w:r>
      <w:r w:rsidR="2D6D47E0" w:rsidRPr="00252A6F">
        <w:rPr>
          <w:noProof/>
        </w:rPr>
        <w:t xml:space="preserve">Komisija se odloči za sprostitev obrokov, če oceni, da so izpolnjene naslednje zahteve: </w:t>
      </w:r>
    </w:p>
    <w:p w14:paraId="60C778EA" w14:textId="5B93AF33" w:rsidR="00DA6B52" w:rsidRPr="00252A6F" w:rsidRDefault="00664ED4" w:rsidP="00664ED4">
      <w:pPr>
        <w:pStyle w:val="Point1"/>
        <w:rPr>
          <w:noProof/>
        </w:rPr>
      </w:pPr>
      <w:r w:rsidRPr="00664ED4">
        <w:t>(a)</w:t>
      </w:r>
      <w:r w:rsidRPr="00664ED4">
        <w:tab/>
      </w:r>
      <w:r w:rsidR="00DA6B52" w:rsidRPr="00252A6F">
        <w:rPr>
          <w:noProof/>
        </w:rPr>
        <w:t xml:space="preserve">spoštovanje pogoja iz člena 2(1); </w:t>
      </w:r>
    </w:p>
    <w:p w14:paraId="05F7FE4B" w14:textId="36545027" w:rsidR="00604E2B" w:rsidRPr="00252A6F" w:rsidRDefault="00664ED4" w:rsidP="00664ED4">
      <w:pPr>
        <w:pStyle w:val="Point1"/>
        <w:rPr>
          <w:noProof/>
        </w:rPr>
      </w:pPr>
      <w:r w:rsidRPr="00664ED4">
        <w:t>(b)</w:t>
      </w:r>
      <w:r w:rsidRPr="00664ED4">
        <w:tab/>
      </w:r>
      <w:r w:rsidR="00604E2B" w:rsidRPr="00252A6F">
        <w:rPr>
          <w:noProof/>
        </w:rPr>
        <w:t>zadovoljivo izvajanje zahtev glede poročanja, dogovorjenih v memorandumu o soglasju;</w:t>
      </w:r>
    </w:p>
    <w:p w14:paraId="4D2460A1" w14:textId="3793A601" w:rsidR="00604E2B" w:rsidRPr="00252A6F" w:rsidRDefault="00664ED4" w:rsidP="00664ED4">
      <w:pPr>
        <w:pStyle w:val="Point1"/>
        <w:rPr>
          <w:noProof/>
        </w:rPr>
      </w:pPr>
      <w:r w:rsidRPr="00664ED4">
        <w:t>(c)</w:t>
      </w:r>
      <w:r w:rsidRPr="00664ED4">
        <w:tab/>
      </w:r>
      <w:r w:rsidR="00604E2B" w:rsidRPr="00252A6F">
        <w:rPr>
          <w:noProof/>
        </w:rPr>
        <w:t>za drugi obrok in naslednje obroke zadovoljiv napredek pri izvajanju pogojev politike, dogovorjenih v memorandumu o soglasju.</w:t>
      </w:r>
    </w:p>
    <w:p w14:paraId="6315F304" w14:textId="205F1972" w:rsidR="003E4A69" w:rsidRPr="00252A6F" w:rsidRDefault="003E4A69" w:rsidP="009405C2">
      <w:pPr>
        <w:pStyle w:val="Text1"/>
        <w:rPr>
          <w:noProof/>
        </w:rPr>
      </w:pPr>
      <w:r w:rsidRPr="00252A6F">
        <w:rPr>
          <w:noProof/>
        </w:rPr>
        <w:t>Preden se izplača najvišji možen znesek makrofinančne pomoči, Komisija preveri izpolnjevanje vseh pogojev politike, dogovorjenih v memorandumu o soglasju.</w:t>
      </w:r>
    </w:p>
    <w:p w14:paraId="5C18CD53" w14:textId="4549B438" w:rsidR="004D643E" w:rsidRPr="00252A6F" w:rsidRDefault="00664ED4" w:rsidP="00664ED4">
      <w:pPr>
        <w:pStyle w:val="ManualNumPar1"/>
        <w:rPr>
          <w:rFonts w:eastAsiaTheme="minorEastAsia"/>
          <w:noProof/>
        </w:rPr>
      </w:pPr>
      <w:r w:rsidRPr="00664ED4">
        <w:t>4.</w:t>
      </w:r>
      <w:r w:rsidRPr="00664ED4">
        <w:tab/>
      </w:r>
      <w:r w:rsidR="2D6D47E0" w:rsidRPr="00252A6F">
        <w:rPr>
          <w:noProof/>
        </w:rPr>
        <w:t>Če zahtevi iz odstavka 3 nista več izpolnjeni, Komisija začasno prekine ali ukine izplačilo izredne makrofinančne pomoči Unije. V takšnih primerih obvesti Evropski parlament in Svet o razlogih za začasno prekinitev ali ukinitev.</w:t>
      </w:r>
    </w:p>
    <w:p w14:paraId="3E89C012" w14:textId="513A5131" w:rsidR="004D643E" w:rsidRPr="00252A6F" w:rsidRDefault="00664ED4" w:rsidP="00664ED4">
      <w:pPr>
        <w:pStyle w:val="ManualNumPar1"/>
        <w:rPr>
          <w:noProof/>
        </w:rPr>
      </w:pPr>
      <w:r w:rsidRPr="00664ED4">
        <w:t>5.</w:t>
      </w:r>
      <w:r w:rsidRPr="00664ED4">
        <w:tab/>
      </w:r>
      <w:r w:rsidR="2D6D47E0" w:rsidRPr="00252A6F">
        <w:rPr>
          <w:noProof/>
        </w:rPr>
        <w:t>Izredna makrofinančna pomoč Unije se načeloma izplača Narodni banki Ukrajine. Ob upoštevanju določb, ki se dogovorijo v memorandumu o soglasju, vključno s potrditvijo preostalih potreb po proračunskem financiranju, se lahko sredstva Unije izplačajo ukrajinskemu ministrstvu za finance kot končnemu upravičencu.</w:t>
      </w:r>
    </w:p>
    <w:p w14:paraId="459A40FD" w14:textId="77777777" w:rsidR="00DE6CD2" w:rsidRPr="00252A6F" w:rsidRDefault="00DE6CD2" w:rsidP="00DE6CD2">
      <w:pPr>
        <w:pStyle w:val="Titrearticle"/>
        <w:rPr>
          <w:noProof/>
        </w:rPr>
      </w:pPr>
      <w:r w:rsidRPr="00252A6F">
        <w:rPr>
          <w:noProof/>
        </w:rPr>
        <w:t>Člen 5</w:t>
      </w:r>
    </w:p>
    <w:p w14:paraId="49BC0A91" w14:textId="77777777" w:rsidR="00DE6CD2" w:rsidRPr="00252A6F" w:rsidRDefault="53EF17ED" w:rsidP="00D10749">
      <w:pPr>
        <w:jc w:val="center"/>
        <w:rPr>
          <w:noProof/>
        </w:rPr>
      </w:pPr>
      <w:r w:rsidRPr="00252A6F">
        <w:rPr>
          <w:b/>
          <w:noProof/>
        </w:rPr>
        <w:t>Najemanje in dajanje posojil</w:t>
      </w:r>
      <w:r w:rsidRPr="00252A6F">
        <w:rPr>
          <w:noProof/>
        </w:rPr>
        <w:t xml:space="preserve"> </w:t>
      </w:r>
    </w:p>
    <w:p w14:paraId="4DEE42A7" w14:textId="6F5CABDE" w:rsidR="00DE6CD2" w:rsidRPr="00252A6F" w:rsidRDefault="00664ED4" w:rsidP="00664ED4">
      <w:pPr>
        <w:pStyle w:val="ManualNumPar1"/>
        <w:rPr>
          <w:noProof/>
        </w:rPr>
      </w:pPr>
      <w:r w:rsidRPr="00664ED4">
        <w:t>1.</w:t>
      </w:r>
      <w:r w:rsidRPr="00664ED4">
        <w:tab/>
      </w:r>
      <w:r w:rsidR="00DE6CD2" w:rsidRPr="00252A6F">
        <w:rPr>
          <w:noProof/>
        </w:rPr>
        <w:t xml:space="preserve">Najemanje in dajanje posojil se izvajata v skladu s členom 220 finančne uredbe. </w:t>
      </w:r>
    </w:p>
    <w:p w14:paraId="487FE2AD" w14:textId="0ECD26F8" w:rsidR="00DE6CD2" w:rsidRPr="00252A6F" w:rsidRDefault="00664ED4" w:rsidP="00664ED4">
      <w:pPr>
        <w:pStyle w:val="ManualNumPar1"/>
        <w:rPr>
          <w:noProof/>
        </w:rPr>
      </w:pPr>
      <w:r w:rsidRPr="00664ED4">
        <w:t>2.</w:t>
      </w:r>
      <w:r w:rsidRPr="00664ED4">
        <w:tab/>
      </w:r>
      <w:r w:rsidR="00DE6CD2" w:rsidRPr="00252A6F">
        <w:rPr>
          <w:noProof/>
        </w:rPr>
        <w:t>Komisija lahko po potrebi z odstopanjem od člena 220(2) finančne uredbe obnovi povezana posojila, sklenjena v imenu Unije.</w:t>
      </w:r>
    </w:p>
    <w:p w14:paraId="6D27D0CD" w14:textId="77777777" w:rsidR="004D643E" w:rsidRPr="00252A6F" w:rsidRDefault="004D643E" w:rsidP="00DA6B52">
      <w:pPr>
        <w:pStyle w:val="Titrearticle"/>
        <w:rPr>
          <w:noProof/>
        </w:rPr>
      </w:pPr>
      <w:r w:rsidRPr="00252A6F">
        <w:rPr>
          <w:noProof/>
        </w:rPr>
        <w:t>Člen 6</w:t>
      </w:r>
    </w:p>
    <w:p w14:paraId="2B822D07" w14:textId="77777777" w:rsidR="007B7AFC" w:rsidRPr="00252A6F" w:rsidRDefault="53EF17ED" w:rsidP="00D10749">
      <w:pPr>
        <w:jc w:val="center"/>
        <w:rPr>
          <w:b/>
          <w:bCs/>
          <w:noProof/>
        </w:rPr>
      </w:pPr>
      <w:r w:rsidRPr="00252A6F">
        <w:rPr>
          <w:b/>
          <w:noProof/>
        </w:rPr>
        <w:t>Subvencija obrestne mere</w:t>
      </w:r>
    </w:p>
    <w:p w14:paraId="3C063664" w14:textId="7841C91C" w:rsidR="004D643E" w:rsidRPr="00252A6F" w:rsidRDefault="00664ED4" w:rsidP="00664ED4">
      <w:pPr>
        <w:pStyle w:val="ManualNumPar1"/>
        <w:rPr>
          <w:noProof/>
        </w:rPr>
      </w:pPr>
      <w:r w:rsidRPr="00664ED4">
        <w:t>1.</w:t>
      </w:r>
      <w:r w:rsidRPr="00664ED4">
        <w:tab/>
      </w:r>
      <w:r w:rsidR="032CBFED" w:rsidRPr="00252A6F">
        <w:rPr>
          <w:noProof/>
        </w:rPr>
        <w:t>Z odstopanjem od člena 220(5), točka (e), finančne uredbe lahko Unija za posojila na podlagi tega sklepa prevzame obresti z odobritvijo subvencije obrestne mere in prevzemom upravnih stroškov v zvezi z najemanjem in dajanjem posojila, razen stroškov v zvezi s predčasnim odplačilom posojil.</w:t>
      </w:r>
    </w:p>
    <w:p w14:paraId="556173CB" w14:textId="48B8E54E" w:rsidR="009044EA" w:rsidRPr="00252A6F" w:rsidRDefault="00664ED4" w:rsidP="00664ED4">
      <w:pPr>
        <w:pStyle w:val="ManualNumPar1"/>
        <w:rPr>
          <w:noProof/>
        </w:rPr>
      </w:pPr>
      <w:r w:rsidRPr="00664ED4">
        <w:t>2.</w:t>
      </w:r>
      <w:r w:rsidRPr="00664ED4">
        <w:tab/>
      </w:r>
      <w:r w:rsidR="2D6D47E0" w:rsidRPr="00252A6F">
        <w:rPr>
          <w:noProof/>
        </w:rPr>
        <w:t>Ukrajina lahko Unijo zaprosi za subvencijo obrestne mere in prevzem upravnih stroškov do konca marca vsako leto.</w:t>
      </w:r>
    </w:p>
    <w:p w14:paraId="16A407F1" w14:textId="69785745" w:rsidR="00DE6CD2" w:rsidRPr="00252A6F" w:rsidRDefault="00664ED4" w:rsidP="00664ED4">
      <w:pPr>
        <w:pStyle w:val="ManualNumPar1"/>
        <w:rPr>
          <w:noProof/>
        </w:rPr>
      </w:pPr>
      <w:r w:rsidRPr="00664ED4">
        <w:t>3.</w:t>
      </w:r>
      <w:r w:rsidRPr="00664ED4">
        <w:tab/>
      </w:r>
      <w:r w:rsidR="71A42874" w:rsidRPr="00252A6F">
        <w:rPr>
          <w:noProof/>
        </w:rPr>
        <w:t>Sredstva iz člena 6(2), točka (a), prva alinea, Uredbe (EU) 2021/947 se uporabijo za kritje stroškov za plačilo obresti v zvezi z makrofinančno pomočjo v obdobju 2021–2027 kot subvencija obrestne mere.</w:t>
      </w:r>
    </w:p>
    <w:p w14:paraId="2DD1702F" w14:textId="77777777" w:rsidR="00D518F3" w:rsidRPr="00252A6F" w:rsidRDefault="00D518F3" w:rsidP="00D518F3">
      <w:pPr>
        <w:pStyle w:val="Titrearticle"/>
        <w:rPr>
          <w:noProof/>
        </w:rPr>
      </w:pPr>
      <w:r w:rsidRPr="00252A6F">
        <w:rPr>
          <w:noProof/>
        </w:rPr>
        <w:t>Člen 7</w:t>
      </w:r>
    </w:p>
    <w:p w14:paraId="56C9876D" w14:textId="77777777" w:rsidR="007B7AFC" w:rsidRPr="00252A6F" w:rsidRDefault="007B7AFC" w:rsidP="007B7AFC">
      <w:pPr>
        <w:pStyle w:val="Text1"/>
        <w:jc w:val="center"/>
        <w:rPr>
          <w:b/>
          <w:noProof/>
        </w:rPr>
      </w:pPr>
      <w:r w:rsidRPr="00252A6F">
        <w:rPr>
          <w:b/>
          <w:noProof/>
        </w:rPr>
        <w:t>Obveščanje Evropskega parlamenta in Sveta</w:t>
      </w:r>
    </w:p>
    <w:p w14:paraId="0C5D3DF6" w14:textId="77777777" w:rsidR="00187889" w:rsidRPr="00252A6F" w:rsidRDefault="004D643E" w:rsidP="00D518F3">
      <w:pPr>
        <w:rPr>
          <w:noProof/>
        </w:rPr>
      </w:pPr>
      <w:r w:rsidRPr="00252A6F">
        <w:rPr>
          <w:noProof/>
        </w:rPr>
        <w:t>Komisija Evropski parlament in Svet obvešča o izredni makrofinančni pomoči Unije, tudi v zvezi z izplačili in operacijami iz odstavkov 2 in 3 člena 5, ter jima pravočasno predloži ustrezne dokumente.</w:t>
      </w:r>
    </w:p>
    <w:p w14:paraId="701EC647" w14:textId="77777777" w:rsidR="004D643E" w:rsidRPr="00252A6F" w:rsidRDefault="176DECB7" w:rsidP="00DA6B52">
      <w:pPr>
        <w:pStyle w:val="Titrearticle"/>
        <w:rPr>
          <w:noProof/>
        </w:rPr>
      </w:pPr>
      <w:r w:rsidRPr="00252A6F">
        <w:rPr>
          <w:noProof/>
        </w:rPr>
        <w:t>Člen 8</w:t>
      </w:r>
    </w:p>
    <w:p w14:paraId="67A98FAC" w14:textId="1D68D9F8" w:rsidR="007B7AFC" w:rsidRPr="00252A6F" w:rsidRDefault="007B7AFC" w:rsidP="007B7AFC">
      <w:pPr>
        <w:shd w:val="clear" w:color="auto" w:fill="FFFFFF" w:themeFill="background1"/>
        <w:spacing w:after="0"/>
        <w:jc w:val="center"/>
        <w:rPr>
          <w:rFonts w:eastAsia="Times New Roman"/>
          <w:b/>
          <w:noProof/>
        </w:rPr>
      </w:pPr>
      <w:r w:rsidRPr="00252A6F">
        <w:rPr>
          <w:b/>
          <w:noProof/>
        </w:rPr>
        <w:t>Ocena izvajanja izredne makrofinančne pomoči</w:t>
      </w:r>
    </w:p>
    <w:p w14:paraId="397B9772" w14:textId="6279CA8A" w:rsidR="007B7AFC" w:rsidRPr="00252A6F" w:rsidRDefault="00604E2B" w:rsidP="00604E2B">
      <w:pPr>
        <w:rPr>
          <w:noProof/>
        </w:rPr>
      </w:pPr>
      <w:r w:rsidRPr="00252A6F">
        <w:rPr>
          <w:noProof/>
        </w:rPr>
        <w:t>Med izvajanjem makrofinančne pomoči Unije Komisija z operativnimi ocenami ponovno presodi ustreznost finančnih ureditev, upravnih postopkov ter mehanizmov notranje in zunanje kontrole Ukrajine, ki so pomembni za tako pomoč. Ta operativna ocena se lahko izvede skupaj z oceno na podlagi Sklepa (EU) 2022/1201.</w:t>
      </w:r>
    </w:p>
    <w:p w14:paraId="556DC442" w14:textId="77777777" w:rsidR="00A376B5" w:rsidRPr="00252A6F" w:rsidRDefault="0C52BBBD" w:rsidP="00DA6B52">
      <w:pPr>
        <w:pStyle w:val="ManualHeading2"/>
        <w:jc w:val="center"/>
        <w:rPr>
          <w:noProof/>
        </w:rPr>
      </w:pPr>
      <w:r w:rsidRPr="00252A6F">
        <w:rPr>
          <w:noProof/>
        </w:rPr>
        <w:t xml:space="preserve">Poglavje II </w:t>
      </w:r>
      <w:r w:rsidRPr="00252A6F">
        <w:rPr>
          <w:noProof/>
        </w:rPr>
        <w:br/>
        <w:t xml:space="preserve">Okrepitev skupnega sklada za rezervacije </w:t>
      </w:r>
    </w:p>
    <w:p w14:paraId="6F0EFBA1" w14:textId="77777777" w:rsidR="00A376B5" w:rsidRPr="00252A6F" w:rsidRDefault="00A376B5" w:rsidP="00DA6B52">
      <w:pPr>
        <w:pStyle w:val="ManualHeading2"/>
        <w:jc w:val="center"/>
        <w:rPr>
          <w:noProof/>
        </w:rPr>
      </w:pPr>
      <w:r w:rsidRPr="00252A6F">
        <w:rPr>
          <w:noProof/>
        </w:rPr>
        <w:t>Oddelek 1</w:t>
      </w:r>
    </w:p>
    <w:p w14:paraId="2CD83FA8" w14:textId="77777777" w:rsidR="004D643E" w:rsidRPr="00252A6F" w:rsidRDefault="004D643E" w:rsidP="00DA6B52">
      <w:pPr>
        <w:pStyle w:val="ManualHeading2"/>
        <w:jc w:val="center"/>
        <w:rPr>
          <w:noProof/>
        </w:rPr>
      </w:pPr>
      <w:r w:rsidRPr="00252A6F">
        <w:rPr>
          <w:noProof/>
        </w:rPr>
        <w:t>Jamstva držav članic za izredno makrofinančno pomoč Unije na podlagi tega sklepa in Sklepa (EU) 2021/1201</w:t>
      </w:r>
    </w:p>
    <w:p w14:paraId="7F0EE6B8" w14:textId="77777777" w:rsidR="004D643E" w:rsidRPr="00252A6F" w:rsidRDefault="004D643E" w:rsidP="00DA6B52">
      <w:pPr>
        <w:pStyle w:val="Titrearticle"/>
        <w:rPr>
          <w:noProof/>
        </w:rPr>
      </w:pPr>
      <w:r w:rsidRPr="00252A6F">
        <w:rPr>
          <w:noProof/>
        </w:rPr>
        <w:t>Člen 9</w:t>
      </w:r>
    </w:p>
    <w:p w14:paraId="79B6271D" w14:textId="77777777" w:rsidR="004D643E" w:rsidRPr="00252A6F" w:rsidRDefault="0C52BBBD" w:rsidP="26DEF6C3">
      <w:pPr>
        <w:jc w:val="center"/>
        <w:rPr>
          <w:b/>
          <w:bCs/>
          <w:noProof/>
        </w:rPr>
      </w:pPr>
      <w:r w:rsidRPr="00252A6F">
        <w:rPr>
          <w:b/>
          <w:noProof/>
        </w:rPr>
        <w:t>Prispevki držav članic v obliki jamstev</w:t>
      </w:r>
    </w:p>
    <w:p w14:paraId="5C07708E" w14:textId="493AA27C" w:rsidR="004D643E" w:rsidRPr="00252A6F" w:rsidRDefault="00664ED4" w:rsidP="00664ED4">
      <w:pPr>
        <w:pStyle w:val="ManualNumPar1"/>
        <w:rPr>
          <w:noProof/>
          <w:color w:val="000000" w:themeColor="text1"/>
        </w:rPr>
      </w:pPr>
      <w:r w:rsidRPr="00664ED4">
        <w:t>1.</w:t>
      </w:r>
      <w:r w:rsidRPr="00664ED4">
        <w:tab/>
      </w:r>
      <w:r w:rsidR="0C52BBBD" w:rsidRPr="00252A6F">
        <w:rPr>
          <w:noProof/>
        </w:rPr>
        <w:t>Države članice lahko dopolnijo oblikovanje rezervacij za makrofinančno pomoč v skupnem skladu za rezervacije, tako da zagotovijo jamstva do skupnega zneska 3 660 000 000 EUR za izredno makrofinančno pomoč Unije Ukrajini na podlagi člena 1 tega sklepa in na podlagi Sklepa (EU) 2022/1201 (v nadaljnjem besedilu: kriti makrofinančni pomoči).</w:t>
      </w:r>
    </w:p>
    <w:p w14:paraId="2475DC84" w14:textId="685CBFE5" w:rsidR="004D643E" w:rsidRPr="00252A6F" w:rsidRDefault="00664ED4" w:rsidP="00664ED4">
      <w:pPr>
        <w:pStyle w:val="ManualNumPar1"/>
        <w:rPr>
          <w:noProof/>
          <w:color w:val="000000" w:themeColor="text1"/>
        </w:rPr>
      </w:pPr>
      <w:r w:rsidRPr="00664ED4">
        <w:t>2.</w:t>
      </w:r>
      <w:r w:rsidRPr="00664ED4">
        <w:tab/>
      </w:r>
      <w:r w:rsidR="378F764A" w:rsidRPr="00252A6F">
        <w:rPr>
          <w:noProof/>
        </w:rPr>
        <w:t>Če države članice zagotovijo prispevke, se ti zagotovijo v obliki nepreklicnih in brezpogojnih jamstev na zahtevo na podlagi sporazuma o jamstvu, sklenjenega s Komisijo, v skladu s členom 10.</w:t>
      </w:r>
      <w:r w:rsidR="378F764A" w:rsidRPr="00252A6F">
        <w:rPr>
          <w:noProof/>
          <w:color w:val="000000" w:themeColor="text1"/>
        </w:rPr>
        <w:t xml:space="preserve"> </w:t>
      </w:r>
    </w:p>
    <w:p w14:paraId="58998121" w14:textId="2BF4C600" w:rsidR="004D643E" w:rsidRPr="00252A6F" w:rsidRDefault="00664ED4" w:rsidP="00664ED4">
      <w:pPr>
        <w:pStyle w:val="ManualNumPar1"/>
        <w:rPr>
          <w:noProof/>
        </w:rPr>
      </w:pPr>
      <w:r w:rsidRPr="00664ED4">
        <w:t>3.</w:t>
      </w:r>
      <w:r w:rsidRPr="00664ED4">
        <w:tab/>
      </w:r>
      <w:r w:rsidR="2D6D47E0" w:rsidRPr="00252A6F">
        <w:rPr>
          <w:noProof/>
        </w:rPr>
        <w:t>Sorazmerni delež prispevka zadevne države članice k znesku iz odstavka 1 ustreza sorazmernemu deležu navedene države članice glede na skupni bruto nacionalni dohodek Unije, kot izhaja iz stolpca 1 razpredelnice 4 dela A („Financiranje letnega proračuna Unije, uvod“) poglavja splošnih prihodkov proračuna za leto 2022, kot je določeno v splošnem proračunu Unije za proračunsko leto 2022, sprejetem 24. novembra 2021.</w:t>
      </w:r>
    </w:p>
    <w:p w14:paraId="13FBAC47" w14:textId="7E0F4C73" w:rsidR="004D643E" w:rsidRPr="00252A6F" w:rsidRDefault="00664ED4" w:rsidP="00664ED4">
      <w:pPr>
        <w:pStyle w:val="ManualNumPar1"/>
        <w:rPr>
          <w:noProof/>
        </w:rPr>
      </w:pPr>
      <w:r w:rsidRPr="00664ED4">
        <w:t>4.</w:t>
      </w:r>
      <w:r w:rsidRPr="00664ED4">
        <w:tab/>
      </w:r>
      <w:r w:rsidR="2D6D47E0" w:rsidRPr="00252A6F">
        <w:rPr>
          <w:noProof/>
        </w:rPr>
        <w:t xml:space="preserve">Jamstva posamezne države članice začnejo veljati z datumom začetka veljavnosti sporazuma o jamstvu iz člena 10 med Komisijo in zadevno državo članico. </w:t>
      </w:r>
    </w:p>
    <w:p w14:paraId="390CD8BD" w14:textId="77777777" w:rsidR="004D643E" w:rsidRPr="00252A6F" w:rsidRDefault="004D643E" w:rsidP="009405C2">
      <w:pPr>
        <w:pStyle w:val="Titrearticle"/>
        <w:rPr>
          <w:noProof/>
        </w:rPr>
      </w:pPr>
      <w:r w:rsidRPr="00252A6F">
        <w:rPr>
          <w:noProof/>
        </w:rPr>
        <w:t>Člen 10</w:t>
      </w:r>
    </w:p>
    <w:p w14:paraId="3CE3A64C" w14:textId="77777777" w:rsidR="000556FA" w:rsidRPr="00252A6F" w:rsidRDefault="000556FA" w:rsidP="000556FA">
      <w:pPr>
        <w:jc w:val="center"/>
        <w:rPr>
          <w:b/>
          <w:noProof/>
        </w:rPr>
      </w:pPr>
      <w:r w:rsidRPr="00252A6F">
        <w:rPr>
          <w:b/>
          <w:noProof/>
        </w:rPr>
        <w:t>Sporazumi o jamstvu</w:t>
      </w:r>
    </w:p>
    <w:p w14:paraId="046F9112" w14:textId="4C158571" w:rsidR="000556FA" w:rsidRPr="00252A6F" w:rsidRDefault="000556FA" w:rsidP="009405C2">
      <w:pPr>
        <w:rPr>
          <w:noProof/>
        </w:rPr>
      </w:pPr>
      <w:r w:rsidRPr="00252A6F">
        <w:rPr>
          <w:noProof/>
        </w:rPr>
        <w:t xml:space="preserve">Komisija sklene sporazum o jamstvu z vsako državo članico, ki zagotovi jamstvo v skladu s členom 9. Ta sporazum določa pravila v zvezi z jamstvom, ki so enaka za vse države članice, kar vključuje zlasti: </w:t>
      </w:r>
    </w:p>
    <w:p w14:paraId="471D22C0" w14:textId="02CFEEF8" w:rsidR="000556FA" w:rsidRPr="00252A6F" w:rsidRDefault="00664ED4" w:rsidP="00664ED4">
      <w:pPr>
        <w:pStyle w:val="Point0"/>
        <w:rPr>
          <w:noProof/>
        </w:rPr>
      </w:pPr>
      <w:r w:rsidRPr="00664ED4">
        <w:t>(b)</w:t>
      </w:r>
      <w:r w:rsidRPr="00664ED4">
        <w:tab/>
      </w:r>
      <w:r w:rsidR="77594846" w:rsidRPr="00252A6F">
        <w:rPr>
          <w:noProof/>
        </w:rPr>
        <w:t xml:space="preserve">določbe glede obveznosti držav članic, da izpolnijo zahtevo Komisije za unovčitev jamstev v zvezi s kritima makrofinančnima pomočema, potem ko so bili ali bodo počrpani celotni zneski prvotnih rezervacij, oblikovanih v skupnem skladu za rezervacije za finančne obveznosti v zvezi s kritima makrofinančnima pomočema; </w:t>
      </w:r>
    </w:p>
    <w:p w14:paraId="43CAF6F7" w14:textId="145B04B2" w:rsidR="000556FA" w:rsidRPr="00252A6F" w:rsidRDefault="00664ED4" w:rsidP="00664ED4">
      <w:pPr>
        <w:pStyle w:val="Point0"/>
        <w:rPr>
          <w:noProof/>
        </w:rPr>
      </w:pPr>
      <w:r w:rsidRPr="00664ED4">
        <w:t>(c)</w:t>
      </w:r>
      <w:r w:rsidRPr="00664ED4">
        <w:tab/>
      </w:r>
      <w:r w:rsidR="568C9416" w:rsidRPr="00252A6F">
        <w:rPr>
          <w:noProof/>
        </w:rPr>
        <w:t xml:space="preserve">določbe, ki zagotavljajo, da se unovčitve jamstev izvedejo sorazmerno in temeljijo na razdelitvenem ključu glede prispevkov iz člena 9(3); </w:t>
      </w:r>
    </w:p>
    <w:p w14:paraId="641FE0AA" w14:textId="0FE9B896" w:rsidR="00F3143D" w:rsidRPr="00252A6F" w:rsidRDefault="00664ED4" w:rsidP="00664ED4">
      <w:pPr>
        <w:pStyle w:val="Point0"/>
        <w:rPr>
          <w:rFonts w:eastAsiaTheme="minorEastAsia"/>
          <w:noProof/>
        </w:rPr>
      </w:pPr>
      <w:r w:rsidRPr="00664ED4">
        <w:t>(d)</w:t>
      </w:r>
      <w:r w:rsidRPr="00664ED4">
        <w:tab/>
      </w:r>
      <w:r w:rsidR="00F3143D" w:rsidRPr="00252A6F">
        <w:rPr>
          <w:noProof/>
        </w:rPr>
        <w:t>določbe, ki zagotavljajo, da bo na podlagi unovčitve jamstva Unija zmožna odplačati sredstva, izposojena v skladu s členom 1(2) na kapitalskih trgih ali od finančnih institucij, če Ukrajina dolgov ne plača ali če se zgolj pričakuje, da jih ne bo plačala, kar vključuje primere spremembe časovnega razporeda plačil iz kakršnega koli razloga;</w:t>
      </w:r>
    </w:p>
    <w:p w14:paraId="5C714C0D" w14:textId="5A6FD921" w:rsidR="008B207A" w:rsidRPr="00252A6F" w:rsidRDefault="00664ED4" w:rsidP="00664ED4">
      <w:pPr>
        <w:pStyle w:val="Point0"/>
        <w:rPr>
          <w:rFonts w:eastAsiaTheme="minorEastAsia"/>
          <w:noProof/>
        </w:rPr>
      </w:pPr>
      <w:r w:rsidRPr="00664ED4">
        <w:t>(e)</w:t>
      </w:r>
      <w:r w:rsidRPr="00664ED4">
        <w:tab/>
      </w:r>
      <w:r w:rsidR="7DEB4FDF" w:rsidRPr="00252A6F">
        <w:rPr>
          <w:noProof/>
        </w:rPr>
        <w:t xml:space="preserve">določbe, ki zagotavljajo, da se lahko unovčitev jamstev uporabi za dopolnitev skupnega sklada za rezervacije za oblikovanje rezervacij, ki so bile črpane v zvezi s kritima makrofinančnima pomočema; </w:t>
      </w:r>
    </w:p>
    <w:p w14:paraId="017F8543" w14:textId="01F62180" w:rsidR="000556FA" w:rsidRPr="00252A6F" w:rsidRDefault="00664ED4" w:rsidP="00664ED4">
      <w:pPr>
        <w:pStyle w:val="Point0"/>
        <w:rPr>
          <w:noProof/>
        </w:rPr>
      </w:pPr>
      <w:r w:rsidRPr="00664ED4">
        <w:t>(f)</w:t>
      </w:r>
      <w:r w:rsidRPr="00664ED4">
        <w:tab/>
      </w:r>
      <w:r w:rsidR="31680DA9" w:rsidRPr="00252A6F">
        <w:rPr>
          <w:noProof/>
        </w:rPr>
        <w:t>določbe, ki zagotavljajo, da država članica, ki ni izpolnila zahteve po unovčitvi, ostane zavezana, da jo izpolni;</w:t>
      </w:r>
    </w:p>
    <w:p w14:paraId="14281C75" w14:textId="71AFD7C9" w:rsidR="000556FA" w:rsidRPr="00252A6F" w:rsidRDefault="00664ED4" w:rsidP="00664ED4">
      <w:pPr>
        <w:pStyle w:val="Point0"/>
        <w:rPr>
          <w:noProof/>
        </w:rPr>
      </w:pPr>
      <w:r w:rsidRPr="00664ED4">
        <w:t>(g)</w:t>
      </w:r>
      <w:r w:rsidRPr="00664ED4">
        <w:tab/>
      </w:r>
      <w:r w:rsidR="42862F9E" w:rsidRPr="00252A6F">
        <w:rPr>
          <w:noProof/>
        </w:rPr>
        <w:t>določbe v zvezi s plačilnimi pogoji.</w:t>
      </w:r>
    </w:p>
    <w:p w14:paraId="61D8620F" w14:textId="77777777" w:rsidR="000556FA" w:rsidRPr="00252A6F" w:rsidRDefault="00A376B5" w:rsidP="00DA6B52">
      <w:pPr>
        <w:jc w:val="center"/>
        <w:rPr>
          <w:b/>
          <w:noProof/>
        </w:rPr>
      </w:pPr>
      <w:r w:rsidRPr="00252A6F">
        <w:rPr>
          <w:b/>
          <w:noProof/>
        </w:rPr>
        <w:t>Oddelek 2</w:t>
      </w:r>
    </w:p>
    <w:p w14:paraId="4536CF93" w14:textId="77777777" w:rsidR="00A376B5" w:rsidRPr="00252A6F" w:rsidRDefault="00A376B5" w:rsidP="00DA6B52">
      <w:pPr>
        <w:jc w:val="center"/>
        <w:rPr>
          <w:b/>
          <w:noProof/>
        </w:rPr>
      </w:pPr>
      <w:r w:rsidRPr="00252A6F">
        <w:rPr>
          <w:b/>
          <w:noProof/>
        </w:rPr>
        <w:t>Oblikovanje rezervacij za kriti makrofinančni pomoči in nekatere finančne obveznosti v okviru zunanjega mandata EIB v Ukrajini</w:t>
      </w:r>
    </w:p>
    <w:p w14:paraId="62C60EC5" w14:textId="77777777" w:rsidR="000556FA" w:rsidRPr="00252A6F" w:rsidRDefault="000556FA" w:rsidP="000556FA">
      <w:pPr>
        <w:pStyle w:val="Titrearticle"/>
        <w:rPr>
          <w:b/>
          <w:noProof/>
        </w:rPr>
      </w:pPr>
      <w:bookmarkStart w:id="4" w:name="_Hlk105846293"/>
      <w:r w:rsidRPr="00252A6F">
        <w:rPr>
          <w:noProof/>
        </w:rPr>
        <w:t>Člen 11</w:t>
      </w:r>
    </w:p>
    <w:p w14:paraId="633189A2" w14:textId="77777777" w:rsidR="00A376B5" w:rsidRPr="00252A6F" w:rsidRDefault="00187889" w:rsidP="00DA6B52">
      <w:pPr>
        <w:jc w:val="center"/>
        <w:rPr>
          <w:b/>
          <w:noProof/>
        </w:rPr>
      </w:pPr>
      <w:r w:rsidRPr="00252A6F">
        <w:rPr>
          <w:b/>
          <w:noProof/>
        </w:rPr>
        <w:t xml:space="preserve">Oblikovanje rezervacij za kriti makrofinančni pomoči </w:t>
      </w:r>
    </w:p>
    <w:bookmarkEnd w:id="4"/>
    <w:p w14:paraId="0D2A27D7" w14:textId="3F95D241" w:rsidR="00A55609" w:rsidRPr="00252A6F" w:rsidRDefault="00664ED4" w:rsidP="00664ED4">
      <w:pPr>
        <w:pStyle w:val="ManualNumPar1"/>
        <w:rPr>
          <w:noProof/>
        </w:rPr>
      </w:pPr>
      <w:r w:rsidRPr="00664ED4">
        <w:t>1.</w:t>
      </w:r>
      <w:r w:rsidRPr="00664ED4">
        <w:tab/>
      </w:r>
      <w:r w:rsidR="7489ADCB" w:rsidRPr="00252A6F">
        <w:rPr>
          <w:noProof/>
        </w:rPr>
        <w:t xml:space="preserve">Za kriti makrofinančni pomoči se namesto splošnega pravila iz člena 31(5), tretji pododstavek, Uredbe (EU) 2021/947 uporablja stopnja rezervacij v višini 70 %.  </w:t>
      </w:r>
      <w:r w:rsidR="7489ADCB" w:rsidRPr="00252A6F">
        <w:rPr>
          <w:noProof/>
        </w:rPr>
        <w:br/>
        <w:t>Vendar se stopnja rezervacij, vplačanih v skupni sklad za rezervacije, ohrani na 9 % neporavnanih obveznosti iz kritih makrofinančnih pomoči oziroma se na to raven dopolni, če se sredstva uporabijo, dokler se jamstva iz člena 9 ne počrpajo v celoti.</w:t>
      </w:r>
    </w:p>
    <w:p w14:paraId="6A2EBD65" w14:textId="296C6CC7" w:rsidR="00A55609" w:rsidRPr="00252A6F" w:rsidRDefault="00664ED4" w:rsidP="00664ED4">
      <w:pPr>
        <w:pStyle w:val="ManualNumPar1"/>
        <w:rPr>
          <w:noProof/>
        </w:rPr>
      </w:pPr>
      <w:r w:rsidRPr="00664ED4">
        <w:t>2.</w:t>
      </w:r>
      <w:r w:rsidRPr="00664ED4">
        <w:tab/>
      </w:r>
      <w:r w:rsidR="4449462D" w:rsidRPr="00252A6F">
        <w:rPr>
          <w:noProof/>
        </w:rPr>
        <w:t>Zneski, ki izhajajo iz unovčitev jamstev iz člena 10, so zunanji namenski prejemki za plačilo finančnih obveznosti iz naslova kritih makrofinančnih pomoči in plačil v skupni sklad za rezervacije v skladu s členom 21(2), točka (a)(ii), Uredbe (EU, Euratom) 2018/1046.</w:t>
      </w:r>
    </w:p>
    <w:p w14:paraId="125E6AB9" w14:textId="721BA3EB" w:rsidR="00B23BA1" w:rsidRPr="00252A6F" w:rsidRDefault="00664ED4" w:rsidP="00664ED4">
      <w:pPr>
        <w:pStyle w:val="ManualNumPar1"/>
        <w:rPr>
          <w:noProof/>
        </w:rPr>
      </w:pPr>
      <w:r w:rsidRPr="00664ED4">
        <w:t>3.</w:t>
      </w:r>
      <w:r w:rsidRPr="00664ED4">
        <w:tab/>
      </w:r>
      <w:r w:rsidR="3EA9FB41" w:rsidRPr="00252A6F">
        <w:rPr>
          <w:noProof/>
        </w:rPr>
        <w:t>Z odstopanjem od drugega stavka prvega pododstavka člena 211(1) finančne uredbe se znesek jamstev iz člena 9(1) vključi v znesek odobrene finančne obveznosti. Z odstopanjem od drugega pododstavka člena 211(4) finančne uredbe se zneski rezervacij iz odstavka 2 tega člena upoštevajo pri izračunu rezervacij, ki izhajajo iz stopnje rezervacij za kriti makrofinančni pomoči.</w:t>
      </w:r>
    </w:p>
    <w:p w14:paraId="79E136F3" w14:textId="2DFD8673" w:rsidR="00B23BA1" w:rsidRPr="00252A6F" w:rsidRDefault="00664ED4" w:rsidP="00664ED4">
      <w:pPr>
        <w:pStyle w:val="ManualNumPar1"/>
        <w:rPr>
          <w:noProof/>
        </w:rPr>
      </w:pPr>
      <w:r w:rsidRPr="00664ED4">
        <w:t>4.</w:t>
      </w:r>
      <w:r w:rsidRPr="00664ED4">
        <w:tab/>
      </w:r>
      <w:r w:rsidR="00B23BA1" w:rsidRPr="00252A6F">
        <w:rPr>
          <w:noProof/>
        </w:rPr>
        <w:t>Z odstopanjem od člena 211(4)(c) finančne uredbe zneski, izterjani od Ukrajine v zvezi s kritima makrofinančnima pomočema, ne prispevajo k oblikovanju rezervacij do zneska unovčitev jamstva, ki so ga poravnale države članice v skladu s členom 10(a). Ti zneski se tem državam članicam povrnejo.</w:t>
      </w:r>
    </w:p>
    <w:p w14:paraId="54D2A011" w14:textId="77777777" w:rsidR="00B23BA1" w:rsidRPr="00252A6F" w:rsidRDefault="00B23BA1" w:rsidP="00B23BA1">
      <w:pPr>
        <w:pStyle w:val="Text1"/>
        <w:rPr>
          <w:noProof/>
        </w:rPr>
      </w:pPr>
    </w:p>
    <w:p w14:paraId="032F00EB" w14:textId="77777777" w:rsidR="00A376B5" w:rsidRPr="00252A6F" w:rsidRDefault="00A376B5" w:rsidP="00D518F3">
      <w:pPr>
        <w:spacing w:before="360"/>
        <w:jc w:val="center"/>
        <w:rPr>
          <w:i/>
          <w:noProof/>
        </w:rPr>
      </w:pPr>
      <w:r w:rsidRPr="00252A6F">
        <w:rPr>
          <w:i/>
          <w:noProof/>
        </w:rPr>
        <w:t>Člen 12</w:t>
      </w:r>
    </w:p>
    <w:p w14:paraId="3D42F94F" w14:textId="77777777" w:rsidR="00A376B5" w:rsidRPr="00252A6F" w:rsidRDefault="00A376B5" w:rsidP="00A376B5">
      <w:pPr>
        <w:jc w:val="center"/>
        <w:rPr>
          <w:b/>
          <w:noProof/>
        </w:rPr>
      </w:pPr>
      <w:r w:rsidRPr="00252A6F">
        <w:rPr>
          <w:b/>
          <w:noProof/>
        </w:rPr>
        <w:t>Okrepitev oblikovanja rezervacij za nekatere finančne obveznosti v Ukrajini, za katere je zagotovljeno jamstvo na podlagi Sklepa št. 466/2014/EU</w:t>
      </w:r>
    </w:p>
    <w:p w14:paraId="4D631F8C" w14:textId="216023E3" w:rsidR="0079522F" w:rsidRPr="00252A6F" w:rsidRDefault="1DB8C1DA" w:rsidP="5BC24D47">
      <w:pPr>
        <w:rPr>
          <w:noProof/>
        </w:rPr>
      </w:pPr>
      <w:r w:rsidRPr="00252A6F">
        <w:rPr>
          <w:noProof/>
        </w:rPr>
        <w:t>Z odstopanjem od tretjega stavka člena 31(8) Uredbe (EU) 2021/947 se 70-odstotna stopnja rezervacij uporablja za zneske posojil, izplačanih po 15. juliju 2022 v okviru operacij financiranja Evropske investicijske banke v Ukrajini, ki jih je podpisala Evropska investicijska banka pred 31. decembrom 2021 in za katere jamči EU v skladu s Sklepom št. 466/2014/EU (v nadaljnjem besedilu: krite finančne obveznosti v okviru zunanjega mandata EIB v Ukrajini), ter se uporabljajo členi 211, 212 in 213 finančne uredbe ob upoštevanju členov 13 in 14 tega sklepa. Za namene drugega pododstavka člena 211(1) finančne uredbe oblikovanje rezervacij do 31. decembra 2027 doseže raven, ki ustreza stopnji rezervacij, ki se uporablja za skupni znesek neporavnanih obveznosti iz kritih finančnih obveznosti v okviru zunanjega mandata EIB v Ukrajini.</w:t>
      </w:r>
    </w:p>
    <w:p w14:paraId="6EBE1227" w14:textId="77777777" w:rsidR="005747FA" w:rsidRPr="00252A6F" w:rsidRDefault="005747FA" w:rsidP="00D518F3">
      <w:pPr>
        <w:spacing w:before="360"/>
        <w:jc w:val="center"/>
        <w:rPr>
          <w:i/>
          <w:noProof/>
        </w:rPr>
      </w:pPr>
      <w:r w:rsidRPr="00252A6F">
        <w:rPr>
          <w:i/>
          <w:noProof/>
        </w:rPr>
        <w:t>Člen 13</w:t>
      </w:r>
    </w:p>
    <w:p w14:paraId="0CCB4946" w14:textId="77777777" w:rsidR="00282932" w:rsidRPr="00252A6F" w:rsidRDefault="10C2E27A" w:rsidP="00BB0AF7">
      <w:pPr>
        <w:jc w:val="center"/>
        <w:rPr>
          <w:b/>
          <w:bCs/>
          <w:noProof/>
        </w:rPr>
      </w:pPr>
      <w:r w:rsidRPr="00252A6F">
        <w:rPr>
          <w:b/>
          <w:noProof/>
        </w:rPr>
        <w:t>Ocena ustreznosti stopnje rezervacij in postopek pregleda</w:t>
      </w:r>
    </w:p>
    <w:p w14:paraId="462D7A24" w14:textId="0D02582E" w:rsidR="00A55609" w:rsidRPr="00252A6F" w:rsidRDefault="00664ED4" w:rsidP="00664ED4">
      <w:pPr>
        <w:pStyle w:val="ManualNumPar1"/>
        <w:rPr>
          <w:noProof/>
        </w:rPr>
      </w:pPr>
      <w:r w:rsidRPr="00664ED4">
        <w:t>1.</w:t>
      </w:r>
      <w:r w:rsidRPr="00664ED4">
        <w:tab/>
      </w:r>
      <w:r w:rsidR="3691BBD7" w:rsidRPr="00252A6F">
        <w:rPr>
          <w:noProof/>
        </w:rPr>
        <w:t xml:space="preserve">Komisija vsakih šest mesecev, z začetkom 30. junija 2023, in kadar koli ugotovi, da je to potrebno zaradi drugih razlogov ali dogodkov, oceni, ali obstajajo novi dogodki, ki bi lahko trajno in znatno vplivali na ustreznost stopnje rezervacij, vključno s stopnjo vplačanih rezervacij iz členov 11 in 12. Komisija zlasti ugotovi prisotnost trajnih znatnih sprememb v profilu kreditnega tveganja teh izpostavljenosti z uporabo podatkov iz obdobja vsaj dveh let. </w:t>
      </w:r>
    </w:p>
    <w:p w14:paraId="609BB4C0" w14:textId="072762B4" w:rsidR="00A55609" w:rsidRPr="00252A6F" w:rsidRDefault="00664ED4" w:rsidP="00664ED4">
      <w:pPr>
        <w:pStyle w:val="ManualNumPar1"/>
        <w:rPr>
          <w:noProof/>
        </w:rPr>
      </w:pPr>
      <w:r w:rsidRPr="00664ED4">
        <w:t>2.</w:t>
      </w:r>
      <w:r w:rsidRPr="00664ED4">
        <w:tab/>
      </w:r>
      <w:r w:rsidR="5E205B7B" w:rsidRPr="00252A6F">
        <w:rPr>
          <w:noProof/>
        </w:rPr>
        <w:t>Na Komisijo se prenese pooblastilo za spremembo členov 11 in 12, da se z delegiranim aktom v skladu s členom 16 prilagodi stopnja rezervacij, zlasti da se upoštevajo dogodki iz odstavka 1.</w:t>
      </w:r>
    </w:p>
    <w:p w14:paraId="1DDFC276" w14:textId="77777777" w:rsidR="00A376B5" w:rsidRPr="00252A6F" w:rsidRDefault="00DE6CD2" w:rsidP="00D518F3">
      <w:pPr>
        <w:spacing w:before="360"/>
        <w:jc w:val="center"/>
        <w:rPr>
          <w:i/>
          <w:noProof/>
        </w:rPr>
      </w:pPr>
      <w:r w:rsidRPr="00252A6F">
        <w:rPr>
          <w:i/>
          <w:noProof/>
        </w:rPr>
        <w:t>Člen 14</w:t>
      </w:r>
    </w:p>
    <w:p w14:paraId="2C33F0F3" w14:textId="77777777" w:rsidR="00A376B5" w:rsidRPr="00252A6F" w:rsidRDefault="476D4C9A" w:rsidP="26DEF6C3">
      <w:pPr>
        <w:jc w:val="center"/>
        <w:rPr>
          <w:b/>
          <w:bCs/>
          <w:noProof/>
        </w:rPr>
      </w:pPr>
      <w:r w:rsidRPr="00252A6F">
        <w:rPr>
          <w:b/>
          <w:noProof/>
        </w:rPr>
        <w:t>Oblikovanje rezervacij v skupnem skladu za rezervacije</w:t>
      </w:r>
    </w:p>
    <w:p w14:paraId="32234390" w14:textId="2E9AE3F1" w:rsidR="00A55609" w:rsidRPr="00252A6F" w:rsidRDefault="00664ED4" w:rsidP="00664ED4">
      <w:pPr>
        <w:pStyle w:val="ManualNumPar1"/>
        <w:rPr>
          <w:noProof/>
        </w:rPr>
      </w:pPr>
      <w:r w:rsidRPr="00664ED4">
        <w:t>1.</w:t>
      </w:r>
      <w:r w:rsidRPr="00664ED4">
        <w:tab/>
      </w:r>
      <w:r w:rsidR="00EB78A8" w:rsidRPr="00252A6F">
        <w:rPr>
          <w:noProof/>
        </w:rPr>
        <w:t>Namesto splošnega pravila iz člena 31(6) Uredbe (EU) 2021/947 se finančna obveznost iz kritih makrofinančnih pomoči krije ločeno od drugih finančnih obveznosti v okviru jamstva za zunanje delovanje, rezervacije, oblikovane v skupnem skladu za rezervacije za krito makrofinančno pomoč, pa se uporabljajo izključno za finančne obveznosti na podlagi tega sklepa in Sklepa (EU) 2022/1201.</w:t>
      </w:r>
    </w:p>
    <w:p w14:paraId="1F958B17" w14:textId="33B0D717" w:rsidR="002C0E5A" w:rsidRPr="00252A6F" w:rsidRDefault="002C0E5A" w:rsidP="00F452EF">
      <w:pPr>
        <w:pStyle w:val="Text1"/>
        <w:rPr>
          <w:noProof/>
        </w:rPr>
      </w:pPr>
      <w:r w:rsidRPr="00252A6F">
        <w:rPr>
          <w:noProof/>
        </w:rPr>
        <w:t>Namesto splošnega pravila iz člena 31(8) Uredbe (EU) 2021/947 se finančna obveznost iz kritih finančnih obveznosti v okviru zunanjega mandata EIB v Ukrajini krije ločeno od drugih finančnih obveznosti v okviru Jamstvenega sklada za zunanje ukrepe, rezervacija, oblikovana v skupnem skladu za rezervacije za krite finančne obveznosti v okviru zunanjega mandata EIB v Ukrajini, pa se uporablja izključno za finančne obveznosti na podlagi tega sklepa in Sklepa (EU) 2022/1201.</w:t>
      </w:r>
    </w:p>
    <w:p w14:paraId="7BF514AF" w14:textId="2FCEE102" w:rsidR="00EB78A8" w:rsidRPr="00252A6F" w:rsidRDefault="00664ED4" w:rsidP="00664ED4">
      <w:pPr>
        <w:pStyle w:val="ManualNumPar1"/>
        <w:rPr>
          <w:noProof/>
        </w:rPr>
      </w:pPr>
      <w:r w:rsidRPr="00664ED4">
        <w:t>2.</w:t>
      </w:r>
      <w:r w:rsidRPr="00664ED4">
        <w:tab/>
      </w:r>
      <w:r w:rsidR="00EB78A8" w:rsidRPr="00252A6F">
        <w:rPr>
          <w:noProof/>
        </w:rPr>
        <w:t>Z odstopanjem od člena 213 finančne uredbe se dejanska stopnja rezervacij ne uporablja za rezervacije, oblikovane v skupnem skladu za rezervacije v zvezi s kritima makrofinančnima pomočema in kritimi finančnimi obveznostmi v okviru zunanjega mandata EIB v Ukrajini.</w:t>
      </w:r>
    </w:p>
    <w:p w14:paraId="4EDF9C6B" w14:textId="44594593" w:rsidR="00AA6104" w:rsidRPr="00252A6F" w:rsidRDefault="00664ED4" w:rsidP="00664ED4">
      <w:pPr>
        <w:pStyle w:val="ManualNumPar1"/>
        <w:rPr>
          <w:noProof/>
        </w:rPr>
      </w:pPr>
      <w:r w:rsidRPr="00664ED4">
        <w:t>3.</w:t>
      </w:r>
      <w:r w:rsidRPr="00664ED4">
        <w:tab/>
      </w:r>
      <w:r w:rsidR="00AA6104" w:rsidRPr="00252A6F">
        <w:rPr>
          <w:noProof/>
        </w:rPr>
        <w:t xml:space="preserve">Z odstopanjem od člena 213(4)(a) finančne uredbe je vsak presežek rezervacij iz člena 12 zunanji namenski prejemek v smislu člena 21(5) finančne uredbe za program zunanje pomoči, katerega upravičenka je Ukrajina. </w:t>
      </w:r>
    </w:p>
    <w:p w14:paraId="2CFC23E4" w14:textId="77777777" w:rsidR="00AA6104" w:rsidRPr="00252A6F" w:rsidRDefault="00AA6104" w:rsidP="00AA6104">
      <w:pPr>
        <w:pStyle w:val="Text1"/>
        <w:ind w:left="0"/>
        <w:rPr>
          <w:noProof/>
        </w:rPr>
      </w:pPr>
    </w:p>
    <w:p w14:paraId="2A19F504" w14:textId="77777777" w:rsidR="004D643E" w:rsidRPr="00252A6F" w:rsidRDefault="004D643E" w:rsidP="00D518F3">
      <w:pPr>
        <w:pStyle w:val="ManualHeading2"/>
        <w:tabs>
          <w:tab w:val="clear" w:pos="850"/>
        </w:tabs>
        <w:spacing w:before="360"/>
        <w:ind w:left="0" w:firstLine="0"/>
        <w:jc w:val="center"/>
        <w:rPr>
          <w:b w:val="0"/>
          <w:noProof/>
        </w:rPr>
      </w:pPr>
      <w:r w:rsidRPr="00252A6F">
        <w:rPr>
          <w:noProof/>
        </w:rPr>
        <w:t xml:space="preserve">Poglavje III </w:t>
      </w:r>
      <w:r w:rsidRPr="00252A6F">
        <w:rPr>
          <w:noProof/>
        </w:rPr>
        <w:br/>
        <w:t xml:space="preserve">Skupne določbe </w:t>
      </w:r>
    </w:p>
    <w:p w14:paraId="40D971E5" w14:textId="77777777" w:rsidR="00226E79" w:rsidRPr="00252A6F" w:rsidRDefault="00226E79" w:rsidP="00226E79">
      <w:pPr>
        <w:pStyle w:val="Titrearticle"/>
        <w:rPr>
          <w:noProof/>
        </w:rPr>
      </w:pPr>
      <w:r w:rsidRPr="00252A6F">
        <w:rPr>
          <w:noProof/>
        </w:rPr>
        <w:t>Člen 15</w:t>
      </w:r>
    </w:p>
    <w:p w14:paraId="70F3370E" w14:textId="77777777" w:rsidR="007B7AFC" w:rsidRPr="00252A6F" w:rsidRDefault="4234960D" w:rsidP="3AD20BBB">
      <w:pPr>
        <w:jc w:val="center"/>
        <w:rPr>
          <w:b/>
          <w:bCs/>
          <w:noProof/>
        </w:rPr>
      </w:pPr>
      <w:r w:rsidRPr="00252A6F">
        <w:rPr>
          <w:b/>
          <w:noProof/>
        </w:rPr>
        <w:t>Postopek v odboru</w:t>
      </w:r>
    </w:p>
    <w:p w14:paraId="54242F2C" w14:textId="048D85F9" w:rsidR="00A55609" w:rsidRPr="00252A6F" w:rsidRDefault="00664ED4" w:rsidP="00664ED4">
      <w:pPr>
        <w:pStyle w:val="ManualNumPar1"/>
        <w:rPr>
          <w:noProof/>
        </w:rPr>
      </w:pPr>
      <w:r w:rsidRPr="00664ED4">
        <w:t>1.</w:t>
      </w:r>
      <w:r w:rsidRPr="00664ED4">
        <w:tab/>
      </w:r>
      <w:r w:rsidR="00226E79" w:rsidRPr="00252A6F">
        <w:rPr>
          <w:noProof/>
        </w:rPr>
        <w:t>Komisiji pomaga odbor v smislu Uredbe (EU) št. 182/2011.</w:t>
      </w:r>
    </w:p>
    <w:p w14:paraId="718E12A6" w14:textId="5903DEF7" w:rsidR="00226E79" w:rsidRPr="00252A6F" w:rsidRDefault="00664ED4" w:rsidP="00664ED4">
      <w:pPr>
        <w:pStyle w:val="ManualNumPar1"/>
        <w:rPr>
          <w:noProof/>
        </w:rPr>
      </w:pPr>
      <w:r w:rsidRPr="00664ED4">
        <w:t>2.</w:t>
      </w:r>
      <w:r w:rsidRPr="00664ED4">
        <w:tab/>
      </w:r>
      <w:r w:rsidR="378F764A" w:rsidRPr="00252A6F">
        <w:rPr>
          <w:noProof/>
        </w:rPr>
        <w:t>Pri sklicevanju na ta odstavek se uporablja člen 5 Uredbe (EU) št. 182/2011.</w:t>
      </w:r>
    </w:p>
    <w:p w14:paraId="726E60FD" w14:textId="77777777" w:rsidR="00363BF2" w:rsidRPr="00252A6F" w:rsidRDefault="00363BF2" w:rsidP="00363BF2">
      <w:pPr>
        <w:pStyle w:val="Titrearticle"/>
        <w:ind w:left="720"/>
        <w:rPr>
          <w:noProof/>
        </w:rPr>
      </w:pPr>
      <w:r w:rsidRPr="00252A6F">
        <w:rPr>
          <w:noProof/>
        </w:rPr>
        <w:t>Člen 16</w:t>
      </w:r>
    </w:p>
    <w:p w14:paraId="7F379EE7" w14:textId="520367E8" w:rsidR="00363BF2" w:rsidRPr="00252A6F" w:rsidRDefault="27528586" w:rsidP="3AD20BBB">
      <w:pPr>
        <w:pStyle w:val="ListParagraph"/>
        <w:spacing w:before="0" w:after="0"/>
        <w:jc w:val="center"/>
        <w:rPr>
          <w:b/>
          <w:bCs/>
          <w:noProof/>
        </w:rPr>
      </w:pPr>
      <w:r w:rsidRPr="00252A6F">
        <w:rPr>
          <w:b/>
          <w:noProof/>
        </w:rPr>
        <w:t xml:space="preserve">Izvajanje prenosa pooblastila </w:t>
      </w:r>
    </w:p>
    <w:p w14:paraId="273CEAA8" w14:textId="4C0E3B40" w:rsidR="00A55609" w:rsidRPr="00252A6F" w:rsidRDefault="00664ED4" w:rsidP="00664ED4">
      <w:pPr>
        <w:pStyle w:val="ManualNumPar1"/>
        <w:rPr>
          <w:noProof/>
        </w:rPr>
      </w:pPr>
      <w:r w:rsidRPr="00664ED4">
        <w:t>1.</w:t>
      </w:r>
      <w:r w:rsidRPr="00664ED4">
        <w:tab/>
      </w:r>
      <w:r w:rsidR="00363BF2" w:rsidRPr="00252A6F">
        <w:rPr>
          <w:noProof/>
        </w:rPr>
        <w:t xml:space="preserve">Pooblastilo za sprejemanje delegiranih aktov je preneseno na Komisijo pod pogoji, določenimi v tem členu. </w:t>
      </w:r>
    </w:p>
    <w:p w14:paraId="7C7F1004" w14:textId="2919563D" w:rsidR="00A55609" w:rsidRPr="00252A6F" w:rsidRDefault="00664ED4" w:rsidP="00664ED4">
      <w:pPr>
        <w:pStyle w:val="ManualNumPar1"/>
        <w:rPr>
          <w:noProof/>
        </w:rPr>
      </w:pPr>
      <w:r w:rsidRPr="00664ED4">
        <w:t>2.</w:t>
      </w:r>
      <w:r w:rsidRPr="00664ED4">
        <w:tab/>
      </w:r>
      <w:r w:rsidR="00363BF2" w:rsidRPr="00252A6F">
        <w:rPr>
          <w:noProof/>
        </w:rPr>
        <w:t xml:space="preserve">Pooblastilo za sprejemanje delegiranih aktov iz člena 13(2) se prenese na Komisijo za nedoločen čas od </w:t>
      </w:r>
      <w:r w:rsidR="00363BF2" w:rsidRPr="00252A6F">
        <w:rPr>
          <w:i/>
          <w:noProof/>
        </w:rPr>
        <w:t>datuma začetka veljavnosti tega sklepa</w:t>
      </w:r>
      <w:r w:rsidR="00363BF2" w:rsidRPr="00252A6F">
        <w:rPr>
          <w:noProof/>
        </w:rPr>
        <w:t>.</w:t>
      </w:r>
    </w:p>
    <w:p w14:paraId="1C8FBACF" w14:textId="3A354809" w:rsidR="00A55609" w:rsidRPr="00252A6F" w:rsidRDefault="00664ED4" w:rsidP="00664ED4">
      <w:pPr>
        <w:pStyle w:val="ManualNumPar1"/>
        <w:rPr>
          <w:noProof/>
        </w:rPr>
      </w:pPr>
      <w:r w:rsidRPr="00664ED4">
        <w:t>3.</w:t>
      </w:r>
      <w:r w:rsidRPr="00664ED4">
        <w:tab/>
      </w:r>
      <w:r w:rsidR="00C76088" w:rsidRPr="00252A6F">
        <w:rPr>
          <w:noProof/>
        </w:rPr>
        <w:t xml:space="preserve">Prenos pooblastila iz člena 13(2) lahko kadar koli prekliče Evropski parlament ali Svet. S sklepom o preklicu preneha veljati prenos pooblastila iz navedenega sklepa. Sklep začne učinkovati dan po njegovi objavi v </w:t>
      </w:r>
      <w:r w:rsidR="00C76088" w:rsidRPr="00252A6F">
        <w:rPr>
          <w:i/>
          <w:noProof/>
        </w:rPr>
        <w:t>Uradnem listu Evropske unije</w:t>
      </w:r>
      <w:r w:rsidR="00C76088" w:rsidRPr="00252A6F">
        <w:rPr>
          <w:noProof/>
        </w:rPr>
        <w:t xml:space="preserve"> ali na poznejši dan, ki je določen v navedenem sklepu. Sklep ne vpliva na veljavnost že veljavnih delegiranih aktov.</w:t>
      </w:r>
    </w:p>
    <w:p w14:paraId="2CFF54D4" w14:textId="53FA08ED" w:rsidR="00A55609" w:rsidRPr="00252A6F" w:rsidRDefault="00664ED4" w:rsidP="00664ED4">
      <w:pPr>
        <w:pStyle w:val="ManualNumPar1"/>
        <w:rPr>
          <w:noProof/>
        </w:rPr>
      </w:pPr>
      <w:r w:rsidRPr="00664ED4">
        <w:t>4.</w:t>
      </w:r>
      <w:r w:rsidRPr="00664ED4">
        <w:tab/>
      </w:r>
      <w:r w:rsidR="00C76088" w:rsidRPr="00252A6F">
        <w:rPr>
          <w:noProof/>
        </w:rPr>
        <w:t>Komisija se pred sprejetjem delegiranega akta posvetuje s strokovnjaki, ki jih imenujejo države članice, v skladu z načeli, določenimi v Medinstitucionalnem sporazumu o boljši pripravi zakonodaje z dne 13. aprila 2016.</w:t>
      </w:r>
    </w:p>
    <w:p w14:paraId="49197DC8" w14:textId="6F420D02" w:rsidR="00A55609" w:rsidRPr="00252A6F" w:rsidRDefault="00664ED4" w:rsidP="00664ED4">
      <w:pPr>
        <w:pStyle w:val="ManualNumPar1"/>
        <w:rPr>
          <w:noProof/>
        </w:rPr>
      </w:pPr>
      <w:r w:rsidRPr="00664ED4">
        <w:t>5.</w:t>
      </w:r>
      <w:r w:rsidRPr="00664ED4">
        <w:tab/>
      </w:r>
      <w:r w:rsidR="00C76088" w:rsidRPr="00252A6F">
        <w:rPr>
          <w:noProof/>
        </w:rPr>
        <w:t>Komisija takoj po sprejetju delegiranega akta o njem sočasno uradno obvesti Evropski parlament in Svet.</w:t>
      </w:r>
    </w:p>
    <w:p w14:paraId="46CBDEC0" w14:textId="392C3034" w:rsidR="00C76088" w:rsidRPr="00252A6F" w:rsidRDefault="00664ED4" w:rsidP="00664ED4">
      <w:pPr>
        <w:pStyle w:val="ManualNumPar1"/>
        <w:rPr>
          <w:noProof/>
        </w:rPr>
      </w:pPr>
      <w:r w:rsidRPr="00664ED4">
        <w:t>6.</w:t>
      </w:r>
      <w:r w:rsidRPr="00664ED4">
        <w:tab/>
      </w:r>
      <w:r w:rsidR="00C76088" w:rsidRPr="00252A6F">
        <w:rPr>
          <w:noProof/>
        </w:rPr>
        <w:t>Delegirani akt, sprejet na podlagi člena 13(2), začne veljati le, če mu niti Evropski parlament niti Svet ne nasprotuje v roku dveh mesecev od uradnega obvestila Evropskemu parlamentu in Svetu o tem aktu ali če pred iztekom tega roka tako Evropski parlament kot Svet obvestita Komisijo, da mu ne bosta nasprotovala. Ta rok se na pobudo Evropskega parlamenta ali Sveta podaljša za dva meseca.</w:t>
      </w:r>
    </w:p>
    <w:p w14:paraId="162D4897" w14:textId="77777777" w:rsidR="004D643E" w:rsidRPr="00252A6F" w:rsidRDefault="004D643E" w:rsidP="6FFD2748">
      <w:pPr>
        <w:pStyle w:val="Titrearticle"/>
        <w:rPr>
          <w:rFonts w:eastAsia="Calibri"/>
          <w:noProof/>
        </w:rPr>
      </w:pPr>
      <w:r w:rsidRPr="00252A6F">
        <w:rPr>
          <w:noProof/>
        </w:rPr>
        <w:t>Člen 17</w:t>
      </w:r>
    </w:p>
    <w:p w14:paraId="62467E5A" w14:textId="77777777" w:rsidR="007B7AFC" w:rsidRPr="00252A6F" w:rsidRDefault="007B7AFC" w:rsidP="00A7671E">
      <w:pPr>
        <w:jc w:val="center"/>
        <w:rPr>
          <w:b/>
          <w:bCs/>
          <w:noProof/>
        </w:rPr>
      </w:pPr>
      <w:r w:rsidRPr="00252A6F">
        <w:rPr>
          <w:b/>
          <w:noProof/>
        </w:rPr>
        <w:t>Letno poročilo</w:t>
      </w:r>
    </w:p>
    <w:p w14:paraId="456A370F" w14:textId="4344959B" w:rsidR="004D643E" w:rsidRPr="00252A6F" w:rsidRDefault="00664ED4" w:rsidP="00664ED4">
      <w:pPr>
        <w:pStyle w:val="ManualNumPar1"/>
        <w:rPr>
          <w:noProof/>
        </w:rPr>
      </w:pPr>
      <w:r w:rsidRPr="00664ED4">
        <w:t>1.</w:t>
      </w:r>
      <w:r w:rsidRPr="00664ED4">
        <w:tab/>
      </w:r>
      <w:r w:rsidR="004D643E" w:rsidRPr="00252A6F">
        <w:rPr>
          <w:noProof/>
        </w:rPr>
        <w:t>Komisija Evropskemu parlamentu in Svetu vsako leto do 30. junija predloži oceno o izvajanju poglavja I tega sklepa v predhodnem letu v okviru svojega letnega poročila. V tem poročilu se:</w:t>
      </w:r>
    </w:p>
    <w:p w14:paraId="16CF17AA" w14:textId="15BE5EB9" w:rsidR="004D643E" w:rsidRPr="00252A6F" w:rsidRDefault="00664ED4" w:rsidP="00664ED4">
      <w:pPr>
        <w:pStyle w:val="Point1"/>
        <w:rPr>
          <w:rFonts w:eastAsiaTheme="minorEastAsia"/>
          <w:noProof/>
          <w:szCs w:val="24"/>
        </w:rPr>
      </w:pPr>
      <w:r w:rsidRPr="00664ED4">
        <w:t>(a)</w:t>
      </w:r>
      <w:r w:rsidRPr="00664ED4">
        <w:tab/>
      </w:r>
      <w:r w:rsidR="2D6D47E0" w:rsidRPr="00252A6F">
        <w:rPr>
          <w:noProof/>
        </w:rPr>
        <w:t>oceni napredek, dosežen pri izvajanju izredne makrofinančne pomoči Unije;</w:t>
      </w:r>
    </w:p>
    <w:p w14:paraId="21CB86BD" w14:textId="3C9AB27E" w:rsidR="004D643E" w:rsidRPr="00252A6F" w:rsidRDefault="00664ED4" w:rsidP="00664ED4">
      <w:pPr>
        <w:pStyle w:val="Point1"/>
        <w:rPr>
          <w:noProof/>
          <w:szCs w:val="24"/>
        </w:rPr>
      </w:pPr>
      <w:r w:rsidRPr="00664ED4">
        <w:t>(b)</w:t>
      </w:r>
      <w:r w:rsidRPr="00664ED4">
        <w:tab/>
      </w:r>
      <w:r w:rsidR="2D6D47E0" w:rsidRPr="00252A6F">
        <w:rPr>
          <w:noProof/>
        </w:rPr>
        <w:t>ocenijo gospodarske razmere in obeti za Ukrajino ter izvajanje zahtev in pogojev iz člena 3(1);</w:t>
      </w:r>
    </w:p>
    <w:p w14:paraId="17FCBA0F" w14:textId="765882B1" w:rsidR="087D58C3" w:rsidRPr="00252A6F" w:rsidRDefault="00664ED4" w:rsidP="00664ED4">
      <w:pPr>
        <w:pStyle w:val="Point1"/>
        <w:rPr>
          <w:noProof/>
          <w:szCs w:val="24"/>
        </w:rPr>
      </w:pPr>
      <w:r w:rsidRPr="00664ED4">
        <w:t>(c)</w:t>
      </w:r>
      <w:r w:rsidRPr="00664ED4">
        <w:tab/>
      </w:r>
      <w:r w:rsidR="2D6D47E0" w:rsidRPr="00252A6F">
        <w:rPr>
          <w:noProof/>
        </w:rPr>
        <w:t>navede povezava med zahtevami in pogoji, določenimi v memorandumu o soglasju, tekočim makrofinančnim položajem Ukrajine ter odločitvami Komisije o sprostitvi obrokov izredne makrofinančne pomoči Unije.</w:t>
      </w:r>
    </w:p>
    <w:p w14:paraId="557A8A2B" w14:textId="62E13FC6" w:rsidR="004D643E" w:rsidRPr="00252A6F" w:rsidRDefault="00664ED4" w:rsidP="00664ED4">
      <w:pPr>
        <w:pStyle w:val="ManualNumPar1"/>
        <w:rPr>
          <w:noProof/>
        </w:rPr>
      </w:pPr>
      <w:r w:rsidRPr="00664ED4">
        <w:t>2.</w:t>
      </w:r>
      <w:r w:rsidRPr="00664ED4">
        <w:tab/>
      </w:r>
      <w:r w:rsidR="2D6D47E0" w:rsidRPr="00252A6F">
        <w:rPr>
          <w:noProof/>
        </w:rPr>
        <w:t>Komisija najpozneje dve leti po koncu obdobja razpoložljivosti Evropskemu parlamentu in Svetu predloži poročilo o naknadni oceni, v katerem ovrednoti rezultate in učinkovitost zaključenih ukrepov izredne makrofinančne pomoči Unije ter navede, v kolikšni meri so prispevali k ciljem pomoči.</w:t>
      </w:r>
    </w:p>
    <w:p w14:paraId="591380B7" w14:textId="77777777" w:rsidR="00CC66E6" w:rsidRPr="00252A6F" w:rsidRDefault="00CC66E6" w:rsidP="00CC66E6">
      <w:pPr>
        <w:pStyle w:val="ManualHeading2"/>
        <w:tabs>
          <w:tab w:val="clear" w:pos="850"/>
        </w:tabs>
        <w:ind w:left="0" w:firstLine="0"/>
        <w:jc w:val="center"/>
        <w:rPr>
          <w:b w:val="0"/>
          <w:noProof/>
        </w:rPr>
      </w:pPr>
      <w:r w:rsidRPr="00252A6F">
        <w:rPr>
          <w:noProof/>
        </w:rPr>
        <w:t xml:space="preserve">Poglavje IV </w:t>
      </w:r>
      <w:r w:rsidRPr="00252A6F">
        <w:rPr>
          <w:noProof/>
        </w:rPr>
        <w:br/>
        <w:t>Sprememba Sklepa (EU) 2022/1201 in končna določba</w:t>
      </w:r>
    </w:p>
    <w:p w14:paraId="5C3DD84D" w14:textId="77777777" w:rsidR="00CC66E6" w:rsidRPr="00252A6F" w:rsidRDefault="00CC66E6" w:rsidP="00CC66E6">
      <w:pPr>
        <w:pStyle w:val="Titrearticle"/>
        <w:rPr>
          <w:noProof/>
        </w:rPr>
      </w:pPr>
      <w:r w:rsidRPr="00252A6F">
        <w:rPr>
          <w:noProof/>
        </w:rPr>
        <w:t>Člen 18</w:t>
      </w:r>
    </w:p>
    <w:p w14:paraId="4B9FEA6C" w14:textId="77777777" w:rsidR="00097364" w:rsidRPr="00252A6F" w:rsidRDefault="00CC66E6" w:rsidP="000B1D09">
      <w:pPr>
        <w:pStyle w:val="Titrearticle"/>
        <w:jc w:val="both"/>
        <w:rPr>
          <w:i w:val="0"/>
          <w:noProof/>
        </w:rPr>
      </w:pPr>
      <w:r w:rsidRPr="00252A6F">
        <w:rPr>
          <w:i w:val="0"/>
          <w:noProof/>
        </w:rPr>
        <w:t xml:space="preserve">Sklep (EU) 2022/1201 se spremeni: </w:t>
      </w:r>
    </w:p>
    <w:p w14:paraId="50F11304" w14:textId="2DDF197B" w:rsidR="00CC66E6" w:rsidRPr="00252A6F" w:rsidRDefault="00664ED4" w:rsidP="00664ED4">
      <w:pPr>
        <w:pStyle w:val="ManualNumPar1"/>
        <w:rPr>
          <w:noProof/>
        </w:rPr>
      </w:pPr>
      <w:r w:rsidRPr="00664ED4">
        <w:t>1.</w:t>
      </w:r>
      <w:r w:rsidRPr="00664ED4">
        <w:tab/>
      </w:r>
      <w:r w:rsidR="00097364" w:rsidRPr="00252A6F">
        <w:rPr>
          <w:noProof/>
        </w:rPr>
        <w:t>drugi stavek odstavka 2 člena 1 se nadomesti z naslednjim:</w:t>
      </w:r>
    </w:p>
    <w:p w14:paraId="007D1E60" w14:textId="77777777" w:rsidR="00A55609" w:rsidRPr="00252A6F" w:rsidRDefault="006F3594" w:rsidP="00A55609">
      <w:pPr>
        <w:pStyle w:val="li"/>
        <w:shd w:val="clear" w:color="auto" w:fill="FFFFFF"/>
        <w:spacing w:before="0" w:beforeAutospacing="0" w:after="0" w:afterAutospacing="0"/>
        <w:jc w:val="both"/>
        <w:textAlignment w:val="baseline"/>
        <w:rPr>
          <w:noProof/>
          <w:color w:val="000000"/>
          <w:bdr w:val="none" w:sz="0" w:space="0" w:color="auto" w:frame="1"/>
        </w:rPr>
      </w:pPr>
      <w:r w:rsidRPr="00252A6F">
        <w:rPr>
          <w:noProof/>
          <w:color w:val="000000"/>
          <w:bdr w:val="none" w:sz="0" w:space="0" w:color="auto" w:frame="1"/>
        </w:rPr>
        <w:t>„Povprečna skupna zapadlost posojil iz odstavka 1 in na podlagi Sklepa [COM(2022) XXX</w:t>
      </w:r>
      <w:r w:rsidRPr="00252A6F">
        <w:rPr>
          <w:i/>
          <w:noProof/>
        </w:rPr>
        <w:t xml:space="preserve"> – ta predlog</w:t>
      </w:r>
      <w:r w:rsidRPr="00252A6F">
        <w:rPr>
          <w:noProof/>
          <w:color w:val="000000"/>
          <w:bdr w:val="none" w:sz="0" w:space="0" w:color="auto" w:frame="1"/>
        </w:rPr>
        <w:t>] ne presega 25 let.“</w:t>
      </w:r>
    </w:p>
    <w:p w14:paraId="23981E34" w14:textId="101C6F1B" w:rsidR="006F3594" w:rsidRPr="00252A6F" w:rsidRDefault="00664ED4" w:rsidP="00664ED4">
      <w:pPr>
        <w:pStyle w:val="ManualNumPar1"/>
        <w:rPr>
          <w:noProof/>
        </w:rPr>
      </w:pPr>
      <w:r w:rsidRPr="00664ED4">
        <w:t>2.</w:t>
      </w:r>
      <w:r w:rsidRPr="00664ED4">
        <w:tab/>
      </w:r>
      <w:r w:rsidR="00097364" w:rsidRPr="00252A6F">
        <w:rPr>
          <w:noProof/>
        </w:rPr>
        <w:t>Člen 7 se črta.</w:t>
      </w:r>
    </w:p>
    <w:p w14:paraId="1DCB8078" w14:textId="77777777" w:rsidR="00F152DC" w:rsidRPr="00252A6F" w:rsidRDefault="00F152DC" w:rsidP="00D045D9">
      <w:pPr>
        <w:pStyle w:val="Titrearticle"/>
        <w:rPr>
          <w:noProof/>
        </w:rPr>
      </w:pPr>
      <w:r w:rsidRPr="00252A6F">
        <w:rPr>
          <w:noProof/>
        </w:rPr>
        <w:t>Člen 19</w:t>
      </w:r>
    </w:p>
    <w:p w14:paraId="230C2B53" w14:textId="77777777" w:rsidR="00F152DC" w:rsidRPr="00252A6F" w:rsidRDefault="004D643E" w:rsidP="00D045D9">
      <w:pPr>
        <w:rPr>
          <w:noProof/>
        </w:rPr>
      </w:pPr>
      <w:r w:rsidRPr="00252A6F">
        <w:rPr>
          <w:noProof/>
        </w:rPr>
        <w:t xml:space="preserve">Ta sklep začne veljati dan po objavi v </w:t>
      </w:r>
      <w:r w:rsidRPr="00252A6F">
        <w:rPr>
          <w:i/>
          <w:noProof/>
        </w:rPr>
        <w:t>Uradnem listu Evropske unije</w:t>
      </w:r>
      <w:r w:rsidRPr="00252A6F">
        <w:rPr>
          <w:noProof/>
        </w:rPr>
        <w:t>.</w:t>
      </w:r>
    </w:p>
    <w:p w14:paraId="24E6DDAE" w14:textId="77777777" w:rsidR="00F152DC" w:rsidRPr="00252A6F" w:rsidRDefault="00F152DC" w:rsidP="2716B58F">
      <w:pPr>
        <w:keepNext/>
        <w:keepLines/>
        <w:rPr>
          <w:rFonts w:eastAsia="Calibri"/>
          <w:noProof/>
          <w:szCs w:val="24"/>
        </w:rPr>
      </w:pPr>
    </w:p>
    <w:p w14:paraId="47D31D79" w14:textId="75D93EC7" w:rsidR="00F152DC" w:rsidRPr="00252A6F" w:rsidRDefault="00175ED0" w:rsidP="00307375">
      <w:pPr>
        <w:pStyle w:val="Fait"/>
        <w:rPr>
          <w:noProof/>
        </w:rPr>
      </w:pPr>
      <w:r w:rsidRPr="00175ED0">
        <w:t>V Bruslju,</w:t>
      </w:r>
    </w:p>
    <w:p w14:paraId="091E8CD1" w14:textId="77777777" w:rsidR="00F152DC" w:rsidRPr="00252A6F" w:rsidRDefault="00F152DC" w:rsidP="00307375">
      <w:pPr>
        <w:pStyle w:val="Institutionquisigne"/>
        <w:rPr>
          <w:noProof/>
        </w:rPr>
      </w:pPr>
      <w:r w:rsidRPr="00252A6F">
        <w:rPr>
          <w:noProof/>
        </w:rPr>
        <w:t>Za Evropski parlament</w:t>
      </w:r>
      <w:r w:rsidRPr="00252A6F">
        <w:rPr>
          <w:noProof/>
        </w:rPr>
        <w:tab/>
      </w:r>
      <w:r w:rsidRPr="00252A6F">
        <w:rPr>
          <w:noProof/>
        </w:rPr>
        <w:tab/>
      </w:r>
      <w:r w:rsidRPr="00252A6F">
        <w:rPr>
          <w:noProof/>
        </w:rPr>
        <w:tab/>
        <w:t>Za Svet</w:t>
      </w:r>
    </w:p>
    <w:p w14:paraId="740CE9F1" w14:textId="77777777" w:rsidR="007649C9" w:rsidRPr="00252A6F" w:rsidRDefault="00A32A62" w:rsidP="00274C32">
      <w:pPr>
        <w:pStyle w:val="Personnequisigne"/>
        <w:rPr>
          <w:noProof/>
        </w:rPr>
        <w:sectPr w:rsidR="007649C9" w:rsidRPr="00252A6F" w:rsidSect="00DF7915">
          <w:pgSz w:w="11907" w:h="16840" w:code="9"/>
          <w:pgMar w:top="1134" w:right="1418" w:bottom="1134" w:left="1418" w:header="709" w:footer="709" w:gutter="0"/>
          <w:cols w:space="720"/>
          <w:docGrid w:linePitch="360"/>
        </w:sectPr>
      </w:pPr>
      <w:r w:rsidRPr="00252A6F">
        <w:rPr>
          <w:noProof/>
        </w:rPr>
        <w:t>predsednica</w:t>
      </w:r>
      <w:r w:rsidRPr="00252A6F">
        <w:rPr>
          <w:noProof/>
        </w:rPr>
        <w:tab/>
      </w:r>
      <w:r w:rsidRPr="00252A6F">
        <w:rPr>
          <w:noProof/>
        </w:rPr>
        <w:tab/>
      </w:r>
      <w:r w:rsidRPr="00252A6F">
        <w:rPr>
          <w:noProof/>
        </w:rPr>
        <w:tab/>
        <w:t>predsednik</w:t>
      </w:r>
    </w:p>
    <w:p w14:paraId="60D187E9" w14:textId="77777777" w:rsidR="00C4624A" w:rsidRPr="00252A6F" w:rsidRDefault="00C4624A" w:rsidP="00C4624A">
      <w:pPr>
        <w:pStyle w:val="Fichefinanciretitre"/>
        <w:rPr>
          <w:noProof/>
        </w:rPr>
      </w:pPr>
      <w:r w:rsidRPr="00252A6F">
        <w:rPr>
          <w:noProof/>
        </w:rPr>
        <w:t>OCENA FINANČNIH POSLEDIC ZAKONODAJNEGA PREDLOGA</w:t>
      </w:r>
    </w:p>
    <w:p w14:paraId="6157CF2F" w14:textId="0D3D9F7E" w:rsidR="00C4624A" w:rsidRPr="00252A6F" w:rsidRDefault="00664ED4" w:rsidP="00664ED4">
      <w:pPr>
        <w:pStyle w:val="ManualHeading1"/>
        <w:rPr>
          <w:noProof/>
        </w:rPr>
      </w:pPr>
      <w:bookmarkStart w:id="5" w:name="_Toc514938007"/>
      <w:bookmarkStart w:id="6" w:name="_Toc520485025"/>
      <w:r w:rsidRPr="00664ED4">
        <w:t>1.</w:t>
      </w:r>
      <w:r w:rsidRPr="00664ED4">
        <w:tab/>
      </w:r>
      <w:r w:rsidR="00C4624A" w:rsidRPr="00252A6F">
        <w:rPr>
          <w:noProof/>
        </w:rPr>
        <w:t>OKVIR PREDLOGA/POBUDE</w:t>
      </w:r>
      <w:bookmarkEnd w:id="5"/>
      <w:bookmarkEnd w:id="6"/>
      <w:r w:rsidR="00C4624A" w:rsidRPr="00252A6F">
        <w:rPr>
          <w:noProof/>
        </w:rPr>
        <w:t xml:space="preserve"> </w:t>
      </w:r>
    </w:p>
    <w:p w14:paraId="00B41A3D" w14:textId="4A071857" w:rsidR="00C4624A" w:rsidRPr="00252A6F" w:rsidRDefault="00664ED4" w:rsidP="00664ED4">
      <w:pPr>
        <w:pStyle w:val="ManualHeading2"/>
        <w:rPr>
          <w:noProof/>
        </w:rPr>
      </w:pPr>
      <w:bookmarkStart w:id="7" w:name="_Toc514938008"/>
      <w:bookmarkStart w:id="8" w:name="_Toc520485026"/>
      <w:r w:rsidRPr="00664ED4">
        <w:t>1.1.</w:t>
      </w:r>
      <w:r w:rsidRPr="00664ED4">
        <w:tab/>
      </w:r>
      <w:r w:rsidR="00C4624A" w:rsidRPr="00252A6F">
        <w:rPr>
          <w:noProof/>
        </w:rPr>
        <w:t>Naslov predloga/pobude</w:t>
      </w:r>
      <w:bookmarkEnd w:id="7"/>
      <w:bookmarkEnd w:id="8"/>
    </w:p>
    <w:p w14:paraId="185F59AC" w14:textId="77777777" w:rsidR="00C4624A" w:rsidRPr="00252A6F" w:rsidRDefault="00C4624A" w:rsidP="00C4624A">
      <w:pPr>
        <w:pBdr>
          <w:top w:val="single" w:sz="4" w:space="1" w:color="auto"/>
          <w:left w:val="single" w:sz="4" w:space="4" w:color="auto"/>
          <w:bottom w:val="single" w:sz="4" w:space="1" w:color="auto"/>
          <w:right w:val="single" w:sz="4" w:space="4" w:color="auto"/>
        </w:pBdr>
        <w:ind w:left="851"/>
        <w:rPr>
          <w:rFonts w:eastAsiaTheme="majorEastAsia"/>
          <w:b/>
          <w:bCs/>
          <w:noProof/>
        </w:rPr>
      </w:pPr>
      <w:r w:rsidRPr="00252A6F">
        <w:rPr>
          <w:noProof/>
          <w:color w:val="000000" w:themeColor="text1"/>
        </w:rPr>
        <w:t>Predlog sklepa Evropskega parlamenta in Sveta o zagotavljanju makrofinančne pomoči Ukrajini</w:t>
      </w:r>
    </w:p>
    <w:p w14:paraId="1CFFE837" w14:textId="4FA6B8A9" w:rsidR="00C4624A" w:rsidRPr="00252A6F" w:rsidRDefault="00664ED4" w:rsidP="00664ED4">
      <w:pPr>
        <w:pStyle w:val="ManualHeading2"/>
        <w:rPr>
          <w:i/>
          <w:iCs/>
          <w:noProof/>
        </w:rPr>
      </w:pPr>
      <w:bookmarkStart w:id="9" w:name="_Toc514938011"/>
      <w:bookmarkStart w:id="10" w:name="_Toc520485027"/>
      <w:r w:rsidRPr="00664ED4">
        <w:t>1.2.</w:t>
      </w:r>
      <w:r w:rsidRPr="00664ED4">
        <w:tab/>
      </w:r>
      <w:r w:rsidR="00C4624A" w:rsidRPr="00252A6F">
        <w:rPr>
          <w:noProof/>
        </w:rPr>
        <w:t>Zadevna področja</w:t>
      </w:r>
      <w:bookmarkEnd w:id="9"/>
      <w:bookmarkEnd w:id="10"/>
      <w:r w:rsidR="00C4624A" w:rsidRPr="00252A6F">
        <w:rPr>
          <w:i/>
          <w:noProof/>
        </w:rPr>
        <w:t xml:space="preserve"> </w:t>
      </w:r>
      <w:r w:rsidR="00C4624A" w:rsidRPr="00252A6F">
        <w:rPr>
          <w:noProof/>
        </w:rPr>
        <w:t xml:space="preserve"> v strukturi ABM/ABB</w:t>
      </w:r>
      <w:r w:rsidR="00C4624A" w:rsidRPr="00252A6F">
        <w:rPr>
          <w:rStyle w:val="FootnoteReference"/>
          <w:noProof/>
        </w:rPr>
        <w:footnoteReference w:id="27"/>
      </w:r>
    </w:p>
    <w:p w14:paraId="207C44F6" w14:textId="77777777" w:rsidR="00C4624A" w:rsidRPr="00252A6F" w:rsidRDefault="00C4624A" w:rsidP="00C4624A">
      <w:pPr>
        <w:pStyle w:val="Text1"/>
        <w:pBdr>
          <w:top w:val="single" w:sz="4" w:space="1" w:color="auto"/>
          <w:left w:val="single" w:sz="4" w:space="4" w:color="auto"/>
          <w:bottom w:val="single" w:sz="4" w:space="1" w:color="auto"/>
          <w:right w:val="single" w:sz="4" w:space="4" w:color="auto"/>
        </w:pBdr>
        <w:rPr>
          <w:noProof/>
        </w:rPr>
      </w:pPr>
      <w:r w:rsidRPr="00252A6F">
        <w:rPr>
          <w:noProof/>
        </w:rPr>
        <w:t>Zadevno področje: ekonomske in finančne zadeve</w:t>
      </w:r>
    </w:p>
    <w:p w14:paraId="5A6E4B53" w14:textId="77777777" w:rsidR="00C4624A" w:rsidRPr="00252A6F" w:rsidRDefault="00C4624A" w:rsidP="00C4624A">
      <w:pPr>
        <w:pStyle w:val="Text1"/>
        <w:pBdr>
          <w:top w:val="single" w:sz="4" w:space="1" w:color="auto"/>
          <w:left w:val="single" w:sz="4" w:space="4" w:color="auto"/>
          <w:bottom w:val="single" w:sz="4" w:space="1" w:color="auto"/>
          <w:right w:val="single" w:sz="4" w:space="4" w:color="auto"/>
        </w:pBdr>
        <w:rPr>
          <w:noProof/>
        </w:rPr>
      </w:pPr>
      <w:r w:rsidRPr="00252A6F">
        <w:rPr>
          <w:noProof/>
        </w:rPr>
        <w:t>Dejavnost: mednarodne ekonomske in finančne zadeve</w:t>
      </w:r>
    </w:p>
    <w:p w14:paraId="544C88F4" w14:textId="18D21CC7" w:rsidR="00C4624A" w:rsidRPr="00252A6F" w:rsidRDefault="00664ED4" w:rsidP="00664ED4">
      <w:pPr>
        <w:pStyle w:val="ManualHeading2"/>
        <w:rPr>
          <w:bCs/>
          <w:noProof/>
          <w:szCs w:val="24"/>
        </w:rPr>
      </w:pPr>
      <w:bookmarkStart w:id="11" w:name="_Toc514938014"/>
      <w:bookmarkStart w:id="12" w:name="_Toc520485028"/>
      <w:r w:rsidRPr="00664ED4">
        <w:t>1.3.</w:t>
      </w:r>
      <w:r w:rsidRPr="00664ED4">
        <w:tab/>
      </w:r>
      <w:r w:rsidR="00C4624A" w:rsidRPr="00252A6F">
        <w:rPr>
          <w:noProof/>
        </w:rPr>
        <w:t>Ukrep, na katerega se predlog/pobuda nanaša</w:t>
      </w:r>
      <w:bookmarkEnd w:id="11"/>
      <w:bookmarkEnd w:id="12"/>
      <w:r w:rsidR="00C4624A" w:rsidRPr="00252A6F">
        <w:rPr>
          <w:noProof/>
        </w:rPr>
        <w:t xml:space="preserve"> </w:t>
      </w:r>
    </w:p>
    <w:p w14:paraId="172EDA0D" w14:textId="77777777" w:rsidR="00C4624A" w:rsidRPr="00252A6F" w:rsidRDefault="00C4624A" w:rsidP="00C4624A">
      <w:pPr>
        <w:pStyle w:val="Text1"/>
        <w:rPr>
          <w:b/>
          <w:bCs/>
          <w:noProof/>
          <w:sz w:val="22"/>
        </w:rPr>
      </w:pPr>
      <w:r w:rsidRPr="00252A6F">
        <w:rPr>
          <w:rFonts w:ascii="Wingdings" w:hAnsi="Wingdings"/>
          <w:noProof/>
        </w:rPr>
        <w:t></w:t>
      </w:r>
      <w:r w:rsidRPr="00252A6F">
        <w:rPr>
          <w:b/>
          <w:i/>
          <w:noProof/>
          <w:sz w:val="22"/>
        </w:rPr>
        <w:t xml:space="preserve"> </w:t>
      </w:r>
      <w:r w:rsidRPr="00252A6F">
        <w:rPr>
          <w:b/>
          <w:noProof/>
        </w:rPr>
        <w:t>Nov ukrep</w:t>
      </w:r>
      <w:r w:rsidRPr="00252A6F">
        <w:rPr>
          <w:b/>
          <w:noProof/>
          <w:sz w:val="22"/>
        </w:rPr>
        <w:t xml:space="preserve"> </w:t>
      </w:r>
    </w:p>
    <w:p w14:paraId="7B6FDD4A" w14:textId="77777777" w:rsidR="00C4624A" w:rsidRPr="00252A6F" w:rsidRDefault="00C4624A" w:rsidP="00C4624A">
      <w:pPr>
        <w:pStyle w:val="Text1"/>
        <w:rPr>
          <w:noProof/>
          <w:sz w:val="22"/>
        </w:rPr>
      </w:pPr>
      <w:r w:rsidRPr="00252A6F">
        <w:rPr>
          <w:rFonts w:ascii="Wingdings" w:hAnsi="Wingdings"/>
          <w:noProof/>
        </w:rPr>
        <w:t></w:t>
      </w:r>
      <w:r w:rsidRPr="00252A6F">
        <w:rPr>
          <w:rFonts w:ascii="Wingdings" w:hAnsi="Wingdings"/>
          <w:noProof/>
        </w:rPr>
        <w:t></w:t>
      </w:r>
      <w:r w:rsidRPr="00252A6F">
        <w:rPr>
          <w:b/>
          <w:noProof/>
        </w:rPr>
        <w:t>Nov ukrep na podlagi pilotnega projekta / pripravljalnega ukrepa</w:t>
      </w:r>
      <w:r w:rsidRPr="00252A6F">
        <w:rPr>
          <w:rStyle w:val="FootnoteReference"/>
          <w:b/>
          <w:bCs/>
          <w:noProof/>
        </w:rPr>
        <w:footnoteReference w:id="28"/>
      </w:r>
      <w:r w:rsidRPr="00252A6F">
        <w:rPr>
          <w:noProof/>
          <w:sz w:val="22"/>
        </w:rPr>
        <w:t xml:space="preserve"> </w:t>
      </w:r>
    </w:p>
    <w:p w14:paraId="0D896569" w14:textId="77777777" w:rsidR="00C4624A" w:rsidRPr="00252A6F" w:rsidRDefault="00C4624A" w:rsidP="00C4624A">
      <w:pPr>
        <w:pStyle w:val="Text1"/>
        <w:rPr>
          <w:noProof/>
          <w:sz w:val="22"/>
        </w:rPr>
      </w:pPr>
      <w:r w:rsidRPr="00252A6F">
        <w:rPr>
          <w:rFonts w:ascii="Wingdings" w:hAnsi="Wingdings"/>
          <w:noProof/>
        </w:rPr>
        <w:t></w:t>
      </w:r>
      <w:r w:rsidRPr="00252A6F">
        <w:rPr>
          <w:i/>
          <w:noProof/>
          <w:sz w:val="22"/>
        </w:rPr>
        <w:t xml:space="preserve"> </w:t>
      </w:r>
      <w:r w:rsidRPr="00252A6F">
        <w:rPr>
          <w:b/>
          <w:noProof/>
        </w:rPr>
        <w:t>Podaljšanje obstoječega ukrepa</w:t>
      </w:r>
      <w:r w:rsidRPr="00252A6F">
        <w:rPr>
          <w:noProof/>
          <w:sz w:val="22"/>
        </w:rPr>
        <w:t xml:space="preserve"> </w:t>
      </w:r>
    </w:p>
    <w:p w14:paraId="6B0414A1" w14:textId="77777777" w:rsidR="00C4624A" w:rsidRPr="00252A6F" w:rsidRDefault="00C4624A" w:rsidP="00C4624A">
      <w:pPr>
        <w:pStyle w:val="Text1"/>
        <w:rPr>
          <w:noProof/>
        </w:rPr>
      </w:pPr>
      <w:r w:rsidRPr="00252A6F">
        <w:rPr>
          <w:rFonts w:ascii="Wingdings" w:hAnsi="Wingdings"/>
          <w:noProof/>
        </w:rPr>
        <w:t></w:t>
      </w:r>
      <w:r w:rsidRPr="00252A6F">
        <w:rPr>
          <w:i/>
          <w:noProof/>
          <w:sz w:val="22"/>
        </w:rPr>
        <w:t xml:space="preserve"> </w:t>
      </w:r>
      <w:r w:rsidRPr="00252A6F">
        <w:rPr>
          <w:b/>
          <w:noProof/>
        </w:rPr>
        <w:t>Združitev ali preusmeritev enega ali več ukrepov v drug/nov ukrep</w:t>
      </w:r>
      <w:r w:rsidRPr="00252A6F">
        <w:rPr>
          <w:noProof/>
        </w:rPr>
        <w:t xml:space="preserve"> </w:t>
      </w:r>
    </w:p>
    <w:p w14:paraId="16985A21" w14:textId="158E8D5E" w:rsidR="00C4624A" w:rsidRPr="00252A6F" w:rsidRDefault="00664ED4" w:rsidP="00664ED4">
      <w:pPr>
        <w:pStyle w:val="ManualHeading2"/>
        <w:rPr>
          <w:noProof/>
          <w:szCs w:val="24"/>
        </w:rPr>
      </w:pPr>
      <w:bookmarkStart w:id="13" w:name="_Toc514938015"/>
      <w:bookmarkStart w:id="14" w:name="_Toc520485029"/>
      <w:r w:rsidRPr="00664ED4">
        <w:t>1.4.</w:t>
      </w:r>
      <w:r w:rsidRPr="00664ED4">
        <w:tab/>
      </w:r>
      <w:r w:rsidR="00C4624A" w:rsidRPr="00252A6F">
        <w:rPr>
          <w:noProof/>
        </w:rPr>
        <w:t>Cilji</w:t>
      </w:r>
      <w:bookmarkEnd w:id="13"/>
      <w:bookmarkEnd w:id="14"/>
    </w:p>
    <w:p w14:paraId="6DC65E5B" w14:textId="59EA88CA" w:rsidR="00C4624A" w:rsidRPr="00252A6F" w:rsidRDefault="00664ED4" w:rsidP="00664ED4">
      <w:pPr>
        <w:pStyle w:val="ManualHeading3"/>
        <w:rPr>
          <w:noProof/>
        </w:rPr>
      </w:pPr>
      <w:bookmarkStart w:id="15" w:name="_Toc514938016"/>
      <w:bookmarkStart w:id="16" w:name="_Toc520485030"/>
      <w:r w:rsidRPr="00664ED4">
        <w:t>1.4.1.</w:t>
      </w:r>
      <w:r w:rsidRPr="00664ED4">
        <w:tab/>
      </w:r>
      <w:r w:rsidR="00C4624A" w:rsidRPr="00252A6F">
        <w:rPr>
          <w:noProof/>
        </w:rPr>
        <w:t>Splošni cilji</w:t>
      </w:r>
      <w:bookmarkEnd w:id="15"/>
      <w:bookmarkEnd w:id="16"/>
    </w:p>
    <w:p w14:paraId="6E1EB600" w14:textId="77777777" w:rsidR="00C4624A" w:rsidRPr="00252A6F" w:rsidRDefault="00C4624A" w:rsidP="00C4624A">
      <w:pPr>
        <w:pStyle w:val="Text1"/>
        <w:rPr>
          <w:rFonts w:eastAsia="Calibri"/>
          <w:noProof/>
          <w:szCs w:val="24"/>
        </w:rPr>
      </w:pPr>
      <w:r w:rsidRPr="00252A6F">
        <w:rPr>
          <w:noProof/>
        </w:rPr>
        <w:t xml:space="preserve"> „Nova spodbuda za delovna mesta, rast in naložbe: spodbujanje blaginje zunaj meja EU“</w:t>
      </w:r>
    </w:p>
    <w:p w14:paraId="2B392266" w14:textId="27C20946" w:rsidR="00C4624A" w:rsidRPr="00252A6F" w:rsidRDefault="00664ED4" w:rsidP="00664ED4">
      <w:pPr>
        <w:pStyle w:val="ManualHeading3"/>
        <w:rPr>
          <w:noProof/>
        </w:rPr>
      </w:pPr>
      <w:bookmarkStart w:id="17" w:name="_Toc514938018"/>
      <w:bookmarkStart w:id="18" w:name="_Toc520485031"/>
      <w:r w:rsidRPr="00664ED4">
        <w:t>1.4.2.</w:t>
      </w:r>
      <w:r w:rsidRPr="00664ED4">
        <w:tab/>
      </w:r>
      <w:r w:rsidR="00C4624A" w:rsidRPr="00252A6F">
        <w:rPr>
          <w:noProof/>
        </w:rPr>
        <w:t>Specifični cilji</w:t>
      </w:r>
      <w:bookmarkEnd w:id="17"/>
      <w:bookmarkEnd w:id="18"/>
    </w:p>
    <w:p w14:paraId="49E97B65" w14:textId="77777777" w:rsidR="00C4624A" w:rsidRPr="00252A6F" w:rsidRDefault="00C4624A" w:rsidP="00C4624A">
      <w:pPr>
        <w:pStyle w:val="Text1"/>
        <w:pBdr>
          <w:top w:val="single" w:sz="4" w:space="1" w:color="auto"/>
          <w:left w:val="single" w:sz="4" w:space="4" w:color="auto"/>
          <w:bottom w:val="single" w:sz="4" w:space="2" w:color="auto"/>
          <w:right w:val="single" w:sz="4" w:space="4" w:color="auto"/>
        </w:pBdr>
        <w:rPr>
          <w:noProof/>
          <w:u w:val="single"/>
        </w:rPr>
      </w:pPr>
      <w:r w:rsidRPr="00252A6F">
        <w:rPr>
          <w:noProof/>
          <w:u w:val="single"/>
        </w:rPr>
        <w:t>Specifični cilj št.</w:t>
      </w:r>
    </w:p>
    <w:p w14:paraId="1D2FB174" w14:textId="77777777" w:rsidR="00C4624A" w:rsidRPr="00252A6F" w:rsidRDefault="00C4624A" w:rsidP="00C4624A">
      <w:pPr>
        <w:ind w:firstLine="720"/>
        <w:rPr>
          <w:rFonts w:eastAsia="Times New Roman"/>
          <w:noProof/>
          <w:szCs w:val="24"/>
        </w:rPr>
      </w:pPr>
      <w:r w:rsidRPr="00252A6F">
        <w:rPr>
          <w:noProof/>
        </w:rPr>
        <w:t xml:space="preserve">„Spodbujanje blaginje zunaj meja EU“ </w:t>
      </w:r>
    </w:p>
    <w:p w14:paraId="49B767DC" w14:textId="77777777" w:rsidR="00C4624A" w:rsidRPr="00252A6F" w:rsidRDefault="00C4624A" w:rsidP="00C4624A">
      <w:pPr>
        <w:pStyle w:val="Text1"/>
        <w:pBdr>
          <w:top w:val="single" w:sz="4" w:space="1" w:color="auto"/>
          <w:left w:val="single" w:sz="4" w:space="4" w:color="auto"/>
          <w:bottom w:val="single" w:sz="4" w:space="1" w:color="auto"/>
          <w:right w:val="single" w:sz="4" w:space="4" w:color="auto"/>
        </w:pBdr>
        <w:rPr>
          <w:noProof/>
          <w:u w:val="single"/>
        </w:rPr>
      </w:pPr>
      <w:r w:rsidRPr="00252A6F">
        <w:rPr>
          <w:noProof/>
          <w:u w:val="single"/>
        </w:rPr>
        <w:t>Zadevne dejavnosti v strukturi ABM/ABB</w:t>
      </w:r>
    </w:p>
    <w:p w14:paraId="1C185005" w14:textId="77777777" w:rsidR="00C4624A" w:rsidRPr="00252A6F" w:rsidRDefault="00C4624A" w:rsidP="00C4624A">
      <w:pPr>
        <w:ind w:firstLine="720"/>
        <w:rPr>
          <w:rFonts w:eastAsia="Times New Roman"/>
          <w:noProof/>
        </w:rPr>
      </w:pPr>
      <w:r w:rsidRPr="00252A6F">
        <w:rPr>
          <w:noProof/>
        </w:rPr>
        <w:t xml:space="preserve">Dejavnosti, povezane z GD ECFIN, se nanašajo na: </w:t>
      </w:r>
    </w:p>
    <w:p w14:paraId="6BC29546" w14:textId="77777777" w:rsidR="00C4624A" w:rsidRPr="00252A6F" w:rsidRDefault="00C4624A" w:rsidP="00C4624A">
      <w:pPr>
        <w:ind w:left="720"/>
        <w:rPr>
          <w:rFonts w:eastAsia="Times New Roman"/>
          <w:noProof/>
          <w:szCs w:val="24"/>
        </w:rPr>
      </w:pPr>
      <w:r w:rsidRPr="00252A6F">
        <w:rPr>
          <w:noProof/>
        </w:rPr>
        <w:t>(a)</w:t>
      </w:r>
      <w:r w:rsidRPr="00252A6F">
        <w:rPr>
          <w:noProof/>
        </w:rPr>
        <w:tab/>
        <w:t xml:space="preserve">podpiranje makrofinančne stabilnosti in spodbujanje reform zunaj EU, ki pospešujejo rast, tudi prek rednih ekonomskih dialogov s ključnimi partnerji in z zagotavljanjem makrofinančne pomoči, ter </w:t>
      </w:r>
    </w:p>
    <w:p w14:paraId="22E586E2" w14:textId="77777777" w:rsidR="00C4624A" w:rsidRPr="00252A6F" w:rsidRDefault="00C4624A" w:rsidP="00C4624A">
      <w:pPr>
        <w:ind w:left="720"/>
        <w:rPr>
          <w:rFonts w:eastAsia="Times New Roman"/>
          <w:noProof/>
          <w:szCs w:val="24"/>
        </w:rPr>
      </w:pPr>
      <w:r w:rsidRPr="00252A6F">
        <w:rPr>
          <w:noProof/>
        </w:rPr>
        <w:t>(b)</w:t>
      </w:r>
      <w:r w:rsidRPr="00252A6F">
        <w:rPr>
          <w:noProof/>
        </w:rPr>
        <w:tab/>
        <w:t>podpiranje procesa širitve, izvajanje širitvene in sosedske politike EU ter drugih prednostnih nalog EU v partnericah z izvajanjem gospodarskih analiz in zagotavljanjem ocen politike in svetovanj.</w:t>
      </w:r>
    </w:p>
    <w:p w14:paraId="5A7447AB" w14:textId="77777777" w:rsidR="00C4624A" w:rsidRPr="00252A6F" w:rsidRDefault="00C4624A" w:rsidP="00C4624A">
      <w:pPr>
        <w:pStyle w:val="Text1"/>
        <w:rPr>
          <w:rFonts w:eastAsia="Calibri"/>
          <w:noProof/>
          <w:szCs w:val="24"/>
        </w:rPr>
      </w:pPr>
    </w:p>
    <w:p w14:paraId="39EE5479" w14:textId="032B1B46" w:rsidR="00C4624A" w:rsidRPr="00252A6F" w:rsidRDefault="00664ED4" w:rsidP="00664ED4">
      <w:pPr>
        <w:pStyle w:val="ManualHeading3"/>
        <w:rPr>
          <w:noProof/>
        </w:rPr>
      </w:pPr>
      <w:bookmarkStart w:id="19" w:name="_Toc514938019"/>
      <w:bookmarkStart w:id="20" w:name="_Toc520485032"/>
      <w:r w:rsidRPr="00664ED4">
        <w:t>1.4.3.</w:t>
      </w:r>
      <w:r w:rsidRPr="00664ED4">
        <w:tab/>
      </w:r>
      <w:r w:rsidR="00C4624A" w:rsidRPr="00252A6F">
        <w:rPr>
          <w:noProof/>
        </w:rPr>
        <w:t>Pričakovani rezultati in posledice</w:t>
      </w:r>
      <w:bookmarkEnd w:id="19"/>
      <w:bookmarkEnd w:id="20"/>
    </w:p>
    <w:p w14:paraId="072B6846" w14:textId="77777777" w:rsidR="00C4624A" w:rsidRPr="00252A6F" w:rsidRDefault="00C4624A" w:rsidP="00C4624A">
      <w:pPr>
        <w:pStyle w:val="Text1"/>
        <w:rPr>
          <w:i/>
          <w:noProof/>
          <w:sz w:val="20"/>
        </w:rPr>
      </w:pPr>
      <w:r w:rsidRPr="00252A6F">
        <w:rPr>
          <w:i/>
          <w:noProof/>
          <w:sz w:val="20"/>
        </w:rPr>
        <w:t>Navedite, kakšne učinke naj bi imel(-a) predlog/pobuda za upravičence/ciljne skupine.</w:t>
      </w:r>
    </w:p>
    <w:p w14:paraId="274BEF64" w14:textId="77777777" w:rsidR="00C4624A" w:rsidRPr="00252A6F" w:rsidRDefault="00C4624A" w:rsidP="00A3543A">
      <w:pPr>
        <w:pStyle w:val="Bullet1"/>
        <w:numPr>
          <w:ilvl w:val="0"/>
          <w:numId w:val="29"/>
        </w:numPr>
        <w:rPr>
          <w:rFonts w:eastAsiaTheme="minorEastAsia"/>
          <w:noProof/>
        </w:rPr>
      </w:pPr>
      <w:r w:rsidRPr="00252A6F">
        <w:rPr>
          <w:noProof/>
        </w:rPr>
        <w:t>Zagotoviti makrofinančno pomoč Ukrajini v podporo njeni gospodarski odpornosti in stabilnosti v vojnih razmerah.</w:t>
      </w:r>
    </w:p>
    <w:p w14:paraId="272B9E61" w14:textId="77777777" w:rsidR="00C4624A" w:rsidRPr="00252A6F" w:rsidRDefault="00C4624A" w:rsidP="00C4624A">
      <w:pPr>
        <w:pStyle w:val="Bullet1"/>
        <w:rPr>
          <w:rFonts w:eastAsiaTheme="minorEastAsia"/>
          <w:noProof/>
          <w:szCs w:val="24"/>
        </w:rPr>
      </w:pPr>
      <w:r w:rsidRPr="00252A6F">
        <w:rPr>
          <w:noProof/>
        </w:rPr>
        <w:t>Prispevati k pokrivanju potreb Ukrajine po zunanjem financiranju v letu 2022 zaradi znatnega poslabšanja njenih zunanjih računov, ki je posledica neizzvane in neupravičene ruske invazije Ukrajine.</w:t>
      </w:r>
    </w:p>
    <w:p w14:paraId="4F67BAEA" w14:textId="77777777" w:rsidR="00C4624A" w:rsidRPr="00252A6F" w:rsidRDefault="00C4624A" w:rsidP="00C4624A">
      <w:pPr>
        <w:pStyle w:val="Bullet1"/>
        <w:rPr>
          <w:rFonts w:eastAsiaTheme="minorEastAsia"/>
          <w:noProof/>
          <w:szCs w:val="24"/>
        </w:rPr>
      </w:pPr>
      <w:r w:rsidRPr="00252A6F">
        <w:rPr>
          <w:noProof/>
        </w:rPr>
        <w:t xml:space="preserve">Ublažiti proračunske potrebe partnerice po financiranju kot nadaljevanje že zagotovljene nujne pomoči. </w:t>
      </w:r>
    </w:p>
    <w:p w14:paraId="597A8E61" w14:textId="77777777" w:rsidR="00C4624A" w:rsidRPr="00252A6F" w:rsidRDefault="00C4624A" w:rsidP="00C4624A">
      <w:pPr>
        <w:pStyle w:val="Bullet1"/>
        <w:rPr>
          <w:rFonts w:eastAsiaTheme="minorEastAsia"/>
          <w:noProof/>
          <w:szCs w:val="24"/>
        </w:rPr>
      </w:pPr>
      <w:r w:rsidRPr="00252A6F">
        <w:rPr>
          <w:noProof/>
        </w:rPr>
        <w:t>Podpreti strukturne reforme, katerih cilji so izboljšanje splošnega makroekonomskega upravljanja, okrepitev ekonomskega upravljanja in preglednosti ter izboljšanje pogojev za trajnostno rast.</w:t>
      </w:r>
    </w:p>
    <w:p w14:paraId="4DB5043E" w14:textId="77777777" w:rsidR="00C4624A" w:rsidRPr="00252A6F" w:rsidRDefault="00C4624A" w:rsidP="00C4624A">
      <w:pPr>
        <w:pStyle w:val="Text1"/>
        <w:rPr>
          <w:rFonts w:eastAsia="Calibri"/>
          <w:noProof/>
          <w:szCs w:val="24"/>
        </w:rPr>
      </w:pPr>
    </w:p>
    <w:p w14:paraId="347092AB" w14:textId="1374CEB8" w:rsidR="00C4624A" w:rsidRPr="00252A6F" w:rsidRDefault="00664ED4" w:rsidP="00664ED4">
      <w:pPr>
        <w:pStyle w:val="ManualHeading3"/>
        <w:rPr>
          <w:noProof/>
          <w:szCs w:val="24"/>
        </w:rPr>
      </w:pPr>
      <w:bookmarkStart w:id="21" w:name="_Toc514938023"/>
      <w:bookmarkStart w:id="22" w:name="_Toc520485033"/>
      <w:r w:rsidRPr="00664ED4">
        <w:t>1.4.4.</w:t>
      </w:r>
      <w:r w:rsidRPr="00664ED4">
        <w:tab/>
      </w:r>
      <w:r w:rsidR="00C4624A" w:rsidRPr="00252A6F">
        <w:rPr>
          <w:noProof/>
        </w:rPr>
        <w:t>Kazalniki smotrnosti</w:t>
      </w:r>
      <w:bookmarkEnd w:id="21"/>
      <w:bookmarkEnd w:id="22"/>
    </w:p>
    <w:p w14:paraId="5DB78349" w14:textId="77777777" w:rsidR="00C4624A" w:rsidRPr="00252A6F" w:rsidRDefault="00C4624A" w:rsidP="00C4624A">
      <w:pPr>
        <w:pStyle w:val="Text1"/>
        <w:rPr>
          <w:i/>
          <w:noProof/>
          <w:sz w:val="20"/>
        </w:rPr>
      </w:pPr>
      <w:r w:rsidRPr="00252A6F">
        <w:rPr>
          <w:i/>
          <w:noProof/>
          <w:sz w:val="20"/>
        </w:rPr>
        <w:t>Navedite, s katerimi kazalniki se bodo spremljali napredek in dosežki.</w:t>
      </w:r>
    </w:p>
    <w:p w14:paraId="64346733" w14:textId="77777777" w:rsidR="00C4624A" w:rsidRPr="00252A6F" w:rsidRDefault="00C4624A" w:rsidP="00C4624A">
      <w:pPr>
        <w:pBdr>
          <w:top w:val="single" w:sz="4" w:space="1" w:color="auto"/>
          <w:left w:val="single" w:sz="4" w:space="4" w:color="auto"/>
          <w:bottom w:val="single" w:sz="4" w:space="1" w:color="auto"/>
          <w:right w:val="single" w:sz="4" w:space="4" w:color="auto"/>
        </w:pBdr>
        <w:rPr>
          <w:rFonts w:eastAsia="Times New Roman"/>
          <w:noProof/>
          <w:szCs w:val="24"/>
        </w:rPr>
      </w:pPr>
      <w:r w:rsidRPr="00252A6F">
        <w:rPr>
          <w:noProof/>
        </w:rPr>
        <w:t xml:space="preserve">Ukrajinski organi bodo morali službam Komisije redno poročati o nizu ekonomskih kazalnikov ter o zahtevah glede poročanja iz memoranduma o soglasju. </w:t>
      </w:r>
    </w:p>
    <w:p w14:paraId="49680E02" w14:textId="77777777" w:rsidR="00C4624A" w:rsidRPr="00252A6F" w:rsidRDefault="00C4624A" w:rsidP="00C4624A">
      <w:pPr>
        <w:pBdr>
          <w:top w:val="single" w:sz="4" w:space="1" w:color="auto"/>
          <w:left w:val="single" w:sz="4" w:space="4" w:color="auto"/>
          <w:bottom w:val="single" w:sz="4" w:space="1" w:color="auto"/>
          <w:right w:val="single" w:sz="4" w:space="4" w:color="auto"/>
        </w:pBdr>
        <w:rPr>
          <w:rFonts w:eastAsia="Times New Roman"/>
          <w:noProof/>
          <w:szCs w:val="24"/>
        </w:rPr>
      </w:pPr>
      <w:r w:rsidRPr="00252A6F">
        <w:rPr>
          <w:noProof/>
        </w:rPr>
        <w:t xml:space="preserve">Službe Komisije bodo še naprej spremljale upravljanje javnih financ, in sicer na podlagi operativne ocene finančnih ureditev in upravnih postopkov v Ukrajini, ki je bila predložena junija 2020. Komisija bo drugo operativno oceno izvedla med izvajanjem ukrepa. </w:t>
      </w:r>
    </w:p>
    <w:p w14:paraId="37EE2D95" w14:textId="77777777" w:rsidR="00C4624A" w:rsidRPr="00252A6F" w:rsidRDefault="00C4624A" w:rsidP="00C4624A">
      <w:pPr>
        <w:pBdr>
          <w:top w:val="single" w:sz="4" w:space="1" w:color="auto"/>
          <w:left w:val="single" w:sz="4" w:space="4" w:color="auto"/>
          <w:bottom w:val="single" w:sz="4" w:space="1" w:color="auto"/>
          <w:right w:val="single" w:sz="4" w:space="4" w:color="auto"/>
        </w:pBdr>
        <w:rPr>
          <w:rFonts w:eastAsia="Times New Roman"/>
          <w:noProof/>
        </w:rPr>
      </w:pPr>
      <w:r w:rsidRPr="00252A6F">
        <w:rPr>
          <w:noProof/>
        </w:rPr>
        <w:t xml:space="preserve">V predlogu sklepa je predvideno letno poročilo Svetu in Evropskemu parlamentu, ki vsebuje oceno izvajanja ukrepa makrofinančne pomoči. V dveh letih po sprostitvi zadnjega obroka bo izvedena neodvisna naknadna ocena pomoči. </w:t>
      </w:r>
    </w:p>
    <w:p w14:paraId="47577236" w14:textId="77777777" w:rsidR="00C4624A" w:rsidRPr="00252A6F" w:rsidRDefault="00C4624A" w:rsidP="00C4624A">
      <w:pPr>
        <w:rPr>
          <w:rFonts w:eastAsia="Times New Roman"/>
          <w:noProof/>
        </w:rPr>
      </w:pPr>
    </w:p>
    <w:p w14:paraId="00C56D98" w14:textId="5F53230F" w:rsidR="00C4624A" w:rsidRPr="00252A6F" w:rsidRDefault="00664ED4" w:rsidP="00664ED4">
      <w:pPr>
        <w:pStyle w:val="ManualHeading2"/>
        <w:rPr>
          <w:noProof/>
          <w:szCs w:val="24"/>
        </w:rPr>
      </w:pPr>
      <w:bookmarkStart w:id="23" w:name="_Toc514938025"/>
      <w:bookmarkStart w:id="24" w:name="_Toc520485034"/>
      <w:r w:rsidRPr="00664ED4">
        <w:t>1.5.</w:t>
      </w:r>
      <w:r w:rsidRPr="00664ED4">
        <w:tab/>
      </w:r>
      <w:r w:rsidR="00C4624A" w:rsidRPr="00252A6F">
        <w:rPr>
          <w:noProof/>
        </w:rPr>
        <w:t>Utemeljitev predloga/pobude</w:t>
      </w:r>
      <w:bookmarkEnd w:id="23"/>
      <w:bookmarkEnd w:id="24"/>
      <w:r w:rsidR="00C4624A" w:rsidRPr="00252A6F">
        <w:rPr>
          <w:noProof/>
        </w:rPr>
        <w:t xml:space="preserve"> </w:t>
      </w:r>
    </w:p>
    <w:p w14:paraId="310A09E1" w14:textId="1D1C3CBF" w:rsidR="00C4624A" w:rsidRPr="00252A6F" w:rsidRDefault="00664ED4" w:rsidP="00664ED4">
      <w:pPr>
        <w:pStyle w:val="ManualHeading3"/>
        <w:rPr>
          <w:noProof/>
        </w:rPr>
      </w:pPr>
      <w:bookmarkStart w:id="25" w:name="_Toc514938026"/>
      <w:bookmarkStart w:id="26" w:name="_Toc520485035"/>
      <w:r w:rsidRPr="00664ED4">
        <w:t>1.5.1.</w:t>
      </w:r>
      <w:r w:rsidRPr="00664ED4">
        <w:tab/>
      </w:r>
      <w:r w:rsidR="00C4624A" w:rsidRPr="00252A6F">
        <w:rPr>
          <w:noProof/>
        </w:rPr>
        <w:t>Potrebe, ki jih je treba zadovoljiti kratkoročno ali dolgoročno, vključno s podrobno časovnico za uvajanje ustreznih ukrepov za izvajanje pobude</w:t>
      </w:r>
      <w:bookmarkEnd w:id="25"/>
      <w:bookmarkEnd w:id="26"/>
    </w:p>
    <w:p w14:paraId="6929D647" w14:textId="77777777" w:rsidR="00C4624A" w:rsidRPr="00252A6F" w:rsidRDefault="00C4624A" w:rsidP="00C4624A">
      <w:pPr>
        <w:rPr>
          <w:noProof/>
        </w:rPr>
      </w:pPr>
      <w:r w:rsidRPr="00252A6F">
        <w:rPr>
          <w:noProof/>
        </w:rPr>
        <w:t xml:space="preserve">Izplačilo pomoči bo odvisno od izpolnjevanja političnih pogojev iz memoranduma o soglasju med Komisijo in ukrajinskimi organi. Pomoč naj bi bila izplačana v več obrokih. Obroki bi se sprostili čim prej po odobritvi tega predloga in začetku veljavnosti ustreznega memoranduma o soglasju ter bi bili </w:t>
      </w:r>
      <w:r w:rsidRPr="00252A6F">
        <w:rPr>
          <w:rStyle w:val="findhit"/>
          <w:noProof/>
          <w:color w:val="000000"/>
        </w:rPr>
        <w:t>takrat</w:t>
      </w:r>
      <w:r w:rsidRPr="00252A6F">
        <w:rPr>
          <w:rStyle w:val="normaltextrun"/>
          <w:noProof/>
          <w:color w:val="000000"/>
          <w:shd w:val="clear" w:color="auto" w:fill="FFFFFF"/>
        </w:rPr>
        <w:t xml:space="preserve"> na voljo</w:t>
      </w:r>
      <w:r w:rsidRPr="00252A6F">
        <w:rPr>
          <w:noProof/>
        </w:rPr>
        <w:t xml:space="preserve">. </w:t>
      </w:r>
    </w:p>
    <w:p w14:paraId="050E4976" w14:textId="77777777" w:rsidR="00C4624A" w:rsidRPr="00252A6F" w:rsidRDefault="00C4624A" w:rsidP="00C4624A">
      <w:pPr>
        <w:pStyle w:val="Text1"/>
        <w:ind w:left="0"/>
        <w:rPr>
          <w:noProof/>
        </w:rPr>
      </w:pPr>
      <w:r w:rsidRPr="00252A6F">
        <w:rPr>
          <w:noProof/>
        </w:rPr>
        <w:t xml:space="preserve">Pomoč bo upravljala Komisija. Uporabljajo se posebne določbe o preprečevanju goljufij in drugih nepravilnosti, ki so v skladu s finančno uredbo. </w:t>
      </w:r>
    </w:p>
    <w:p w14:paraId="1024DFA1" w14:textId="77777777" w:rsidR="00C4624A" w:rsidRPr="00252A6F" w:rsidRDefault="00C4624A" w:rsidP="00C4624A">
      <w:pPr>
        <w:spacing w:before="0" w:after="240"/>
        <w:rPr>
          <w:rFonts w:eastAsia="Arial Unicode MS"/>
          <w:noProof/>
        </w:rPr>
      </w:pPr>
      <w:r w:rsidRPr="00252A6F">
        <w:rPr>
          <w:noProof/>
        </w:rPr>
        <w:t>Komisija in ukrajinski organi bi se dogovorili o memorandumu o soglasju, ki bi določal zahteve glede poročanja. Komisija bo tesno sodelovala z mednarodnimi finančnimi institucijami in nacionalnimi organi, da bi spremljala razvoj zadevnih dogodkov ter uporabo zahtev in pogojev, dogovorjenih v memorandumu o soglasju.</w:t>
      </w:r>
    </w:p>
    <w:p w14:paraId="71A3D9F5" w14:textId="3D2A5C1B" w:rsidR="00C4624A" w:rsidRPr="00252A6F" w:rsidRDefault="00664ED4" w:rsidP="00664ED4">
      <w:pPr>
        <w:pStyle w:val="ManualHeading3"/>
        <w:rPr>
          <w:noProof/>
        </w:rPr>
      </w:pPr>
      <w:bookmarkStart w:id="27" w:name="_Toc514938029"/>
      <w:bookmarkStart w:id="28" w:name="_Toc520485036"/>
      <w:r w:rsidRPr="00664ED4">
        <w:t>1.5.2.</w:t>
      </w:r>
      <w:r w:rsidRPr="00664ED4">
        <w:tab/>
      </w:r>
      <w:r w:rsidR="00C4624A" w:rsidRPr="00252A6F">
        <w:rPr>
          <w:noProof/>
        </w:rPr>
        <w:t>Dodana vrednost ukrepanja Unije (ki je lahko posledica različnih dejavnikov, npr. boljšega usklajevanja, pravne varnosti, večje učinkovitosti ali dopolnjevanja). Za namene te točke je „dodana vrednost ukrepanja Unije“ vrednost, ki izhaja iz ukrepanja Unije in predstavlja dodatno vrednost poleg tiste, ki bi jo sicer ustvarile države članice same.</w:t>
      </w:r>
      <w:bookmarkEnd w:id="27"/>
      <w:bookmarkEnd w:id="28"/>
    </w:p>
    <w:p w14:paraId="35ED8E3B" w14:textId="77777777" w:rsidR="00C4624A" w:rsidRPr="00252A6F" w:rsidRDefault="00C4624A" w:rsidP="00C4624A">
      <w:pPr>
        <w:pBdr>
          <w:top w:val="nil"/>
          <w:left w:val="nil"/>
          <w:bottom w:val="nil"/>
          <w:right w:val="nil"/>
          <w:between w:val="nil"/>
          <w:bar w:val="nil"/>
        </w:pBdr>
        <w:spacing w:before="0" w:after="240"/>
        <w:rPr>
          <w:noProof/>
        </w:rPr>
      </w:pPr>
      <w:r w:rsidRPr="00252A6F">
        <w:rPr>
          <w:noProof/>
        </w:rPr>
        <w:t>Ta predlog za makrofinančno pomoč Ukrajini v višini do 5 milijard EUR je del cilja EU, da zagotovi kratkoročno likvidnostno podporo v višini do 9 milijard EUR. Predlog sledi Sklepu (EU) 2022/1201 o zagotovitvi makrofinančne pomoči Ukrajini v višini 1 milijarde EUR v obliki posojil, ki je bila v celoti izplačana v začetku avgusta 2022, in ga spreminja. Ta makrofinančna pomoč krepi tudi ukrepe Unije za neposredno humanitarno, gospodarsko in obrambno podporo ter pobude Unije za usklajevanje večstranskih ukrepov, kot je kampanja Podprimo Ukrajino. Makrofinančna pomoč že po svoji naravi tudi spodbuja reforme, ki krepijo kratkoročno odpornost države in prispevajo k njeni večji dolgoročni stabilnosti. Ti pričakovani rezultati so v tem kritičnem trenutku za Ukrajino še posebej pomembni.</w:t>
      </w:r>
    </w:p>
    <w:p w14:paraId="75763B95" w14:textId="77777777" w:rsidR="00C4624A" w:rsidRPr="00252A6F" w:rsidRDefault="00C4624A" w:rsidP="00C4624A">
      <w:pPr>
        <w:pBdr>
          <w:top w:val="nil"/>
          <w:left w:val="nil"/>
          <w:bottom w:val="nil"/>
          <w:right w:val="nil"/>
          <w:between w:val="nil"/>
          <w:bar w:val="nil"/>
        </w:pBdr>
        <w:spacing w:before="0" w:after="240"/>
        <w:rPr>
          <w:noProof/>
        </w:rPr>
      </w:pPr>
      <w:r w:rsidRPr="00252A6F">
        <w:rPr>
          <w:noProof/>
        </w:rPr>
        <w:t>Zagotavljanje nadaljnje podpore Ukrajini v obliki posojil lahko v tem trenutku ukrajinskim oblastem pomaga pri premagovanju neposrednih in najnujnejših izzivov v zvezi s financiranjem, do katerih je prišlo zaradi vojne. Poleg tega s podporo prizadevanjem ukrajinskih organov za vzdrževanje stabilnega makroekonomskega okolja predlagana makrofinančna pomoč prispeva k povečanju dodane vrednosti vključenosti EU v Ukrajini na splošno ter k izboljšanju učinkovitosti drugih vrst finančne pomoči EU državi, vključno z dejavnostmi proračunske podpore in nepovratnimi sredstvi, ki so na voljo prek instrumentov za zunanje financiranje v okviru veljavnega večletnega finančnega okvira za obdobje 2021–2027.</w:t>
      </w:r>
    </w:p>
    <w:p w14:paraId="53D8AE47" w14:textId="77777777" w:rsidR="00C4624A" w:rsidRPr="00252A6F" w:rsidRDefault="00C4624A" w:rsidP="00C4624A">
      <w:pPr>
        <w:rPr>
          <w:noProof/>
        </w:rPr>
      </w:pPr>
      <w:r w:rsidRPr="00252A6F">
        <w:rPr>
          <w:noProof/>
        </w:rPr>
        <w:t>Projektno financiranje ali tehnična pomoč ne bi bila niti primerna niti zadostna za obravnavanje širših makrofinančnih ciljev te izredne makrofinančne pomoči. Ključna dodana vrednost makrofinančne pomoči v primerjavi z drugimi instrumenti EU je hitro zmanjšanje ovir za zunanje financiranje in zagotavljanje še naprej stabilnega makrofinančnega okvira, vključno s spodbujanjem vzdržne plačilne bilance in proračunskega položaja znotraj ustreznega okvira zahtev glede poročanja. Makrofinančna pomoč lahko s pomočjo pri zagotavljanju ustreznega splošnega okvira politike poveča učinkovitost ukrepov, financiranih v Ukrajini na podlagi drugih, ožje usmerjenih finančnih instrumentov EU.</w:t>
      </w:r>
    </w:p>
    <w:p w14:paraId="3AA2AA0B" w14:textId="4F9C6061" w:rsidR="00C4624A" w:rsidRPr="00252A6F" w:rsidRDefault="00664ED4" w:rsidP="00664ED4">
      <w:pPr>
        <w:pStyle w:val="ManualHeading3"/>
        <w:rPr>
          <w:noProof/>
        </w:rPr>
      </w:pPr>
      <w:bookmarkStart w:id="29" w:name="_Toc514938030"/>
      <w:bookmarkStart w:id="30" w:name="_Toc520485037"/>
      <w:r w:rsidRPr="00664ED4">
        <w:t>1.5.3.</w:t>
      </w:r>
      <w:r w:rsidRPr="00664ED4">
        <w:tab/>
      </w:r>
      <w:r w:rsidR="00C4624A" w:rsidRPr="00252A6F">
        <w:rPr>
          <w:noProof/>
        </w:rPr>
        <w:t>Spoznanja iz podobnih izkušenj v preteklosti</w:t>
      </w:r>
      <w:bookmarkEnd w:id="29"/>
      <w:bookmarkEnd w:id="30"/>
    </w:p>
    <w:p w14:paraId="0D623015" w14:textId="77777777" w:rsidR="00C4624A" w:rsidRPr="00252A6F" w:rsidRDefault="00C4624A" w:rsidP="00C4624A">
      <w:pPr>
        <w:spacing w:before="0" w:after="240"/>
        <w:rPr>
          <w:noProof/>
        </w:rPr>
      </w:pPr>
      <w:r w:rsidRPr="00252A6F">
        <w:rPr>
          <w:noProof/>
        </w:rPr>
        <w:t xml:space="preserve">Ukrepi makrofinančne pomoči v partnerskih državah so predmet naknadne ocene. Naknadne ocene prejšnjih ukrepov makrofinančne pomoči Ukrajini, opravljene v preteklosti, so pokazale, da so bili na splošno zelo pomembni z vidika ciljev, finančnih sredstev in ciljev politike. </w:t>
      </w:r>
    </w:p>
    <w:p w14:paraId="0ADB3F11" w14:textId="77777777" w:rsidR="00C4624A" w:rsidRPr="00252A6F" w:rsidRDefault="00C4624A" w:rsidP="00C4624A">
      <w:pPr>
        <w:spacing w:before="0" w:after="240"/>
        <w:rPr>
          <w:rFonts w:eastAsia="Arial Unicode MS"/>
          <w:noProof/>
        </w:rPr>
      </w:pPr>
      <w:r w:rsidRPr="00252A6F">
        <w:rPr>
          <w:noProof/>
        </w:rPr>
        <w:t>Bili so ključnega pomena za podporo Ukrajini pri reševanju njenih težav s plačilno bilanco in izvajanju ključnih strukturnih reform za stabilizacijo gospodarstva in povečanje vzdržnosti njenega zunanjega položaja. Omogočili so fiskalne prihranke in finančne koristi ter delovali kot katalizator za dodatno finančno podporo in zaupanje vlagateljev. Sveženj pogojev za prejem makrofinančne pomoči je bil v celoti usklajen s povezanim programom Mednarodnega denarnega sklada in je ustvaril učinek politične okrepitve, ki je prispeval k mobilizaciji ukrajinskih organov v zvezi z bistvenimi reformami, zlasti na področjih, ki niso zajeta v drugih programih mednarodnih donatorjev.</w:t>
      </w:r>
    </w:p>
    <w:p w14:paraId="180F33D0" w14:textId="0B5ED19E" w:rsidR="00C4624A" w:rsidRPr="00252A6F" w:rsidRDefault="00664ED4" w:rsidP="00664ED4">
      <w:pPr>
        <w:pStyle w:val="ManualHeading3"/>
        <w:rPr>
          <w:noProof/>
        </w:rPr>
      </w:pPr>
      <w:bookmarkStart w:id="31" w:name="_Toc514938033"/>
      <w:bookmarkStart w:id="32" w:name="_Toc520485038"/>
      <w:r w:rsidRPr="00664ED4">
        <w:t>1.5.4.</w:t>
      </w:r>
      <w:r w:rsidRPr="00664ED4">
        <w:tab/>
      </w:r>
      <w:r w:rsidR="00C4624A" w:rsidRPr="00252A6F">
        <w:rPr>
          <w:noProof/>
        </w:rPr>
        <w:t>Skladnost z večletnim finančnim okvirom in možne sinergije z drugimi ustreznimi instrumenti</w:t>
      </w:r>
      <w:bookmarkEnd w:id="31"/>
      <w:bookmarkEnd w:id="32"/>
    </w:p>
    <w:p w14:paraId="1A4374BA" w14:textId="77777777" w:rsidR="00C4624A" w:rsidRPr="00252A6F" w:rsidRDefault="00C4624A" w:rsidP="00C4624A">
      <w:pPr>
        <w:pStyle w:val="Text1"/>
        <w:rPr>
          <w:noProof/>
        </w:rPr>
      </w:pPr>
    </w:p>
    <w:p w14:paraId="28E1C5F5" w14:textId="77777777" w:rsidR="00C4624A" w:rsidRPr="00252A6F" w:rsidRDefault="00C4624A" w:rsidP="00C4624A">
      <w:pPr>
        <w:rPr>
          <w:noProof/>
        </w:rPr>
      </w:pPr>
      <w:r w:rsidRPr="00252A6F">
        <w:rPr>
          <w:noProof/>
        </w:rPr>
        <w:t xml:space="preserve">Rezervacije za makrofinančno pomoč v večletnem finančnem okviru za obdobje 2021–2027 se načeloma oblikujejo po stopnji 9 % v skupnem skladu za rezervacije, vzpostavljenem v skladu s členom 212 Uredbe (EU, Euratom) 2018/1046 Evropskega parlamenta in Sveta. </w:t>
      </w:r>
    </w:p>
    <w:p w14:paraId="78741F4B" w14:textId="77777777" w:rsidR="00C4624A" w:rsidRPr="00252A6F" w:rsidRDefault="00C4624A" w:rsidP="00C4624A">
      <w:pPr>
        <w:rPr>
          <w:noProof/>
        </w:rPr>
      </w:pPr>
      <w:r w:rsidRPr="00252A6F">
        <w:rPr>
          <w:noProof/>
        </w:rPr>
        <w:t xml:space="preserve">V skladu z načelom dobrega finančnega poslovodenja in glede na trenutno ocenjeno izpostavljenost tveganju je treba za te dodatne izpostavljenosti, povezane z razmerami v Ukrajini, oblikovati kritje v višini 70 % posojila. </w:t>
      </w:r>
      <w:r w:rsidRPr="00252A6F">
        <w:rPr>
          <w:rStyle w:val="normaltextrun"/>
          <w:noProof/>
          <w:color w:val="000000"/>
          <w:shd w:val="clear" w:color="auto" w:fill="FFFFFF"/>
        </w:rPr>
        <w:t xml:space="preserve">Proračun EU bo zagotovil zaščito pred prvo izgubo </w:t>
      </w:r>
      <w:r w:rsidRPr="00252A6F">
        <w:rPr>
          <w:rStyle w:val="normaltextrun"/>
          <w:noProof/>
          <w:color w:val="000000"/>
        </w:rPr>
        <w:t>za 9</w:t>
      </w:r>
      <w:r w:rsidRPr="00252A6F">
        <w:rPr>
          <w:rStyle w:val="normaltextrun"/>
          <w:noProof/>
          <w:color w:val="000000"/>
          <w:shd w:val="clear" w:color="auto" w:fill="FFFFFF"/>
        </w:rPr>
        <w:t xml:space="preserve"> % celotnega svežnja 6 milijard EUR v obliki posojil. To bi bilo okrepljeno z jamstvi držav članic v </w:t>
      </w:r>
      <w:r w:rsidRPr="00252A6F">
        <w:rPr>
          <w:rStyle w:val="normaltextrun"/>
          <w:noProof/>
          <w:color w:val="000000"/>
        </w:rPr>
        <w:t xml:space="preserve">dodatni višini </w:t>
      </w:r>
      <w:r w:rsidRPr="00252A6F">
        <w:rPr>
          <w:rStyle w:val="findhit"/>
          <w:noProof/>
          <w:color w:val="000000"/>
        </w:rPr>
        <w:t>61</w:t>
      </w:r>
      <w:r w:rsidRPr="00252A6F">
        <w:rPr>
          <w:rStyle w:val="normaltextrun"/>
          <w:noProof/>
          <w:color w:val="000000"/>
        </w:rPr>
        <w:t>% vrednosti</w:t>
      </w:r>
      <w:r w:rsidRPr="00252A6F">
        <w:rPr>
          <w:rStyle w:val="normaltextrun"/>
          <w:noProof/>
          <w:color w:val="000000"/>
          <w:shd w:val="clear" w:color="auto" w:fill="FFFFFF"/>
        </w:rPr>
        <w:t xml:space="preserve"> posojil.  </w:t>
      </w:r>
      <w:r w:rsidRPr="00252A6F">
        <w:rPr>
          <w:rStyle w:val="eop"/>
          <w:noProof/>
          <w:color w:val="000000"/>
          <w:shd w:val="clear" w:color="auto" w:fill="FFFFFF"/>
        </w:rPr>
        <w:t xml:space="preserve"> </w:t>
      </w:r>
    </w:p>
    <w:p w14:paraId="19E1718A" w14:textId="77777777" w:rsidR="00C4624A" w:rsidRPr="00252A6F" w:rsidRDefault="00C4624A" w:rsidP="00C4624A">
      <w:pPr>
        <w:rPr>
          <w:noProof/>
        </w:rPr>
      </w:pPr>
      <w:r w:rsidRPr="00252A6F">
        <w:rPr>
          <w:noProof/>
        </w:rPr>
        <w:t>Poleg tega bi morala imeti Unija glede na težke razmere v Ukrajini in za podporo Ukrajini na poti do dolgoročne stabilnosti možnost, da izjemoma krije stroške obresti in Ukrajino oprosti plačila upravnih stroškov. Subvencija obrestne mere bi se morala kriti iz sredstev iz člena 6(2), točka (a), prva alinea, Uredbe (EU) 2021/947 za obdobje večletnega finančnega okvira 2021–2027.</w:t>
      </w:r>
    </w:p>
    <w:p w14:paraId="78CD872F" w14:textId="77777777" w:rsidR="00C4624A" w:rsidRPr="00252A6F" w:rsidRDefault="00C4624A" w:rsidP="00C4624A">
      <w:pPr>
        <w:rPr>
          <w:noProof/>
        </w:rPr>
      </w:pPr>
      <w:r w:rsidRPr="00252A6F">
        <w:rPr>
          <w:noProof/>
        </w:rPr>
        <w:t xml:space="preserve">Poleg zagotavljanja neposredne podpore se je Evropska komisija julija 2022 dogovorila o spremembi namena posojil v višini 1,59 milijarde EUR v okviru mandata Evropske investicijske banke (EIB) za zunanja posojila Ukrajini, podprtih z jamstvi iz proračuna EU. EIB naj bi v tretjem četrtletju leta 2022 izplačala znesek v višini 1,05 milijarde EUR. V obdobju 2022–2023 naj bi EIB izplačala dodatnih 536 milijonov EUR posojil, da bi pomagala financirati nadaljevanje izbranih naložbenih projektov. Ker pa so to posojila ukrajinskim državnim subjektom (ali subjektom, za katere jamči država), predstavljajo enako stopnjo tveganja kot izredna makrofinančna pomoč v obliki posojil. V skladu s sporazumi o jamstvu za zunanji mandat EIB ima EIB pravico, da iz proračuna EU zahteva znesek do višine celotnega zneska izgub, ki jih ima pri teh posojilih. Zato bi bilo treba pojasniti, da bi se moral za te izpostavljenosti uporabljati enak previdnostni pristop in da bi bilo treba ustrezne dodatne rezervacije vključiti v poseben skupni oddelek skupnega sklada za rezervacije, namenjen Ukrajini. Ta predlog zato predvideva razširitev 70-odstotne stopnje rezervacij na te dodatne izpostavljenosti v višini 1,59 milijarde EUR, ki izhajajo iz posojil EIB s spremenjenim namenom. </w:t>
      </w:r>
    </w:p>
    <w:p w14:paraId="7FC7FDEC" w14:textId="77777777" w:rsidR="00C4624A" w:rsidRPr="00252A6F" w:rsidRDefault="00C4624A" w:rsidP="00C4624A">
      <w:pPr>
        <w:spacing w:before="240" w:after="240"/>
        <w:rPr>
          <w:rFonts w:eastAsia="Times New Roman"/>
          <w:i/>
          <w:iCs/>
          <w:noProof/>
          <w:szCs w:val="24"/>
        </w:rPr>
      </w:pPr>
      <w:r w:rsidRPr="00252A6F">
        <w:rPr>
          <w:i/>
          <w:noProof/>
        </w:rPr>
        <w:t>Možne sinergije z drugimi ustreznimi instrumenti</w:t>
      </w:r>
    </w:p>
    <w:p w14:paraId="36653DA6" w14:textId="77777777" w:rsidR="00C4624A" w:rsidRPr="00252A6F" w:rsidRDefault="00C4624A" w:rsidP="00C4624A">
      <w:pPr>
        <w:pBdr>
          <w:top w:val="nil"/>
          <w:left w:val="nil"/>
          <w:bottom w:val="nil"/>
          <w:right w:val="nil"/>
          <w:between w:val="nil"/>
          <w:bar w:val="nil"/>
        </w:pBdr>
        <w:spacing w:before="0" w:after="240"/>
        <w:rPr>
          <w:noProof/>
        </w:rPr>
      </w:pPr>
      <w:r w:rsidRPr="00252A6F">
        <w:rPr>
          <w:noProof/>
        </w:rPr>
        <w:t>EU sodi med največje donatorje Ukrajini in podpira njene gospodarske, strukturne in institucionalne reforme ter civilno družbo. Zagotavljanje nadaljnje podpore Ukrajini v obliki posojil lahko v tem trenutku ukrajinskim oblastem pomaga pri premagovanju pomembnih izzivov v zvezi s financiranjem, ki so nastali zaradi vojne. Poleg tega s podporo prizadevanjem ukrajinskih organov za vzdrževanje stabilnega makroekonomskega okolja predlagana makrofinančna pomoč prispeva k povečanju dodane vrednosti vključenosti EU v Ukrajini na splošno ter k izboljšanju učinkovitosti drugih vrst finančne pomoči EU državi, vključno z dejavnostmi proračunske podpore in nepovratnimi sredstvi, ki so na voljo prek instrumentov za zunanje financiranje v okviru veljavnega večletnega finančnega okvira za obdobje 2021–2027. Predlagana makrofinančna pomoč je del širše pobude EU za pomoč Ukrajini in njeno obnovo ter sestavni del splošne mednarodne podpore Ukrajini</w:t>
      </w:r>
      <w:r w:rsidRPr="00252A6F">
        <w:rPr>
          <w:rStyle w:val="FootnoteReference"/>
          <w:noProof/>
          <w:lang w:eastAsia="ko-KR"/>
        </w:rPr>
        <w:footnoteReference w:id="29"/>
      </w:r>
      <w:r w:rsidRPr="00252A6F">
        <w:rPr>
          <w:noProof/>
        </w:rPr>
        <w:t>.</w:t>
      </w:r>
    </w:p>
    <w:p w14:paraId="64FAC6F8" w14:textId="77777777" w:rsidR="00C4624A" w:rsidRPr="00252A6F" w:rsidRDefault="00C4624A" w:rsidP="00C4624A">
      <w:pPr>
        <w:pBdr>
          <w:top w:val="nil"/>
          <w:left w:val="nil"/>
          <w:bottom w:val="nil"/>
          <w:right w:val="nil"/>
          <w:between w:val="nil"/>
          <w:bar w:val="nil"/>
        </w:pBdr>
        <w:spacing w:before="0" w:after="240"/>
        <w:rPr>
          <w:noProof/>
        </w:rPr>
      </w:pPr>
    </w:p>
    <w:p w14:paraId="03B004BE" w14:textId="1EB11AD3" w:rsidR="00C4624A" w:rsidRPr="00252A6F" w:rsidRDefault="00664ED4" w:rsidP="00664ED4">
      <w:pPr>
        <w:pStyle w:val="ManualHeading3"/>
        <w:rPr>
          <w:noProof/>
        </w:rPr>
      </w:pPr>
      <w:bookmarkStart w:id="33" w:name="_Toc514938036"/>
      <w:bookmarkStart w:id="34" w:name="_Toc520485039"/>
      <w:r w:rsidRPr="00664ED4">
        <w:t>1.5.5.</w:t>
      </w:r>
      <w:r w:rsidRPr="00664ED4">
        <w:tab/>
      </w:r>
      <w:r w:rsidR="00C4624A" w:rsidRPr="00252A6F">
        <w:rPr>
          <w:noProof/>
        </w:rPr>
        <w:t>Ocena različnih razpoložljivih možnosti financiranja, vključno z možnostmi za prerazporeditev</w:t>
      </w:r>
      <w:bookmarkEnd w:id="33"/>
      <w:bookmarkEnd w:id="34"/>
    </w:p>
    <w:p w14:paraId="12B2AF0A" w14:textId="77777777" w:rsidR="00C4624A" w:rsidRPr="00252A6F" w:rsidRDefault="00C4624A" w:rsidP="00C4624A">
      <w:pPr>
        <w:rPr>
          <w:rFonts w:eastAsia="Times New Roman"/>
          <w:noProof/>
          <w:szCs w:val="24"/>
        </w:rPr>
      </w:pPr>
      <w:r w:rsidRPr="00252A6F">
        <w:rPr>
          <w:noProof/>
        </w:rPr>
        <w:t xml:space="preserve">Z uporabo posojila ta ukrep makrofinančne pomoči povečuje učinkovitost proračuna EU prek učinka finančnega vzvoda in zagotavlja najboljšo stroškovno učinkovito možnost. </w:t>
      </w:r>
    </w:p>
    <w:p w14:paraId="6BF1C715" w14:textId="77777777" w:rsidR="00C4624A" w:rsidRPr="00252A6F" w:rsidRDefault="00C4624A" w:rsidP="00C4624A">
      <w:pPr>
        <w:rPr>
          <w:rFonts w:eastAsia="Times New Roman"/>
          <w:noProof/>
          <w:szCs w:val="24"/>
        </w:rPr>
      </w:pPr>
      <w:r w:rsidRPr="00252A6F">
        <w:rPr>
          <w:noProof/>
        </w:rPr>
        <w:t>Komisija je pooblaščena za izposojanje sredstev na kapitalskih trgih v imenu Evropske unije in Euratoma z jamstvom proračuna EU. Cilj je pridobiti sredstva na trgu po najboljših razpoložljivih obrestnih merah na podlagi najvišje bonitetne ocene (AAA po oceni Fitch, Moody's in DBRS, AA po oceni S&amp;P, vse s stabilno napovedjo) EU/Euratoma, nato pa jih posoditi upravičenim posojilojemalcem v okviru posojil evropskega mehanizma za finančno stabilizacijo, posojil za podporo plačilni bilanci, makrofinančne pomoči in projektov Euratoma. Najemanje in dajanje posojil sta vzajemna posla, s čimer se zagotavlja, da proračun EU ni obremenjen z obrestnim ali deviznim tveganjem. Cilj pridobivanja sredstev po najboljših razpoložljivih obrestnih merah za najemanje in dajanje posojil je bil dosežen, saj so te obrestne mere v skladu z drugimi institucijami (EIB, evropski mehanizem za finančno stabilizacijo in EMS).</w:t>
      </w:r>
    </w:p>
    <w:p w14:paraId="356F502A" w14:textId="77777777" w:rsidR="00C4624A" w:rsidRPr="00252A6F" w:rsidRDefault="00C4624A" w:rsidP="00C4624A">
      <w:pPr>
        <w:rPr>
          <w:noProof/>
        </w:rPr>
      </w:pPr>
    </w:p>
    <w:p w14:paraId="0A632584" w14:textId="77777777" w:rsidR="00C4624A" w:rsidRPr="00252A6F" w:rsidRDefault="00C4624A" w:rsidP="00C4624A">
      <w:pPr>
        <w:rPr>
          <w:rFonts w:eastAsia="Times New Roman"/>
          <w:noProof/>
          <w:szCs w:val="24"/>
        </w:rPr>
      </w:pPr>
    </w:p>
    <w:p w14:paraId="18A2ECA8" w14:textId="77777777" w:rsidR="00C4624A" w:rsidRPr="00252A6F" w:rsidRDefault="00C4624A" w:rsidP="00C4624A">
      <w:pPr>
        <w:pStyle w:val="Text1"/>
        <w:rPr>
          <w:rFonts w:eastAsia="Calibri"/>
          <w:noProof/>
          <w:szCs w:val="24"/>
        </w:rPr>
      </w:pPr>
    </w:p>
    <w:p w14:paraId="3D5DA93F" w14:textId="77777777" w:rsidR="00C4624A" w:rsidRPr="00252A6F" w:rsidRDefault="00C4624A" w:rsidP="00C4624A">
      <w:pPr>
        <w:pStyle w:val="Text1"/>
        <w:rPr>
          <w:noProof/>
        </w:rPr>
      </w:pPr>
    </w:p>
    <w:p w14:paraId="4D32A2EA" w14:textId="783EDCFF" w:rsidR="00C4624A" w:rsidRPr="00252A6F" w:rsidRDefault="00C4624A" w:rsidP="00664ED4">
      <w:pPr>
        <w:pStyle w:val="ManualHeading2"/>
        <w:rPr>
          <w:noProof/>
          <w:szCs w:val="24"/>
        </w:rPr>
      </w:pPr>
      <w:r w:rsidRPr="00252A6F">
        <w:rPr>
          <w:noProof/>
        </w:rPr>
        <w:br w:type="page"/>
      </w:r>
      <w:bookmarkStart w:id="35" w:name="_Toc514938039"/>
      <w:bookmarkStart w:id="36" w:name="_Toc520485040"/>
      <w:r w:rsidR="00664ED4" w:rsidRPr="00664ED4">
        <w:t>1.6.</w:t>
      </w:r>
      <w:r w:rsidR="00664ED4" w:rsidRPr="00664ED4">
        <w:tab/>
      </w:r>
      <w:r w:rsidRPr="00252A6F">
        <w:rPr>
          <w:noProof/>
        </w:rPr>
        <w:t>Trajanje predloga/pobude in finančnih posledic</w:t>
      </w:r>
      <w:bookmarkEnd w:id="35"/>
      <w:bookmarkEnd w:id="36"/>
    </w:p>
    <w:p w14:paraId="2AA0BA5C" w14:textId="77777777" w:rsidR="00C4624A" w:rsidRPr="00252A6F" w:rsidRDefault="00C4624A" w:rsidP="00C4624A">
      <w:pPr>
        <w:pStyle w:val="Text1"/>
        <w:rPr>
          <w:noProof/>
        </w:rPr>
      </w:pPr>
      <w:r w:rsidRPr="00252A6F">
        <w:rPr>
          <w:rFonts w:ascii="Wingdings" w:hAnsi="Wingdings"/>
          <w:noProof/>
        </w:rPr>
        <w:t></w:t>
      </w:r>
      <w:r w:rsidRPr="00252A6F">
        <w:rPr>
          <w:b/>
          <w:i/>
          <w:noProof/>
        </w:rPr>
        <w:t xml:space="preserve"> </w:t>
      </w:r>
      <w:r w:rsidRPr="00252A6F">
        <w:rPr>
          <w:b/>
          <w:noProof/>
        </w:rPr>
        <w:t xml:space="preserve">Časovno omejeno </w:t>
      </w:r>
    </w:p>
    <w:p w14:paraId="731A1C9B" w14:textId="77777777" w:rsidR="00C4624A" w:rsidRPr="00252A6F" w:rsidRDefault="00C4624A" w:rsidP="00C4624A">
      <w:pPr>
        <w:pStyle w:val="ListDash2"/>
        <w:rPr>
          <w:noProof/>
        </w:rPr>
      </w:pPr>
      <w:r w:rsidRPr="00252A6F">
        <w:rPr>
          <w:rFonts w:ascii="Wingdings" w:hAnsi="Wingdings"/>
          <w:noProof/>
        </w:rPr>
        <w:t></w:t>
      </w:r>
      <w:r w:rsidRPr="00252A6F">
        <w:rPr>
          <w:noProof/>
        </w:rPr>
        <w:tab/>
        <w:t xml:space="preserve">od [D. MMMM] LLLL do [D. MMMM] LLLL, </w:t>
      </w:r>
    </w:p>
    <w:p w14:paraId="4BC8678F" w14:textId="77777777" w:rsidR="00C4624A" w:rsidRPr="00252A6F" w:rsidRDefault="00C4624A" w:rsidP="00C4624A">
      <w:pPr>
        <w:pStyle w:val="ListDash2"/>
        <w:rPr>
          <w:noProof/>
        </w:rPr>
      </w:pPr>
      <w:r w:rsidRPr="00252A6F">
        <w:rPr>
          <w:rFonts w:ascii="Wingdings" w:hAnsi="Wingdings"/>
          <w:noProof/>
        </w:rPr>
        <w:t></w:t>
      </w:r>
      <w:r w:rsidRPr="00252A6F">
        <w:rPr>
          <w:noProof/>
        </w:rPr>
        <w:tab/>
        <w:t xml:space="preserve">finančne posledice med letoma 2021 in 2027 za odobritve za prevzem obveznosti ter med letoma 2022 in 2027 za odobritve plačil. </w:t>
      </w:r>
    </w:p>
    <w:p w14:paraId="6239BF86" w14:textId="77777777" w:rsidR="00C4624A" w:rsidRPr="00252A6F" w:rsidRDefault="00C4624A" w:rsidP="00C4624A">
      <w:pPr>
        <w:pStyle w:val="Text1"/>
        <w:rPr>
          <w:noProof/>
        </w:rPr>
      </w:pPr>
      <w:r w:rsidRPr="00252A6F">
        <w:rPr>
          <w:rFonts w:ascii="Wingdings" w:hAnsi="Wingdings"/>
          <w:noProof/>
        </w:rPr>
        <w:t></w:t>
      </w:r>
      <w:r w:rsidRPr="00252A6F">
        <w:rPr>
          <w:b/>
          <w:i/>
          <w:noProof/>
        </w:rPr>
        <w:t xml:space="preserve"> </w:t>
      </w:r>
      <w:r w:rsidRPr="00252A6F">
        <w:rPr>
          <w:b/>
          <w:noProof/>
        </w:rPr>
        <w:t>Časovno neomejeno</w:t>
      </w:r>
    </w:p>
    <w:p w14:paraId="5C756B11" w14:textId="77777777" w:rsidR="00C4624A" w:rsidRPr="00252A6F" w:rsidRDefault="00C4624A" w:rsidP="00C4624A">
      <w:pPr>
        <w:pStyle w:val="ListDash1"/>
        <w:rPr>
          <w:noProof/>
        </w:rPr>
      </w:pPr>
      <w:r w:rsidRPr="00252A6F">
        <w:rPr>
          <w:noProof/>
        </w:rPr>
        <w:t>izvajanje z obdobjem uvajanja med letoma LLLL in LLLL,</w:t>
      </w:r>
    </w:p>
    <w:p w14:paraId="1F9960E4" w14:textId="77777777" w:rsidR="00C4624A" w:rsidRPr="00252A6F" w:rsidRDefault="00C4624A" w:rsidP="00C4624A">
      <w:pPr>
        <w:pStyle w:val="ListDash1"/>
        <w:rPr>
          <w:noProof/>
        </w:rPr>
      </w:pPr>
      <w:r w:rsidRPr="00252A6F">
        <w:rPr>
          <w:noProof/>
        </w:rPr>
        <w:t>ki mu sledi izvajanje v celoti.</w:t>
      </w:r>
    </w:p>
    <w:p w14:paraId="5A26CC04" w14:textId="35F44D1B" w:rsidR="00C4624A" w:rsidRPr="00252A6F" w:rsidRDefault="00664ED4" w:rsidP="00664ED4">
      <w:pPr>
        <w:pStyle w:val="ManualHeading2"/>
        <w:rPr>
          <w:noProof/>
        </w:rPr>
      </w:pPr>
      <w:bookmarkStart w:id="37" w:name="_Toc514938040"/>
      <w:bookmarkStart w:id="38" w:name="_Toc520485041"/>
      <w:r w:rsidRPr="00664ED4">
        <w:t>1.7.</w:t>
      </w:r>
      <w:r w:rsidRPr="00664ED4">
        <w:tab/>
      </w:r>
      <w:r w:rsidR="00C4624A" w:rsidRPr="00252A6F">
        <w:rPr>
          <w:noProof/>
        </w:rPr>
        <w:t>Načrtovani načini upravljanja</w:t>
      </w:r>
      <w:bookmarkEnd w:id="37"/>
      <w:bookmarkEnd w:id="38"/>
    </w:p>
    <w:p w14:paraId="1D6D9058" w14:textId="77777777" w:rsidR="00C4624A" w:rsidRPr="00252A6F" w:rsidRDefault="00C4624A" w:rsidP="00C4624A">
      <w:pPr>
        <w:pStyle w:val="Text1"/>
        <w:rPr>
          <w:noProof/>
        </w:rPr>
      </w:pPr>
      <w:r w:rsidRPr="00252A6F">
        <w:rPr>
          <w:rFonts w:ascii="Wingdings" w:hAnsi="Wingdings"/>
          <w:noProof/>
        </w:rPr>
        <w:t></w:t>
      </w:r>
      <w:r w:rsidRPr="00252A6F">
        <w:rPr>
          <w:i/>
          <w:noProof/>
        </w:rPr>
        <w:t xml:space="preserve"> </w:t>
      </w:r>
      <w:r w:rsidRPr="00252A6F">
        <w:rPr>
          <w:b/>
          <w:noProof/>
        </w:rPr>
        <w:t>Neposredno upravljanje</w:t>
      </w:r>
      <w:r w:rsidRPr="00252A6F">
        <w:rPr>
          <w:noProof/>
        </w:rPr>
        <w:t xml:space="preserve"> – Komisija:</w:t>
      </w:r>
    </w:p>
    <w:p w14:paraId="0F47401C" w14:textId="77777777" w:rsidR="00C4624A" w:rsidRPr="00252A6F" w:rsidRDefault="00C4624A" w:rsidP="00C4624A">
      <w:pPr>
        <w:pStyle w:val="ListDash2"/>
        <w:rPr>
          <w:noProof/>
        </w:rPr>
      </w:pPr>
      <w:r w:rsidRPr="00252A6F">
        <w:rPr>
          <w:rFonts w:ascii="Wingdings" w:hAnsi="Wingdings"/>
          <w:noProof/>
        </w:rPr>
        <w:t></w:t>
      </w:r>
      <w:r w:rsidRPr="00252A6F">
        <w:rPr>
          <w:noProof/>
        </w:rPr>
        <w:t xml:space="preserve"> z lastnimi službami, vključno s svojim osebjem v delegacijah Unije,  </w:t>
      </w:r>
    </w:p>
    <w:p w14:paraId="3B73383B" w14:textId="77777777" w:rsidR="00C4624A" w:rsidRPr="00252A6F" w:rsidRDefault="00C4624A" w:rsidP="00C4624A">
      <w:pPr>
        <w:pStyle w:val="ListDash2"/>
        <w:rPr>
          <w:noProof/>
        </w:rPr>
      </w:pPr>
      <w:r w:rsidRPr="00252A6F">
        <w:rPr>
          <w:rFonts w:ascii="Wingdings" w:hAnsi="Wingdings"/>
          <w:noProof/>
        </w:rPr>
        <w:t></w:t>
      </w:r>
      <w:r w:rsidRPr="00252A6F">
        <w:rPr>
          <w:noProof/>
        </w:rPr>
        <w:tab/>
        <w:t xml:space="preserve">prek izvajalskih agencij. </w:t>
      </w:r>
    </w:p>
    <w:p w14:paraId="4E4102E7" w14:textId="77777777" w:rsidR="00C4624A" w:rsidRPr="00252A6F" w:rsidRDefault="00C4624A" w:rsidP="00C4624A">
      <w:pPr>
        <w:pStyle w:val="Text1"/>
        <w:rPr>
          <w:noProof/>
        </w:rPr>
      </w:pPr>
      <w:r w:rsidRPr="00252A6F">
        <w:rPr>
          <w:rFonts w:ascii="Wingdings" w:hAnsi="Wingdings"/>
          <w:noProof/>
        </w:rPr>
        <w:t></w:t>
      </w:r>
      <w:r w:rsidRPr="00252A6F">
        <w:rPr>
          <w:b/>
          <w:i/>
          <w:noProof/>
        </w:rPr>
        <w:t xml:space="preserve"> </w:t>
      </w:r>
      <w:r w:rsidRPr="00252A6F">
        <w:rPr>
          <w:b/>
          <w:noProof/>
        </w:rPr>
        <w:t>Deljeno upravljanje</w:t>
      </w:r>
      <w:r w:rsidRPr="00252A6F">
        <w:rPr>
          <w:noProof/>
        </w:rPr>
        <w:t xml:space="preserve"> z državami članicami. </w:t>
      </w:r>
    </w:p>
    <w:p w14:paraId="2F193F18" w14:textId="77777777" w:rsidR="00C4624A" w:rsidRPr="00252A6F" w:rsidRDefault="00C4624A" w:rsidP="00C4624A">
      <w:pPr>
        <w:pStyle w:val="Text1"/>
        <w:rPr>
          <w:noProof/>
        </w:rPr>
      </w:pPr>
      <w:r w:rsidRPr="00252A6F">
        <w:rPr>
          <w:rFonts w:ascii="Wingdings" w:hAnsi="Wingdings"/>
          <w:noProof/>
        </w:rPr>
        <w:t></w:t>
      </w:r>
      <w:r w:rsidRPr="00252A6F">
        <w:rPr>
          <w:i/>
          <w:noProof/>
        </w:rPr>
        <w:t xml:space="preserve"> </w:t>
      </w:r>
      <w:r w:rsidRPr="00252A6F">
        <w:rPr>
          <w:b/>
          <w:noProof/>
        </w:rPr>
        <w:t>Posredno upravljanje</w:t>
      </w:r>
      <w:r w:rsidRPr="00252A6F">
        <w:rPr>
          <w:noProof/>
        </w:rPr>
        <w:t>, tako da se naloge izvrševanja proračuna poverijo:</w:t>
      </w:r>
    </w:p>
    <w:p w14:paraId="76965A20" w14:textId="77777777" w:rsidR="00C4624A" w:rsidRPr="00252A6F" w:rsidRDefault="00C4624A" w:rsidP="00C4624A">
      <w:pPr>
        <w:pStyle w:val="ListDash2"/>
        <w:rPr>
          <w:noProof/>
        </w:rPr>
      </w:pPr>
      <w:r w:rsidRPr="00252A6F">
        <w:rPr>
          <w:rFonts w:ascii="Wingdings" w:hAnsi="Wingdings"/>
          <w:noProof/>
        </w:rPr>
        <w:t></w:t>
      </w:r>
      <w:r w:rsidRPr="00252A6F">
        <w:rPr>
          <w:noProof/>
        </w:rPr>
        <w:t xml:space="preserve"> tretjim državam ali organom, ki jih te imenujejo,</w:t>
      </w:r>
    </w:p>
    <w:p w14:paraId="010C78BD" w14:textId="77777777" w:rsidR="00C4624A" w:rsidRPr="00252A6F" w:rsidRDefault="00C4624A" w:rsidP="00C4624A">
      <w:pPr>
        <w:pStyle w:val="ListDash2"/>
        <w:rPr>
          <w:noProof/>
        </w:rPr>
      </w:pPr>
      <w:r w:rsidRPr="00252A6F">
        <w:rPr>
          <w:rFonts w:ascii="Wingdings" w:hAnsi="Wingdings"/>
          <w:noProof/>
        </w:rPr>
        <w:t></w:t>
      </w:r>
      <w:r w:rsidRPr="00252A6F">
        <w:rPr>
          <w:noProof/>
        </w:rPr>
        <w:t xml:space="preserve"> mednarodnim organizacijam in njihovim agencijam (navedite),</w:t>
      </w:r>
    </w:p>
    <w:p w14:paraId="5680888E" w14:textId="77777777" w:rsidR="00C4624A" w:rsidRPr="00252A6F" w:rsidRDefault="00C4624A" w:rsidP="00C4624A">
      <w:pPr>
        <w:pStyle w:val="ListDash2"/>
        <w:rPr>
          <w:noProof/>
        </w:rPr>
      </w:pPr>
      <w:r w:rsidRPr="00252A6F">
        <w:rPr>
          <w:rFonts w:ascii="Wingdings" w:hAnsi="Wingdings"/>
          <w:noProof/>
        </w:rPr>
        <w:t></w:t>
      </w:r>
      <w:r w:rsidRPr="00252A6F">
        <w:rPr>
          <w:noProof/>
        </w:rPr>
        <w:t xml:space="preserve"> EIB in Evropskemu investicijskemu skladu,</w:t>
      </w:r>
    </w:p>
    <w:p w14:paraId="1C039BA3" w14:textId="77777777" w:rsidR="00C4624A" w:rsidRPr="00252A6F" w:rsidRDefault="00C4624A" w:rsidP="00C4624A">
      <w:pPr>
        <w:pStyle w:val="ListDash2"/>
        <w:rPr>
          <w:noProof/>
        </w:rPr>
      </w:pPr>
      <w:r w:rsidRPr="00252A6F">
        <w:rPr>
          <w:rFonts w:ascii="Wingdings" w:hAnsi="Wingdings"/>
          <w:noProof/>
        </w:rPr>
        <w:t></w:t>
      </w:r>
      <w:r w:rsidRPr="00252A6F">
        <w:rPr>
          <w:noProof/>
        </w:rPr>
        <w:t xml:space="preserve"> organom iz členov 70 in 71 finančne uredbe,</w:t>
      </w:r>
    </w:p>
    <w:p w14:paraId="5176784E" w14:textId="77777777" w:rsidR="00C4624A" w:rsidRPr="00252A6F" w:rsidRDefault="00C4624A" w:rsidP="00C4624A">
      <w:pPr>
        <w:pStyle w:val="ListDash2"/>
        <w:rPr>
          <w:noProof/>
        </w:rPr>
      </w:pPr>
      <w:r w:rsidRPr="00252A6F">
        <w:rPr>
          <w:rFonts w:ascii="Wingdings" w:hAnsi="Wingdings"/>
          <w:noProof/>
        </w:rPr>
        <w:t></w:t>
      </w:r>
      <w:r w:rsidRPr="00252A6F">
        <w:rPr>
          <w:noProof/>
        </w:rPr>
        <w:t xml:space="preserve"> subjektom javnega prava,</w:t>
      </w:r>
    </w:p>
    <w:p w14:paraId="48F23C1A" w14:textId="77777777" w:rsidR="00C4624A" w:rsidRPr="00252A6F" w:rsidRDefault="00C4624A" w:rsidP="00C4624A">
      <w:pPr>
        <w:pStyle w:val="ListDash2"/>
        <w:rPr>
          <w:noProof/>
        </w:rPr>
      </w:pPr>
      <w:r w:rsidRPr="00252A6F">
        <w:rPr>
          <w:rFonts w:ascii="Wingdings" w:hAnsi="Wingdings"/>
          <w:noProof/>
        </w:rPr>
        <w:t></w:t>
      </w:r>
      <w:r w:rsidRPr="00252A6F">
        <w:rPr>
          <w:noProof/>
        </w:rPr>
        <w:t xml:space="preserve"> subjektom zasebnega prava, ki opravljajo javne storitve, kolikor imajo ti subjekti ustrezna finančna jamstva,</w:t>
      </w:r>
    </w:p>
    <w:p w14:paraId="0FF87D47" w14:textId="77777777" w:rsidR="00C4624A" w:rsidRPr="00252A6F" w:rsidRDefault="00C4624A" w:rsidP="00C4624A">
      <w:pPr>
        <w:pStyle w:val="ListDash2"/>
        <w:rPr>
          <w:noProof/>
        </w:rPr>
      </w:pPr>
      <w:r w:rsidRPr="00252A6F">
        <w:rPr>
          <w:rFonts w:ascii="Wingdings" w:hAnsi="Wingdings"/>
          <w:noProof/>
        </w:rPr>
        <w:t></w:t>
      </w:r>
      <w:r w:rsidRPr="00252A6F">
        <w:rPr>
          <w:noProof/>
        </w:rPr>
        <w:t xml:space="preserve"> subjektom zasebnega prava države članice, ki so pooblaščeni za izvajanje javno-zasebnih partnerstev in ki imajo ustrezna finančna jamstva,</w:t>
      </w:r>
    </w:p>
    <w:p w14:paraId="4AEAB960" w14:textId="77777777" w:rsidR="00C4624A" w:rsidRPr="00252A6F" w:rsidRDefault="00C4624A" w:rsidP="00C4624A">
      <w:pPr>
        <w:pStyle w:val="ListDash2"/>
        <w:rPr>
          <w:noProof/>
        </w:rPr>
      </w:pPr>
      <w:r w:rsidRPr="00252A6F">
        <w:rPr>
          <w:rFonts w:ascii="Wingdings" w:hAnsi="Wingdings"/>
          <w:noProof/>
        </w:rPr>
        <w:t></w:t>
      </w:r>
      <w:r w:rsidRPr="00252A6F">
        <w:rPr>
          <w:noProof/>
        </w:rPr>
        <w:t xml:space="preserve"> osebam, pooblaščenim za izvajanje določenih ukrepov SZVP na podlagi naslova V PEU in opredeljenim v zadevnem temeljnem aktu.</w:t>
      </w:r>
    </w:p>
    <w:p w14:paraId="29D674A3" w14:textId="77777777" w:rsidR="00C4624A" w:rsidRPr="00252A6F" w:rsidRDefault="00C4624A" w:rsidP="00C4624A">
      <w:pPr>
        <w:pStyle w:val="ListDash2"/>
        <w:rPr>
          <w:i/>
          <w:noProof/>
          <w:sz w:val="18"/>
          <w:u w:val="single"/>
        </w:rPr>
      </w:pPr>
      <w:r w:rsidRPr="00252A6F">
        <w:rPr>
          <w:i/>
          <w:noProof/>
          <w:sz w:val="18"/>
        </w:rPr>
        <w:t>Pri navedbi več kot enega načina upravljanja je treba to natančneje obrazložiti v oddelku „opombe“.</w:t>
      </w:r>
    </w:p>
    <w:p w14:paraId="2345661C" w14:textId="77777777" w:rsidR="00C4624A" w:rsidRPr="00252A6F" w:rsidRDefault="00C4624A" w:rsidP="00C4624A">
      <w:pPr>
        <w:rPr>
          <w:noProof/>
        </w:rPr>
        <w:sectPr w:rsidR="00C4624A" w:rsidRPr="00252A6F" w:rsidSect="00DF7915">
          <w:pgSz w:w="11907" w:h="16840" w:code="9"/>
          <w:pgMar w:top="1134" w:right="1418" w:bottom="1134" w:left="1418" w:header="709" w:footer="709" w:gutter="0"/>
          <w:cols w:space="720"/>
          <w:docGrid w:linePitch="360"/>
        </w:sectPr>
      </w:pPr>
    </w:p>
    <w:p w14:paraId="386B124B" w14:textId="5C07E54B" w:rsidR="00C4624A" w:rsidRPr="00252A6F" w:rsidRDefault="00664ED4" w:rsidP="00664ED4">
      <w:pPr>
        <w:pStyle w:val="ManualHeading1"/>
        <w:rPr>
          <w:noProof/>
          <w:szCs w:val="24"/>
        </w:rPr>
      </w:pPr>
      <w:bookmarkStart w:id="39" w:name="_Toc514938041"/>
      <w:bookmarkStart w:id="40" w:name="_Toc520485042"/>
      <w:r w:rsidRPr="00664ED4">
        <w:t>2.</w:t>
      </w:r>
      <w:r w:rsidRPr="00664ED4">
        <w:tab/>
      </w:r>
      <w:r w:rsidR="00C4624A" w:rsidRPr="00252A6F">
        <w:rPr>
          <w:noProof/>
        </w:rPr>
        <w:t>UKREPI UPRAVLJANJA</w:t>
      </w:r>
      <w:bookmarkEnd w:id="39"/>
      <w:bookmarkEnd w:id="40"/>
      <w:r w:rsidR="00C4624A" w:rsidRPr="00252A6F">
        <w:rPr>
          <w:noProof/>
        </w:rPr>
        <w:t xml:space="preserve"> </w:t>
      </w:r>
    </w:p>
    <w:p w14:paraId="7EA9A414" w14:textId="42EEBE50" w:rsidR="00C4624A" w:rsidRPr="00252A6F" w:rsidRDefault="00664ED4" w:rsidP="00664ED4">
      <w:pPr>
        <w:pStyle w:val="ManualHeading2"/>
        <w:rPr>
          <w:noProof/>
        </w:rPr>
      </w:pPr>
      <w:bookmarkStart w:id="41" w:name="_Toc514938042"/>
      <w:bookmarkStart w:id="42" w:name="_Toc520485043"/>
      <w:r w:rsidRPr="00664ED4">
        <w:t>2.1.</w:t>
      </w:r>
      <w:r w:rsidRPr="00664ED4">
        <w:tab/>
      </w:r>
      <w:r w:rsidR="00C4624A" w:rsidRPr="00252A6F">
        <w:rPr>
          <w:noProof/>
        </w:rPr>
        <w:t>Pravila o spremljanju in poročanju</w:t>
      </w:r>
      <w:bookmarkEnd w:id="41"/>
      <w:bookmarkEnd w:id="42"/>
      <w:r w:rsidR="00C4624A" w:rsidRPr="00252A6F">
        <w:rPr>
          <w:noProof/>
        </w:rPr>
        <w:t xml:space="preserve"> </w:t>
      </w:r>
    </w:p>
    <w:p w14:paraId="4D08957E" w14:textId="77777777" w:rsidR="00C4624A" w:rsidRPr="00252A6F" w:rsidRDefault="00C4624A" w:rsidP="00C4624A">
      <w:pPr>
        <w:pStyle w:val="Text1"/>
        <w:rPr>
          <w:noProof/>
          <w:sz w:val="20"/>
          <w:szCs w:val="18"/>
        </w:rPr>
      </w:pPr>
      <w:r w:rsidRPr="00252A6F">
        <w:rPr>
          <w:noProof/>
          <w:sz w:val="20"/>
        </w:rPr>
        <w:t>Navedite pogostost in pogoje.</w:t>
      </w:r>
    </w:p>
    <w:p w14:paraId="5D5BD0EC" w14:textId="77777777" w:rsidR="00C4624A" w:rsidRPr="00252A6F" w:rsidRDefault="00C4624A" w:rsidP="00C4624A">
      <w:pPr>
        <w:rPr>
          <w:rFonts w:eastAsia="Times New Roman"/>
          <w:noProof/>
          <w:szCs w:val="24"/>
        </w:rPr>
      </w:pPr>
      <w:r w:rsidRPr="00252A6F">
        <w:rPr>
          <w:noProof/>
        </w:rPr>
        <w:t xml:space="preserve">Ukrepe, ki se bodo financirali na podlagi tega sklepa, bo Komisija izvajala v okviru neposrednega upravljanja s sedeža. </w:t>
      </w:r>
    </w:p>
    <w:p w14:paraId="266AD8E2" w14:textId="77777777" w:rsidR="00C4624A" w:rsidRPr="00252A6F" w:rsidRDefault="00C4624A" w:rsidP="00C4624A">
      <w:pPr>
        <w:rPr>
          <w:rFonts w:eastAsia="Times New Roman"/>
          <w:noProof/>
          <w:szCs w:val="24"/>
        </w:rPr>
      </w:pPr>
      <w:r w:rsidRPr="00252A6F">
        <w:rPr>
          <w:noProof/>
        </w:rPr>
        <w:t>Ta pomoč je makroekonomske narave. Službe Komisije bodo ukrep spremljale na podlagi posebnih ukrepov, ki bodo z ukrajinskimi organi dogovorjeni v memorandumu o soglasju.</w:t>
      </w:r>
    </w:p>
    <w:p w14:paraId="6C0F2633" w14:textId="11FA1B1C" w:rsidR="00C4624A" w:rsidRPr="00252A6F" w:rsidRDefault="00664ED4" w:rsidP="00664ED4">
      <w:pPr>
        <w:pStyle w:val="ManualHeading2"/>
        <w:rPr>
          <w:noProof/>
          <w:szCs w:val="24"/>
        </w:rPr>
      </w:pPr>
      <w:bookmarkStart w:id="43" w:name="_Toc514938045"/>
      <w:bookmarkStart w:id="44" w:name="_Toc520485044"/>
      <w:r w:rsidRPr="00664ED4">
        <w:t>2.2.</w:t>
      </w:r>
      <w:r w:rsidRPr="00664ED4">
        <w:tab/>
      </w:r>
      <w:r w:rsidR="00C4624A" w:rsidRPr="00252A6F">
        <w:rPr>
          <w:noProof/>
        </w:rPr>
        <w:t>Upravljavski in kontrolni sistemi</w:t>
      </w:r>
      <w:bookmarkEnd w:id="43"/>
      <w:bookmarkEnd w:id="44"/>
      <w:r w:rsidR="00C4624A" w:rsidRPr="00252A6F">
        <w:rPr>
          <w:noProof/>
        </w:rPr>
        <w:t xml:space="preserve"> </w:t>
      </w:r>
    </w:p>
    <w:p w14:paraId="1C39530A" w14:textId="3C292841" w:rsidR="00C4624A" w:rsidRPr="00252A6F" w:rsidRDefault="00664ED4" w:rsidP="00664ED4">
      <w:pPr>
        <w:pStyle w:val="ManualHeading3"/>
        <w:rPr>
          <w:noProof/>
        </w:rPr>
      </w:pPr>
      <w:bookmarkStart w:id="45" w:name="_Toc514938046"/>
      <w:bookmarkStart w:id="46" w:name="_Toc520485045"/>
      <w:r w:rsidRPr="00664ED4">
        <w:t>2.2.1.</w:t>
      </w:r>
      <w:r w:rsidRPr="00664ED4">
        <w:tab/>
      </w:r>
      <w:r w:rsidR="00C4624A" w:rsidRPr="00252A6F">
        <w:rPr>
          <w:noProof/>
        </w:rPr>
        <w:t>Utemeljitev načinov upravljanja, mehanizmov financiranja, načinov plačevanja in predlagane strategije kontrol</w:t>
      </w:r>
      <w:bookmarkEnd w:id="45"/>
      <w:bookmarkEnd w:id="46"/>
    </w:p>
    <w:p w14:paraId="5E33584F" w14:textId="77777777" w:rsidR="00C4624A" w:rsidRPr="00252A6F" w:rsidRDefault="00C4624A" w:rsidP="00C4624A">
      <w:pPr>
        <w:rPr>
          <w:rFonts w:eastAsia="Times New Roman"/>
          <w:noProof/>
          <w:szCs w:val="24"/>
        </w:rPr>
      </w:pPr>
      <w:r w:rsidRPr="00252A6F">
        <w:rPr>
          <w:noProof/>
        </w:rPr>
        <w:t xml:space="preserve">Ukrepe, ki se bodo financirali na podlagi tega sklepa, bo Komisija izvajala v okviru neposrednega upravljanja s sedeža. </w:t>
      </w:r>
    </w:p>
    <w:p w14:paraId="72CFB8F2" w14:textId="77777777" w:rsidR="00C4624A" w:rsidRPr="00252A6F" w:rsidRDefault="00C4624A" w:rsidP="00C4624A">
      <w:pPr>
        <w:rPr>
          <w:rFonts w:eastAsia="Times New Roman"/>
          <w:noProof/>
          <w:szCs w:val="24"/>
        </w:rPr>
      </w:pPr>
      <w:r w:rsidRPr="00252A6F">
        <w:rPr>
          <w:noProof/>
        </w:rPr>
        <w:t>Izplačila makrofinančne pomoči so odvisna od uspešnih pregledov in vezana na izpolnjevanje političnih predpogojev, povezanih z ukrepom. Komisija pozorno spremlja spoštovanje teh pogojev.</w:t>
      </w:r>
    </w:p>
    <w:p w14:paraId="25F70B7C" w14:textId="6A4D8D0D" w:rsidR="00C4624A" w:rsidRPr="00252A6F" w:rsidRDefault="00664ED4" w:rsidP="00664ED4">
      <w:pPr>
        <w:pStyle w:val="ManualHeading3"/>
        <w:rPr>
          <w:noProof/>
          <w:szCs w:val="24"/>
        </w:rPr>
      </w:pPr>
      <w:bookmarkStart w:id="47" w:name="_Toc514938047"/>
      <w:bookmarkStart w:id="48" w:name="_Toc520485046"/>
      <w:r w:rsidRPr="00664ED4">
        <w:t>2.2.2.</w:t>
      </w:r>
      <w:r w:rsidRPr="00664ED4">
        <w:tab/>
      </w:r>
      <w:r w:rsidR="00C4624A" w:rsidRPr="00252A6F">
        <w:rPr>
          <w:noProof/>
        </w:rPr>
        <w:t>Podatki o ugotovljenih tveganjih in vzpostavljenih sistemih notranjih kontrol za njihovo zmanjševanje</w:t>
      </w:r>
      <w:bookmarkEnd w:id="47"/>
      <w:bookmarkEnd w:id="48"/>
    </w:p>
    <w:p w14:paraId="1180595C" w14:textId="77777777" w:rsidR="00C4624A" w:rsidRPr="00252A6F" w:rsidRDefault="00C4624A" w:rsidP="00C4624A">
      <w:pPr>
        <w:pBdr>
          <w:top w:val="single" w:sz="4" w:space="1" w:color="auto"/>
          <w:left w:val="single" w:sz="4" w:space="4" w:color="auto"/>
          <w:bottom w:val="single" w:sz="4" w:space="1" w:color="auto"/>
          <w:right w:val="single" w:sz="4" w:space="4" w:color="auto"/>
        </w:pBdr>
        <w:rPr>
          <w:rFonts w:eastAsia="Times New Roman"/>
          <w:i/>
          <w:iCs/>
          <w:noProof/>
          <w:szCs w:val="24"/>
        </w:rPr>
      </w:pPr>
      <w:r w:rsidRPr="00252A6F">
        <w:rPr>
          <w:i/>
          <w:noProof/>
        </w:rPr>
        <w:t xml:space="preserve"> Ugotovljena tveganja</w:t>
      </w:r>
    </w:p>
    <w:p w14:paraId="03F0D293" w14:textId="77777777" w:rsidR="00C4624A" w:rsidRPr="00252A6F" w:rsidRDefault="00C4624A" w:rsidP="00C4624A">
      <w:pPr>
        <w:pBdr>
          <w:top w:val="single" w:sz="4" w:space="1" w:color="auto"/>
          <w:left w:val="single" w:sz="4" w:space="4" w:color="auto"/>
          <w:bottom w:val="single" w:sz="4" w:space="1" w:color="auto"/>
          <w:right w:val="single" w:sz="4" w:space="4" w:color="auto"/>
        </w:pBdr>
        <w:rPr>
          <w:rFonts w:eastAsia="Times New Roman"/>
          <w:noProof/>
          <w:szCs w:val="24"/>
        </w:rPr>
      </w:pPr>
      <w:r w:rsidRPr="00252A6F">
        <w:rPr>
          <w:noProof/>
        </w:rPr>
        <w:t xml:space="preserve">S predlaganim ukrepom makrofinančne pomoči so povezana politična in fiduciarna tveganja ter tveganja pri izvajanju politik. </w:t>
      </w:r>
    </w:p>
    <w:p w14:paraId="48CB1510" w14:textId="77777777" w:rsidR="00C4624A" w:rsidRPr="00252A6F" w:rsidRDefault="00C4624A" w:rsidP="00C4624A">
      <w:pPr>
        <w:pBdr>
          <w:top w:val="single" w:sz="4" w:space="1" w:color="auto"/>
          <w:left w:val="single" w:sz="4" w:space="4" w:color="auto"/>
          <w:bottom w:val="single" w:sz="4" w:space="1" w:color="auto"/>
          <w:right w:val="single" w:sz="4" w:space="4" w:color="auto"/>
        </w:pBdr>
        <w:rPr>
          <w:rFonts w:eastAsia="Times New Roman"/>
          <w:noProof/>
          <w:szCs w:val="24"/>
        </w:rPr>
      </w:pPr>
      <w:r w:rsidRPr="00252A6F">
        <w:rPr>
          <w:noProof/>
        </w:rPr>
        <w:t xml:space="preserve">Ključno tveganje za ukrep izhaja iz nadaljevanja vojne, ki jo je povzročila neupravičena in neizzvana ruska invazija na Ukrajino, kar bi lahko dodatno negativno vplivalo na makroekonomsko stabilnost Ukrajine ter s tem na izplačilo in/ali odplačilo predlagane makrofinančne pomoči. </w:t>
      </w:r>
    </w:p>
    <w:p w14:paraId="31F3E17A" w14:textId="77777777" w:rsidR="00C4624A" w:rsidRPr="00252A6F" w:rsidRDefault="00C4624A" w:rsidP="00C4624A">
      <w:pPr>
        <w:pBdr>
          <w:top w:val="single" w:sz="4" w:space="1" w:color="auto"/>
          <w:left w:val="single" w:sz="4" w:space="4" w:color="auto"/>
          <w:bottom w:val="single" w:sz="4" w:space="1" w:color="auto"/>
          <w:right w:val="single" w:sz="4" w:space="4" w:color="auto"/>
        </w:pBdr>
        <w:rPr>
          <w:rFonts w:eastAsia="Times New Roman"/>
          <w:noProof/>
          <w:szCs w:val="24"/>
        </w:rPr>
      </w:pPr>
      <w:r w:rsidRPr="00252A6F">
        <w:rPr>
          <w:noProof/>
        </w:rPr>
        <w:t>Obstaja tveganje, da se makrofinančna pomoč uporabi na goljufiv način. Ker makrofinančna pomoč ni namenjena za določene stroške (kot npr. pri financiranju projektov), je tveganje povezano z dejavniki, kot so splošna kakovost sistemov upravljanja v Narodni banki Ukrajine in na njenem ministrstvu za finance, upravni postopki, kontrolne in nadzorne funkcije, varnost sistemov IT ter ustreznost zmogljivosti za notranjo in zunanjo revizijo.</w:t>
      </w:r>
    </w:p>
    <w:p w14:paraId="741DD6EA" w14:textId="77777777" w:rsidR="00C4624A" w:rsidRPr="00252A6F" w:rsidRDefault="00C4624A" w:rsidP="00C4624A">
      <w:pPr>
        <w:pBdr>
          <w:top w:val="single" w:sz="4" w:space="1" w:color="auto"/>
          <w:left w:val="single" w:sz="4" w:space="4" w:color="auto"/>
          <w:bottom w:val="single" w:sz="4" w:space="1" w:color="auto"/>
          <w:right w:val="single" w:sz="4" w:space="4" w:color="auto"/>
        </w:pBdr>
        <w:rPr>
          <w:rFonts w:eastAsia="Times New Roman"/>
          <w:noProof/>
          <w:szCs w:val="24"/>
        </w:rPr>
      </w:pPr>
      <w:r w:rsidRPr="00252A6F">
        <w:rPr>
          <w:noProof/>
        </w:rPr>
        <w:t>Tretje tveganje izhaja iz možnosti, da Ukrajina ne bo mogla odplačati finančnih obveznosti do EU, ki izhajajo iz predlaganega posojila makroekonomske pomoči (tveganje neplačila ali kreditno tveganje), kar bi bila lahko na primer posledica znatnega dodatnega poslabšanja plačilne bilance in fiskalnega položaja partnerice.</w:t>
      </w:r>
    </w:p>
    <w:p w14:paraId="37CAC7CB" w14:textId="77777777" w:rsidR="00C4624A" w:rsidRPr="00252A6F" w:rsidRDefault="00C4624A" w:rsidP="00C4624A">
      <w:pPr>
        <w:pBdr>
          <w:top w:val="single" w:sz="4" w:space="1" w:color="auto"/>
          <w:left w:val="single" w:sz="4" w:space="4" w:color="auto"/>
          <w:bottom w:val="single" w:sz="4" w:space="1" w:color="auto"/>
          <w:right w:val="single" w:sz="4" w:space="4" w:color="auto"/>
        </w:pBdr>
        <w:rPr>
          <w:rFonts w:eastAsia="Times New Roman"/>
          <w:i/>
          <w:iCs/>
          <w:noProof/>
          <w:szCs w:val="24"/>
        </w:rPr>
      </w:pPr>
      <w:r w:rsidRPr="00252A6F">
        <w:rPr>
          <w:i/>
          <w:noProof/>
        </w:rPr>
        <w:t>Sistemi notranjih kontrol</w:t>
      </w:r>
    </w:p>
    <w:p w14:paraId="795F8917" w14:textId="77777777" w:rsidR="00C4624A" w:rsidRPr="00252A6F" w:rsidRDefault="00C4624A" w:rsidP="00C4624A">
      <w:pPr>
        <w:pBdr>
          <w:top w:val="single" w:sz="4" w:space="1" w:color="auto"/>
          <w:left w:val="single" w:sz="4" w:space="4" w:color="auto"/>
          <w:bottom w:val="single" w:sz="4" w:space="1" w:color="auto"/>
          <w:right w:val="single" w:sz="4" w:space="4" w:color="auto"/>
        </w:pBdr>
        <w:rPr>
          <w:rFonts w:eastAsia="Times New Roman"/>
          <w:noProof/>
          <w:szCs w:val="24"/>
        </w:rPr>
      </w:pPr>
      <w:r w:rsidRPr="00252A6F">
        <w:rPr>
          <w:noProof/>
        </w:rPr>
        <w:t>Makrofinančno pomoč bodo spremljali postopki preverjanja, kontrole in revizije, ki so v pristojnosti Komisije, med drugim tudi Evropskega urada za boj proti goljufijam (OLAF), in Evropskega računskega sodišča, kot določa člen 129 finančne uredbe.</w:t>
      </w:r>
    </w:p>
    <w:p w14:paraId="611B2918" w14:textId="77777777" w:rsidR="00C4624A" w:rsidRPr="00252A6F" w:rsidRDefault="00C4624A" w:rsidP="00C4624A">
      <w:pPr>
        <w:pBdr>
          <w:top w:val="single" w:sz="4" w:space="1" w:color="auto"/>
          <w:left w:val="single" w:sz="4" w:space="4" w:color="auto"/>
          <w:bottom w:val="single" w:sz="4" w:space="1" w:color="auto"/>
          <w:right w:val="single" w:sz="4" w:space="4" w:color="auto"/>
        </w:pBdr>
        <w:rPr>
          <w:rFonts w:eastAsia="Times New Roman"/>
          <w:noProof/>
          <w:szCs w:val="24"/>
        </w:rPr>
      </w:pPr>
      <w:r w:rsidRPr="00252A6F">
        <w:rPr>
          <w:noProof/>
        </w:rPr>
        <w:t>Komisija bo med izvajanjem redno preverjala izjave partnerice. Plačilo je predmet (1) spremljanja, ki ga izvaja osebje GD ECFIN, in (2) običajnega kontrolnega postopka iz finančnega kroga (vzorec 2), ki se uporablja v GD ECFIN. Za izplačila v okviru ukrepov makrofinančne pomoči se lahko opravijo dodatna neodvisna naknadna preverjanja (na podlagi dokumentacije in/ali na kraju samem), ki jih opravijo uradniki skupine za naknadne kontrole iz GD. Taka preverjanja se lahko začnejo tudi na zahtevo pristojnega odredbodajalca na podlagi nadaljnjega prenosa pooblastil. Po potrebi so možni prekinitve in začasne ustavitve plačil, finančni popravki (ki jih izvede Komisija) in izterjave (do tega še ni prišlo), ki so izrecno določeni v sporazumih o financiranju s partnericami.</w:t>
      </w:r>
    </w:p>
    <w:p w14:paraId="6A0473BB" w14:textId="49CD76A6" w:rsidR="00C4624A" w:rsidRPr="00252A6F" w:rsidRDefault="00664ED4" w:rsidP="00664ED4">
      <w:pPr>
        <w:pStyle w:val="ManualHeading3"/>
        <w:rPr>
          <w:noProof/>
        </w:rPr>
      </w:pPr>
      <w:bookmarkStart w:id="49" w:name="_Toc514938048"/>
      <w:bookmarkStart w:id="50" w:name="_Toc520485047"/>
      <w:r w:rsidRPr="00664ED4">
        <w:t>2.2.3.</w:t>
      </w:r>
      <w:r w:rsidRPr="00664ED4">
        <w:tab/>
      </w:r>
      <w:r w:rsidR="00C4624A" w:rsidRPr="00252A6F">
        <w:rPr>
          <w:noProof/>
        </w:rPr>
        <w:t>Ocena in utemeljitev stroškovne učinkovitosti kontrol (razmerje „stroški kontrol ÷ vrednost z njimi povezanih upravljanih sredstev“) ter ocena pričakovane stopnje tveganja napake (ob plačilu in ob zaključku)</w:t>
      </w:r>
      <w:bookmarkEnd w:id="49"/>
      <w:bookmarkEnd w:id="50"/>
      <w:r w:rsidR="00C4624A" w:rsidRPr="00252A6F">
        <w:rPr>
          <w:noProof/>
        </w:rPr>
        <w:t xml:space="preserve"> </w:t>
      </w:r>
    </w:p>
    <w:p w14:paraId="47D8A9FF" w14:textId="77777777" w:rsidR="00C4624A" w:rsidRPr="00252A6F" w:rsidRDefault="00C4624A" w:rsidP="00C4624A">
      <w:pPr>
        <w:pBdr>
          <w:top w:val="single" w:sz="4" w:space="1" w:color="auto"/>
          <w:left w:val="single" w:sz="4" w:space="4" w:color="auto"/>
          <w:bottom w:val="single" w:sz="4" w:space="1" w:color="auto"/>
          <w:right w:val="single" w:sz="4" w:space="4" w:color="auto"/>
        </w:pBdr>
        <w:rPr>
          <w:rFonts w:eastAsia="Times New Roman"/>
          <w:noProof/>
          <w:szCs w:val="24"/>
        </w:rPr>
      </w:pPr>
      <w:r w:rsidRPr="00252A6F">
        <w:rPr>
          <w:noProof/>
        </w:rPr>
        <w:t>Z vzpostavljenimi kontrolnimi sistemi se je doslej zagotovila efektivna stopnja napake za izplačila makrofinančne pomoči v višini 0 %. Ni znanih primerov goljufije, korupcije ali nezakonitih dejavnosti. Ukrepi makrofinančne pomoči imajo jasno intervencijsko logiko, ki Komisiji omogoča, da oceni njihov učinek. Kontrole omogočajo potrditev jamstva in doseganje ciljev in prednostnih nalog politike.</w:t>
      </w:r>
    </w:p>
    <w:p w14:paraId="5DFE660A" w14:textId="194010B4" w:rsidR="00C4624A" w:rsidRPr="00252A6F" w:rsidRDefault="00664ED4" w:rsidP="00664ED4">
      <w:pPr>
        <w:pStyle w:val="ManualHeading2"/>
        <w:rPr>
          <w:noProof/>
          <w:szCs w:val="24"/>
        </w:rPr>
      </w:pPr>
      <w:bookmarkStart w:id="51" w:name="_Toc514938049"/>
      <w:bookmarkStart w:id="52" w:name="_Toc520485048"/>
      <w:r w:rsidRPr="00664ED4">
        <w:t>2.3.</w:t>
      </w:r>
      <w:r w:rsidRPr="00664ED4">
        <w:tab/>
      </w:r>
      <w:r w:rsidR="00C4624A" w:rsidRPr="00252A6F">
        <w:rPr>
          <w:noProof/>
        </w:rPr>
        <w:t>Ukrepi za preprečevanje goljufij in nepravilnosti</w:t>
      </w:r>
      <w:bookmarkEnd w:id="51"/>
      <w:bookmarkEnd w:id="52"/>
      <w:r w:rsidR="00C4624A" w:rsidRPr="00252A6F">
        <w:rPr>
          <w:noProof/>
        </w:rPr>
        <w:t xml:space="preserve"> </w:t>
      </w:r>
    </w:p>
    <w:p w14:paraId="039D75A3" w14:textId="77777777" w:rsidR="00C4624A" w:rsidRPr="00252A6F" w:rsidRDefault="00C4624A" w:rsidP="00C4624A">
      <w:pPr>
        <w:pStyle w:val="Text1"/>
        <w:rPr>
          <w:noProof/>
          <w:sz w:val="20"/>
          <w:szCs w:val="18"/>
        </w:rPr>
      </w:pPr>
      <w:r w:rsidRPr="00252A6F">
        <w:rPr>
          <w:noProof/>
          <w:sz w:val="20"/>
        </w:rPr>
        <w:t>Navedite obstoječe ali načrtovane preprečevalne in zaščitne ukrepe, npr. iz strategije za boj proti goljufijam.</w:t>
      </w:r>
    </w:p>
    <w:p w14:paraId="4AB6A630" w14:textId="77777777" w:rsidR="00C4624A" w:rsidRPr="00252A6F" w:rsidRDefault="00C4624A" w:rsidP="00C4624A">
      <w:pPr>
        <w:rPr>
          <w:rFonts w:eastAsia="Times New Roman"/>
          <w:noProof/>
          <w:szCs w:val="24"/>
        </w:rPr>
      </w:pPr>
      <w:r w:rsidRPr="00252A6F">
        <w:rPr>
          <w:noProof/>
        </w:rPr>
        <w:t xml:space="preserve">Za zmanjšanje tveganja goljufij je bilo in bo sprejetih več ukrepov. </w:t>
      </w:r>
    </w:p>
    <w:p w14:paraId="5C124D36" w14:textId="77777777" w:rsidR="00C4624A" w:rsidRPr="00252A6F" w:rsidRDefault="00C4624A" w:rsidP="00C4624A">
      <w:pPr>
        <w:rPr>
          <w:rFonts w:eastAsia="Times New Roman"/>
          <w:noProof/>
          <w:szCs w:val="24"/>
        </w:rPr>
      </w:pPr>
      <w:r w:rsidRPr="00252A6F">
        <w:rPr>
          <w:noProof/>
        </w:rPr>
        <w:t xml:space="preserve">Prvič, sporazum o posojilu bo vključeval sklop določb o inšpekcijskih pregledih, preprečevanju goljufij, revizijah in izterjavi sredstev v primeru goljufije ali korupcije. Poleg tega je predvideno, da bodo s pomočjo povezane številne zahteve glede poročanja, da se okrepita preglednost in odgovornost glede uporabe sredstev. Poleg tega bo pomoč izplačana na namenski račun Narodne banke Ukrajine.  </w:t>
      </w:r>
    </w:p>
    <w:p w14:paraId="4528FF49" w14:textId="77777777" w:rsidR="00C4624A" w:rsidRPr="00252A6F" w:rsidRDefault="00C4624A" w:rsidP="00C4624A">
      <w:pPr>
        <w:rPr>
          <w:rFonts w:eastAsia="Times New Roman"/>
          <w:noProof/>
          <w:szCs w:val="24"/>
        </w:rPr>
      </w:pPr>
      <w:r w:rsidRPr="00252A6F">
        <w:rPr>
          <w:noProof/>
        </w:rPr>
        <w:t xml:space="preserve">Službe Komisije bodo v skladu z zahtevami finančne uredbe izvedle tudi operativno oceno finančnih in upravnih tokov Ukrajine, da bi preverile, ali vzpostavljeni postopki za upravljanje pomoči programa, vključno z makrofinančno pomočjo, zagotavljajo ustrezna jamstva. Prejšnja ocena je bila izvedena junija 2020 in zajema področja, kot so priprava in izvrševanje proračuna, notranji nadzor javnih financ, notranje in zunanje revizije, javna naročila, denarna politika in upravljanje javnega dolga ter neodvisnost centralne banke. Komisija bo drugo operativno oceno izvedla med izvajanjem predlaganega ukrepa izredne makrofinančne pomoči. </w:t>
      </w:r>
    </w:p>
    <w:p w14:paraId="50D67839" w14:textId="77777777" w:rsidR="00C4624A" w:rsidRPr="00252A6F" w:rsidRDefault="00C4624A" w:rsidP="00C4624A">
      <w:pPr>
        <w:rPr>
          <w:rFonts w:eastAsia="Times New Roman"/>
          <w:noProof/>
          <w:szCs w:val="24"/>
        </w:rPr>
      </w:pPr>
      <w:r w:rsidRPr="00252A6F">
        <w:rPr>
          <w:noProof/>
        </w:rPr>
        <w:t>Izvajanje pomoči bodo spremljali postopki preverjanja, kontrole in revizije, ki so v pristojnosti Komisije, med drugim tudi Evropskega urada za boj proti goljufijam, in Evropskega računskega sodišča, kot določa člen 129 finančne uredbe.</w:t>
      </w:r>
    </w:p>
    <w:p w14:paraId="4ECF0157" w14:textId="77777777" w:rsidR="00C4624A" w:rsidRPr="00252A6F" w:rsidRDefault="00C4624A" w:rsidP="00C4624A">
      <w:pPr>
        <w:rPr>
          <w:rFonts w:eastAsia="Calibri"/>
          <w:noProof/>
          <w:szCs w:val="24"/>
        </w:rPr>
        <w:sectPr w:rsidR="00C4624A" w:rsidRPr="00252A6F" w:rsidSect="00DF7915">
          <w:pgSz w:w="11907" w:h="16840" w:code="9"/>
          <w:pgMar w:top="1134" w:right="1418" w:bottom="1134" w:left="1418" w:header="709" w:footer="709" w:gutter="0"/>
          <w:cols w:space="708"/>
          <w:docGrid w:linePitch="360"/>
        </w:sectPr>
      </w:pPr>
    </w:p>
    <w:p w14:paraId="76735040" w14:textId="1AFDE4D2" w:rsidR="00C4624A" w:rsidRPr="00252A6F" w:rsidRDefault="00664ED4" w:rsidP="00664ED4">
      <w:pPr>
        <w:pStyle w:val="ManualHeading1"/>
        <w:rPr>
          <w:noProof/>
          <w:szCs w:val="24"/>
        </w:rPr>
      </w:pPr>
      <w:bookmarkStart w:id="53" w:name="_Toc514938050"/>
      <w:bookmarkStart w:id="54" w:name="_Toc520485049"/>
      <w:r w:rsidRPr="00664ED4">
        <w:t>3.</w:t>
      </w:r>
      <w:r w:rsidRPr="00664ED4">
        <w:tab/>
      </w:r>
      <w:r w:rsidR="00C4624A" w:rsidRPr="00252A6F">
        <w:rPr>
          <w:noProof/>
        </w:rPr>
        <w:t>OCENA FINANČNIH POSLEDIC PREDLOGA/POBUDE</w:t>
      </w:r>
      <w:bookmarkEnd w:id="53"/>
      <w:bookmarkEnd w:id="54"/>
      <w:r w:rsidR="00C4624A" w:rsidRPr="00252A6F">
        <w:rPr>
          <w:noProof/>
        </w:rPr>
        <w:t xml:space="preserve"> </w:t>
      </w:r>
    </w:p>
    <w:p w14:paraId="40DAABCC" w14:textId="3FC59BFC" w:rsidR="00C4624A" w:rsidRPr="00252A6F" w:rsidRDefault="00664ED4" w:rsidP="00664ED4">
      <w:pPr>
        <w:pStyle w:val="ManualHeading2"/>
        <w:rPr>
          <w:noProof/>
        </w:rPr>
      </w:pPr>
      <w:bookmarkStart w:id="55" w:name="_Toc514938051"/>
      <w:bookmarkStart w:id="56" w:name="_Toc520485050"/>
      <w:r w:rsidRPr="00664ED4">
        <w:t>3.1.</w:t>
      </w:r>
      <w:r w:rsidRPr="00664ED4">
        <w:tab/>
      </w:r>
      <w:r w:rsidR="00C4624A" w:rsidRPr="00252A6F">
        <w:rPr>
          <w:noProof/>
        </w:rPr>
        <w:t>Zadevni razdelki večletnega finančnega okvira in odhodkovne proračunske vrstice</w:t>
      </w:r>
      <w:bookmarkEnd w:id="55"/>
      <w:bookmarkEnd w:id="56"/>
      <w:r w:rsidR="00C4624A" w:rsidRPr="00252A6F">
        <w:rPr>
          <w:noProof/>
        </w:rPr>
        <w:t xml:space="preserve"> </w:t>
      </w:r>
    </w:p>
    <w:p w14:paraId="1FFD9764" w14:textId="77777777" w:rsidR="00C4624A" w:rsidRPr="00252A6F" w:rsidRDefault="00C4624A" w:rsidP="00C4624A">
      <w:pPr>
        <w:pStyle w:val="ListBullet1"/>
        <w:rPr>
          <w:noProof/>
        </w:rPr>
      </w:pPr>
      <w:r w:rsidRPr="00252A6F">
        <w:rPr>
          <w:noProof/>
        </w:rPr>
        <w:t xml:space="preserve">Obstoječe proračunske vrstice </w:t>
      </w:r>
    </w:p>
    <w:p w14:paraId="5EA5887B" w14:textId="77777777" w:rsidR="00C4624A" w:rsidRPr="00252A6F" w:rsidRDefault="00C4624A" w:rsidP="00C4624A">
      <w:pPr>
        <w:pStyle w:val="Text1"/>
        <w:rPr>
          <w:i/>
          <w:noProof/>
        </w:rPr>
      </w:pPr>
      <w:r w:rsidRPr="00252A6F">
        <w:rPr>
          <w:i/>
          <w:noProof/>
          <w:u w:val="single"/>
        </w:rPr>
        <w:t>Po vrstnem redu</w:t>
      </w:r>
      <w:r w:rsidRPr="00252A6F">
        <w:rPr>
          <w:i/>
          <w:noProof/>
        </w:rPr>
        <w:t xml:space="preserve"> razdelkov večletnega finančnega okvira in proračunskih vrstic</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C4624A" w:rsidRPr="00252A6F" w14:paraId="702EA39D" w14:textId="77777777" w:rsidTr="00461AA0">
        <w:tc>
          <w:tcPr>
            <w:tcW w:w="1080" w:type="dxa"/>
            <w:vMerge w:val="restart"/>
            <w:vAlign w:val="center"/>
          </w:tcPr>
          <w:p w14:paraId="0F71B685" w14:textId="77777777" w:rsidR="00C4624A" w:rsidRPr="00252A6F" w:rsidRDefault="00C4624A" w:rsidP="00461AA0">
            <w:pPr>
              <w:spacing w:before="60" w:after="60"/>
              <w:jc w:val="center"/>
              <w:rPr>
                <w:noProof/>
              </w:rPr>
            </w:pPr>
            <w:r w:rsidRPr="00252A6F">
              <w:rPr>
                <w:noProof/>
                <w:sz w:val="18"/>
              </w:rPr>
              <w:t>Razdelek večletnega finančnega okvira</w:t>
            </w:r>
          </w:p>
        </w:tc>
        <w:tc>
          <w:tcPr>
            <w:tcW w:w="3960" w:type="dxa"/>
            <w:vAlign w:val="center"/>
          </w:tcPr>
          <w:p w14:paraId="1873CC02" w14:textId="77777777" w:rsidR="00C4624A" w:rsidRPr="00252A6F" w:rsidRDefault="00C4624A" w:rsidP="00461AA0">
            <w:pPr>
              <w:spacing w:before="60" w:after="60"/>
              <w:jc w:val="center"/>
              <w:rPr>
                <w:noProof/>
              </w:rPr>
            </w:pPr>
            <w:r w:rsidRPr="00252A6F">
              <w:rPr>
                <w:noProof/>
                <w:sz w:val="20"/>
              </w:rPr>
              <w:t>Proračunska vrstica</w:t>
            </w:r>
          </w:p>
        </w:tc>
        <w:tc>
          <w:tcPr>
            <w:tcW w:w="1080" w:type="dxa"/>
            <w:vAlign w:val="center"/>
          </w:tcPr>
          <w:p w14:paraId="2D662B57" w14:textId="77777777" w:rsidR="00C4624A" w:rsidRPr="00252A6F" w:rsidRDefault="00C4624A" w:rsidP="00461AA0">
            <w:pPr>
              <w:spacing w:before="60" w:after="60"/>
              <w:jc w:val="center"/>
              <w:rPr>
                <w:noProof/>
              </w:rPr>
            </w:pPr>
            <w:r w:rsidRPr="00252A6F">
              <w:rPr>
                <w:noProof/>
                <w:sz w:val="18"/>
              </w:rPr>
              <w:t>Vrsta odhodkov</w:t>
            </w:r>
          </w:p>
        </w:tc>
        <w:tc>
          <w:tcPr>
            <w:tcW w:w="4440" w:type="dxa"/>
            <w:gridSpan w:val="4"/>
            <w:vAlign w:val="center"/>
          </w:tcPr>
          <w:p w14:paraId="43996E70" w14:textId="77777777" w:rsidR="00C4624A" w:rsidRPr="00252A6F" w:rsidRDefault="00C4624A" w:rsidP="00461AA0">
            <w:pPr>
              <w:spacing w:before="60" w:after="60"/>
              <w:jc w:val="center"/>
              <w:rPr>
                <w:noProof/>
              </w:rPr>
            </w:pPr>
            <w:r w:rsidRPr="00252A6F">
              <w:rPr>
                <w:noProof/>
                <w:sz w:val="20"/>
              </w:rPr>
              <w:t xml:space="preserve">Prispevek </w:t>
            </w:r>
          </w:p>
        </w:tc>
      </w:tr>
      <w:tr w:rsidR="00C4624A" w:rsidRPr="00252A6F" w14:paraId="4B373C66" w14:textId="77777777" w:rsidTr="00461AA0">
        <w:tc>
          <w:tcPr>
            <w:tcW w:w="1080" w:type="dxa"/>
            <w:vMerge/>
            <w:vAlign w:val="center"/>
          </w:tcPr>
          <w:p w14:paraId="4847B193" w14:textId="77777777" w:rsidR="00C4624A" w:rsidRPr="00252A6F" w:rsidRDefault="00C4624A" w:rsidP="00461AA0">
            <w:pPr>
              <w:jc w:val="center"/>
              <w:rPr>
                <w:noProof/>
              </w:rPr>
            </w:pPr>
          </w:p>
        </w:tc>
        <w:tc>
          <w:tcPr>
            <w:tcW w:w="3960" w:type="dxa"/>
            <w:vAlign w:val="center"/>
          </w:tcPr>
          <w:p w14:paraId="017431D8" w14:textId="77777777" w:rsidR="00C4624A" w:rsidRPr="00252A6F" w:rsidRDefault="00C4624A" w:rsidP="00461AA0">
            <w:pPr>
              <w:rPr>
                <w:noProof/>
              </w:rPr>
            </w:pPr>
            <w:r w:rsidRPr="00252A6F">
              <w:rPr>
                <w:noProof/>
                <w:sz w:val="20"/>
              </w:rPr>
              <w:t xml:space="preserve">številka </w:t>
            </w:r>
          </w:p>
        </w:tc>
        <w:tc>
          <w:tcPr>
            <w:tcW w:w="1080" w:type="dxa"/>
            <w:vAlign w:val="center"/>
          </w:tcPr>
          <w:p w14:paraId="61A8CBFC" w14:textId="77777777" w:rsidR="00C4624A" w:rsidRPr="00252A6F" w:rsidRDefault="00C4624A" w:rsidP="00461AA0">
            <w:pPr>
              <w:jc w:val="center"/>
              <w:rPr>
                <w:noProof/>
              </w:rPr>
            </w:pPr>
            <w:r w:rsidRPr="00252A6F">
              <w:rPr>
                <w:noProof/>
                <w:sz w:val="18"/>
              </w:rPr>
              <w:t>dif./nedif.</w:t>
            </w:r>
            <w:r w:rsidRPr="00252A6F">
              <w:rPr>
                <w:rStyle w:val="FootnoteReference"/>
                <w:noProof/>
                <w:sz w:val="18"/>
                <w:szCs w:val="18"/>
              </w:rPr>
              <w:footnoteReference w:id="30"/>
            </w:r>
          </w:p>
        </w:tc>
        <w:tc>
          <w:tcPr>
            <w:tcW w:w="956" w:type="dxa"/>
            <w:vAlign w:val="center"/>
          </w:tcPr>
          <w:p w14:paraId="23A67C4F" w14:textId="77777777" w:rsidR="00C4624A" w:rsidRPr="00252A6F" w:rsidRDefault="00C4624A" w:rsidP="00461AA0">
            <w:pPr>
              <w:jc w:val="center"/>
              <w:rPr>
                <w:noProof/>
              </w:rPr>
            </w:pPr>
            <w:r w:rsidRPr="00252A6F">
              <w:rPr>
                <w:noProof/>
                <w:sz w:val="18"/>
              </w:rPr>
              <w:t>držav Efte</w:t>
            </w:r>
            <w:r w:rsidRPr="00252A6F">
              <w:rPr>
                <w:rStyle w:val="FootnoteReference"/>
                <w:noProof/>
                <w:sz w:val="18"/>
                <w:szCs w:val="18"/>
              </w:rPr>
              <w:footnoteReference w:id="31"/>
            </w:r>
          </w:p>
          <w:p w14:paraId="44FBA802" w14:textId="77777777" w:rsidR="00C4624A" w:rsidRPr="00252A6F" w:rsidRDefault="00C4624A" w:rsidP="00461AA0">
            <w:pPr>
              <w:spacing w:before="0" w:after="0"/>
              <w:jc w:val="center"/>
              <w:rPr>
                <w:b/>
                <w:noProof/>
                <w:sz w:val="18"/>
              </w:rPr>
            </w:pPr>
          </w:p>
        </w:tc>
        <w:tc>
          <w:tcPr>
            <w:tcW w:w="1080" w:type="dxa"/>
            <w:vAlign w:val="center"/>
          </w:tcPr>
          <w:p w14:paraId="05692F3E" w14:textId="77777777" w:rsidR="00C4624A" w:rsidRPr="00252A6F" w:rsidRDefault="00C4624A" w:rsidP="00461AA0">
            <w:pPr>
              <w:jc w:val="center"/>
              <w:rPr>
                <w:noProof/>
              </w:rPr>
            </w:pPr>
            <w:r w:rsidRPr="00252A6F">
              <w:rPr>
                <w:noProof/>
                <w:sz w:val="18"/>
              </w:rPr>
              <w:t>držav kandidatk</w:t>
            </w:r>
            <w:r w:rsidRPr="00252A6F">
              <w:rPr>
                <w:rStyle w:val="FootnoteReference"/>
                <w:noProof/>
                <w:sz w:val="18"/>
                <w:szCs w:val="18"/>
              </w:rPr>
              <w:footnoteReference w:id="32"/>
            </w:r>
          </w:p>
          <w:p w14:paraId="2F46212F" w14:textId="77777777" w:rsidR="00C4624A" w:rsidRPr="00252A6F" w:rsidRDefault="00C4624A" w:rsidP="00461AA0">
            <w:pPr>
              <w:spacing w:before="0" w:after="0"/>
              <w:jc w:val="center"/>
              <w:rPr>
                <w:noProof/>
                <w:sz w:val="18"/>
              </w:rPr>
            </w:pPr>
          </w:p>
        </w:tc>
        <w:tc>
          <w:tcPr>
            <w:tcW w:w="956" w:type="dxa"/>
            <w:vAlign w:val="center"/>
          </w:tcPr>
          <w:p w14:paraId="3073E2BD" w14:textId="77777777" w:rsidR="00C4624A" w:rsidRPr="00252A6F" w:rsidRDefault="00C4624A" w:rsidP="00461AA0">
            <w:pPr>
              <w:jc w:val="center"/>
              <w:rPr>
                <w:noProof/>
                <w:sz w:val="18"/>
              </w:rPr>
            </w:pPr>
            <w:r w:rsidRPr="00252A6F">
              <w:rPr>
                <w:noProof/>
                <w:sz w:val="18"/>
              </w:rPr>
              <w:t>tretjih držav</w:t>
            </w:r>
          </w:p>
        </w:tc>
        <w:tc>
          <w:tcPr>
            <w:tcW w:w="1448" w:type="dxa"/>
            <w:vAlign w:val="center"/>
          </w:tcPr>
          <w:p w14:paraId="68CE3E41" w14:textId="77777777" w:rsidR="00C4624A" w:rsidRPr="00252A6F" w:rsidRDefault="00C4624A" w:rsidP="00461AA0">
            <w:pPr>
              <w:jc w:val="center"/>
              <w:rPr>
                <w:noProof/>
              </w:rPr>
            </w:pPr>
            <w:r w:rsidRPr="00252A6F">
              <w:rPr>
                <w:noProof/>
                <w:sz w:val="16"/>
              </w:rPr>
              <w:t xml:space="preserve">po členu 21(2)(b) finančne uredbe </w:t>
            </w:r>
          </w:p>
        </w:tc>
      </w:tr>
      <w:tr w:rsidR="00C4624A" w:rsidRPr="00252A6F" w14:paraId="53C0E4E1" w14:textId="77777777" w:rsidTr="00461AA0">
        <w:tc>
          <w:tcPr>
            <w:tcW w:w="1080" w:type="dxa"/>
            <w:vAlign w:val="center"/>
          </w:tcPr>
          <w:p w14:paraId="2114E767" w14:textId="77777777" w:rsidR="00C4624A" w:rsidRPr="00252A6F" w:rsidRDefault="00C4624A" w:rsidP="00461AA0">
            <w:pPr>
              <w:jc w:val="center"/>
              <w:rPr>
                <w:noProof/>
              </w:rPr>
            </w:pPr>
            <w:r w:rsidRPr="00252A6F">
              <w:rPr>
                <w:noProof/>
              </w:rPr>
              <w:t>6</w:t>
            </w:r>
          </w:p>
        </w:tc>
        <w:tc>
          <w:tcPr>
            <w:tcW w:w="3960" w:type="dxa"/>
            <w:vAlign w:val="center"/>
          </w:tcPr>
          <w:p w14:paraId="39FE25CC" w14:textId="77777777" w:rsidR="00C4624A" w:rsidRPr="00252A6F" w:rsidRDefault="00C4624A" w:rsidP="00461AA0">
            <w:pPr>
              <w:spacing w:after="60"/>
              <w:rPr>
                <w:noProof/>
              </w:rPr>
            </w:pPr>
            <w:r w:rsidRPr="00252A6F">
              <w:rPr>
                <w:noProof/>
              </w:rPr>
              <w:t>14 02 01 11 „Vzhodno sosedstvo“</w:t>
            </w:r>
          </w:p>
        </w:tc>
        <w:tc>
          <w:tcPr>
            <w:tcW w:w="1080" w:type="dxa"/>
            <w:vAlign w:val="center"/>
          </w:tcPr>
          <w:p w14:paraId="65FCD29B" w14:textId="77777777" w:rsidR="00C4624A" w:rsidRPr="00252A6F" w:rsidRDefault="00C4624A" w:rsidP="00461AA0">
            <w:pPr>
              <w:jc w:val="center"/>
              <w:rPr>
                <w:noProof/>
                <w:color w:val="0000FF"/>
              </w:rPr>
            </w:pPr>
            <w:r w:rsidRPr="00252A6F">
              <w:rPr>
                <w:noProof/>
                <w:sz w:val="22"/>
              </w:rPr>
              <w:t>dif.</w:t>
            </w:r>
          </w:p>
        </w:tc>
        <w:tc>
          <w:tcPr>
            <w:tcW w:w="956" w:type="dxa"/>
            <w:vAlign w:val="center"/>
          </w:tcPr>
          <w:p w14:paraId="2F2879CC" w14:textId="77777777" w:rsidR="00C4624A" w:rsidRPr="00252A6F" w:rsidRDefault="00C4624A" w:rsidP="00461AA0">
            <w:pPr>
              <w:jc w:val="center"/>
              <w:rPr>
                <w:noProof/>
                <w:sz w:val="20"/>
                <w:szCs w:val="20"/>
              </w:rPr>
            </w:pPr>
            <w:r w:rsidRPr="00252A6F">
              <w:rPr>
                <w:noProof/>
                <w:sz w:val="20"/>
              </w:rPr>
              <w:t>NE</w:t>
            </w:r>
          </w:p>
        </w:tc>
        <w:tc>
          <w:tcPr>
            <w:tcW w:w="1080" w:type="dxa"/>
            <w:vAlign w:val="center"/>
          </w:tcPr>
          <w:p w14:paraId="3ED559C1" w14:textId="77777777" w:rsidR="00C4624A" w:rsidRPr="00252A6F" w:rsidRDefault="00C4624A" w:rsidP="00461AA0">
            <w:pPr>
              <w:jc w:val="center"/>
              <w:rPr>
                <w:noProof/>
                <w:sz w:val="20"/>
                <w:szCs w:val="20"/>
              </w:rPr>
            </w:pPr>
            <w:r w:rsidRPr="00252A6F">
              <w:rPr>
                <w:noProof/>
                <w:sz w:val="20"/>
              </w:rPr>
              <w:t>NE</w:t>
            </w:r>
          </w:p>
        </w:tc>
        <w:tc>
          <w:tcPr>
            <w:tcW w:w="956" w:type="dxa"/>
            <w:vAlign w:val="center"/>
          </w:tcPr>
          <w:p w14:paraId="19E1285E" w14:textId="77777777" w:rsidR="00C4624A" w:rsidRPr="00252A6F" w:rsidRDefault="00C4624A" w:rsidP="00461AA0">
            <w:pPr>
              <w:jc w:val="center"/>
              <w:rPr>
                <w:noProof/>
                <w:sz w:val="20"/>
                <w:szCs w:val="20"/>
              </w:rPr>
            </w:pPr>
            <w:r w:rsidRPr="00252A6F">
              <w:rPr>
                <w:noProof/>
                <w:sz w:val="20"/>
              </w:rPr>
              <w:t>NE</w:t>
            </w:r>
          </w:p>
        </w:tc>
        <w:tc>
          <w:tcPr>
            <w:tcW w:w="1448" w:type="dxa"/>
            <w:vAlign w:val="center"/>
          </w:tcPr>
          <w:p w14:paraId="6DD65D29" w14:textId="77777777" w:rsidR="00C4624A" w:rsidRPr="00252A6F" w:rsidRDefault="00C4624A" w:rsidP="00461AA0">
            <w:pPr>
              <w:jc w:val="center"/>
              <w:rPr>
                <w:noProof/>
                <w:sz w:val="20"/>
                <w:szCs w:val="20"/>
              </w:rPr>
            </w:pPr>
            <w:r w:rsidRPr="00252A6F">
              <w:rPr>
                <w:noProof/>
                <w:sz w:val="20"/>
              </w:rPr>
              <w:t>NE</w:t>
            </w:r>
          </w:p>
        </w:tc>
      </w:tr>
      <w:tr w:rsidR="00C4624A" w:rsidRPr="00252A6F" w14:paraId="7C59F0C1" w14:textId="77777777" w:rsidTr="00461AA0">
        <w:tc>
          <w:tcPr>
            <w:tcW w:w="1080" w:type="dxa"/>
            <w:vAlign w:val="center"/>
          </w:tcPr>
          <w:p w14:paraId="2A1976AA" w14:textId="77777777" w:rsidR="00C4624A" w:rsidRPr="00252A6F" w:rsidRDefault="00C4624A" w:rsidP="00461AA0">
            <w:pPr>
              <w:jc w:val="center"/>
              <w:rPr>
                <w:noProof/>
              </w:rPr>
            </w:pPr>
            <w:r w:rsidRPr="00252A6F">
              <w:rPr>
                <w:noProof/>
              </w:rPr>
              <w:t>6</w:t>
            </w:r>
          </w:p>
        </w:tc>
        <w:tc>
          <w:tcPr>
            <w:tcW w:w="3960" w:type="dxa"/>
            <w:vAlign w:val="center"/>
          </w:tcPr>
          <w:p w14:paraId="2DEA12F4" w14:textId="77777777" w:rsidR="00C4624A" w:rsidRPr="00252A6F" w:rsidRDefault="00C4624A" w:rsidP="00461AA0">
            <w:pPr>
              <w:spacing w:after="60"/>
              <w:rPr>
                <w:noProof/>
              </w:rPr>
            </w:pPr>
            <w:r w:rsidRPr="00252A6F">
              <w:rPr>
                <w:noProof/>
              </w:rPr>
              <w:t>14 02 01 70 „NDICI – Globalna Evropa – Oblikovanje rezervacij za skupni sklad za rezervacije“</w:t>
            </w:r>
          </w:p>
        </w:tc>
        <w:tc>
          <w:tcPr>
            <w:tcW w:w="1080" w:type="dxa"/>
            <w:vAlign w:val="center"/>
          </w:tcPr>
          <w:p w14:paraId="07E5E127" w14:textId="77777777" w:rsidR="00C4624A" w:rsidRPr="00252A6F" w:rsidRDefault="00C4624A" w:rsidP="00461AA0">
            <w:pPr>
              <w:jc w:val="center"/>
              <w:rPr>
                <w:noProof/>
                <w:color w:val="0000FF"/>
              </w:rPr>
            </w:pPr>
            <w:r w:rsidRPr="00252A6F">
              <w:rPr>
                <w:noProof/>
                <w:sz w:val="22"/>
              </w:rPr>
              <w:t>dif.</w:t>
            </w:r>
          </w:p>
        </w:tc>
        <w:tc>
          <w:tcPr>
            <w:tcW w:w="956" w:type="dxa"/>
            <w:vAlign w:val="center"/>
          </w:tcPr>
          <w:p w14:paraId="18FB45B9" w14:textId="77777777" w:rsidR="00C4624A" w:rsidRPr="00252A6F" w:rsidRDefault="00C4624A" w:rsidP="00461AA0">
            <w:pPr>
              <w:jc w:val="center"/>
              <w:rPr>
                <w:noProof/>
                <w:sz w:val="20"/>
                <w:szCs w:val="20"/>
              </w:rPr>
            </w:pPr>
            <w:r w:rsidRPr="00252A6F">
              <w:rPr>
                <w:noProof/>
                <w:sz w:val="20"/>
              </w:rPr>
              <w:t>NE</w:t>
            </w:r>
          </w:p>
        </w:tc>
        <w:tc>
          <w:tcPr>
            <w:tcW w:w="1080" w:type="dxa"/>
            <w:vAlign w:val="center"/>
          </w:tcPr>
          <w:p w14:paraId="7AAE98A7" w14:textId="77777777" w:rsidR="00C4624A" w:rsidRPr="00252A6F" w:rsidRDefault="00C4624A" w:rsidP="00461AA0">
            <w:pPr>
              <w:jc w:val="center"/>
              <w:rPr>
                <w:noProof/>
                <w:sz w:val="20"/>
                <w:szCs w:val="20"/>
              </w:rPr>
            </w:pPr>
            <w:r w:rsidRPr="00252A6F">
              <w:rPr>
                <w:noProof/>
                <w:sz w:val="20"/>
              </w:rPr>
              <w:t>NE</w:t>
            </w:r>
          </w:p>
        </w:tc>
        <w:tc>
          <w:tcPr>
            <w:tcW w:w="956" w:type="dxa"/>
            <w:vAlign w:val="center"/>
          </w:tcPr>
          <w:p w14:paraId="172345B1" w14:textId="77777777" w:rsidR="00C4624A" w:rsidRPr="00252A6F" w:rsidRDefault="00C4624A" w:rsidP="00461AA0">
            <w:pPr>
              <w:jc w:val="center"/>
              <w:rPr>
                <w:noProof/>
                <w:sz w:val="20"/>
                <w:szCs w:val="20"/>
              </w:rPr>
            </w:pPr>
            <w:r w:rsidRPr="00252A6F">
              <w:rPr>
                <w:noProof/>
                <w:sz w:val="20"/>
              </w:rPr>
              <w:t>NE</w:t>
            </w:r>
          </w:p>
        </w:tc>
        <w:tc>
          <w:tcPr>
            <w:tcW w:w="1448" w:type="dxa"/>
            <w:vAlign w:val="center"/>
          </w:tcPr>
          <w:p w14:paraId="3F355711" w14:textId="77777777" w:rsidR="00C4624A" w:rsidRPr="00252A6F" w:rsidRDefault="00C4624A" w:rsidP="00461AA0">
            <w:pPr>
              <w:jc w:val="center"/>
              <w:rPr>
                <w:noProof/>
                <w:sz w:val="20"/>
                <w:szCs w:val="20"/>
              </w:rPr>
            </w:pPr>
            <w:r w:rsidRPr="00252A6F">
              <w:rPr>
                <w:noProof/>
                <w:sz w:val="20"/>
              </w:rPr>
              <w:t>NE</w:t>
            </w:r>
          </w:p>
        </w:tc>
      </w:tr>
    </w:tbl>
    <w:p w14:paraId="21760431" w14:textId="77777777" w:rsidR="00C4624A" w:rsidRPr="00252A6F" w:rsidRDefault="00C4624A" w:rsidP="00C4624A">
      <w:pPr>
        <w:pStyle w:val="ListBullet1"/>
        <w:rPr>
          <w:noProof/>
        </w:rPr>
      </w:pPr>
      <w:r w:rsidRPr="00252A6F">
        <w:rPr>
          <w:noProof/>
        </w:rPr>
        <w:t>Zahtevane nove proračunske vrstice – ni relevantno</w:t>
      </w:r>
    </w:p>
    <w:p w14:paraId="478B8AD1" w14:textId="77777777" w:rsidR="00C4624A" w:rsidRPr="00252A6F" w:rsidRDefault="00C4624A" w:rsidP="00C4624A">
      <w:pPr>
        <w:rPr>
          <w:noProof/>
        </w:rPr>
        <w:sectPr w:rsidR="00C4624A" w:rsidRPr="00252A6F" w:rsidSect="00DF7915">
          <w:pgSz w:w="11907" w:h="16840" w:code="1"/>
          <w:pgMar w:top="1134" w:right="1418" w:bottom="1134" w:left="1418" w:header="709" w:footer="709" w:gutter="0"/>
          <w:cols w:space="708"/>
          <w:docGrid w:linePitch="360"/>
        </w:sectPr>
      </w:pPr>
    </w:p>
    <w:p w14:paraId="4F59448C" w14:textId="5F4045E0" w:rsidR="00C4624A" w:rsidRPr="00252A6F" w:rsidRDefault="00664ED4" w:rsidP="00664ED4">
      <w:pPr>
        <w:pStyle w:val="ManualHeading2"/>
        <w:rPr>
          <w:noProof/>
          <w:szCs w:val="24"/>
        </w:rPr>
      </w:pPr>
      <w:bookmarkStart w:id="57" w:name="_Toc514938052"/>
      <w:bookmarkStart w:id="58" w:name="_Toc520485051"/>
      <w:r w:rsidRPr="00664ED4">
        <w:t>3.2.</w:t>
      </w:r>
      <w:r w:rsidRPr="00664ED4">
        <w:tab/>
      </w:r>
      <w:r w:rsidR="00C4624A" w:rsidRPr="00252A6F">
        <w:rPr>
          <w:noProof/>
        </w:rPr>
        <w:t>Ocenjene finančne posledice predloga za odobritve</w:t>
      </w:r>
      <w:bookmarkEnd w:id="57"/>
      <w:bookmarkEnd w:id="58"/>
      <w:r w:rsidR="00C4624A" w:rsidRPr="00252A6F">
        <w:rPr>
          <w:noProof/>
        </w:rPr>
        <w:t xml:space="preserve"> </w:t>
      </w:r>
    </w:p>
    <w:p w14:paraId="2EA799C9" w14:textId="7861E94E" w:rsidR="00C4624A" w:rsidRPr="00252A6F" w:rsidRDefault="00664ED4" w:rsidP="00664ED4">
      <w:pPr>
        <w:pStyle w:val="ManualHeading3"/>
        <w:rPr>
          <w:noProof/>
        </w:rPr>
      </w:pPr>
      <w:bookmarkStart w:id="59" w:name="_Toc514938053"/>
      <w:bookmarkStart w:id="60" w:name="_Toc520485052"/>
      <w:r w:rsidRPr="00664ED4">
        <w:t>3.2.1.</w:t>
      </w:r>
      <w:r w:rsidRPr="00664ED4">
        <w:tab/>
      </w:r>
      <w:r w:rsidR="00C4624A" w:rsidRPr="00252A6F">
        <w:rPr>
          <w:noProof/>
        </w:rPr>
        <w:t>Povzetek ocenjenih posledic za odobritve za poslovanje</w:t>
      </w:r>
      <w:bookmarkEnd w:id="59"/>
      <w:bookmarkEnd w:id="60"/>
      <w:r w:rsidR="00C4624A" w:rsidRPr="00252A6F">
        <w:rPr>
          <w:noProof/>
        </w:rPr>
        <w:t xml:space="preserve"> </w:t>
      </w:r>
    </w:p>
    <w:p w14:paraId="6EC36F36" w14:textId="77777777" w:rsidR="00C4624A" w:rsidRPr="00252A6F" w:rsidRDefault="00C4624A" w:rsidP="00C4624A">
      <w:pPr>
        <w:pStyle w:val="ListDash1"/>
        <w:rPr>
          <w:noProof/>
        </w:rPr>
      </w:pPr>
      <w:r w:rsidRPr="00252A6F">
        <w:rPr>
          <w:rFonts w:ascii="Wingdings" w:hAnsi="Wingdings"/>
          <w:noProof/>
        </w:rPr>
        <w:t></w:t>
      </w:r>
      <w:r w:rsidRPr="00252A6F">
        <w:rPr>
          <w:noProof/>
        </w:rPr>
        <w:tab/>
        <w:t xml:space="preserve">Za predlog/pobudo niso potrebne odobritve za poslovanje. </w:t>
      </w:r>
    </w:p>
    <w:p w14:paraId="5A8E577D" w14:textId="77777777" w:rsidR="00C4624A" w:rsidRPr="00252A6F" w:rsidRDefault="00C4624A" w:rsidP="00C4624A">
      <w:pPr>
        <w:pStyle w:val="ListDash1"/>
        <w:rPr>
          <w:noProof/>
        </w:rPr>
      </w:pPr>
      <w:r w:rsidRPr="00252A6F">
        <w:rPr>
          <w:rFonts w:ascii="Wingdings" w:hAnsi="Wingdings"/>
          <w:noProof/>
        </w:rPr>
        <w:t></w:t>
      </w:r>
      <w:r w:rsidRPr="00252A6F">
        <w:rPr>
          <w:noProof/>
        </w:rPr>
        <w:tab/>
        <w:t>Za predlog/pobudo so potrebne odobritve za poslovanje, kot je pojasnjeno v nadaljevanju:</w:t>
      </w:r>
    </w:p>
    <w:p w14:paraId="21BF2D67" w14:textId="77777777" w:rsidR="00C4624A" w:rsidRPr="00252A6F" w:rsidRDefault="00C4624A" w:rsidP="00C4624A">
      <w:pPr>
        <w:jc w:val="right"/>
        <w:rPr>
          <w:noProof/>
          <w:sz w:val="18"/>
          <w:szCs w:val="18"/>
        </w:rPr>
      </w:pPr>
      <w:r w:rsidRPr="00252A6F">
        <w:rPr>
          <w:noProof/>
          <w:sz w:val="18"/>
        </w:rPr>
        <w:t>v mio. EUR (na tri decimalna mesta natančno)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4624A" w:rsidRPr="00252A6F" w14:paraId="45F47AED" w14:textId="77777777" w:rsidTr="00461AA0">
        <w:trPr>
          <w:jc w:val="center"/>
        </w:trPr>
        <w:tc>
          <w:tcPr>
            <w:tcW w:w="4744" w:type="dxa"/>
            <w:shd w:val="thinDiagStripe" w:color="C0C0C0" w:fill="auto"/>
            <w:vAlign w:val="center"/>
          </w:tcPr>
          <w:p w14:paraId="3E3D9DD6" w14:textId="77777777" w:rsidR="00C4624A" w:rsidRPr="00252A6F" w:rsidRDefault="00C4624A" w:rsidP="00461AA0">
            <w:pPr>
              <w:spacing w:before="60" w:after="60"/>
              <w:jc w:val="center"/>
              <w:rPr>
                <w:b/>
                <w:noProof/>
              </w:rPr>
            </w:pPr>
            <w:r w:rsidRPr="00252A6F">
              <w:rPr>
                <w:b/>
                <w:noProof/>
                <w:sz w:val="22"/>
              </w:rPr>
              <w:t xml:space="preserve">Razdelek </w:t>
            </w:r>
            <w:r w:rsidRPr="00252A6F">
              <w:rPr>
                <w:noProof/>
              </w:rPr>
              <w:br/>
            </w:r>
            <w:r w:rsidRPr="00252A6F">
              <w:rPr>
                <w:b/>
                <w:noProof/>
                <w:sz w:val="22"/>
              </w:rPr>
              <w:t xml:space="preserve">večletnega finančnega okvira </w:t>
            </w:r>
          </w:p>
        </w:tc>
        <w:tc>
          <w:tcPr>
            <w:tcW w:w="1080" w:type="dxa"/>
            <w:vAlign w:val="center"/>
          </w:tcPr>
          <w:p w14:paraId="5CDCF747" w14:textId="77777777" w:rsidR="00C4624A" w:rsidRPr="00252A6F" w:rsidRDefault="00C4624A" w:rsidP="00461AA0">
            <w:pPr>
              <w:spacing w:before="60" w:after="60"/>
              <w:jc w:val="center"/>
              <w:rPr>
                <w:noProof/>
              </w:rPr>
            </w:pPr>
            <w:r w:rsidRPr="00252A6F">
              <w:rPr>
                <w:noProof/>
                <w:sz w:val="22"/>
              </w:rPr>
              <w:t>6</w:t>
            </w:r>
          </w:p>
        </w:tc>
        <w:tc>
          <w:tcPr>
            <w:tcW w:w="7817" w:type="dxa"/>
            <w:vAlign w:val="center"/>
          </w:tcPr>
          <w:p w14:paraId="24074526" w14:textId="77777777" w:rsidR="00C4624A" w:rsidRPr="00252A6F" w:rsidRDefault="00C4624A" w:rsidP="00461AA0">
            <w:pPr>
              <w:spacing w:before="60" w:after="60"/>
              <w:rPr>
                <w:noProof/>
              </w:rPr>
            </w:pPr>
            <w:r w:rsidRPr="00252A6F">
              <w:rPr>
                <w:b/>
                <w:noProof/>
                <w:sz w:val="22"/>
              </w:rPr>
              <w:t xml:space="preserve">                           Razdelek 6 – „Sosedstvo in svet“</w:t>
            </w:r>
            <w:r w:rsidRPr="00252A6F">
              <w:rPr>
                <w:noProof/>
                <w:color w:val="202124"/>
                <w:shd w:val="clear" w:color="auto" w:fill="FFFFFF"/>
              </w:rPr>
              <w:t xml:space="preserve"> </w:t>
            </w:r>
          </w:p>
        </w:tc>
      </w:tr>
    </w:tbl>
    <w:p w14:paraId="4F1CB1CF" w14:textId="77777777" w:rsidR="00C4624A" w:rsidRPr="00252A6F" w:rsidRDefault="00C4624A" w:rsidP="00C4624A">
      <w:pPr>
        <w:rPr>
          <w:noProof/>
          <w:sz w:val="16"/>
        </w:rPr>
      </w:pPr>
    </w:p>
    <w:tbl>
      <w:tblPr>
        <w:tblW w:w="149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8"/>
        <w:gridCol w:w="772"/>
        <w:gridCol w:w="750"/>
        <w:gridCol w:w="868"/>
        <w:gridCol w:w="868"/>
        <w:gridCol w:w="930"/>
        <w:gridCol w:w="996"/>
        <w:gridCol w:w="992"/>
        <w:gridCol w:w="992"/>
        <w:gridCol w:w="2410"/>
      </w:tblGrid>
      <w:tr w:rsidR="00C4624A" w:rsidRPr="00252A6F" w14:paraId="78419076" w14:textId="77777777" w:rsidTr="00252A6F">
        <w:tc>
          <w:tcPr>
            <w:tcW w:w="3960" w:type="dxa"/>
            <w:vAlign w:val="center"/>
          </w:tcPr>
          <w:p w14:paraId="1ADE38A1" w14:textId="77777777" w:rsidR="00C4624A" w:rsidRPr="00252A6F" w:rsidRDefault="00C4624A" w:rsidP="00461AA0">
            <w:pPr>
              <w:jc w:val="center"/>
              <w:rPr>
                <w:noProof/>
              </w:rPr>
            </w:pPr>
            <w:r w:rsidRPr="00252A6F">
              <w:rPr>
                <w:noProof/>
                <w:sz w:val="22"/>
              </w:rPr>
              <w:t>GD NEAR</w:t>
            </w:r>
          </w:p>
        </w:tc>
        <w:tc>
          <w:tcPr>
            <w:tcW w:w="1362" w:type="dxa"/>
          </w:tcPr>
          <w:p w14:paraId="5A2F3794" w14:textId="77777777" w:rsidR="00C4624A" w:rsidRPr="00252A6F" w:rsidRDefault="00C4624A" w:rsidP="00461AA0">
            <w:pPr>
              <w:rPr>
                <w:noProof/>
                <w:sz w:val="20"/>
              </w:rPr>
            </w:pPr>
          </w:p>
        </w:tc>
        <w:tc>
          <w:tcPr>
            <w:tcW w:w="850" w:type="dxa"/>
            <w:gridSpan w:val="2"/>
          </w:tcPr>
          <w:p w14:paraId="6074005B" w14:textId="77777777" w:rsidR="00C4624A" w:rsidRPr="00252A6F" w:rsidRDefault="00C4624A" w:rsidP="00461AA0">
            <w:pPr>
              <w:jc w:val="center"/>
              <w:rPr>
                <w:noProof/>
                <w:sz w:val="20"/>
              </w:rPr>
            </w:pPr>
          </w:p>
        </w:tc>
        <w:tc>
          <w:tcPr>
            <w:tcW w:w="750" w:type="dxa"/>
          </w:tcPr>
          <w:p w14:paraId="5D3E89DC" w14:textId="77777777" w:rsidR="00C4624A" w:rsidRPr="00252A6F" w:rsidRDefault="00C4624A" w:rsidP="00461AA0">
            <w:pPr>
              <w:jc w:val="center"/>
              <w:rPr>
                <w:noProof/>
                <w:sz w:val="20"/>
                <w:szCs w:val="20"/>
              </w:rPr>
            </w:pPr>
            <w:r w:rsidRPr="00252A6F">
              <w:rPr>
                <w:noProof/>
                <w:sz w:val="20"/>
              </w:rPr>
              <w:t>Leto</w:t>
            </w:r>
          </w:p>
          <w:p w14:paraId="433B9EDA" w14:textId="77777777" w:rsidR="00C4624A" w:rsidRPr="00252A6F" w:rsidRDefault="00C4624A" w:rsidP="00461AA0">
            <w:pPr>
              <w:jc w:val="center"/>
              <w:rPr>
                <w:noProof/>
                <w:sz w:val="20"/>
                <w:szCs w:val="20"/>
              </w:rPr>
            </w:pPr>
            <w:r w:rsidRPr="00252A6F">
              <w:rPr>
                <w:b/>
                <w:noProof/>
                <w:sz w:val="20"/>
              </w:rPr>
              <w:t>2021</w:t>
            </w:r>
          </w:p>
        </w:tc>
        <w:tc>
          <w:tcPr>
            <w:tcW w:w="868" w:type="dxa"/>
            <w:vAlign w:val="center"/>
          </w:tcPr>
          <w:p w14:paraId="6149FA8B" w14:textId="77777777" w:rsidR="00C4624A" w:rsidRPr="00252A6F" w:rsidRDefault="00C4624A" w:rsidP="00461AA0">
            <w:pPr>
              <w:jc w:val="center"/>
              <w:rPr>
                <w:noProof/>
                <w:sz w:val="20"/>
                <w:szCs w:val="20"/>
              </w:rPr>
            </w:pPr>
            <w:r w:rsidRPr="00252A6F">
              <w:rPr>
                <w:noProof/>
                <w:sz w:val="20"/>
              </w:rPr>
              <w:t>Leto</w:t>
            </w:r>
          </w:p>
          <w:p w14:paraId="6E1D8F2B" w14:textId="77777777" w:rsidR="00C4624A" w:rsidRPr="00252A6F" w:rsidRDefault="00C4624A" w:rsidP="00461AA0">
            <w:pPr>
              <w:jc w:val="center"/>
              <w:rPr>
                <w:noProof/>
                <w:sz w:val="20"/>
              </w:rPr>
            </w:pPr>
            <w:r w:rsidRPr="00252A6F">
              <w:rPr>
                <w:b/>
                <w:noProof/>
                <w:sz w:val="20"/>
              </w:rPr>
              <w:t>2022</w:t>
            </w:r>
          </w:p>
        </w:tc>
        <w:tc>
          <w:tcPr>
            <w:tcW w:w="868" w:type="dxa"/>
            <w:vAlign w:val="center"/>
          </w:tcPr>
          <w:p w14:paraId="7F0A5B4E" w14:textId="77777777" w:rsidR="00C4624A" w:rsidRPr="00252A6F" w:rsidRDefault="00C4624A" w:rsidP="00461AA0">
            <w:pPr>
              <w:jc w:val="center"/>
              <w:rPr>
                <w:noProof/>
                <w:sz w:val="20"/>
              </w:rPr>
            </w:pPr>
            <w:r w:rsidRPr="00252A6F">
              <w:rPr>
                <w:noProof/>
                <w:sz w:val="20"/>
              </w:rPr>
              <w:t>Leto</w:t>
            </w:r>
          </w:p>
          <w:p w14:paraId="4B5DB4C0" w14:textId="77777777" w:rsidR="00C4624A" w:rsidRPr="00252A6F" w:rsidRDefault="00C4624A" w:rsidP="00461AA0">
            <w:pPr>
              <w:jc w:val="center"/>
              <w:rPr>
                <w:noProof/>
                <w:sz w:val="20"/>
              </w:rPr>
            </w:pPr>
            <w:r w:rsidRPr="00252A6F">
              <w:rPr>
                <w:b/>
                <w:noProof/>
                <w:sz w:val="20"/>
              </w:rPr>
              <w:t>2023</w:t>
            </w:r>
          </w:p>
        </w:tc>
        <w:tc>
          <w:tcPr>
            <w:tcW w:w="930" w:type="dxa"/>
            <w:vAlign w:val="center"/>
          </w:tcPr>
          <w:p w14:paraId="64EBF580" w14:textId="77777777" w:rsidR="00C4624A" w:rsidRPr="00252A6F" w:rsidRDefault="00C4624A" w:rsidP="00461AA0">
            <w:pPr>
              <w:jc w:val="center"/>
              <w:rPr>
                <w:noProof/>
                <w:sz w:val="20"/>
              </w:rPr>
            </w:pPr>
            <w:r w:rsidRPr="00252A6F">
              <w:rPr>
                <w:noProof/>
                <w:sz w:val="20"/>
              </w:rPr>
              <w:t>Leto</w:t>
            </w:r>
          </w:p>
          <w:p w14:paraId="4B3621D7" w14:textId="77777777" w:rsidR="00C4624A" w:rsidRPr="00252A6F" w:rsidRDefault="00C4624A" w:rsidP="00461AA0">
            <w:pPr>
              <w:jc w:val="center"/>
              <w:rPr>
                <w:noProof/>
                <w:sz w:val="20"/>
              </w:rPr>
            </w:pPr>
            <w:r w:rsidRPr="00252A6F">
              <w:rPr>
                <w:b/>
                <w:noProof/>
                <w:sz w:val="20"/>
              </w:rPr>
              <w:t>2024</w:t>
            </w:r>
          </w:p>
        </w:tc>
        <w:tc>
          <w:tcPr>
            <w:tcW w:w="996" w:type="dxa"/>
            <w:vAlign w:val="center"/>
          </w:tcPr>
          <w:p w14:paraId="76BD15FC" w14:textId="77777777" w:rsidR="00C4624A" w:rsidRPr="00252A6F" w:rsidRDefault="00C4624A" w:rsidP="00461AA0">
            <w:pPr>
              <w:jc w:val="center"/>
              <w:rPr>
                <w:noProof/>
                <w:sz w:val="20"/>
              </w:rPr>
            </w:pPr>
            <w:r w:rsidRPr="00252A6F">
              <w:rPr>
                <w:noProof/>
                <w:sz w:val="20"/>
              </w:rPr>
              <w:t>Leto</w:t>
            </w:r>
          </w:p>
          <w:p w14:paraId="4F015F6E" w14:textId="77777777" w:rsidR="00C4624A" w:rsidRPr="00252A6F" w:rsidRDefault="00C4624A" w:rsidP="00461AA0">
            <w:pPr>
              <w:jc w:val="center"/>
              <w:rPr>
                <w:noProof/>
                <w:sz w:val="20"/>
              </w:rPr>
            </w:pPr>
            <w:r w:rsidRPr="00252A6F">
              <w:rPr>
                <w:b/>
                <w:noProof/>
                <w:sz w:val="20"/>
              </w:rPr>
              <w:t>2025</w:t>
            </w:r>
          </w:p>
        </w:tc>
        <w:tc>
          <w:tcPr>
            <w:tcW w:w="992" w:type="dxa"/>
          </w:tcPr>
          <w:p w14:paraId="02B6D49C" w14:textId="77777777" w:rsidR="00C4624A" w:rsidRPr="00252A6F" w:rsidRDefault="00C4624A" w:rsidP="00461AA0">
            <w:pPr>
              <w:jc w:val="center"/>
              <w:rPr>
                <w:noProof/>
                <w:sz w:val="20"/>
              </w:rPr>
            </w:pPr>
            <w:r w:rsidRPr="00252A6F">
              <w:rPr>
                <w:noProof/>
                <w:sz w:val="20"/>
              </w:rPr>
              <w:t>Leto</w:t>
            </w:r>
          </w:p>
          <w:p w14:paraId="3B070963" w14:textId="77777777" w:rsidR="00C4624A" w:rsidRPr="00252A6F" w:rsidRDefault="00C4624A" w:rsidP="00461AA0">
            <w:pPr>
              <w:jc w:val="center"/>
              <w:rPr>
                <w:noProof/>
                <w:sz w:val="18"/>
              </w:rPr>
            </w:pPr>
            <w:r w:rsidRPr="00252A6F">
              <w:rPr>
                <w:b/>
                <w:noProof/>
                <w:sz w:val="20"/>
              </w:rPr>
              <w:t>2026</w:t>
            </w:r>
          </w:p>
        </w:tc>
        <w:tc>
          <w:tcPr>
            <w:tcW w:w="992" w:type="dxa"/>
          </w:tcPr>
          <w:p w14:paraId="17FFF4F5" w14:textId="77777777" w:rsidR="00C4624A" w:rsidRPr="00252A6F" w:rsidRDefault="00C4624A" w:rsidP="00461AA0">
            <w:pPr>
              <w:jc w:val="center"/>
              <w:rPr>
                <w:noProof/>
                <w:sz w:val="20"/>
              </w:rPr>
            </w:pPr>
            <w:r w:rsidRPr="00252A6F">
              <w:rPr>
                <w:noProof/>
                <w:sz w:val="20"/>
              </w:rPr>
              <w:t>Leto</w:t>
            </w:r>
          </w:p>
          <w:p w14:paraId="51652B40" w14:textId="77777777" w:rsidR="00C4624A" w:rsidRPr="00252A6F" w:rsidRDefault="00C4624A" w:rsidP="00461AA0">
            <w:pPr>
              <w:jc w:val="center"/>
              <w:rPr>
                <w:noProof/>
                <w:sz w:val="18"/>
              </w:rPr>
            </w:pPr>
            <w:r w:rsidRPr="00252A6F">
              <w:rPr>
                <w:b/>
                <w:noProof/>
                <w:sz w:val="20"/>
              </w:rPr>
              <w:t>2027</w:t>
            </w:r>
          </w:p>
        </w:tc>
        <w:tc>
          <w:tcPr>
            <w:tcW w:w="2410" w:type="dxa"/>
            <w:vAlign w:val="center"/>
          </w:tcPr>
          <w:p w14:paraId="313924B2" w14:textId="77777777" w:rsidR="00C4624A" w:rsidRPr="00252A6F" w:rsidRDefault="00C4624A" w:rsidP="00461AA0">
            <w:pPr>
              <w:jc w:val="center"/>
              <w:rPr>
                <w:noProof/>
                <w:sz w:val="20"/>
              </w:rPr>
            </w:pPr>
            <w:r w:rsidRPr="00252A6F">
              <w:rPr>
                <w:b/>
                <w:noProof/>
                <w:sz w:val="20"/>
              </w:rPr>
              <w:t>SKUPAJ</w:t>
            </w:r>
          </w:p>
        </w:tc>
      </w:tr>
      <w:tr w:rsidR="00C4624A" w:rsidRPr="00252A6F" w14:paraId="63EB85EC" w14:textId="77777777" w:rsidTr="00252A6F">
        <w:trPr>
          <w:trHeight w:val="213"/>
        </w:trPr>
        <w:tc>
          <w:tcPr>
            <w:tcW w:w="6172" w:type="dxa"/>
            <w:gridSpan w:val="4"/>
            <w:shd w:val="clear" w:color="auto" w:fill="EEECE1" w:themeFill="background2"/>
            <w:vAlign w:val="center"/>
          </w:tcPr>
          <w:p w14:paraId="064FE9DE" w14:textId="77777777" w:rsidR="00C4624A" w:rsidRPr="00252A6F" w:rsidRDefault="00C4624A" w:rsidP="00461AA0">
            <w:pPr>
              <w:spacing w:before="20" w:after="20"/>
              <w:rPr>
                <w:noProof/>
                <w:sz w:val="21"/>
                <w:szCs w:val="21"/>
              </w:rPr>
            </w:pPr>
            <w:r w:rsidRPr="00252A6F">
              <w:rPr>
                <w:noProof/>
                <w:sz w:val="21"/>
              </w:rPr>
              <w:t>□ Odobritve za poslovanje za makrofinančno pomoč I</w:t>
            </w:r>
            <w:r w:rsidRPr="00252A6F">
              <w:rPr>
                <w:rStyle w:val="FootnoteReference"/>
                <w:rFonts w:eastAsia="Times New Roman"/>
                <w:noProof/>
                <w:sz w:val="21"/>
                <w:szCs w:val="21"/>
              </w:rPr>
              <w:footnoteReference w:id="33"/>
            </w:r>
          </w:p>
        </w:tc>
        <w:tc>
          <w:tcPr>
            <w:tcW w:w="750" w:type="dxa"/>
            <w:shd w:val="clear" w:color="auto" w:fill="EEECE1" w:themeFill="background2"/>
          </w:tcPr>
          <w:p w14:paraId="42CBABCF" w14:textId="77777777" w:rsidR="00C4624A" w:rsidRPr="00252A6F" w:rsidRDefault="00C4624A" w:rsidP="00461AA0">
            <w:pPr>
              <w:rPr>
                <w:noProof/>
                <w:sz w:val="20"/>
                <w:szCs w:val="20"/>
              </w:rPr>
            </w:pPr>
          </w:p>
        </w:tc>
        <w:tc>
          <w:tcPr>
            <w:tcW w:w="868" w:type="dxa"/>
            <w:shd w:val="clear" w:color="auto" w:fill="EEECE1" w:themeFill="background2"/>
            <w:vAlign w:val="center"/>
          </w:tcPr>
          <w:p w14:paraId="1A8B0CF4" w14:textId="77777777" w:rsidR="00C4624A" w:rsidRPr="00252A6F" w:rsidRDefault="00C4624A" w:rsidP="00461AA0">
            <w:pPr>
              <w:rPr>
                <w:noProof/>
                <w:sz w:val="20"/>
              </w:rPr>
            </w:pPr>
          </w:p>
        </w:tc>
        <w:tc>
          <w:tcPr>
            <w:tcW w:w="868" w:type="dxa"/>
            <w:shd w:val="clear" w:color="auto" w:fill="EEECE1" w:themeFill="background2"/>
            <w:vAlign w:val="center"/>
          </w:tcPr>
          <w:p w14:paraId="637C9D91" w14:textId="77777777" w:rsidR="00C4624A" w:rsidRPr="00252A6F" w:rsidRDefault="00C4624A" w:rsidP="00461AA0">
            <w:pPr>
              <w:rPr>
                <w:noProof/>
                <w:sz w:val="20"/>
              </w:rPr>
            </w:pPr>
          </w:p>
        </w:tc>
        <w:tc>
          <w:tcPr>
            <w:tcW w:w="930" w:type="dxa"/>
            <w:shd w:val="clear" w:color="auto" w:fill="EEECE1" w:themeFill="background2"/>
            <w:vAlign w:val="center"/>
          </w:tcPr>
          <w:p w14:paraId="3EB5B4F8" w14:textId="77777777" w:rsidR="00C4624A" w:rsidRPr="00252A6F" w:rsidRDefault="00C4624A" w:rsidP="00461AA0">
            <w:pPr>
              <w:rPr>
                <w:noProof/>
                <w:sz w:val="20"/>
              </w:rPr>
            </w:pPr>
          </w:p>
        </w:tc>
        <w:tc>
          <w:tcPr>
            <w:tcW w:w="996" w:type="dxa"/>
            <w:shd w:val="clear" w:color="auto" w:fill="EEECE1" w:themeFill="background2"/>
            <w:vAlign w:val="center"/>
          </w:tcPr>
          <w:p w14:paraId="5BEC5A25" w14:textId="77777777" w:rsidR="00C4624A" w:rsidRPr="00252A6F" w:rsidRDefault="00C4624A" w:rsidP="00461AA0">
            <w:pPr>
              <w:rPr>
                <w:noProof/>
                <w:sz w:val="20"/>
              </w:rPr>
            </w:pPr>
          </w:p>
        </w:tc>
        <w:tc>
          <w:tcPr>
            <w:tcW w:w="992" w:type="dxa"/>
            <w:shd w:val="clear" w:color="auto" w:fill="EEECE1" w:themeFill="background2"/>
          </w:tcPr>
          <w:p w14:paraId="154B254C" w14:textId="77777777" w:rsidR="00C4624A" w:rsidRPr="00252A6F" w:rsidRDefault="00C4624A" w:rsidP="00461AA0">
            <w:pPr>
              <w:rPr>
                <w:noProof/>
                <w:sz w:val="20"/>
              </w:rPr>
            </w:pPr>
          </w:p>
        </w:tc>
        <w:tc>
          <w:tcPr>
            <w:tcW w:w="992" w:type="dxa"/>
            <w:shd w:val="clear" w:color="auto" w:fill="EEECE1" w:themeFill="background2"/>
          </w:tcPr>
          <w:p w14:paraId="7EE27EA4" w14:textId="77777777" w:rsidR="00C4624A" w:rsidRPr="00252A6F" w:rsidRDefault="00C4624A" w:rsidP="00461AA0">
            <w:pPr>
              <w:rPr>
                <w:noProof/>
                <w:sz w:val="20"/>
              </w:rPr>
            </w:pPr>
          </w:p>
        </w:tc>
        <w:tc>
          <w:tcPr>
            <w:tcW w:w="2410" w:type="dxa"/>
            <w:shd w:val="clear" w:color="auto" w:fill="EEECE1" w:themeFill="background2"/>
          </w:tcPr>
          <w:p w14:paraId="522155F5" w14:textId="77777777" w:rsidR="00C4624A" w:rsidRPr="00252A6F" w:rsidRDefault="00C4624A" w:rsidP="00461AA0">
            <w:pPr>
              <w:rPr>
                <w:noProof/>
                <w:sz w:val="20"/>
              </w:rPr>
            </w:pPr>
          </w:p>
        </w:tc>
      </w:tr>
      <w:tr w:rsidR="00C4624A" w:rsidRPr="00252A6F" w14:paraId="71F1EBC3" w14:textId="77777777" w:rsidTr="00252A6F">
        <w:trPr>
          <w:trHeight w:val="694"/>
        </w:trPr>
        <w:tc>
          <w:tcPr>
            <w:tcW w:w="3960" w:type="dxa"/>
            <w:vMerge w:val="restart"/>
            <w:vAlign w:val="center"/>
          </w:tcPr>
          <w:p w14:paraId="5D7D9A7B" w14:textId="77777777" w:rsidR="00C4624A" w:rsidRPr="00252A6F" w:rsidRDefault="00C4624A" w:rsidP="00461AA0">
            <w:pPr>
              <w:rPr>
                <w:rFonts w:eastAsia="Times New Roman"/>
                <w:noProof/>
                <w:sz w:val="18"/>
                <w:szCs w:val="18"/>
              </w:rPr>
            </w:pPr>
            <w:r w:rsidRPr="00252A6F">
              <w:rPr>
                <w:noProof/>
                <w:sz w:val="18"/>
              </w:rPr>
              <w:t>Proračunska vrstica</w:t>
            </w:r>
            <w:r w:rsidRPr="00252A6F">
              <w:rPr>
                <w:rStyle w:val="FootnoteReference"/>
                <w:rFonts w:eastAsiaTheme="minorEastAsia"/>
                <w:b/>
                <w:bCs/>
                <w:noProof/>
                <w:sz w:val="18"/>
                <w:szCs w:val="18"/>
              </w:rPr>
              <w:footnoteReference w:id="34"/>
            </w:r>
            <w:r w:rsidRPr="00252A6F">
              <w:rPr>
                <w:noProof/>
                <w:sz w:val="18"/>
              </w:rPr>
              <w:t xml:space="preserve"> </w:t>
            </w:r>
          </w:p>
          <w:p w14:paraId="369C422B" w14:textId="77777777" w:rsidR="00C4624A" w:rsidRPr="00252A6F" w:rsidRDefault="00C4624A" w:rsidP="00461AA0">
            <w:pPr>
              <w:rPr>
                <w:noProof/>
              </w:rPr>
            </w:pPr>
            <w:r w:rsidRPr="00252A6F">
              <w:rPr>
                <w:noProof/>
                <w:sz w:val="18"/>
              </w:rPr>
              <w:t>14 02 01 11 „Vzhodno sosedstvo“</w:t>
            </w:r>
            <w:r w:rsidRPr="00252A6F">
              <w:rPr>
                <w:rStyle w:val="FootnoteReference"/>
                <w:noProof/>
                <w:sz w:val="20"/>
              </w:rPr>
              <w:t xml:space="preserve"> </w:t>
            </w:r>
            <w:r w:rsidRPr="00252A6F">
              <w:rPr>
                <w:rStyle w:val="FootnoteReference"/>
                <w:noProof/>
                <w:sz w:val="20"/>
                <w:szCs w:val="20"/>
              </w:rPr>
              <w:footnoteReference w:id="35"/>
            </w:r>
          </w:p>
        </w:tc>
        <w:tc>
          <w:tcPr>
            <w:tcW w:w="1440" w:type="dxa"/>
            <w:gridSpan w:val="2"/>
            <w:vAlign w:val="center"/>
          </w:tcPr>
          <w:p w14:paraId="23A32B2A" w14:textId="77777777" w:rsidR="00C4624A" w:rsidRPr="00252A6F" w:rsidRDefault="00C4624A" w:rsidP="00461AA0">
            <w:pPr>
              <w:spacing w:before="20" w:after="20"/>
              <w:rPr>
                <w:noProof/>
                <w:sz w:val="18"/>
                <w:szCs w:val="18"/>
              </w:rPr>
            </w:pPr>
            <w:r w:rsidRPr="00252A6F">
              <w:rPr>
                <w:noProof/>
                <w:sz w:val="18"/>
              </w:rPr>
              <w:t>obveznosti</w:t>
            </w:r>
          </w:p>
        </w:tc>
        <w:tc>
          <w:tcPr>
            <w:tcW w:w="772" w:type="dxa"/>
            <w:vAlign w:val="center"/>
          </w:tcPr>
          <w:p w14:paraId="45BB9EEF" w14:textId="77777777" w:rsidR="00C4624A" w:rsidRPr="00252A6F" w:rsidRDefault="00C4624A" w:rsidP="00461AA0">
            <w:pPr>
              <w:spacing w:before="20" w:after="20"/>
              <w:jc w:val="center"/>
              <w:rPr>
                <w:noProof/>
                <w:sz w:val="16"/>
                <w:szCs w:val="16"/>
              </w:rPr>
            </w:pPr>
            <w:r w:rsidRPr="00252A6F">
              <w:rPr>
                <w:noProof/>
                <w:sz w:val="16"/>
              </w:rPr>
              <w:t>(a)</w:t>
            </w:r>
          </w:p>
        </w:tc>
        <w:tc>
          <w:tcPr>
            <w:tcW w:w="750" w:type="dxa"/>
          </w:tcPr>
          <w:p w14:paraId="49CD04E6" w14:textId="77777777" w:rsidR="00C4624A" w:rsidRPr="00252A6F" w:rsidRDefault="00C4624A" w:rsidP="00461AA0">
            <w:pPr>
              <w:spacing w:before="20" w:after="20"/>
              <w:jc w:val="right"/>
              <w:rPr>
                <w:noProof/>
                <w:sz w:val="20"/>
                <w:szCs w:val="20"/>
              </w:rPr>
            </w:pPr>
          </w:p>
        </w:tc>
        <w:tc>
          <w:tcPr>
            <w:tcW w:w="868" w:type="dxa"/>
            <w:vAlign w:val="center"/>
          </w:tcPr>
          <w:p w14:paraId="5941CFBC" w14:textId="77777777" w:rsidR="00C4624A" w:rsidRPr="00252A6F" w:rsidRDefault="00C4624A" w:rsidP="00461AA0">
            <w:pPr>
              <w:spacing w:before="20" w:after="20"/>
              <w:jc w:val="right"/>
              <w:rPr>
                <w:noProof/>
                <w:sz w:val="20"/>
                <w:szCs w:val="20"/>
              </w:rPr>
            </w:pPr>
          </w:p>
        </w:tc>
        <w:tc>
          <w:tcPr>
            <w:tcW w:w="868" w:type="dxa"/>
            <w:vAlign w:val="center"/>
          </w:tcPr>
          <w:p w14:paraId="4CCB3384" w14:textId="77777777" w:rsidR="00C4624A" w:rsidRPr="00252A6F" w:rsidRDefault="00C4624A" w:rsidP="00461AA0">
            <w:pPr>
              <w:spacing w:before="20" w:after="20"/>
              <w:jc w:val="right"/>
              <w:rPr>
                <w:noProof/>
                <w:sz w:val="20"/>
                <w:szCs w:val="20"/>
              </w:rPr>
            </w:pPr>
            <w:r w:rsidRPr="00252A6F">
              <w:rPr>
                <w:noProof/>
                <w:sz w:val="20"/>
              </w:rPr>
              <w:t>20,0</w:t>
            </w:r>
          </w:p>
          <w:p w14:paraId="2A842F16" w14:textId="77777777" w:rsidR="00C4624A" w:rsidRPr="00252A6F" w:rsidRDefault="00C4624A" w:rsidP="00461AA0">
            <w:pPr>
              <w:spacing w:before="20" w:after="20"/>
              <w:jc w:val="right"/>
              <w:rPr>
                <w:noProof/>
                <w:sz w:val="20"/>
                <w:szCs w:val="20"/>
              </w:rPr>
            </w:pPr>
          </w:p>
        </w:tc>
        <w:tc>
          <w:tcPr>
            <w:tcW w:w="930" w:type="dxa"/>
            <w:vAlign w:val="center"/>
          </w:tcPr>
          <w:p w14:paraId="2C0F3A8E" w14:textId="77777777" w:rsidR="00C4624A" w:rsidRPr="00252A6F" w:rsidRDefault="00C4624A" w:rsidP="00461AA0">
            <w:pPr>
              <w:spacing w:before="20" w:after="20"/>
              <w:jc w:val="right"/>
              <w:rPr>
                <w:noProof/>
                <w:sz w:val="20"/>
                <w:szCs w:val="20"/>
              </w:rPr>
            </w:pPr>
            <w:r w:rsidRPr="00252A6F">
              <w:rPr>
                <w:noProof/>
                <w:sz w:val="20"/>
              </w:rPr>
              <w:t>20,0</w:t>
            </w:r>
          </w:p>
          <w:p w14:paraId="5F463213" w14:textId="77777777" w:rsidR="00C4624A" w:rsidRPr="00252A6F" w:rsidRDefault="00C4624A" w:rsidP="00461AA0">
            <w:pPr>
              <w:spacing w:before="20" w:after="20"/>
              <w:jc w:val="right"/>
              <w:rPr>
                <w:noProof/>
                <w:sz w:val="20"/>
                <w:szCs w:val="20"/>
              </w:rPr>
            </w:pPr>
          </w:p>
        </w:tc>
        <w:tc>
          <w:tcPr>
            <w:tcW w:w="996" w:type="dxa"/>
            <w:vAlign w:val="center"/>
          </w:tcPr>
          <w:p w14:paraId="22FBF099" w14:textId="77777777" w:rsidR="00C4624A" w:rsidRPr="00252A6F" w:rsidRDefault="00C4624A" w:rsidP="00461AA0">
            <w:pPr>
              <w:spacing w:before="20" w:after="20"/>
              <w:jc w:val="right"/>
              <w:rPr>
                <w:noProof/>
                <w:sz w:val="20"/>
                <w:szCs w:val="20"/>
              </w:rPr>
            </w:pPr>
            <w:r w:rsidRPr="00252A6F">
              <w:rPr>
                <w:noProof/>
                <w:sz w:val="20"/>
              </w:rPr>
              <w:t>20,0</w:t>
            </w:r>
          </w:p>
          <w:p w14:paraId="3649F46D" w14:textId="77777777" w:rsidR="00C4624A" w:rsidRPr="00252A6F" w:rsidRDefault="00C4624A" w:rsidP="00461AA0">
            <w:pPr>
              <w:spacing w:before="20" w:after="20"/>
              <w:jc w:val="right"/>
              <w:rPr>
                <w:noProof/>
                <w:sz w:val="20"/>
                <w:szCs w:val="20"/>
              </w:rPr>
            </w:pPr>
          </w:p>
        </w:tc>
        <w:tc>
          <w:tcPr>
            <w:tcW w:w="992" w:type="dxa"/>
          </w:tcPr>
          <w:p w14:paraId="4E32C114" w14:textId="77777777" w:rsidR="00C4624A" w:rsidRPr="00252A6F" w:rsidRDefault="00C4624A" w:rsidP="00461AA0">
            <w:pPr>
              <w:spacing w:before="20" w:after="20"/>
              <w:jc w:val="right"/>
              <w:rPr>
                <w:noProof/>
                <w:sz w:val="20"/>
                <w:szCs w:val="20"/>
              </w:rPr>
            </w:pPr>
            <w:r w:rsidRPr="00252A6F">
              <w:rPr>
                <w:noProof/>
                <w:sz w:val="20"/>
              </w:rPr>
              <w:t>20,0</w:t>
            </w:r>
          </w:p>
          <w:p w14:paraId="0C26010C" w14:textId="77777777" w:rsidR="00C4624A" w:rsidRPr="00252A6F" w:rsidRDefault="00C4624A" w:rsidP="00461AA0">
            <w:pPr>
              <w:spacing w:before="20" w:after="20"/>
              <w:jc w:val="right"/>
              <w:rPr>
                <w:noProof/>
                <w:sz w:val="20"/>
                <w:szCs w:val="20"/>
              </w:rPr>
            </w:pPr>
          </w:p>
        </w:tc>
        <w:tc>
          <w:tcPr>
            <w:tcW w:w="992" w:type="dxa"/>
          </w:tcPr>
          <w:p w14:paraId="2902E89A" w14:textId="77777777" w:rsidR="00C4624A" w:rsidRPr="00252A6F" w:rsidRDefault="00C4624A" w:rsidP="00461AA0">
            <w:pPr>
              <w:spacing w:before="20" w:after="20"/>
              <w:jc w:val="right"/>
              <w:rPr>
                <w:noProof/>
                <w:sz w:val="20"/>
                <w:szCs w:val="20"/>
              </w:rPr>
            </w:pPr>
            <w:r w:rsidRPr="00252A6F">
              <w:rPr>
                <w:noProof/>
                <w:sz w:val="20"/>
              </w:rPr>
              <w:t>20,0</w:t>
            </w:r>
          </w:p>
          <w:p w14:paraId="6FA21B1B" w14:textId="77777777" w:rsidR="00C4624A" w:rsidRPr="00252A6F" w:rsidRDefault="00C4624A" w:rsidP="00461AA0">
            <w:pPr>
              <w:spacing w:before="20" w:after="20"/>
              <w:jc w:val="right"/>
              <w:rPr>
                <w:noProof/>
                <w:sz w:val="20"/>
                <w:szCs w:val="20"/>
              </w:rPr>
            </w:pPr>
          </w:p>
        </w:tc>
        <w:tc>
          <w:tcPr>
            <w:tcW w:w="2410" w:type="dxa"/>
            <w:vAlign w:val="center"/>
          </w:tcPr>
          <w:p w14:paraId="38F6DFBB" w14:textId="77777777" w:rsidR="00C4624A" w:rsidRPr="00252A6F" w:rsidRDefault="00C4624A" w:rsidP="00461AA0">
            <w:pPr>
              <w:spacing w:before="20" w:after="20"/>
              <w:jc w:val="right"/>
              <w:rPr>
                <w:b/>
                <w:bCs/>
                <w:noProof/>
                <w:sz w:val="20"/>
                <w:szCs w:val="20"/>
              </w:rPr>
            </w:pPr>
            <w:r w:rsidRPr="00252A6F">
              <w:rPr>
                <w:b/>
                <w:noProof/>
                <w:sz w:val="20"/>
              </w:rPr>
              <w:t>100,0</w:t>
            </w:r>
          </w:p>
        </w:tc>
      </w:tr>
      <w:tr w:rsidR="00C4624A" w:rsidRPr="00252A6F" w14:paraId="1D4DE793" w14:textId="77777777" w:rsidTr="00252A6F">
        <w:trPr>
          <w:trHeight w:val="638"/>
        </w:trPr>
        <w:tc>
          <w:tcPr>
            <w:tcW w:w="3960" w:type="dxa"/>
            <w:vMerge/>
          </w:tcPr>
          <w:p w14:paraId="68EE8815" w14:textId="77777777" w:rsidR="00C4624A" w:rsidRPr="00252A6F" w:rsidRDefault="00C4624A" w:rsidP="00461AA0">
            <w:pPr>
              <w:jc w:val="center"/>
              <w:rPr>
                <w:noProof/>
                <w:sz w:val="20"/>
              </w:rPr>
            </w:pPr>
          </w:p>
        </w:tc>
        <w:tc>
          <w:tcPr>
            <w:tcW w:w="1440" w:type="dxa"/>
            <w:gridSpan w:val="2"/>
            <w:vAlign w:val="center"/>
          </w:tcPr>
          <w:p w14:paraId="21E76B5E" w14:textId="77777777" w:rsidR="00C4624A" w:rsidRPr="00252A6F" w:rsidRDefault="00C4624A" w:rsidP="00461AA0">
            <w:pPr>
              <w:spacing w:before="20" w:after="20"/>
              <w:rPr>
                <w:noProof/>
                <w:sz w:val="18"/>
                <w:szCs w:val="18"/>
              </w:rPr>
            </w:pPr>
            <w:r w:rsidRPr="00252A6F">
              <w:rPr>
                <w:noProof/>
                <w:sz w:val="18"/>
              </w:rPr>
              <w:t>plačila</w:t>
            </w:r>
          </w:p>
        </w:tc>
        <w:tc>
          <w:tcPr>
            <w:tcW w:w="772" w:type="dxa"/>
            <w:vAlign w:val="center"/>
          </w:tcPr>
          <w:p w14:paraId="460EB18A" w14:textId="77777777" w:rsidR="00C4624A" w:rsidRPr="00252A6F" w:rsidRDefault="00C4624A" w:rsidP="00461AA0">
            <w:pPr>
              <w:spacing w:before="20" w:after="20"/>
              <w:jc w:val="center"/>
              <w:rPr>
                <w:noProof/>
                <w:sz w:val="16"/>
                <w:szCs w:val="16"/>
              </w:rPr>
            </w:pPr>
            <w:r w:rsidRPr="00252A6F">
              <w:rPr>
                <w:noProof/>
                <w:sz w:val="16"/>
              </w:rPr>
              <w:t>(b)</w:t>
            </w:r>
          </w:p>
        </w:tc>
        <w:tc>
          <w:tcPr>
            <w:tcW w:w="750" w:type="dxa"/>
          </w:tcPr>
          <w:p w14:paraId="3CBDE468" w14:textId="77777777" w:rsidR="00C4624A" w:rsidRPr="00252A6F" w:rsidRDefault="00C4624A" w:rsidP="00461AA0">
            <w:pPr>
              <w:spacing w:before="20" w:after="20"/>
              <w:jc w:val="right"/>
              <w:rPr>
                <w:noProof/>
                <w:sz w:val="20"/>
                <w:szCs w:val="20"/>
              </w:rPr>
            </w:pPr>
          </w:p>
        </w:tc>
        <w:tc>
          <w:tcPr>
            <w:tcW w:w="868" w:type="dxa"/>
            <w:vAlign w:val="center"/>
          </w:tcPr>
          <w:p w14:paraId="5BF04B7D" w14:textId="77777777" w:rsidR="00C4624A" w:rsidRPr="00252A6F" w:rsidRDefault="00C4624A" w:rsidP="00461AA0">
            <w:pPr>
              <w:spacing w:before="20" w:after="20"/>
              <w:jc w:val="right"/>
              <w:rPr>
                <w:noProof/>
                <w:sz w:val="20"/>
                <w:szCs w:val="20"/>
              </w:rPr>
            </w:pPr>
          </w:p>
        </w:tc>
        <w:tc>
          <w:tcPr>
            <w:tcW w:w="868" w:type="dxa"/>
            <w:vAlign w:val="center"/>
          </w:tcPr>
          <w:p w14:paraId="2C8CCEDB" w14:textId="77777777" w:rsidR="00C4624A" w:rsidRPr="00252A6F" w:rsidRDefault="00C4624A" w:rsidP="00461AA0">
            <w:pPr>
              <w:spacing w:before="20" w:after="20"/>
              <w:jc w:val="right"/>
              <w:rPr>
                <w:noProof/>
                <w:sz w:val="20"/>
                <w:szCs w:val="20"/>
              </w:rPr>
            </w:pPr>
            <w:r w:rsidRPr="00252A6F">
              <w:rPr>
                <w:noProof/>
                <w:sz w:val="20"/>
              </w:rPr>
              <w:t>20,0</w:t>
            </w:r>
          </w:p>
          <w:p w14:paraId="30E8763C" w14:textId="77777777" w:rsidR="00C4624A" w:rsidRPr="00252A6F" w:rsidRDefault="00C4624A" w:rsidP="00461AA0">
            <w:pPr>
              <w:spacing w:before="20" w:after="20"/>
              <w:jc w:val="right"/>
              <w:rPr>
                <w:noProof/>
                <w:sz w:val="20"/>
                <w:szCs w:val="20"/>
              </w:rPr>
            </w:pPr>
          </w:p>
        </w:tc>
        <w:tc>
          <w:tcPr>
            <w:tcW w:w="930" w:type="dxa"/>
            <w:vAlign w:val="center"/>
          </w:tcPr>
          <w:p w14:paraId="610CAAFF" w14:textId="77777777" w:rsidR="00C4624A" w:rsidRPr="00252A6F" w:rsidRDefault="00C4624A" w:rsidP="00461AA0">
            <w:pPr>
              <w:spacing w:before="20" w:after="20"/>
              <w:jc w:val="right"/>
              <w:rPr>
                <w:noProof/>
                <w:sz w:val="20"/>
                <w:szCs w:val="20"/>
              </w:rPr>
            </w:pPr>
            <w:r w:rsidRPr="00252A6F">
              <w:rPr>
                <w:noProof/>
                <w:sz w:val="20"/>
              </w:rPr>
              <w:t>20,0</w:t>
            </w:r>
          </w:p>
          <w:p w14:paraId="3E08D240" w14:textId="77777777" w:rsidR="00C4624A" w:rsidRPr="00252A6F" w:rsidRDefault="00C4624A" w:rsidP="00461AA0">
            <w:pPr>
              <w:spacing w:before="20" w:after="20"/>
              <w:jc w:val="right"/>
              <w:rPr>
                <w:noProof/>
                <w:sz w:val="20"/>
                <w:szCs w:val="20"/>
              </w:rPr>
            </w:pPr>
          </w:p>
        </w:tc>
        <w:tc>
          <w:tcPr>
            <w:tcW w:w="996" w:type="dxa"/>
            <w:vAlign w:val="center"/>
          </w:tcPr>
          <w:p w14:paraId="7376C461" w14:textId="77777777" w:rsidR="00C4624A" w:rsidRPr="00252A6F" w:rsidRDefault="00C4624A" w:rsidP="00461AA0">
            <w:pPr>
              <w:spacing w:before="20" w:after="20"/>
              <w:jc w:val="right"/>
              <w:rPr>
                <w:noProof/>
                <w:sz w:val="20"/>
                <w:szCs w:val="20"/>
              </w:rPr>
            </w:pPr>
            <w:r w:rsidRPr="00252A6F">
              <w:rPr>
                <w:noProof/>
                <w:sz w:val="20"/>
              </w:rPr>
              <w:t>20,0</w:t>
            </w:r>
          </w:p>
          <w:p w14:paraId="2E58A2FE" w14:textId="77777777" w:rsidR="00C4624A" w:rsidRPr="00252A6F" w:rsidRDefault="00C4624A" w:rsidP="00461AA0">
            <w:pPr>
              <w:spacing w:before="20" w:after="20"/>
              <w:jc w:val="right"/>
              <w:rPr>
                <w:noProof/>
                <w:sz w:val="20"/>
                <w:szCs w:val="20"/>
              </w:rPr>
            </w:pPr>
          </w:p>
        </w:tc>
        <w:tc>
          <w:tcPr>
            <w:tcW w:w="992" w:type="dxa"/>
            <w:vAlign w:val="center"/>
          </w:tcPr>
          <w:p w14:paraId="1971B787" w14:textId="77777777" w:rsidR="00C4624A" w:rsidRPr="00252A6F" w:rsidRDefault="00C4624A" w:rsidP="00461AA0">
            <w:pPr>
              <w:spacing w:before="20" w:after="20"/>
              <w:jc w:val="right"/>
              <w:rPr>
                <w:noProof/>
                <w:sz w:val="20"/>
                <w:szCs w:val="20"/>
              </w:rPr>
            </w:pPr>
            <w:r w:rsidRPr="00252A6F">
              <w:rPr>
                <w:noProof/>
                <w:sz w:val="20"/>
              </w:rPr>
              <w:t>20,0</w:t>
            </w:r>
          </w:p>
          <w:p w14:paraId="3A9A73EF" w14:textId="77777777" w:rsidR="00C4624A" w:rsidRPr="00252A6F" w:rsidRDefault="00C4624A" w:rsidP="00461AA0">
            <w:pPr>
              <w:spacing w:before="20" w:after="20"/>
              <w:rPr>
                <w:noProof/>
                <w:sz w:val="20"/>
                <w:szCs w:val="20"/>
              </w:rPr>
            </w:pPr>
          </w:p>
        </w:tc>
        <w:tc>
          <w:tcPr>
            <w:tcW w:w="992" w:type="dxa"/>
            <w:vAlign w:val="center"/>
          </w:tcPr>
          <w:p w14:paraId="525E7303" w14:textId="77777777" w:rsidR="00C4624A" w:rsidRPr="00252A6F" w:rsidRDefault="00C4624A" w:rsidP="00461AA0">
            <w:pPr>
              <w:spacing w:before="20" w:after="20"/>
              <w:jc w:val="right"/>
              <w:rPr>
                <w:noProof/>
                <w:sz w:val="20"/>
                <w:szCs w:val="20"/>
              </w:rPr>
            </w:pPr>
            <w:r w:rsidRPr="00252A6F">
              <w:rPr>
                <w:noProof/>
                <w:sz w:val="20"/>
              </w:rPr>
              <w:t>20,0</w:t>
            </w:r>
          </w:p>
          <w:p w14:paraId="0C6F161B" w14:textId="77777777" w:rsidR="00C4624A" w:rsidRPr="00252A6F" w:rsidRDefault="00C4624A" w:rsidP="00461AA0">
            <w:pPr>
              <w:spacing w:before="20" w:after="20"/>
              <w:jc w:val="right"/>
              <w:rPr>
                <w:noProof/>
                <w:sz w:val="20"/>
                <w:szCs w:val="20"/>
              </w:rPr>
            </w:pPr>
          </w:p>
        </w:tc>
        <w:tc>
          <w:tcPr>
            <w:tcW w:w="2410" w:type="dxa"/>
            <w:vAlign w:val="center"/>
          </w:tcPr>
          <w:p w14:paraId="1CAFBF63" w14:textId="77777777" w:rsidR="00C4624A" w:rsidRPr="00252A6F" w:rsidRDefault="00C4624A" w:rsidP="00461AA0">
            <w:pPr>
              <w:spacing w:before="20" w:after="20"/>
              <w:jc w:val="right"/>
              <w:rPr>
                <w:b/>
                <w:bCs/>
                <w:noProof/>
                <w:sz w:val="20"/>
                <w:szCs w:val="20"/>
              </w:rPr>
            </w:pPr>
            <w:r w:rsidRPr="00252A6F">
              <w:rPr>
                <w:b/>
                <w:noProof/>
                <w:sz w:val="20"/>
              </w:rPr>
              <w:t>100,0</w:t>
            </w:r>
          </w:p>
        </w:tc>
      </w:tr>
      <w:tr w:rsidR="00C4624A" w:rsidRPr="00252A6F" w14:paraId="7D00BBB3" w14:textId="77777777" w:rsidTr="00461AA0">
        <w:trPr>
          <w:trHeight w:val="638"/>
        </w:trPr>
        <w:tc>
          <w:tcPr>
            <w:tcW w:w="14978" w:type="dxa"/>
            <w:gridSpan w:val="12"/>
            <w:vAlign w:val="center"/>
          </w:tcPr>
          <w:p w14:paraId="50B9A521" w14:textId="77777777" w:rsidR="00C4624A" w:rsidRPr="00252A6F" w:rsidRDefault="00C4624A" w:rsidP="00461AA0">
            <w:pPr>
              <w:spacing w:before="20" w:after="20"/>
              <w:rPr>
                <w:rFonts w:eastAsia="Wingdings"/>
                <w:noProof/>
                <w:sz w:val="21"/>
                <w:szCs w:val="21"/>
              </w:rPr>
            </w:pPr>
            <w:r w:rsidRPr="00252A6F">
              <w:rPr>
                <w:noProof/>
                <w:sz w:val="21"/>
              </w:rPr>
              <w:t>□ Odobritve za poslovanje za makrofinančno pomoč II</w:t>
            </w:r>
          </w:p>
        </w:tc>
      </w:tr>
      <w:tr w:rsidR="00C4624A" w:rsidRPr="00252A6F" w14:paraId="12D5B4C6" w14:textId="77777777" w:rsidTr="00252A6F">
        <w:trPr>
          <w:trHeight w:val="638"/>
        </w:trPr>
        <w:tc>
          <w:tcPr>
            <w:tcW w:w="3960" w:type="dxa"/>
            <w:vMerge w:val="restart"/>
            <w:vAlign w:val="center"/>
          </w:tcPr>
          <w:p w14:paraId="202DC4A1" w14:textId="77777777" w:rsidR="00C4624A" w:rsidRPr="00252A6F" w:rsidRDefault="00C4624A" w:rsidP="00461AA0">
            <w:pPr>
              <w:rPr>
                <w:rFonts w:eastAsia="Times New Roman"/>
                <w:noProof/>
                <w:sz w:val="18"/>
                <w:szCs w:val="18"/>
              </w:rPr>
            </w:pPr>
            <w:r w:rsidRPr="00252A6F">
              <w:rPr>
                <w:noProof/>
                <w:sz w:val="18"/>
              </w:rPr>
              <w:t xml:space="preserve">Proračunska vrstica </w:t>
            </w:r>
          </w:p>
          <w:p w14:paraId="16DD1F0B" w14:textId="77777777" w:rsidR="00C4624A" w:rsidRPr="00252A6F" w:rsidRDefault="00C4624A" w:rsidP="00461AA0">
            <w:pPr>
              <w:rPr>
                <w:rFonts w:eastAsia="Calibri"/>
                <w:noProof/>
                <w:szCs w:val="24"/>
              </w:rPr>
            </w:pPr>
            <w:r w:rsidRPr="00252A6F">
              <w:rPr>
                <w:noProof/>
                <w:sz w:val="18"/>
              </w:rPr>
              <w:t>14 02 01 11 „Vzhodno sosedstvo“</w:t>
            </w:r>
            <w:r w:rsidRPr="00252A6F">
              <w:rPr>
                <w:noProof/>
                <w:color w:val="000000" w:themeColor="text1"/>
                <w:sz w:val="16"/>
              </w:rPr>
              <w:t xml:space="preserve"> </w:t>
            </w:r>
            <w:r w:rsidRPr="00252A6F">
              <w:rPr>
                <w:rStyle w:val="FootnoteReference"/>
                <w:b/>
                <w:bCs/>
                <w:noProof/>
                <w:color w:val="000000"/>
                <w:sz w:val="16"/>
                <w:szCs w:val="16"/>
              </w:rPr>
              <w:footnoteReference w:id="36"/>
            </w:r>
          </w:p>
        </w:tc>
        <w:tc>
          <w:tcPr>
            <w:tcW w:w="1440" w:type="dxa"/>
            <w:gridSpan w:val="2"/>
            <w:vAlign w:val="center"/>
          </w:tcPr>
          <w:p w14:paraId="3BFCB892" w14:textId="77777777" w:rsidR="00C4624A" w:rsidRPr="00252A6F" w:rsidRDefault="00C4624A" w:rsidP="00461AA0">
            <w:pPr>
              <w:rPr>
                <w:rFonts w:eastAsia="Calibri"/>
                <w:noProof/>
                <w:sz w:val="18"/>
                <w:szCs w:val="18"/>
              </w:rPr>
            </w:pPr>
            <w:r w:rsidRPr="00252A6F">
              <w:rPr>
                <w:noProof/>
                <w:sz w:val="18"/>
              </w:rPr>
              <w:t>obveznosti</w:t>
            </w:r>
          </w:p>
        </w:tc>
        <w:tc>
          <w:tcPr>
            <w:tcW w:w="772" w:type="dxa"/>
            <w:vAlign w:val="center"/>
          </w:tcPr>
          <w:p w14:paraId="69418F21" w14:textId="77777777" w:rsidR="00C4624A" w:rsidRPr="00252A6F" w:rsidRDefault="00C4624A" w:rsidP="00461AA0">
            <w:pPr>
              <w:jc w:val="center"/>
              <w:rPr>
                <w:rFonts w:eastAsia="Times New Roman"/>
                <w:noProof/>
                <w:sz w:val="16"/>
                <w:szCs w:val="16"/>
              </w:rPr>
            </w:pPr>
            <w:r w:rsidRPr="00252A6F">
              <w:rPr>
                <w:noProof/>
                <w:sz w:val="16"/>
              </w:rPr>
              <w:t>(a)</w:t>
            </w:r>
          </w:p>
        </w:tc>
        <w:tc>
          <w:tcPr>
            <w:tcW w:w="750" w:type="dxa"/>
          </w:tcPr>
          <w:p w14:paraId="131CD9E1" w14:textId="77777777" w:rsidR="00C4624A" w:rsidRPr="00252A6F" w:rsidRDefault="00C4624A" w:rsidP="00461AA0">
            <w:pPr>
              <w:jc w:val="right"/>
              <w:rPr>
                <w:rFonts w:eastAsia="Calibri"/>
                <w:noProof/>
                <w:sz w:val="20"/>
                <w:szCs w:val="20"/>
              </w:rPr>
            </w:pPr>
          </w:p>
        </w:tc>
        <w:tc>
          <w:tcPr>
            <w:tcW w:w="868" w:type="dxa"/>
            <w:vAlign w:val="center"/>
          </w:tcPr>
          <w:p w14:paraId="54DF4E00" w14:textId="77777777" w:rsidR="00C4624A" w:rsidRPr="00252A6F" w:rsidRDefault="00C4624A" w:rsidP="00461AA0">
            <w:pPr>
              <w:jc w:val="right"/>
              <w:rPr>
                <w:rFonts w:eastAsia="Calibri"/>
                <w:noProof/>
                <w:sz w:val="20"/>
                <w:szCs w:val="20"/>
              </w:rPr>
            </w:pPr>
          </w:p>
        </w:tc>
        <w:tc>
          <w:tcPr>
            <w:tcW w:w="868" w:type="dxa"/>
            <w:vAlign w:val="center"/>
          </w:tcPr>
          <w:p w14:paraId="15C037DC" w14:textId="77777777" w:rsidR="00C4624A" w:rsidRPr="00252A6F" w:rsidRDefault="00C4624A" w:rsidP="00461AA0">
            <w:pPr>
              <w:jc w:val="right"/>
              <w:rPr>
                <w:rFonts w:eastAsia="Calibri"/>
                <w:noProof/>
                <w:sz w:val="20"/>
                <w:szCs w:val="20"/>
              </w:rPr>
            </w:pPr>
            <w:r w:rsidRPr="00252A6F">
              <w:rPr>
                <w:noProof/>
                <w:sz w:val="20"/>
              </w:rPr>
              <w:t>150,0</w:t>
            </w:r>
          </w:p>
        </w:tc>
        <w:tc>
          <w:tcPr>
            <w:tcW w:w="930" w:type="dxa"/>
            <w:vAlign w:val="center"/>
          </w:tcPr>
          <w:p w14:paraId="0A2BAEF1" w14:textId="77777777" w:rsidR="00C4624A" w:rsidRPr="00252A6F" w:rsidRDefault="00C4624A" w:rsidP="00461AA0">
            <w:pPr>
              <w:jc w:val="right"/>
              <w:rPr>
                <w:rFonts w:eastAsia="Calibri"/>
                <w:noProof/>
                <w:sz w:val="20"/>
                <w:szCs w:val="20"/>
              </w:rPr>
            </w:pPr>
            <w:r w:rsidRPr="00252A6F">
              <w:rPr>
                <w:noProof/>
                <w:sz w:val="20"/>
              </w:rPr>
              <w:t>150,0</w:t>
            </w:r>
          </w:p>
        </w:tc>
        <w:tc>
          <w:tcPr>
            <w:tcW w:w="996" w:type="dxa"/>
            <w:vAlign w:val="center"/>
          </w:tcPr>
          <w:p w14:paraId="48E319FC" w14:textId="77777777" w:rsidR="00C4624A" w:rsidRPr="00252A6F" w:rsidRDefault="00C4624A" w:rsidP="00461AA0">
            <w:pPr>
              <w:jc w:val="right"/>
              <w:rPr>
                <w:rFonts w:eastAsia="Calibri"/>
                <w:noProof/>
                <w:sz w:val="20"/>
                <w:szCs w:val="20"/>
              </w:rPr>
            </w:pPr>
            <w:r w:rsidRPr="00252A6F">
              <w:rPr>
                <w:noProof/>
                <w:sz w:val="20"/>
              </w:rPr>
              <w:t>150,0</w:t>
            </w:r>
          </w:p>
        </w:tc>
        <w:tc>
          <w:tcPr>
            <w:tcW w:w="992" w:type="dxa"/>
            <w:vAlign w:val="center"/>
          </w:tcPr>
          <w:p w14:paraId="4B68A87F" w14:textId="77777777" w:rsidR="00C4624A" w:rsidRPr="00252A6F" w:rsidRDefault="00C4624A" w:rsidP="00461AA0">
            <w:pPr>
              <w:jc w:val="right"/>
              <w:rPr>
                <w:rFonts w:eastAsia="Calibri"/>
                <w:noProof/>
                <w:sz w:val="20"/>
                <w:szCs w:val="20"/>
              </w:rPr>
            </w:pPr>
            <w:r w:rsidRPr="00252A6F">
              <w:rPr>
                <w:noProof/>
                <w:sz w:val="20"/>
              </w:rPr>
              <w:t>150,0</w:t>
            </w:r>
          </w:p>
        </w:tc>
        <w:tc>
          <w:tcPr>
            <w:tcW w:w="992" w:type="dxa"/>
            <w:vAlign w:val="center"/>
          </w:tcPr>
          <w:p w14:paraId="0914E2B6" w14:textId="77777777" w:rsidR="00C4624A" w:rsidRPr="00252A6F" w:rsidRDefault="00C4624A" w:rsidP="00461AA0">
            <w:pPr>
              <w:jc w:val="right"/>
              <w:rPr>
                <w:rFonts w:eastAsia="Calibri"/>
                <w:noProof/>
                <w:sz w:val="20"/>
                <w:szCs w:val="20"/>
              </w:rPr>
            </w:pPr>
            <w:r w:rsidRPr="00252A6F">
              <w:rPr>
                <w:noProof/>
                <w:sz w:val="20"/>
              </w:rPr>
              <w:t>150,0</w:t>
            </w:r>
          </w:p>
        </w:tc>
        <w:tc>
          <w:tcPr>
            <w:tcW w:w="2410" w:type="dxa"/>
            <w:vAlign w:val="center"/>
          </w:tcPr>
          <w:p w14:paraId="014A1A0A" w14:textId="77777777" w:rsidR="00C4624A" w:rsidRPr="00252A6F" w:rsidRDefault="00C4624A" w:rsidP="00461AA0">
            <w:pPr>
              <w:jc w:val="right"/>
              <w:rPr>
                <w:rFonts w:eastAsia="Calibri"/>
                <w:b/>
                <w:noProof/>
                <w:sz w:val="20"/>
                <w:szCs w:val="20"/>
              </w:rPr>
            </w:pPr>
            <w:r w:rsidRPr="00252A6F">
              <w:rPr>
                <w:b/>
                <w:noProof/>
                <w:sz w:val="20"/>
              </w:rPr>
              <w:t>750,0</w:t>
            </w:r>
          </w:p>
        </w:tc>
      </w:tr>
      <w:tr w:rsidR="00C4624A" w:rsidRPr="00252A6F" w14:paraId="533EA8C0" w14:textId="77777777" w:rsidTr="00252A6F">
        <w:trPr>
          <w:trHeight w:val="638"/>
        </w:trPr>
        <w:tc>
          <w:tcPr>
            <w:tcW w:w="3960" w:type="dxa"/>
            <w:vMerge/>
            <w:vAlign w:val="center"/>
          </w:tcPr>
          <w:p w14:paraId="2B84B9D1" w14:textId="77777777" w:rsidR="00C4624A" w:rsidRPr="00252A6F" w:rsidRDefault="00C4624A" w:rsidP="00461AA0">
            <w:pPr>
              <w:rPr>
                <w:noProof/>
              </w:rPr>
            </w:pPr>
          </w:p>
        </w:tc>
        <w:tc>
          <w:tcPr>
            <w:tcW w:w="1440" w:type="dxa"/>
            <w:gridSpan w:val="2"/>
            <w:vAlign w:val="center"/>
          </w:tcPr>
          <w:p w14:paraId="1DD95A83" w14:textId="77777777" w:rsidR="00C4624A" w:rsidRPr="00252A6F" w:rsidRDefault="00C4624A" w:rsidP="00461AA0">
            <w:pPr>
              <w:rPr>
                <w:rFonts w:eastAsia="Calibri"/>
                <w:noProof/>
                <w:sz w:val="18"/>
                <w:szCs w:val="18"/>
              </w:rPr>
            </w:pPr>
            <w:r w:rsidRPr="00252A6F">
              <w:rPr>
                <w:noProof/>
                <w:sz w:val="18"/>
              </w:rPr>
              <w:t>plačila</w:t>
            </w:r>
          </w:p>
        </w:tc>
        <w:tc>
          <w:tcPr>
            <w:tcW w:w="772" w:type="dxa"/>
            <w:vAlign w:val="center"/>
          </w:tcPr>
          <w:p w14:paraId="36720BAD" w14:textId="77777777" w:rsidR="00C4624A" w:rsidRPr="00252A6F" w:rsidRDefault="00C4624A" w:rsidP="00461AA0">
            <w:pPr>
              <w:jc w:val="center"/>
              <w:rPr>
                <w:rFonts w:eastAsia="Times New Roman"/>
                <w:noProof/>
                <w:sz w:val="16"/>
                <w:szCs w:val="16"/>
              </w:rPr>
            </w:pPr>
            <w:r w:rsidRPr="00252A6F">
              <w:rPr>
                <w:noProof/>
                <w:sz w:val="16"/>
              </w:rPr>
              <w:t>(b)</w:t>
            </w:r>
          </w:p>
        </w:tc>
        <w:tc>
          <w:tcPr>
            <w:tcW w:w="750" w:type="dxa"/>
          </w:tcPr>
          <w:p w14:paraId="5036B0E5" w14:textId="77777777" w:rsidR="00C4624A" w:rsidRPr="00252A6F" w:rsidRDefault="00C4624A" w:rsidP="00461AA0">
            <w:pPr>
              <w:jc w:val="right"/>
              <w:rPr>
                <w:rFonts w:eastAsia="Calibri"/>
                <w:noProof/>
                <w:sz w:val="20"/>
                <w:szCs w:val="20"/>
              </w:rPr>
            </w:pPr>
          </w:p>
        </w:tc>
        <w:tc>
          <w:tcPr>
            <w:tcW w:w="868" w:type="dxa"/>
            <w:vAlign w:val="center"/>
          </w:tcPr>
          <w:p w14:paraId="5D2D1675" w14:textId="77777777" w:rsidR="00C4624A" w:rsidRPr="00252A6F" w:rsidRDefault="00C4624A" w:rsidP="00461AA0">
            <w:pPr>
              <w:jc w:val="right"/>
              <w:rPr>
                <w:rFonts w:eastAsia="Calibri"/>
                <w:noProof/>
                <w:sz w:val="20"/>
                <w:szCs w:val="20"/>
              </w:rPr>
            </w:pPr>
          </w:p>
        </w:tc>
        <w:tc>
          <w:tcPr>
            <w:tcW w:w="868" w:type="dxa"/>
            <w:vAlign w:val="center"/>
          </w:tcPr>
          <w:p w14:paraId="25C37B78" w14:textId="77777777" w:rsidR="00C4624A" w:rsidRPr="00252A6F" w:rsidRDefault="00C4624A" w:rsidP="00461AA0">
            <w:pPr>
              <w:jc w:val="right"/>
              <w:rPr>
                <w:rFonts w:eastAsia="Calibri"/>
                <w:noProof/>
                <w:sz w:val="20"/>
                <w:szCs w:val="20"/>
              </w:rPr>
            </w:pPr>
            <w:r w:rsidRPr="00252A6F">
              <w:rPr>
                <w:noProof/>
                <w:sz w:val="20"/>
              </w:rPr>
              <w:t>150,0</w:t>
            </w:r>
          </w:p>
        </w:tc>
        <w:tc>
          <w:tcPr>
            <w:tcW w:w="930" w:type="dxa"/>
            <w:vAlign w:val="center"/>
          </w:tcPr>
          <w:p w14:paraId="576472D3" w14:textId="77777777" w:rsidR="00C4624A" w:rsidRPr="00252A6F" w:rsidRDefault="00C4624A" w:rsidP="00461AA0">
            <w:pPr>
              <w:jc w:val="right"/>
              <w:rPr>
                <w:rFonts w:eastAsia="Calibri"/>
                <w:noProof/>
                <w:sz w:val="20"/>
                <w:szCs w:val="20"/>
              </w:rPr>
            </w:pPr>
            <w:r w:rsidRPr="00252A6F">
              <w:rPr>
                <w:noProof/>
                <w:sz w:val="20"/>
              </w:rPr>
              <w:t>150,0</w:t>
            </w:r>
          </w:p>
        </w:tc>
        <w:tc>
          <w:tcPr>
            <w:tcW w:w="996" w:type="dxa"/>
            <w:vAlign w:val="center"/>
          </w:tcPr>
          <w:p w14:paraId="4395E663" w14:textId="77777777" w:rsidR="00C4624A" w:rsidRPr="00252A6F" w:rsidRDefault="00C4624A" w:rsidP="00461AA0">
            <w:pPr>
              <w:jc w:val="right"/>
              <w:rPr>
                <w:rFonts w:eastAsia="Calibri"/>
                <w:noProof/>
                <w:sz w:val="20"/>
                <w:szCs w:val="20"/>
              </w:rPr>
            </w:pPr>
            <w:r w:rsidRPr="00252A6F">
              <w:rPr>
                <w:noProof/>
                <w:sz w:val="20"/>
              </w:rPr>
              <w:t>150,0</w:t>
            </w:r>
          </w:p>
        </w:tc>
        <w:tc>
          <w:tcPr>
            <w:tcW w:w="992" w:type="dxa"/>
            <w:vAlign w:val="center"/>
          </w:tcPr>
          <w:p w14:paraId="68B446B8" w14:textId="77777777" w:rsidR="00C4624A" w:rsidRPr="00252A6F" w:rsidRDefault="00C4624A" w:rsidP="00461AA0">
            <w:pPr>
              <w:jc w:val="right"/>
              <w:rPr>
                <w:rFonts w:eastAsia="Calibri"/>
                <w:noProof/>
                <w:sz w:val="20"/>
                <w:szCs w:val="20"/>
              </w:rPr>
            </w:pPr>
            <w:r w:rsidRPr="00252A6F">
              <w:rPr>
                <w:noProof/>
                <w:sz w:val="20"/>
              </w:rPr>
              <w:t>150,0</w:t>
            </w:r>
          </w:p>
        </w:tc>
        <w:tc>
          <w:tcPr>
            <w:tcW w:w="992" w:type="dxa"/>
            <w:vAlign w:val="center"/>
          </w:tcPr>
          <w:p w14:paraId="6709EA1E" w14:textId="77777777" w:rsidR="00C4624A" w:rsidRPr="00252A6F" w:rsidRDefault="00C4624A" w:rsidP="00461AA0">
            <w:pPr>
              <w:jc w:val="right"/>
              <w:rPr>
                <w:rFonts w:eastAsia="Calibri"/>
                <w:noProof/>
                <w:sz w:val="20"/>
                <w:szCs w:val="20"/>
              </w:rPr>
            </w:pPr>
            <w:r w:rsidRPr="00252A6F">
              <w:rPr>
                <w:noProof/>
                <w:sz w:val="20"/>
              </w:rPr>
              <w:t>150,0</w:t>
            </w:r>
          </w:p>
        </w:tc>
        <w:tc>
          <w:tcPr>
            <w:tcW w:w="2410" w:type="dxa"/>
            <w:vAlign w:val="center"/>
          </w:tcPr>
          <w:p w14:paraId="0267629C" w14:textId="77777777" w:rsidR="00C4624A" w:rsidRPr="00252A6F" w:rsidRDefault="00C4624A" w:rsidP="00461AA0">
            <w:pPr>
              <w:jc w:val="right"/>
              <w:rPr>
                <w:rFonts w:eastAsia="Calibri"/>
                <w:b/>
                <w:noProof/>
                <w:sz w:val="20"/>
                <w:szCs w:val="20"/>
              </w:rPr>
            </w:pPr>
            <w:r w:rsidRPr="00252A6F">
              <w:rPr>
                <w:b/>
                <w:noProof/>
                <w:sz w:val="20"/>
              </w:rPr>
              <w:t>750,0</w:t>
            </w:r>
          </w:p>
        </w:tc>
      </w:tr>
      <w:tr w:rsidR="00C4624A" w:rsidRPr="00252A6F" w14:paraId="2129A596" w14:textId="77777777" w:rsidTr="00461AA0">
        <w:trPr>
          <w:trHeight w:val="638"/>
        </w:trPr>
        <w:tc>
          <w:tcPr>
            <w:tcW w:w="14978" w:type="dxa"/>
            <w:gridSpan w:val="12"/>
            <w:vAlign w:val="center"/>
          </w:tcPr>
          <w:p w14:paraId="25DCC2CB" w14:textId="77777777" w:rsidR="00C4624A" w:rsidRPr="00252A6F" w:rsidRDefault="00C4624A" w:rsidP="00461AA0">
            <w:pPr>
              <w:rPr>
                <w:rFonts w:eastAsia="Times New Roman"/>
                <w:noProof/>
                <w:sz w:val="20"/>
                <w:szCs w:val="20"/>
              </w:rPr>
            </w:pPr>
            <w:r w:rsidRPr="00252A6F">
              <w:rPr>
                <w:noProof/>
                <w:sz w:val="20"/>
              </w:rPr>
              <w:t>□ Rezervacije za 1,586 milijarde EUR izplačil posojil EIB v okviru zunanjega mandata za posojila</w:t>
            </w:r>
          </w:p>
        </w:tc>
      </w:tr>
      <w:tr w:rsidR="00C4624A" w:rsidRPr="00252A6F" w14:paraId="354B2A8B" w14:textId="77777777" w:rsidTr="00252A6F">
        <w:trPr>
          <w:trHeight w:val="638"/>
        </w:trPr>
        <w:tc>
          <w:tcPr>
            <w:tcW w:w="3960" w:type="dxa"/>
            <w:vMerge w:val="restart"/>
            <w:vAlign w:val="center"/>
          </w:tcPr>
          <w:p w14:paraId="55C23C0A" w14:textId="77777777" w:rsidR="00C4624A" w:rsidRPr="00252A6F" w:rsidRDefault="00C4624A" w:rsidP="00461AA0">
            <w:pPr>
              <w:rPr>
                <w:rFonts w:eastAsia="Times New Roman"/>
                <w:noProof/>
                <w:sz w:val="18"/>
                <w:szCs w:val="18"/>
              </w:rPr>
            </w:pPr>
            <w:r w:rsidRPr="00252A6F">
              <w:rPr>
                <w:noProof/>
                <w:sz w:val="18"/>
              </w:rPr>
              <w:t xml:space="preserve">Proračunska vrstica </w:t>
            </w:r>
          </w:p>
          <w:p w14:paraId="17862F97" w14:textId="77777777" w:rsidR="00C4624A" w:rsidRPr="00252A6F" w:rsidRDefault="00C4624A" w:rsidP="00461AA0">
            <w:pPr>
              <w:rPr>
                <w:rFonts w:eastAsia="Times New Roman"/>
                <w:noProof/>
                <w:sz w:val="18"/>
                <w:szCs w:val="18"/>
              </w:rPr>
            </w:pPr>
            <w:r w:rsidRPr="00252A6F">
              <w:rPr>
                <w:noProof/>
                <w:sz w:val="18"/>
              </w:rPr>
              <w:t>14 02 01 70 . 05 „NDICI – Oblikovanje rezervacij za skupni sklad za rezervacije“ (oblikovanje rezervacij v višini 9 %)</w:t>
            </w:r>
          </w:p>
        </w:tc>
        <w:tc>
          <w:tcPr>
            <w:tcW w:w="1440" w:type="dxa"/>
            <w:gridSpan w:val="2"/>
            <w:vAlign w:val="center"/>
          </w:tcPr>
          <w:p w14:paraId="11DC732C" w14:textId="77777777" w:rsidR="00C4624A" w:rsidRPr="00252A6F" w:rsidRDefault="00C4624A" w:rsidP="00461AA0">
            <w:pPr>
              <w:rPr>
                <w:rFonts w:eastAsia="Calibri"/>
                <w:noProof/>
                <w:sz w:val="16"/>
                <w:szCs w:val="16"/>
              </w:rPr>
            </w:pPr>
            <w:r w:rsidRPr="00252A6F">
              <w:rPr>
                <w:noProof/>
                <w:sz w:val="16"/>
              </w:rPr>
              <w:t>obveznosti</w:t>
            </w:r>
          </w:p>
        </w:tc>
        <w:tc>
          <w:tcPr>
            <w:tcW w:w="772" w:type="dxa"/>
            <w:vAlign w:val="center"/>
          </w:tcPr>
          <w:p w14:paraId="513B251E" w14:textId="77777777" w:rsidR="00C4624A" w:rsidRPr="00252A6F" w:rsidRDefault="00C4624A" w:rsidP="00461AA0">
            <w:pPr>
              <w:jc w:val="center"/>
              <w:rPr>
                <w:rFonts w:eastAsia="Times New Roman"/>
                <w:noProof/>
                <w:sz w:val="16"/>
                <w:szCs w:val="16"/>
              </w:rPr>
            </w:pPr>
            <w:r w:rsidRPr="00252A6F">
              <w:rPr>
                <w:noProof/>
                <w:sz w:val="16"/>
              </w:rPr>
              <w:t>(a)</w:t>
            </w:r>
          </w:p>
        </w:tc>
        <w:tc>
          <w:tcPr>
            <w:tcW w:w="750" w:type="dxa"/>
          </w:tcPr>
          <w:p w14:paraId="650BCA56" w14:textId="77777777" w:rsidR="00C4624A" w:rsidRPr="00252A6F" w:rsidRDefault="00C4624A" w:rsidP="00461AA0">
            <w:pPr>
              <w:jc w:val="right"/>
              <w:rPr>
                <w:rFonts w:eastAsia="Calibri"/>
                <w:noProof/>
                <w:sz w:val="20"/>
                <w:szCs w:val="20"/>
              </w:rPr>
            </w:pPr>
          </w:p>
        </w:tc>
        <w:tc>
          <w:tcPr>
            <w:tcW w:w="868" w:type="dxa"/>
            <w:vAlign w:val="center"/>
          </w:tcPr>
          <w:p w14:paraId="105E284D" w14:textId="77777777" w:rsidR="00C4624A" w:rsidRPr="00252A6F" w:rsidRDefault="00C4624A" w:rsidP="00461AA0">
            <w:pPr>
              <w:jc w:val="right"/>
              <w:rPr>
                <w:rFonts w:eastAsia="Calibri"/>
                <w:noProof/>
                <w:sz w:val="20"/>
                <w:szCs w:val="20"/>
              </w:rPr>
            </w:pPr>
          </w:p>
        </w:tc>
        <w:tc>
          <w:tcPr>
            <w:tcW w:w="868" w:type="dxa"/>
            <w:vAlign w:val="center"/>
          </w:tcPr>
          <w:p w14:paraId="073CCA66" w14:textId="77777777" w:rsidR="00C4624A" w:rsidRPr="00252A6F" w:rsidRDefault="00C4624A" w:rsidP="00461AA0">
            <w:pPr>
              <w:jc w:val="right"/>
              <w:rPr>
                <w:rFonts w:eastAsia="Calibri"/>
                <w:noProof/>
                <w:sz w:val="20"/>
                <w:szCs w:val="20"/>
              </w:rPr>
            </w:pPr>
          </w:p>
        </w:tc>
        <w:tc>
          <w:tcPr>
            <w:tcW w:w="930" w:type="dxa"/>
            <w:vAlign w:val="center"/>
          </w:tcPr>
          <w:p w14:paraId="422D55EA" w14:textId="77777777" w:rsidR="00C4624A" w:rsidRPr="00252A6F" w:rsidRDefault="00C4624A" w:rsidP="00461AA0">
            <w:pPr>
              <w:jc w:val="right"/>
              <w:rPr>
                <w:rFonts w:eastAsia="Calibri"/>
                <w:noProof/>
                <w:sz w:val="20"/>
                <w:szCs w:val="20"/>
              </w:rPr>
            </w:pPr>
          </w:p>
        </w:tc>
        <w:tc>
          <w:tcPr>
            <w:tcW w:w="996" w:type="dxa"/>
            <w:vAlign w:val="center"/>
          </w:tcPr>
          <w:p w14:paraId="6045C7F3" w14:textId="77777777" w:rsidR="00C4624A" w:rsidRPr="00252A6F" w:rsidRDefault="00C4624A" w:rsidP="00461AA0">
            <w:pPr>
              <w:jc w:val="right"/>
              <w:rPr>
                <w:rFonts w:eastAsia="Calibri"/>
                <w:noProof/>
                <w:sz w:val="20"/>
                <w:szCs w:val="20"/>
              </w:rPr>
            </w:pPr>
            <w:r w:rsidRPr="00252A6F">
              <w:rPr>
                <w:noProof/>
                <w:sz w:val="20"/>
              </w:rPr>
              <w:t>47,58</w:t>
            </w:r>
          </w:p>
        </w:tc>
        <w:tc>
          <w:tcPr>
            <w:tcW w:w="992" w:type="dxa"/>
            <w:vAlign w:val="center"/>
          </w:tcPr>
          <w:p w14:paraId="70149C3A" w14:textId="77777777" w:rsidR="00C4624A" w:rsidRPr="00252A6F" w:rsidRDefault="00C4624A" w:rsidP="00461AA0">
            <w:pPr>
              <w:jc w:val="right"/>
              <w:rPr>
                <w:rFonts w:eastAsia="Calibri"/>
                <w:noProof/>
                <w:sz w:val="20"/>
                <w:szCs w:val="20"/>
              </w:rPr>
            </w:pPr>
            <w:r w:rsidRPr="00252A6F">
              <w:rPr>
                <w:noProof/>
                <w:sz w:val="20"/>
              </w:rPr>
              <w:t>47,58</w:t>
            </w:r>
          </w:p>
        </w:tc>
        <w:tc>
          <w:tcPr>
            <w:tcW w:w="992" w:type="dxa"/>
            <w:vAlign w:val="center"/>
          </w:tcPr>
          <w:p w14:paraId="61BA4CF0" w14:textId="77777777" w:rsidR="00C4624A" w:rsidRPr="00252A6F" w:rsidRDefault="00C4624A" w:rsidP="00461AA0">
            <w:pPr>
              <w:jc w:val="right"/>
              <w:rPr>
                <w:rFonts w:eastAsia="Calibri"/>
                <w:noProof/>
                <w:sz w:val="20"/>
                <w:szCs w:val="20"/>
              </w:rPr>
            </w:pPr>
            <w:r w:rsidRPr="00252A6F">
              <w:rPr>
                <w:noProof/>
                <w:sz w:val="20"/>
              </w:rPr>
              <w:t>47,58</w:t>
            </w:r>
          </w:p>
        </w:tc>
        <w:tc>
          <w:tcPr>
            <w:tcW w:w="2410" w:type="dxa"/>
            <w:vAlign w:val="center"/>
          </w:tcPr>
          <w:p w14:paraId="4326745F" w14:textId="77777777" w:rsidR="00C4624A" w:rsidRPr="00252A6F" w:rsidRDefault="00C4624A" w:rsidP="00461AA0">
            <w:pPr>
              <w:jc w:val="right"/>
              <w:rPr>
                <w:rFonts w:eastAsia="Calibri"/>
                <w:b/>
                <w:noProof/>
                <w:sz w:val="20"/>
                <w:szCs w:val="20"/>
              </w:rPr>
            </w:pPr>
            <w:r w:rsidRPr="00252A6F">
              <w:rPr>
                <w:b/>
                <w:noProof/>
                <w:sz w:val="20"/>
              </w:rPr>
              <w:t>142,74</w:t>
            </w:r>
          </w:p>
        </w:tc>
      </w:tr>
      <w:tr w:rsidR="00C4624A" w:rsidRPr="00252A6F" w14:paraId="5810E637" w14:textId="77777777" w:rsidTr="00252A6F">
        <w:trPr>
          <w:trHeight w:val="638"/>
        </w:trPr>
        <w:tc>
          <w:tcPr>
            <w:tcW w:w="3960" w:type="dxa"/>
            <w:vMerge/>
            <w:vAlign w:val="center"/>
          </w:tcPr>
          <w:p w14:paraId="1FABDBA8" w14:textId="77777777" w:rsidR="00C4624A" w:rsidRPr="00252A6F" w:rsidRDefault="00C4624A" w:rsidP="00461AA0">
            <w:pPr>
              <w:rPr>
                <w:noProof/>
              </w:rPr>
            </w:pPr>
          </w:p>
        </w:tc>
        <w:tc>
          <w:tcPr>
            <w:tcW w:w="1440" w:type="dxa"/>
            <w:gridSpan w:val="2"/>
            <w:vAlign w:val="center"/>
          </w:tcPr>
          <w:p w14:paraId="1F16889C" w14:textId="77777777" w:rsidR="00C4624A" w:rsidRPr="00252A6F" w:rsidRDefault="00C4624A" w:rsidP="00461AA0">
            <w:pPr>
              <w:rPr>
                <w:rFonts w:eastAsia="Calibri"/>
                <w:noProof/>
                <w:sz w:val="16"/>
                <w:szCs w:val="16"/>
              </w:rPr>
            </w:pPr>
            <w:r w:rsidRPr="00252A6F">
              <w:rPr>
                <w:noProof/>
                <w:sz w:val="16"/>
              </w:rPr>
              <w:t>plačila</w:t>
            </w:r>
          </w:p>
        </w:tc>
        <w:tc>
          <w:tcPr>
            <w:tcW w:w="772" w:type="dxa"/>
            <w:vAlign w:val="center"/>
          </w:tcPr>
          <w:p w14:paraId="3E839493" w14:textId="77777777" w:rsidR="00C4624A" w:rsidRPr="00252A6F" w:rsidRDefault="00C4624A" w:rsidP="00461AA0">
            <w:pPr>
              <w:jc w:val="center"/>
              <w:rPr>
                <w:rFonts w:eastAsia="Times New Roman"/>
                <w:noProof/>
                <w:sz w:val="16"/>
                <w:szCs w:val="16"/>
              </w:rPr>
            </w:pPr>
            <w:r w:rsidRPr="00252A6F">
              <w:rPr>
                <w:noProof/>
                <w:sz w:val="16"/>
              </w:rPr>
              <w:t>(b)</w:t>
            </w:r>
          </w:p>
        </w:tc>
        <w:tc>
          <w:tcPr>
            <w:tcW w:w="750" w:type="dxa"/>
          </w:tcPr>
          <w:p w14:paraId="58E7A551" w14:textId="77777777" w:rsidR="00C4624A" w:rsidRPr="00252A6F" w:rsidRDefault="00C4624A" w:rsidP="00461AA0">
            <w:pPr>
              <w:jc w:val="right"/>
              <w:rPr>
                <w:rFonts w:eastAsia="Calibri"/>
                <w:noProof/>
                <w:sz w:val="20"/>
                <w:szCs w:val="20"/>
              </w:rPr>
            </w:pPr>
          </w:p>
        </w:tc>
        <w:tc>
          <w:tcPr>
            <w:tcW w:w="868" w:type="dxa"/>
            <w:vAlign w:val="center"/>
          </w:tcPr>
          <w:p w14:paraId="49BDED11" w14:textId="77777777" w:rsidR="00C4624A" w:rsidRPr="00252A6F" w:rsidRDefault="00C4624A" w:rsidP="00461AA0">
            <w:pPr>
              <w:jc w:val="right"/>
              <w:rPr>
                <w:rFonts w:eastAsia="Calibri"/>
                <w:noProof/>
                <w:sz w:val="20"/>
                <w:szCs w:val="20"/>
              </w:rPr>
            </w:pPr>
          </w:p>
        </w:tc>
        <w:tc>
          <w:tcPr>
            <w:tcW w:w="868" w:type="dxa"/>
            <w:vAlign w:val="center"/>
          </w:tcPr>
          <w:p w14:paraId="163C7A72" w14:textId="77777777" w:rsidR="00C4624A" w:rsidRPr="00252A6F" w:rsidRDefault="00C4624A" w:rsidP="00461AA0">
            <w:pPr>
              <w:jc w:val="right"/>
              <w:rPr>
                <w:rFonts w:eastAsia="Calibri"/>
                <w:noProof/>
                <w:sz w:val="20"/>
                <w:szCs w:val="20"/>
              </w:rPr>
            </w:pPr>
          </w:p>
        </w:tc>
        <w:tc>
          <w:tcPr>
            <w:tcW w:w="930" w:type="dxa"/>
            <w:vAlign w:val="center"/>
          </w:tcPr>
          <w:p w14:paraId="29323604" w14:textId="77777777" w:rsidR="00C4624A" w:rsidRPr="00252A6F" w:rsidRDefault="00C4624A" w:rsidP="00461AA0">
            <w:pPr>
              <w:jc w:val="right"/>
              <w:rPr>
                <w:rFonts w:eastAsia="Calibri"/>
                <w:noProof/>
                <w:sz w:val="20"/>
                <w:szCs w:val="20"/>
              </w:rPr>
            </w:pPr>
          </w:p>
        </w:tc>
        <w:tc>
          <w:tcPr>
            <w:tcW w:w="996" w:type="dxa"/>
            <w:vAlign w:val="center"/>
          </w:tcPr>
          <w:p w14:paraId="064EFFB0" w14:textId="77777777" w:rsidR="00C4624A" w:rsidRPr="00252A6F" w:rsidRDefault="00C4624A" w:rsidP="00461AA0">
            <w:pPr>
              <w:jc w:val="right"/>
              <w:rPr>
                <w:rFonts w:eastAsia="Calibri"/>
                <w:noProof/>
                <w:sz w:val="20"/>
                <w:szCs w:val="20"/>
              </w:rPr>
            </w:pPr>
            <w:r w:rsidRPr="00252A6F">
              <w:rPr>
                <w:noProof/>
                <w:sz w:val="20"/>
              </w:rPr>
              <w:t>47,58</w:t>
            </w:r>
          </w:p>
        </w:tc>
        <w:tc>
          <w:tcPr>
            <w:tcW w:w="992" w:type="dxa"/>
            <w:vAlign w:val="center"/>
          </w:tcPr>
          <w:p w14:paraId="1FB3BA50" w14:textId="77777777" w:rsidR="00C4624A" w:rsidRPr="00252A6F" w:rsidRDefault="00C4624A" w:rsidP="00461AA0">
            <w:pPr>
              <w:jc w:val="right"/>
              <w:rPr>
                <w:rFonts w:eastAsia="Calibri"/>
                <w:noProof/>
                <w:sz w:val="20"/>
                <w:szCs w:val="20"/>
              </w:rPr>
            </w:pPr>
            <w:r w:rsidRPr="00252A6F">
              <w:rPr>
                <w:noProof/>
                <w:sz w:val="20"/>
              </w:rPr>
              <w:t>47,58</w:t>
            </w:r>
          </w:p>
        </w:tc>
        <w:tc>
          <w:tcPr>
            <w:tcW w:w="992" w:type="dxa"/>
            <w:vAlign w:val="center"/>
          </w:tcPr>
          <w:p w14:paraId="4CFF4B74" w14:textId="77777777" w:rsidR="00C4624A" w:rsidRPr="00252A6F" w:rsidRDefault="00C4624A" w:rsidP="00461AA0">
            <w:pPr>
              <w:jc w:val="right"/>
              <w:rPr>
                <w:rFonts w:eastAsia="Calibri"/>
                <w:noProof/>
                <w:sz w:val="20"/>
                <w:szCs w:val="20"/>
              </w:rPr>
            </w:pPr>
            <w:r w:rsidRPr="00252A6F">
              <w:rPr>
                <w:noProof/>
                <w:sz w:val="20"/>
              </w:rPr>
              <w:t>47,58</w:t>
            </w:r>
          </w:p>
        </w:tc>
        <w:tc>
          <w:tcPr>
            <w:tcW w:w="2410" w:type="dxa"/>
            <w:vAlign w:val="center"/>
          </w:tcPr>
          <w:p w14:paraId="78FE8A69" w14:textId="77777777" w:rsidR="00C4624A" w:rsidRPr="00252A6F" w:rsidRDefault="00C4624A" w:rsidP="00461AA0">
            <w:pPr>
              <w:jc w:val="right"/>
              <w:rPr>
                <w:rFonts w:eastAsia="Calibri"/>
                <w:b/>
                <w:noProof/>
                <w:sz w:val="20"/>
                <w:szCs w:val="20"/>
              </w:rPr>
            </w:pPr>
            <w:r w:rsidRPr="00252A6F">
              <w:rPr>
                <w:b/>
                <w:noProof/>
                <w:sz w:val="20"/>
              </w:rPr>
              <w:t>142,74</w:t>
            </w:r>
          </w:p>
        </w:tc>
      </w:tr>
      <w:tr w:rsidR="00C4624A" w:rsidRPr="00252A6F" w14:paraId="424E0A44" w14:textId="77777777" w:rsidTr="00252A6F">
        <w:trPr>
          <w:trHeight w:val="638"/>
        </w:trPr>
        <w:tc>
          <w:tcPr>
            <w:tcW w:w="3960" w:type="dxa"/>
            <w:vMerge w:val="restart"/>
            <w:vAlign w:val="center"/>
          </w:tcPr>
          <w:p w14:paraId="1B5CA06D" w14:textId="77777777" w:rsidR="00C4624A" w:rsidRPr="00252A6F" w:rsidRDefault="00C4624A" w:rsidP="00461AA0">
            <w:pPr>
              <w:rPr>
                <w:rFonts w:eastAsia="Times New Roman"/>
                <w:noProof/>
                <w:sz w:val="18"/>
                <w:szCs w:val="18"/>
              </w:rPr>
            </w:pPr>
            <w:r w:rsidRPr="00252A6F">
              <w:rPr>
                <w:noProof/>
                <w:sz w:val="18"/>
              </w:rPr>
              <w:t>Proračunska vrstica</w:t>
            </w:r>
          </w:p>
          <w:p w14:paraId="4B834446" w14:textId="77777777" w:rsidR="00C4624A" w:rsidRPr="00252A6F" w:rsidRDefault="00C4624A" w:rsidP="00461AA0">
            <w:pPr>
              <w:rPr>
                <w:rFonts w:eastAsia="Calibri"/>
                <w:noProof/>
                <w:szCs w:val="24"/>
              </w:rPr>
            </w:pPr>
            <w:r w:rsidRPr="00252A6F">
              <w:rPr>
                <w:noProof/>
                <w:sz w:val="18"/>
              </w:rPr>
              <w:t>14 02 01 70 . 05 „NDICI – Oblikovanje rezervacij za skupni sklad za rezervacije“</w:t>
            </w:r>
            <w:r w:rsidRPr="00252A6F">
              <w:rPr>
                <w:rStyle w:val="FootnoteReference"/>
                <w:noProof/>
                <w:sz w:val="20"/>
              </w:rPr>
              <w:t xml:space="preserve"> </w:t>
            </w:r>
            <w:r w:rsidRPr="00252A6F">
              <w:rPr>
                <w:rStyle w:val="FootnoteReference"/>
                <w:noProof/>
                <w:sz w:val="20"/>
                <w:szCs w:val="20"/>
              </w:rPr>
              <w:footnoteReference w:id="37"/>
            </w:r>
            <w:r w:rsidRPr="00252A6F">
              <w:rPr>
                <w:noProof/>
                <w:sz w:val="20"/>
              </w:rPr>
              <w:t xml:space="preserve"> (oblikovanje rezervacij </w:t>
            </w:r>
            <w:r w:rsidRPr="00252A6F">
              <w:rPr>
                <w:noProof/>
                <w:sz w:val="18"/>
              </w:rPr>
              <w:t>v višini 61 %)</w:t>
            </w:r>
          </w:p>
        </w:tc>
        <w:tc>
          <w:tcPr>
            <w:tcW w:w="1440" w:type="dxa"/>
            <w:gridSpan w:val="2"/>
            <w:vAlign w:val="center"/>
          </w:tcPr>
          <w:p w14:paraId="05DF00A2" w14:textId="77777777" w:rsidR="00C4624A" w:rsidRPr="00252A6F" w:rsidRDefault="00C4624A" w:rsidP="00461AA0">
            <w:pPr>
              <w:rPr>
                <w:rFonts w:eastAsia="Calibri"/>
                <w:noProof/>
                <w:sz w:val="16"/>
                <w:szCs w:val="16"/>
              </w:rPr>
            </w:pPr>
            <w:r w:rsidRPr="00252A6F">
              <w:rPr>
                <w:noProof/>
                <w:sz w:val="16"/>
              </w:rPr>
              <w:t>obveznosti</w:t>
            </w:r>
          </w:p>
        </w:tc>
        <w:tc>
          <w:tcPr>
            <w:tcW w:w="772" w:type="dxa"/>
            <w:vAlign w:val="center"/>
          </w:tcPr>
          <w:p w14:paraId="5727FA1A" w14:textId="77777777" w:rsidR="00C4624A" w:rsidRPr="00252A6F" w:rsidRDefault="00C4624A" w:rsidP="00461AA0">
            <w:pPr>
              <w:jc w:val="center"/>
              <w:rPr>
                <w:rFonts w:eastAsia="Times New Roman"/>
                <w:noProof/>
                <w:sz w:val="16"/>
                <w:szCs w:val="16"/>
              </w:rPr>
            </w:pPr>
            <w:r w:rsidRPr="00252A6F">
              <w:rPr>
                <w:noProof/>
                <w:sz w:val="16"/>
              </w:rPr>
              <w:t>(a)</w:t>
            </w:r>
          </w:p>
        </w:tc>
        <w:tc>
          <w:tcPr>
            <w:tcW w:w="750" w:type="dxa"/>
          </w:tcPr>
          <w:p w14:paraId="33B29A94" w14:textId="77777777" w:rsidR="00C4624A" w:rsidRPr="00252A6F" w:rsidRDefault="00C4624A" w:rsidP="00461AA0">
            <w:pPr>
              <w:jc w:val="right"/>
              <w:rPr>
                <w:rFonts w:eastAsia="Calibri"/>
                <w:noProof/>
                <w:sz w:val="20"/>
                <w:szCs w:val="20"/>
              </w:rPr>
            </w:pPr>
          </w:p>
        </w:tc>
        <w:tc>
          <w:tcPr>
            <w:tcW w:w="868" w:type="dxa"/>
            <w:vAlign w:val="center"/>
          </w:tcPr>
          <w:p w14:paraId="65E0DF27" w14:textId="77777777" w:rsidR="00C4624A" w:rsidRPr="00252A6F" w:rsidRDefault="00C4624A" w:rsidP="00461AA0">
            <w:pPr>
              <w:jc w:val="right"/>
              <w:rPr>
                <w:rFonts w:eastAsia="Calibri"/>
                <w:noProof/>
                <w:sz w:val="20"/>
                <w:szCs w:val="20"/>
              </w:rPr>
            </w:pPr>
          </w:p>
        </w:tc>
        <w:tc>
          <w:tcPr>
            <w:tcW w:w="868" w:type="dxa"/>
            <w:vAlign w:val="center"/>
          </w:tcPr>
          <w:p w14:paraId="7EDDCEA1" w14:textId="77777777" w:rsidR="00C4624A" w:rsidRPr="00252A6F" w:rsidRDefault="00C4624A" w:rsidP="00461AA0">
            <w:pPr>
              <w:jc w:val="right"/>
              <w:rPr>
                <w:rFonts w:eastAsia="Calibri"/>
                <w:noProof/>
                <w:sz w:val="20"/>
                <w:szCs w:val="20"/>
              </w:rPr>
            </w:pPr>
          </w:p>
        </w:tc>
        <w:tc>
          <w:tcPr>
            <w:tcW w:w="930" w:type="dxa"/>
            <w:vAlign w:val="center"/>
          </w:tcPr>
          <w:p w14:paraId="1E4CF32C" w14:textId="77777777" w:rsidR="00C4624A" w:rsidRPr="00252A6F" w:rsidRDefault="00C4624A" w:rsidP="00461AA0">
            <w:pPr>
              <w:jc w:val="right"/>
              <w:rPr>
                <w:rFonts w:eastAsia="Calibri"/>
                <w:noProof/>
                <w:sz w:val="20"/>
                <w:szCs w:val="20"/>
              </w:rPr>
            </w:pPr>
          </w:p>
        </w:tc>
        <w:tc>
          <w:tcPr>
            <w:tcW w:w="996" w:type="dxa"/>
            <w:vAlign w:val="center"/>
          </w:tcPr>
          <w:p w14:paraId="09199C0E" w14:textId="77777777" w:rsidR="00C4624A" w:rsidRPr="00252A6F" w:rsidRDefault="00C4624A" w:rsidP="00461AA0">
            <w:pPr>
              <w:jc w:val="right"/>
              <w:rPr>
                <w:rFonts w:eastAsia="Calibri"/>
                <w:noProof/>
                <w:sz w:val="20"/>
                <w:szCs w:val="20"/>
              </w:rPr>
            </w:pPr>
            <w:r w:rsidRPr="00252A6F">
              <w:rPr>
                <w:noProof/>
                <w:sz w:val="20"/>
              </w:rPr>
              <w:t>322,48</w:t>
            </w:r>
          </w:p>
        </w:tc>
        <w:tc>
          <w:tcPr>
            <w:tcW w:w="992" w:type="dxa"/>
            <w:vAlign w:val="center"/>
          </w:tcPr>
          <w:p w14:paraId="368479FC" w14:textId="77777777" w:rsidR="00C4624A" w:rsidRPr="00252A6F" w:rsidRDefault="00C4624A" w:rsidP="00461AA0">
            <w:pPr>
              <w:jc w:val="right"/>
              <w:rPr>
                <w:rFonts w:eastAsia="Calibri"/>
                <w:noProof/>
                <w:sz w:val="20"/>
                <w:szCs w:val="20"/>
              </w:rPr>
            </w:pPr>
            <w:r w:rsidRPr="00252A6F">
              <w:rPr>
                <w:noProof/>
                <w:sz w:val="20"/>
              </w:rPr>
              <w:t>322,48</w:t>
            </w:r>
          </w:p>
        </w:tc>
        <w:tc>
          <w:tcPr>
            <w:tcW w:w="992" w:type="dxa"/>
            <w:vAlign w:val="center"/>
          </w:tcPr>
          <w:p w14:paraId="13489B88" w14:textId="77777777" w:rsidR="00C4624A" w:rsidRPr="00252A6F" w:rsidRDefault="00C4624A" w:rsidP="00461AA0">
            <w:pPr>
              <w:jc w:val="right"/>
              <w:rPr>
                <w:rFonts w:eastAsia="Calibri"/>
                <w:noProof/>
                <w:sz w:val="20"/>
                <w:szCs w:val="20"/>
              </w:rPr>
            </w:pPr>
            <w:r w:rsidRPr="00252A6F">
              <w:rPr>
                <w:noProof/>
                <w:sz w:val="20"/>
              </w:rPr>
              <w:t>322,48</w:t>
            </w:r>
          </w:p>
        </w:tc>
        <w:tc>
          <w:tcPr>
            <w:tcW w:w="2410" w:type="dxa"/>
            <w:vAlign w:val="center"/>
          </w:tcPr>
          <w:p w14:paraId="638361DB" w14:textId="77777777" w:rsidR="00C4624A" w:rsidRPr="00252A6F" w:rsidRDefault="00C4624A" w:rsidP="00461AA0">
            <w:pPr>
              <w:jc w:val="right"/>
              <w:rPr>
                <w:rFonts w:eastAsia="Calibri"/>
                <w:b/>
                <w:bCs/>
                <w:noProof/>
                <w:sz w:val="20"/>
                <w:szCs w:val="20"/>
              </w:rPr>
            </w:pPr>
            <w:r w:rsidRPr="00252A6F">
              <w:rPr>
                <w:b/>
                <w:noProof/>
                <w:sz w:val="20"/>
              </w:rPr>
              <w:t>967,46</w:t>
            </w:r>
          </w:p>
        </w:tc>
      </w:tr>
      <w:tr w:rsidR="00C4624A" w:rsidRPr="00252A6F" w14:paraId="264A5336" w14:textId="77777777" w:rsidTr="00252A6F">
        <w:trPr>
          <w:trHeight w:val="638"/>
        </w:trPr>
        <w:tc>
          <w:tcPr>
            <w:tcW w:w="3960" w:type="dxa"/>
            <w:vMerge/>
            <w:vAlign w:val="center"/>
          </w:tcPr>
          <w:p w14:paraId="46ECA845" w14:textId="77777777" w:rsidR="00C4624A" w:rsidRPr="00252A6F" w:rsidRDefault="00C4624A" w:rsidP="00461AA0">
            <w:pPr>
              <w:rPr>
                <w:noProof/>
              </w:rPr>
            </w:pPr>
          </w:p>
        </w:tc>
        <w:tc>
          <w:tcPr>
            <w:tcW w:w="1440" w:type="dxa"/>
            <w:gridSpan w:val="2"/>
            <w:vAlign w:val="center"/>
          </w:tcPr>
          <w:p w14:paraId="0000498B" w14:textId="77777777" w:rsidR="00C4624A" w:rsidRPr="00252A6F" w:rsidRDefault="00C4624A" w:rsidP="00461AA0">
            <w:pPr>
              <w:rPr>
                <w:rFonts w:eastAsia="Calibri"/>
                <w:noProof/>
                <w:sz w:val="16"/>
                <w:szCs w:val="16"/>
              </w:rPr>
            </w:pPr>
            <w:r w:rsidRPr="00252A6F">
              <w:rPr>
                <w:noProof/>
                <w:sz w:val="16"/>
              </w:rPr>
              <w:t>plačila</w:t>
            </w:r>
          </w:p>
        </w:tc>
        <w:tc>
          <w:tcPr>
            <w:tcW w:w="772" w:type="dxa"/>
            <w:vAlign w:val="center"/>
          </w:tcPr>
          <w:p w14:paraId="2612113F" w14:textId="77777777" w:rsidR="00C4624A" w:rsidRPr="00252A6F" w:rsidRDefault="00C4624A" w:rsidP="00461AA0">
            <w:pPr>
              <w:jc w:val="center"/>
              <w:rPr>
                <w:rFonts w:eastAsia="Times New Roman"/>
                <w:noProof/>
                <w:sz w:val="16"/>
                <w:szCs w:val="16"/>
              </w:rPr>
            </w:pPr>
            <w:r w:rsidRPr="00252A6F">
              <w:rPr>
                <w:noProof/>
                <w:sz w:val="16"/>
              </w:rPr>
              <w:t>(b)</w:t>
            </w:r>
          </w:p>
        </w:tc>
        <w:tc>
          <w:tcPr>
            <w:tcW w:w="750" w:type="dxa"/>
          </w:tcPr>
          <w:p w14:paraId="1E2C56C3" w14:textId="77777777" w:rsidR="00C4624A" w:rsidRPr="00252A6F" w:rsidRDefault="00C4624A" w:rsidP="00461AA0">
            <w:pPr>
              <w:jc w:val="right"/>
              <w:rPr>
                <w:rFonts w:eastAsia="Calibri"/>
                <w:noProof/>
                <w:sz w:val="20"/>
                <w:szCs w:val="20"/>
              </w:rPr>
            </w:pPr>
          </w:p>
        </w:tc>
        <w:tc>
          <w:tcPr>
            <w:tcW w:w="868" w:type="dxa"/>
            <w:vAlign w:val="center"/>
          </w:tcPr>
          <w:p w14:paraId="260932EF" w14:textId="77777777" w:rsidR="00C4624A" w:rsidRPr="00252A6F" w:rsidRDefault="00C4624A" w:rsidP="00461AA0">
            <w:pPr>
              <w:jc w:val="right"/>
              <w:rPr>
                <w:rFonts w:eastAsia="Calibri"/>
                <w:noProof/>
                <w:sz w:val="20"/>
                <w:szCs w:val="20"/>
              </w:rPr>
            </w:pPr>
          </w:p>
        </w:tc>
        <w:tc>
          <w:tcPr>
            <w:tcW w:w="868" w:type="dxa"/>
            <w:vAlign w:val="center"/>
          </w:tcPr>
          <w:p w14:paraId="49F3C83A" w14:textId="77777777" w:rsidR="00C4624A" w:rsidRPr="00252A6F" w:rsidRDefault="00C4624A" w:rsidP="00461AA0">
            <w:pPr>
              <w:jc w:val="right"/>
              <w:rPr>
                <w:rFonts w:eastAsia="Calibri"/>
                <w:noProof/>
                <w:sz w:val="20"/>
                <w:szCs w:val="20"/>
              </w:rPr>
            </w:pPr>
          </w:p>
        </w:tc>
        <w:tc>
          <w:tcPr>
            <w:tcW w:w="930" w:type="dxa"/>
            <w:vAlign w:val="center"/>
          </w:tcPr>
          <w:p w14:paraId="285524E6" w14:textId="77777777" w:rsidR="00C4624A" w:rsidRPr="00252A6F" w:rsidRDefault="00C4624A" w:rsidP="00461AA0">
            <w:pPr>
              <w:jc w:val="right"/>
              <w:rPr>
                <w:rFonts w:eastAsia="Calibri"/>
                <w:noProof/>
                <w:sz w:val="20"/>
                <w:szCs w:val="20"/>
              </w:rPr>
            </w:pPr>
          </w:p>
        </w:tc>
        <w:tc>
          <w:tcPr>
            <w:tcW w:w="996" w:type="dxa"/>
            <w:vAlign w:val="center"/>
          </w:tcPr>
          <w:p w14:paraId="65755E80" w14:textId="77777777" w:rsidR="00C4624A" w:rsidRPr="00252A6F" w:rsidRDefault="00C4624A" w:rsidP="00461AA0">
            <w:pPr>
              <w:jc w:val="right"/>
              <w:rPr>
                <w:rFonts w:eastAsia="Calibri"/>
                <w:noProof/>
                <w:sz w:val="20"/>
                <w:szCs w:val="20"/>
              </w:rPr>
            </w:pPr>
            <w:r w:rsidRPr="00252A6F">
              <w:rPr>
                <w:noProof/>
                <w:sz w:val="20"/>
              </w:rPr>
              <w:t>322,48</w:t>
            </w:r>
          </w:p>
        </w:tc>
        <w:tc>
          <w:tcPr>
            <w:tcW w:w="992" w:type="dxa"/>
            <w:vAlign w:val="center"/>
          </w:tcPr>
          <w:p w14:paraId="62B73142" w14:textId="77777777" w:rsidR="00C4624A" w:rsidRPr="00252A6F" w:rsidRDefault="00C4624A" w:rsidP="00461AA0">
            <w:pPr>
              <w:jc w:val="right"/>
              <w:rPr>
                <w:rFonts w:eastAsia="Calibri"/>
                <w:noProof/>
                <w:sz w:val="20"/>
                <w:szCs w:val="20"/>
              </w:rPr>
            </w:pPr>
            <w:r w:rsidRPr="00252A6F">
              <w:rPr>
                <w:noProof/>
                <w:sz w:val="20"/>
              </w:rPr>
              <w:t>322,48</w:t>
            </w:r>
          </w:p>
        </w:tc>
        <w:tc>
          <w:tcPr>
            <w:tcW w:w="992" w:type="dxa"/>
            <w:vAlign w:val="center"/>
          </w:tcPr>
          <w:p w14:paraId="28E9AC3C" w14:textId="77777777" w:rsidR="00C4624A" w:rsidRPr="00252A6F" w:rsidRDefault="00C4624A" w:rsidP="00461AA0">
            <w:pPr>
              <w:jc w:val="right"/>
              <w:rPr>
                <w:rFonts w:eastAsia="Calibri"/>
                <w:noProof/>
                <w:sz w:val="20"/>
                <w:szCs w:val="20"/>
              </w:rPr>
            </w:pPr>
            <w:r w:rsidRPr="00252A6F">
              <w:rPr>
                <w:noProof/>
                <w:sz w:val="20"/>
              </w:rPr>
              <w:t>322,48</w:t>
            </w:r>
          </w:p>
        </w:tc>
        <w:tc>
          <w:tcPr>
            <w:tcW w:w="2410" w:type="dxa"/>
            <w:vAlign w:val="center"/>
          </w:tcPr>
          <w:p w14:paraId="27814BEC" w14:textId="77777777" w:rsidR="00C4624A" w:rsidRPr="00252A6F" w:rsidRDefault="00C4624A" w:rsidP="00461AA0">
            <w:pPr>
              <w:jc w:val="right"/>
              <w:rPr>
                <w:rFonts w:eastAsia="Calibri"/>
                <w:b/>
                <w:bCs/>
                <w:noProof/>
                <w:sz w:val="20"/>
                <w:szCs w:val="20"/>
              </w:rPr>
            </w:pPr>
            <w:r w:rsidRPr="00252A6F">
              <w:rPr>
                <w:b/>
                <w:noProof/>
                <w:sz w:val="20"/>
              </w:rPr>
              <w:t>967,46</w:t>
            </w:r>
          </w:p>
        </w:tc>
      </w:tr>
      <w:tr w:rsidR="00C4624A" w:rsidRPr="00252A6F" w14:paraId="53F1B1A3" w14:textId="77777777" w:rsidTr="00252A6F">
        <w:trPr>
          <w:trHeight w:val="638"/>
        </w:trPr>
        <w:tc>
          <w:tcPr>
            <w:tcW w:w="3960" w:type="dxa"/>
            <w:vMerge w:val="restart"/>
            <w:vAlign w:val="center"/>
          </w:tcPr>
          <w:p w14:paraId="0C66F41F" w14:textId="77777777" w:rsidR="00C4624A" w:rsidRPr="00252A6F" w:rsidRDefault="00C4624A" w:rsidP="00461AA0">
            <w:pPr>
              <w:jc w:val="center"/>
              <w:rPr>
                <w:b/>
                <w:bCs/>
                <w:noProof/>
              </w:rPr>
            </w:pPr>
            <w:r w:rsidRPr="00252A6F">
              <w:rPr>
                <w:b/>
                <w:noProof/>
                <w:sz w:val="22"/>
              </w:rPr>
              <w:t>Odobritve za GD NEAR SKUPAJ</w:t>
            </w:r>
          </w:p>
          <w:p w14:paraId="64AFF0E6" w14:textId="77777777" w:rsidR="00C4624A" w:rsidRPr="00252A6F" w:rsidRDefault="00C4624A" w:rsidP="00461AA0">
            <w:pPr>
              <w:rPr>
                <w:rFonts w:eastAsia="Calibri"/>
                <w:b/>
                <w:bCs/>
                <w:noProof/>
                <w:szCs w:val="24"/>
              </w:rPr>
            </w:pPr>
          </w:p>
        </w:tc>
        <w:tc>
          <w:tcPr>
            <w:tcW w:w="1440" w:type="dxa"/>
            <w:gridSpan w:val="2"/>
            <w:vAlign w:val="center"/>
          </w:tcPr>
          <w:p w14:paraId="4CB984C4" w14:textId="77777777" w:rsidR="00C4624A" w:rsidRPr="00252A6F" w:rsidRDefault="00C4624A" w:rsidP="00461AA0">
            <w:pPr>
              <w:rPr>
                <w:rFonts w:eastAsia="Times New Roman"/>
                <w:noProof/>
                <w:sz w:val="16"/>
                <w:szCs w:val="16"/>
              </w:rPr>
            </w:pPr>
            <w:r w:rsidRPr="00252A6F">
              <w:rPr>
                <w:noProof/>
                <w:sz w:val="16"/>
              </w:rPr>
              <w:t>obveznosti</w:t>
            </w:r>
          </w:p>
        </w:tc>
        <w:tc>
          <w:tcPr>
            <w:tcW w:w="772" w:type="dxa"/>
            <w:vAlign w:val="center"/>
          </w:tcPr>
          <w:p w14:paraId="04272B8C" w14:textId="77777777" w:rsidR="00C4624A" w:rsidRPr="00252A6F" w:rsidRDefault="00C4624A" w:rsidP="00461AA0">
            <w:pPr>
              <w:jc w:val="center"/>
              <w:rPr>
                <w:rFonts w:eastAsia="Times New Roman"/>
                <w:noProof/>
                <w:sz w:val="16"/>
                <w:szCs w:val="16"/>
              </w:rPr>
            </w:pPr>
            <w:r w:rsidRPr="00252A6F">
              <w:rPr>
                <w:noProof/>
                <w:sz w:val="16"/>
              </w:rPr>
              <w:t>Skupaj (a)</w:t>
            </w:r>
          </w:p>
        </w:tc>
        <w:tc>
          <w:tcPr>
            <w:tcW w:w="750" w:type="dxa"/>
          </w:tcPr>
          <w:p w14:paraId="6DBE5341" w14:textId="77777777" w:rsidR="00C4624A" w:rsidRPr="00252A6F" w:rsidRDefault="00C4624A" w:rsidP="00461AA0">
            <w:pPr>
              <w:jc w:val="right"/>
              <w:rPr>
                <w:rFonts w:eastAsia="Times New Roman"/>
                <w:noProof/>
                <w:sz w:val="20"/>
                <w:szCs w:val="20"/>
              </w:rPr>
            </w:pPr>
          </w:p>
        </w:tc>
        <w:tc>
          <w:tcPr>
            <w:tcW w:w="868" w:type="dxa"/>
            <w:vAlign w:val="center"/>
          </w:tcPr>
          <w:p w14:paraId="398CC3B3" w14:textId="77777777" w:rsidR="00C4624A" w:rsidRPr="00252A6F" w:rsidRDefault="00C4624A" w:rsidP="00461AA0">
            <w:pPr>
              <w:jc w:val="right"/>
              <w:rPr>
                <w:rFonts w:eastAsia="Times New Roman"/>
                <w:noProof/>
                <w:sz w:val="20"/>
                <w:szCs w:val="20"/>
              </w:rPr>
            </w:pPr>
          </w:p>
        </w:tc>
        <w:tc>
          <w:tcPr>
            <w:tcW w:w="868" w:type="dxa"/>
            <w:vAlign w:val="center"/>
          </w:tcPr>
          <w:p w14:paraId="683C70D5" w14:textId="77777777" w:rsidR="00C4624A" w:rsidRPr="00252A6F" w:rsidRDefault="00C4624A" w:rsidP="00461AA0">
            <w:pPr>
              <w:jc w:val="right"/>
              <w:rPr>
                <w:rFonts w:eastAsia="Times New Roman"/>
                <w:b/>
                <w:bCs/>
                <w:noProof/>
                <w:sz w:val="20"/>
                <w:szCs w:val="20"/>
              </w:rPr>
            </w:pPr>
            <w:r w:rsidRPr="00252A6F">
              <w:rPr>
                <w:b/>
                <w:noProof/>
                <w:sz w:val="20"/>
              </w:rPr>
              <w:t>170,0</w:t>
            </w:r>
          </w:p>
        </w:tc>
        <w:tc>
          <w:tcPr>
            <w:tcW w:w="930" w:type="dxa"/>
            <w:vAlign w:val="center"/>
          </w:tcPr>
          <w:p w14:paraId="71C18E2B" w14:textId="77777777" w:rsidR="00C4624A" w:rsidRPr="00252A6F" w:rsidRDefault="00C4624A" w:rsidP="00461AA0">
            <w:pPr>
              <w:jc w:val="right"/>
              <w:rPr>
                <w:rFonts w:eastAsia="Times New Roman"/>
                <w:b/>
                <w:bCs/>
                <w:noProof/>
                <w:sz w:val="20"/>
                <w:szCs w:val="20"/>
              </w:rPr>
            </w:pPr>
            <w:r w:rsidRPr="00252A6F">
              <w:rPr>
                <w:b/>
                <w:noProof/>
                <w:sz w:val="20"/>
              </w:rPr>
              <w:t>170,0</w:t>
            </w:r>
          </w:p>
        </w:tc>
        <w:tc>
          <w:tcPr>
            <w:tcW w:w="996" w:type="dxa"/>
            <w:vAlign w:val="center"/>
          </w:tcPr>
          <w:p w14:paraId="2977EBF4" w14:textId="77777777" w:rsidR="00C4624A" w:rsidRPr="00252A6F" w:rsidRDefault="00C4624A" w:rsidP="00461AA0">
            <w:pPr>
              <w:jc w:val="right"/>
              <w:rPr>
                <w:rFonts w:eastAsia="Times New Roman"/>
                <w:b/>
                <w:bCs/>
                <w:noProof/>
                <w:sz w:val="20"/>
                <w:szCs w:val="20"/>
              </w:rPr>
            </w:pPr>
            <w:r w:rsidRPr="00252A6F">
              <w:rPr>
                <w:b/>
                <w:noProof/>
                <w:sz w:val="20"/>
              </w:rPr>
              <w:t>540,06</w:t>
            </w:r>
          </w:p>
        </w:tc>
        <w:tc>
          <w:tcPr>
            <w:tcW w:w="992" w:type="dxa"/>
            <w:vAlign w:val="center"/>
          </w:tcPr>
          <w:p w14:paraId="78A3AB81" w14:textId="77777777" w:rsidR="00C4624A" w:rsidRPr="00252A6F" w:rsidRDefault="00C4624A" w:rsidP="00461AA0">
            <w:pPr>
              <w:jc w:val="right"/>
              <w:rPr>
                <w:rFonts w:eastAsia="Times New Roman"/>
                <w:b/>
                <w:bCs/>
                <w:noProof/>
                <w:sz w:val="20"/>
                <w:szCs w:val="20"/>
              </w:rPr>
            </w:pPr>
            <w:r w:rsidRPr="00252A6F">
              <w:rPr>
                <w:b/>
                <w:noProof/>
                <w:sz w:val="20"/>
              </w:rPr>
              <w:t>540,06</w:t>
            </w:r>
          </w:p>
        </w:tc>
        <w:tc>
          <w:tcPr>
            <w:tcW w:w="992" w:type="dxa"/>
            <w:vAlign w:val="center"/>
          </w:tcPr>
          <w:p w14:paraId="39F77916" w14:textId="77777777" w:rsidR="00C4624A" w:rsidRPr="00252A6F" w:rsidRDefault="00C4624A" w:rsidP="00461AA0">
            <w:pPr>
              <w:jc w:val="right"/>
              <w:rPr>
                <w:rFonts w:eastAsia="Times New Roman"/>
                <w:b/>
                <w:bCs/>
                <w:noProof/>
                <w:sz w:val="20"/>
                <w:szCs w:val="20"/>
              </w:rPr>
            </w:pPr>
            <w:r w:rsidRPr="00252A6F">
              <w:rPr>
                <w:b/>
                <w:noProof/>
                <w:sz w:val="20"/>
              </w:rPr>
              <w:t>540,06</w:t>
            </w:r>
          </w:p>
        </w:tc>
        <w:tc>
          <w:tcPr>
            <w:tcW w:w="2410" w:type="dxa"/>
            <w:vAlign w:val="center"/>
          </w:tcPr>
          <w:p w14:paraId="65ED1955" w14:textId="77777777" w:rsidR="00C4624A" w:rsidRPr="00252A6F" w:rsidRDefault="00C4624A" w:rsidP="00461AA0">
            <w:pPr>
              <w:jc w:val="right"/>
              <w:rPr>
                <w:rFonts w:eastAsia="Times New Roman"/>
                <w:b/>
                <w:bCs/>
                <w:noProof/>
                <w:sz w:val="20"/>
                <w:szCs w:val="20"/>
              </w:rPr>
            </w:pPr>
            <w:r w:rsidRPr="00252A6F">
              <w:rPr>
                <w:b/>
                <w:noProof/>
                <w:sz w:val="20"/>
              </w:rPr>
              <w:t>1 960,2</w:t>
            </w:r>
          </w:p>
        </w:tc>
      </w:tr>
      <w:tr w:rsidR="00C4624A" w:rsidRPr="00252A6F" w14:paraId="53D5796E" w14:textId="77777777" w:rsidTr="00252A6F">
        <w:trPr>
          <w:trHeight w:val="638"/>
        </w:trPr>
        <w:tc>
          <w:tcPr>
            <w:tcW w:w="3960" w:type="dxa"/>
            <w:vMerge/>
            <w:vAlign w:val="center"/>
          </w:tcPr>
          <w:p w14:paraId="7A38994C" w14:textId="77777777" w:rsidR="00C4624A" w:rsidRPr="00252A6F" w:rsidRDefault="00C4624A" w:rsidP="00461AA0">
            <w:pPr>
              <w:rPr>
                <w:noProof/>
              </w:rPr>
            </w:pPr>
          </w:p>
        </w:tc>
        <w:tc>
          <w:tcPr>
            <w:tcW w:w="1440" w:type="dxa"/>
            <w:gridSpan w:val="2"/>
            <w:vAlign w:val="center"/>
          </w:tcPr>
          <w:p w14:paraId="685DE5B4" w14:textId="77777777" w:rsidR="00C4624A" w:rsidRPr="00252A6F" w:rsidRDefault="00C4624A" w:rsidP="00461AA0">
            <w:pPr>
              <w:rPr>
                <w:rFonts w:eastAsia="Times New Roman"/>
                <w:noProof/>
                <w:sz w:val="16"/>
                <w:szCs w:val="16"/>
              </w:rPr>
            </w:pPr>
            <w:r w:rsidRPr="00252A6F">
              <w:rPr>
                <w:noProof/>
                <w:sz w:val="16"/>
              </w:rPr>
              <w:t>plačila</w:t>
            </w:r>
          </w:p>
        </w:tc>
        <w:tc>
          <w:tcPr>
            <w:tcW w:w="772" w:type="dxa"/>
            <w:vAlign w:val="center"/>
          </w:tcPr>
          <w:p w14:paraId="75421636" w14:textId="77777777" w:rsidR="00C4624A" w:rsidRPr="00252A6F" w:rsidRDefault="00C4624A" w:rsidP="00461AA0">
            <w:pPr>
              <w:jc w:val="center"/>
              <w:rPr>
                <w:rFonts w:eastAsia="Times New Roman"/>
                <w:noProof/>
                <w:sz w:val="16"/>
                <w:szCs w:val="16"/>
              </w:rPr>
            </w:pPr>
            <w:r w:rsidRPr="00252A6F">
              <w:rPr>
                <w:noProof/>
                <w:sz w:val="16"/>
              </w:rPr>
              <w:t>Skupaj (b)</w:t>
            </w:r>
          </w:p>
        </w:tc>
        <w:tc>
          <w:tcPr>
            <w:tcW w:w="750" w:type="dxa"/>
          </w:tcPr>
          <w:p w14:paraId="035AFE12" w14:textId="77777777" w:rsidR="00C4624A" w:rsidRPr="00252A6F" w:rsidRDefault="00C4624A" w:rsidP="00461AA0">
            <w:pPr>
              <w:jc w:val="right"/>
              <w:rPr>
                <w:rFonts w:eastAsia="Times New Roman"/>
                <w:noProof/>
                <w:sz w:val="20"/>
                <w:szCs w:val="20"/>
              </w:rPr>
            </w:pPr>
          </w:p>
        </w:tc>
        <w:tc>
          <w:tcPr>
            <w:tcW w:w="868" w:type="dxa"/>
            <w:vAlign w:val="center"/>
          </w:tcPr>
          <w:p w14:paraId="54D1B41B" w14:textId="77777777" w:rsidR="00C4624A" w:rsidRPr="00252A6F" w:rsidRDefault="00C4624A" w:rsidP="00461AA0">
            <w:pPr>
              <w:jc w:val="right"/>
              <w:rPr>
                <w:rFonts w:eastAsia="Times New Roman"/>
                <w:noProof/>
                <w:sz w:val="20"/>
                <w:szCs w:val="20"/>
              </w:rPr>
            </w:pPr>
          </w:p>
        </w:tc>
        <w:tc>
          <w:tcPr>
            <w:tcW w:w="868" w:type="dxa"/>
            <w:vAlign w:val="center"/>
          </w:tcPr>
          <w:p w14:paraId="0BF75929" w14:textId="77777777" w:rsidR="00C4624A" w:rsidRPr="00252A6F" w:rsidRDefault="00C4624A" w:rsidP="00461AA0">
            <w:pPr>
              <w:jc w:val="right"/>
              <w:rPr>
                <w:rFonts w:eastAsia="Times New Roman"/>
                <w:b/>
                <w:bCs/>
                <w:noProof/>
                <w:sz w:val="20"/>
                <w:szCs w:val="20"/>
              </w:rPr>
            </w:pPr>
            <w:r w:rsidRPr="00252A6F">
              <w:rPr>
                <w:b/>
                <w:noProof/>
                <w:sz w:val="20"/>
              </w:rPr>
              <w:t>170,0</w:t>
            </w:r>
          </w:p>
        </w:tc>
        <w:tc>
          <w:tcPr>
            <w:tcW w:w="930" w:type="dxa"/>
            <w:vAlign w:val="center"/>
          </w:tcPr>
          <w:p w14:paraId="2B243C35" w14:textId="77777777" w:rsidR="00C4624A" w:rsidRPr="00252A6F" w:rsidRDefault="00C4624A" w:rsidP="00461AA0">
            <w:pPr>
              <w:jc w:val="right"/>
              <w:rPr>
                <w:rFonts w:eastAsia="Times New Roman"/>
                <w:b/>
                <w:bCs/>
                <w:noProof/>
                <w:sz w:val="20"/>
                <w:szCs w:val="20"/>
              </w:rPr>
            </w:pPr>
            <w:r w:rsidRPr="00252A6F">
              <w:rPr>
                <w:b/>
                <w:noProof/>
                <w:sz w:val="20"/>
              </w:rPr>
              <w:t>170,0</w:t>
            </w:r>
          </w:p>
        </w:tc>
        <w:tc>
          <w:tcPr>
            <w:tcW w:w="996" w:type="dxa"/>
            <w:vAlign w:val="center"/>
          </w:tcPr>
          <w:p w14:paraId="28268D94" w14:textId="77777777" w:rsidR="00C4624A" w:rsidRPr="00252A6F" w:rsidRDefault="00C4624A" w:rsidP="00461AA0">
            <w:pPr>
              <w:jc w:val="right"/>
              <w:rPr>
                <w:rFonts w:eastAsia="Times New Roman"/>
                <w:b/>
                <w:bCs/>
                <w:noProof/>
                <w:sz w:val="20"/>
                <w:szCs w:val="20"/>
              </w:rPr>
            </w:pPr>
            <w:r w:rsidRPr="00252A6F">
              <w:rPr>
                <w:b/>
                <w:noProof/>
                <w:sz w:val="20"/>
              </w:rPr>
              <w:t>540,06</w:t>
            </w:r>
          </w:p>
        </w:tc>
        <w:tc>
          <w:tcPr>
            <w:tcW w:w="992" w:type="dxa"/>
            <w:vAlign w:val="center"/>
          </w:tcPr>
          <w:p w14:paraId="6A1235D0" w14:textId="77777777" w:rsidR="00C4624A" w:rsidRPr="00252A6F" w:rsidRDefault="00C4624A" w:rsidP="00461AA0">
            <w:pPr>
              <w:jc w:val="right"/>
              <w:rPr>
                <w:rFonts w:eastAsia="Times New Roman"/>
                <w:b/>
                <w:bCs/>
                <w:noProof/>
                <w:sz w:val="20"/>
                <w:szCs w:val="20"/>
              </w:rPr>
            </w:pPr>
            <w:r w:rsidRPr="00252A6F">
              <w:rPr>
                <w:b/>
                <w:noProof/>
                <w:sz w:val="20"/>
              </w:rPr>
              <w:t>540,06</w:t>
            </w:r>
          </w:p>
        </w:tc>
        <w:tc>
          <w:tcPr>
            <w:tcW w:w="992" w:type="dxa"/>
            <w:vAlign w:val="center"/>
          </w:tcPr>
          <w:p w14:paraId="57A75E9A" w14:textId="77777777" w:rsidR="00C4624A" w:rsidRPr="00252A6F" w:rsidRDefault="00C4624A" w:rsidP="00461AA0">
            <w:pPr>
              <w:jc w:val="right"/>
              <w:rPr>
                <w:rFonts w:eastAsia="Times New Roman"/>
                <w:b/>
                <w:bCs/>
                <w:noProof/>
                <w:sz w:val="20"/>
                <w:szCs w:val="20"/>
              </w:rPr>
            </w:pPr>
            <w:r w:rsidRPr="00252A6F">
              <w:rPr>
                <w:b/>
                <w:noProof/>
                <w:sz w:val="20"/>
              </w:rPr>
              <w:t>540,06</w:t>
            </w:r>
          </w:p>
        </w:tc>
        <w:tc>
          <w:tcPr>
            <w:tcW w:w="2410" w:type="dxa"/>
            <w:vAlign w:val="center"/>
          </w:tcPr>
          <w:p w14:paraId="4AE52551" w14:textId="77777777" w:rsidR="00C4624A" w:rsidRPr="00252A6F" w:rsidRDefault="00C4624A" w:rsidP="00461AA0">
            <w:pPr>
              <w:jc w:val="right"/>
              <w:rPr>
                <w:rFonts w:eastAsia="Calibri"/>
                <w:noProof/>
                <w:sz w:val="20"/>
                <w:szCs w:val="20"/>
              </w:rPr>
            </w:pPr>
            <w:r w:rsidRPr="00252A6F">
              <w:rPr>
                <w:b/>
                <w:noProof/>
                <w:sz w:val="20"/>
              </w:rPr>
              <w:t>1 960,2</w:t>
            </w:r>
          </w:p>
        </w:tc>
      </w:tr>
      <w:tr w:rsidR="00C4624A" w:rsidRPr="00252A6F" w14:paraId="0287F5FA" w14:textId="77777777" w:rsidTr="00461AA0">
        <w:trPr>
          <w:trHeight w:val="638"/>
        </w:trPr>
        <w:tc>
          <w:tcPr>
            <w:tcW w:w="14978" w:type="dxa"/>
            <w:gridSpan w:val="12"/>
            <w:vAlign w:val="center"/>
          </w:tcPr>
          <w:p w14:paraId="3FA0451B" w14:textId="77777777" w:rsidR="00C4624A" w:rsidRPr="00252A6F" w:rsidRDefault="00C4624A" w:rsidP="00461AA0">
            <w:pPr>
              <w:rPr>
                <w:rFonts w:eastAsia="Calibri"/>
                <w:noProof/>
                <w:szCs w:val="24"/>
              </w:rPr>
            </w:pPr>
          </w:p>
        </w:tc>
      </w:tr>
      <w:tr w:rsidR="00C4624A" w:rsidRPr="00252A6F" w14:paraId="0B50A043" w14:textId="77777777" w:rsidTr="00252A6F">
        <w:tc>
          <w:tcPr>
            <w:tcW w:w="3960" w:type="dxa"/>
            <w:vAlign w:val="center"/>
          </w:tcPr>
          <w:p w14:paraId="34F43124" w14:textId="77777777" w:rsidR="00C4624A" w:rsidRPr="00252A6F" w:rsidRDefault="00C4624A" w:rsidP="00461AA0">
            <w:pPr>
              <w:jc w:val="center"/>
              <w:rPr>
                <w:noProof/>
              </w:rPr>
            </w:pPr>
            <w:r w:rsidRPr="00252A6F">
              <w:rPr>
                <w:noProof/>
                <w:sz w:val="22"/>
              </w:rPr>
              <w:t>GD ECFIN</w:t>
            </w:r>
          </w:p>
        </w:tc>
        <w:tc>
          <w:tcPr>
            <w:tcW w:w="1362" w:type="dxa"/>
          </w:tcPr>
          <w:p w14:paraId="170E0A33" w14:textId="77777777" w:rsidR="00C4624A" w:rsidRPr="00252A6F" w:rsidRDefault="00C4624A" w:rsidP="00461AA0">
            <w:pPr>
              <w:rPr>
                <w:noProof/>
                <w:sz w:val="20"/>
                <w:szCs w:val="20"/>
              </w:rPr>
            </w:pPr>
          </w:p>
        </w:tc>
        <w:tc>
          <w:tcPr>
            <w:tcW w:w="850" w:type="dxa"/>
            <w:gridSpan w:val="2"/>
          </w:tcPr>
          <w:p w14:paraId="10AA0206" w14:textId="77777777" w:rsidR="00C4624A" w:rsidRPr="00252A6F" w:rsidRDefault="00C4624A" w:rsidP="00461AA0">
            <w:pPr>
              <w:jc w:val="center"/>
              <w:rPr>
                <w:noProof/>
                <w:sz w:val="20"/>
                <w:szCs w:val="20"/>
              </w:rPr>
            </w:pPr>
          </w:p>
        </w:tc>
        <w:tc>
          <w:tcPr>
            <w:tcW w:w="750" w:type="dxa"/>
          </w:tcPr>
          <w:p w14:paraId="651C5C32" w14:textId="77777777" w:rsidR="00C4624A" w:rsidRPr="00252A6F" w:rsidRDefault="00C4624A" w:rsidP="00461AA0">
            <w:pPr>
              <w:jc w:val="center"/>
              <w:rPr>
                <w:noProof/>
                <w:sz w:val="20"/>
                <w:szCs w:val="20"/>
              </w:rPr>
            </w:pPr>
            <w:r w:rsidRPr="00252A6F">
              <w:rPr>
                <w:noProof/>
                <w:sz w:val="20"/>
              </w:rPr>
              <w:t>Leto</w:t>
            </w:r>
          </w:p>
          <w:p w14:paraId="0C09D6F7" w14:textId="77777777" w:rsidR="00C4624A" w:rsidRPr="00252A6F" w:rsidRDefault="00C4624A" w:rsidP="00461AA0">
            <w:pPr>
              <w:jc w:val="center"/>
              <w:rPr>
                <w:noProof/>
                <w:sz w:val="20"/>
                <w:szCs w:val="20"/>
              </w:rPr>
            </w:pPr>
            <w:r w:rsidRPr="00252A6F">
              <w:rPr>
                <w:b/>
                <w:noProof/>
                <w:sz w:val="20"/>
              </w:rPr>
              <w:t>2021</w:t>
            </w:r>
          </w:p>
        </w:tc>
        <w:tc>
          <w:tcPr>
            <w:tcW w:w="868" w:type="dxa"/>
            <w:vAlign w:val="center"/>
          </w:tcPr>
          <w:p w14:paraId="70886B50" w14:textId="77777777" w:rsidR="00C4624A" w:rsidRPr="00252A6F" w:rsidRDefault="00C4624A" w:rsidP="00461AA0">
            <w:pPr>
              <w:jc w:val="center"/>
              <w:rPr>
                <w:noProof/>
                <w:sz w:val="20"/>
                <w:szCs w:val="20"/>
              </w:rPr>
            </w:pPr>
            <w:r w:rsidRPr="00252A6F">
              <w:rPr>
                <w:noProof/>
                <w:sz w:val="20"/>
              </w:rPr>
              <w:t>Leto</w:t>
            </w:r>
          </w:p>
          <w:p w14:paraId="3C89D4FF" w14:textId="77777777" w:rsidR="00C4624A" w:rsidRPr="00252A6F" w:rsidRDefault="00C4624A" w:rsidP="00461AA0">
            <w:pPr>
              <w:jc w:val="center"/>
              <w:rPr>
                <w:noProof/>
                <w:sz w:val="20"/>
                <w:szCs w:val="20"/>
              </w:rPr>
            </w:pPr>
            <w:r w:rsidRPr="00252A6F">
              <w:rPr>
                <w:b/>
                <w:noProof/>
                <w:sz w:val="20"/>
              </w:rPr>
              <w:t>2022</w:t>
            </w:r>
          </w:p>
        </w:tc>
        <w:tc>
          <w:tcPr>
            <w:tcW w:w="868" w:type="dxa"/>
            <w:vAlign w:val="center"/>
          </w:tcPr>
          <w:p w14:paraId="0EBD1B13" w14:textId="77777777" w:rsidR="00C4624A" w:rsidRPr="00252A6F" w:rsidRDefault="00C4624A" w:rsidP="00461AA0">
            <w:pPr>
              <w:jc w:val="center"/>
              <w:rPr>
                <w:noProof/>
                <w:sz w:val="20"/>
                <w:szCs w:val="20"/>
              </w:rPr>
            </w:pPr>
            <w:r w:rsidRPr="00252A6F">
              <w:rPr>
                <w:noProof/>
                <w:sz w:val="20"/>
              </w:rPr>
              <w:t>Leto</w:t>
            </w:r>
          </w:p>
          <w:p w14:paraId="07C4529D" w14:textId="77777777" w:rsidR="00C4624A" w:rsidRPr="00252A6F" w:rsidRDefault="00C4624A" w:rsidP="00461AA0">
            <w:pPr>
              <w:jc w:val="center"/>
              <w:rPr>
                <w:noProof/>
                <w:sz w:val="20"/>
                <w:szCs w:val="20"/>
              </w:rPr>
            </w:pPr>
            <w:r w:rsidRPr="00252A6F">
              <w:rPr>
                <w:b/>
                <w:noProof/>
                <w:sz w:val="20"/>
              </w:rPr>
              <w:t>2023</w:t>
            </w:r>
          </w:p>
        </w:tc>
        <w:tc>
          <w:tcPr>
            <w:tcW w:w="930" w:type="dxa"/>
            <w:vAlign w:val="center"/>
          </w:tcPr>
          <w:p w14:paraId="11A2190B" w14:textId="77777777" w:rsidR="00C4624A" w:rsidRPr="00252A6F" w:rsidRDefault="00C4624A" w:rsidP="00461AA0">
            <w:pPr>
              <w:jc w:val="center"/>
              <w:rPr>
                <w:noProof/>
                <w:sz w:val="20"/>
                <w:szCs w:val="20"/>
              </w:rPr>
            </w:pPr>
            <w:r w:rsidRPr="00252A6F">
              <w:rPr>
                <w:noProof/>
                <w:sz w:val="20"/>
              </w:rPr>
              <w:t>Leto</w:t>
            </w:r>
          </w:p>
          <w:p w14:paraId="12A783D4" w14:textId="77777777" w:rsidR="00C4624A" w:rsidRPr="00252A6F" w:rsidRDefault="00C4624A" w:rsidP="00461AA0">
            <w:pPr>
              <w:jc w:val="center"/>
              <w:rPr>
                <w:noProof/>
                <w:sz w:val="20"/>
                <w:szCs w:val="20"/>
              </w:rPr>
            </w:pPr>
            <w:r w:rsidRPr="00252A6F">
              <w:rPr>
                <w:b/>
                <w:noProof/>
                <w:sz w:val="20"/>
              </w:rPr>
              <w:t>2024</w:t>
            </w:r>
          </w:p>
        </w:tc>
        <w:tc>
          <w:tcPr>
            <w:tcW w:w="996" w:type="dxa"/>
            <w:vAlign w:val="center"/>
          </w:tcPr>
          <w:p w14:paraId="3F7924C5" w14:textId="77777777" w:rsidR="00C4624A" w:rsidRPr="00252A6F" w:rsidRDefault="00C4624A" w:rsidP="00461AA0">
            <w:pPr>
              <w:jc w:val="center"/>
              <w:rPr>
                <w:noProof/>
                <w:sz w:val="20"/>
                <w:szCs w:val="20"/>
              </w:rPr>
            </w:pPr>
            <w:r w:rsidRPr="00252A6F">
              <w:rPr>
                <w:noProof/>
                <w:sz w:val="20"/>
              </w:rPr>
              <w:t>Leto</w:t>
            </w:r>
          </w:p>
          <w:p w14:paraId="258481B8" w14:textId="77777777" w:rsidR="00C4624A" w:rsidRPr="00252A6F" w:rsidRDefault="00C4624A" w:rsidP="00461AA0">
            <w:pPr>
              <w:jc w:val="center"/>
              <w:rPr>
                <w:noProof/>
                <w:sz w:val="20"/>
                <w:szCs w:val="20"/>
              </w:rPr>
            </w:pPr>
            <w:r w:rsidRPr="00252A6F">
              <w:rPr>
                <w:b/>
                <w:noProof/>
                <w:sz w:val="20"/>
              </w:rPr>
              <w:t>2025</w:t>
            </w:r>
          </w:p>
        </w:tc>
        <w:tc>
          <w:tcPr>
            <w:tcW w:w="992" w:type="dxa"/>
          </w:tcPr>
          <w:p w14:paraId="677135C0" w14:textId="77777777" w:rsidR="00C4624A" w:rsidRPr="00252A6F" w:rsidRDefault="00C4624A" w:rsidP="00461AA0">
            <w:pPr>
              <w:jc w:val="center"/>
              <w:rPr>
                <w:noProof/>
                <w:sz w:val="20"/>
                <w:szCs w:val="20"/>
              </w:rPr>
            </w:pPr>
            <w:r w:rsidRPr="00252A6F">
              <w:rPr>
                <w:noProof/>
                <w:sz w:val="20"/>
              </w:rPr>
              <w:t>Leto</w:t>
            </w:r>
          </w:p>
          <w:p w14:paraId="7D27F2A5" w14:textId="77777777" w:rsidR="00C4624A" w:rsidRPr="00252A6F" w:rsidRDefault="00C4624A" w:rsidP="00461AA0">
            <w:pPr>
              <w:jc w:val="center"/>
              <w:rPr>
                <w:noProof/>
                <w:sz w:val="18"/>
                <w:szCs w:val="18"/>
              </w:rPr>
            </w:pPr>
            <w:r w:rsidRPr="00252A6F">
              <w:rPr>
                <w:b/>
                <w:noProof/>
                <w:sz w:val="20"/>
              </w:rPr>
              <w:t>2026</w:t>
            </w:r>
          </w:p>
        </w:tc>
        <w:tc>
          <w:tcPr>
            <w:tcW w:w="992" w:type="dxa"/>
          </w:tcPr>
          <w:p w14:paraId="0094935D" w14:textId="77777777" w:rsidR="00C4624A" w:rsidRPr="00252A6F" w:rsidRDefault="00C4624A" w:rsidP="00461AA0">
            <w:pPr>
              <w:jc w:val="center"/>
              <w:rPr>
                <w:noProof/>
                <w:sz w:val="20"/>
                <w:szCs w:val="20"/>
              </w:rPr>
            </w:pPr>
            <w:r w:rsidRPr="00252A6F">
              <w:rPr>
                <w:noProof/>
                <w:sz w:val="20"/>
              </w:rPr>
              <w:t>Leto</w:t>
            </w:r>
          </w:p>
          <w:p w14:paraId="5EE60E28" w14:textId="77777777" w:rsidR="00C4624A" w:rsidRPr="00252A6F" w:rsidRDefault="00C4624A" w:rsidP="00461AA0">
            <w:pPr>
              <w:jc w:val="center"/>
              <w:rPr>
                <w:noProof/>
                <w:sz w:val="18"/>
                <w:szCs w:val="18"/>
              </w:rPr>
            </w:pPr>
            <w:r w:rsidRPr="00252A6F">
              <w:rPr>
                <w:b/>
                <w:noProof/>
                <w:sz w:val="20"/>
              </w:rPr>
              <w:t>2027</w:t>
            </w:r>
          </w:p>
        </w:tc>
        <w:tc>
          <w:tcPr>
            <w:tcW w:w="2410" w:type="dxa"/>
            <w:vAlign w:val="center"/>
          </w:tcPr>
          <w:p w14:paraId="3AB9F74A" w14:textId="77777777" w:rsidR="00C4624A" w:rsidRPr="00252A6F" w:rsidRDefault="00C4624A" w:rsidP="00461AA0">
            <w:pPr>
              <w:jc w:val="center"/>
              <w:rPr>
                <w:noProof/>
                <w:sz w:val="20"/>
                <w:szCs w:val="20"/>
              </w:rPr>
            </w:pPr>
            <w:r w:rsidRPr="00252A6F">
              <w:rPr>
                <w:b/>
                <w:noProof/>
                <w:sz w:val="20"/>
              </w:rPr>
              <w:t>SKUPAJ</w:t>
            </w:r>
          </w:p>
        </w:tc>
      </w:tr>
      <w:tr w:rsidR="00C4624A" w:rsidRPr="00252A6F" w14:paraId="1AE4ACDC" w14:textId="77777777" w:rsidTr="00461AA0">
        <w:tc>
          <w:tcPr>
            <w:tcW w:w="14978" w:type="dxa"/>
            <w:gridSpan w:val="12"/>
            <w:vAlign w:val="center"/>
          </w:tcPr>
          <w:p w14:paraId="2F20DDAB" w14:textId="77777777" w:rsidR="00C4624A" w:rsidRPr="00252A6F" w:rsidRDefault="00C4624A" w:rsidP="00461AA0">
            <w:pPr>
              <w:jc w:val="left"/>
              <w:rPr>
                <w:rFonts w:eastAsia="Times New Roman"/>
                <w:noProof/>
                <w:sz w:val="21"/>
                <w:szCs w:val="21"/>
              </w:rPr>
            </w:pPr>
            <w:r w:rsidRPr="00252A6F">
              <w:rPr>
                <w:noProof/>
                <w:sz w:val="21"/>
              </w:rPr>
              <w:t>□  Makrofinančna pomoč I</w:t>
            </w:r>
            <w:r w:rsidRPr="00252A6F">
              <w:rPr>
                <w:noProof/>
                <w:sz w:val="21"/>
                <w:vertAlign w:val="superscript"/>
              </w:rPr>
              <w:t>8</w:t>
            </w:r>
          </w:p>
        </w:tc>
      </w:tr>
      <w:tr w:rsidR="00C4624A" w:rsidRPr="00252A6F" w14:paraId="6965F4E7" w14:textId="77777777" w:rsidTr="00252A6F">
        <w:trPr>
          <w:trHeight w:val="277"/>
        </w:trPr>
        <w:tc>
          <w:tcPr>
            <w:tcW w:w="3960" w:type="dxa"/>
            <w:vAlign w:val="center"/>
          </w:tcPr>
          <w:p w14:paraId="51C82F30" w14:textId="77777777" w:rsidR="00C4624A" w:rsidRPr="00252A6F" w:rsidRDefault="00C4624A" w:rsidP="00461AA0">
            <w:pPr>
              <w:rPr>
                <w:rFonts w:eastAsia="Times New Roman"/>
                <w:noProof/>
                <w:sz w:val="18"/>
                <w:szCs w:val="18"/>
              </w:rPr>
            </w:pPr>
            <w:r w:rsidRPr="00252A6F">
              <w:rPr>
                <w:noProof/>
                <w:sz w:val="18"/>
              </w:rPr>
              <w:t>Proračunska vrstica</w:t>
            </w:r>
          </w:p>
          <w:p w14:paraId="07C73848" w14:textId="77777777" w:rsidR="00C4624A" w:rsidRPr="00252A6F" w:rsidRDefault="00C4624A" w:rsidP="00461AA0">
            <w:pPr>
              <w:jc w:val="left"/>
              <w:rPr>
                <w:rFonts w:eastAsia="Times New Roman"/>
                <w:noProof/>
                <w:sz w:val="18"/>
                <w:szCs w:val="18"/>
              </w:rPr>
            </w:pPr>
            <w:r w:rsidRPr="00252A6F">
              <w:rPr>
                <w:noProof/>
                <w:sz w:val="18"/>
              </w:rPr>
              <w:t>14 02 01 70 . 06 „NDICI – Oblikovanje rezervacij za skupni sklad za rezervacije“</w:t>
            </w:r>
            <w:r w:rsidRPr="00252A6F">
              <w:rPr>
                <w:rStyle w:val="FootnoteReference"/>
                <w:noProof/>
                <w:sz w:val="18"/>
              </w:rPr>
              <w:t xml:space="preserve"> </w:t>
            </w:r>
            <w:r w:rsidRPr="00252A6F">
              <w:rPr>
                <w:rStyle w:val="FootnoteReference"/>
                <w:rFonts w:eastAsia="Times New Roman"/>
                <w:noProof/>
                <w:sz w:val="18"/>
                <w:szCs w:val="18"/>
              </w:rPr>
              <w:footnoteReference w:id="38"/>
            </w:r>
          </w:p>
        </w:tc>
        <w:tc>
          <w:tcPr>
            <w:tcW w:w="1440" w:type="dxa"/>
            <w:gridSpan w:val="2"/>
            <w:vAlign w:val="center"/>
          </w:tcPr>
          <w:p w14:paraId="00C6CE98" w14:textId="77777777" w:rsidR="00C4624A" w:rsidRPr="00252A6F" w:rsidRDefault="00C4624A" w:rsidP="00461AA0">
            <w:pPr>
              <w:spacing w:before="20" w:after="20"/>
              <w:rPr>
                <w:rFonts w:eastAsia="Times New Roman"/>
                <w:noProof/>
                <w:sz w:val="18"/>
                <w:szCs w:val="18"/>
              </w:rPr>
            </w:pPr>
            <w:r w:rsidRPr="00252A6F">
              <w:rPr>
                <w:noProof/>
                <w:sz w:val="18"/>
              </w:rPr>
              <w:t>obveznosti</w:t>
            </w:r>
          </w:p>
        </w:tc>
        <w:tc>
          <w:tcPr>
            <w:tcW w:w="772" w:type="dxa"/>
            <w:vAlign w:val="center"/>
          </w:tcPr>
          <w:p w14:paraId="65F045AE" w14:textId="77777777" w:rsidR="00C4624A" w:rsidRPr="00252A6F" w:rsidRDefault="00C4624A" w:rsidP="00461AA0">
            <w:pPr>
              <w:spacing w:before="20" w:after="20"/>
              <w:jc w:val="center"/>
              <w:rPr>
                <w:noProof/>
                <w:sz w:val="14"/>
                <w:szCs w:val="14"/>
              </w:rPr>
            </w:pPr>
            <w:r w:rsidRPr="00252A6F">
              <w:rPr>
                <w:noProof/>
                <w:sz w:val="14"/>
              </w:rPr>
              <w:t>(c)</w:t>
            </w:r>
          </w:p>
        </w:tc>
        <w:tc>
          <w:tcPr>
            <w:tcW w:w="750" w:type="dxa"/>
          </w:tcPr>
          <w:p w14:paraId="4DAE0159" w14:textId="77777777" w:rsidR="00C4624A" w:rsidRPr="00252A6F" w:rsidRDefault="00C4624A" w:rsidP="00461AA0">
            <w:pPr>
              <w:spacing w:before="20" w:after="20"/>
              <w:jc w:val="right"/>
              <w:rPr>
                <w:rFonts w:eastAsia="Times New Roman"/>
                <w:noProof/>
                <w:sz w:val="20"/>
                <w:szCs w:val="20"/>
              </w:rPr>
            </w:pPr>
          </w:p>
          <w:p w14:paraId="2776902C" w14:textId="77777777" w:rsidR="00C4624A" w:rsidRPr="00252A6F" w:rsidRDefault="00C4624A" w:rsidP="00461AA0">
            <w:pPr>
              <w:spacing w:before="20" w:after="20"/>
              <w:jc w:val="right"/>
              <w:rPr>
                <w:rFonts w:eastAsia="Times New Roman"/>
                <w:noProof/>
                <w:sz w:val="20"/>
                <w:szCs w:val="20"/>
              </w:rPr>
            </w:pPr>
          </w:p>
          <w:p w14:paraId="0A859D7D" w14:textId="77777777" w:rsidR="00C4624A" w:rsidRPr="00252A6F" w:rsidRDefault="00C4624A" w:rsidP="00461AA0">
            <w:pPr>
              <w:spacing w:before="20" w:after="20"/>
              <w:jc w:val="right"/>
              <w:rPr>
                <w:rFonts w:eastAsia="Times New Roman"/>
                <w:noProof/>
                <w:sz w:val="20"/>
                <w:szCs w:val="20"/>
              </w:rPr>
            </w:pPr>
            <w:r w:rsidRPr="00252A6F">
              <w:rPr>
                <w:noProof/>
                <w:sz w:val="20"/>
              </w:rPr>
              <w:t>27,3</w:t>
            </w:r>
          </w:p>
        </w:tc>
        <w:tc>
          <w:tcPr>
            <w:tcW w:w="868" w:type="dxa"/>
            <w:vAlign w:val="center"/>
          </w:tcPr>
          <w:p w14:paraId="42F76C0C" w14:textId="77777777" w:rsidR="00C4624A" w:rsidRPr="00252A6F" w:rsidRDefault="00C4624A" w:rsidP="00461AA0">
            <w:pPr>
              <w:spacing w:before="20" w:after="20"/>
              <w:jc w:val="right"/>
              <w:rPr>
                <w:rFonts w:eastAsia="Times New Roman"/>
                <w:noProof/>
                <w:sz w:val="20"/>
                <w:szCs w:val="20"/>
              </w:rPr>
            </w:pPr>
          </w:p>
          <w:p w14:paraId="28F8E592" w14:textId="77777777" w:rsidR="00C4624A" w:rsidRPr="00252A6F" w:rsidRDefault="00C4624A" w:rsidP="00461AA0">
            <w:pPr>
              <w:spacing w:before="20" w:after="20"/>
              <w:jc w:val="right"/>
              <w:rPr>
                <w:rFonts w:eastAsia="Times New Roman"/>
                <w:noProof/>
                <w:sz w:val="20"/>
                <w:szCs w:val="20"/>
              </w:rPr>
            </w:pPr>
            <w:r w:rsidRPr="00252A6F">
              <w:rPr>
                <w:noProof/>
                <w:sz w:val="20"/>
              </w:rPr>
              <w:t>62,7</w:t>
            </w:r>
          </w:p>
        </w:tc>
        <w:tc>
          <w:tcPr>
            <w:tcW w:w="868" w:type="dxa"/>
            <w:vAlign w:val="center"/>
          </w:tcPr>
          <w:p w14:paraId="6F8BEA60" w14:textId="77777777" w:rsidR="00C4624A" w:rsidRPr="00252A6F" w:rsidRDefault="00C4624A" w:rsidP="00461AA0">
            <w:pPr>
              <w:spacing w:before="20" w:after="20"/>
              <w:jc w:val="right"/>
              <w:rPr>
                <w:rFonts w:eastAsia="Times New Roman"/>
                <w:noProof/>
                <w:sz w:val="20"/>
                <w:szCs w:val="20"/>
              </w:rPr>
            </w:pPr>
          </w:p>
        </w:tc>
        <w:tc>
          <w:tcPr>
            <w:tcW w:w="930" w:type="dxa"/>
            <w:vAlign w:val="center"/>
          </w:tcPr>
          <w:p w14:paraId="65AB6AFF" w14:textId="77777777" w:rsidR="00C4624A" w:rsidRPr="00252A6F" w:rsidRDefault="00C4624A" w:rsidP="00461AA0">
            <w:pPr>
              <w:spacing w:before="20" w:after="20"/>
              <w:jc w:val="right"/>
              <w:rPr>
                <w:rFonts w:eastAsia="Times New Roman"/>
                <w:noProof/>
                <w:sz w:val="20"/>
                <w:szCs w:val="20"/>
              </w:rPr>
            </w:pPr>
          </w:p>
        </w:tc>
        <w:tc>
          <w:tcPr>
            <w:tcW w:w="996" w:type="dxa"/>
            <w:vAlign w:val="center"/>
          </w:tcPr>
          <w:p w14:paraId="7C3497DE" w14:textId="77777777" w:rsidR="00C4624A" w:rsidRPr="00252A6F" w:rsidRDefault="00C4624A" w:rsidP="00461AA0">
            <w:pPr>
              <w:spacing w:before="20" w:after="20"/>
              <w:jc w:val="right"/>
              <w:rPr>
                <w:rFonts w:eastAsia="Times New Roman"/>
                <w:noProof/>
                <w:sz w:val="20"/>
                <w:szCs w:val="20"/>
              </w:rPr>
            </w:pPr>
          </w:p>
        </w:tc>
        <w:tc>
          <w:tcPr>
            <w:tcW w:w="992" w:type="dxa"/>
          </w:tcPr>
          <w:p w14:paraId="08B31AAF" w14:textId="77777777" w:rsidR="00C4624A" w:rsidRPr="00252A6F" w:rsidRDefault="00C4624A" w:rsidP="00461AA0">
            <w:pPr>
              <w:spacing w:before="20" w:after="20"/>
              <w:jc w:val="right"/>
              <w:rPr>
                <w:rFonts w:eastAsia="Times New Roman"/>
                <w:noProof/>
                <w:sz w:val="20"/>
                <w:szCs w:val="20"/>
              </w:rPr>
            </w:pPr>
          </w:p>
          <w:p w14:paraId="5A1368F0" w14:textId="77777777" w:rsidR="00C4624A" w:rsidRPr="00252A6F" w:rsidRDefault="00C4624A" w:rsidP="00461AA0">
            <w:pPr>
              <w:spacing w:before="20" w:after="20"/>
              <w:jc w:val="right"/>
              <w:rPr>
                <w:rFonts w:eastAsia="Times New Roman"/>
                <w:noProof/>
                <w:sz w:val="20"/>
                <w:szCs w:val="20"/>
              </w:rPr>
            </w:pPr>
          </w:p>
          <w:p w14:paraId="35ADB653" w14:textId="77777777" w:rsidR="00C4624A" w:rsidRPr="00252A6F" w:rsidRDefault="00C4624A" w:rsidP="00461AA0">
            <w:pPr>
              <w:spacing w:before="20" w:after="20"/>
              <w:jc w:val="right"/>
              <w:rPr>
                <w:rFonts w:eastAsia="Times New Roman"/>
                <w:noProof/>
                <w:sz w:val="20"/>
                <w:szCs w:val="20"/>
              </w:rPr>
            </w:pPr>
          </w:p>
        </w:tc>
        <w:tc>
          <w:tcPr>
            <w:tcW w:w="992" w:type="dxa"/>
          </w:tcPr>
          <w:p w14:paraId="643860A6" w14:textId="77777777" w:rsidR="00C4624A" w:rsidRPr="00252A6F" w:rsidRDefault="00C4624A" w:rsidP="00461AA0">
            <w:pPr>
              <w:spacing w:before="20" w:after="20"/>
              <w:jc w:val="right"/>
              <w:rPr>
                <w:rFonts w:eastAsia="Times New Roman"/>
                <w:noProof/>
                <w:sz w:val="20"/>
                <w:szCs w:val="20"/>
              </w:rPr>
            </w:pPr>
          </w:p>
          <w:p w14:paraId="61E0999E" w14:textId="77777777" w:rsidR="00C4624A" w:rsidRPr="00252A6F" w:rsidRDefault="00C4624A" w:rsidP="00461AA0">
            <w:pPr>
              <w:spacing w:before="20" w:after="20"/>
              <w:jc w:val="right"/>
              <w:rPr>
                <w:rFonts w:eastAsia="Times New Roman"/>
                <w:noProof/>
                <w:sz w:val="20"/>
                <w:szCs w:val="20"/>
              </w:rPr>
            </w:pPr>
          </w:p>
          <w:p w14:paraId="00723006" w14:textId="77777777" w:rsidR="00C4624A" w:rsidRPr="00252A6F" w:rsidRDefault="00C4624A" w:rsidP="00461AA0">
            <w:pPr>
              <w:spacing w:before="20" w:after="20"/>
              <w:jc w:val="right"/>
              <w:rPr>
                <w:rFonts w:eastAsia="Times New Roman"/>
                <w:noProof/>
                <w:sz w:val="20"/>
                <w:szCs w:val="20"/>
              </w:rPr>
            </w:pPr>
          </w:p>
        </w:tc>
        <w:tc>
          <w:tcPr>
            <w:tcW w:w="2410" w:type="dxa"/>
            <w:vAlign w:val="center"/>
          </w:tcPr>
          <w:p w14:paraId="37A8FFB1" w14:textId="77777777" w:rsidR="00C4624A" w:rsidRPr="00252A6F" w:rsidRDefault="00C4624A" w:rsidP="00461AA0">
            <w:pPr>
              <w:spacing w:before="20" w:after="20"/>
              <w:jc w:val="right"/>
              <w:rPr>
                <w:rFonts w:eastAsia="Times New Roman"/>
                <w:noProof/>
                <w:sz w:val="20"/>
                <w:szCs w:val="20"/>
              </w:rPr>
            </w:pPr>
            <w:r w:rsidRPr="00252A6F">
              <w:rPr>
                <w:b/>
                <w:noProof/>
                <w:sz w:val="20"/>
              </w:rPr>
              <w:t>90,0</w:t>
            </w:r>
          </w:p>
        </w:tc>
      </w:tr>
      <w:tr w:rsidR="00C4624A" w:rsidRPr="00252A6F" w14:paraId="257FFFAB" w14:textId="77777777" w:rsidTr="00252A6F">
        <w:trPr>
          <w:trHeight w:val="774"/>
        </w:trPr>
        <w:tc>
          <w:tcPr>
            <w:tcW w:w="3960" w:type="dxa"/>
          </w:tcPr>
          <w:p w14:paraId="077131CA" w14:textId="77777777" w:rsidR="00C4624A" w:rsidRPr="00252A6F" w:rsidRDefault="00C4624A" w:rsidP="00461AA0">
            <w:pPr>
              <w:jc w:val="left"/>
              <w:rPr>
                <w:rFonts w:eastAsia="Times New Roman"/>
                <w:noProof/>
                <w:sz w:val="18"/>
                <w:szCs w:val="18"/>
              </w:rPr>
            </w:pPr>
          </w:p>
        </w:tc>
        <w:tc>
          <w:tcPr>
            <w:tcW w:w="1440" w:type="dxa"/>
            <w:gridSpan w:val="2"/>
            <w:vAlign w:val="center"/>
          </w:tcPr>
          <w:p w14:paraId="1C8FCD21" w14:textId="77777777" w:rsidR="00C4624A" w:rsidRPr="00252A6F" w:rsidRDefault="00C4624A" w:rsidP="00461AA0">
            <w:pPr>
              <w:spacing w:before="20" w:after="20"/>
              <w:rPr>
                <w:rFonts w:eastAsia="Times New Roman"/>
                <w:noProof/>
                <w:sz w:val="18"/>
                <w:szCs w:val="18"/>
              </w:rPr>
            </w:pPr>
            <w:r w:rsidRPr="00252A6F">
              <w:rPr>
                <w:noProof/>
                <w:sz w:val="18"/>
              </w:rPr>
              <w:t>plačila</w:t>
            </w:r>
          </w:p>
        </w:tc>
        <w:tc>
          <w:tcPr>
            <w:tcW w:w="772" w:type="dxa"/>
            <w:vAlign w:val="center"/>
          </w:tcPr>
          <w:p w14:paraId="53BD2E0C" w14:textId="77777777" w:rsidR="00C4624A" w:rsidRPr="00252A6F" w:rsidRDefault="00C4624A" w:rsidP="00461AA0">
            <w:pPr>
              <w:spacing w:before="20" w:after="20"/>
              <w:jc w:val="center"/>
              <w:rPr>
                <w:noProof/>
                <w:sz w:val="14"/>
                <w:szCs w:val="14"/>
              </w:rPr>
            </w:pPr>
            <w:r w:rsidRPr="00252A6F">
              <w:rPr>
                <w:noProof/>
                <w:sz w:val="14"/>
              </w:rPr>
              <w:t>(d)</w:t>
            </w:r>
          </w:p>
        </w:tc>
        <w:tc>
          <w:tcPr>
            <w:tcW w:w="750" w:type="dxa"/>
          </w:tcPr>
          <w:p w14:paraId="1B9C7201" w14:textId="77777777" w:rsidR="00C4624A" w:rsidRPr="00252A6F" w:rsidRDefault="00C4624A" w:rsidP="00461AA0">
            <w:pPr>
              <w:spacing w:before="20" w:after="20"/>
              <w:jc w:val="right"/>
              <w:rPr>
                <w:rFonts w:eastAsia="Times New Roman"/>
                <w:noProof/>
                <w:sz w:val="20"/>
                <w:szCs w:val="20"/>
              </w:rPr>
            </w:pPr>
          </w:p>
        </w:tc>
        <w:tc>
          <w:tcPr>
            <w:tcW w:w="868" w:type="dxa"/>
            <w:vAlign w:val="center"/>
          </w:tcPr>
          <w:p w14:paraId="5BCE5C90" w14:textId="77777777" w:rsidR="00C4624A" w:rsidRPr="00252A6F" w:rsidRDefault="00C4624A" w:rsidP="00461AA0">
            <w:pPr>
              <w:spacing w:before="20" w:after="20"/>
              <w:jc w:val="right"/>
              <w:rPr>
                <w:rFonts w:eastAsia="Times New Roman"/>
                <w:noProof/>
                <w:sz w:val="20"/>
                <w:szCs w:val="20"/>
              </w:rPr>
            </w:pPr>
          </w:p>
        </w:tc>
        <w:tc>
          <w:tcPr>
            <w:tcW w:w="868" w:type="dxa"/>
            <w:vAlign w:val="center"/>
          </w:tcPr>
          <w:p w14:paraId="16C1F61A" w14:textId="77777777" w:rsidR="00C4624A" w:rsidRPr="00252A6F" w:rsidRDefault="00C4624A" w:rsidP="00461AA0">
            <w:pPr>
              <w:spacing w:before="20" w:after="20"/>
              <w:jc w:val="right"/>
              <w:rPr>
                <w:rFonts w:eastAsia="Times New Roman"/>
                <w:noProof/>
                <w:sz w:val="20"/>
                <w:szCs w:val="20"/>
              </w:rPr>
            </w:pPr>
          </w:p>
        </w:tc>
        <w:tc>
          <w:tcPr>
            <w:tcW w:w="930" w:type="dxa"/>
            <w:vAlign w:val="center"/>
          </w:tcPr>
          <w:p w14:paraId="2A0B0B9A" w14:textId="77777777" w:rsidR="00C4624A" w:rsidRPr="00252A6F" w:rsidRDefault="00C4624A" w:rsidP="00461AA0">
            <w:pPr>
              <w:spacing w:before="20" w:after="20"/>
              <w:jc w:val="right"/>
              <w:rPr>
                <w:rFonts w:eastAsia="Times New Roman"/>
                <w:noProof/>
                <w:sz w:val="20"/>
                <w:szCs w:val="20"/>
              </w:rPr>
            </w:pPr>
            <w:r w:rsidRPr="00252A6F">
              <w:rPr>
                <w:noProof/>
                <w:sz w:val="20"/>
              </w:rPr>
              <w:t xml:space="preserve"> 81,2</w:t>
            </w:r>
          </w:p>
        </w:tc>
        <w:tc>
          <w:tcPr>
            <w:tcW w:w="996" w:type="dxa"/>
            <w:vAlign w:val="center"/>
          </w:tcPr>
          <w:p w14:paraId="04C8E9B7" w14:textId="77777777" w:rsidR="00C4624A" w:rsidRPr="00252A6F" w:rsidRDefault="00C4624A" w:rsidP="00461AA0">
            <w:pPr>
              <w:spacing w:before="20" w:after="20"/>
              <w:jc w:val="right"/>
              <w:rPr>
                <w:rFonts w:eastAsia="Times New Roman"/>
                <w:noProof/>
                <w:sz w:val="20"/>
                <w:szCs w:val="20"/>
              </w:rPr>
            </w:pPr>
            <w:r w:rsidRPr="00252A6F">
              <w:rPr>
                <w:noProof/>
                <w:sz w:val="20"/>
              </w:rPr>
              <w:t xml:space="preserve"> 8,8</w:t>
            </w:r>
          </w:p>
        </w:tc>
        <w:tc>
          <w:tcPr>
            <w:tcW w:w="992" w:type="dxa"/>
            <w:vAlign w:val="center"/>
          </w:tcPr>
          <w:p w14:paraId="2ABAD1FF" w14:textId="77777777" w:rsidR="00C4624A" w:rsidRPr="00252A6F" w:rsidRDefault="00C4624A" w:rsidP="00461AA0">
            <w:pPr>
              <w:spacing w:before="20" w:after="20"/>
              <w:rPr>
                <w:rFonts w:eastAsia="Times New Roman"/>
                <w:noProof/>
                <w:sz w:val="20"/>
                <w:szCs w:val="20"/>
              </w:rPr>
            </w:pPr>
            <w:r w:rsidRPr="00252A6F">
              <w:rPr>
                <w:noProof/>
                <w:sz w:val="20"/>
              </w:rPr>
              <w:t xml:space="preserve"> </w:t>
            </w:r>
          </w:p>
        </w:tc>
        <w:tc>
          <w:tcPr>
            <w:tcW w:w="992" w:type="dxa"/>
            <w:vAlign w:val="center"/>
          </w:tcPr>
          <w:p w14:paraId="5C16E62C" w14:textId="77777777" w:rsidR="00C4624A" w:rsidRPr="00252A6F" w:rsidRDefault="00C4624A" w:rsidP="00461AA0">
            <w:pPr>
              <w:spacing w:before="20" w:after="20"/>
              <w:jc w:val="right"/>
              <w:rPr>
                <w:rFonts w:eastAsia="Times New Roman"/>
                <w:noProof/>
                <w:sz w:val="20"/>
                <w:szCs w:val="20"/>
              </w:rPr>
            </w:pPr>
            <w:r w:rsidRPr="00252A6F">
              <w:rPr>
                <w:noProof/>
                <w:sz w:val="20"/>
              </w:rPr>
              <w:t xml:space="preserve"> </w:t>
            </w:r>
          </w:p>
        </w:tc>
        <w:tc>
          <w:tcPr>
            <w:tcW w:w="2410" w:type="dxa"/>
            <w:vAlign w:val="center"/>
          </w:tcPr>
          <w:p w14:paraId="75890B36" w14:textId="77777777" w:rsidR="00C4624A" w:rsidRPr="00252A6F" w:rsidRDefault="00C4624A" w:rsidP="00461AA0">
            <w:pPr>
              <w:spacing w:before="20" w:after="20"/>
              <w:jc w:val="right"/>
              <w:rPr>
                <w:rFonts w:eastAsia="Times New Roman"/>
                <w:noProof/>
                <w:sz w:val="20"/>
                <w:szCs w:val="20"/>
              </w:rPr>
            </w:pPr>
            <w:r w:rsidRPr="00252A6F">
              <w:rPr>
                <w:b/>
                <w:noProof/>
                <w:sz w:val="20"/>
              </w:rPr>
              <w:t>90,0</w:t>
            </w:r>
          </w:p>
        </w:tc>
      </w:tr>
      <w:tr w:rsidR="00C4624A" w:rsidRPr="00252A6F" w14:paraId="5DF57148" w14:textId="77777777" w:rsidTr="00461AA0">
        <w:trPr>
          <w:trHeight w:val="774"/>
        </w:trPr>
        <w:tc>
          <w:tcPr>
            <w:tcW w:w="14978" w:type="dxa"/>
            <w:gridSpan w:val="12"/>
          </w:tcPr>
          <w:p w14:paraId="3A801013" w14:textId="77777777" w:rsidR="00C4624A" w:rsidRPr="00252A6F" w:rsidRDefault="00C4624A" w:rsidP="00461AA0">
            <w:pPr>
              <w:jc w:val="left"/>
              <w:rPr>
                <w:rFonts w:eastAsia="Times New Roman"/>
                <w:noProof/>
                <w:sz w:val="20"/>
                <w:szCs w:val="20"/>
              </w:rPr>
            </w:pPr>
            <w:r w:rsidRPr="00252A6F">
              <w:rPr>
                <w:noProof/>
                <w:sz w:val="20"/>
              </w:rPr>
              <w:t>□  Makrofinančna pomoč II</w:t>
            </w:r>
          </w:p>
        </w:tc>
      </w:tr>
      <w:tr w:rsidR="00C4624A" w:rsidRPr="00252A6F" w14:paraId="0C576811" w14:textId="77777777" w:rsidTr="00252A6F">
        <w:trPr>
          <w:trHeight w:val="774"/>
        </w:trPr>
        <w:tc>
          <w:tcPr>
            <w:tcW w:w="3960" w:type="dxa"/>
            <w:vMerge w:val="restart"/>
          </w:tcPr>
          <w:p w14:paraId="2C07C2D4" w14:textId="77777777" w:rsidR="00C4624A" w:rsidRPr="00252A6F" w:rsidRDefault="00C4624A" w:rsidP="00461AA0">
            <w:pPr>
              <w:rPr>
                <w:rFonts w:eastAsia="Times New Roman"/>
                <w:noProof/>
                <w:sz w:val="18"/>
                <w:szCs w:val="18"/>
              </w:rPr>
            </w:pPr>
            <w:r w:rsidRPr="00252A6F">
              <w:rPr>
                <w:noProof/>
                <w:sz w:val="18"/>
              </w:rPr>
              <w:t xml:space="preserve">Proračunska vrstica </w:t>
            </w:r>
          </w:p>
          <w:p w14:paraId="40CA1987" w14:textId="77777777" w:rsidR="00C4624A" w:rsidRPr="00252A6F" w:rsidRDefault="00C4624A" w:rsidP="00461AA0">
            <w:pPr>
              <w:rPr>
                <w:rFonts w:eastAsia="Times New Roman"/>
                <w:noProof/>
                <w:sz w:val="18"/>
                <w:szCs w:val="18"/>
              </w:rPr>
            </w:pPr>
            <w:r w:rsidRPr="00252A6F">
              <w:rPr>
                <w:noProof/>
                <w:sz w:val="18"/>
              </w:rPr>
              <w:t>14 02 01 70 . 06 „NDICI – Oblikovanje rezervacij za skupni sklad za rezervacije“</w:t>
            </w:r>
            <w:r w:rsidRPr="00252A6F">
              <w:rPr>
                <w:rStyle w:val="FootnoteReference"/>
                <w:noProof/>
                <w:sz w:val="18"/>
              </w:rPr>
              <w:t xml:space="preserve"> </w:t>
            </w:r>
            <w:r w:rsidRPr="00252A6F">
              <w:rPr>
                <w:rStyle w:val="FootnoteReference"/>
                <w:rFonts w:eastAsia="Times New Roman"/>
                <w:noProof/>
                <w:sz w:val="18"/>
                <w:szCs w:val="18"/>
              </w:rPr>
              <w:footnoteReference w:id="39"/>
            </w:r>
          </w:p>
        </w:tc>
        <w:tc>
          <w:tcPr>
            <w:tcW w:w="1440" w:type="dxa"/>
            <w:gridSpan w:val="2"/>
            <w:vAlign w:val="center"/>
          </w:tcPr>
          <w:p w14:paraId="24423A12" w14:textId="77777777" w:rsidR="00C4624A" w:rsidRPr="00252A6F" w:rsidRDefault="00C4624A" w:rsidP="00461AA0">
            <w:pPr>
              <w:jc w:val="left"/>
              <w:rPr>
                <w:rFonts w:eastAsia="Times New Roman"/>
                <w:noProof/>
                <w:sz w:val="18"/>
                <w:szCs w:val="18"/>
              </w:rPr>
            </w:pPr>
            <w:r w:rsidRPr="00252A6F">
              <w:rPr>
                <w:noProof/>
                <w:sz w:val="18"/>
              </w:rPr>
              <w:t>obveznosti</w:t>
            </w:r>
          </w:p>
        </w:tc>
        <w:tc>
          <w:tcPr>
            <w:tcW w:w="772" w:type="dxa"/>
            <w:vAlign w:val="center"/>
          </w:tcPr>
          <w:p w14:paraId="1BBA78D7" w14:textId="77777777" w:rsidR="00C4624A" w:rsidRPr="00252A6F" w:rsidRDefault="00C4624A" w:rsidP="00461AA0">
            <w:pPr>
              <w:jc w:val="center"/>
              <w:rPr>
                <w:rFonts w:eastAsia="Calibri"/>
                <w:noProof/>
                <w:sz w:val="16"/>
                <w:szCs w:val="16"/>
              </w:rPr>
            </w:pPr>
            <w:r w:rsidRPr="00252A6F">
              <w:rPr>
                <w:noProof/>
                <w:sz w:val="16"/>
              </w:rPr>
              <w:t>(c)</w:t>
            </w:r>
          </w:p>
        </w:tc>
        <w:tc>
          <w:tcPr>
            <w:tcW w:w="750" w:type="dxa"/>
          </w:tcPr>
          <w:p w14:paraId="5BBAA1B3" w14:textId="77777777" w:rsidR="00C4624A" w:rsidRPr="00252A6F" w:rsidRDefault="00C4624A" w:rsidP="00461AA0">
            <w:pPr>
              <w:jc w:val="right"/>
              <w:rPr>
                <w:rFonts w:eastAsia="Times New Roman"/>
                <w:noProof/>
                <w:sz w:val="20"/>
                <w:szCs w:val="20"/>
              </w:rPr>
            </w:pPr>
          </w:p>
        </w:tc>
        <w:tc>
          <w:tcPr>
            <w:tcW w:w="868" w:type="dxa"/>
            <w:vAlign w:val="center"/>
          </w:tcPr>
          <w:p w14:paraId="21DA48D0" w14:textId="77777777" w:rsidR="00C4624A" w:rsidRPr="00252A6F" w:rsidRDefault="00C4624A" w:rsidP="00461AA0">
            <w:pPr>
              <w:jc w:val="right"/>
              <w:rPr>
                <w:rFonts w:eastAsia="Times New Roman"/>
                <w:noProof/>
                <w:sz w:val="20"/>
                <w:szCs w:val="20"/>
              </w:rPr>
            </w:pPr>
            <w:r w:rsidRPr="00252A6F">
              <w:rPr>
                <w:noProof/>
                <w:sz w:val="20"/>
              </w:rPr>
              <w:t>62,4</w:t>
            </w:r>
          </w:p>
        </w:tc>
        <w:tc>
          <w:tcPr>
            <w:tcW w:w="868" w:type="dxa"/>
            <w:vAlign w:val="center"/>
          </w:tcPr>
          <w:p w14:paraId="4E2825E8" w14:textId="77777777" w:rsidR="00C4624A" w:rsidRPr="00252A6F" w:rsidRDefault="00C4624A" w:rsidP="00461AA0">
            <w:pPr>
              <w:jc w:val="right"/>
              <w:rPr>
                <w:rFonts w:eastAsia="Times New Roman"/>
                <w:noProof/>
                <w:sz w:val="20"/>
                <w:szCs w:val="20"/>
              </w:rPr>
            </w:pPr>
            <w:r w:rsidRPr="00252A6F">
              <w:rPr>
                <w:noProof/>
                <w:sz w:val="20"/>
              </w:rPr>
              <w:t>162,6</w:t>
            </w:r>
          </w:p>
        </w:tc>
        <w:tc>
          <w:tcPr>
            <w:tcW w:w="930" w:type="dxa"/>
            <w:vAlign w:val="center"/>
          </w:tcPr>
          <w:p w14:paraId="75432705" w14:textId="77777777" w:rsidR="00C4624A" w:rsidRPr="00252A6F" w:rsidRDefault="00C4624A" w:rsidP="00461AA0">
            <w:pPr>
              <w:jc w:val="right"/>
              <w:rPr>
                <w:rFonts w:eastAsia="Times New Roman"/>
                <w:noProof/>
                <w:sz w:val="20"/>
                <w:szCs w:val="20"/>
              </w:rPr>
            </w:pPr>
            <w:r w:rsidRPr="00252A6F">
              <w:rPr>
                <w:noProof/>
                <w:sz w:val="20"/>
              </w:rPr>
              <w:t>32,5</w:t>
            </w:r>
          </w:p>
        </w:tc>
        <w:tc>
          <w:tcPr>
            <w:tcW w:w="996" w:type="dxa"/>
            <w:vAlign w:val="center"/>
          </w:tcPr>
          <w:p w14:paraId="2C3CE0AE" w14:textId="77777777" w:rsidR="00C4624A" w:rsidRPr="00252A6F" w:rsidRDefault="00C4624A" w:rsidP="00461AA0">
            <w:pPr>
              <w:jc w:val="right"/>
              <w:rPr>
                <w:rFonts w:eastAsia="Times New Roman"/>
                <w:noProof/>
                <w:sz w:val="20"/>
                <w:szCs w:val="20"/>
              </w:rPr>
            </w:pPr>
            <w:r w:rsidRPr="00252A6F">
              <w:rPr>
                <w:noProof/>
                <w:sz w:val="20"/>
              </w:rPr>
              <w:t>143,4</w:t>
            </w:r>
          </w:p>
        </w:tc>
        <w:tc>
          <w:tcPr>
            <w:tcW w:w="992" w:type="dxa"/>
            <w:vAlign w:val="center"/>
          </w:tcPr>
          <w:p w14:paraId="36844269" w14:textId="77777777" w:rsidR="00C4624A" w:rsidRPr="00252A6F" w:rsidRDefault="00C4624A" w:rsidP="00461AA0">
            <w:pPr>
              <w:rPr>
                <w:rFonts w:eastAsia="Times New Roman"/>
                <w:noProof/>
                <w:sz w:val="20"/>
                <w:szCs w:val="20"/>
              </w:rPr>
            </w:pPr>
            <w:r w:rsidRPr="00252A6F">
              <w:rPr>
                <w:noProof/>
                <w:sz w:val="20"/>
              </w:rPr>
              <w:t>49,1</w:t>
            </w:r>
          </w:p>
        </w:tc>
        <w:tc>
          <w:tcPr>
            <w:tcW w:w="992" w:type="dxa"/>
            <w:vAlign w:val="center"/>
          </w:tcPr>
          <w:p w14:paraId="0AF48FC3" w14:textId="77777777" w:rsidR="00C4624A" w:rsidRPr="00252A6F" w:rsidRDefault="00C4624A" w:rsidP="00461AA0">
            <w:pPr>
              <w:jc w:val="right"/>
              <w:rPr>
                <w:rFonts w:eastAsia="Times New Roman"/>
                <w:noProof/>
                <w:sz w:val="20"/>
                <w:szCs w:val="20"/>
              </w:rPr>
            </w:pPr>
          </w:p>
        </w:tc>
        <w:tc>
          <w:tcPr>
            <w:tcW w:w="2410" w:type="dxa"/>
            <w:vAlign w:val="center"/>
          </w:tcPr>
          <w:p w14:paraId="633BE89B" w14:textId="77777777" w:rsidR="00C4624A" w:rsidRPr="00252A6F" w:rsidRDefault="00C4624A" w:rsidP="00461AA0">
            <w:pPr>
              <w:jc w:val="right"/>
              <w:rPr>
                <w:rFonts w:eastAsia="Times New Roman"/>
                <w:b/>
                <w:noProof/>
                <w:sz w:val="20"/>
                <w:szCs w:val="20"/>
              </w:rPr>
            </w:pPr>
            <w:r w:rsidRPr="00252A6F">
              <w:rPr>
                <w:b/>
                <w:noProof/>
                <w:sz w:val="20"/>
              </w:rPr>
              <w:t>450,0</w:t>
            </w:r>
          </w:p>
        </w:tc>
      </w:tr>
      <w:tr w:rsidR="00C4624A" w:rsidRPr="00252A6F" w14:paraId="15A5D64E" w14:textId="77777777" w:rsidTr="00252A6F">
        <w:trPr>
          <w:trHeight w:val="774"/>
        </w:trPr>
        <w:tc>
          <w:tcPr>
            <w:tcW w:w="3960" w:type="dxa"/>
            <w:vMerge/>
          </w:tcPr>
          <w:p w14:paraId="103FFAEB" w14:textId="77777777" w:rsidR="00C4624A" w:rsidRPr="00252A6F" w:rsidRDefault="00C4624A" w:rsidP="00461AA0">
            <w:pPr>
              <w:rPr>
                <w:noProof/>
              </w:rPr>
            </w:pPr>
          </w:p>
        </w:tc>
        <w:tc>
          <w:tcPr>
            <w:tcW w:w="1440" w:type="dxa"/>
            <w:gridSpan w:val="2"/>
            <w:vAlign w:val="center"/>
          </w:tcPr>
          <w:p w14:paraId="0189B954" w14:textId="77777777" w:rsidR="00C4624A" w:rsidRPr="00252A6F" w:rsidRDefault="00C4624A" w:rsidP="00461AA0">
            <w:pPr>
              <w:jc w:val="left"/>
              <w:rPr>
                <w:rFonts w:eastAsia="Times New Roman"/>
                <w:noProof/>
                <w:sz w:val="18"/>
                <w:szCs w:val="18"/>
              </w:rPr>
            </w:pPr>
            <w:r w:rsidRPr="00252A6F">
              <w:rPr>
                <w:noProof/>
                <w:sz w:val="18"/>
              </w:rPr>
              <w:t>plačila</w:t>
            </w:r>
          </w:p>
        </w:tc>
        <w:tc>
          <w:tcPr>
            <w:tcW w:w="772" w:type="dxa"/>
            <w:vAlign w:val="center"/>
          </w:tcPr>
          <w:p w14:paraId="1B978896" w14:textId="77777777" w:rsidR="00C4624A" w:rsidRPr="00252A6F" w:rsidRDefault="00C4624A" w:rsidP="00461AA0">
            <w:pPr>
              <w:jc w:val="center"/>
              <w:rPr>
                <w:rFonts w:eastAsia="Calibri"/>
                <w:noProof/>
                <w:sz w:val="16"/>
                <w:szCs w:val="16"/>
              </w:rPr>
            </w:pPr>
            <w:r w:rsidRPr="00252A6F">
              <w:rPr>
                <w:noProof/>
                <w:sz w:val="16"/>
              </w:rPr>
              <w:t>(d)</w:t>
            </w:r>
          </w:p>
        </w:tc>
        <w:tc>
          <w:tcPr>
            <w:tcW w:w="750" w:type="dxa"/>
          </w:tcPr>
          <w:p w14:paraId="1F5F9765" w14:textId="77777777" w:rsidR="00C4624A" w:rsidRPr="00252A6F" w:rsidRDefault="00C4624A" w:rsidP="00461AA0">
            <w:pPr>
              <w:jc w:val="right"/>
              <w:rPr>
                <w:rFonts w:eastAsia="Times New Roman"/>
                <w:noProof/>
                <w:sz w:val="20"/>
                <w:szCs w:val="20"/>
              </w:rPr>
            </w:pPr>
          </w:p>
        </w:tc>
        <w:tc>
          <w:tcPr>
            <w:tcW w:w="868" w:type="dxa"/>
            <w:vAlign w:val="center"/>
          </w:tcPr>
          <w:p w14:paraId="313FC5D0" w14:textId="77777777" w:rsidR="00C4624A" w:rsidRPr="00252A6F" w:rsidRDefault="00C4624A" w:rsidP="00461AA0">
            <w:pPr>
              <w:jc w:val="right"/>
              <w:rPr>
                <w:rFonts w:eastAsia="Times New Roman"/>
                <w:noProof/>
                <w:sz w:val="20"/>
                <w:szCs w:val="20"/>
              </w:rPr>
            </w:pPr>
          </w:p>
        </w:tc>
        <w:tc>
          <w:tcPr>
            <w:tcW w:w="868" w:type="dxa"/>
            <w:vAlign w:val="center"/>
          </w:tcPr>
          <w:p w14:paraId="76947CA9" w14:textId="77777777" w:rsidR="00C4624A" w:rsidRPr="00252A6F" w:rsidRDefault="00C4624A" w:rsidP="00461AA0">
            <w:pPr>
              <w:jc w:val="right"/>
              <w:rPr>
                <w:rFonts w:eastAsia="Times New Roman"/>
                <w:noProof/>
                <w:sz w:val="20"/>
                <w:szCs w:val="20"/>
              </w:rPr>
            </w:pPr>
          </w:p>
        </w:tc>
        <w:tc>
          <w:tcPr>
            <w:tcW w:w="930" w:type="dxa"/>
            <w:vAlign w:val="center"/>
          </w:tcPr>
          <w:p w14:paraId="397F5B84" w14:textId="77777777" w:rsidR="00C4624A" w:rsidRPr="00252A6F" w:rsidRDefault="00C4624A" w:rsidP="00461AA0">
            <w:pPr>
              <w:jc w:val="right"/>
              <w:rPr>
                <w:rFonts w:eastAsia="Times New Roman"/>
                <w:noProof/>
                <w:sz w:val="20"/>
                <w:szCs w:val="20"/>
              </w:rPr>
            </w:pPr>
          </w:p>
        </w:tc>
        <w:tc>
          <w:tcPr>
            <w:tcW w:w="996" w:type="dxa"/>
            <w:vAlign w:val="center"/>
          </w:tcPr>
          <w:p w14:paraId="65E6996A" w14:textId="77777777" w:rsidR="00C4624A" w:rsidRPr="00252A6F" w:rsidRDefault="00C4624A" w:rsidP="00461AA0">
            <w:pPr>
              <w:jc w:val="right"/>
              <w:rPr>
                <w:rFonts w:eastAsia="Times New Roman"/>
                <w:noProof/>
                <w:sz w:val="20"/>
                <w:szCs w:val="20"/>
              </w:rPr>
            </w:pPr>
            <w:r w:rsidRPr="00252A6F">
              <w:rPr>
                <w:noProof/>
                <w:sz w:val="20"/>
              </w:rPr>
              <w:t>91,2</w:t>
            </w:r>
          </w:p>
        </w:tc>
        <w:tc>
          <w:tcPr>
            <w:tcW w:w="992" w:type="dxa"/>
            <w:vAlign w:val="center"/>
          </w:tcPr>
          <w:p w14:paraId="5A9855C4" w14:textId="77777777" w:rsidR="00C4624A" w:rsidRPr="00252A6F" w:rsidRDefault="00C4624A" w:rsidP="00461AA0">
            <w:pPr>
              <w:rPr>
                <w:rFonts w:eastAsia="Times New Roman"/>
                <w:noProof/>
                <w:sz w:val="20"/>
                <w:szCs w:val="20"/>
              </w:rPr>
            </w:pPr>
            <w:r w:rsidRPr="00252A6F">
              <w:rPr>
                <w:noProof/>
                <w:sz w:val="20"/>
              </w:rPr>
              <w:t>300,0</w:t>
            </w:r>
          </w:p>
        </w:tc>
        <w:tc>
          <w:tcPr>
            <w:tcW w:w="992" w:type="dxa"/>
            <w:vAlign w:val="center"/>
          </w:tcPr>
          <w:p w14:paraId="211F2D60" w14:textId="77777777" w:rsidR="00C4624A" w:rsidRPr="00252A6F" w:rsidRDefault="00C4624A" w:rsidP="00461AA0">
            <w:pPr>
              <w:jc w:val="right"/>
              <w:rPr>
                <w:rFonts w:eastAsia="Times New Roman"/>
                <w:noProof/>
                <w:sz w:val="20"/>
                <w:szCs w:val="20"/>
              </w:rPr>
            </w:pPr>
            <w:r w:rsidRPr="00252A6F">
              <w:rPr>
                <w:noProof/>
                <w:sz w:val="20"/>
              </w:rPr>
              <w:t>58,8</w:t>
            </w:r>
          </w:p>
        </w:tc>
        <w:tc>
          <w:tcPr>
            <w:tcW w:w="2410" w:type="dxa"/>
            <w:vAlign w:val="center"/>
          </w:tcPr>
          <w:p w14:paraId="441C884D" w14:textId="77777777" w:rsidR="00C4624A" w:rsidRPr="00252A6F" w:rsidRDefault="00C4624A" w:rsidP="00461AA0">
            <w:pPr>
              <w:jc w:val="right"/>
              <w:rPr>
                <w:rFonts w:eastAsia="Times New Roman"/>
                <w:b/>
                <w:noProof/>
                <w:sz w:val="20"/>
                <w:szCs w:val="20"/>
              </w:rPr>
            </w:pPr>
            <w:r w:rsidRPr="00252A6F">
              <w:rPr>
                <w:b/>
                <w:noProof/>
                <w:sz w:val="20"/>
              </w:rPr>
              <w:t>450,0</w:t>
            </w:r>
          </w:p>
        </w:tc>
      </w:tr>
      <w:tr w:rsidR="00C4624A" w:rsidRPr="00252A6F" w14:paraId="03A62B2C" w14:textId="77777777" w:rsidTr="00252A6F">
        <w:trPr>
          <w:trHeight w:val="231"/>
        </w:trPr>
        <w:tc>
          <w:tcPr>
            <w:tcW w:w="6172" w:type="dxa"/>
            <w:gridSpan w:val="4"/>
            <w:vAlign w:val="center"/>
          </w:tcPr>
          <w:p w14:paraId="161B2A22" w14:textId="77777777" w:rsidR="00C4624A" w:rsidRPr="00252A6F" w:rsidRDefault="00C4624A" w:rsidP="00461AA0">
            <w:pPr>
              <w:spacing w:before="20" w:after="20"/>
              <w:rPr>
                <w:noProof/>
              </w:rPr>
            </w:pPr>
            <w:r w:rsidRPr="00252A6F">
              <w:rPr>
                <w:noProof/>
                <w:sz w:val="20"/>
              </w:rPr>
              <w:t>□ Odobritve za upravne zadeve, ki se financirajo iz sredstev določenih programov</w:t>
            </w:r>
            <w:r w:rsidRPr="00252A6F">
              <w:rPr>
                <w:rStyle w:val="FootnoteReference"/>
                <w:b/>
                <w:bCs/>
                <w:noProof/>
                <w:sz w:val="20"/>
                <w:szCs w:val="20"/>
              </w:rPr>
              <w:footnoteReference w:id="40"/>
            </w:r>
            <w:r w:rsidRPr="00252A6F">
              <w:rPr>
                <w:noProof/>
                <w:sz w:val="21"/>
              </w:rPr>
              <w:t xml:space="preserve"> </w:t>
            </w:r>
          </w:p>
          <w:p w14:paraId="2B2C0BE1" w14:textId="77777777" w:rsidR="00C4624A" w:rsidRPr="00252A6F" w:rsidRDefault="00C4624A" w:rsidP="00461AA0">
            <w:pPr>
              <w:spacing w:before="0" w:after="0"/>
              <w:rPr>
                <w:noProof/>
              </w:rPr>
            </w:pPr>
          </w:p>
        </w:tc>
        <w:tc>
          <w:tcPr>
            <w:tcW w:w="8806" w:type="dxa"/>
            <w:gridSpan w:val="8"/>
          </w:tcPr>
          <w:p w14:paraId="53D0930D" w14:textId="77777777" w:rsidR="00C4624A" w:rsidRPr="00252A6F" w:rsidRDefault="00C4624A" w:rsidP="00461AA0">
            <w:pPr>
              <w:rPr>
                <w:rFonts w:eastAsia="Times New Roman"/>
                <w:b/>
                <w:noProof/>
                <w:sz w:val="20"/>
                <w:szCs w:val="20"/>
              </w:rPr>
            </w:pPr>
          </w:p>
        </w:tc>
      </w:tr>
      <w:tr w:rsidR="00C4624A" w:rsidRPr="00252A6F" w14:paraId="5DDD48EF" w14:textId="77777777" w:rsidTr="00252A6F">
        <w:trPr>
          <w:trHeight w:val="319"/>
        </w:trPr>
        <w:tc>
          <w:tcPr>
            <w:tcW w:w="3960" w:type="dxa"/>
            <w:vMerge w:val="restart"/>
            <w:vAlign w:val="center"/>
          </w:tcPr>
          <w:p w14:paraId="18D2FB79" w14:textId="77777777" w:rsidR="00C4624A" w:rsidRPr="00252A6F" w:rsidRDefault="00C4624A" w:rsidP="00461AA0">
            <w:pPr>
              <w:rPr>
                <w:rFonts w:eastAsia="Times New Roman"/>
                <w:noProof/>
                <w:sz w:val="18"/>
                <w:szCs w:val="18"/>
              </w:rPr>
            </w:pPr>
            <w:r w:rsidRPr="00252A6F">
              <w:rPr>
                <w:noProof/>
                <w:sz w:val="18"/>
              </w:rPr>
              <w:t>Proračunska vrstica</w:t>
            </w:r>
          </w:p>
          <w:p w14:paraId="7106052E" w14:textId="77777777" w:rsidR="00C4624A" w:rsidRPr="00252A6F" w:rsidRDefault="00C4624A" w:rsidP="00461AA0">
            <w:pPr>
              <w:rPr>
                <w:rFonts w:eastAsia="Times New Roman"/>
                <w:noProof/>
                <w:sz w:val="18"/>
                <w:szCs w:val="18"/>
              </w:rPr>
            </w:pPr>
            <w:r w:rsidRPr="00252A6F">
              <w:rPr>
                <w:noProof/>
                <w:sz w:val="18"/>
              </w:rPr>
              <w:t>14 20 03 . 01 Nepovratna sredstva za makrofinančno pomoč</w:t>
            </w:r>
          </w:p>
        </w:tc>
        <w:tc>
          <w:tcPr>
            <w:tcW w:w="1440" w:type="dxa"/>
            <w:gridSpan w:val="2"/>
            <w:vAlign w:val="center"/>
          </w:tcPr>
          <w:p w14:paraId="0F01A6B5" w14:textId="77777777" w:rsidR="00C4624A" w:rsidRPr="00252A6F" w:rsidRDefault="00C4624A" w:rsidP="00461AA0">
            <w:pPr>
              <w:spacing w:before="40" w:after="40"/>
              <w:jc w:val="left"/>
              <w:rPr>
                <w:noProof/>
                <w:sz w:val="18"/>
                <w:szCs w:val="18"/>
              </w:rPr>
            </w:pPr>
            <w:r w:rsidRPr="00252A6F">
              <w:rPr>
                <w:noProof/>
                <w:sz w:val="18"/>
              </w:rPr>
              <w:t xml:space="preserve">obveznosti </w:t>
            </w:r>
          </w:p>
        </w:tc>
        <w:tc>
          <w:tcPr>
            <w:tcW w:w="772" w:type="dxa"/>
            <w:vAlign w:val="center"/>
          </w:tcPr>
          <w:p w14:paraId="4D651DEF" w14:textId="77777777" w:rsidR="00C4624A" w:rsidRPr="00252A6F" w:rsidRDefault="00C4624A" w:rsidP="00461AA0">
            <w:pPr>
              <w:spacing w:before="40" w:after="40"/>
              <w:jc w:val="center"/>
              <w:rPr>
                <w:noProof/>
                <w:sz w:val="14"/>
                <w:szCs w:val="14"/>
              </w:rPr>
            </w:pPr>
            <w:r w:rsidRPr="00252A6F">
              <w:rPr>
                <w:noProof/>
                <w:sz w:val="14"/>
              </w:rPr>
              <w:t>(c)</w:t>
            </w:r>
          </w:p>
        </w:tc>
        <w:tc>
          <w:tcPr>
            <w:tcW w:w="750" w:type="dxa"/>
          </w:tcPr>
          <w:p w14:paraId="3B3A2BCC" w14:textId="77777777" w:rsidR="00C4624A" w:rsidRPr="00252A6F" w:rsidRDefault="00C4624A" w:rsidP="00461AA0">
            <w:pPr>
              <w:spacing w:before="40" w:after="40"/>
              <w:jc w:val="right"/>
              <w:rPr>
                <w:rFonts w:eastAsia="Times New Roman"/>
                <w:b/>
                <w:noProof/>
                <w:sz w:val="20"/>
                <w:szCs w:val="20"/>
              </w:rPr>
            </w:pPr>
          </w:p>
        </w:tc>
        <w:tc>
          <w:tcPr>
            <w:tcW w:w="868" w:type="dxa"/>
            <w:vAlign w:val="center"/>
          </w:tcPr>
          <w:p w14:paraId="41AF0002" w14:textId="77777777" w:rsidR="00C4624A" w:rsidRPr="00252A6F" w:rsidRDefault="00C4624A" w:rsidP="00461AA0">
            <w:pPr>
              <w:spacing w:before="40" w:after="40"/>
              <w:jc w:val="right"/>
              <w:rPr>
                <w:rFonts w:eastAsia="Times New Roman"/>
                <w:noProof/>
                <w:sz w:val="20"/>
                <w:szCs w:val="20"/>
              </w:rPr>
            </w:pPr>
            <w:r w:rsidRPr="00252A6F">
              <w:rPr>
                <w:noProof/>
                <w:sz w:val="20"/>
              </w:rPr>
              <w:t>0,15</w:t>
            </w:r>
          </w:p>
        </w:tc>
        <w:tc>
          <w:tcPr>
            <w:tcW w:w="868" w:type="dxa"/>
            <w:vAlign w:val="center"/>
          </w:tcPr>
          <w:p w14:paraId="71A030D4" w14:textId="77777777" w:rsidR="00C4624A" w:rsidRPr="00252A6F" w:rsidRDefault="00C4624A" w:rsidP="00461AA0">
            <w:pPr>
              <w:spacing w:before="40" w:after="40"/>
              <w:jc w:val="right"/>
              <w:rPr>
                <w:rFonts w:eastAsia="Times New Roman"/>
                <w:noProof/>
                <w:sz w:val="20"/>
                <w:szCs w:val="20"/>
              </w:rPr>
            </w:pPr>
          </w:p>
        </w:tc>
        <w:tc>
          <w:tcPr>
            <w:tcW w:w="930" w:type="dxa"/>
            <w:vAlign w:val="center"/>
          </w:tcPr>
          <w:p w14:paraId="297E28A2" w14:textId="77777777" w:rsidR="00C4624A" w:rsidRPr="00252A6F" w:rsidRDefault="00C4624A" w:rsidP="00461AA0">
            <w:pPr>
              <w:spacing w:before="40" w:after="40"/>
              <w:jc w:val="right"/>
              <w:rPr>
                <w:rFonts w:eastAsia="Times New Roman"/>
                <w:noProof/>
                <w:sz w:val="20"/>
                <w:szCs w:val="20"/>
              </w:rPr>
            </w:pPr>
          </w:p>
        </w:tc>
        <w:tc>
          <w:tcPr>
            <w:tcW w:w="996" w:type="dxa"/>
            <w:vAlign w:val="center"/>
          </w:tcPr>
          <w:p w14:paraId="67E98CD1" w14:textId="77777777" w:rsidR="00C4624A" w:rsidRPr="00252A6F" w:rsidRDefault="00C4624A" w:rsidP="00461AA0">
            <w:pPr>
              <w:spacing w:before="40" w:after="40"/>
              <w:jc w:val="right"/>
              <w:rPr>
                <w:rFonts w:eastAsia="Times New Roman"/>
                <w:noProof/>
                <w:sz w:val="20"/>
                <w:szCs w:val="20"/>
              </w:rPr>
            </w:pPr>
            <w:r w:rsidRPr="00252A6F">
              <w:rPr>
                <w:noProof/>
                <w:sz w:val="20"/>
              </w:rPr>
              <w:t>0,15</w:t>
            </w:r>
          </w:p>
        </w:tc>
        <w:tc>
          <w:tcPr>
            <w:tcW w:w="992" w:type="dxa"/>
          </w:tcPr>
          <w:p w14:paraId="05CC1016" w14:textId="77777777" w:rsidR="00C4624A" w:rsidRPr="00252A6F" w:rsidRDefault="00C4624A" w:rsidP="00461AA0">
            <w:pPr>
              <w:spacing w:before="40" w:after="40"/>
              <w:jc w:val="right"/>
              <w:rPr>
                <w:rFonts w:eastAsia="Times New Roman"/>
                <w:b/>
                <w:noProof/>
                <w:sz w:val="20"/>
                <w:szCs w:val="20"/>
              </w:rPr>
            </w:pPr>
          </w:p>
        </w:tc>
        <w:tc>
          <w:tcPr>
            <w:tcW w:w="992" w:type="dxa"/>
          </w:tcPr>
          <w:p w14:paraId="0091CD86" w14:textId="77777777" w:rsidR="00C4624A" w:rsidRPr="00252A6F" w:rsidRDefault="00C4624A" w:rsidP="00461AA0">
            <w:pPr>
              <w:spacing w:before="40" w:after="40"/>
              <w:jc w:val="right"/>
              <w:rPr>
                <w:rFonts w:eastAsia="Times New Roman"/>
                <w:b/>
                <w:noProof/>
                <w:sz w:val="20"/>
                <w:szCs w:val="20"/>
              </w:rPr>
            </w:pPr>
          </w:p>
        </w:tc>
        <w:tc>
          <w:tcPr>
            <w:tcW w:w="2410" w:type="dxa"/>
            <w:vAlign w:val="center"/>
          </w:tcPr>
          <w:p w14:paraId="748643A0" w14:textId="77777777" w:rsidR="00C4624A" w:rsidRPr="00252A6F" w:rsidRDefault="00C4624A" w:rsidP="00461AA0">
            <w:pPr>
              <w:spacing w:before="40" w:after="40"/>
              <w:jc w:val="right"/>
              <w:rPr>
                <w:rFonts w:eastAsia="Times New Roman"/>
                <w:b/>
                <w:bCs/>
                <w:noProof/>
                <w:sz w:val="20"/>
                <w:szCs w:val="20"/>
              </w:rPr>
            </w:pPr>
            <w:r w:rsidRPr="00252A6F">
              <w:rPr>
                <w:b/>
                <w:noProof/>
                <w:sz w:val="20"/>
              </w:rPr>
              <w:t>0,3</w:t>
            </w:r>
          </w:p>
        </w:tc>
      </w:tr>
      <w:tr w:rsidR="00C4624A" w:rsidRPr="00252A6F" w14:paraId="23EBBED2" w14:textId="77777777" w:rsidTr="00252A6F">
        <w:trPr>
          <w:trHeight w:val="319"/>
        </w:trPr>
        <w:tc>
          <w:tcPr>
            <w:tcW w:w="3960" w:type="dxa"/>
            <w:vMerge/>
            <w:vAlign w:val="center"/>
          </w:tcPr>
          <w:p w14:paraId="0D43EF4A" w14:textId="77777777" w:rsidR="00C4624A" w:rsidRPr="00252A6F" w:rsidRDefault="00C4624A" w:rsidP="00461AA0">
            <w:pPr>
              <w:rPr>
                <w:noProof/>
                <w:sz w:val="20"/>
                <w:szCs w:val="20"/>
              </w:rPr>
            </w:pPr>
          </w:p>
        </w:tc>
        <w:tc>
          <w:tcPr>
            <w:tcW w:w="1440" w:type="dxa"/>
            <w:gridSpan w:val="2"/>
            <w:vAlign w:val="center"/>
          </w:tcPr>
          <w:p w14:paraId="023FA408" w14:textId="77777777" w:rsidR="00C4624A" w:rsidRPr="00252A6F" w:rsidRDefault="00C4624A" w:rsidP="00461AA0">
            <w:pPr>
              <w:jc w:val="left"/>
              <w:rPr>
                <w:noProof/>
                <w:sz w:val="18"/>
                <w:szCs w:val="18"/>
              </w:rPr>
            </w:pPr>
            <w:r w:rsidRPr="00252A6F">
              <w:rPr>
                <w:noProof/>
                <w:sz w:val="18"/>
              </w:rPr>
              <w:t>plačila</w:t>
            </w:r>
          </w:p>
        </w:tc>
        <w:tc>
          <w:tcPr>
            <w:tcW w:w="772" w:type="dxa"/>
            <w:vAlign w:val="center"/>
          </w:tcPr>
          <w:p w14:paraId="5E847895" w14:textId="77777777" w:rsidR="00C4624A" w:rsidRPr="00252A6F" w:rsidRDefault="00C4624A" w:rsidP="00461AA0">
            <w:pPr>
              <w:jc w:val="center"/>
              <w:rPr>
                <w:noProof/>
                <w:sz w:val="14"/>
                <w:szCs w:val="14"/>
              </w:rPr>
            </w:pPr>
            <w:r w:rsidRPr="00252A6F">
              <w:rPr>
                <w:noProof/>
                <w:sz w:val="14"/>
              </w:rPr>
              <w:t>(d)</w:t>
            </w:r>
          </w:p>
        </w:tc>
        <w:tc>
          <w:tcPr>
            <w:tcW w:w="750" w:type="dxa"/>
          </w:tcPr>
          <w:p w14:paraId="1B12D662" w14:textId="77777777" w:rsidR="00C4624A" w:rsidRPr="00252A6F" w:rsidRDefault="00C4624A" w:rsidP="00461AA0">
            <w:pPr>
              <w:jc w:val="right"/>
              <w:rPr>
                <w:rFonts w:eastAsia="Times New Roman"/>
                <w:b/>
                <w:noProof/>
                <w:sz w:val="20"/>
                <w:szCs w:val="20"/>
              </w:rPr>
            </w:pPr>
          </w:p>
        </w:tc>
        <w:tc>
          <w:tcPr>
            <w:tcW w:w="868" w:type="dxa"/>
            <w:vAlign w:val="center"/>
          </w:tcPr>
          <w:p w14:paraId="3CB72772" w14:textId="77777777" w:rsidR="00C4624A" w:rsidRPr="00252A6F" w:rsidRDefault="00C4624A" w:rsidP="00461AA0">
            <w:pPr>
              <w:jc w:val="right"/>
              <w:rPr>
                <w:rFonts w:eastAsia="Times New Roman"/>
                <w:noProof/>
                <w:sz w:val="20"/>
                <w:szCs w:val="20"/>
              </w:rPr>
            </w:pPr>
            <w:r w:rsidRPr="00252A6F">
              <w:rPr>
                <w:noProof/>
                <w:sz w:val="20"/>
              </w:rPr>
              <w:t>0,15</w:t>
            </w:r>
          </w:p>
        </w:tc>
        <w:tc>
          <w:tcPr>
            <w:tcW w:w="868" w:type="dxa"/>
            <w:vAlign w:val="center"/>
          </w:tcPr>
          <w:p w14:paraId="597122F2" w14:textId="77777777" w:rsidR="00C4624A" w:rsidRPr="00252A6F" w:rsidRDefault="00C4624A" w:rsidP="00461AA0">
            <w:pPr>
              <w:jc w:val="right"/>
              <w:rPr>
                <w:rFonts w:eastAsia="Times New Roman"/>
                <w:noProof/>
                <w:sz w:val="20"/>
                <w:szCs w:val="20"/>
              </w:rPr>
            </w:pPr>
          </w:p>
        </w:tc>
        <w:tc>
          <w:tcPr>
            <w:tcW w:w="930" w:type="dxa"/>
            <w:vAlign w:val="center"/>
          </w:tcPr>
          <w:p w14:paraId="64567248" w14:textId="77777777" w:rsidR="00C4624A" w:rsidRPr="00252A6F" w:rsidRDefault="00C4624A" w:rsidP="00461AA0">
            <w:pPr>
              <w:jc w:val="right"/>
              <w:rPr>
                <w:rFonts w:eastAsia="Times New Roman"/>
                <w:noProof/>
                <w:sz w:val="20"/>
                <w:szCs w:val="20"/>
              </w:rPr>
            </w:pPr>
          </w:p>
        </w:tc>
        <w:tc>
          <w:tcPr>
            <w:tcW w:w="996" w:type="dxa"/>
            <w:vAlign w:val="center"/>
          </w:tcPr>
          <w:p w14:paraId="636B2239" w14:textId="77777777" w:rsidR="00C4624A" w:rsidRPr="00252A6F" w:rsidRDefault="00C4624A" w:rsidP="00461AA0">
            <w:pPr>
              <w:spacing w:before="40" w:after="40"/>
              <w:jc w:val="right"/>
              <w:rPr>
                <w:rFonts w:eastAsia="Times New Roman"/>
                <w:noProof/>
                <w:sz w:val="20"/>
                <w:szCs w:val="20"/>
              </w:rPr>
            </w:pPr>
          </w:p>
          <w:p w14:paraId="200CDE65" w14:textId="77777777" w:rsidR="00C4624A" w:rsidRPr="00252A6F" w:rsidRDefault="00C4624A" w:rsidP="00461AA0">
            <w:pPr>
              <w:spacing w:before="40" w:after="40"/>
              <w:jc w:val="right"/>
              <w:rPr>
                <w:rFonts w:eastAsia="Times New Roman"/>
                <w:noProof/>
                <w:sz w:val="20"/>
                <w:szCs w:val="20"/>
              </w:rPr>
            </w:pPr>
            <w:r w:rsidRPr="00252A6F">
              <w:rPr>
                <w:noProof/>
                <w:sz w:val="20"/>
              </w:rPr>
              <w:t>0,15</w:t>
            </w:r>
          </w:p>
        </w:tc>
        <w:tc>
          <w:tcPr>
            <w:tcW w:w="992" w:type="dxa"/>
          </w:tcPr>
          <w:p w14:paraId="28BC7B92" w14:textId="77777777" w:rsidR="00C4624A" w:rsidRPr="00252A6F" w:rsidRDefault="00C4624A" w:rsidP="00461AA0">
            <w:pPr>
              <w:jc w:val="right"/>
              <w:rPr>
                <w:rFonts w:eastAsia="Times New Roman"/>
                <w:b/>
                <w:noProof/>
                <w:sz w:val="20"/>
                <w:szCs w:val="20"/>
              </w:rPr>
            </w:pPr>
          </w:p>
        </w:tc>
        <w:tc>
          <w:tcPr>
            <w:tcW w:w="992" w:type="dxa"/>
          </w:tcPr>
          <w:p w14:paraId="61DD5053" w14:textId="77777777" w:rsidR="00C4624A" w:rsidRPr="00252A6F" w:rsidRDefault="00C4624A" w:rsidP="00461AA0">
            <w:pPr>
              <w:jc w:val="right"/>
              <w:rPr>
                <w:rFonts w:eastAsia="Times New Roman"/>
                <w:b/>
                <w:noProof/>
                <w:sz w:val="20"/>
                <w:szCs w:val="20"/>
              </w:rPr>
            </w:pPr>
          </w:p>
        </w:tc>
        <w:tc>
          <w:tcPr>
            <w:tcW w:w="2410" w:type="dxa"/>
            <w:vAlign w:val="center"/>
          </w:tcPr>
          <w:p w14:paraId="025F7A84" w14:textId="77777777" w:rsidR="00C4624A" w:rsidRPr="00252A6F" w:rsidRDefault="00C4624A" w:rsidP="00461AA0">
            <w:pPr>
              <w:jc w:val="right"/>
              <w:rPr>
                <w:rFonts w:eastAsia="Times New Roman"/>
                <w:b/>
                <w:bCs/>
                <w:noProof/>
                <w:sz w:val="20"/>
                <w:szCs w:val="20"/>
              </w:rPr>
            </w:pPr>
            <w:r w:rsidRPr="00252A6F">
              <w:rPr>
                <w:b/>
                <w:noProof/>
                <w:sz w:val="20"/>
              </w:rPr>
              <w:t>0,3</w:t>
            </w:r>
          </w:p>
        </w:tc>
      </w:tr>
      <w:tr w:rsidR="00C4624A" w:rsidRPr="00252A6F" w14:paraId="4FF4CD66" w14:textId="77777777" w:rsidTr="00252A6F">
        <w:tc>
          <w:tcPr>
            <w:tcW w:w="3960" w:type="dxa"/>
            <w:vMerge w:val="restart"/>
            <w:vAlign w:val="center"/>
          </w:tcPr>
          <w:p w14:paraId="26043FDB" w14:textId="77777777" w:rsidR="00C4624A" w:rsidRPr="00252A6F" w:rsidRDefault="00C4624A" w:rsidP="00461AA0">
            <w:pPr>
              <w:jc w:val="center"/>
              <w:rPr>
                <w:b/>
                <w:bCs/>
                <w:noProof/>
              </w:rPr>
            </w:pPr>
            <w:r w:rsidRPr="00252A6F">
              <w:rPr>
                <w:b/>
                <w:noProof/>
                <w:sz w:val="22"/>
              </w:rPr>
              <w:t>Odobritve za GD ECFIN SKUPAJ</w:t>
            </w:r>
          </w:p>
        </w:tc>
        <w:tc>
          <w:tcPr>
            <w:tcW w:w="1440" w:type="dxa"/>
            <w:gridSpan w:val="2"/>
            <w:vAlign w:val="center"/>
          </w:tcPr>
          <w:p w14:paraId="0C127C91" w14:textId="77777777" w:rsidR="00C4624A" w:rsidRPr="00252A6F" w:rsidRDefault="00C4624A" w:rsidP="00461AA0">
            <w:pPr>
              <w:rPr>
                <w:noProof/>
                <w:sz w:val="18"/>
                <w:szCs w:val="18"/>
              </w:rPr>
            </w:pPr>
            <w:r w:rsidRPr="00252A6F">
              <w:rPr>
                <w:noProof/>
                <w:sz w:val="18"/>
              </w:rPr>
              <w:t>obveznosti</w:t>
            </w:r>
          </w:p>
        </w:tc>
        <w:tc>
          <w:tcPr>
            <w:tcW w:w="772" w:type="dxa"/>
            <w:vAlign w:val="center"/>
          </w:tcPr>
          <w:p w14:paraId="3C418F82" w14:textId="77777777" w:rsidR="00C4624A" w:rsidRPr="00252A6F" w:rsidRDefault="00C4624A" w:rsidP="00461AA0">
            <w:pPr>
              <w:jc w:val="center"/>
              <w:rPr>
                <w:rFonts w:eastAsia="Calibri"/>
                <w:noProof/>
                <w:szCs w:val="24"/>
              </w:rPr>
            </w:pPr>
            <w:r w:rsidRPr="00252A6F">
              <w:rPr>
                <w:noProof/>
                <w:sz w:val="14"/>
              </w:rPr>
              <w:t>Skupaj (c)</w:t>
            </w:r>
          </w:p>
        </w:tc>
        <w:tc>
          <w:tcPr>
            <w:tcW w:w="750" w:type="dxa"/>
          </w:tcPr>
          <w:p w14:paraId="3A2B36FC" w14:textId="77777777" w:rsidR="00C4624A" w:rsidRPr="00252A6F" w:rsidRDefault="00C4624A" w:rsidP="00461AA0">
            <w:pPr>
              <w:spacing w:before="20" w:after="20"/>
              <w:jc w:val="right"/>
              <w:rPr>
                <w:rFonts w:eastAsia="Times New Roman"/>
                <w:b/>
                <w:noProof/>
                <w:sz w:val="20"/>
                <w:szCs w:val="20"/>
              </w:rPr>
            </w:pPr>
          </w:p>
          <w:p w14:paraId="26E92356" w14:textId="77777777" w:rsidR="00C4624A" w:rsidRPr="00252A6F" w:rsidRDefault="00C4624A" w:rsidP="00461AA0">
            <w:pPr>
              <w:spacing w:before="20" w:after="20"/>
              <w:jc w:val="right"/>
              <w:rPr>
                <w:rFonts w:eastAsia="Times New Roman"/>
                <w:b/>
                <w:bCs/>
                <w:noProof/>
                <w:sz w:val="20"/>
                <w:szCs w:val="20"/>
              </w:rPr>
            </w:pPr>
            <w:r w:rsidRPr="00252A6F">
              <w:rPr>
                <w:b/>
                <w:noProof/>
                <w:sz w:val="20"/>
              </w:rPr>
              <w:t>27,3</w:t>
            </w:r>
          </w:p>
          <w:p w14:paraId="58FD6026" w14:textId="77777777" w:rsidR="00C4624A" w:rsidRPr="00252A6F" w:rsidRDefault="00C4624A" w:rsidP="00461AA0">
            <w:pPr>
              <w:spacing w:before="20" w:after="20"/>
              <w:jc w:val="right"/>
              <w:rPr>
                <w:rFonts w:eastAsia="Times New Roman"/>
                <w:b/>
                <w:noProof/>
                <w:sz w:val="20"/>
                <w:szCs w:val="20"/>
              </w:rPr>
            </w:pPr>
          </w:p>
        </w:tc>
        <w:tc>
          <w:tcPr>
            <w:tcW w:w="868" w:type="dxa"/>
            <w:vAlign w:val="center"/>
          </w:tcPr>
          <w:p w14:paraId="0B5E7DB4" w14:textId="77777777" w:rsidR="00C4624A" w:rsidRPr="00252A6F" w:rsidRDefault="00C4624A" w:rsidP="00461AA0">
            <w:pPr>
              <w:spacing w:before="20" w:after="20"/>
              <w:jc w:val="right"/>
              <w:rPr>
                <w:rFonts w:eastAsia="Times New Roman"/>
                <w:b/>
                <w:bCs/>
                <w:noProof/>
                <w:sz w:val="20"/>
                <w:szCs w:val="20"/>
              </w:rPr>
            </w:pPr>
            <w:r w:rsidRPr="00252A6F">
              <w:rPr>
                <w:b/>
                <w:noProof/>
                <w:sz w:val="20"/>
              </w:rPr>
              <w:t>125,2</w:t>
            </w:r>
          </w:p>
        </w:tc>
        <w:tc>
          <w:tcPr>
            <w:tcW w:w="868" w:type="dxa"/>
            <w:vAlign w:val="center"/>
          </w:tcPr>
          <w:p w14:paraId="43092B72" w14:textId="77777777" w:rsidR="00C4624A" w:rsidRPr="00252A6F" w:rsidRDefault="00C4624A" w:rsidP="00461AA0">
            <w:pPr>
              <w:spacing w:before="20" w:after="20"/>
              <w:jc w:val="right"/>
              <w:rPr>
                <w:rFonts w:eastAsia="Times New Roman"/>
                <w:b/>
                <w:noProof/>
                <w:sz w:val="20"/>
                <w:szCs w:val="20"/>
              </w:rPr>
            </w:pPr>
            <w:r w:rsidRPr="00252A6F">
              <w:rPr>
                <w:b/>
                <w:noProof/>
                <w:sz w:val="20"/>
              </w:rPr>
              <w:t>162,6</w:t>
            </w:r>
          </w:p>
        </w:tc>
        <w:tc>
          <w:tcPr>
            <w:tcW w:w="930" w:type="dxa"/>
            <w:vAlign w:val="center"/>
          </w:tcPr>
          <w:p w14:paraId="51D49213" w14:textId="77777777" w:rsidR="00C4624A" w:rsidRPr="00252A6F" w:rsidRDefault="00C4624A" w:rsidP="00461AA0">
            <w:pPr>
              <w:spacing w:before="20" w:after="20"/>
              <w:jc w:val="right"/>
              <w:rPr>
                <w:rFonts w:eastAsia="Times New Roman"/>
                <w:b/>
                <w:noProof/>
                <w:sz w:val="20"/>
                <w:szCs w:val="20"/>
              </w:rPr>
            </w:pPr>
            <w:r w:rsidRPr="00252A6F">
              <w:rPr>
                <w:b/>
                <w:noProof/>
                <w:sz w:val="20"/>
              </w:rPr>
              <w:t>32,5</w:t>
            </w:r>
          </w:p>
        </w:tc>
        <w:tc>
          <w:tcPr>
            <w:tcW w:w="996" w:type="dxa"/>
            <w:vAlign w:val="center"/>
          </w:tcPr>
          <w:p w14:paraId="62F4BEB0" w14:textId="77777777" w:rsidR="00C4624A" w:rsidRPr="00252A6F" w:rsidRDefault="00C4624A" w:rsidP="00461AA0">
            <w:pPr>
              <w:spacing w:before="20" w:after="20"/>
              <w:jc w:val="right"/>
              <w:rPr>
                <w:rFonts w:eastAsia="Times New Roman"/>
                <w:b/>
                <w:noProof/>
                <w:sz w:val="20"/>
                <w:szCs w:val="20"/>
              </w:rPr>
            </w:pPr>
            <w:r w:rsidRPr="00252A6F">
              <w:rPr>
                <w:b/>
                <w:noProof/>
                <w:sz w:val="20"/>
              </w:rPr>
              <w:t>143,55</w:t>
            </w:r>
          </w:p>
        </w:tc>
        <w:tc>
          <w:tcPr>
            <w:tcW w:w="992" w:type="dxa"/>
          </w:tcPr>
          <w:p w14:paraId="62445355" w14:textId="77777777" w:rsidR="00C4624A" w:rsidRPr="00252A6F" w:rsidRDefault="00C4624A" w:rsidP="00461AA0">
            <w:pPr>
              <w:spacing w:before="20" w:after="20"/>
              <w:jc w:val="right"/>
              <w:rPr>
                <w:rFonts w:eastAsia="Times New Roman"/>
                <w:b/>
                <w:noProof/>
                <w:sz w:val="20"/>
                <w:szCs w:val="20"/>
              </w:rPr>
            </w:pPr>
          </w:p>
          <w:p w14:paraId="723DC535" w14:textId="77777777" w:rsidR="00C4624A" w:rsidRPr="00252A6F" w:rsidRDefault="00C4624A" w:rsidP="00461AA0">
            <w:pPr>
              <w:spacing w:before="20" w:after="20"/>
              <w:jc w:val="right"/>
              <w:rPr>
                <w:rFonts w:eastAsia="Times New Roman"/>
                <w:b/>
                <w:bCs/>
                <w:noProof/>
                <w:sz w:val="20"/>
                <w:szCs w:val="20"/>
              </w:rPr>
            </w:pPr>
            <w:r w:rsidRPr="00252A6F">
              <w:rPr>
                <w:b/>
                <w:noProof/>
                <w:sz w:val="20"/>
              </w:rPr>
              <w:t>49,1</w:t>
            </w:r>
          </w:p>
          <w:p w14:paraId="46C38095" w14:textId="77777777" w:rsidR="00C4624A" w:rsidRPr="00252A6F" w:rsidRDefault="00C4624A" w:rsidP="00461AA0">
            <w:pPr>
              <w:spacing w:before="20" w:after="20"/>
              <w:jc w:val="right"/>
              <w:rPr>
                <w:rFonts w:eastAsia="Times New Roman"/>
                <w:b/>
                <w:noProof/>
                <w:sz w:val="20"/>
                <w:szCs w:val="20"/>
              </w:rPr>
            </w:pPr>
          </w:p>
        </w:tc>
        <w:tc>
          <w:tcPr>
            <w:tcW w:w="992" w:type="dxa"/>
          </w:tcPr>
          <w:p w14:paraId="5528B78F" w14:textId="77777777" w:rsidR="00C4624A" w:rsidRPr="00252A6F" w:rsidRDefault="00C4624A" w:rsidP="00461AA0">
            <w:pPr>
              <w:spacing w:before="20" w:after="20"/>
              <w:jc w:val="right"/>
              <w:rPr>
                <w:rFonts w:eastAsia="Times New Roman"/>
                <w:b/>
                <w:noProof/>
                <w:sz w:val="20"/>
                <w:szCs w:val="20"/>
              </w:rPr>
            </w:pPr>
          </w:p>
          <w:p w14:paraId="1616C437" w14:textId="77777777" w:rsidR="00C4624A" w:rsidRPr="00252A6F" w:rsidRDefault="00C4624A" w:rsidP="00461AA0">
            <w:pPr>
              <w:spacing w:before="20" w:after="20"/>
              <w:jc w:val="right"/>
              <w:rPr>
                <w:rFonts w:eastAsia="Times New Roman"/>
                <w:b/>
                <w:noProof/>
                <w:sz w:val="20"/>
                <w:szCs w:val="20"/>
              </w:rPr>
            </w:pPr>
          </w:p>
        </w:tc>
        <w:tc>
          <w:tcPr>
            <w:tcW w:w="2410" w:type="dxa"/>
          </w:tcPr>
          <w:p w14:paraId="02722E9A" w14:textId="77777777" w:rsidR="00C4624A" w:rsidRPr="00252A6F" w:rsidRDefault="00C4624A" w:rsidP="00461AA0">
            <w:pPr>
              <w:spacing w:before="20" w:after="20"/>
              <w:jc w:val="right"/>
              <w:rPr>
                <w:rFonts w:eastAsia="Times New Roman"/>
                <w:b/>
                <w:noProof/>
                <w:sz w:val="20"/>
                <w:szCs w:val="20"/>
              </w:rPr>
            </w:pPr>
          </w:p>
          <w:p w14:paraId="71727B65" w14:textId="77777777" w:rsidR="00C4624A" w:rsidRPr="00252A6F" w:rsidRDefault="00C4624A" w:rsidP="00461AA0">
            <w:pPr>
              <w:spacing w:before="20" w:after="20"/>
              <w:jc w:val="right"/>
              <w:rPr>
                <w:rFonts w:eastAsia="Times New Roman"/>
                <w:b/>
                <w:bCs/>
                <w:noProof/>
                <w:sz w:val="20"/>
                <w:szCs w:val="20"/>
              </w:rPr>
            </w:pPr>
            <w:r w:rsidRPr="00252A6F">
              <w:rPr>
                <w:b/>
                <w:noProof/>
                <w:sz w:val="20"/>
              </w:rPr>
              <w:t>540,3</w:t>
            </w:r>
          </w:p>
        </w:tc>
      </w:tr>
      <w:tr w:rsidR="00C4624A" w:rsidRPr="00252A6F" w14:paraId="22D1F6D4" w14:textId="77777777" w:rsidTr="00252A6F">
        <w:tc>
          <w:tcPr>
            <w:tcW w:w="3960" w:type="dxa"/>
            <w:vMerge/>
          </w:tcPr>
          <w:p w14:paraId="7D78AE9F" w14:textId="77777777" w:rsidR="00C4624A" w:rsidRPr="00252A6F" w:rsidRDefault="00C4624A" w:rsidP="00461AA0">
            <w:pPr>
              <w:rPr>
                <w:noProof/>
                <w:sz w:val="20"/>
              </w:rPr>
            </w:pPr>
          </w:p>
        </w:tc>
        <w:tc>
          <w:tcPr>
            <w:tcW w:w="1440" w:type="dxa"/>
            <w:gridSpan w:val="2"/>
            <w:vAlign w:val="center"/>
          </w:tcPr>
          <w:p w14:paraId="19D01189" w14:textId="77777777" w:rsidR="00C4624A" w:rsidRPr="00252A6F" w:rsidRDefault="00C4624A" w:rsidP="00461AA0">
            <w:pPr>
              <w:rPr>
                <w:noProof/>
                <w:sz w:val="18"/>
                <w:szCs w:val="18"/>
              </w:rPr>
            </w:pPr>
            <w:r w:rsidRPr="00252A6F">
              <w:rPr>
                <w:noProof/>
                <w:sz w:val="18"/>
              </w:rPr>
              <w:t>plačila</w:t>
            </w:r>
          </w:p>
        </w:tc>
        <w:tc>
          <w:tcPr>
            <w:tcW w:w="772" w:type="dxa"/>
            <w:vAlign w:val="center"/>
          </w:tcPr>
          <w:p w14:paraId="5E3D6D57" w14:textId="77777777" w:rsidR="00C4624A" w:rsidRPr="00252A6F" w:rsidRDefault="00C4624A" w:rsidP="00461AA0">
            <w:pPr>
              <w:jc w:val="center"/>
              <w:rPr>
                <w:rFonts w:eastAsia="Calibri"/>
                <w:noProof/>
                <w:szCs w:val="24"/>
              </w:rPr>
            </w:pPr>
            <w:r w:rsidRPr="00252A6F">
              <w:rPr>
                <w:noProof/>
                <w:sz w:val="14"/>
              </w:rPr>
              <w:t>Skupaj (d)</w:t>
            </w:r>
          </w:p>
        </w:tc>
        <w:tc>
          <w:tcPr>
            <w:tcW w:w="750" w:type="dxa"/>
          </w:tcPr>
          <w:p w14:paraId="759881C3" w14:textId="77777777" w:rsidR="00C4624A" w:rsidRPr="00252A6F" w:rsidRDefault="00C4624A" w:rsidP="00461AA0">
            <w:pPr>
              <w:spacing w:before="20" w:after="20"/>
              <w:jc w:val="right"/>
              <w:rPr>
                <w:rFonts w:eastAsia="Times New Roman"/>
                <w:b/>
                <w:noProof/>
                <w:sz w:val="20"/>
                <w:szCs w:val="20"/>
              </w:rPr>
            </w:pPr>
          </w:p>
        </w:tc>
        <w:tc>
          <w:tcPr>
            <w:tcW w:w="868" w:type="dxa"/>
            <w:vAlign w:val="center"/>
          </w:tcPr>
          <w:p w14:paraId="76B709E7" w14:textId="77777777" w:rsidR="00C4624A" w:rsidRPr="00252A6F" w:rsidRDefault="00C4624A" w:rsidP="00461AA0">
            <w:pPr>
              <w:spacing w:before="20" w:after="20"/>
              <w:jc w:val="right"/>
              <w:rPr>
                <w:rFonts w:eastAsia="Times New Roman"/>
                <w:b/>
                <w:bCs/>
                <w:noProof/>
                <w:sz w:val="20"/>
                <w:szCs w:val="20"/>
              </w:rPr>
            </w:pPr>
            <w:r w:rsidRPr="00252A6F">
              <w:rPr>
                <w:b/>
                <w:noProof/>
                <w:sz w:val="20"/>
              </w:rPr>
              <w:t>0,15</w:t>
            </w:r>
          </w:p>
        </w:tc>
        <w:tc>
          <w:tcPr>
            <w:tcW w:w="868" w:type="dxa"/>
            <w:vAlign w:val="center"/>
          </w:tcPr>
          <w:p w14:paraId="6703CAB1" w14:textId="77777777" w:rsidR="00C4624A" w:rsidRPr="00252A6F" w:rsidRDefault="00C4624A" w:rsidP="00461AA0">
            <w:pPr>
              <w:spacing w:before="20" w:after="20"/>
              <w:jc w:val="right"/>
              <w:rPr>
                <w:rFonts w:eastAsia="Times New Roman"/>
                <w:b/>
                <w:noProof/>
                <w:sz w:val="20"/>
                <w:szCs w:val="20"/>
              </w:rPr>
            </w:pPr>
          </w:p>
        </w:tc>
        <w:tc>
          <w:tcPr>
            <w:tcW w:w="930" w:type="dxa"/>
            <w:vAlign w:val="center"/>
          </w:tcPr>
          <w:p w14:paraId="1783D82C" w14:textId="77777777" w:rsidR="00C4624A" w:rsidRPr="00252A6F" w:rsidRDefault="00C4624A" w:rsidP="00461AA0">
            <w:pPr>
              <w:spacing w:before="20" w:after="20"/>
              <w:jc w:val="right"/>
              <w:rPr>
                <w:rFonts w:eastAsia="Times New Roman"/>
                <w:b/>
                <w:noProof/>
                <w:sz w:val="20"/>
                <w:szCs w:val="20"/>
              </w:rPr>
            </w:pPr>
            <w:r w:rsidRPr="00252A6F">
              <w:rPr>
                <w:b/>
                <w:noProof/>
                <w:sz w:val="20"/>
              </w:rPr>
              <w:t xml:space="preserve"> 81,2</w:t>
            </w:r>
          </w:p>
        </w:tc>
        <w:tc>
          <w:tcPr>
            <w:tcW w:w="996" w:type="dxa"/>
            <w:vAlign w:val="center"/>
          </w:tcPr>
          <w:p w14:paraId="3808CABB" w14:textId="77777777" w:rsidR="00C4624A" w:rsidRPr="00252A6F" w:rsidRDefault="00C4624A" w:rsidP="00461AA0">
            <w:pPr>
              <w:spacing w:before="20" w:after="20"/>
              <w:jc w:val="right"/>
              <w:rPr>
                <w:rFonts w:eastAsia="Times New Roman"/>
                <w:b/>
                <w:noProof/>
                <w:sz w:val="20"/>
                <w:szCs w:val="20"/>
              </w:rPr>
            </w:pPr>
            <w:r w:rsidRPr="00252A6F">
              <w:rPr>
                <w:b/>
                <w:noProof/>
                <w:sz w:val="20"/>
              </w:rPr>
              <w:t xml:space="preserve"> 100,15</w:t>
            </w:r>
          </w:p>
        </w:tc>
        <w:tc>
          <w:tcPr>
            <w:tcW w:w="992" w:type="dxa"/>
            <w:vAlign w:val="center"/>
          </w:tcPr>
          <w:p w14:paraId="44562AFF" w14:textId="77777777" w:rsidR="00C4624A" w:rsidRPr="00252A6F" w:rsidRDefault="00C4624A" w:rsidP="00461AA0">
            <w:pPr>
              <w:spacing w:before="20" w:after="20"/>
              <w:jc w:val="right"/>
              <w:rPr>
                <w:rFonts w:eastAsia="Times New Roman"/>
                <w:b/>
                <w:noProof/>
                <w:sz w:val="20"/>
                <w:szCs w:val="20"/>
              </w:rPr>
            </w:pPr>
            <w:r w:rsidRPr="00252A6F">
              <w:rPr>
                <w:b/>
                <w:noProof/>
                <w:sz w:val="20"/>
              </w:rPr>
              <w:t xml:space="preserve"> 300,0</w:t>
            </w:r>
          </w:p>
        </w:tc>
        <w:tc>
          <w:tcPr>
            <w:tcW w:w="992" w:type="dxa"/>
            <w:vAlign w:val="center"/>
          </w:tcPr>
          <w:p w14:paraId="38BC41EB" w14:textId="77777777" w:rsidR="00C4624A" w:rsidRPr="00252A6F" w:rsidRDefault="00C4624A" w:rsidP="00461AA0">
            <w:pPr>
              <w:spacing w:before="20" w:after="20"/>
              <w:jc w:val="right"/>
              <w:rPr>
                <w:rFonts w:eastAsia="Times New Roman"/>
                <w:b/>
                <w:noProof/>
                <w:sz w:val="20"/>
                <w:szCs w:val="20"/>
              </w:rPr>
            </w:pPr>
            <w:r w:rsidRPr="00252A6F">
              <w:rPr>
                <w:b/>
                <w:noProof/>
                <w:sz w:val="20"/>
              </w:rPr>
              <w:t>58,8</w:t>
            </w:r>
          </w:p>
        </w:tc>
        <w:tc>
          <w:tcPr>
            <w:tcW w:w="2410" w:type="dxa"/>
            <w:vAlign w:val="center"/>
          </w:tcPr>
          <w:p w14:paraId="2939A093" w14:textId="77777777" w:rsidR="00C4624A" w:rsidRPr="00252A6F" w:rsidRDefault="00C4624A" w:rsidP="00461AA0">
            <w:pPr>
              <w:spacing w:before="20" w:after="20"/>
              <w:jc w:val="right"/>
              <w:rPr>
                <w:rFonts w:eastAsia="Times New Roman"/>
                <w:b/>
                <w:bCs/>
                <w:noProof/>
                <w:sz w:val="20"/>
                <w:szCs w:val="20"/>
              </w:rPr>
            </w:pPr>
            <w:r w:rsidRPr="00252A6F">
              <w:rPr>
                <w:b/>
                <w:noProof/>
                <w:sz w:val="20"/>
              </w:rPr>
              <w:t>540,3</w:t>
            </w:r>
          </w:p>
        </w:tc>
      </w:tr>
    </w:tbl>
    <w:p w14:paraId="6BF6EB2B" w14:textId="77777777" w:rsidR="00C4624A" w:rsidRPr="00252A6F" w:rsidRDefault="00C4624A" w:rsidP="00C4624A">
      <w:pPr>
        <w:rPr>
          <w:noProof/>
        </w:rPr>
      </w:pP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55"/>
        <w:gridCol w:w="822"/>
        <w:gridCol w:w="851"/>
        <w:gridCol w:w="992"/>
        <w:gridCol w:w="992"/>
        <w:gridCol w:w="993"/>
        <w:gridCol w:w="992"/>
        <w:gridCol w:w="2410"/>
      </w:tblGrid>
      <w:tr w:rsidR="00C4624A" w:rsidRPr="00252A6F" w14:paraId="437212A2" w14:textId="77777777" w:rsidTr="00461AA0">
        <w:tc>
          <w:tcPr>
            <w:tcW w:w="3960" w:type="dxa"/>
            <w:vMerge w:val="restart"/>
            <w:shd w:val="clear" w:color="auto" w:fill="auto"/>
            <w:vAlign w:val="center"/>
          </w:tcPr>
          <w:p w14:paraId="7AA8CDC0" w14:textId="77777777" w:rsidR="00C4624A" w:rsidRPr="00252A6F" w:rsidRDefault="00C4624A" w:rsidP="00461AA0">
            <w:pPr>
              <w:jc w:val="center"/>
              <w:rPr>
                <w:b/>
                <w:bCs/>
                <w:noProof/>
              </w:rPr>
            </w:pPr>
            <w:r w:rsidRPr="00252A6F">
              <w:rPr>
                <w:b/>
                <w:noProof/>
                <w:sz w:val="22"/>
              </w:rPr>
              <w:t>Odobritve iz RAZDELKA 6</w:t>
            </w:r>
            <w:r w:rsidRPr="00252A6F">
              <w:rPr>
                <w:noProof/>
                <w:sz w:val="22"/>
              </w:rPr>
              <w:t xml:space="preserve"> večletnega finančnega okvira </w:t>
            </w:r>
            <w:r w:rsidRPr="00252A6F">
              <w:rPr>
                <w:b/>
                <w:noProof/>
                <w:sz w:val="22"/>
              </w:rPr>
              <w:t>SKUPAJ</w:t>
            </w:r>
          </w:p>
        </w:tc>
        <w:tc>
          <w:tcPr>
            <w:tcW w:w="1440" w:type="dxa"/>
            <w:vAlign w:val="center"/>
          </w:tcPr>
          <w:p w14:paraId="38EA25C7" w14:textId="77777777" w:rsidR="00C4624A" w:rsidRPr="00252A6F" w:rsidRDefault="00C4624A" w:rsidP="00461AA0">
            <w:pPr>
              <w:rPr>
                <w:noProof/>
                <w:sz w:val="18"/>
                <w:szCs w:val="18"/>
              </w:rPr>
            </w:pPr>
            <w:r w:rsidRPr="00252A6F">
              <w:rPr>
                <w:noProof/>
                <w:sz w:val="18"/>
              </w:rPr>
              <w:t>obveznosti</w:t>
            </w:r>
          </w:p>
        </w:tc>
        <w:tc>
          <w:tcPr>
            <w:tcW w:w="654" w:type="dxa"/>
            <w:vAlign w:val="center"/>
          </w:tcPr>
          <w:p w14:paraId="09B813D8" w14:textId="77777777" w:rsidR="00C4624A" w:rsidRPr="00252A6F" w:rsidRDefault="00C4624A" w:rsidP="00461AA0">
            <w:pPr>
              <w:jc w:val="center"/>
              <w:rPr>
                <w:rFonts w:eastAsia="Calibri"/>
                <w:noProof/>
                <w:szCs w:val="24"/>
              </w:rPr>
            </w:pPr>
            <w:r w:rsidRPr="00252A6F">
              <w:rPr>
                <w:noProof/>
                <w:sz w:val="14"/>
              </w:rPr>
              <w:t>= a+c</w:t>
            </w:r>
          </w:p>
        </w:tc>
        <w:tc>
          <w:tcPr>
            <w:tcW w:w="855" w:type="dxa"/>
          </w:tcPr>
          <w:p w14:paraId="75DE030F" w14:textId="77777777" w:rsidR="00C4624A" w:rsidRPr="00252A6F" w:rsidRDefault="00C4624A" w:rsidP="00461AA0">
            <w:pPr>
              <w:spacing w:before="0" w:after="160" w:line="259" w:lineRule="auto"/>
              <w:jc w:val="right"/>
              <w:rPr>
                <w:b/>
                <w:noProof/>
                <w:sz w:val="20"/>
                <w:szCs w:val="20"/>
              </w:rPr>
            </w:pPr>
            <w:r w:rsidRPr="00252A6F">
              <w:rPr>
                <w:b/>
                <w:noProof/>
                <w:sz w:val="20"/>
              </w:rPr>
              <w:t>27,3</w:t>
            </w:r>
          </w:p>
        </w:tc>
        <w:tc>
          <w:tcPr>
            <w:tcW w:w="822" w:type="dxa"/>
            <w:vAlign w:val="center"/>
          </w:tcPr>
          <w:p w14:paraId="61283C20" w14:textId="77777777" w:rsidR="00C4624A" w:rsidRPr="00252A6F" w:rsidRDefault="00C4624A" w:rsidP="00461AA0">
            <w:pPr>
              <w:spacing w:before="0" w:after="160" w:line="259" w:lineRule="auto"/>
              <w:jc w:val="right"/>
              <w:rPr>
                <w:b/>
                <w:bCs/>
                <w:noProof/>
                <w:sz w:val="20"/>
                <w:szCs w:val="20"/>
              </w:rPr>
            </w:pPr>
            <w:r w:rsidRPr="00252A6F">
              <w:rPr>
                <w:b/>
                <w:noProof/>
                <w:sz w:val="20"/>
              </w:rPr>
              <w:t>125,2</w:t>
            </w:r>
          </w:p>
        </w:tc>
        <w:tc>
          <w:tcPr>
            <w:tcW w:w="851" w:type="dxa"/>
            <w:vAlign w:val="center"/>
          </w:tcPr>
          <w:p w14:paraId="5F978432" w14:textId="77777777" w:rsidR="00C4624A" w:rsidRPr="00252A6F" w:rsidRDefault="00C4624A" w:rsidP="00461AA0">
            <w:pPr>
              <w:spacing w:before="0" w:after="160" w:line="259" w:lineRule="auto"/>
              <w:jc w:val="right"/>
              <w:rPr>
                <w:b/>
                <w:bCs/>
                <w:noProof/>
                <w:sz w:val="20"/>
                <w:szCs w:val="20"/>
              </w:rPr>
            </w:pPr>
            <w:r w:rsidRPr="00252A6F">
              <w:rPr>
                <w:b/>
                <w:noProof/>
                <w:sz w:val="20"/>
              </w:rPr>
              <w:t>332,6</w:t>
            </w:r>
          </w:p>
          <w:p w14:paraId="52B75392" w14:textId="77777777" w:rsidR="00C4624A" w:rsidRPr="00252A6F" w:rsidRDefault="00C4624A" w:rsidP="00461AA0">
            <w:pPr>
              <w:spacing w:before="0" w:after="160" w:line="259" w:lineRule="auto"/>
              <w:jc w:val="right"/>
              <w:rPr>
                <w:b/>
                <w:noProof/>
                <w:sz w:val="20"/>
                <w:szCs w:val="20"/>
              </w:rPr>
            </w:pPr>
          </w:p>
        </w:tc>
        <w:tc>
          <w:tcPr>
            <w:tcW w:w="992" w:type="dxa"/>
            <w:vAlign w:val="center"/>
          </w:tcPr>
          <w:p w14:paraId="5E0DE6F9" w14:textId="77777777" w:rsidR="00C4624A" w:rsidRPr="00252A6F" w:rsidRDefault="00C4624A" w:rsidP="00461AA0">
            <w:pPr>
              <w:spacing w:before="0" w:after="160" w:line="259" w:lineRule="auto"/>
              <w:jc w:val="right"/>
              <w:rPr>
                <w:b/>
                <w:bCs/>
                <w:noProof/>
                <w:sz w:val="20"/>
                <w:szCs w:val="20"/>
              </w:rPr>
            </w:pPr>
            <w:r w:rsidRPr="00252A6F">
              <w:rPr>
                <w:b/>
                <w:noProof/>
                <w:sz w:val="20"/>
              </w:rPr>
              <w:t>202,5</w:t>
            </w:r>
          </w:p>
          <w:p w14:paraId="5662BD9D" w14:textId="77777777" w:rsidR="00C4624A" w:rsidRPr="00252A6F" w:rsidRDefault="00C4624A" w:rsidP="00461AA0">
            <w:pPr>
              <w:spacing w:before="0" w:after="160" w:line="259" w:lineRule="auto"/>
              <w:jc w:val="right"/>
              <w:rPr>
                <w:b/>
                <w:noProof/>
                <w:sz w:val="20"/>
                <w:szCs w:val="20"/>
              </w:rPr>
            </w:pPr>
          </w:p>
        </w:tc>
        <w:tc>
          <w:tcPr>
            <w:tcW w:w="992" w:type="dxa"/>
            <w:vAlign w:val="center"/>
          </w:tcPr>
          <w:p w14:paraId="2511241A" w14:textId="77777777" w:rsidR="00C4624A" w:rsidRPr="00252A6F" w:rsidRDefault="00C4624A" w:rsidP="00461AA0">
            <w:pPr>
              <w:spacing w:before="0" w:after="160" w:line="259" w:lineRule="auto"/>
              <w:jc w:val="right"/>
              <w:rPr>
                <w:b/>
                <w:bCs/>
                <w:noProof/>
                <w:sz w:val="20"/>
                <w:szCs w:val="20"/>
              </w:rPr>
            </w:pPr>
            <w:r w:rsidRPr="00252A6F">
              <w:rPr>
                <w:b/>
                <w:noProof/>
                <w:sz w:val="20"/>
              </w:rPr>
              <w:t>683,6</w:t>
            </w:r>
          </w:p>
          <w:p w14:paraId="1DA2BAC9" w14:textId="77777777" w:rsidR="00C4624A" w:rsidRPr="00252A6F" w:rsidRDefault="00C4624A" w:rsidP="00461AA0">
            <w:pPr>
              <w:spacing w:before="0" w:after="160" w:line="259" w:lineRule="auto"/>
              <w:jc w:val="right"/>
              <w:rPr>
                <w:b/>
                <w:noProof/>
                <w:sz w:val="20"/>
                <w:szCs w:val="20"/>
              </w:rPr>
            </w:pPr>
          </w:p>
        </w:tc>
        <w:tc>
          <w:tcPr>
            <w:tcW w:w="993" w:type="dxa"/>
          </w:tcPr>
          <w:p w14:paraId="06E4737C" w14:textId="77777777" w:rsidR="00C4624A" w:rsidRPr="00252A6F" w:rsidRDefault="00C4624A" w:rsidP="00461AA0">
            <w:pPr>
              <w:spacing w:before="0" w:after="160" w:line="259" w:lineRule="auto"/>
              <w:jc w:val="right"/>
              <w:rPr>
                <w:b/>
                <w:noProof/>
                <w:sz w:val="20"/>
                <w:szCs w:val="20"/>
              </w:rPr>
            </w:pPr>
            <w:r w:rsidRPr="00252A6F">
              <w:rPr>
                <w:b/>
                <w:noProof/>
                <w:sz w:val="20"/>
              </w:rPr>
              <w:t>589,19</w:t>
            </w:r>
          </w:p>
        </w:tc>
        <w:tc>
          <w:tcPr>
            <w:tcW w:w="992" w:type="dxa"/>
          </w:tcPr>
          <w:p w14:paraId="052F13F3" w14:textId="77777777" w:rsidR="00C4624A" w:rsidRPr="00252A6F" w:rsidRDefault="00C4624A" w:rsidP="00461AA0">
            <w:pPr>
              <w:spacing w:before="0" w:after="160" w:line="259" w:lineRule="auto"/>
              <w:jc w:val="right"/>
              <w:rPr>
                <w:b/>
                <w:bCs/>
                <w:noProof/>
                <w:sz w:val="20"/>
                <w:szCs w:val="20"/>
              </w:rPr>
            </w:pPr>
            <w:r w:rsidRPr="00252A6F">
              <w:rPr>
                <w:b/>
                <w:noProof/>
                <w:sz w:val="20"/>
              </w:rPr>
              <w:t>540,06</w:t>
            </w:r>
          </w:p>
        </w:tc>
        <w:tc>
          <w:tcPr>
            <w:tcW w:w="2410" w:type="dxa"/>
            <w:vAlign w:val="center"/>
          </w:tcPr>
          <w:p w14:paraId="7A1CF1B8" w14:textId="77777777" w:rsidR="00C4624A" w:rsidRPr="00252A6F" w:rsidRDefault="00C4624A" w:rsidP="00461AA0">
            <w:pPr>
              <w:spacing w:before="0" w:after="160" w:line="259" w:lineRule="auto"/>
              <w:jc w:val="right"/>
              <w:rPr>
                <w:b/>
                <w:bCs/>
                <w:noProof/>
                <w:sz w:val="20"/>
                <w:szCs w:val="20"/>
              </w:rPr>
            </w:pPr>
            <w:r w:rsidRPr="00252A6F">
              <w:rPr>
                <w:b/>
                <w:noProof/>
                <w:sz w:val="20"/>
              </w:rPr>
              <w:t>2 500,5</w:t>
            </w:r>
          </w:p>
        </w:tc>
      </w:tr>
      <w:tr w:rsidR="00C4624A" w:rsidRPr="00252A6F" w14:paraId="3E360A5A" w14:textId="77777777" w:rsidTr="00461AA0">
        <w:tc>
          <w:tcPr>
            <w:tcW w:w="3960" w:type="dxa"/>
            <w:vMerge/>
          </w:tcPr>
          <w:p w14:paraId="0A41B52F" w14:textId="77777777" w:rsidR="00C4624A" w:rsidRPr="00252A6F" w:rsidRDefault="00C4624A" w:rsidP="00461AA0">
            <w:pPr>
              <w:rPr>
                <w:noProof/>
                <w:sz w:val="20"/>
              </w:rPr>
            </w:pPr>
          </w:p>
        </w:tc>
        <w:tc>
          <w:tcPr>
            <w:tcW w:w="1440" w:type="dxa"/>
            <w:vAlign w:val="center"/>
          </w:tcPr>
          <w:p w14:paraId="15D087DF" w14:textId="77777777" w:rsidR="00C4624A" w:rsidRPr="00252A6F" w:rsidRDefault="00C4624A" w:rsidP="00461AA0">
            <w:pPr>
              <w:rPr>
                <w:noProof/>
                <w:sz w:val="18"/>
                <w:szCs w:val="18"/>
              </w:rPr>
            </w:pPr>
            <w:r w:rsidRPr="00252A6F">
              <w:rPr>
                <w:noProof/>
                <w:sz w:val="18"/>
              </w:rPr>
              <w:t>plačila</w:t>
            </w:r>
          </w:p>
        </w:tc>
        <w:tc>
          <w:tcPr>
            <w:tcW w:w="654" w:type="dxa"/>
            <w:vAlign w:val="center"/>
          </w:tcPr>
          <w:p w14:paraId="7BF92789" w14:textId="77777777" w:rsidR="00C4624A" w:rsidRPr="00252A6F" w:rsidRDefault="00C4624A" w:rsidP="00461AA0">
            <w:pPr>
              <w:jc w:val="center"/>
              <w:rPr>
                <w:noProof/>
                <w:sz w:val="14"/>
                <w:szCs w:val="14"/>
              </w:rPr>
            </w:pPr>
            <w:r w:rsidRPr="00252A6F">
              <w:rPr>
                <w:noProof/>
                <w:sz w:val="14"/>
              </w:rPr>
              <w:t>= b+d</w:t>
            </w:r>
          </w:p>
        </w:tc>
        <w:tc>
          <w:tcPr>
            <w:tcW w:w="855" w:type="dxa"/>
          </w:tcPr>
          <w:p w14:paraId="206EB572" w14:textId="77777777" w:rsidR="00C4624A" w:rsidRPr="00252A6F" w:rsidRDefault="00C4624A" w:rsidP="00461AA0">
            <w:pPr>
              <w:spacing w:before="0" w:after="160" w:line="259" w:lineRule="auto"/>
              <w:jc w:val="right"/>
              <w:rPr>
                <w:b/>
                <w:noProof/>
                <w:sz w:val="20"/>
                <w:szCs w:val="20"/>
              </w:rPr>
            </w:pPr>
          </w:p>
        </w:tc>
        <w:tc>
          <w:tcPr>
            <w:tcW w:w="822" w:type="dxa"/>
            <w:vAlign w:val="center"/>
          </w:tcPr>
          <w:p w14:paraId="5233A7DC" w14:textId="77777777" w:rsidR="00C4624A" w:rsidRPr="00252A6F" w:rsidRDefault="00C4624A" w:rsidP="00461AA0">
            <w:pPr>
              <w:spacing w:before="0" w:after="160" w:line="259" w:lineRule="auto"/>
              <w:jc w:val="right"/>
              <w:rPr>
                <w:b/>
                <w:bCs/>
                <w:noProof/>
                <w:sz w:val="20"/>
                <w:szCs w:val="20"/>
              </w:rPr>
            </w:pPr>
            <w:r w:rsidRPr="00252A6F">
              <w:rPr>
                <w:b/>
                <w:noProof/>
                <w:sz w:val="20"/>
              </w:rPr>
              <w:t>0,15</w:t>
            </w:r>
          </w:p>
        </w:tc>
        <w:tc>
          <w:tcPr>
            <w:tcW w:w="851" w:type="dxa"/>
            <w:vAlign w:val="center"/>
          </w:tcPr>
          <w:p w14:paraId="22BB8DC6" w14:textId="77777777" w:rsidR="00C4624A" w:rsidRPr="00252A6F" w:rsidRDefault="00C4624A" w:rsidP="00461AA0">
            <w:pPr>
              <w:spacing w:before="0" w:after="160" w:line="259" w:lineRule="auto"/>
              <w:jc w:val="right"/>
              <w:rPr>
                <w:b/>
                <w:noProof/>
                <w:sz w:val="20"/>
                <w:szCs w:val="20"/>
              </w:rPr>
            </w:pPr>
            <w:r w:rsidRPr="00252A6F">
              <w:rPr>
                <w:b/>
                <w:noProof/>
                <w:sz w:val="20"/>
              </w:rPr>
              <w:t>170,0</w:t>
            </w:r>
          </w:p>
        </w:tc>
        <w:tc>
          <w:tcPr>
            <w:tcW w:w="992" w:type="dxa"/>
            <w:vAlign w:val="center"/>
          </w:tcPr>
          <w:p w14:paraId="103A9928" w14:textId="77777777" w:rsidR="00C4624A" w:rsidRPr="00252A6F" w:rsidRDefault="00C4624A" w:rsidP="00461AA0">
            <w:pPr>
              <w:spacing w:before="0" w:after="160" w:line="259" w:lineRule="auto"/>
              <w:jc w:val="right"/>
              <w:rPr>
                <w:b/>
                <w:noProof/>
                <w:sz w:val="20"/>
                <w:szCs w:val="20"/>
              </w:rPr>
            </w:pPr>
            <w:r w:rsidRPr="00252A6F">
              <w:rPr>
                <w:b/>
                <w:noProof/>
                <w:sz w:val="20"/>
              </w:rPr>
              <w:t>251,2</w:t>
            </w:r>
          </w:p>
        </w:tc>
        <w:tc>
          <w:tcPr>
            <w:tcW w:w="992" w:type="dxa"/>
            <w:vAlign w:val="center"/>
          </w:tcPr>
          <w:p w14:paraId="33125E29" w14:textId="77777777" w:rsidR="00C4624A" w:rsidRPr="00252A6F" w:rsidRDefault="00C4624A" w:rsidP="00461AA0">
            <w:pPr>
              <w:spacing w:before="0" w:after="160" w:line="259" w:lineRule="auto"/>
              <w:jc w:val="right"/>
              <w:rPr>
                <w:b/>
                <w:noProof/>
                <w:sz w:val="20"/>
                <w:szCs w:val="20"/>
              </w:rPr>
            </w:pPr>
            <w:r w:rsidRPr="00252A6F">
              <w:rPr>
                <w:b/>
                <w:noProof/>
                <w:sz w:val="20"/>
              </w:rPr>
              <w:t>640,22</w:t>
            </w:r>
          </w:p>
        </w:tc>
        <w:tc>
          <w:tcPr>
            <w:tcW w:w="993" w:type="dxa"/>
            <w:vAlign w:val="center"/>
          </w:tcPr>
          <w:p w14:paraId="62B3216F" w14:textId="77777777" w:rsidR="00C4624A" w:rsidRPr="00252A6F" w:rsidRDefault="00C4624A" w:rsidP="00461AA0">
            <w:pPr>
              <w:spacing w:before="0" w:after="160" w:line="259" w:lineRule="auto"/>
              <w:jc w:val="right"/>
              <w:rPr>
                <w:b/>
                <w:noProof/>
                <w:sz w:val="20"/>
                <w:szCs w:val="20"/>
              </w:rPr>
            </w:pPr>
            <w:r w:rsidRPr="00252A6F">
              <w:rPr>
                <w:b/>
                <w:noProof/>
                <w:sz w:val="20"/>
              </w:rPr>
              <w:t>840,06</w:t>
            </w:r>
          </w:p>
        </w:tc>
        <w:tc>
          <w:tcPr>
            <w:tcW w:w="992" w:type="dxa"/>
            <w:vAlign w:val="center"/>
          </w:tcPr>
          <w:p w14:paraId="0D1697AA" w14:textId="77777777" w:rsidR="00C4624A" w:rsidRPr="00252A6F" w:rsidRDefault="00C4624A" w:rsidP="00461AA0">
            <w:pPr>
              <w:spacing w:before="0" w:after="160" w:line="259" w:lineRule="auto"/>
              <w:jc w:val="right"/>
              <w:rPr>
                <w:b/>
                <w:bCs/>
                <w:noProof/>
                <w:sz w:val="20"/>
                <w:szCs w:val="20"/>
              </w:rPr>
            </w:pPr>
            <w:r w:rsidRPr="00252A6F">
              <w:rPr>
                <w:b/>
                <w:noProof/>
                <w:sz w:val="20"/>
              </w:rPr>
              <w:t>598,87</w:t>
            </w:r>
          </w:p>
        </w:tc>
        <w:tc>
          <w:tcPr>
            <w:tcW w:w="2410" w:type="dxa"/>
            <w:vAlign w:val="center"/>
          </w:tcPr>
          <w:p w14:paraId="36C4FD4B" w14:textId="77777777" w:rsidR="00C4624A" w:rsidRPr="00252A6F" w:rsidRDefault="00C4624A" w:rsidP="00461AA0">
            <w:pPr>
              <w:spacing w:before="0" w:after="160" w:line="259" w:lineRule="auto"/>
              <w:jc w:val="right"/>
              <w:rPr>
                <w:b/>
                <w:bCs/>
                <w:noProof/>
                <w:sz w:val="20"/>
                <w:szCs w:val="20"/>
              </w:rPr>
            </w:pPr>
            <w:r w:rsidRPr="00252A6F">
              <w:rPr>
                <w:b/>
                <w:noProof/>
                <w:sz w:val="20"/>
              </w:rPr>
              <w:t>2 500,5</w:t>
            </w:r>
          </w:p>
        </w:tc>
      </w:tr>
    </w:tbl>
    <w:p w14:paraId="3A37EBF2" w14:textId="77777777" w:rsidR="00C4624A" w:rsidRPr="00252A6F" w:rsidRDefault="00C4624A" w:rsidP="00C4624A">
      <w:pPr>
        <w:rPr>
          <w:noProof/>
        </w:rPr>
      </w:pPr>
    </w:p>
    <w:p w14:paraId="0E63872C" w14:textId="77777777" w:rsidR="00C4624A" w:rsidRPr="00252A6F" w:rsidRDefault="00C4624A" w:rsidP="00C4624A">
      <w:pPr>
        <w:spacing w:before="0" w:after="0"/>
        <w:jc w:val="lef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4624A" w:rsidRPr="00252A6F" w14:paraId="10B3BF8F" w14:textId="77777777" w:rsidTr="00461AA0">
        <w:trPr>
          <w:jc w:val="center"/>
        </w:trPr>
        <w:tc>
          <w:tcPr>
            <w:tcW w:w="4744" w:type="dxa"/>
            <w:shd w:val="clear" w:color="auto" w:fill="auto"/>
            <w:vAlign w:val="center"/>
          </w:tcPr>
          <w:p w14:paraId="1B4557D0" w14:textId="77777777" w:rsidR="00C4624A" w:rsidRPr="00252A6F" w:rsidRDefault="00C4624A" w:rsidP="00461AA0">
            <w:pPr>
              <w:spacing w:before="60" w:after="60"/>
              <w:jc w:val="center"/>
              <w:rPr>
                <w:b/>
                <w:bCs/>
                <w:noProof/>
              </w:rPr>
            </w:pPr>
            <w:r w:rsidRPr="00252A6F">
              <w:rPr>
                <w:noProof/>
              </w:rPr>
              <w:br w:type="page"/>
            </w:r>
            <w:r w:rsidRPr="00252A6F">
              <w:rPr>
                <w:b/>
                <w:noProof/>
                <w:sz w:val="22"/>
              </w:rPr>
              <w:t xml:space="preserve">Razdelek večletnega finančnega okvira </w:t>
            </w:r>
          </w:p>
        </w:tc>
        <w:tc>
          <w:tcPr>
            <w:tcW w:w="1080" w:type="dxa"/>
            <w:shd w:val="clear" w:color="auto" w:fill="auto"/>
            <w:vAlign w:val="center"/>
          </w:tcPr>
          <w:p w14:paraId="4E467C36" w14:textId="77777777" w:rsidR="00C4624A" w:rsidRPr="00252A6F" w:rsidRDefault="00C4624A" w:rsidP="00461AA0">
            <w:pPr>
              <w:spacing w:before="60" w:after="60"/>
              <w:jc w:val="center"/>
              <w:rPr>
                <w:noProof/>
              </w:rPr>
            </w:pPr>
            <w:r w:rsidRPr="00252A6F">
              <w:rPr>
                <w:b/>
                <w:noProof/>
                <w:sz w:val="22"/>
              </w:rPr>
              <w:t>7</w:t>
            </w:r>
          </w:p>
        </w:tc>
        <w:tc>
          <w:tcPr>
            <w:tcW w:w="7817" w:type="dxa"/>
            <w:vAlign w:val="center"/>
          </w:tcPr>
          <w:p w14:paraId="0117FF8F" w14:textId="77777777" w:rsidR="00C4624A" w:rsidRPr="00252A6F" w:rsidRDefault="00C4624A" w:rsidP="00461AA0">
            <w:pPr>
              <w:spacing w:before="60" w:after="60"/>
              <w:rPr>
                <w:noProof/>
              </w:rPr>
            </w:pPr>
            <w:r w:rsidRPr="00252A6F">
              <w:rPr>
                <w:noProof/>
                <w:sz w:val="22"/>
              </w:rPr>
              <w:t>„Upravni odhodki“</w:t>
            </w:r>
          </w:p>
        </w:tc>
      </w:tr>
    </w:tbl>
    <w:p w14:paraId="5AC883AD" w14:textId="1A8AF326" w:rsidR="00C4624A" w:rsidRPr="00252A6F" w:rsidRDefault="00C4624A" w:rsidP="00C4624A">
      <w:pPr>
        <w:jc w:val="left"/>
        <w:rPr>
          <w:noProof/>
          <w:sz w:val="20"/>
          <w:szCs w:val="20"/>
        </w:rPr>
      </w:pPr>
      <w:r w:rsidRPr="00252A6F">
        <w:rPr>
          <w:noProof/>
        </w:rPr>
        <w:t>Ta oddelek se izpolni s „proračunskimi podatki upravne narave“, ki jih je treba najprej vnesti v Prilogo k oceni finančnih posledic zakonodajnega predloga (Priloga V k notranjim pravilom), ki se prenese v sistem DECIDE za namene posvetovanj med službami.</w:t>
      </w:r>
    </w:p>
    <w:p w14:paraId="59706810" w14:textId="77777777" w:rsidR="00C4624A" w:rsidRPr="00252A6F" w:rsidRDefault="00C4624A" w:rsidP="00C4624A">
      <w:pPr>
        <w:jc w:val="right"/>
        <w:rPr>
          <w:noProof/>
          <w:sz w:val="20"/>
          <w:szCs w:val="20"/>
        </w:rPr>
      </w:pPr>
      <w:r w:rsidRPr="00252A6F">
        <w:rPr>
          <w:noProof/>
          <w:sz w:val="20"/>
        </w:rPr>
        <w:t>v mio. EUR (na tri decimalna mesta natančno)</w:t>
      </w:r>
    </w:p>
    <w:tbl>
      <w:tblPr>
        <w:tblW w:w="1426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5"/>
        <w:gridCol w:w="1009"/>
        <w:gridCol w:w="805"/>
        <w:gridCol w:w="622"/>
        <w:gridCol w:w="1009"/>
        <w:gridCol w:w="1009"/>
        <w:gridCol w:w="1009"/>
        <w:gridCol w:w="1009"/>
        <w:gridCol w:w="1009"/>
        <w:gridCol w:w="1009"/>
        <w:gridCol w:w="15"/>
        <w:gridCol w:w="1153"/>
      </w:tblGrid>
      <w:tr w:rsidR="00C4624A" w:rsidRPr="00252A6F" w14:paraId="123586E9" w14:textId="77777777" w:rsidTr="00461AA0">
        <w:trPr>
          <w:trHeight w:val="673"/>
        </w:trPr>
        <w:tc>
          <w:tcPr>
            <w:tcW w:w="4605" w:type="dxa"/>
            <w:tcBorders>
              <w:top w:val="nil"/>
              <w:left w:val="nil"/>
              <w:right w:val="nil"/>
            </w:tcBorders>
            <w:vAlign w:val="center"/>
          </w:tcPr>
          <w:p w14:paraId="485518A9" w14:textId="77777777" w:rsidR="00C4624A" w:rsidRPr="00252A6F" w:rsidRDefault="00C4624A" w:rsidP="00461AA0">
            <w:pPr>
              <w:jc w:val="center"/>
              <w:rPr>
                <w:noProof/>
              </w:rPr>
            </w:pPr>
          </w:p>
        </w:tc>
        <w:tc>
          <w:tcPr>
            <w:tcW w:w="1814" w:type="dxa"/>
            <w:gridSpan w:val="2"/>
            <w:tcBorders>
              <w:top w:val="nil"/>
              <w:left w:val="nil"/>
              <w:right w:val="nil"/>
            </w:tcBorders>
          </w:tcPr>
          <w:p w14:paraId="039FE5FD" w14:textId="77777777" w:rsidR="00C4624A" w:rsidRPr="00252A6F" w:rsidRDefault="00C4624A" w:rsidP="00461AA0">
            <w:pPr>
              <w:rPr>
                <w:noProof/>
                <w:sz w:val="20"/>
                <w:szCs w:val="20"/>
              </w:rPr>
            </w:pPr>
          </w:p>
        </w:tc>
        <w:tc>
          <w:tcPr>
            <w:tcW w:w="621" w:type="dxa"/>
            <w:tcBorders>
              <w:top w:val="nil"/>
              <w:left w:val="nil"/>
            </w:tcBorders>
          </w:tcPr>
          <w:p w14:paraId="2846BF2D" w14:textId="77777777" w:rsidR="00C4624A" w:rsidRPr="00252A6F" w:rsidRDefault="00C4624A" w:rsidP="00461AA0">
            <w:pPr>
              <w:jc w:val="center"/>
              <w:rPr>
                <w:noProof/>
                <w:sz w:val="20"/>
                <w:szCs w:val="20"/>
              </w:rPr>
            </w:pPr>
          </w:p>
        </w:tc>
        <w:tc>
          <w:tcPr>
            <w:tcW w:w="1009" w:type="dxa"/>
            <w:vAlign w:val="center"/>
          </w:tcPr>
          <w:p w14:paraId="3D20F7E4" w14:textId="77777777" w:rsidR="00C4624A" w:rsidRPr="00252A6F" w:rsidRDefault="00C4624A" w:rsidP="00461AA0">
            <w:pPr>
              <w:jc w:val="center"/>
              <w:rPr>
                <w:noProof/>
                <w:sz w:val="20"/>
                <w:szCs w:val="20"/>
              </w:rPr>
            </w:pPr>
            <w:r w:rsidRPr="00252A6F">
              <w:rPr>
                <w:noProof/>
                <w:sz w:val="20"/>
              </w:rPr>
              <w:t>Leto</w:t>
            </w:r>
          </w:p>
          <w:p w14:paraId="34D2B7CD" w14:textId="77777777" w:rsidR="00C4624A" w:rsidRPr="00252A6F" w:rsidRDefault="00C4624A" w:rsidP="00461AA0">
            <w:pPr>
              <w:jc w:val="center"/>
              <w:rPr>
                <w:noProof/>
                <w:sz w:val="20"/>
                <w:szCs w:val="20"/>
              </w:rPr>
            </w:pPr>
            <w:r w:rsidRPr="00252A6F">
              <w:rPr>
                <w:b/>
                <w:noProof/>
                <w:sz w:val="20"/>
              </w:rPr>
              <w:t>2022</w:t>
            </w:r>
          </w:p>
        </w:tc>
        <w:tc>
          <w:tcPr>
            <w:tcW w:w="1009" w:type="dxa"/>
          </w:tcPr>
          <w:p w14:paraId="12E20260" w14:textId="77777777" w:rsidR="00C4624A" w:rsidRPr="00252A6F" w:rsidRDefault="00C4624A" w:rsidP="00461AA0">
            <w:pPr>
              <w:jc w:val="center"/>
              <w:rPr>
                <w:noProof/>
                <w:sz w:val="20"/>
                <w:szCs w:val="20"/>
              </w:rPr>
            </w:pPr>
            <w:r w:rsidRPr="00252A6F">
              <w:rPr>
                <w:noProof/>
                <w:sz w:val="20"/>
              </w:rPr>
              <w:t>Leto</w:t>
            </w:r>
          </w:p>
          <w:p w14:paraId="0381DA9F" w14:textId="77777777" w:rsidR="00C4624A" w:rsidRPr="00252A6F" w:rsidRDefault="00C4624A" w:rsidP="00461AA0">
            <w:pPr>
              <w:jc w:val="center"/>
              <w:rPr>
                <w:noProof/>
                <w:sz w:val="20"/>
                <w:szCs w:val="20"/>
              </w:rPr>
            </w:pPr>
            <w:r w:rsidRPr="00252A6F">
              <w:rPr>
                <w:b/>
                <w:noProof/>
                <w:sz w:val="20"/>
              </w:rPr>
              <w:t>2023</w:t>
            </w:r>
          </w:p>
        </w:tc>
        <w:tc>
          <w:tcPr>
            <w:tcW w:w="1009" w:type="dxa"/>
          </w:tcPr>
          <w:p w14:paraId="27ACACA7" w14:textId="77777777" w:rsidR="00C4624A" w:rsidRPr="00252A6F" w:rsidRDefault="00C4624A" w:rsidP="00461AA0">
            <w:pPr>
              <w:jc w:val="center"/>
              <w:rPr>
                <w:noProof/>
                <w:sz w:val="20"/>
                <w:szCs w:val="20"/>
              </w:rPr>
            </w:pPr>
            <w:r w:rsidRPr="00252A6F">
              <w:rPr>
                <w:noProof/>
                <w:sz w:val="20"/>
              </w:rPr>
              <w:t>Leto</w:t>
            </w:r>
          </w:p>
          <w:p w14:paraId="26684090" w14:textId="77777777" w:rsidR="00C4624A" w:rsidRPr="00252A6F" w:rsidRDefault="00C4624A" w:rsidP="00461AA0">
            <w:pPr>
              <w:jc w:val="center"/>
              <w:rPr>
                <w:noProof/>
                <w:sz w:val="20"/>
                <w:szCs w:val="20"/>
              </w:rPr>
            </w:pPr>
            <w:r w:rsidRPr="00252A6F">
              <w:rPr>
                <w:b/>
                <w:noProof/>
                <w:sz w:val="20"/>
              </w:rPr>
              <w:t>2024</w:t>
            </w:r>
          </w:p>
        </w:tc>
        <w:tc>
          <w:tcPr>
            <w:tcW w:w="1009" w:type="dxa"/>
          </w:tcPr>
          <w:p w14:paraId="08818924" w14:textId="77777777" w:rsidR="00C4624A" w:rsidRPr="00252A6F" w:rsidRDefault="00C4624A" w:rsidP="00461AA0">
            <w:pPr>
              <w:jc w:val="center"/>
              <w:rPr>
                <w:noProof/>
                <w:sz w:val="20"/>
                <w:szCs w:val="20"/>
              </w:rPr>
            </w:pPr>
            <w:r w:rsidRPr="00252A6F">
              <w:rPr>
                <w:noProof/>
                <w:sz w:val="20"/>
              </w:rPr>
              <w:t>Leto</w:t>
            </w:r>
          </w:p>
          <w:p w14:paraId="6C76DFB9" w14:textId="77777777" w:rsidR="00C4624A" w:rsidRPr="00252A6F" w:rsidRDefault="00C4624A" w:rsidP="00461AA0">
            <w:pPr>
              <w:jc w:val="center"/>
              <w:rPr>
                <w:noProof/>
                <w:sz w:val="20"/>
                <w:szCs w:val="20"/>
              </w:rPr>
            </w:pPr>
            <w:r w:rsidRPr="00252A6F">
              <w:rPr>
                <w:b/>
                <w:noProof/>
                <w:sz w:val="20"/>
              </w:rPr>
              <w:t>2025</w:t>
            </w:r>
          </w:p>
        </w:tc>
        <w:tc>
          <w:tcPr>
            <w:tcW w:w="1009" w:type="dxa"/>
          </w:tcPr>
          <w:p w14:paraId="2771BE82" w14:textId="77777777" w:rsidR="00C4624A" w:rsidRPr="00252A6F" w:rsidRDefault="00C4624A" w:rsidP="00461AA0">
            <w:pPr>
              <w:jc w:val="center"/>
              <w:rPr>
                <w:noProof/>
                <w:sz w:val="20"/>
                <w:szCs w:val="20"/>
              </w:rPr>
            </w:pPr>
            <w:r w:rsidRPr="00252A6F">
              <w:rPr>
                <w:noProof/>
                <w:sz w:val="20"/>
              </w:rPr>
              <w:t>Leto</w:t>
            </w:r>
          </w:p>
          <w:p w14:paraId="51A65645" w14:textId="77777777" w:rsidR="00C4624A" w:rsidRPr="00252A6F" w:rsidRDefault="00C4624A" w:rsidP="00461AA0">
            <w:pPr>
              <w:jc w:val="center"/>
              <w:rPr>
                <w:noProof/>
                <w:sz w:val="20"/>
                <w:szCs w:val="20"/>
              </w:rPr>
            </w:pPr>
            <w:r w:rsidRPr="00252A6F">
              <w:rPr>
                <w:b/>
                <w:noProof/>
                <w:sz w:val="20"/>
              </w:rPr>
              <w:t>2026</w:t>
            </w:r>
          </w:p>
        </w:tc>
        <w:tc>
          <w:tcPr>
            <w:tcW w:w="1024" w:type="dxa"/>
            <w:gridSpan w:val="2"/>
          </w:tcPr>
          <w:p w14:paraId="7548751F" w14:textId="77777777" w:rsidR="00C4624A" w:rsidRPr="00252A6F" w:rsidRDefault="00C4624A" w:rsidP="00461AA0">
            <w:pPr>
              <w:jc w:val="center"/>
              <w:rPr>
                <w:noProof/>
                <w:sz w:val="20"/>
                <w:szCs w:val="20"/>
              </w:rPr>
            </w:pPr>
            <w:r w:rsidRPr="00252A6F">
              <w:rPr>
                <w:noProof/>
                <w:sz w:val="20"/>
              </w:rPr>
              <w:t>Leto</w:t>
            </w:r>
          </w:p>
          <w:p w14:paraId="77C22137" w14:textId="77777777" w:rsidR="00C4624A" w:rsidRPr="00252A6F" w:rsidRDefault="00C4624A" w:rsidP="00461AA0">
            <w:pPr>
              <w:jc w:val="center"/>
              <w:rPr>
                <w:b/>
                <w:bCs/>
                <w:noProof/>
                <w:sz w:val="18"/>
                <w:szCs w:val="18"/>
              </w:rPr>
            </w:pPr>
            <w:r w:rsidRPr="00252A6F">
              <w:rPr>
                <w:b/>
                <w:noProof/>
                <w:sz w:val="20"/>
              </w:rPr>
              <w:t>2027</w:t>
            </w:r>
          </w:p>
        </w:tc>
        <w:tc>
          <w:tcPr>
            <w:tcW w:w="1153" w:type="dxa"/>
            <w:vAlign w:val="center"/>
          </w:tcPr>
          <w:p w14:paraId="6D813E07" w14:textId="77777777" w:rsidR="00C4624A" w:rsidRPr="00252A6F" w:rsidRDefault="00C4624A" w:rsidP="00461AA0">
            <w:pPr>
              <w:jc w:val="center"/>
              <w:rPr>
                <w:b/>
                <w:bCs/>
                <w:noProof/>
                <w:sz w:val="20"/>
                <w:szCs w:val="20"/>
              </w:rPr>
            </w:pPr>
            <w:r w:rsidRPr="00252A6F">
              <w:rPr>
                <w:b/>
                <w:noProof/>
                <w:sz w:val="20"/>
              </w:rPr>
              <w:t>SKUPAJ</w:t>
            </w:r>
          </w:p>
        </w:tc>
      </w:tr>
      <w:tr w:rsidR="00C4624A" w:rsidRPr="00252A6F" w14:paraId="58783B2F" w14:textId="77777777" w:rsidTr="00461AA0">
        <w:trPr>
          <w:gridAfter w:val="10"/>
          <w:wAfter w:w="8649" w:type="dxa"/>
          <w:trHeight w:val="376"/>
        </w:trPr>
        <w:tc>
          <w:tcPr>
            <w:tcW w:w="4605" w:type="dxa"/>
            <w:tcBorders>
              <w:right w:val="nil"/>
            </w:tcBorders>
            <w:vAlign w:val="center"/>
          </w:tcPr>
          <w:p w14:paraId="2A854F92" w14:textId="77777777" w:rsidR="00C4624A" w:rsidRPr="00252A6F" w:rsidRDefault="00C4624A" w:rsidP="00461AA0">
            <w:pPr>
              <w:spacing w:before="60" w:after="60"/>
              <w:jc w:val="center"/>
              <w:rPr>
                <w:noProof/>
              </w:rPr>
            </w:pPr>
            <w:r w:rsidRPr="00252A6F">
              <w:rPr>
                <w:noProof/>
                <w:sz w:val="22"/>
              </w:rPr>
              <w:t>GD ECFIN</w:t>
            </w:r>
          </w:p>
        </w:tc>
        <w:tc>
          <w:tcPr>
            <w:tcW w:w="1009" w:type="dxa"/>
            <w:tcBorders>
              <w:top w:val="nil"/>
              <w:left w:val="nil"/>
              <w:bottom w:val="nil"/>
              <w:right w:val="nil"/>
            </w:tcBorders>
          </w:tcPr>
          <w:p w14:paraId="574A4CFC" w14:textId="77777777" w:rsidR="00C4624A" w:rsidRPr="00252A6F" w:rsidRDefault="00C4624A" w:rsidP="00461AA0">
            <w:pPr>
              <w:spacing w:before="60" w:after="60"/>
              <w:jc w:val="center"/>
              <w:rPr>
                <w:noProof/>
                <w:sz w:val="22"/>
              </w:rPr>
            </w:pPr>
          </w:p>
        </w:tc>
      </w:tr>
      <w:tr w:rsidR="00C4624A" w:rsidRPr="00252A6F" w14:paraId="20E057B9" w14:textId="77777777" w:rsidTr="00461AA0">
        <w:trPr>
          <w:trHeight w:val="310"/>
        </w:trPr>
        <w:tc>
          <w:tcPr>
            <w:tcW w:w="7041" w:type="dxa"/>
            <w:gridSpan w:val="4"/>
            <w:vAlign w:val="center"/>
          </w:tcPr>
          <w:p w14:paraId="17835989" w14:textId="77777777" w:rsidR="00C4624A" w:rsidRPr="00252A6F" w:rsidRDefault="00C4624A" w:rsidP="00461AA0">
            <w:pPr>
              <w:spacing w:before="20" w:after="20"/>
              <w:rPr>
                <w:noProof/>
              </w:rPr>
            </w:pPr>
            <w:r w:rsidRPr="00252A6F">
              <w:rPr>
                <w:noProof/>
                <w:sz w:val="22"/>
              </w:rPr>
              <w:t xml:space="preserve">□ Človeški viri </w:t>
            </w:r>
          </w:p>
        </w:tc>
        <w:tc>
          <w:tcPr>
            <w:tcW w:w="1009" w:type="dxa"/>
            <w:vAlign w:val="center"/>
          </w:tcPr>
          <w:p w14:paraId="250E9FFB" w14:textId="77777777" w:rsidR="00C4624A" w:rsidRPr="00252A6F" w:rsidRDefault="00C4624A" w:rsidP="00461AA0">
            <w:pPr>
              <w:spacing w:before="20" w:after="20"/>
              <w:jc w:val="right"/>
              <w:rPr>
                <w:noProof/>
                <w:sz w:val="20"/>
                <w:szCs w:val="20"/>
              </w:rPr>
            </w:pPr>
            <w:r w:rsidRPr="00252A6F">
              <w:rPr>
                <w:noProof/>
                <w:sz w:val="16"/>
              </w:rPr>
              <w:t>0,848</w:t>
            </w:r>
          </w:p>
        </w:tc>
        <w:tc>
          <w:tcPr>
            <w:tcW w:w="1009" w:type="dxa"/>
            <w:vAlign w:val="center"/>
          </w:tcPr>
          <w:p w14:paraId="3D1C3767" w14:textId="77777777" w:rsidR="00C4624A" w:rsidRPr="00252A6F" w:rsidRDefault="00C4624A" w:rsidP="00461AA0">
            <w:pPr>
              <w:spacing w:before="20" w:after="20"/>
              <w:jc w:val="right"/>
              <w:rPr>
                <w:noProof/>
                <w:sz w:val="20"/>
                <w:szCs w:val="20"/>
              </w:rPr>
            </w:pPr>
            <w:r w:rsidRPr="00252A6F">
              <w:rPr>
                <w:noProof/>
                <w:sz w:val="16"/>
              </w:rPr>
              <w:t>0,424</w:t>
            </w:r>
          </w:p>
        </w:tc>
        <w:tc>
          <w:tcPr>
            <w:tcW w:w="1009" w:type="dxa"/>
            <w:vAlign w:val="center"/>
          </w:tcPr>
          <w:p w14:paraId="7E862E60" w14:textId="77777777" w:rsidR="00C4624A" w:rsidRPr="00252A6F" w:rsidRDefault="00C4624A" w:rsidP="00461AA0">
            <w:pPr>
              <w:spacing w:before="20" w:after="20"/>
              <w:jc w:val="right"/>
              <w:rPr>
                <w:noProof/>
                <w:sz w:val="20"/>
                <w:szCs w:val="20"/>
              </w:rPr>
            </w:pPr>
            <w:r w:rsidRPr="00252A6F">
              <w:rPr>
                <w:noProof/>
                <w:sz w:val="16"/>
              </w:rPr>
              <w:t>0,424</w:t>
            </w:r>
          </w:p>
        </w:tc>
        <w:tc>
          <w:tcPr>
            <w:tcW w:w="1009" w:type="dxa"/>
            <w:vAlign w:val="center"/>
          </w:tcPr>
          <w:p w14:paraId="7CAE0F68" w14:textId="77777777" w:rsidR="00C4624A" w:rsidRPr="00252A6F" w:rsidRDefault="00C4624A" w:rsidP="00461AA0">
            <w:pPr>
              <w:spacing w:before="20" w:after="20"/>
              <w:jc w:val="right"/>
              <w:rPr>
                <w:noProof/>
                <w:sz w:val="20"/>
                <w:szCs w:val="20"/>
              </w:rPr>
            </w:pPr>
            <w:r w:rsidRPr="00252A6F">
              <w:rPr>
                <w:noProof/>
                <w:sz w:val="16"/>
              </w:rPr>
              <w:t>0,072</w:t>
            </w:r>
          </w:p>
        </w:tc>
        <w:tc>
          <w:tcPr>
            <w:tcW w:w="1009" w:type="dxa"/>
            <w:vAlign w:val="center"/>
          </w:tcPr>
          <w:p w14:paraId="3C9216C5" w14:textId="77777777" w:rsidR="00C4624A" w:rsidRPr="00252A6F" w:rsidRDefault="00C4624A" w:rsidP="00461AA0">
            <w:pPr>
              <w:spacing w:before="20" w:after="20"/>
              <w:jc w:val="right"/>
              <w:rPr>
                <w:noProof/>
                <w:sz w:val="20"/>
                <w:szCs w:val="20"/>
              </w:rPr>
            </w:pPr>
            <w:r w:rsidRPr="00252A6F">
              <w:rPr>
                <w:noProof/>
                <w:sz w:val="16"/>
              </w:rPr>
              <w:t>0,072</w:t>
            </w:r>
          </w:p>
        </w:tc>
        <w:tc>
          <w:tcPr>
            <w:tcW w:w="1009" w:type="dxa"/>
            <w:vAlign w:val="center"/>
          </w:tcPr>
          <w:p w14:paraId="4B80657F" w14:textId="77777777" w:rsidR="00C4624A" w:rsidRPr="00252A6F" w:rsidRDefault="00C4624A" w:rsidP="00461AA0">
            <w:pPr>
              <w:spacing w:before="20" w:after="20"/>
              <w:jc w:val="right"/>
              <w:rPr>
                <w:noProof/>
                <w:sz w:val="20"/>
                <w:szCs w:val="20"/>
              </w:rPr>
            </w:pPr>
            <w:r w:rsidRPr="00252A6F">
              <w:rPr>
                <w:noProof/>
                <w:sz w:val="16"/>
              </w:rPr>
              <w:t>0,072</w:t>
            </w:r>
          </w:p>
        </w:tc>
        <w:tc>
          <w:tcPr>
            <w:tcW w:w="1168" w:type="dxa"/>
            <w:gridSpan w:val="2"/>
            <w:vAlign w:val="center"/>
          </w:tcPr>
          <w:p w14:paraId="17C2A27D" w14:textId="77777777" w:rsidR="00C4624A" w:rsidRPr="00252A6F" w:rsidRDefault="00C4624A" w:rsidP="00461AA0">
            <w:pPr>
              <w:spacing w:before="20" w:after="20"/>
              <w:jc w:val="right"/>
              <w:rPr>
                <w:noProof/>
                <w:sz w:val="20"/>
                <w:szCs w:val="20"/>
              </w:rPr>
            </w:pPr>
            <w:r w:rsidRPr="00252A6F">
              <w:rPr>
                <w:b/>
                <w:noProof/>
                <w:sz w:val="16"/>
              </w:rPr>
              <w:t>1,912</w:t>
            </w:r>
          </w:p>
        </w:tc>
      </w:tr>
      <w:tr w:rsidR="00C4624A" w:rsidRPr="00252A6F" w14:paraId="008AB105" w14:textId="77777777" w:rsidTr="00461AA0">
        <w:trPr>
          <w:trHeight w:val="347"/>
        </w:trPr>
        <w:tc>
          <w:tcPr>
            <w:tcW w:w="7041" w:type="dxa"/>
            <w:gridSpan w:val="4"/>
            <w:vAlign w:val="center"/>
          </w:tcPr>
          <w:p w14:paraId="59922487" w14:textId="77777777" w:rsidR="00C4624A" w:rsidRPr="00252A6F" w:rsidRDefault="00C4624A" w:rsidP="00461AA0">
            <w:pPr>
              <w:spacing w:before="20" w:after="20"/>
              <w:rPr>
                <w:noProof/>
              </w:rPr>
            </w:pPr>
            <w:r w:rsidRPr="00252A6F">
              <w:rPr>
                <w:noProof/>
                <w:sz w:val="22"/>
              </w:rPr>
              <w:t xml:space="preserve">□ Drugi upravni odhodki </w:t>
            </w:r>
          </w:p>
        </w:tc>
        <w:tc>
          <w:tcPr>
            <w:tcW w:w="1009" w:type="dxa"/>
            <w:vAlign w:val="center"/>
          </w:tcPr>
          <w:p w14:paraId="56904474" w14:textId="77777777" w:rsidR="00C4624A" w:rsidRPr="00252A6F" w:rsidRDefault="00C4624A" w:rsidP="00461AA0">
            <w:pPr>
              <w:spacing w:before="20" w:after="20"/>
              <w:jc w:val="right"/>
              <w:rPr>
                <w:b/>
                <w:bCs/>
                <w:noProof/>
                <w:sz w:val="20"/>
                <w:szCs w:val="20"/>
              </w:rPr>
            </w:pPr>
            <w:r w:rsidRPr="00252A6F">
              <w:rPr>
                <w:noProof/>
                <w:sz w:val="16"/>
              </w:rPr>
              <w:t>–</w:t>
            </w:r>
          </w:p>
        </w:tc>
        <w:tc>
          <w:tcPr>
            <w:tcW w:w="1009" w:type="dxa"/>
            <w:vAlign w:val="center"/>
          </w:tcPr>
          <w:p w14:paraId="779F082E" w14:textId="77777777" w:rsidR="00C4624A" w:rsidRPr="00252A6F" w:rsidRDefault="00C4624A" w:rsidP="00461AA0">
            <w:pPr>
              <w:spacing w:before="20" w:after="20"/>
              <w:jc w:val="right"/>
              <w:rPr>
                <w:b/>
                <w:bCs/>
                <w:noProof/>
                <w:sz w:val="20"/>
                <w:szCs w:val="20"/>
              </w:rPr>
            </w:pPr>
            <w:r w:rsidRPr="00252A6F">
              <w:rPr>
                <w:noProof/>
                <w:sz w:val="16"/>
              </w:rPr>
              <w:t>0,06</w:t>
            </w:r>
          </w:p>
        </w:tc>
        <w:tc>
          <w:tcPr>
            <w:tcW w:w="1009" w:type="dxa"/>
            <w:vAlign w:val="center"/>
          </w:tcPr>
          <w:p w14:paraId="2B09B816" w14:textId="77777777" w:rsidR="00C4624A" w:rsidRPr="00252A6F" w:rsidRDefault="00C4624A" w:rsidP="00461AA0">
            <w:pPr>
              <w:spacing w:before="20" w:after="20"/>
              <w:jc w:val="right"/>
              <w:rPr>
                <w:b/>
                <w:bCs/>
                <w:noProof/>
                <w:sz w:val="20"/>
                <w:szCs w:val="20"/>
              </w:rPr>
            </w:pPr>
            <w:r w:rsidRPr="00252A6F">
              <w:rPr>
                <w:noProof/>
                <w:sz w:val="16"/>
              </w:rPr>
              <w:t>–</w:t>
            </w:r>
          </w:p>
        </w:tc>
        <w:tc>
          <w:tcPr>
            <w:tcW w:w="1009" w:type="dxa"/>
            <w:vAlign w:val="center"/>
          </w:tcPr>
          <w:p w14:paraId="2EE7E2B5" w14:textId="77777777" w:rsidR="00C4624A" w:rsidRPr="00252A6F" w:rsidRDefault="00C4624A" w:rsidP="00461AA0">
            <w:pPr>
              <w:spacing w:before="20" w:after="20"/>
              <w:jc w:val="right"/>
              <w:rPr>
                <w:b/>
                <w:bCs/>
                <w:noProof/>
                <w:sz w:val="20"/>
                <w:szCs w:val="20"/>
              </w:rPr>
            </w:pPr>
            <w:r w:rsidRPr="00252A6F">
              <w:rPr>
                <w:noProof/>
                <w:sz w:val="16"/>
              </w:rPr>
              <w:t>–</w:t>
            </w:r>
          </w:p>
        </w:tc>
        <w:tc>
          <w:tcPr>
            <w:tcW w:w="1009" w:type="dxa"/>
            <w:vAlign w:val="center"/>
          </w:tcPr>
          <w:p w14:paraId="10F114DF" w14:textId="77777777" w:rsidR="00C4624A" w:rsidRPr="00252A6F" w:rsidRDefault="00C4624A" w:rsidP="00461AA0">
            <w:pPr>
              <w:spacing w:before="20" w:after="20"/>
              <w:jc w:val="right"/>
              <w:rPr>
                <w:b/>
                <w:bCs/>
                <w:noProof/>
                <w:sz w:val="20"/>
                <w:szCs w:val="20"/>
              </w:rPr>
            </w:pPr>
            <w:r w:rsidRPr="00252A6F">
              <w:rPr>
                <w:noProof/>
                <w:sz w:val="16"/>
              </w:rPr>
              <w:t>–</w:t>
            </w:r>
          </w:p>
        </w:tc>
        <w:tc>
          <w:tcPr>
            <w:tcW w:w="1009" w:type="dxa"/>
            <w:vAlign w:val="center"/>
          </w:tcPr>
          <w:p w14:paraId="0BBA5DB2" w14:textId="77777777" w:rsidR="00C4624A" w:rsidRPr="00252A6F" w:rsidRDefault="00C4624A" w:rsidP="00461AA0">
            <w:pPr>
              <w:spacing w:before="20" w:after="20"/>
              <w:jc w:val="right"/>
              <w:rPr>
                <w:b/>
                <w:bCs/>
                <w:noProof/>
                <w:sz w:val="20"/>
                <w:szCs w:val="20"/>
              </w:rPr>
            </w:pPr>
            <w:r w:rsidRPr="00252A6F">
              <w:rPr>
                <w:noProof/>
                <w:sz w:val="16"/>
              </w:rPr>
              <w:t>–</w:t>
            </w:r>
          </w:p>
        </w:tc>
        <w:tc>
          <w:tcPr>
            <w:tcW w:w="1168" w:type="dxa"/>
            <w:gridSpan w:val="2"/>
            <w:vAlign w:val="center"/>
          </w:tcPr>
          <w:p w14:paraId="07A92F5D" w14:textId="77777777" w:rsidR="00C4624A" w:rsidRPr="00252A6F" w:rsidRDefault="00C4624A" w:rsidP="00461AA0">
            <w:pPr>
              <w:spacing w:before="20" w:after="20"/>
              <w:jc w:val="right"/>
              <w:rPr>
                <w:b/>
                <w:bCs/>
                <w:noProof/>
                <w:sz w:val="20"/>
                <w:szCs w:val="20"/>
              </w:rPr>
            </w:pPr>
            <w:r w:rsidRPr="00252A6F">
              <w:rPr>
                <w:noProof/>
                <w:sz w:val="16"/>
              </w:rPr>
              <w:t>0,06</w:t>
            </w:r>
          </w:p>
        </w:tc>
      </w:tr>
      <w:tr w:rsidR="00C4624A" w:rsidRPr="00252A6F" w14:paraId="01AB67DE" w14:textId="77777777" w:rsidTr="00461AA0">
        <w:trPr>
          <w:trHeight w:val="455"/>
        </w:trPr>
        <w:tc>
          <w:tcPr>
            <w:tcW w:w="4605" w:type="dxa"/>
            <w:vAlign w:val="center"/>
          </w:tcPr>
          <w:p w14:paraId="63B5C310" w14:textId="77777777" w:rsidR="00C4624A" w:rsidRPr="00252A6F" w:rsidRDefault="00C4624A" w:rsidP="00461AA0">
            <w:pPr>
              <w:jc w:val="center"/>
              <w:rPr>
                <w:b/>
                <w:bCs/>
                <w:noProof/>
              </w:rPr>
            </w:pPr>
            <w:r w:rsidRPr="00252A6F">
              <w:rPr>
                <w:b/>
                <w:noProof/>
                <w:sz w:val="22"/>
              </w:rPr>
              <w:t>GD ECFIN SKUPAJ</w:t>
            </w:r>
          </w:p>
        </w:tc>
        <w:tc>
          <w:tcPr>
            <w:tcW w:w="2435" w:type="dxa"/>
            <w:gridSpan w:val="3"/>
            <w:vAlign w:val="center"/>
          </w:tcPr>
          <w:p w14:paraId="4F092A22" w14:textId="77777777" w:rsidR="00C4624A" w:rsidRPr="00252A6F" w:rsidRDefault="00C4624A" w:rsidP="00461AA0">
            <w:pPr>
              <w:rPr>
                <w:noProof/>
                <w:sz w:val="14"/>
                <w:szCs w:val="14"/>
              </w:rPr>
            </w:pPr>
            <w:r w:rsidRPr="00252A6F">
              <w:rPr>
                <w:noProof/>
                <w:sz w:val="18"/>
              </w:rPr>
              <w:t xml:space="preserve">odobritve </w:t>
            </w:r>
          </w:p>
        </w:tc>
        <w:tc>
          <w:tcPr>
            <w:tcW w:w="1009" w:type="dxa"/>
            <w:vAlign w:val="center"/>
          </w:tcPr>
          <w:p w14:paraId="2DA2402E" w14:textId="77777777" w:rsidR="00C4624A" w:rsidRPr="00252A6F" w:rsidRDefault="00C4624A" w:rsidP="00461AA0">
            <w:pPr>
              <w:spacing w:before="60" w:after="60"/>
              <w:jc w:val="right"/>
              <w:rPr>
                <w:noProof/>
                <w:sz w:val="20"/>
                <w:szCs w:val="20"/>
              </w:rPr>
            </w:pPr>
            <w:r w:rsidRPr="00252A6F">
              <w:rPr>
                <w:noProof/>
                <w:sz w:val="16"/>
              </w:rPr>
              <w:t>0,848</w:t>
            </w:r>
          </w:p>
        </w:tc>
        <w:tc>
          <w:tcPr>
            <w:tcW w:w="1009" w:type="dxa"/>
            <w:vAlign w:val="center"/>
          </w:tcPr>
          <w:p w14:paraId="4484F8C8" w14:textId="77777777" w:rsidR="00C4624A" w:rsidRPr="00252A6F" w:rsidRDefault="00C4624A" w:rsidP="00461AA0">
            <w:pPr>
              <w:spacing w:before="20" w:after="20"/>
              <w:jc w:val="right"/>
              <w:rPr>
                <w:noProof/>
                <w:sz w:val="20"/>
                <w:szCs w:val="20"/>
              </w:rPr>
            </w:pPr>
            <w:r w:rsidRPr="00252A6F">
              <w:rPr>
                <w:noProof/>
                <w:sz w:val="16"/>
              </w:rPr>
              <w:t>0,484</w:t>
            </w:r>
          </w:p>
        </w:tc>
        <w:tc>
          <w:tcPr>
            <w:tcW w:w="1009" w:type="dxa"/>
            <w:vAlign w:val="center"/>
          </w:tcPr>
          <w:p w14:paraId="3C48E2DA" w14:textId="77777777" w:rsidR="00C4624A" w:rsidRPr="00252A6F" w:rsidRDefault="00C4624A" w:rsidP="00461AA0">
            <w:pPr>
              <w:spacing w:before="20" w:after="20"/>
              <w:jc w:val="right"/>
              <w:rPr>
                <w:noProof/>
                <w:sz w:val="20"/>
                <w:szCs w:val="20"/>
              </w:rPr>
            </w:pPr>
            <w:r w:rsidRPr="00252A6F">
              <w:rPr>
                <w:noProof/>
                <w:sz w:val="16"/>
              </w:rPr>
              <w:t>0,424</w:t>
            </w:r>
          </w:p>
        </w:tc>
        <w:tc>
          <w:tcPr>
            <w:tcW w:w="1009" w:type="dxa"/>
            <w:vAlign w:val="center"/>
          </w:tcPr>
          <w:p w14:paraId="5333A900" w14:textId="77777777" w:rsidR="00C4624A" w:rsidRPr="00252A6F" w:rsidRDefault="00C4624A" w:rsidP="00461AA0">
            <w:pPr>
              <w:spacing w:before="20" w:after="20"/>
              <w:jc w:val="right"/>
              <w:rPr>
                <w:noProof/>
                <w:sz w:val="20"/>
                <w:szCs w:val="20"/>
              </w:rPr>
            </w:pPr>
            <w:r w:rsidRPr="00252A6F">
              <w:rPr>
                <w:noProof/>
                <w:sz w:val="16"/>
              </w:rPr>
              <w:t>0,072</w:t>
            </w:r>
          </w:p>
        </w:tc>
        <w:tc>
          <w:tcPr>
            <w:tcW w:w="1009" w:type="dxa"/>
            <w:vAlign w:val="center"/>
          </w:tcPr>
          <w:p w14:paraId="7FE73CBD" w14:textId="77777777" w:rsidR="00C4624A" w:rsidRPr="00252A6F" w:rsidRDefault="00C4624A" w:rsidP="00461AA0">
            <w:pPr>
              <w:spacing w:before="20" w:after="20"/>
              <w:jc w:val="right"/>
              <w:rPr>
                <w:noProof/>
                <w:sz w:val="20"/>
                <w:szCs w:val="20"/>
              </w:rPr>
            </w:pPr>
            <w:r w:rsidRPr="00252A6F">
              <w:rPr>
                <w:noProof/>
                <w:sz w:val="16"/>
              </w:rPr>
              <w:t>0,072</w:t>
            </w:r>
          </w:p>
        </w:tc>
        <w:tc>
          <w:tcPr>
            <w:tcW w:w="1009" w:type="dxa"/>
            <w:vAlign w:val="center"/>
          </w:tcPr>
          <w:p w14:paraId="65121366" w14:textId="77777777" w:rsidR="00C4624A" w:rsidRPr="00252A6F" w:rsidRDefault="00C4624A" w:rsidP="00461AA0">
            <w:pPr>
              <w:spacing w:before="20" w:after="20"/>
              <w:jc w:val="right"/>
              <w:rPr>
                <w:noProof/>
                <w:sz w:val="20"/>
                <w:szCs w:val="20"/>
              </w:rPr>
            </w:pPr>
            <w:r w:rsidRPr="00252A6F">
              <w:rPr>
                <w:noProof/>
                <w:sz w:val="16"/>
              </w:rPr>
              <w:t>0,072</w:t>
            </w:r>
          </w:p>
        </w:tc>
        <w:tc>
          <w:tcPr>
            <w:tcW w:w="1168" w:type="dxa"/>
            <w:gridSpan w:val="2"/>
            <w:vAlign w:val="center"/>
          </w:tcPr>
          <w:p w14:paraId="017F09E6" w14:textId="77777777" w:rsidR="00C4624A" w:rsidRPr="00252A6F" w:rsidRDefault="00C4624A" w:rsidP="00461AA0">
            <w:pPr>
              <w:spacing w:before="20" w:after="20"/>
              <w:jc w:val="right"/>
              <w:rPr>
                <w:noProof/>
                <w:sz w:val="20"/>
                <w:szCs w:val="20"/>
              </w:rPr>
            </w:pPr>
            <w:r w:rsidRPr="00252A6F">
              <w:rPr>
                <w:b/>
                <w:noProof/>
                <w:sz w:val="16"/>
              </w:rPr>
              <w:t>1,972</w:t>
            </w:r>
          </w:p>
        </w:tc>
      </w:tr>
    </w:tbl>
    <w:p w14:paraId="27BC62AD" w14:textId="77777777" w:rsidR="00C4624A" w:rsidRPr="00252A6F" w:rsidRDefault="00C4624A" w:rsidP="00C4624A">
      <w:pPr>
        <w:rPr>
          <w:noProof/>
        </w:rPr>
      </w:pPr>
    </w:p>
    <w:tbl>
      <w:tblPr>
        <w:tblW w:w="144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5"/>
        <w:gridCol w:w="2435"/>
        <w:gridCol w:w="1009"/>
        <w:gridCol w:w="1009"/>
        <w:gridCol w:w="1009"/>
        <w:gridCol w:w="1009"/>
        <w:gridCol w:w="1009"/>
        <w:gridCol w:w="1009"/>
        <w:gridCol w:w="1342"/>
      </w:tblGrid>
      <w:tr w:rsidR="00C4624A" w:rsidRPr="00252A6F" w14:paraId="38C88FE5" w14:textId="77777777" w:rsidTr="00461AA0">
        <w:trPr>
          <w:trHeight w:val="1038"/>
        </w:trPr>
        <w:tc>
          <w:tcPr>
            <w:tcW w:w="4605" w:type="dxa"/>
            <w:shd w:val="clear" w:color="auto" w:fill="auto"/>
            <w:vAlign w:val="center"/>
          </w:tcPr>
          <w:p w14:paraId="01226093" w14:textId="77777777" w:rsidR="00C4624A" w:rsidRPr="00252A6F" w:rsidRDefault="00C4624A" w:rsidP="00461AA0">
            <w:pPr>
              <w:jc w:val="center"/>
              <w:rPr>
                <w:b/>
                <w:bCs/>
                <w:noProof/>
                <w:sz w:val="22"/>
              </w:rPr>
            </w:pPr>
            <w:r w:rsidRPr="00252A6F">
              <w:rPr>
                <w:b/>
                <w:noProof/>
                <w:sz w:val="22"/>
              </w:rPr>
              <w:t>Odobritve iz RAZDELKA 7</w:t>
            </w:r>
          </w:p>
          <w:p w14:paraId="1EDFAACD" w14:textId="77777777" w:rsidR="00C4624A" w:rsidRPr="00252A6F" w:rsidRDefault="00C4624A" w:rsidP="00461AA0">
            <w:pPr>
              <w:jc w:val="center"/>
              <w:rPr>
                <w:b/>
                <w:bCs/>
                <w:noProof/>
                <w:sz w:val="22"/>
              </w:rPr>
            </w:pPr>
            <w:r w:rsidRPr="00252A6F">
              <w:rPr>
                <w:noProof/>
                <w:sz w:val="22"/>
              </w:rPr>
              <w:t>večletnega finančnega okvira</w:t>
            </w:r>
          </w:p>
          <w:p w14:paraId="05A84FEF" w14:textId="77777777" w:rsidR="00C4624A" w:rsidRPr="00252A6F" w:rsidRDefault="00C4624A" w:rsidP="00461AA0">
            <w:pPr>
              <w:jc w:val="center"/>
              <w:rPr>
                <w:b/>
                <w:bCs/>
                <w:noProof/>
              </w:rPr>
            </w:pPr>
            <w:r w:rsidRPr="00252A6F">
              <w:rPr>
                <w:b/>
                <w:noProof/>
                <w:sz w:val="22"/>
              </w:rPr>
              <w:t xml:space="preserve">SKUPAJ </w:t>
            </w:r>
          </w:p>
        </w:tc>
        <w:tc>
          <w:tcPr>
            <w:tcW w:w="2435" w:type="dxa"/>
            <w:vAlign w:val="center"/>
          </w:tcPr>
          <w:p w14:paraId="250F35CE" w14:textId="77777777" w:rsidR="00C4624A" w:rsidRPr="00252A6F" w:rsidRDefault="00C4624A" w:rsidP="00461AA0">
            <w:pPr>
              <w:spacing w:before="40" w:after="40"/>
              <w:rPr>
                <w:noProof/>
              </w:rPr>
            </w:pPr>
            <w:r w:rsidRPr="00252A6F">
              <w:rPr>
                <w:noProof/>
                <w:sz w:val="18"/>
              </w:rPr>
              <w:t>(obveznosti skupaj = plačila skupaj)</w:t>
            </w:r>
          </w:p>
        </w:tc>
        <w:tc>
          <w:tcPr>
            <w:tcW w:w="1009" w:type="dxa"/>
            <w:vAlign w:val="center"/>
          </w:tcPr>
          <w:p w14:paraId="538FD93B" w14:textId="77777777" w:rsidR="00C4624A" w:rsidRPr="00252A6F" w:rsidRDefault="00C4624A" w:rsidP="00461AA0">
            <w:pPr>
              <w:spacing w:before="20" w:after="20"/>
              <w:jc w:val="right"/>
              <w:rPr>
                <w:noProof/>
                <w:sz w:val="20"/>
                <w:szCs w:val="20"/>
              </w:rPr>
            </w:pPr>
            <w:r w:rsidRPr="00252A6F">
              <w:rPr>
                <w:noProof/>
                <w:sz w:val="16"/>
              </w:rPr>
              <w:t>0,848</w:t>
            </w:r>
          </w:p>
        </w:tc>
        <w:tc>
          <w:tcPr>
            <w:tcW w:w="1009" w:type="dxa"/>
            <w:vAlign w:val="center"/>
          </w:tcPr>
          <w:p w14:paraId="508D8B84" w14:textId="77777777" w:rsidR="00C4624A" w:rsidRPr="00252A6F" w:rsidRDefault="00C4624A" w:rsidP="00461AA0">
            <w:pPr>
              <w:spacing w:before="20" w:after="20"/>
              <w:jc w:val="right"/>
              <w:rPr>
                <w:noProof/>
                <w:sz w:val="20"/>
                <w:szCs w:val="20"/>
              </w:rPr>
            </w:pPr>
            <w:r w:rsidRPr="00252A6F">
              <w:rPr>
                <w:noProof/>
                <w:sz w:val="16"/>
              </w:rPr>
              <w:t>0,484</w:t>
            </w:r>
          </w:p>
        </w:tc>
        <w:tc>
          <w:tcPr>
            <w:tcW w:w="1009" w:type="dxa"/>
            <w:vAlign w:val="center"/>
          </w:tcPr>
          <w:p w14:paraId="612E340C" w14:textId="77777777" w:rsidR="00C4624A" w:rsidRPr="00252A6F" w:rsidRDefault="00C4624A" w:rsidP="00461AA0">
            <w:pPr>
              <w:spacing w:before="20" w:after="20"/>
              <w:jc w:val="right"/>
              <w:rPr>
                <w:noProof/>
                <w:sz w:val="20"/>
                <w:szCs w:val="20"/>
              </w:rPr>
            </w:pPr>
            <w:r w:rsidRPr="00252A6F">
              <w:rPr>
                <w:noProof/>
                <w:sz w:val="16"/>
              </w:rPr>
              <w:t>0,424</w:t>
            </w:r>
          </w:p>
        </w:tc>
        <w:tc>
          <w:tcPr>
            <w:tcW w:w="1009" w:type="dxa"/>
            <w:vAlign w:val="center"/>
          </w:tcPr>
          <w:p w14:paraId="448F9C2E" w14:textId="77777777" w:rsidR="00C4624A" w:rsidRPr="00252A6F" w:rsidRDefault="00C4624A" w:rsidP="00461AA0">
            <w:pPr>
              <w:spacing w:before="20" w:after="20"/>
              <w:jc w:val="right"/>
              <w:rPr>
                <w:noProof/>
                <w:sz w:val="20"/>
                <w:szCs w:val="20"/>
              </w:rPr>
            </w:pPr>
            <w:r w:rsidRPr="00252A6F">
              <w:rPr>
                <w:noProof/>
                <w:sz w:val="16"/>
              </w:rPr>
              <w:t>0,072</w:t>
            </w:r>
          </w:p>
        </w:tc>
        <w:tc>
          <w:tcPr>
            <w:tcW w:w="1009" w:type="dxa"/>
            <w:vAlign w:val="center"/>
          </w:tcPr>
          <w:p w14:paraId="54677929" w14:textId="77777777" w:rsidR="00C4624A" w:rsidRPr="00252A6F" w:rsidRDefault="00C4624A" w:rsidP="00461AA0">
            <w:pPr>
              <w:spacing w:before="20" w:after="20"/>
              <w:jc w:val="right"/>
              <w:rPr>
                <w:noProof/>
                <w:sz w:val="20"/>
                <w:szCs w:val="20"/>
              </w:rPr>
            </w:pPr>
            <w:r w:rsidRPr="00252A6F">
              <w:rPr>
                <w:noProof/>
                <w:sz w:val="16"/>
              </w:rPr>
              <w:t>0,072</w:t>
            </w:r>
          </w:p>
        </w:tc>
        <w:tc>
          <w:tcPr>
            <w:tcW w:w="1009" w:type="dxa"/>
            <w:vAlign w:val="center"/>
          </w:tcPr>
          <w:p w14:paraId="209FFBAE" w14:textId="77777777" w:rsidR="00C4624A" w:rsidRPr="00252A6F" w:rsidRDefault="00C4624A" w:rsidP="00461AA0">
            <w:pPr>
              <w:spacing w:before="20" w:after="20"/>
              <w:jc w:val="right"/>
              <w:rPr>
                <w:noProof/>
                <w:sz w:val="20"/>
                <w:szCs w:val="20"/>
              </w:rPr>
            </w:pPr>
            <w:r w:rsidRPr="00252A6F">
              <w:rPr>
                <w:noProof/>
                <w:sz w:val="16"/>
              </w:rPr>
              <w:t>0,072</w:t>
            </w:r>
          </w:p>
        </w:tc>
        <w:tc>
          <w:tcPr>
            <w:tcW w:w="1342" w:type="dxa"/>
            <w:vAlign w:val="center"/>
          </w:tcPr>
          <w:p w14:paraId="3486F743" w14:textId="77777777" w:rsidR="00C4624A" w:rsidRPr="00252A6F" w:rsidRDefault="00C4624A" w:rsidP="00461AA0">
            <w:pPr>
              <w:spacing w:before="20" w:after="20"/>
              <w:jc w:val="right"/>
              <w:rPr>
                <w:b/>
                <w:bCs/>
                <w:noProof/>
                <w:sz w:val="20"/>
                <w:szCs w:val="20"/>
              </w:rPr>
            </w:pPr>
            <w:r w:rsidRPr="00252A6F">
              <w:rPr>
                <w:b/>
                <w:noProof/>
                <w:sz w:val="16"/>
              </w:rPr>
              <w:t>1,972</w:t>
            </w:r>
          </w:p>
        </w:tc>
      </w:tr>
    </w:tbl>
    <w:p w14:paraId="014513C5" w14:textId="77777777" w:rsidR="00C4624A" w:rsidRPr="00252A6F" w:rsidRDefault="00C4624A" w:rsidP="00C4624A">
      <w:pPr>
        <w:jc w:val="right"/>
        <w:rPr>
          <w:noProof/>
          <w:sz w:val="20"/>
          <w:szCs w:val="20"/>
        </w:rPr>
      </w:pPr>
      <w:r w:rsidRPr="00252A6F">
        <w:rPr>
          <w:noProof/>
          <w:sz w:val="20"/>
        </w:rPr>
        <w:t>v mio. EUR (na tri decimalna mesta natančno)</w:t>
      </w:r>
    </w:p>
    <w:tbl>
      <w:tblPr>
        <w:tblW w:w="143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678"/>
        <w:gridCol w:w="345"/>
        <w:gridCol w:w="805"/>
        <w:gridCol w:w="935"/>
        <w:gridCol w:w="935"/>
        <w:gridCol w:w="935"/>
        <w:gridCol w:w="935"/>
        <w:gridCol w:w="935"/>
        <w:gridCol w:w="935"/>
        <w:gridCol w:w="135"/>
        <w:gridCol w:w="1532"/>
      </w:tblGrid>
      <w:tr w:rsidR="00C4624A" w:rsidRPr="00252A6F" w14:paraId="394ABFEE" w14:textId="77777777" w:rsidTr="00461AA0">
        <w:trPr>
          <w:trHeight w:val="844"/>
        </w:trPr>
        <w:tc>
          <w:tcPr>
            <w:tcW w:w="4265" w:type="dxa"/>
            <w:tcBorders>
              <w:top w:val="nil"/>
              <w:left w:val="nil"/>
              <w:right w:val="nil"/>
            </w:tcBorders>
            <w:vAlign w:val="center"/>
          </w:tcPr>
          <w:p w14:paraId="52141C4C" w14:textId="77777777" w:rsidR="00C4624A" w:rsidRPr="00252A6F" w:rsidRDefault="00C4624A" w:rsidP="00461AA0">
            <w:pPr>
              <w:jc w:val="center"/>
              <w:rPr>
                <w:noProof/>
              </w:rPr>
            </w:pPr>
          </w:p>
        </w:tc>
        <w:tc>
          <w:tcPr>
            <w:tcW w:w="1678" w:type="dxa"/>
            <w:tcBorders>
              <w:top w:val="nil"/>
              <w:left w:val="nil"/>
              <w:right w:val="nil"/>
            </w:tcBorders>
          </w:tcPr>
          <w:p w14:paraId="688E5E22" w14:textId="77777777" w:rsidR="00C4624A" w:rsidRPr="00252A6F" w:rsidRDefault="00C4624A" w:rsidP="00461AA0">
            <w:pPr>
              <w:rPr>
                <w:noProof/>
                <w:sz w:val="20"/>
                <w:szCs w:val="20"/>
              </w:rPr>
            </w:pPr>
          </w:p>
        </w:tc>
        <w:tc>
          <w:tcPr>
            <w:tcW w:w="345" w:type="dxa"/>
            <w:tcBorders>
              <w:top w:val="nil"/>
              <w:left w:val="nil"/>
            </w:tcBorders>
          </w:tcPr>
          <w:p w14:paraId="38BE3171" w14:textId="77777777" w:rsidR="00C4624A" w:rsidRPr="00252A6F" w:rsidRDefault="00C4624A" w:rsidP="00461AA0">
            <w:pPr>
              <w:jc w:val="center"/>
              <w:rPr>
                <w:noProof/>
                <w:sz w:val="20"/>
                <w:szCs w:val="20"/>
              </w:rPr>
            </w:pPr>
          </w:p>
        </w:tc>
        <w:tc>
          <w:tcPr>
            <w:tcW w:w="805" w:type="dxa"/>
            <w:tcBorders>
              <w:top w:val="nil"/>
              <w:left w:val="nil"/>
            </w:tcBorders>
          </w:tcPr>
          <w:p w14:paraId="737B95E3" w14:textId="77777777" w:rsidR="00C4624A" w:rsidRPr="00252A6F" w:rsidRDefault="00C4624A" w:rsidP="00461AA0">
            <w:pPr>
              <w:jc w:val="center"/>
              <w:rPr>
                <w:noProof/>
                <w:sz w:val="20"/>
                <w:szCs w:val="20"/>
              </w:rPr>
            </w:pPr>
            <w:r w:rsidRPr="00252A6F">
              <w:rPr>
                <w:noProof/>
                <w:sz w:val="20"/>
              </w:rPr>
              <w:t>Leto</w:t>
            </w:r>
          </w:p>
          <w:p w14:paraId="67321D7F" w14:textId="77777777" w:rsidR="00C4624A" w:rsidRPr="00252A6F" w:rsidRDefault="00C4624A" w:rsidP="00461AA0">
            <w:pPr>
              <w:jc w:val="center"/>
              <w:rPr>
                <w:noProof/>
                <w:sz w:val="20"/>
                <w:szCs w:val="20"/>
              </w:rPr>
            </w:pPr>
            <w:r w:rsidRPr="00252A6F">
              <w:rPr>
                <w:noProof/>
                <w:sz w:val="20"/>
              </w:rPr>
              <w:t>2021</w:t>
            </w:r>
          </w:p>
        </w:tc>
        <w:tc>
          <w:tcPr>
            <w:tcW w:w="935" w:type="dxa"/>
            <w:vAlign w:val="center"/>
          </w:tcPr>
          <w:p w14:paraId="08A2910B" w14:textId="77777777" w:rsidR="00C4624A" w:rsidRPr="00252A6F" w:rsidRDefault="00C4624A" w:rsidP="00461AA0">
            <w:pPr>
              <w:jc w:val="center"/>
              <w:rPr>
                <w:noProof/>
                <w:sz w:val="20"/>
                <w:szCs w:val="20"/>
              </w:rPr>
            </w:pPr>
            <w:r w:rsidRPr="00252A6F">
              <w:rPr>
                <w:noProof/>
                <w:sz w:val="20"/>
              </w:rPr>
              <w:t>Leto</w:t>
            </w:r>
          </w:p>
          <w:p w14:paraId="5FA308CB" w14:textId="77777777" w:rsidR="00C4624A" w:rsidRPr="00252A6F" w:rsidRDefault="00C4624A" w:rsidP="00461AA0">
            <w:pPr>
              <w:jc w:val="center"/>
              <w:rPr>
                <w:noProof/>
                <w:sz w:val="20"/>
                <w:szCs w:val="20"/>
              </w:rPr>
            </w:pPr>
            <w:r w:rsidRPr="00252A6F">
              <w:rPr>
                <w:noProof/>
                <w:sz w:val="20"/>
              </w:rPr>
              <w:t>2022</w:t>
            </w:r>
          </w:p>
        </w:tc>
        <w:tc>
          <w:tcPr>
            <w:tcW w:w="935" w:type="dxa"/>
          </w:tcPr>
          <w:p w14:paraId="0C953DA0" w14:textId="77777777" w:rsidR="00C4624A" w:rsidRPr="00252A6F" w:rsidRDefault="00C4624A" w:rsidP="00461AA0">
            <w:pPr>
              <w:jc w:val="center"/>
              <w:rPr>
                <w:noProof/>
                <w:sz w:val="20"/>
                <w:szCs w:val="20"/>
              </w:rPr>
            </w:pPr>
            <w:r w:rsidRPr="00252A6F">
              <w:rPr>
                <w:noProof/>
                <w:sz w:val="20"/>
              </w:rPr>
              <w:t>Leto</w:t>
            </w:r>
          </w:p>
          <w:p w14:paraId="5469C97D" w14:textId="77777777" w:rsidR="00C4624A" w:rsidRPr="00252A6F" w:rsidRDefault="00C4624A" w:rsidP="00461AA0">
            <w:pPr>
              <w:jc w:val="center"/>
              <w:rPr>
                <w:noProof/>
                <w:sz w:val="20"/>
                <w:szCs w:val="20"/>
              </w:rPr>
            </w:pPr>
            <w:r w:rsidRPr="00252A6F">
              <w:rPr>
                <w:noProof/>
                <w:sz w:val="20"/>
              </w:rPr>
              <w:t>2023</w:t>
            </w:r>
          </w:p>
        </w:tc>
        <w:tc>
          <w:tcPr>
            <w:tcW w:w="935" w:type="dxa"/>
          </w:tcPr>
          <w:p w14:paraId="79639A3F" w14:textId="77777777" w:rsidR="00C4624A" w:rsidRPr="00252A6F" w:rsidRDefault="00C4624A" w:rsidP="00461AA0">
            <w:pPr>
              <w:jc w:val="center"/>
              <w:rPr>
                <w:noProof/>
                <w:sz w:val="20"/>
                <w:szCs w:val="20"/>
              </w:rPr>
            </w:pPr>
            <w:r w:rsidRPr="00252A6F">
              <w:rPr>
                <w:noProof/>
                <w:sz w:val="20"/>
              </w:rPr>
              <w:t>Leto</w:t>
            </w:r>
          </w:p>
          <w:p w14:paraId="7D215AEB" w14:textId="77777777" w:rsidR="00C4624A" w:rsidRPr="00252A6F" w:rsidRDefault="00C4624A" w:rsidP="00461AA0">
            <w:pPr>
              <w:jc w:val="center"/>
              <w:rPr>
                <w:noProof/>
                <w:sz w:val="20"/>
                <w:szCs w:val="20"/>
              </w:rPr>
            </w:pPr>
            <w:r w:rsidRPr="00252A6F">
              <w:rPr>
                <w:noProof/>
                <w:sz w:val="20"/>
              </w:rPr>
              <w:t>2024</w:t>
            </w:r>
          </w:p>
        </w:tc>
        <w:tc>
          <w:tcPr>
            <w:tcW w:w="935" w:type="dxa"/>
          </w:tcPr>
          <w:p w14:paraId="03A9E947" w14:textId="77777777" w:rsidR="00C4624A" w:rsidRPr="00252A6F" w:rsidRDefault="00C4624A" w:rsidP="00461AA0">
            <w:pPr>
              <w:jc w:val="center"/>
              <w:rPr>
                <w:noProof/>
                <w:sz w:val="20"/>
                <w:szCs w:val="20"/>
              </w:rPr>
            </w:pPr>
            <w:r w:rsidRPr="00252A6F">
              <w:rPr>
                <w:noProof/>
                <w:sz w:val="20"/>
              </w:rPr>
              <w:t>Leto</w:t>
            </w:r>
          </w:p>
          <w:p w14:paraId="2866FEAB" w14:textId="77777777" w:rsidR="00C4624A" w:rsidRPr="00252A6F" w:rsidRDefault="00C4624A" w:rsidP="00461AA0">
            <w:pPr>
              <w:jc w:val="center"/>
              <w:rPr>
                <w:noProof/>
                <w:sz w:val="20"/>
                <w:szCs w:val="20"/>
              </w:rPr>
            </w:pPr>
            <w:r w:rsidRPr="00252A6F">
              <w:rPr>
                <w:noProof/>
                <w:sz w:val="20"/>
              </w:rPr>
              <w:t>2025</w:t>
            </w:r>
          </w:p>
        </w:tc>
        <w:tc>
          <w:tcPr>
            <w:tcW w:w="935" w:type="dxa"/>
          </w:tcPr>
          <w:p w14:paraId="1244B09A" w14:textId="77777777" w:rsidR="00C4624A" w:rsidRPr="00252A6F" w:rsidRDefault="00C4624A" w:rsidP="00461AA0">
            <w:pPr>
              <w:jc w:val="center"/>
              <w:rPr>
                <w:noProof/>
                <w:sz w:val="20"/>
                <w:szCs w:val="20"/>
              </w:rPr>
            </w:pPr>
            <w:r w:rsidRPr="00252A6F">
              <w:rPr>
                <w:noProof/>
                <w:sz w:val="20"/>
              </w:rPr>
              <w:t>Leto</w:t>
            </w:r>
          </w:p>
          <w:p w14:paraId="7037CC8C" w14:textId="77777777" w:rsidR="00C4624A" w:rsidRPr="00252A6F" w:rsidRDefault="00C4624A" w:rsidP="00461AA0">
            <w:pPr>
              <w:jc w:val="center"/>
              <w:rPr>
                <w:noProof/>
                <w:sz w:val="20"/>
                <w:szCs w:val="20"/>
              </w:rPr>
            </w:pPr>
            <w:r w:rsidRPr="00252A6F">
              <w:rPr>
                <w:noProof/>
                <w:sz w:val="20"/>
              </w:rPr>
              <w:t>2026</w:t>
            </w:r>
          </w:p>
        </w:tc>
        <w:tc>
          <w:tcPr>
            <w:tcW w:w="1070" w:type="dxa"/>
            <w:gridSpan w:val="2"/>
          </w:tcPr>
          <w:p w14:paraId="27AF1770" w14:textId="77777777" w:rsidR="00C4624A" w:rsidRPr="00252A6F" w:rsidRDefault="00C4624A" w:rsidP="00461AA0">
            <w:pPr>
              <w:jc w:val="center"/>
              <w:rPr>
                <w:noProof/>
                <w:sz w:val="20"/>
                <w:szCs w:val="20"/>
              </w:rPr>
            </w:pPr>
            <w:r w:rsidRPr="00252A6F">
              <w:rPr>
                <w:noProof/>
                <w:sz w:val="20"/>
              </w:rPr>
              <w:t>Leto</w:t>
            </w:r>
          </w:p>
          <w:p w14:paraId="0322F1D7" w14:textId="77777777" w:rsidR="00C4624A" w:rsidRPr="00252A6F" w:rsidRDefault="00C4624A" w:rsidP="00461AA0">
            <w:pPr>
              <w:jc w:val="center"/>
              <w:rPr>
                <w:b/>
                <w:bCs/>
                <w:noProof/>
                <w:sz w:val="18"/>
                <w:szCs w:val="18"/>
              </w:rPr>
            </w:pPr>
            <w:r w:rsidRPr="00252A6F">
              <w:rPr>
                <w:noProof/>
                <w:sz w:val="20"/>
              </w:rPr>
              <w:t>2027</w:t>
            </w:r>
          </w:p>
        </w:tc>
        <w:tc>
          <w:tcPr>
            <w:tcW w:w="1532" w:type="dxa"/>
            <w:vAlign w:val="center"/>
          </w:tcPr>
          <w:p w14:paraId="6EA489E3" w14:textId="77777777" w:rsidR="00C4624A" w:rsidRPr="00252A6F" w:rsidRDefault="00C4624A" w:rsidP="00461AA0">
            <w:pPr>
              <w:jc w:val="center"/>
              <w:rPr>
                <w:b/>
                <w:bCs/>
                <w:noProof/>
                <w:sz w:val="20"/>
                <w:szCs w:val="20"/>
              </w:rPr>
            </w:pPr>
            <w:r w:rsidRPr="00252A6F">
              <w:rPr>
                <w:b/>
                <w:noProof/>
                <w:sz w:val="20"/>
              </w:rPr>
              <w:t>SKUPAJ</w:t>
            </w:r>
          </w:p>
        </w:tc>
      </w:tr>
      <w:tr w:rsidR="00C4624A" w:rsidRPr="00252A6F" w14:paraId="69DE9A71" w14:textId="77777777" w:rsidTr="00461AA0">
        <w:trPr>
          <w:trHeight w:val="546"/>
        </w:trPr>
        <w:tc>
          <w:tcPr>
            <w:tcW w:w="4265" w:type="dxa"/>
            <w:vMerge w:val="restart"/>
            <w:shd w:val="clear" w:color="auto" w:fill="C0C0C0"/>
            <w:vAlign w:val="center"/>
          </w:tcPr>
          <w:p w14:paraId="03B1DE9D" w14:textId="77777777" w:rsidR="00C4624A" w:rsidRPr="00252A6F" w:rsidRDefault="00C4624A" w:rsidP="00461AA0">
            <w:pPr>
              <w:jc w:val="center"/>
              <w:rPr>
                <w:b/>
                <w:bCs/>
                <w:noProof/>
              </w:rPr>
            </w:pPr>
            <w:r w:rsidRPr="00252A6F">
              <w:rPr>
                <w:b/>
                <w:noProof/>
                <w:sz w:val="22"/>
              </w:rPr>
              <w:t>Odobritve iz RAZDELKOV 1 do 7</w:t>
            </w:r>
            <w:r w:rsidRPr="00252A6F">
              <w:rPr>
                <w:noProof/>
                <w:sz w:val="22"/>
              </w:rPr>
              <w:t xml:space="preserve"> večletnega finančnega okvira </w:t>
            </w:r>
            <w:r w:rsidRPr="00252A6F">
              <w:rPr>
                <w:b/>
                <w:noProof/>
                <w:sz w:val="22"/>
              </w:rPr>
              <w:t xml:space="preserve">SKUPAJ </w:t>
            </w:r>
          </w:p>
        </w:tc>
        <w:tc>
          <w:tcPr>
            <w:tcW w:w="2023" w:type="dxa"/>
            <w:gridSpan w:val="2"/>
            <w:vAlign w:val="center"/>
          </w:tcPr>
          <w:p w14:paraId="59B5D5A5" w14:textId="77777777" w:rsidR="00C4624A" w:rsidRPr="00252A6F" w:rsidRDefault="00C4624A" w:rsidP="00461AA0">
            <w:pPr>
              <w:rPr>
                <w:noProof/>
                <w:sz w:val="14"/>
                <w:szCs w:val="14"/>
              </w:rPr>
            </w:pPr>
            <w:r w:rsidRPr="00252A6F">
              <w:rPr>
                <w:noProof/>
                <w:sz w:val="18"/>
              </w:rPr>
              <w:t>obveznosti</w:t>
            </w:r>
          </w:p>
        </w:tc>
        <w:tc>
          <w:tcPr>
            <w:tcW w:w="805" w:type="dxa"/>
            <w:vAlign w:val="center"/>
          </w:tcPr>
          <w:p w14:paraId="2FD20604" w14:textId="77777777" w:rsidR="00C4624A" w:rsidRPr="00252A6F" w:rsidRDefault="00C4624A" w:rsidP="00461AA0">
            <w:pPr>
              <w:rPr>
                <w:noProof/>
                <w:sz w:val="18"/>
                <w:szCs w:val="18"/>
              </w:rPr>
            </w:pPr>
            <w:r w:rsidRPr="00252A6F">
              <w:rPr>
                <w:noProof/>
                <w:sz w:val="18"/>
              </w:rPr>
              <w:t>27,3</w:t>
            </w:r>
          </w:p>
        </w:tc>
        <w:tc>
          <w:tcPr>
            <w:tcW w:w="935" w:type="dxa"/>
            <w:vAlign w:val="center"/>
          </w:tcPr>
          <w:p w14:paraId="273D9096" w14:textId="77777777" w:rsidR="00C4624A" w:rsidRPr="00252A6F" w:rsidRDefault="00C4624A" w:rsidP="00461AA0">
            <w:pPr>
              <w:spacing w:before="60" w:after="60"/>
              <w:jc w:val="right"/>
              <w:rPr>
                <w:noProof/>
                <w:sz w:val="20"/>
                <w:szCs w:val="20"/>
              </w:rPr>
            </w:pPr>
            <w:r w:rsidRPr="00252A6F">
              <w:rPr>
                <w:noProof/>
                <w:sz w:val="20"/>
              </w:rPr>
              <w:t>126,098</w:t>
            </w:r>
          </w:p>
        </w:tc>
        <w:tc>
          <w:tcPr>
            <w:tcW w:w="935" w:type="dxa"/>
            <w:vAlign w:val="center"/>
          </w:tcPr>
          <w:p w14:paraId="7FE088C1" w14:textId="77777777" w:rsidR="00C4624A" w:rsidRPr="00252A6F" w:rsidRDefault="00C4624A" w:rsidP="00461AA0">
            <w:pPr>
              <w:spacing w:before="60" w:after="60"/>
              <w:jc w:val="right"/>
              <w:rPr>
                <w:noProof/>
                <w:sz w:val="20"/>
                <w:szCs w:val="20"/>
              </w:rPr>
            </w:pPr>
            <w:r w:rsidRPr="00252A6F">
              <w:rPr>
                <w:noProof/>
                <w:sz w:val="20"/>
              </w:rPr>
              <w:t>333,084</w:t>
            </w:r>
          </w:p>
        </w:tc>
        <w:tc>
          <w:tcPr>
            <w:tcW w:w="935" w:type="dxa"/>
            <w:vAlign w:val="center"/>
          </w:tcPr>
          <w:p w14:paraId="63EB5224" w14:textId="77777777" w:rsidR="00C4624A" w:rsidRPr="00252A6F" w:rsidRDefault="00C4624A" w:rsidP="00461AA0">
            <w:pPr>
              <w:spacing w:before="60" w:after="60"/>
              <w:jc w:val="right"/>
              <w:rPr>
                <w:noProof/>
                <w:sz w:val="20"/>
                <w:szCs w:val="20"/>
              </w:rPr>
            </w:pPr>
            <w:r w:rsidRPr="00252A6F">
              <w:rPr>
                <w:noProof/>
                <w:sz w:val="20"/>
              </w:rPr>
              <w:t>202,924</w:t>
            </w:r>
          </w:p>
        </w:tc>
        <w:tc>
          <w:tcPr>
            <w:tcW w:w="935" w:type="dxa"/>
          </w:tcPr>
          <w:p w14:paraId="55BB1CFF" w14:textId="77777777" w:rsidR="00C4624A" w:rsidRPr="00252A6F" w:rsidRDefault="00C4624A" w:rsidP="00461AA0">
            <w:pPr>
              <w:spacing w:before="60" w:after="60"/>
              <w:rPr>
                <w:noProof/>
                <w:sz w:val="20"/>
                <w:szCs w:val="20"/>
              </w:rPr>
            </w:pPr>
            <w:r w:rsidRPr="00252A6F">
              <w:rPr>
                <w:noProof/>
                <w:sz w:val="20"/>
              </w:rPr>
              <w:t>683,672</w:t>
            </w:r>
          </w:p>
        </w:tc>
        <w:tc>
          <w:tcPr>
            <w:tcW w:w="935" w:type="dxa"/>
            <w:vAlign w:val="center"/>
          </w:tcPr>
          <w:p w14:paraId="06544E63" w14:textId="77777777" w:rsidR="00C4624A" w:rsidRPr="00252A6F" w:rsidRDefault="00C4624A" w:rsidP="00461AA0">
            <w:pPr>
              <w:spacing w:before="60" w:after="60"/>
              <w:jc w:val="right"/>
              <w:rPr>
                <w:noProof/>
                <w:sz w:val="20"/>
                <w:szCs w:val="20"/>
              </w:rPr>
            </w:pPr>
            <w:r w:rsidRPr="00252A6F">
              <w:rPr>
                <w:noProof/>
                <w:sz w:val="20"/>
              </w:rPr>
              <w:t>589,262</w:t>
            </w:r>
          </w:p>
        </w:tc>
        <w:tc>
          <w:tcPr>
            <w:tcW w:w="935" w:type="dxa"/>
            <w:vAlign w:val="center"/>
          </w:tcPr>
          <w:p w14:paraId="6B4FE715" w14:textId="77777777" w:rsidR="00C4624A" w:rsidRPr="00252A6F" w:rsidRDefault="00C4624A" w:rsidP="00461AA0">
            <w:pPr>
              <w:spacing w:before="60" w:after="60"/>
              <w:jc w:val="right"/>
              <w:rPr>
                <w:noProof/>
                <w:sz w:val="20"/>
                <w:szCs w:val="20"/>
              </w:rPr>
            </w:pPr>
            <w:r w:rsidRPr="00252A6F">
              <w:rPr>
                <w:noProof/>
                <w:sz w:val="20"/>
              </w:rPr>
              <w:t>540,132</w:t>
            </w:r>
          </w:p>
        </w:tc>
        <w:tc>
          <w:tcPr>
            <w:tcW w:w="1667" w:type="dxa"/>
            <w:gridSpan w:val="2"/>
            <w:vAlign w:val="center"/>
          </w:tcPr>
          <w:p w14:paraId="7360F687" w14:textId="77777777" w:rsidR="00C4624A" w:rsidRPr="00252A6F" w:rsidRDefault="00C4624A" w:rsidP="00461AA0">
            <w:pPr>
              <w:spacing w:before="60" w:after="60"/>
              <w:jc w:val="right"/>
              <w:rPr>
                <w:noProof/>
                <w:sz w:val="20"/>
                <w:szCs w:val="20"/>
              </w:rPr>
            </w:pPr>
            <w:r w:rsidRPr="00252A6F">
              <w:rPr>
                <w:noProof/>
                <w:sz w:val="20"/>
              </w:rPr>
              <w:t>2502,472</w:t>
            </w:r>
          </w:p>
        </w:tc>
      </w:tr>
      <w:tr w:rsidR="00C4624A" w:rsidRPr="00252A6F" w14:paraId="45672D0F" w14:textId="77777777" w:rsidTr="00461AA0">
        <w:trPr>
          <w:trHeight w:val="670"/>
        </w:trPr>
        <w:tc>
          <w:tcPr>
            <w:tcW w:w="4265" w:type="dxa"/>
            <w:vMerge/>
          </w:tcPr>
          <w:p w14:paraId="1BD7D591" w14:textId="77777777" w:rsidR="00C4624A" w:rsidRPr="00252A6F" w:rsidRDefault="00C4624A" w:rsidP="00461AA0">
            <w:pPr>
              <w:rPr>
                <w:noProof/>
                <w:sz w:val="20"/>
              </w:rPr>
            </w:pPr>
          </w:p>
        </w:tc>
        <w:tc>
          <w:tcPr>
            <w:tcW w:w="2023" w:type="dxa"/>
            <w:gridSpan w:val="2"/>
            <w:vAlign w:val="center"/>
          </w:tcPr>
          <w:p w14:paraId="4228E076" w14:textId="77777777" w:rsidR="00C4624A" w:rsidRPr="00252A6F" w:rsidRDefault="00C4624A" w:rsidP="00461AA0">
            <w:pPr>
              <w:rPr>
                <w:noProof/>
                <w:sz w:val="14"/>
                <w:szCs w:val="14"/>
              </w:rPr>
            </w:pPr>
            <w:r w:rsidRPr="00252A6F">
              <w:rPr>
                <w:noProof/>
                <w:sz w:val="18"/>
              </w:rPr>
              <w:t>plačila</w:t>
            </w:r>
          </w:p>
        </w:tc>
        <w:tc>
          <w:tcPr>
            <w:tcW w:w="805" w:type="dxa"/>
            <w:vAlign w:val="center"/>
          </w:tcPr>
          <w:p w14:paraId="3537DEF7" w14:textId="77777777" w:rsidR="00C4624A" w:rsidRPr="00252A6F" w:rsidRDefault="00C4624A" w:rsidP="00461AA0">
            <w:pPr>
              <w:rPr>
                <w:noProof/>
                <w:sz w:val="18"/>
                <w:szCs w:val="18"/>
              </w:rPr>
            </w:pPr>
          </w:p>
        </w:tc>
        <w:tc>
          <w:tcPr>
            <w:tcW w:w="935" w:type="dxa"/>
            <w:vAlign w:val="center"/>
          </w:tcPr>
          <w:p w14:paraId="3B718A3D" w14:textId="77777777" w:rsidR="00C4624A" w:rsidRPr="00252A6F" w:rsidRDefault="00C4624A" w:rsidP="00461AA0">
            <w:pPr>
              <w:spacing w:before="60" w:after="60"/>
              <w:jc w:val="right"/>
              <w:rPr>
                <w:noProof/>
                <w:sz w:val="20"/>
                <w:szCs w:val="20"/>
              </w:rPr>
            </w:pPr>
            <w:r w:rsidRPr="00252A6F">
              <w:rPr>
                <w:noProof/>
                <w:sz w:val="20"/>
              </w:rPr>
              <w:t>0,998</w:t>
            </w:r>
          </w:p>
        </w:tc>
        <w:tc>
          <w:tcPr>
            <w:tcW w:w="935" w:type="dxa"/>
            <w:vAlign w:val="center"/>
          </w:tcPr>
          <w:p w14:paraId="0DD11E34" w14:textId="77777777" w:rsidR="00C4624A" w:rsidRPr="00252A6F" w:rsidRDefault="00C4624A" w:rsidP="00461AA0">
            <w:pPr>
              <w:spacing w:before="60" w:after="60"/>
              <w:jc w:val="right"/>
              <w:rPr>
                <w:noProof/>
                <w:sz w:val="20"/>
                <w:szCs w:val="20"/>
              </w:rPr>
            </w:pPr>
            <w:r w:rsidRPr="00252A6F">
              <w:rPr>
                <w:noProof/>
                <w:sz w:val="20"/>
              </w:rPr>
              <w:t>170,484</w:t>
            </w:r>
          </w:p>
        </w:tc>
        <w:tc>
          <w:tcPr>
            <w:tcW w:w="935" w:type="dxa"/>
            <w:vAlign w:val="center"/>
          </w:tcPr>
          <w:p w14:paraId="2A8074C7" w14:textId="77777777" w:rsidR="00C4624A" w:rsidRPr="00252A6F" w:rsidRDefault="00C4624A" w:rsidP="00461AA0">
            <w:pPr>
              <w:spacing w:before="60" w:after="60"/>
              <w:jc w:val="right"/>
              <w:rPr>
                <w:noProof/>
                <w:sz w:val="20"/>
                <w:szCs w:val="20"/>
              </w:rPr>
            </w:pPr>
            <w:r w:rsidRPr="00252A6F">
              <w:rPr>
                <w:noProof/>
                <w:sz w:val="20"/>
              </w:rPr>
              <w:t>251,624</w:t>
            </w:r>
          </w:p>
        </w:tc>
        <w:tc>
          <w:tcPr>
            <w:tcW w:w="935" w:type="dxa"/>
            <w:vAlign w:val="center"/>
          </w:tcPr>
          <w:p w14:paraId="1D0CBF80" w14:textId="77777777" w:rsidR="00C4624A" w:rsidRPr="00252A6F" w:rsidRDefault="00C4624A" w:rsidP="00461AA0">
            <w:pPr>
              <w:spacing w:before="60" w:after="60"/>
              <w:jc w:val="right"/>
              <w:rPr>
                <w:noProof/>
                <w:sz w:val="20"/>
                <w:szCs w:val="20"/>
              </w:rPr>
            </w:pPr>
            <w:r w:rsidRPr="00252A6F">
              <w:rPr>
                <w:noProof/>
                <w:sz w:val="20"/>
              </w:rPr>
              <w:t>640,292</w:t>
            </w:r>
          </w:p>
        </w:tc>
        <w:tc>
          <w:tcPr>
            <w:tcW w:w="935" w:type="dxa"/>
            <w:vAlign w:val="center"/>
          </w:tcPr>
          <w:p w14:paraId="0D1B56BD" w14:textId="77777777" w:rsidR="00C4624A" w:rsidRPr="00252A6F" w:rsidRDefault="00C4624A" w:rsidP="00461AA0">
            <w:pPr>
              <w:spacing w:before="60" w:after="60"/>
              <w:jc w:val="right"/>
              <w:rPr>
                <w:noProof/>
                <w:sz w:val="20"/>
                <w:szCs w:val="20"/>
              </w:rPr>
            </w:pPr>
            <w:r w:rsidRPr="00252A6F">
              <w:rPr>
                <w:noProof/>
                <w:sz w:val="20"/>
              </w:rPr>
              <w:t>840,132</w:t>
            </w:r>
          </w:p>
        </w:tc>
        <w:tc>
          <w:tcPr>
            <w:tcW w:w="935" w:type="dxa"/>
            <w:vAlign w:val="center"/>
          </w:tcPr>
          <w:p w14:paraId="6CDB3DD7" w14:textId="77777777" w:rsidR="00C4624A" w:rsidRPr="00252A6F" w:rsidRDefault="00C4624A" w:rsidP="00461AA0">
            <w:pPr>
              <w:spacing w:before="60" w:after="60"/>
              <w:jc w:val="right"/>
              <w:rPr>
                <w:noProof/>
                <w:sz w:val="20"/>
                <w:szCs w:val="20"/>
              </w:rPr>
            </w:pPr>
            <w:r w:rsidRPr="00252A6F">
              <w:rPr>
                <w:noProof/>
                <w:sz w:val="20"/>
              </w:rPr>
              <w:t>598,942</w:t>
            </w:r>
          </w:p>
        </w:tc>
        <w:tc>
          <w:tcPr>
            <w:tcW w:w="1667" w:type="dxa"/>
            <w:gridSpan w:val="2"/>
            <w:vAlign w:val="center"/>
          </w:tcPr>
          <w:p w14:paraId="31E04F40" w14:textId="77777777" w:rsidR="00C4624A" w:rsidRPr="00252A6F" w:rsidRDefault="00C4624A" w:rsidP="00461AA0">
            <w:pPr>
              <w:spacing w:before="60" w:after="60"/>
              <w:jc w:val="right"/>
              <w:rPr>
                <w:noProof/>
                <w:sz w:val="20"/>
                <w:szCs w:val="20"/>
              </w:rPr>
            </w:pPr>
          </w:p>
          <w:p w14:paraId="054D24B1" w14:textId="77777777" w:rsidR="00C4624A" w:rsidRPr="00252A6F" w:rsidRDefault="00C4624A" w:rsidP="00461AA0">
            <w:pPr>
              <w:spacing w:before="60" w:after="60"/>
              <w:jc w:val="right"/>
              <w:rPr>
                <w:noProof/>
                <w:sz w:val="20"/>
                <w:szCs w:val="20"/>
              </w:rPr>
            </w:pPr>
            <w:r w:rsidRPr="00252A6F">
              <w:rPr>
                <w:noProof/>
                <w:sz w:val="20"/>
              </w:rPr>
              <w:t>2502,472</w:t>
            </w:r>
          </w:p>
          <w:p w14:paraId="7B8556FD" w14:textId="77777777" w:rsidR="00C4624A" w:rsidRPr="00252A6F" w:rsidRDefault="00C4624A" w:rsidP="00461AA0">
            <w:pPr>
              <w:spacing w:before="60" w:after="60"/>
              <w:jc w:val="right"/>
              <w:rPr>
                <w:noProof/>
                <w:sz w:val="20"/>
                <w:szCs w:val="20"/>
              </w:rPr>
            </w:pPr>
          </w:p>
        </w:tc>
      </w:tr>
    </w:tbl>
    <w:p w14:paraId="223869C0" w14:textId="77777777" w:rsidR="00C4624A" w:rsidRPr="00252A6F" w:rsidRDefault="00C4624A" w:rsidP="00C4624A">
      <w:pPr>
        <w:rPr>
          <w:noProof/>
        </w:rPr>
      </w:pPr>
    </w:p>
    <w:p w14:paraId="693DA14C" w14:textId="77777777" w:rsidR="00C4624A" w:rsidRPr="00252A6F" w:rsidRDefault="00C4624A" w:rsidP="00C4624A">
      <w:pPr>
        <w:rPr>
          <w:noProof/>
        </w:rPr>
      </w:pPr>
    </w:p>
    <w:p w14:paraId="7C61C370" w14:textId="77777777" w:rsidR="00C4624A" w:rsidRPr="00252A6F" w:rsidRDefault="00C4624A" w:rsidP="00C4624A">
      <w:pPr>
        <w:rPr>
          <w:noProof/>
        </w:rPr>
      </w:pPr>
    </w:p>
    <w:p w14:paraId="4D938FEE" w14:textId="04D8487F" w:rsidR="00C4624A" w:rsidRPr="00252A6F" w:rsidRDefault="00664ED4" w:rsidP="00664ED4">
      <w:pPr>
        <w:pStyle w:val="ManualHeading3"/>
        <w:rPr>
          <w:noProof/>
          <w:szCs w:val="24"/>
        </w:rPr>
      </w:pPr>
      <w:bookmarkStart w:id="61" w:name="_Toc514938054"/>
      <w:bookmarkStart w:id="62" w:name="_Toc520485053"/>
      <w:r w:rsidRPr="00664ED4">
        <w:t>3.2.2.</w:t>
      </w:r>
      <w:r w:rsidRPr="00664ED4">
        <w:tab/>
      </w:r>
      <w:r w:rsidR="00C4624A" w:rsidRPr="00252A6F">
        <w:rPr>
          <w:noProof/>
        </w:rPr>
        <w:t>Ocenjene realizacije, financirane z odobritvami za poslovanje</w:t>
      </w:r>
      <w:bookmarkEnd w:id="61"/>
      <w:bookmarkEnd w:id="62"/>
      <w:r w:rsidR="00C4624A" w:rsidRPr="00252A6F">
        <w:rPr>
          <w:noProof/>
        </w:rPr>
        <w:t xml:space="preserve"> </w:t>
      </w:r>
    </w:p>
    <w:p w14:paraId="31057B33" w14:textId="77777777" w:rsidR="00C4624A" w:rsidRPr="00252A6F" w:rsidRDefault="00C4624A" w:rsidP="00C4624A">
      <w:pPr>
        <w:jc w:val="right"/>
        <w:rPr>
          <w:noProof/>
          <w:sz w:val="20"/>
        </w:rPr>
      </w:pPr>
      <w:r w:rsidRPr="00252A6F">
        <w:rPr>
          <w:noProof/>
          <w:sz w:val="20"/>
        </w:rPr>
        <w:t>odobritve za prevzem obveznosti v mio. EUR (na tri decimalna mesta natančno)</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1214"/>
        <w:gridCol w:w="567"/>
        <w:gridCol w:w="709"/>
        <w:gridCol w:w="567"/>
        <w:gridCol w:w="709"/>
        <w:gridCol w:w="193"/>
        <w:gridCol w:w="374"/>
        <w:gridCol w:w="709"/>
        <w:gridCol w:w="334"/>
        <w:gridCol w:w="233"/>
        <w:gridCol w:w="850"/>
        <w:gridCol w:w="709"/>
        <w:gridCol w:w="709"/>
        <w:gridCol w:w="567"/>
        <w:gridCol w:w="708"/>
        <w:gridCol w:w="193"/>
        <w:gridCol w:w="233"/>
        <w:gridCol w:w="708"/>
        <w:gridCol w:w="335"/>
        <w:gridCol w:w="664"/>
        <w:gridCol w:w="900"/>
      </w:tblGrid>
      <w:tr w:rsidR="00C4624A" w:rsidRPr="00252A6F" w14:paraId="26764440" w14:textId="77777777" w:rsidTr="00252A6F">
        <w:trPr>
          <w:jc w:val="center"/>
        </w:trPr>
        <w:tc>
          <w:tcPr>
            <w:tcW w:w="1423" w:type="dxa"/>
            <w:vMerge w:val="restart"/>
            <w:vAlign w:val="center"/>
          </w:tcPr>
          <w:p w14:paraId="3A540FEC" w14:textId="77777777" w:rsidR="00C4624A" w:rsidRPr="00252A6F" w:rsidRDefault="00C4624A" w:rsidP="00461AA0">
            <w:pPr>
              <w:ind w:right="-29"/>
              <w:jc w:val="center"/>
              <w:rPr>
                <w:b/>
                <w:noProof/>
                <w:sz w:val="18"/>
                <w:szCs w:val="18"/>
              </w:rPr>
            </w:pPr>
            <w:r w:rsidRPr="00252A6F">
              <w:rPr>
                <w:b/>
                <w:noProof/>
                <w:sz w:val="18"/>
              </w:rPr>
              <w:t xml:space="preserve">Cilji in realizacije </w:t>
            </w:r>
          </w:p>
          <w:p w14:paraId="45F393A5" w14:textId="77777777" w:rsidR="00C4624A" w:rsidRPr="00252A6F" w:rsidRDefault="00C4624A" w:rsidP="00461AA0">
            <w:pPr>
              <w:ind w:right="-29"/>
              <w:jc w:val="center"/>
              <w:rPr>
                <w:b/>
                <w:noProof/>
                <w:sz w:val="18"/>
                <w:szCs w:val="18"/>
              </w:rPr>
            </w:pPr>
          </w:p>
          <w:p w14:paraId="2C7402A6" w14:textId="77777777" w:rsidR="00C4624A" w:rsidRPr="00252A6F" w:rsidRDefault="00C4624A" w:rsidP="00461AA0">
            <w:pPr>
              <w:ind w:right="-29"/>
              <w:jc w:val="center"/>
              <w:rPr>
                <w:noProof/>
                <w:sz w:val="18"/>
                <w:szCs w:val="18"/>
              </w:rPr>
            </w:pPr>
            <w:r w:rsidRPr="00252A6F">
              <w:rPr>
                <w:rFonts w:ascii="Wingdings" w:hAnsi="Wingdings"/>
                <w:noProof/>
              </w:rPr>
              <w:t></w:t>
            </w:r>
          </w:p>
        </w:tc>
        <w:tc>
          <w:tcPr>
            <w:tcW w:w="1214" w:type="dxa"/>
            <w:vAlign w:val="center"/>
          </w:tcPr>
          <w:p w14:paraId="79966EBF" w14:textId="77777777" w:rsidR="00C4624A" w:rsidRPr="00252A6F" w:rsidRDefault="00C4624A" w:rsidP="00461AA0">
            <w:pPr>
              <w:ind w:right="-29"/>
              <w:jc w:val="center"/>
              <w:rPr>
                <w:noProof/>
                <w:sz w:val="18"/>
                <w:szCs w:val="18"/>
              </w:rPr>
            </w:pPr>
          </w:p>
        </w:tc>
        <w:tc>
          <w:tcPr>
            <w:tcW w:w="1276" w:type="dxa"/>
            <w:gridSpan w:val="2"/>
            <w:vAlign w:val="center"/>
          </w:tcPr>
          <w:p w14:paraId="1B238A6D" w14:textId="77777777" w:rsidR="00C4624A" w:rsidRPr="00252A6F" w:rsidRDefault="00C4624A" w:rsidP="00461AA0">
            <w:pPr>
              <w:ind w:right="-29"/>
              <w:jc w:val="center"/>
              <w:rPr>
                <w:noProof/>
                <w:sz w:val="18"/>
                <w:szCs w:val="18"/>
              </w:rPr>
            </w:pPr>
            <w:r w:rsidRPr="00252A6F">
              <w:rPr>
                <w:noProof/>
                <w:sz w:val="18"/>
              </w:rPr>
              <w:t>Leto 2021</w:t>
            </w:r>
          </w:p>
        </w:tc>
        <w:tc>
          <w:tcPr>
            <w:tcW w:w="1469" w:type="dxa"/>
            <w:gridSpan w:val="3"/>
            <w:tcBorders>
              <w:left w:val="nil"/>
            </w:tcBorders>
            <w:vAlign w:val="center"/>
          </w:tcPr>
          <w:p w14:paraId="3D8246F2" w14:textId="77777777" w:rsidR="00C4624A" w:rsidRPr="00252A6F" w:rsidRDefault="00C4624A" w:rsidP="00461AA0">
            <w:pPr>
              <w:ind w:right="-29"/>
              <w:jc w:val="center"/>
              <w:rPr>
                <w:noProof/>
                <w:sz w:val="18"/>
                <w:szCs w:val="18"/>
              </w:rPr>
            </w:pPr>
            <w:r w:rsidRPr="00252A6F">
              <w:rPr>
                <w:noProof/>
                <w:sz w:val="18"/>
              </w:rPr>
              <w:t>Leto 2022</w:t>
            </w:r>
          </w:p>
        </w:tc>
        <w:tc>
          <w:tcPr>
            <w:tcW w:w="1417" w:type="dxa"/>
            <w:gridSpan w:val="3"/>
            <w:vAlign w:val="center"/>
          </w:tcPr>
          <w:p w14:paraId="49E89977" w14:textId="77777777" w:rsidR="00C4624A" w:rsidRPr="00252A6F" w:rsidRDefault="00C4624A" w:rsidP="00461AA0">
            <w:pPr>
              <w:ind w:right="-29"/>
              <w:jc w:val="center"/>
              <w:rPr>
                <w:noProof/>
                <w:sz w:val="18"/>
                <w:szCs w:val="18"/>
              </w:rPr>
            </w:pPr>
            <w:r w:rsidRPr="00252A6F">
              <w:rPr>
                <w:noProof/>
                <w:sz w:val="18"/>
              </w:rPr>
              <w:t>Leto 2023</w:t>
            </w:r>
          </w:p>
        </w:tc>
        <w:tc>
          <w:tcPr>
            <w:tcW w:w="1083" w:type="dxa"/>
            <w:gridSpan w:val="2"/>
            <w:vAlign w:val="center"/>
          </w:tcPr>
          <w:p w14:paraId="7B54451D" w14:textId="77777777" w:rsidR="00C4624A" w:rsidRPr="00252A6F" w:rsidRDefault="00C4624A" w:rsidP="00461AA0">
            <w:pPr>
              <w:ind w:right="-29"/>
              <w:jc w:val="center"/>
              <w:rPr>
                <w:noProof/>
                <w:sz w:val="18"/>
                <w:szCs w:val="18"/>
              </w:rPr>
            </w:pPr>
            <w:r w:rsidRPr="00252A6F">
              <w:rPr>
                <w:noProof/>
                <w:sz w:val="18"/>
              </w:rPr>
              <w:t>Leto 2024</w:t>
            </w:r>
          </w:p>
        </w:tc>
        <w:tc>
          <w:tcPr>
            <w:tcW w:w="1418" w:type="dxa"/>
            <w:gridSpan w:val="2"/>
          </w:tcPr>
          <w:p w14:paraId="6AEC7666" w14:textId="77777777" w:rsidR="00C4624A" w:rsidRPr="00252A6F" w:rsidRDefault="00C4624A" w:rsidP="00461AA0">
            <w:pPr>
              <w:ind w:right="-29"/>
              <w:jc w:val="center"/>
              <w:rPr>
                <w:noProof/>
                <w:sz w:val="18"/>
              </w:rPr>
            </w:pPr>
            <w:r w:rsidRPr="00252A6F">
              <w:rPr>
                <w:noProof/>
                <w:sz w:val="18"/>
              </w:rPr>
              <w:t>Leto 2025</w:t>
            </w:r>
          </w:p>
        </w:tc>
        <w:tc>
          <w:tcPr>
            <w:tcW w:w="1468" w:type="dxa"/>
            <w:gridSpan w:val="3"/>
          </w:tcPr>
          <w:p w14:paraId="0C87137B" w14:textId="77777777" w:rsidR="00C4624A" w:rsidRPr="00252A6F" w:rsidRDefault="00C4624A" w:rsidP="00461AA0">
            <w:pPr>
              <w:ind w:right="-29"/>
              <w:jc w:val="center"/>
              <w:rPr>
                <w:noProof/>
                <w:sz w:val="18"/>
              </w:rPr>
            </w:pPr>
            <w:r w:rsidRPr="00252A6F">
              <w:rPr>
                <w:noProof/>
                <w:sz w:val="18"/>
              </w:rPr>
              <w:t>Leto 2026</w:t>
            </w:r>
          </w:p>
        </w:tc>
        <w:tc>
          <w:tcPr>
            <w:tcW w:w="1276" w:type="dxa"/>
            <w:gridSpan w:val="3"/>
            <w:vAlign w:val="center"/>
          </w:tcPr>
          <w:p w14:paraId="350302DE" w14:textId="77777777" w:rsidR="00C4624A" w:rsidRPr="00252A6F" w:rsidRDefault="00C4624A" w:rsidP="00461AA0">
            <w:pPr>
              <w:ind w:right="-29"/>
              <w:jc w:val="center"/>
              <w:rPr>
                <w:noProof/>
                <w:sz w:val="18"/>
                <w:szCs w:val="18"/>
              </w:rPr>
            </w:pPr>
            <w:r w:rsidRPr="00252A6F">
              <w:rPr>
                <w:noProof/>
                <w:sz w:val="18"/>
              </w:rPr>
              <w:t>Leto 2027</w:t>
            </w:r>
          </w:p>
        </w:tc>
        <w:tc>
          <w:tcPr>
            <w:tcW w:w="1564" w:type="dxa"/>
            <w:gridSpan w:val="2"/>
            <w:tcBorders>
              <w:left w:val="nil"/>
              <w:bottom w:val="nil"/>
            </w:tcBorders>
            <w:vAlign w:val="center"/>
          </w:tcPr>
          <w:p w14:paraId="4F91C66E" w14:textId="77777777" w:rsidR="00C4624A" w:rsidRPr="00252A6F" w:rsidRDefault="00C4624A" w:rsidP="00461AA0">
            <w:pPr>
              <w:ind w:right="-29"/>
              <w:jc w:val="center"/>
              <w:rPr>
                <w:noProof/>
                <w:sz w:val="18"/>
                <w:szCs w:val="18"/>
              </w:rPr>
            </w:pPr>
            <w:r w:rsidRPr="00252A6F">
              <w:rPr>
                <w:b/>
                <w:noProof/>
                <w:sz w:val="18"/>
              </w:rPr>
              <w:t>SKUPAJ</w:t>
            </w:r>
          </w:p>
        </w:tc>
      </w:tr>
      <w:tr w:rsidR="00C4624A" w:rsidRPr="00252A6F" w14:paraId="0D3597D3" w14:textId="77777777" w:rsidTr="00461AA0">
        <w:trPr>
          <w:jc w:val="center"/>
        </w:trPr>
        <w:tc>
          <w:tcPr>
            <w:tcW w:w="1423" w:type="dxa"/>
            <w:vMerge/>
            <w:vAlign w:val="center"/>
          </w:tcPr>
          <w:p w14:paraId="2225205F" w14:textId="77777777" w:rsidR="00C4624A" w:rsidRPr="00252A6F" w:rsidRDefault="00C4624A" w:rsidP="00461AA0">
            <w:pPr>
              <w:ind w:right="-29"/>
              <w:jc w:val="center"/>
              <w:rPr>
                <w:noProof/>
                <w:sz w:val="18"/>
                <w:szCs w:val="18"/>
              </w:rPr>
            </w:pPr>
          </w:p>
        </w:tc>
        <w:tc>
          <w:tcPr>
            <w:tcW w:w="12185" w:type="dxa"/>
            <w:gridSpan w:val="21"/>
            <w:vAlign w:val="center"/>
          </w:tcPr>
          <w:p w14:paraId="05579D2E" w14:textId="77777777" w:rsidR="00C4624A" w:rsidRPr="00252A6F" w:rsidRDefault="00C4624A" w:rsidP="00461AA0">
            <w:pPr>
              <w:spacing w:before="60" w:after="60"/>
              <w:ind w:right="-29"/>
              <w:jc w:val="center"/>
              <w:rPr>
                <w:noProof/>
                <w:sz w:val="18"/>
                <w:szCs w:val="18"/>
              </w:rPr>
            </w:pPr>
            <w:r w:rsidRPr="00252A6F">
              <w:rPr>
                <w:b/>
                <w:noProof/>
                <w:sz w:val="18"/>
              </w:rPr>
              <w:t>REALIZACIJE</w:t>
            </w:r>
          </w:p>
        </w:tc>
      </w:tr>
      <w:tr w:rsidR="00252A6F" w:rsidRPr="00252A6F" w14:paraId="19168D76" w14:textId="77777777" w:rsidTr="00252A6F">
        <w:trPr>
          <w:cantSplit/>
          <w:trHeight w:val="1134"/>
          <w:jc w:val="center"/>
        </w:trPr>
        <w:tc>
          <w:tcPr>
            <w:tcW w:w="1423" w:type="dxa"/>
            <w:vMerge/>
            <w:vAlign w:val="center"/>
          </w:tcPr>
          <w:p w14:paraId="5C0E3046" w14:textId="77777777" w:rsidR="00C4624A" w:rsidRPr="00252A6F" w:rsidRDefault="00C4624A" w:rsidP="00461AA0">
            <w:pPr>
              <w:rPr>
                <w:noProof/>
                <w:sz w:val="18"/>
                <w:szCs w:val="18"/>
              </w:rPr>
            </w:pPr>
          </w:p>
        </w:tc>
        <w:tc>
          <w:tcPr>
            <w:tcW w:w="1214" w:type="dxa"/>
            <w:vAlign w:val="center"/>
          </w:tcPr>
          <w:p w14:paraId="275ED73B" w14:textId="77777777" w:rsidR="00C4624A" w:rsidRPr="00252A6F" w:rsidRDefault="00C4624A" w:rsidP="00461AA0">
            <w:pPr>
              <w:jc w:val="center"/>
              <w:rPr>
                <w:noProof/>
                <w:sz w:val="18"/>
                <w:szCs w:val="18"/>
              </w:rPr>
            </w:pPr>
            <w:r w:rsidRPr="00252A6F">
              <w:rPr>
                <w:noProof/>
                <w:sz w:val="18"/>
              </w:rPr>
              <w:t>vrsta</w:t>
            </w:r>
            <w:r w:rsidRPr="00252A6F">
              <w:rPr>
                <w:rStyle w:val="FootnoteReference"/>
                <w:noProof/>
                <w:sz w:val="18"/>
                <w:szCs w:val="18"/>
              </w:rPr>
              <w:footnoteReference w:id="41"/>
            </w:r>
          </w:p>
          <w:p w14:paraId="7C73B830" w14:textId="77777777" w:rsidR="00C4624A" w:rsidRPr="00252A6F" w:rsidRDefault="00C4624A" w:rsidP="00461AA0">
            <w:pPr>
              <w:jc w:val="center"/>
              <w:rPr>
                <w:noProof/>
                <w:sz w:val="18"/>
                <w:szCs w:val="18"/>
              </w:rPr>
            </w:pPr>
          </w:p>
        </w:tc>
        <w:tc>
          <w:tcPr>
            <w:tcW w:w="567" w:type="dxa"/>
            <w:tcBorders>
              <w:left w:val="nil"/>
              <w:right w:val="dashSmallGap" w:sz="4" w:space="0" w:color="auto"/>
            </w:tcBorders>
            <w:shd w:val="clear" w:color="auto" w:fill="auto"/>
            <w:textDirection w:val="btLr"/>
            <w:vAlign w:val="center"/>
          </w:tcPr>
          <w:p w14:paraId="7E6E0DC2" w14:textId="77777777" w:rsidR="00C4624A" w:rsidRPr="00252A6F" w:rsidRDefault="00C4624A" w:rsidP="00461AA0">
            <w:pPr>
              <w:ind w:left="113" w:right="113"/>
              <w:jc w:val="center"/>
              <w:rPr>
                <w:noProof/>
                <w:sz w:val="18"/>
                <w:szCs w:val="18"/>
              </w:rPr>
            </w:pPr>
            <w:r w:rsidRPr="00252A6F">
              <w:rPr>
                <w:noProof/>
                <w:sz w:val="18"/>
              </w:rPr>
              <w:t>število</w:t>
            </w:r>
          </w:p>
        </w:tc>
        <w:tc>
          <w:tcPr>
            <w:tcW w:w="709" w:type="dxa"/>
            <w:tcBorders>
              <w:left w:val="dashSmallGap" w:sz="4" w:space="0" w:color="auto"/>
            </w:tcBorders>
            <w:shd w:val="clear" w:color="auto" w:fill="auto"/>
            <w:vAlign w:val="center"/>
          </w:tcPr>
          <w:p w14:paraId="5F12C349" w14:textId="77777777" w:rsidR="00C4624A" w:rsidRPr="00252A6F" w:rsidRDefault="00C4624A" w:rsidP="00461AA0">
            <w:pPr>
              <w:jc w:val="center"/>
              <w:rPr>
                <w:noProof/>
                <w:sz w:val="18"/>
                <w:szCs w:val="18"/>
              </w:rPr>
            </w:pPr>
            <w:r w:rsidRPr="00252A6F">
              <w:rPr>
                <w:noProof/>
                <w:sz w:val="18"/>
              </w:rPr>
              <w:t>stroški</w:t>
            </w:r>
          </w:p>
        </w:tc>
        <w:tc>
          <w:tcPr>
            <w:tcW w:w="567" w:type="dxa"/>
            <w:tcBorders>
              <w:right w:val="dashSmallGap" w:sz="4" w:space="0" w:color="auto"/>
            </w:tcBorders>
            <w:shd w:val="clear" w:color="auto" w:fill="auto"/>
            <w:textDirection w:val="btLr"/>
            <w:vAlign w:val="center"/>
          </w:tcPr>
          <w:p w14:paraId="6DDAB271" w14:textId="77777777" w:rsidR="00C4624A" w:rsidRPr="00252A6F" w:rsidRDefault="00C4624A" w:rsidP="00461AA0">
            <w:pPr>
              <w:ind w:left="113" w:right="113"/>
              <w:jc w:val="center"/>
              <w:rPr>
                <w:noProof/>
                <w:sz w:val="18"/>
                <w:szCs w:val="18"/>
              </w:rPr>
            </w:pPr>
            <w:r w:rsidRPr="00252A6F">
              <w:rPr>
                <w:noProof/>
                <w:sz w:val="18"/>
              </w:rPr>
              <w:t>število</w:t>
            </w:r>
          </w:p>
        </w:tc>
        <w:tc>
          <w:tcPr>
            <w:tcW w:w="709" w:type="dxa"/>
            <w:tcBorders>
              <w:left w:val="dashSmallGap" w:sz="4" w:space="0" w:color="auto"/>
            </w:tcBorders>
            <w:shd w:val="clear" w:color="auto" w:fill="auto"/>
            <w:vAlign w:val="center"/>
          </w:tcPr>
          <w:p w14:paraId="79FC7A9B" w14:textId="77777777" w:rsidR="00C4624A" w:rsidRPr="00252A6F" w:rsidRDefault="00C4624A" w:rsidP="00461AA0">
            <w:pPr>
              <w:jc w:val="center"/>
              <w:rPr>
                <w:noProof/>
                <w:sz w:val="18"/>
                <w:szCs w:val="18"/>
              </w:rPr>
            </w:pPr>
            <w:r w:rsidRPr="00252A6F">
              <w:rPr>
                <w:noProof/>
                <w:sz w:val="18"/>
              </w:rPr>
              <w:t>stroški</w:t>
            </w:r>
          </w:p>
        </w:tc>
        <w:tc>
          <w:tcPr>
            <w:tcW w:w="567" w:type="dxa"/>
            <w:gridSpan w:val="2"/>
            <w:tcBorders>
              <w:right w:val="dashSmallGap" w:sz="4" w:space="0" w:color="auto"/>
            </w:tcBorders>
            <w:shd w:val="clear" w:color="auto" w:fill="auto"/>
            <w:textDirection w:val="btLr"/>
            <w:vAlign w:val="center"/>
          </w:tcPr>
          <w:p w14:paraId="65F87954" w14:textId="77777777" w:rsidR="00C4624A" w:rsidRPr="00252A6F" w:rsidRDefault="00C4624A" w:rsidP="00461AA0">
            <w:pPr>
              <w:ind w:left="113" w:right="113"/>
              <w:jc w:val="center"/>
              <w:rPr>
                <w:noProof/>
                <w:sz w:val="18"/>
                <w:szCs w:val="18"/>
              </w:rPr>
            </w:pPr>
            <w:r w:rsidRPr="00252A6F">
              <w:rPr>
                <w:noProof/>
                <w:sz w:val="18"/>
              </w:rPr>
              <w:t>število</w:t>
            </w:r>
          </w:p>
        </w:tc>
        <w:tc>
          <w:tcPr>
            <w:tcW w:w="709" w:type="dxa"/>
            <w:tcBorders>
              <w:left w:val="dashSmallGap" w:sz="4" w:space="0" w:color="auto"/>
            </w:tcBorders>
            <w:shd w:val="clear" w:color="auto" w:fill="auto"/>
            <w:vAlign w:val="center"/>
          </w:tcPr>
          <w:p w14:paraId="08537073" w14:textId="77777777" w:rsidR="00C4624A" w:rsidRPr="00252A6F" w:rsidRDefault="00C4624A" w:rsidP="00461AA0">
            <w:pPr>
              <w:jc w:val="center"/>
              <w:rPr>
                <w:noProof/>
                <w:sz w:val="18"/>
                <w:szCs w:val="18"/>
              </w:rPr>
            </w:pPr>
            <w:r w:rsidRPr="00252A6F">
              <w:rPr>
                <w:noProof/>
                <w:sz w:val="18"/>
              </w:rPr>
              <w:t>stroški</w:t>
            </w:r>
          </w:p>
        </w:tc>
        <w:tc>
          <w:tcPr>
            <w:tcW w:w="567" w:type="dxa"/>
            <w:gridSpan w:val="2"/>
            <w:tcBorders>
              <w:right w:val="dashSmallGap" w:sz="4" w:space="0" w:color="auto"/>
            </w:tcBorders>
            <w:shd w:val="clear" w:color="auto" w:fill="auto"/>
            <w:textDirection w:val="btLr"/>
            <w:vAlign w:val="center"/>
          </w:tcPr>
          <w:p w14:paraId="040D9298" w14:textId="77777777" w:rsidR="00C4624A" w:rsidRPr="00252A6F" w:rsidRDefault="00C4624A" w:rsidP="00461AA0">
            <w:pPr>
              <w:ind w:left="113" w:right="113"/>
              <w:jc w:val="center"/>
              <w:rPr>
                <w:noProof/>
                <w:sz w:val="18"/>
                <w:szCs w:val="18"/>
              </w:rPr>
            </w:pPr>
            <w:r w:rsidRPr="00252A6F">
              <w:rPr>
                <w:noProof/>
                <w:sz w:val="18"/>
              </w:rPr>
              <w:t>število</w:t>
            </w:r>
          </w:p>
        </w:tc>
        <w:tc>
          <w:tcPr>
            <w:tcW w:w="850" w:type="dxa"/>
            <w:tcBorders>
              <w:left w:val="dashSmallGap" w:sz="4" w:space="0" w:color="auto"/>
            </w:tcBorders>
            <w:shd w:val="clear" w:color="auto" w:fill="auto"/>
            <w:vAlign w:val="center"/>
          </w:tcPr>
          <w:p w14:paraId="17BD8825" w14:textId="77777777" w:rsidR="00C4624A" w:rsidRPr="00252A6F" w:rsidRDefault="00C4624A" w:rsidP="00461AA0">
            <w:pPr>
              <w:jc w:val="center"/>
              <w:rPr>
                <w:noProof/>
                <w:sz w:val="18"/>
                <w:szCs w:val="18"/>
              </w:rPr>
            </w:pPr>
            <w:r w:rsidRPr="00252A6F">
              <w:rPr>
                <w:noProof/>
                <w:sz w:val="18"/>
              </w:rPr>
              <w:t>stroški</w:t>
            </w:r>
          </w:p>
        </w:tc>
        <w:tc>
          <w:tcPr>
            <w:tcW w:w="709" w:type="dxa"/>
            <w:tcBorders>
              <w:right w:val="dashSmallGap" w:sz="4" w:space="0" w:color="auto"/>
            </w:tcBorders>
            <w:shd w:val="clear" w:color="auto" w:fill="auto"/>
            <w:textDirection w:val="btLr"/>
            <w:vAlign w:val="center"/>
          </w:tcPr>
          <w:p w14:paraId="5D1CAC63" w14:textId="77777777" w:rsidR="00C4624A" w:rsidRPr="00252A6F" w:rsidRDefault="00C4624A" w:rsidP="00461AA0">
            <w:pPr>
              <w:ind w:left="113" w:right="113"/>
              <w:jc w:val="center"/>
              <w:rPr>
                <w:noProof/>
                <w:sz w:val="18"/>
                <w:szCs w:val="18"/>
              </w:rPr>
            </w:pPr>
            <w:r w:rsidRPr="00252A6F">
              <w:rPr>
                <w:noProof/>
                <w:sz w:val="18"/>
              </w:rPr>
              <w:t>število</w:t>
            </w:r>
          </w:p>
        </w:tc>
        <w:tc>
          <w:tcPr>
            <w:tcW w:w="709" w:type="dxa"/>
            <w:tcBorders>
              <w:left w:val="dashSmallGap" w:sz="4" w:space="0" w:color="auto"/>
            </w:tcBorders>
            <w:shd w:val="clear" w:color="auto" w:fill="auto"/>
            <w:vAlign w:val="center"/>
          </w:tcPr>
          <w:p w14:paraId="300E2D9A" w14:textId="77777777" w:rsidR="00C4624A" w:rsidRPr="00252A6F" w:rsidRDefault="00C4624A" w:rsidP="00461AA0">
            <w:pPr>
              <w:jc w:val="center"/>
              <w:rPr>
                <w:noProof/>
                <w:sz w:val="18"/>
                <w:szCs w:val="18"/>
              </w:rPr>
            </w:pPr>
            <w:r w:rsidRPr="00252A6F">
              <w:rPr>
                <w:noProof/>
                <w:sz w:val="18"/>
              </w:rPr>
              <w:t>stroški</w:t>
            </w:r>
          </w:p>
        </w:tc>
        <w:tc>
          <w:tcPr>
            <w:tcW w:w="567" w:type="dxa"/>
            <w:tcBorders>
              <w:right w:val="dashSmallGap" w:sz="4" w:space="0" w:color="auto"/>
            </w:tcBorders>
            <w:shd w:val="clear" w:color="auto" w:fill="auto"/>
            <w:textDirection w:val="btLr"/>
            <w:vAlign w:val="center"/>
          </w:tcPr>
          <w:p w14:paraId="2AF84C68" w14:textId="77777777" w:rsidR="00C4624A" w:rsidRPr="00252A6F" w:rsidRDefault="00C4624A" w:rsidP="00461AA0">
            <w:pPr>
              <w:ind w:left="113" w:right="113"/>
              <w:jc w:val="center"/>
              <w:rPr>
                <w:noProof/>
                <w:sz w:val="18"/>
                <w:szCs w:val="18"/>
              </w:rPr>
            </w:pPr>
            <w:r w:rsidRPr="00252A6F">
              <w:rPr>
                <w:noProof/>
                <w:sz w:val="18"/>
              </w:rPr>
              <w:t>število</w:t>
            </w:r>
          </w:p>
        </w:tc>
        <w:tc>
          <w:tcPr>
            <w:tcW w:w="708" w:type="dxa"/>
            <w:tcBorders>
              <w:left w:val="dashSmallGap" w:sz="4" w:space="0" w:color="auto"/>
            </w:tcBorders>
            <w:shd w:val="clear" w:color="auto" w:fill="auto"/>
            <w:vAlign w:val="center"/>
          </w:tcPr>
          <w:p w14:paraId="1297F4FF" w14:textId="77777777" w:rsidR="00C4624A" w:rsidRPr="00252A6F" w:rsidRDefault="00C4624A" w:rsidP="00461AA0">
            <w:pPr>
              <w:jc w:val="center"/>
              <w:rPr>
                <w:noProof/>
                <w:sz w:val="18"/>
                <w:szCs w:val="18"/>
              </w:rPr>
            </w:pPr>
            <w:r w:rsidRPr="00252A6F">
              <w:rPr>
                <w:noProof/>
                <w:sz w:val="18"/>
              </w:rPr>
              <w:t>stroški</w:t>
            </w:r>
          </w:p>
        </w:tc>
        <w:tc>
          <w:tcPr>
            <w:tcW w:w="426" w:type="dxa"/>
            <w:gridSpan w:val="2"/>
            <w:tcBorders>
              <w:right w:val="dashSmallGap" w:sz="4" w:space="0" w:color="auto"/>
            </w:tcBorders>
            <w:shd w:val="clear" w:color="auto" w:fill="auto"/>
            <w:textDirection w:val="btLr"/>
            <w:vAlign w:val="center"/>
          </w:tcPr>
          <w:p w14:paraId="6A9E8B7D" w14:textId="77777777" w:rsidR="00C4624A" w:rsidRPr="00252A6F" w:rsidRDefault="00C4624A" w:rsidP="00461AA0">
            <w:pPr>
              <w:ind w:left="113" w:right="113"/>
              <w:jc w:val="center"/>
              <w:rPr>
                <w:noProof/>
                <w:sz w:val="18"/>
                <w:szCs w:val="18"/>
              </w:rPr>
            </w:pPr>
            <w:r w:rsidRPr="00252A6F">
              <w:rPr>
                <w:noProof/>
                <w:sz w:val="18"/>
              </w:rPr>
              <w:t>število</w:t>
            </w:r>
          </w:p>
        </w:tc>
        <w:tc>
          <w:tcPr>
            <w:tcW w:w="708" w:type="dxa"/>
            <w:tcBorders>
              <w:left w:val="dashSmallGap" w:sz="4" w:space="0" w:color="auto"/>
            </w:tcBorders>
            <w:shd w:val="clear" w:color="auto" w:fill="auto"/>
            <w:vAlign w:val="center"/>
          </w:tcPr>
          <w:p w14:paraId="5F5A24BB" w14:textId="77777777" w:rsidR="00C4624A" w:rsidRPr="00252A6F" w:rsidRDefault="00C4624A" w:rsidP="00461AA0">
            <w:pPr>
              <w:jc w:val="center"/>
              <w:rPr>
                <w:noProof/>
                <w:sz w:val="18"/>
                <w:szCs w:val="18"/>
              </w:rPr>
            </w:pPr>
            <w:r w:rsidRPr="00252A6F">
              <w:rPr>
                <w:noProof/>
                <w:sz w:val="18"/>
              </w:rPr>
              <w:t>stroški</w:t>
            </w:r>
          </w:p>
        </w:tc>
        <w:tc>
          <w:tcPr>
            <w:tcW w:w="999" w:type="dxa"/>
            <w:gridSpan w:val="2"/>
            <w:tcBorders>
              <w:right w:val="dashSmallGap" w:sz="4" w:space="0" w:color="auto"/>
            </w:tcBorders>
            <w:shd w:val="clear" w:color="auto" w:fill="auto"/>
            <w:vAlign w:val="center"/>
          </w:tcPr>
          <w:p w14:paraId="20401079" w14:textId="77777777" w:rsidR="00C4624A" w:rsidRPr="00252A6F" w:rsidRDefault="00C4624A" w:rsidP="00461AA0">
            <w:pPr>
              <w:jc w:val="center"/>
              <w:rPr>
                <w:noProof/>
                <w:sz w:val="18"/>
                <w:szCs w:val="18"/>
              </w:rPr>
            </w:pPr>
            <w:r w:rsidRPr="00252A6F">
              <w:rPr>
                <w:noProof/>
                <w:sz w:val="18"/>
              </w:rPr>
              <w:t>število realizacij skupaj</w:t>
            </w:r>
          </w:p>
        </w:tc>
        <w:tc>
          <w:tcPr>
            <w:tcW w:w="900" w:type="dxa"/>
            <w:tcBorders>
              <w:left w:val="dashSmallGap" w:sz="4" w:space="0" w:color="auto"/>
            </w:tcBorders>
            <w:shd w:val="clear" w:color="auto" w:fill="auto"/>
            <w:vAlign w:val="center"/>
          </w:tcPr>
          <w:p w14:paraId="54C4B312" w14:textId="77777777" w:rsidR="00C4624A" w:rsidRPr="00252A6F" w:rsidRDefault="00C4624A" w:rsidP="00461AA0">
            <w:pPr>
              <w:jc w:val="center"/>
              <w:rPr>
                <w:noProof/>
                <w:sz w:val="18"/>
                <w:szCs w:val="18"/>
              </w:rPr>
            </w:pPr>
            <w:r w:rsidRPr="00252A6F">
              <w:rPr>
                <w:noProof/>
                <w:sz w:val="18"/>
              </w:rPr>
              <w:t>stroški realizacij skupaj</w:t>
            </w:r>
          </w:p>
        </w:tc>
      </w:tr>
      <w:tr w:rsidR="00252A6F" w:rsidRPr="00252A6F" w14:paraId="3843B85D" w14:textId="77777777" w:rsidTr="00252A6F">
        <w:trPr>
          <w:jc w:val="center"/>
        </w:trPr>
        <w:tc>
          <w:tcPr>
            <w:tcW w:w="2637" w:type="dxa"/>
            <w:gridSpan w:val="2"/>
            <w:vAlign w:val="center"/>
          </w:tcPr>
          <w:p w14:paraId="113DAC21" w14:textId="77777777" w:rsidR="00C4624A" w:rsidRPr="00252A6F" w:rsidRDefault="00C4624A" w:rsidP="00461AA0">
            <w:pPr>
              <w:spacing w:before="60" w:after="60"/>
              <w:ind w:right="-29"/>
              <w:jc w:val="center"/>
              <w:rPr>
                <w:noProof/>
                <w:sz w:val="18"/>
                <w:szCs w:val="18"/>
              </w:rPr>
            </w:pPr>
            <w:r w:rsidRPr="00252A6F">
              <w:rPr>
                <w:noProof/>
                <w:sz w:val="18"/>
              </w:rPr>
              <w:t>SPECIFIČNI CILJ št. 1</w:t>
            </w:r>
            <w:r w:rsidRPr="00252A6F">
              <w:rPr>
                <w:rStyle w:val="FootnoteReference"/>
                <w:noProof/>
                <w:sz w:val="18"/>
                <w:szCs w:val="18"/>
              </w:rPr>
              <w:footnoteReference w:id="42"/>
            </w:r>
            <w:r w:rsidRPr="00252A6F">
              <w:rPr>
                <w:noProof/>
                <w:sz w:val="18"/>
              </w:rPr>
              <w:t xml:space="preserve"> …</w:t>
            </w:r>
          </w:p>
        </w:tc>
        <w:tc>
          <w:tcPr>
            <w:tcW w:w="567" w:type="dxa"/>
            <w:tcBorders>
              <w:top w:val="nil"/>
              <w:left w:val="nil"/>
              <w:bottom w:val="nil"/>
              <w:right w:val="nil"/>
            </w:tcBorders>
          </w:tcPr>
          <w:p w14:paraId="060133AD" w14:textId="77777777" w:rsidR="00C4624A" w:rsidRPr="00252A6F" w:rsidRDefault="00C4624A" w:rsidP="00461AA0">
            <w:pPr>
              <w:spacing w:before="60" w:after="60"/>
              <w:ind w:right="-29"/>
              <w:jc w:val="center"/>
              <w:rPr>
                <w:noProof/>
                <w:sz w:val="18"/>
                <w:szCs w:val="18"/>
              </w:rPr>
            </w:pPr>
          </w:p>
        </w:tc>
        <w:tc>
          <w:tcPr>
            <w:tcW w:w="709" w:type="dxa"/>
            <w:tcBorders>
              <w:top w:val="nil"/>
              <w:left w:val="nil"/>
              <w:bottom w:val="nil"/>
              <w:right w:val="nil"/>
            </w:tcBorders>
          </w:tcPr>
          <w:p w14:paraId="77282479" w14:textId="77777777" w:rsidR="00C4624A" w:rsidRPr="00252A6F" w:rsidRDefault="00C4624A" w:rsidP="00461AA0">
            <w:pPr>
              <w:spacing w:before="60" w:after="60"/>
              <w:ind w:right="-29"/>
              <w:jc w:val="center"/>
              <w:rPr>
                <w:noProof/>
                <w:sz w:val="18"/>
                <w:szCs w:val="18"/>
              </w:rPr>
            </w:pPr>
          </w:p>
        </w:tc>
        <w:tc>
          <w:tcPr>
            <w:tcW w:w="567" w:type="dxa"/>
            <w:tcBorders>
              <w:top w:val="nil"/>
              <w:left w:val="nil"/>
              <w:bottom w:val="nil"/>
              <w:right w:val="nil"/>
            </w:tcBorders>
          </w:tcPr>
          <w:p w14:paraId="5A0C31BD" w14:textId="77777777" w:rsidR="00C4624A" w:rsidRPr="00252A6F" w:rsidRDefault="00C4624A" w:rsidP="00461AA0">
            <w:pPr>
              <w:spacing w:before="60" w:after="60"/>
              <w:ind w:right="-29"/>
              <w:jc w:val="center"/>
              <w:rPr>
                <w:noProof/>
                <w:sz w:val="18"/>
                <w:szCs w:val="18"/>
              </w:rPr>
            </w:pPr>
          </w:p>
        </w:tc>
        <w:tc>
          <w:tcPr>
            <w:tcW w:w="709" w:type="dxa"/>
            <w:tcBorders>
              <w:top w:val="nil"/>
              <w:left w:val="nil"/>
              <w:bottom w:val="nil"/>
              <w:right w:val="nil"/>
            </w:tcBorders>
          </w:tcPr>
          <w:p w14:paraId="20DCFC33" w14:textId="77777777" w:rsidR="00C4624A" w:rsidRPr="00252A6F" w:rsidRDefault="00C4624A" w:rsidP="00461AA0">
            <w:pPr>
              <w:spacing w:before="60" w:after="60"/>
              <w:ind w:right="-29"/>
              <w:jc w:val="center"/>
              <w:rPr>
                <w:noProof/>
                <w:sz w:val="18"/>
                <w:szCs w:val="18"/>
              </w:rPr>
            </w:pPr>
          </w:p>
        </w:tc>
        <w:tc>
          <w:tcPr>
            <w:tcW w:w="567" w:type="dxa"/>
            <w:gridSpan w:val="2"/>
            <w:tcBorders>
              <w:top w:val="nil"/>
              <w:left w:val="nil"/>
              <w:bottom w:val="nil"/>
              <w:right w:val="nil"/>
            </w:tcBorders>
          </w:tcPr>
          <w:p w14:paraId="58C3F084" w14:textId="77777777" w:rsidR="00C4624A" w:rsidRPr="00252A6F" w:rsidRDefault="00C4624A" w:rsidP="00461AA0">
            <w:pPr>
              <w:spacing w:before="60" w:after="60"/>
              <w:ind w:right="-29"/>
              <w:jc w:val="center"/>
              <w:rPr>
                <w:noProof/>
                <w:sz w:val="18"/>
                <w:szCs w:val="18"/>
              </w:rPr>
            </w:pPr>
          </w:p>
        </w:tc>
        <w:tc>
          <w:tcPr>
            <w:tcW w:w="709" w:type="dxa"/>
            <w:tcBorders>
              <w:top w:val="nil"/>
              <w:left w:val="nil"/>
              <w:bottom w:val="nil"/>
              <w:right w:val="nil"/>
            </w:tcBorders>
          </w:tcPr>
          <w:p w14:paraId="6FEED66F" w14:textId="77777777" w:rsidR="00C4624A" w:rsidRPr="00252A6F" w:rsidRDefault="00C4624A" w:rsidP="00461AA0">
            <w:pPr>
              <w:spacing w:before="60" w:after="60"/>
              <w:ind w:right="-29"/>
              <w:jc w:val="center"/>
              <w:rPr>
                <w:noProof/>
                <w:sz w:val="18"/>
                <w:szCs w:val="18"/>
              </w:rPr>
            </w:pPr>
          </w:p>
        </w:tc>
        <w:tc>
          <w:tcPr>
            <w:tcW w:w="567" w:type="dxa"/>
            <w:gridSpan w:val="2"/>
            <w:tcBorders>
              <w:top w:val="nil"/>
              <w:left w:val="nil"/>
              <w:bottom w:val="nil"/>
              <w:right w:val="nil"/>
            </w:tcBorders>
          </w:tcPr>
          <w:p w14:paraId="38A56267" w14:textId="77777777" w:rsidR="00C4624A" w:rsidRPr="00252A6F" w:rsidRDefault="00C4624A" w:rsidP="00461AA0">
            <w:pPr>
              <w:spacing w:before="60" w:after="60"/>
              <w:ind w:right="-29"/>
              <w:jc w:val="center"/>
              <w:rPr>
                <w:noProof/>
                <w:sz w:val="18"/>
                <w:szCs w:val="18"/>
              </w:rPr>
            </w:pPr>
          </w:p>
        </w:tc>
        <w:tc>
          <w:tcPr>
            <w:tcW w:w="850" w:type="dxa"/>
            <w:tcBorders>
              <w:top w:val="nil"/>
              <w:left w:val="nil"/>
              <w:bottom w:val="nil"/>
              <w:right w:val="nil"/>
            </w:tcBorders>
          </w:tcPr>
          <w:p w14:paraId="3BBCC97B" w14:textId="77777777" w:rsidR="00C4624A" w:rsidRPr="00252A6F" w:rsidRDefault="00C4624A" w:rsidP="00461AA0">
            <w:pPr>
              <w:spacing w:before="60" w:after="60"/>
              <w:ind w:right="-29"/>
              <w:jc w:val="center"/>
              <w:rPr>
                <w:noProof/>
                <w:sz w:val="18"/>
                <w:szCs w:val="18"/>
              </w:rPr>
            </w:pPr>
          </w:p>
        </w:tc>
        <w:tc>
          <w:tcPr>
            <w:tcW w:w="709" w:type="dxa"/>
            <w:tcBorders>
              <w:top w:val="nil"/>
              <w:left w:val="nil"/>
              <w:bottom w:val="nil"/>
              <w:right w:val="nil"/>
            </w:tcBorders>
          </w:tcPr>
          <w:p w14:paraId="548A5923" w14:textId="77777777" w:rsidR="00C4624A" w:rsidRPr="00252A6F" w:rsidRDefault="00C4624A" w:rsidP="00461AA0">
            <w:pPr>
              <w:spacing w:before="60" w:after="60"/>
              <w:ind w:right="-29"/>
              <w:jc w:val="center"/>
              <w:rPr>
                <w:noProof/>
                <w:sz w:val="18"/>
                <w:szCs w:val="18"/>
              </w:rPr>
            </w:pPr>
          </w:p>
        </w:tc>
        <w:tc>
          <w:tcPr>
            <w:tcW w:w="709" w:type="dxa"/>
            <w:tcBorders>
              <w:top w:val="nil"/>
              <w:left w:val="nil"/>
              <w:bottom w:val="nil"/>
              <w:right w:val="nil"/>
            </w:tcBorders>
          </w:tcPr>
          <w:p w14:paraId="5A8A6B4E" w14:textId="77777777" w:rsidR="00C4624A" w:rsidRPr="00252A6F" w:rsidRDefault="00C4624A" w:rsidP="00461AA0">
            <w:pPr>
              <w:spacing w:before="60" w:after="60"/>
              <w:ind w:right="-29"/>
              <w:jc w:val="center"/>
              <w:rPr>
                <w:noProof/>
                <w:sz w:val="18"/>
                <w:szCs w:val="18"/>
              </w:rPr>
            </w:pPr>
          </w:p>
        </w:tc>
        <w:tc>
          <w:tcPr>
            <w:tcW w:w="567" w:type="dxa"/>
            <w:tcBorders>
              <w:top w:val="nil"/>
              <w:left w:val="nil"/>
              <w:bottom w:val="nil"/>
              <w:right w:val="nil"/>
            </w:tcBorders>
          </w:tcPr>
          <w:p w14:paraId="0B437624" w14:textId="77777777" w:rsidR="00C4624A" w:rsidRPr="00252A6F" w:rsidRDefault="00C4624A" w:rsidP="00461AA0">
            <w:pPr>
              <w:spacing w:before="60" w:after="60"/>
              <w:ind w:right="-29"/>
              <w:jc w:val="center"/>
              <w:rPr>
                <w:noProof/>
                <w:sz w:val="18"/>
                <w:szCs w:val="18"/>
              </w:rPr>
            </w:pPr>
          </w:p>
        </w:tc>
        <w:tc>
          <w:tcPr>
            <w:tcW w:w="708" w:type="dxa"/>
            <w:tcBorders>
              <w:top w:val="nil"/>
              <w:left w:val="nil"/>
              <w:bottom w:val="nil"/>
              <w:right w:val="nil"/>
            </w:tcBorders>
          </w:tcPr>
          <w:p w14:paraId="3617FEA6" w14:textId="77777777" w:rsidR="00C4624A" w:rsidRPr="00252A6F" w:rsidRDefault="00C4624A" w:rsidP="00461AA0">
            <w:pPr>
              <w:spacing w:before="60" w:after="60"/>
              <w:ind w:right="-29"/>
              <w:jc w:val="center"/>
              <w:rPr>
                <w:noProof/>
                <w:sz w:val="18"/>
                <w:szCs w:val="18"/>
              </w:rPr>
            </w:pPr>
          </w:p>
        </w:tc>
        <w:tc>
          <w:tcPr>
            <w:tcW w:w="426" w:type="dxa"/>
            <w:gridSpan w:val="2"/>
            <w:tcBorders>
              <w:top w:val="nil"/>
              <w:left w:val="nil"/>
              <w:bottom w:val="nil"/>
              <w:right w:val="nil"/>
            </w:tcBorders>
          </w:tcPr>
          <w:p w14:paraId="5190E94A" w14:textId="77777777" w:rsidR="00C4624A" w:rsidRPr="00252A6F" w:rsidRDefault="00C4624A" w:rsidP="00461AA0">
            <w:pPr>
              <w:spacing w:before="60" w:after="60"/>
              <w:ind w:right="-29"/>
              <w:jc w:val="center"/>
              <w:rPr>
                <w:noProof/>
                <w:sz w:val="18"/>
                <w:szCs w:val="18"/>
              </w:rPr>
            </w:pPr>
          </w:p>
        </w:tc>
        <w:tc>
          <w:tcPr>
            <w:tcW w:w="708" w:type="dxa"/>
            <w:tcBorders>
              <w:top w:val="nil"/>
              <w:left w:val="nil"/>
              <w:bottom w:val="nil"/>
              <w:right w:val="nil"/>
            </w:tcBorders>
          </w:tcPr>
          <w:p w14:paraId="3F52A48F" w14:textId="77777777" w:rsidR="00C4624A" w:rsidRPr="00252A6F" w:rsidRDefault="00C4624A" w:rsidP="00461AA0">
            <w:pPr>
              <w:spacing w:before="60" w:after="60"/>
              <w:ind w:right="-29"/>
              <w:jc w:val="center"/>
              <w:rPr>
                <w:noProof/>
                <w:sz w:val="18"/>
                <w:szCs w:val="18"/>
              </w:rPr>
            </w:pPr>
          </w:p>
        </w:tc>
        <w:tc>
          <w:tcPr>
            <w:tcW w:w="999" w:type="dxa"/>
            <w:gridSpan w:val="2"/>
            <w:tcBorders>
              <w:top w:val="nil"/>
              <w:left w:val="nil"/>
              <w:bottom w:val="nil"/>
              <w:right w:val="nil"/>
            </w:tcBorders>
          </w:tcPr>
          <w:p w14:paraId="607FD245" w14:textId="77777777" w:rsidR="00C4624A" w:rsidRPr="00252A6F" w:rsidRDefault="00C4624A" w:rsidP="00461AA0">
            <w:pPr>
              <w:spacing w:before="60" w:after="60"/>
              <w:ind w:right="-29"/>
              <w:jc w:val="center"/>
              <w:rPr>
                <w:noProof/>
                <w:sz w:val="18"/>
                <w:szCs w:val="18"/>
              </w:rPr>
            </w:pPr>
          </w:p>
        </w:tc>
        <w:tc>
          <w:tcPr>
            <w:tcW w:w="900" w:type="dxa"/>
            <w:tcBorders>
              <w:top w:val="nil"/>
              <w:left w:val="nil"/>
              <w:bottom w:val="nil"/>
              <w:right w:val="nil"/>
            </w:tcBorders>
          </w:tcPr>
          <w:p w14:paraId="22B2967B" w14:textId="77777777" w:rsidR="00C4624A" w:rsidRPr="00252A6F" w:rsidRDefault="00C4624A" w:rsidP="00461AA0">
            <w:pPr>
              <w:spacing w:before="60" w:after="60"/>
              <w:ind w:right="-29"/>
              <w:jc w:val="center"/>
              <w:rPr>
                <w:noProof/>
                <w:sz w:val="18"/>
                <w:szCs w:val="18"/>
              </w:rPr>
            </w:pPr>
          </w:p>
        </w:tc>
      </w:tr>
      <w:tr w:rsidR="00252A6F" w:rsidRPr="00252A6F" w14:paraId="6C7FC6D9" w14:textId="77777777" w:rsidTr="00252A6F">
        <w:trPr>
          <w:trHeight w:val="990"/>
          <w:jc w:val="center"/>
        </w:trPr>
        <w:tc>
          <w:tcPr>
            <w:tcW w:w="1423" w:type="dxa"/>
          </w:tcPr>
          <w:p w14:paraId="19048CCC" w14:textId="77777777" w:rsidR="00C4624A" w:rsidRPr="00252A6F" w:rsidRDefault="00C4624A" w:rsidP="00461AA0">
            <w:pPr>
              <w:ind w:right="-29"/>
              <w:jc w:val="center"/>
              <w:rPr>
                <w:noProof/>
                <w:sz w:val="18"/>
                <w:szCs w:val="18"/>
              </w:rPr>
            </w:pPr>
            <w:r w:rsidRPr="00252A6F">
              <w:rPr>
                <w:noProof/>
                <w:sz w:val="18"/>
              </w:rPr>
              <w:t>– realizacija</w:t>
            </w:r>
          </w:p>
        </w:tc>
        <w:tc>
          <w:tcPr>
            <w:tcW w:w="1214" w:type="dxa"/>
            <w:vAlign w:val="center"/>
          </w:tcPr>
          <w:p w14:paraId="5E9A2CBF" w14:textId="77777777" w:rsidR="00C4624A" w:rsidRPr="00252A6F" w:rsidRDefault="00C4624A" w:rsidP="00461AA0">
            <w:pPr>
              <w:ind w:right="-29"/>
              <w:jc w:val="center"/>
              <w:rPr>
                <w:noProof/>
                <w:sz w:val="18"/>
                <w:szCs w:val="18"/>
              </w:rPr>
            </w:pPr>
            <w:r w:rsidRPr="00252A6F">
              <w:rPr>
                <w:noProof/>
                <w:sz w:val="20"/>
              </w:rPr>
              <w:t>izplačila nepovratnih sredstev</w:t>
            </w:r>
          </w:p>
        </w:tc>
        <w:tc>
          <w:tcPr>
            <w:tcW w:w="567" w:type="dxa"/>
            <w:tcBorders>
              <w:right w:val="dashSmallGap" w:sz="4" w:space="0" w:color="auto"/>
            </w:tcBorders>
          </w:tcPr>
          <w:p w14:paraId="5BB395E5" w14:textId="77777777" w:rsidR="00C4624A" w:rsidRPr="00252A6F" w:rsidRDefault="00C4624A" w:rsidP="00461AA0">
            <w:pPr>
              <w:ind w:right="-29"/>
              <w:jc w:val="center"/>
              <w:rPr>
                <w:noProof/>
                <w:sz w:val="18"/>
                <w:szCs w:val="18"/>
              </w:rPr>
            </w:pPr>
          </w:p>
        </w:tc>
        <w:tc>
          <w:tcPr>
            <w:tcW w:w="709" w:type="dxa"/>
            <w:tcBorders>
              <w:left w:val="dashSmallGap" w:sz="4" w:space="0" w:color="auto"/>
            </w:tcBorders>
          </w:tcPr>
          <w:p w14:paraId="138A4B5C" w14:textId="77777777" w:rsidR="00C4624A" w:rsidRPr="00252A6F" w:rsidRDefault="00C4624A" w:rsidP="00461AA0">
            <w:pPr>
              <w:ind w:right="-29"/>
              <w:jc w:val="center"/>
              <w:rPr>
                <w:noProof/>
                <w:sz w:val="18"/>
                <w:szCs w:val="18"/>
              </w:rPr>
            </w:pPr>
          </w:p>
        </w:tc>
        <w:tc>
          <w:tcPr>
            <w:tcW w:w="567" w:type="dxa"/>
            <w:tcBorders>
              <w:right w:val="dashSmallGap" w:sz="4" w:space="0" w:color="auto"/>
            </w:tcBorders>
          </w:tcPr>
          <w:p w14:paraId="3B79C1BE" w14:textId="77777777" w:rsidR="00C4624A" w:rsidRPr="00252A6F" w:rsidRDefault="00C4624A" w:rsidP="00461AA0">
            <w:pPr>
              <w:ind w:right="-29"/>
              <w:jc w:val="center"/>
              <w:rPr>
                <w:noProof/>
                <w:sz w:val="18"/>
                <w:szCs w:val="18"/>
              </w:rPr>
            </w:pPr>
          </w:p>
        </w:tc>
        <w:tc>
          <w:tcPr>
            <w:tcW w:w="709" w:type="dxa"/>
            <w:tcBorders>
              <w:left w:val="dashSmallGap" w:sz="4" w:space="0" w:color="auto"/>
            </w:tcBorders>
          </w:tcPr>
          <w:p w14:paraId="490A6E24" w14:textId="77777777" w:rsidR="00C4624A" w:rsidRPr="00252A6F" w:rsidRDefault="00C4624A" w:rsidP="00461AA0">
            <w:pPr>
              <w:ind w:right="-29"/>
              <w:jc w:val="center"/>
              <w:rPr>
                <w:noProof/>
                <w:sz w:val="18"/>
                <w:szCs w:val="18"/>
              </w:rPr>
            </w:pPr>
          </w:p>
        </w:tc>
        <w:tc>
          <w:tcPr>
            <w:tcW w:w="567" w:type="dxa"/>
            <w:gridSpan w:val="2"/>
            <w:tcBorders>
              <w:right w:val="dashSmallGap" w:sz="4" w:space="0" w:color="auto"/>
            </w:tcBorders>
          </w:tcPr>
          <w:p w14:paraId="303025EF" w14:textId="77777777" w:rsidR="00C4624A" w:rsidRPr="00252A6F" w:rsidRDefault="00C4624A" w:rsidP="00461AA0">
            <w:pPr>
              <w:ind w:right="-29"/>
              <w:jc w:val="center"/>
              <w:rPr>
                <w:noProof/>
                <w:sz w:val="18"/>
                <w:szCs w:val="18"/>
              </w:rPr>
            </w:pPr>
          </w:p>
        </w:tc>
        <w:tc>
          <w:tcPr>
            <w:tcW w:w="709" w:type="dxa"/>
            <w:tcBorders>
              <w:left w:val="dashSmallGap" w:sz="4" w:space="0" w:color="auto"/>
            </w:tcBorders>
          </w:tcPr>
          <w:p w14:paraId="422C06E9" w14:textId="77777777" w:rsidR="00C4624A" w:rsidRPr="00252A6F" w:rsidRDefault="00C4624A" w:rsidP="00461AA0">
            <w:pPr>
              <w:ind w:right="-29"/>
              <w:jc w:val="center"/>
              <w:rPr>
                <w:noProof/>
                <w:sz w:val="18"/>
                <w:szCs w:val="18"/>
              </w:rPr>
            </w:pPr>
            <w:r w:rsidRPr="00252A6F">
              <w:rPr>
                <w:noProof/>
                <w:sz w:val="18"/>
              </w:rPr>
              <w:t>170,0</w:t>
            </w:r>
          </w:p>
        </w:tc>
        <w:tc>
          <w:tcPr>
            <w:tcW w:w="567" w:type="dxa"/>
            <w:gridSpan w:val="2"/>
            <w:tcBorders>
              <w:right w:val="dashSmallGap" w:sz="4" w:space="0" w:color="auto"/>
            </w:tcBorders>
          </w:tcPr>
          <w:p w14:paraId="2E11DE41" w14:textId="77777777" w:rsidR="00C4624A" w:rsidRPr="00252A6F" w:rsidRDefault="00C4624A" w:rsidP="00461AA0">
            <w:pPr>
              <w:ind w:right="-29"/>
              <w:jc w:val="center"/>
              <w:rPr>
                <w:noProof/>
                <w:sz w:val="18"/>
                <w:szCs w:val="18"/>
              </w:rPr>
            </w:pPr>
          </w:p>
        </w:tc>
        <w:tc>
          <w:tcPr>
            <w:tcW w:w="850" w:type="dxa"/>
            <w:tcBorders>
              <w:left w:val="dashSmallGap" w:sz="4" w:space="0" w:color="auto"/>
            </w:tcBorders>
          </w:tcPr>
          <w:p w14:paraId="7E8833A2" w14:textId="77777777" w:rsidR="00C4624A" w:rsidRPr="00252A6F" w:rsidRDefault="00C4624A" w:rsidP="00461AA0">
            <w:pPr>
              <w:ind w:right="-29"/>
              <w:jc w:val="center"/>
              <w:rPr>
                <w:noProof/>
                <w:sz w:val="18"/>
                <w:szCs w:val="18"/>
              </w:rPr>
            </w:pPr>
            <w:r w:rsidRPr="00252A6F">
              <w:rPr>
                <w:noProof/>
                <w:sz w:val="18"/>
              </w:rPr>
              <w:t>170,0</w:t>
            </w:r>
          </w:p>
        </w:tc>
        <w:tc>
          <w:tcPr>
            <w:tcW w:w="709" w:type="dxa"/>
            <w:tcBorders>
              <w:right w:val="dashSmallGap" w:sz="4" w:space="0" w:color="auto"/>
            </w:tcBorders>
          </w:tcPr>
          <w:p w14:paraId="4A31CDC1" w14:textId="77777777" w:rsidR="00C4624A" w:rsidRPr="00252A6F" w:rsidRDefault="00C4624A" w:rsidP="00461AA0">
            <w:pPr>
              <w:ind w:right="-29"/>
              <w:jc w:val="center"/>
              <w:rPr>
                <w:noProof/>
                <w:sz w:val="18"/>
                <w:szCs w:val="18"/>
              </w:rPr>
            </w:pPr>
          </w:p>
        </w:tc>
        <w:tc>
          <w:tcPr>
            <w:tcW w:w="709" w:type="dxa"/>
            <w:tcBorders>
              <w:left w:val="dashSmallGap" w:sz="4" w:space="0" w:color="auto"/>
            </w:tcBorders>
          </w:tcPr>
          <w:p w14:paraId="73AF4159" w14:textId="77777777" w:rsidR="00C4624A" w:rsidRPr="00252A6F" w:rsidRDefault="00C4624A" w:rsidP="00461AA0">
            <w:pPr>
              <w:ind w:right="-29"/>
              <w:jc w:val="center"/>
              <w:rPr>
                <w:noProof/>
                <w:sz w:val="18"/>
                <w:szCs w:val="18"/>
              </w:rPr>
            </w:pPr>
            <w:r w:rsidRPr="00252A6F">
              <w:rPr>
                <w:noProof/>
                <w:sz w:val="18"/>
              </w:rPr>
              <w:t>170,0</w:t>
            </w:r>
          </w:p>
        </w:tc>
        <w:tc>
          <w:tcPr>
            <w:tcW w:w="567" w:type="dxa"/>
            <w:tcBorders>
              <w:right w:val="dashSmallGap" w:sz="4" w:space="0" w:color="auto"/>
            </w:tcBorders>
          </w:tcPr>
          <w:p w14:paraId="256AE42D" w14:textId="77777777" w:rsidR="00C4624A" w:rsidRPr="00252A6F" w:rsidRDefault="00C4624A" w:rsidP="00461AA0">
            <w:pPr>
              <w:ind w:right="-29"/>
              <w:jc w:val="center"/>
              <w:rPr>
                <w:noProof/>
                <w:sz w:val="18"/>
                <w:szCs w:val="18"/>
              </w:rPr>
            </w:pPr>
          </w:p>
        </w:tc>
        <w:tc>
          <w:tcPr>
            <w:tcW w:w="708" w:type="dxa"/>
            <w:tcBorders>
              <w:left w:val="dashSmallGap" w:sz="4" w:space="0" w:color="auto"/>
            </w:tcBorders>
          </w:tcPr>
          <w:p w14:paraId="10C05B1B" w14:textId="77777777" w:rsidR="00C4624A" w:rsidRPr="00252A6F" w:rsidRDefault="00C4624A" w:rsidP="00461AA0">
            <w:pPr>
              <w:ind w:right="-29"/>
              <w:jc w:val="center"/>
              <w:rPr>
                <w:noProof/>
                <w:sz w:val="18"/>
                <w:szCs w:val="18"/>
              </w:rPr>
            </w:pPr>
            <w:r w:rsidRPr="00252A6F">
              <w:rPr>
                <w:noProof/>
                <w:sz w:val="18"/>
              </w:rPr>
              <w:t>170,0</w:t>
            </w:r>
          </w:p>
        </w:tc>
        <w:tc>
          <w:tcPr>
            <w:tcW w:w="426" w:type="dxa"/>
            <w:gridSpan w:val="2"/>
            <w:tcBorders>
              <w:right w:val="dashSmallGap" w:sz="4" w:space="0" w:color="auto"/>
            </w:tcBorders>
          </w:tcPr>
          <w:p w14:paraId="3E73DC99" w14:textId="77777777" w:rsidR="00C4624A" w:rsidRPr="00252A6F" w:rsidRDefault="00C4624A" w:rsidP="00461AA0">
            <w:pPr>
              <w:ind w:right="-29"/>
              <w:jc w:val="center"/>
              <w:rPr>
                <w:noProof/>
                <w:sz w:val="18"/>
                <w:szCs w:val="18"/>
              </w:rPr>
            </w:pPr>
          </w:p>
        </w:tc>
        <w:tc>
          <w:tcPr>
            <w:tcW w:w="708" w:type="dxa"/>
            <w:tcBorders>
              <w:left w:val="dashSmallGap" w:sz="4" w:space="0" w:color="auto"/>
            </w:tcBorders>
          </w:tcPr>
          <w:p w14:paraId="7DE29F7D" w14:textId="77777777" w:rsidR="00C4624A" w:rsidRPr="00252A6F" w:rsidRDefault="00C4624A" w:rsidP="00461AA0">
            <w:pPr>
              <w:ind w:right="-29"/>
              <w:jc w:val="center"/>
              <w:rPr>
                <w:noProof/>
                <w:sz w:val="18"/>
                <w:szCs w:val="18"/>
              </w:rPr>
            </w:pPr>
            <w:r w:rsidRPr="00252A6F">
              <w:rPr>
                <w:noProof/>
                <w:sz w:val="18"/>
              </w:rPr>
              <w:t>170,0</w:t>
            </w:r>
          </w:p>
        </w:tc>
        <w:tc>
          <w:tcPr>
            <w:tcW w:w="999" w:type="dxa"/>
            <w:gridSpan w:val="2"/>
          </w:tcPr>
          <w:p w14:paraId="7A0D6A4E" w14:textId="77777777" w:rsidR="00C4624A" w:rsidRPr="00252A6F" w:rsidRDefault="00C4624A" w:rsidP="00461AA0">
            <w:pPr>
              <w:ind w:right="-29"/>
              <w:jc w:val="center"/>
              <w:rPr>
                <w:noProof/>
                <w:sz w:val="18"/>
                <w:szCs w:val="18"/>
              </w:rPr>
            </w:pPr>
          </w:p>
        </w:tc>
        <w:tc>
          <w:tcPr>
            <w:tcW w:w="900" w:type="dxa"/>
          </w:tcPr>
          <w:p w14:paraId="6FB421C0" w14:textId="77777777" w:rsidR="00C4624A" w:rsidRPr="00252A6F" w:rsidRDefault="00C4624A" w:rsidP="00461AA0">
            <w:pPr>
              <w:ind w:right="-29"/>
              <w:jc w:val="center"/>
              <w:rPr>
                <w:noProof/>
                <w:sz w:val="18"/>
                <w:szCs w:val="18"/>
              </w:rPr>
            </w:pPr>
            <w:r w:rsidRPr="00252A6F">
              <w:rPr>
                <w:noProof/>
                <w:sz w:val="18"/>
              </w:rPr>
              <w:t>850</w:t>
            </w:r>
          </w:p>
        </w:tc>
      </w:tr>
      <w:tr w:rsidR="00252A6F" w:rsidRPr="00252A6F" w14:paraId="20CA79FA" w14:textId="77777777" w:rsidTr="00252A6F">
        <w:trPr>
          <w:trHeight w:hRule="exact" w:val="848"/>
          <w:jc w:val="center"/>
        </w:trPr>
        <w:tc>
          <w:tcPr>
            <w:tcW w:w="1423" w:type="dxa"/>
          </w:tcPr>
          <w:p w14:paraId="7CFC55A9" w14:textId="77777777" w:rsidR="00C4624A" w:rsidRPr="00252A6F" w:rsidRDefault="00C4624A" w:rsidP="00461AA0">
            <w:pPr>
              <w:ind w:right="-29"/>
              <w:jc w:val="center"/>
              <w:rPr>
                <w:noProof/>
                <w:sz w:val="18"/>
                <w:szCs w:val="18"/>
              </w:rPr>
            </w:pPr>
            <w:r w:rsidRPr="00252A6F">
              <w:rPr>
                <w:noProof/>
                <w:sz w:val="18"/>
              </w:rPr>
              <w:t>– realizacija</w:t>
            </w:r>
          </w:p>
        </w:tc>
        <w:tc>
          <w:tcPr>
            <w:tcW w:w="1214" w:type="dxa"/>
            <w:vAlign w:val="center"/>
          </w:tcPr>
          <w:p w14:paraId="776F24B6" w14:textId="77777777" w:rsidR="00C4624A" w:rsidRPr="00252A6F" w:rsidRDefault="00C4624A" w:rsidP="00461AA0">
            <w:pPr>
              <w:ind w:right="-29"/>
              <w:jc w:val="center"/>
              <w:rPr>
                <w:noProof/>
                <w:sz w:val="18"/>
                <w:szCs w:val="18"/>
              </w:rPr>
            </w:pPr>
            <w:r w:rsidRPr="00252A6F">
              <w:rPr>
                <w:noProof/>
                <w:sz w:val="20"/>
              </w:rPr>
              <w:t>oblikovanje rezervacij za jamstvo za zunanje delovanje</w:t>
            </w:r>
          </w:p>
        </w:tc>
        <w:tc>
          <w:tcPr>
            <w:tcW w:w="567" w:type="dxa"/>
            <w:tcBorders>
              <w:right w:val="dashSmallGap" w:sz="4" w:space="0" w:color="auto"/>
            </w:tcBorders>
          </w:tcPr>
          <w:p w14:paraId="7DE03EBE" w14:textId="77777777" w:rsidR="00C4624A" w:rsidRPr="00252A6F" w:rsidRDefault="00C4624A" w:rsidP="00461AA0">
            <w:pPr>
              <w:ind w:right="-29"/>
              <w:jc w:val="center"/>
              <w:rPr>
                <w:noProof/>
                <w:sz w:val="18"/>
                <w:szCs w:val="18"/>
              </w:rPr>
            </w:pPr>
          </w:p>
        </w:tc>
        <w:tc>
          <w:tcPr>
            <w:tcW w:w="709" w:type="dxa"/>
            <w:tcBorders>
              <w:left w:val="dashSmallGap" w:sz="4" w:space="0" w:color="auto"/>
            </w:tcBorders>
          </w:tcPr>
          <w:p w14:paraId="1ED3FD21" w14:textId="77777777" w:rsidR="00C4624A" w:rsidRPr="00252A6F" w:rsidRDefault="00C4624A" w:rsidP="00461AA0">
            <w:pPr>
              <w:ind w:right="-29"/>
              <w:jc w:val="center"/>
              <w:rPr>
                <w:noProof/>
                <w:sz w:val="18"/>
                <w:szCs w:val="18"/>
              </w:rPr>
            </w:pPr>
            <w:r w:rsidRPr="00252A6F">
              <w:rPr>
                <w:noProof/>
                <w:sz w:val="18"/>
              </w:rPr>
              <w:t>27,3</w:t>
            </w:r>
          </w:p>
        </w:tc>
        <w:tc>
          <w:tcPr>
            <w:tcW w:w="567" w:type="dxa"/>
            <w:tcBorders>
              <w:right w:val="dashSmallGap" w:sz="4" w:space="0" w:color="auto"/>
            </w:tcBorders>
          </w:tcPr>
          <w:p w14:paraId="45A2A970" w14:textId="77777777" w:rsidR="00C4624A" w:rsidRPr="00252A6F" w:rsidRDefault="00C4624A" w:rsidP="00461AA0">
            <w:pPr>
              <w:ind w:right="-29"/>
              <w:jc w:val="center"/>
              <w:rPr>
                <w:noProof/>
                <w:sz w:val="18"/>
                <w:szCs w:val="18"/>
              </w:rPr>
            </w:pPr>
          </w:p>
        </w:tc>
        <w:tc>
          <w:tcPr>
            <w:tcW w:w="709" w:type="dxa"/>
            <w:tcBorders>
              <w:left w:val="dashSmallGap" w:sz="4" w:space="0" w:color="auto"/>
            </w:tcBorders>
          </w:tcPr>
          <w:p w14:paraId="0C4B0E59" w14:textId="0FD46A7A" w:rsidR="00C4624A" w:rsidRPr="00252A6F" w:rsidRDefault="00C4624A" w:rsidP="00461AA0">
            <w:pPr>
              <w:ind w:right="-29"/>
              <w:jc w:val="center"/>
              <w:rPr>
                <w:noProof/>
                <w:sz w:val="18"/>
                <w:szCs w:val="18"/>
              </w:rPr>
            </w:pPr>
            <w:r w:rsidRPr="00252A6F">
              <w:rPr>
                <w:noProof/>
                <w:sz w:val="18"/>
              </w:rPr>
              <w:t>125,2</w:t>
            </w:r>
          </w:p>
        </w:tc>
        <w:tc>
          <w:tcPr>
            <w:tcW w:w="567" w:type="dxa"/>
            <w:gridSpan w:val="2"/>
            <w:tcBorders>
              <w:right w:val="dashSmallGap" w:sz="4" w:space="0" w:color="auto"/>
            </w:tcBorders>
          </w:tcPr>
          <w:p w14:paraId="36722BF2" w14:textId="77777777" w:rsidR="00C4624A" w:rsidRPr="00252A6F" w:rsidRDefault="00C4624A" w:rsidP="00461AA0">
            <w:pPr>
              <w:ind w:right="-29"/>
              <w:jc w:val="center"/>
              <w:rPr>
                <w:noProof/>
                <w:sz w:val="18"/>
                <w:szCs w:val="18"/>
              </w:rPr>
            </w:pPr>
          </w:p>
        </w:tc>
        <w:tc>
          <w:tcPr>
            <w:tcW w:w="709" w:type="dxa"/>
            <w:tcBorders>
              <w:left w:val="dashSmallGap" w:sz="4" w:space="0" w:color="auto"/>
            </w:tcBorders>
          </w:tcPr>
          <w:p w14:paraId="550CC4EB" w14:textId="77777777" w:rsidR="00C4624A" w:rsidRPr="00252A6F" w:rsidRDefault="00C4624A" w:rsidP="00461AA0">
            <w:pPr>
              <w:ind w:right="-29"/>
              <w:jc w:val="center"/>
              <w:rPr>
                <w:noProof/>
                <w:sz w:val="18"/>
                <w:szCs w:val="18"/>
              </w:rPr>
            </w:pPr>
            <w:r w:rsidRPr="00252A6F">
              <w:rPr>
                <w:noProof/>
                <w:sz w:val="18"/>
              </w:rPr>
              <w:t>162,6</w:t>
            </w:r>
          </w:p>
        </w:tc>
        <w:tc>
          <w:tcPr>
            <w:tcW w:w="567" w:type="dxa"/>
            <w:gridSpan w:val="2"/>
            <w:tcBorders>
              <w:right w:val="dashSmallGap" w:sz="4" w:space="0" w:color="auto"/>
            </w:tcBorders>
          </w:tcPr>
          <w:p w14:paraId="65EB5BB0" w14:textId="77777777" w:rsidR="00C4624A" w:rsidRPr="00252A6F" w:rsidRDefault="00C4624A" w:rsidP="00461AA0">
            <w:pPr>
              <w:ind w:right="-29"/>
              <w:jc w:val="center"/>
              <w:rPr>
                <w:noProof/>
                <w:sz w:val="18"/>
                <w:szCs w:val="18"/>
              </w:rPr>
            </w:pPr>
          </w:p>
        </w:tc>
        <w:tc>
          <w:tcPr>
            <w:tcW w:w="850" w:type="dxa"/>
            <w:tcBorders>
              <w:left w:val="dashSmallGap" w:sz="4" w:space="0" w:color="auto"/>
            </w:tcBorders>
          </w:tcPr>
          <w:p w14:paraId="1129537F" w14:textId="77777777" w:rsidR="00C4624A" w:rsidRPr="00252A6F" w:rsidRDefault="00C4624A" w:rsidP="00461AA0">
            <w:pPr>
              <w:ind w:right="-29"/>
              <w:jc w:val="center"/>
              <w:rPr>
                <w:noProof/>
                <w:sz w:val="18"/>
                <w:szCs w:val="18"/>
              </w:rPr>
            </w:pPr>
            <w:r w:rsidRPr="00252A6F">
              <w:rPr>
                <w:noProof/>
                <w:sz w:val="18"/>
              </w:rPr>
              <w:t>32,5</w:t>
            </w:r>
          </w:p>
        </w:tc>
        <w:tc>
          <w:tcPr>
            <w:tcW w:w="709" w:type="dxa"/>
            <w:tcBorders>
              <w:right w:val="dashSmallGap" w:sz="4" w:space="0" w:color="auto"/>
            </w:tcBorders>
          </w:tcPr>
          <w:p w14:paraId="7974D978" w14:textId="77777777" w:rsidR="00C4624A" w:rsidRPr="00252A6F" w:rsidRDefault="00C4624A" w:rsidP="00461AA0">
            <w:pPr>
              <w:ind w:right="-29"/>
              <w:jc w:val="center"/>
              <w:rPr>
                <w:noProof/>
                <w:sz w:val="18"/>
                <w:szCs w:val="18"/>
              </w:rPr>
            </w:pPr>
          </w:p>
        </w:tc>
        <w:tc>
          <w:tcPr>
            <w:tcW w:w="709" w:type="dxa"/>
            <w:tcBorders>
              <w:left w:val="dashSmallGap" w:sz="4" w:space="0" w:color="auto"/>
            </w:tcBorders>
          </w:tcPr>
          <w:p w14:paraId="12C7C27D" w14:textId="77777777" w:rsidR="00C4624A" w:rsidRPr="00252A6F" w:rsidRDefault="00C4624A" w:rsidP="00461AA0">
            <w:pPr>
              <w:ind w:right="-29"/>
              <w:jc w:val="center"/>
              <w:rPr>
                <w:noProof/>
                <w:sz w:val="18"/>
                <w:szCs w:val="18"/>
              </w:rPr>
            </w:pPr>
            <w:r w:rsidRPr="00252A6F">
              <w:rPr>
                <w:noProof/>
                <w:sz w:val="18"/>
              </w:rPr>
              <w:t>513,46</w:t>
            </w:r>
          </w:p>
        </w:tc>
        <w:tc>
          <w:tcPr>
            <w:tcW w:w="567" w:type="dxa"/>
            <w:tcBorders>
              <w:right w:val="dashSmallGap" w:sz="4" w:space="0" w:color="auto"/>
            </w:tcBorders>
          </w:tcPr>
          <w:p w14:paraId="147CEC7C" w14:textId="77777777" w:rsidR="00C4624A" w:rsidRPr="00252A6F" w:rsidRDefault="00C4624A" w:rsidP="00461AA0">
            <w:pPr>
              <w:ind w:right="-29"/>
              <w:jc w:val="center"/>
              <w:rPr>
                <w:noProof/>
                <w:sz w:val="18"/>
                <w:szCs w:val="18"/>
              </w:rPr>
            </w:pPr>
          </w:p>
        </w:tc>
        <w:tc>
          <w:tcPr>
            <w:tcW w:w="708" w:type="dxa"/>
            <w:tcBorders>
              <w:left w:val="dashSmallGap" w:sz="4" w:space="0" w:color="auto"/>
            </w:tcBorders>
          </w:tcPr>
          <w:p w14:paraId="178917EF" w14:textId="77777777" w:rsidR="00C4624A" w:rsidRPr="00252A6F" w:rsidRDefault="00C4624A" w:rsidP="00461AA0">
            <w:pPr>
              <w:ind w:right="-29"/>
              <w:jc w:val="center"/>
              <w:rPr>
                <w:noProof/>
                <w:sz w:val="18"/>
                <w:szCs w:val="18"/>
              </w:rPr>
            </w:pPr>
            <w:r w:rsidRPr="00252A6F">
              <w:rPr>
                <w:noProof/>
                <w:sz w:val="18"/>
              </w:rPr>
              <w:t>419,16</w:t>
            </w:r>
          </w:p>
        </w:tc>
        <w:tc>
          <w:tcPr>
            <w:tcW w:w="426" w:type="dxa"/>
            <w:gridSpan w:val="2"/>
            <w:tcBorders>
              <w:right w:val="dashSmallGap" w:sz="4" w:space="0" w:color="auto"/>
            </w:tcBorders>
          </w:tcPr>
          <w:p w14:paraId="0167D8DC" w14:textId="77777777" w:rsidR="00C4624A" w:rsidRPr="00252A6F" w:rsidRDefault="00C4624A" w:rsidP="00461AA0">
            <w:pPr>
              <w:ind w:right="-29"/>
              <w:jc w:val="center"/>
              <w:rPr>
                <w:noProof/>
                <w:sz w:val="18"/>
                <w:szCs w:val="18"/>
              </w:rPr>
            </w:pPr>
          </w:p>
        </w:tc>
        <w:tc>
          <w:tcPr>
            <w:tcW w:w="708" w:type="dxa"/>
            <w:tcBorders>
              <w:left w:val="dashSmallGap" w:sz="4" w:space="0" w:color="auto"/>
            </w:tcBorders>
          </w:tcPr>
          <w:p w14:paraId="07F729C5" w14:textId="77777777" w:rsidR="00C4624A" w:rsidRPr="00252A6F" w:rsidRDefault="00C4624A" w:rsidP="00461AA0">
            <w:pPr>
              <w:ind w:right="-29"/>
              <w:jc w:val="center"/>
              <w:rPr>
                <w:noProof/>
                <w:sz w:val="18"/>
                <w:szCs w:val="18"/>
              </w:rPr>
            </w:pPr>
            <w:r w:rsidRPr="00252A6F">
              <w:rPr>
                <w:noProof/>
                <w:sz w:val="18"/>
              </w:rPr>
              <w:t>370,06</w:t>
            </w:r>
          </w:p>
        </w:tc>
        <w:tc>
          <w:tcPr>
            <w:tcW w:w="999" w:type="dxa"/>
            <w:gridSpan w:val="2"/>
          </w:tcPr>
          <w:p w14:paraId="300A26BC" w14:textId="77777777" w:rsidR="00C4624A" w:rsidRPr="00252A6F" w:rsidRDefault="00C4624A" w:rsidP="00461AA0">
            <w:pPr>
              <w:ind w:right="-29"/>
              <w:jc w:val="center"/>
              <w:rPr>
                <w:noProof/>
                <w:sz w:val="18"/>
                <w:szCs w:val="18"/>
              </w:rPr>
            </w:pPr>
          </w:p>
        </w:tc>
        <w:tc>
          <w:tcPr>
            <w:tcW w:w="900" w:type="dxa"/>
          </w:tcPr>
          <w:p w14:paraId="107CDA2C" w14:textId="77777777" w:rsidR="00C4624A" w:rsidRPr="00252A6F" w:rsidRDefault="00C4624A" w:rsidP="00461AA0">
            <w:pPr>
              <w:ind w:right="-29"/>
              <w:jc w:val="center"/>
              <w:rPr>
                <w:noProof/>
                <w:sz w:val="18"/>
                <w:szCs w:val="18"/>
              </w:rPr>
            </w:pPr>
            <w:r w:rsidRPr="00252A6F">
              <w:rPr>
                <w:noProof/>
                <w:sz w:val="18"/>
              </w:rPr>
              <w:t>1 650,2</w:t>
            </w:r>
          </w:p>
        </w:tc>
      </w:tr>
      <w:tr w:rsidR="00252A6F" w:rsidRPr="00252A6F" w14:paraId="5313ED2F" w14:textId="77777777" w:rsidTr="00252A6F">
        <w:trPr>
          <w:trHeight w:hRule="exact" w:val="848"/>
          <w:jc w:val="center"/>
        </w:trPr>
        <w:tc>
          <w:tcPr>
            <w:tcW w:w="1423" w:type="dxa"/>
          </w:tcPr>
          <w:p w14:paraId="12B63F8E" w14:textId="77777777" w:rsidR="00C4624A" w:rsidRPr="00252A6F" w:rsidRDefault="00C4624A" w:rsidP="00461AA0">
            <w:pPr>
              <w:ind w:right="-29"/>
              <w:jc w:val="center"/>
              <w:rPr>
                <w:noProof/>
                <w:sz w:val="18"/>
                <w:szCs w:val="18"/>
              </w:rPr>
            </w:pPr>
            <w:r w:rsidRPr="00252A6F">
              <w:rPr>
                <w:noProof/>
                <w:sz w:val="18"/>
              </w:rPr>
              <w:t>– realizacija</w:t>
            </w:r>
          </w:p>
        </w:tc>
        <w:tc>
          <w:tcPr>
            <w:tcW w:w="1214" w:type="dxa"/>
            <w:vAlign w:val="center"/>
          </w:tcPr>
          <w:p w14:paraId="74B0F09B" w14:textId="77777777" w:rsidR="00C4624A" w:rsidRPr="00252A6F" w:rsidRDefault="00C4624A" w:rsidP="00461AA0">
            <w:pPr>
              <w:ind w:right="-29"/>
              <w:jc w:val="center"/>
              <w:rPr>
                <w:noProof/>
                <w:sz w:val="20"/>
                <w:szCs w:val="20"/>
              </w:rPr>
            </w:pPr>
            <w:r w:rsidRPr="00252A6F">
              <w:rPr>
                <w:noProof/>
                <w:sz w:val="20"/>
              </w:rPr>
              <w:t>operativna ocena</w:t>
            </w:r>
          </w:p>
        </w:tc>
        <w:tc>
          <w:tcPr>
            <w:tcW w:w="567" w:type="dxa"/>
            <w:tcBorders>
              <w:right w:val="dashSmallGap" w:sz="4" w:space="0" w:color="auto"/>
            </w:tcBorders>
          </w:tcPr>
          <w:p w14:paraId="430B4D7A" w14:textId="77777777" w:rsidR="00C4624A" w:rsidRPr="00252A6F" w:rsidRDefault="00C4624A" w:rsidP="00461AA0">
            <w:pPr>
              <w:ind w:right="-29"/>
              <w:jc w:val="center"/>
              <w:rPr>
                <w:noProof/>
                <w:sz w:val="18"/>
                <w:szCs w:val="18"/>
              </w:rPr>
            </w:pPr>
          </w:p>
        </w:tc>
        <w:tc>
          <w:tcPr>
            <w:tcW w:w="709" w:type="dxa"/>
            <w:tcBorders>
              <w:left w:val="dashSmallGap" w:sz="4" w:space="0" w:color="auto"/>
            </w:tcBorders>
          </w:tcPr>
          <w:p w14:paraId="23A8176A" w14:textId="77777777" w:rsidR="00C4624A" w:rsidRPr="00252A6F" w:rsidRDefault="00C4624A" w:rsidP="00461AA0">
            <w:pPr>
              <w:ind w:right="-29"/>
              <w:jc w:val="center"/>
              <w:rPr>
                <w:noProof/>
                <w:sz w:val="18"/>
                <w:szCs w:val="18"/>
              </w:rPr>
            </w:pPr>
          </w:p>
        </w:tc>
        <w:tc>
          <w:tcPr>
            <w:tcW w:w="567" w:type="dxa"/>
            <w:tcBorders>
              <w:right w:val="dashSmallGap" w:sz="4" w:space="0" w:color="auto"/>
            </w:tcBorders>
          </w:tcPr>
          <w:p w14:paraId="02970C09" w14:textId="77777777" w:rsidR="00C4624A" w:rsidRPr="00252A6F" w:rsidRDefault="00C4624A" w:rsidP="00461AA0">
            <w:pPr>
              <w:ind w:right="-29"/>
              <w:jc w:val="center"/>
              <w:rPr>
                <w:noProof/>
                <w:sz w:val="18"/>
                <w:szCs w:val="18"/>
              </w:rPr>
            </w:pPr>
            <w:r w:rsidRPr="00252A6F">
              <w:rPr>
                <w:noProof/>
                <w:sz w:val="18"/>
              </w:rPr>
              <w:t>1</w:t>
            </w:r>
          </w:p>
        </w:tc>
        <w:tc>
          <w:tcPr>
            <w:tcW w:w="709" w:type="dxa"/>
            <w:tcBorders>
              <w:left w:val="dashSmallGap" w:sz="4" w:space="0" w:color="auto"/>
            </w:tcBorders>
          </w:tcPr>
          <w:p w14:paraId="77B57687" w14:textId="77777777" w:rsidR="00C4624A" w:rsidRPr="00252A6F" w:rsidRDefault="00C4624A" w:rsidP="00461AA0">
            <w:pPr>
              <w:ind w:right="-29"/>
              <w:jc w:val="center"/>
              <w:rPr>
                <w:noProof/>
                <w:sz w:val="18"/>
                <w:szCs w:val="18"/>
              </w:rPr>
            </w:pPr>
            <w:r w:rsidRPr="00252A6F">
              <w:rPr>
                <w:noProof/>
                <w:sz w:val="18"/>
              </w:rPr>
              <w:t>0,15</w:t>
            </w:r>
          </w:p>
        </w:tc>
        <w:tc>
          <w:tcPr>
            <w:tcW w:w="567" w:type="dxa"/>
            <w:gridSpan w:val="2"/>
            <w:tcBorders>
              <w:right w:val="dashSmallGap" w:sz="4" w:space="0" w:color="auto"/>
            </w:tcBorders>
          </w:tcPr>
          <w:p w14:paraId="07912145" w14:textId="77777777" w:rsidR="00C4624A" w:rsidRPr="00252A6F" w:rsidRDefault="00C4624A" w:rsidP="00461AA0">
            <w:pPr>
              <w:ind w:right="-29"/>
              <w:jc w:val="center"/>
              <w:rPr>
                <w:noProof/>
                <w:sz w:val="18"/>
                <w:szCs w:val="18"/>
              </w:rPr>
            </w:pPr>
          </w:p>
        </w:tc>
        <w:tc>
          <w:tcPr>
            <w:tcW w:w="709" w:type="dxa"/>
            <w:tcBorders>
              <w:left w:val="dashSmallGap" w:sz="4" w:space="0" w:color="auto"/>
            </w:tcBorders>
          </w:tcPr>
          <w:p w14:paraId="65B600CC" w14:textId="77777777" w:rsidR="00C4624A" w:rsidRPr="00252A6F" w:rsidRDefault="00C4624A" w:rsidP="00461AA0">
            <w:pPr>
              <w:ind w:right="-29"/>
              <w:jc w:val="center"/>
              <w:rPr>
                <w:noProof/>
                <w:sz w:val="18"/>
                <w:szCs w:val="18"/>
              </w:rPr>
            </w:pPr>
          </w:p>
        </w:tc>
        <w:tc>
          <w:tcPr>
            <w:tcW w:w="567" w:type="dxa"/>
            <w:gridSpan w:val="2"/>
            <w:tcBorders>
              <w:right w:val="dashSmallGap" w:sz="4" w:space="0" w:color="auto"/>
            </w:tcBorders>
          </w:tcPr>
          <w:p w14:paraId="12497CCF" w14:textId="77777777" w:rsidR="00C4624A" w:rsidRPr="00252A6F" w:rsidRDefault="00C4624A" w:rsidP="00461AA0">
            <w:pPr>
              <w:ind w:right="-29"/>
              <w:jc w:val="center"/>
              <w:rPr>
                <w:noProof/>
                <w:sz w:val="18"/>
                <w:szCs w:val="18"/>
              </w:rPr>
            </w:pPr>
          </w:p>
        </w:tc>
        <w:tc>
          <w:tcPr>
            <w:tcW w:w="850" w:type="dxa"/>
            <w:tcBorders>
              <w:left w:val="dashSmallGap" w:sz="4" w:space="0" w:color="auto"/>
            </w:tcBorders>
          </w:tcPr>
          <w:p w14:paraId="2845DDDA" w14:textId="77777777" w:rsidR="00C4624A" w:rsidRPr="00252A6F" w:rsidRDefault="00C4624A" w:rsidP="00461AA0">
            <w:pPr>
              <w:ind w:right="-29"/>
              <w:jc w:val="center"/>
              <w:rPr>
                <w:noProof/>
                <w:sz w:val="18"/>
                <w:szCs w:val="18"/>
              </w:rPr>
            </w:pPr>
          </w:p>
        </w:tc>
        <w:tc>
          <w:tcPr>
            <w:tcW w:w="709" w:type="dxa"/>
            <w:tcBorders>
              <w:right w:val="dashSmallGap" w:sz="4" w:space="0" w:color="auto"/>
            </w:tcBorders>
          </w:tcPr>
          <w:p w14:paraId="1B5CC712" w14:textId="77777777" w:rsidR="00C4624A" w:rsidRPr="00252A6F" w:rsidRDefault="00C4624A" w:rsidP="00461AA0">
            <w:pPr>
              <w:ind w:right="-29"/>
              <w:jc w:val="center"/>
              <w:rPr>
                <w:noProof/>
                <w:sz w:val="18"/>
                <w:szCs w:val="18"/>
              </w:rPr>
            </w:pPr>
          </w:p>
        </w:tc>
        <w:tc>
          <w:tcPr>
            <w:tcW w:w="709" w:type="dxa"/>
            <w:tcBorders>
              <w:left w:val="dashSmallGap" w:sz="4" w:space="0" w:color="auto"/>
            </w:tcBorders>
          </w:tcPr>
          <w:p w14:paraId="514DACF8" w14:textId="77777777" w:rsidR="00C4624A" w:rsidRPr="00252A6F" w:rsidRDefault="00C4624A" w:rsidP="00461AA0">
            <w:pPr>
              <w:ind w:right="-29"/>
              <w:jc w:val="center"/>
              <w:rPr>
                <w:noProof/>
                <w:sz w:val="18"/>
                <w:szCs w:val="18"/>
              </w:rPr>
            </w:pPr>
          </w:p>
        </w:tc>
        <w:tc>
          <w:tcPr>
            <w:tcW w:w="567" w:type="dxa"/>
            <w:tcBorders>
              <w:right w:val="dashSmallGap" w:sz="4" w:space="0" w:color="auto"/>
            </w:tcBorders>
          </w:tcPr>
          <w:p w14:paraId="2BF17F1C" w14:textId="77777777" w:rsidR="00C4624A" w:rsidRPr="00252A6F" w:rsidRDefault="00C4624A" w:rsidP="00461AA0">
            <w:pPr>
              <w:ind w:right="-29"/>
              <w:jc w:val="center"/>
              <w:rPr>
                <w:noProof/>
                <w:sz w:val="18"/>
                <w:szCs w:val="18"/>
              </w:rPr>
            </w:pPr>
          </w:p>
        </w:tc>
        <w:tc>
          <w:tcPr>
            <w:tcW w:w="708" w:type="dxa"/>
            <w:tcBorders>
              <w:left w:val="dashSmallGap" w:sz="4" w:space="0" w:color="auto"/>
            </w:tcBorders>
          </w:tcPr>
          <w:p w14:paraId="6AA626EB" w14:textId="77777777" w:rsidR="00C4624A" w:rsidRPr="00252A6F" w:rsidRDefault="00C4624A" w:rsidP="00461AA0">
            <w:pPr>
              <w:ind w:right="-29"/>
              <w:jc w:val="center"/>
              <w:rPr>
                <w:noProof/>
                <w:sz w:val="18"/>
                <w:szCs w:val="18"/>
              </w:rPr>
            </w:pPr>
          </w:p>
        </w:tc>
        <w:tc>
          <w:tcPr>
            <w:tcW w:w="426" w:type="dxa"/>
            <w:gridSpan w:val="2"/>
            <w:tcBorders>
              <w:right w:val="dashSmallGap" w:sz="4" w:space="0" w:color="auto"/>
            </w:tcBorders>
          </w:tcPr>
          <w:p w14:paraId="032FE5BC" w14:textId="77777777" w:rsidR="00C4624A" w:rsidRPr="00252A6F" w:rsidRDefault="00C4624A" w:rsidP="00461AA0">
            <w:pPr>
              <w:ind w:right="-29"/>
              <w:jc w:val="center"/>
              <w:rPr>
                <w:noProof/>
                <w:sz w:val="18"/>
                <w:szCs w:val="18"/>
              </w:rPr>
            </w:pPr>
          </w:p>
        </w:tc>
        <w:tc>
          <w:tcPr>
            <w:tcW w:w="708" w:type="dxa"/>
            <w:tcBorders>
              <w:left w:val="dashSmallGap" w:sz="4" w:space="0" w:color="auto"/>
            </w:tcBorders>
          </w:tcPr>
          <w:p w14:paraId="5F8D0109" w14:textId="77777777" w:rsidR="00C4624A" w:rsidRPr="00252A6F" w:rsidRDefault="00C4624A" w:rsidP="00461AA0">
            <w:pPr>
              <w:ind w:right="-29"/>
              <w:jc w:val="center"/>
              <w:rPr>
                <w:noProof/>
                <w:sz w:val="18"/>
                <w:szCs w:val="18"/>
              </w:rPr>
            </w:pPr>
          </w:p>
        </w:tc>
        <w:tc>
          <w:tcPr>
            <w:tcW w:w="999" w:type="dxa"/>
            <w:gridSpan w:val="2"/>
          </w:tcPr>
          <w:p w14:paraId="3F6DA8C3" w14:textId="77777777" w:rsidR="00C4624A" w:rsidRPr="00252A6F" w:rsidRDefault="00C4624A" w:rsidP="00461AA0">
            <w:pPr>
              <w:ind w:right="-29"/>
              <w:jc w:val="center"/>
              <w:rPr>
                <w:noProof/>
                <w:sz w:val="18"/>
                <w:szCs w:val="18"/>
              </w:rPr>
            </w:pPr>
            <w:r w:rsidRPr="00252A6F">
              <w:rPr>
                <w:noProof/>
                <w:sz w:val="18"/>
              </w:rPr>
              <w:t>1</w:t>
            </w:r>
          </w:p>
        </w:tc>
        <w:tc>
          <w:tcPr>
            <w:tcW w:w="900" w:type="dxa"/>
          </w:tcPr>
          <w:p w14:paraId="6CF0204C" w14:textId="77777777" w:rsidR="00C4624A" w:rsidRPr="00252A6F" w:rsidRDefault="00C4624A" w:rsidP="00461AA0">
            <w:pPr>
              <w:ind w:right="-29"/>
              <w:jc w:val="center"/>
              <w:rPr>
                <w:noProof/>
                <w:sz w:val="18"/>
                <w:szCs w:val="18"/>
              </w:rPr>
            </w:pPr>
            <w:r w:rsidRPr="00252A6F">
              <w:rPr>
                <w:noProof/>
                <w:sz w:val="18"/>
              </w:rPr>
              <w:t>0,15</w:t>
            </w:r>
          </w:p>
        </w:tc>
      </w:tr>
      <w:tr w:rsidR="00252A6F" w:rsidRPr="00252A6F" w14:paraId="35E71CFB" w14:textId="77777777" w:rsidTr="00252A6F">
        <w:trPr>
          <w:trHeight w:hRule="exact" w:val="861"/>
          <w:jc w:val="center"/>
        </w:trPr>
        <w:tc>
          <w:tcPr>
            <w:tcW w:w="1423" w:type="dxa"/>
          </w:tcPr>
          <w:p w14:paraId="3E7EFB5E" w14:textId="77777777" w:rsidR="00C4624A" w:rsidRPr="00252A6F" w:rsidRDefault="00C4624A" w:rsidP="00461AA0">
            <w:pPr>
              <w:ind w:right="-29"/>
              <w:jc w:val="center"/>
              <w:rPr>
                <w:noProof/>
                <w:sz w:val="18"/>
                <w:szCs w:val="18"/>
              </w:rPr>
            </w:pPr>
            <w:r w:rsidRPr="00252A6F">
              <w:rPr>
                <w:noProof/>
                <w:sz w:val="18"/>
              </w:rPr>
              <w:t>– realizacija</w:t>
            </w:r>
          </w:p>
        </w:tc>
        <w:tc>
          <w:tcPr>
            <w:tcW w:w="1214" w:type="dxa"/>
            <w:vAlign w:val="center"/>
          </w:tcPr>
          <w:p w14:paraId="287E1014" w14:textId="77777777" w:rsidR="00C4624A" w:rsidRPr="00252A6F" w:rsidRDefault="00C4624A" w:rsidP="00461AA0">
            <w:pPr>
              <w:ind w:right="-29"/>
              <w:jc w:val="center"/>
              <w:rPr>
                <w:noProof/>
                <w:sz w:val="18"/>
                <w:szCs w:val="18"/>
              </w:rPr>
            </w:pPr>
            <w:r w:rsidRPr="00252A6F">
              <w:rPr>
                <w:noProof/>
                <w:sz w:val="20"/>
              </w:rPr>
              <w:t>naknadna ocena</w:t>
            </w:r>
          </w:p>
        </w:tc>
        <w:tc>
          <w:tcPr>
            <w:tcW w:w="567" w:type="dxa"/>
          </w:tcPr>
          <w:p w14:paraId="073B9B52" w14:textId="77777777" w:rsidR="00C4624A" w:rsidRPr="00252A6F" w:rsidRDefault="00C4624A" w:rsidP="00461AA0">
            <w:pPr>
              <w:ind w:right="-29"/>
              <w:jc w:val="center"/>
              <w:rPr>
                <w:noProof/>
                <w:sz w:val="18"/>
                <w:szCs w:val="18"/>
              </w:rPr>
            </w:pPr>
          </w:p>
        </w:tc>
        <w:tc>
          <w:tcPr>
            <w:tcW w:w="709" w:type="dxa"/>
          </w:tcPr>
          <w:p w14:paraId="14C25A48" w14:textId="77777777" w:rsidR="00C4624A" w:rsidRPr="00252A6F" w:rsidRDefault="00C4624A" w:rsidP="00461AA0">
            <w:pPr>
              <w:ind w:right="-29"/>
              <w:jc w:val="center"/>
              <w:rPr>
                <w:noProof/>
                <w:sz w:val="18"/>
                <w:szCs w:val="18"/>
              </w:rPr>
            </w:pPr>
          </w:p>
        </w:tc>
        <w:tc>
          <w:tcPr>
            <w:tcW w:w="567" w:type="dxa"/>
          </w:tcPr>
          <w:p w14:paraId="7F0E2630" w14:textId="77777777" w:rsidR="00C4624A" w:rsidRPr="00252A6F" w:rsidRDefault="00C4624A" w:rsidP="00461AA0">
            <w:pPr>
              <w:ind w:right="-29"/>
              <w:jc w:val="center"/>
              <w:rPr>
                <w:noProof/>
                <w:sz w:val="18"/>
                <w:szCs w:val="18"/>
              </w:rPr>
            </w:pPr>
          </w:p>
        </w:tc>
        <w:tc>
          <w:tcPr>
            <w:tcW w:w="709" w:type="dxa"/>
          </w:tcPr>
          <w:p w14:paraId="5CDBFBD1" w14:textId="77777777" w:rsidR="00C4624A" w:rsidRPr="00252A6F" w:rsidRDefault="00C4624A" w:rsidP="00461AA0">
            <w:pPr>
              <w:ind w:right="-29"/>
              <w:jc w:val="center"/>
              <w:rPr>
                <w:noProof/>
                <w:sz w:val="18"/>
                <w:szCs w:val="18"/>
              </w:rPr>
            </w:pPr>
          </w:p>
        </w:tc>
        <w:tc>
          <w:tcPr>
            <w:tcW w:w="567" w:type="dxa"/>
            <w:gridSpan w:val="2"/>
          </w:tcPr>
          <w:p w14:paraId="7E586ED8" w14:textId="77777777" w:rsidR="00C4624A" w:rsidRPr="00252A6F" w:rsidRDefault="00C4624A" w:rsidP="00461AA0">
            <w:pPr>
              <w:ind w:right="-29"/>
              <w:jc w:val="center"/>
              <w:rPr>
                <w:noProof/>
                <w:sz w:val="18"/>
                <w:szCs w:val="18"/>
              </w:rPr>
            </w:pPr>
          </w:p>
        </w:tc>
        <w:tc>
          <w:tcPr>
            <w:tcW w:w="709" w:type="dxa"/>
          </w:tcPr>
          <w:p w14:paraId="21A14038" w14:textId="77777777" w:rsidR="00C4624A" w:rsidRPr="00252A6F" w:rsidRDefault="00C4624A" w:rsidP="00461AA0">
            <w:pPr>
              <w:ind w:right="-29"/>
              <w:jc w:val="center"/>
              <w:rPr>
                <w:noProof/>
                <w:sz w:val="18"/>
                <w:szCs w:val="18"/>
              </w:rPr>
            </w:pPr>
          </w:p>
        </w:tc>
        <w:tc>
          <w:tcPr>
            <w:tcW w:w="567" w:type="dxa"/>
            <w:gridSpan w:val="2"/>
          </w:tcPr>
          <w:p w14:paraId="42295F9D" w14:textId="77777777" w:rsidR="00C4624A" w:rsidRPr="00252A6F" w:rsidRDefault="00C4624A" w:rsidP="00461AA0">
            <w:pPr>
              <w:ind w:right="-29"/>
              <w:jc w:val="center"/>
              <w:rPr>
                <w:noProof/>
                <w:sz w:val="18"/>
                <w:szCs w:val="18"/>
              </w:rPr>
            </w:pPr>
            <w:r w:rsidRPr="00252A6F">
              <w:rPr>
                <w:noProof/>
                <w:sz w:val="18"/>
              </w:rPr>
              <w:t>1</w:t>
            </w:r>
          </w:p>
        </w:tc>
        <w:tc>
          <w:tcPr>
            <w:tcW w:w="850" w:type="dxa"/>
          </w:tcPr>
          <w:p w14:paraId="4845D783" w14:textId="77777777" w:rsidR="00C4624A" w:rsidRPr="00252A6F" w:rsidRDefault="00C4624A" w:rsidP="00461AA0">
            <w:pPr>
              <w:ind w:right="-29"/>
              <w:jc w:val="center"/>
              <w:rPr>
                <w:noProof/>
                <w:sz w:val="18"/>
                <w:szCs w:val="18"/>
              </w:rPr>
            </w:pPr>
            <w:r w:rsidRPr="00252A6F">
              <w:rPr>
                <w:noProof/>
                <w:sz w:val="18"/>
              </w:rPr>
              <w:t>0,15</w:t>
            </w:r>
          </w:p>
        </w:tc>
        <w:tc>
          <w:tcPr>
            <w:tcW w:w="709" w:type="dxa"/>
          </w:tcPr>
          <w:p w14:paraId="3A698F63" w14:textId="77777777" w:rsidR="00C4624A" w:rsidRPr="00252A6F" w:rsidRDefault="00C4624A" w:rsidP="00461AA0">
            <w:pPr>
              <w:ind w:right="-29"/>
              <w:jc w:val="center"/>
              <w:rPr>
                <w:noProof/>
                <w:sz w:val="18"/>
                <w:szCs w:val="18"/>
              </w:rPr>
            </w:pPr>
          </w:p>
        </w:tc>
        <w:tc>
          <w:tcPr>
            <w:tcW w:w="709" w:type="dxa"/>
          </w:tcPr>
          <w:p w14:paraId="7EAE97C9" w14:textId="77777777" w:rsidR="00C4624A" w:rsidRPr="00252A6F" w:rsidRDefault="00C4624A" w:rsidP="00461AA0">
            <w:pPr>
              <w:ind w:right="-29"/>
              <w:jc w:val="center"/>
              <w:rPr>
                <w:noProof/>
                <w:sz w:val="18"/>
                <w:szCs w:val="18"/>
              </w:rPr>
            </w:pPr>
          </w:p>
        </w:tc>
        <w:tc>
          <w:tcPr>
            <w:tcW w:w="567" w:type="dxa"/>
          </w:tcPr>
          <w:p w14:paraId="0B01FD86" w14:textId="77777777" w:rsidR="00C4624A" w:rsidRPr="00252A6F" w:rsidRDefault="00C4624A" w:rsidP="00461AA0">
            <w:pPr>
              <w:ind w:right="-29"/>
              <w:jc w:val="center"/>
              <w:rPr>
                <w:noProof/>
                <w:sz w:val="18"/>
                <w:szCs w:val="18"/>
              </w:rPr>
            </w:pPr>
          </w:p>
        </w:tc>
        <w:tc>
          <w:tcPr>
            <w:tcW w:w="708" w:type="dxa"/>
          </w:tcPr>
          <w:p w14:paraId="6667A8C3" w14:textId="77777777" w:rsidR="00C4624A" w:rsidRPr="00252A6F" w:rsidRDefault="00C4624A" w:rsidP="00461AA0">
            <w:pPr>
              <w:ind w:right="-29"/>
              <w:jc w:val="center"/>
              <w:rPr>
                <w:noProof/>
                <w:sz w:val="18"/>
                <w:szCs w:val="18"/>
              </w:rPr>
            </w:pPr>
          </w:p>
        </w:tc>
        <w:tc>
          <w:tcPr>
            <w:tcW w:w="426" w:type="dxa"/>
            <w:gridSpan w:val="2"/>
          </w:tcPr>
          <w:p w14:paraId="31C22BB0" w14:textId="77777777" w:rsidR="00C4624A" w:rsidRPr="00252A6F" w:rsidRDefault="00C4624A" w:rsidP="00461AA0">
            <w:pPr>
              <w:ind w:right="-29"/>
              <w:jc w:val="center"/>
              <w:rPr>
                <w:noProof/>
                <w:sz w:val="18"/>
                <w:szCs w:val="18"/>
              </w:rPr>
            </w:pPr>
          </w:p>
        </w:tc>
        <w:tc>
          <w:tcPr>
            <w:tcW w:w="708" w:type="dxa"/>
          </w:tcPr>
          <w:p w14:paraId="0112D988" w14:textId="77777777" w:rsidR="00C4624A" w:rsidRPr="00252A6F" w:rsidRDefault="00C4624A" w:rsidP="00461AA0">
            <w:pPr>
              <w:ind w:right="-29"/>
              <w:jc w:val="center"/>
              <w:rPr>
                <w:noProof/>
                <w:sz w:val="18"/>
                <w:szCs w:val="18"/>
              </w:rPr>
            </w:pPr>
          </w:p>
        </w:tc>
        <w:tc>
          <w:tcPr>
            <w:tcW w:w="999" w:type="dxa"/>
            <w:gridSpan w:val="2"/>
          </w:tcPr>
          <w:p w14:paraId="4B2FDAAC" w14:textId="77777777" w:rsidR="00C4624A" w:rsidRPr="00252A6F" w:rsidRDefault="00C4624A" w:rsidP="00461AA0">
            <w:pPr>
              <w:ind w:right="-29"/>
              <w:jc w:val="center"/>
              <w:rPr>
                <w:noProof/>
                <w:sz w:val="18"/>
                <w:szCs w:val="18"/>
              </w:rPr>
            </w:pPr>
            <w:r w:rsidRPr="00252A6F">
              <w:rPr>
                <w:noProof/>
                <w:sz w:val="18"/>
              </w:rPr>
              <w:t>1</w:t>
            </w:r>
          </w:p>
        </w:tc>
        <w:tc>
          <w:tcPr>
            <w:tcW w:w="900" w:type="dxa"/>
          </w:tcPr>
          <w:p w14:paraId="05E4CF08" w14:textId="77777777" w:rsidR="00C4624A" w:rsidRPr="00252A6F" w:rsidRDefault="00C4624A" w:rsidP="00461AA0">
            <w:pPr>
              <w:ind w:right="-29"/>
              <w:jc w:val="center"/>
              <w:rPr>
                <w:noProof/>
                <w:sz w:val="18"/>
                <w:szCs w:val="18"/>
              </w:rPr>
            </w:pPr>
            <w:r w:rsidRPr="00252A6F">
              <w:rPr>
                <w:noProof/>
                <w:sz w:val="18"/>
              </w:rPr>
              <w:t>0,15</w:t>
            </w:r>
          </w:p>
        </w:tc>
      </w:tr>
      <w:tr w:rsidR="00252A6F" w:rsidRPr="00252A6F" w14:paraId="26140CE9" w14:textId="77777777" w:rsidTr="00252A6F">
        <w:trPr>
          <w:jc w:val="center"/>
        </w:trPr>
        <w:tc>
          <w:tcPr>
            <w:tcW w:w="2637" w:type="dxa"/>
            <w:gridSpan w:val="2"/>
            <w:tcBorders>
              <w:top w:val="single" w:sz="12" w:space="0" w:color="auto"/>
              <w:left w:val="single" w:sz="12" w:space="0" w:color="auto"/>
              <w:bottom w:val="single" w:sz="12" w:space="0" w:color="auto"/>
            </w:tcBorders>
            <w:vAlign w:val="center"/>
          </w:tcPr>
          <w:p w14:paraId="7E4F9010" w14:textId="77777777" w:rsidR="00C4624A" w:rsidRPr="00252A6F" w:rsidRDefault="00C4624A" w:rsidP="00461AA0">
            <w:pPr>
              <w:ind w:right="-29"/>
              <w:jc w:val="center"/>
              <w:rPr>
                <w:noProof/>
                <w:sz w:val="18"/>
                <w:szCs w:val="18"/>
              </w:rPr>
            </w:pPr>
            <w:r w:rsidRPr="00252A6F">
              <w:rPr>
                <w:b/>
                <w:noProof/>
                <w:sz w:val="18"/>
              </w:rPr>
              <w:t>SKUPAJ</w:t>
            </w:r>
          </w:p>
        </w:tc>
        <w:tc>
          <w:tcPr>
            <w:tcW w:w="567" w:type="dxa"/>
            <w:tcBorders>
              <w:top w:val="single" w:sz="12" w:space="0" w:color="auto"/>
              <w:bottom w:val="single" w:sz="12" w:space="0" w:color="auto"/>
            </w:tcBorders>
          </w:tcPr>
          <w:p w14:paraId="4D56AF92" w14:textId="77777777" w:rsidR="00C4624A" w:rsidRPr="00252A6F" w:rsidRDefault="00C4624A" w:rsidP="00461AA0">
            <w:pPr>
              <w:spacing w:before="180" w:after="180"/>
              <w:ind w:right="-29"/>
              <w:jc w:val="center"/>
              <w:rPr>
                <w:noProof/>
                <w:sz w:val="18"/>
                <w:szCs w:val="18"/>
              </w:rPr>
            </w:pPr>
          </w:p>
        </w:tc>
        <w:tc>
          <w:tcPr>
            <w:tcW w:w="709" w:type="dxa"/>
            <w:tcBorders>
              <w:top w:val="single" w:sz="12" w:space="0" w:color="auto"/>
              <w:bottom w:val="single" w:sz="12" w:space="0" w:color="auto"/>
            </w:tcBorders>
          </w:tcPr>
          <w:p w14:paraId="119A5453" w14:textId="77777777" w:rsidR="00C4624A" w:rsidRPr="00252A6F" w:rsidRDefault="00C4624A" w:rsidP="00461AA0">
            <w:pPr>
              <w:spacing w:before="180" w:after="180"/>
              <w:ind w:right="-29"/>
              <w:jc w:val="center"/>
              <w:rPr>
                <w:b/>
                <w:bCs/>
                <w:noProof/>
                <w:sz w:val="18"/>
                <w:szCs w:val="18"/>
              </w:rPr>
            </w:pPr>
            <w:r w:rsidRPr="00252A6F">
              <w:rPr>
                <w:b/>
                <w:noProof/>
                <w:sz w:val="18"/>
              </w:rPr>
              <w:t>27,3</w:t>
            </w:r>
          </w:p>
        </w:tc>
        <w:tc>
          <w:tcPr>
            <w:tcW w:w="567" w:type="dxa"/>
            <w:tcBorders>
              <w:top w:val="single" w:sz="12" w:space="0" w:color="auto"/>
              <w:bottom w:val="single" w:sz="12" w:space="0" w:color="auto"/>
            </w:tcBorders>
          </w:tcPr>
          <w:p w14:paraId="68A1B749" w14:textId="77777777" w:rsidR="00C4624A" w:rsidRPr="00252A6F" w:rsidRDefault="00C4624A" w:rsidP="00461AA0">
            <w:pPr>
              <w:spacing w:before="180" w:after="180"/>
              <w:ind w:right="-29"/>
              <w:jc w:val="center"/>
              <w:rPr>
                <w:b/>
                <w:bCs/>
                <w:noProof/>
                <w:sz w:val="18"/>
                <w:szCs w:val="18"/>
              </w:rPr>
            </w:pPr>
            <w:r w:rsidRPr="00252A6F">
              <w:rPr>
                <w:b/>
                <w:noProof/>
                <w:sz w:val="18"/>
              </w:rPr>
              <w:t>1</w:t>
            </w:r>
          </w:p>
        </w:tc>
        <w:tc>
          <w:tcPr>
            <w:tcW w:w="709" w:type="dxa"/>
            <w:tcBorders>
              <w:top w:val="single" w:sz="12" w:space="0" w:color="auto"/>
              <w:bottom w:val="single" w:sz="12" w:space="0" w:color="auto"/>
            </w:tcBorders>
          </w:tcPr>
          <w:p w14:paraId="1F016222" w14:textId="77777777" w:rsidR="00C4624A" w:rsidRPr="00252A6F" w:rsidRDefault="00C4624A" w:rsidP="00461AA0">
            <w:pPr>
              <w:spacing w:before="180" w:after="180"/>
              <w:ind w:right="-29"/>
              <w:jc w:val="center"/>
              <w:rPr>
                <w:b/>
                <w:bCs/>
                <w:noProof/>
                <w:sz w:val="18"/>
                <w:szCs w:val="18"/>
              </w:rPr>
            </w:pPr>
            <w:r w:rsidRPr="00252A6F">
              <w:rPr>
                <w:b/>
                <w:noProof/>
                <w:sz w:val="18"/>
              </w:rPr>
              <w:t>125,2</w:t>
            </w:r>
          </w:p>
        </w:tc>
        <w:tc>
          <w:tcPr>
            <w:tcW w:w="567" w:type="dxa"/>
            <w:gridSpan w:val="2"/>
            <w:tcBorders>
              <w:top w:val="single" w:sz="12" w:space="0" w:color="auto"/>
              <w:bottom w:val="single" w:sz="12" w:space="0" w:color="auto"/>
            </w:tcBorders>
          </w:tcPr>
          <w:p w14:paraId="131E7A70" w14:textId="77777777" w:rsidR="00C4624A" w:rsidRPr="00252A6F" w:rsidRDefault="00C4624A" w:rsidP="00461AA0">
            <w:pPr>
              <w:spacing w:before="180" w:after="180"/>
              <w:ind w:right="-29"/>
              <w:jc w:val="center"/>
              <w:rPr>
                <w:b/>
                <w:bCs/>
                <w:noProof/>
                <w:sz w:val="18"/>
                <w:szCs w:val="18"/>
              </w:rPr>
            </w:pPr>
          </w:p>
        </w:tc>
        <w:tc>
          <w:tcPr>
            <w:tcW w:w="709" w:type="dxa"/>
            <w:tcBorders>
              <w:top w:val="single" w:sz="12" w:space="0" w:color="auto"/>
              <w:bottom w:val="single" w:sz="12" w:space="0" w:color="auto"/>
            </w:tcBorders>
          </w:tcPr>
          <w:p w14:paraId="134BC420" w14:textId="77777777" w:rsidR="00C4624A" w:rsidRPr="00252A6F" w:rsidRDefault="00C4624A" w:rsidP="00461AA0">
            <w:pPr>
              <w:spacing w:before="180" w:after="180"/>
              <w:ind w:right="-29"/>
              <w:jc w:val="center"/>
              <w:rPr>
                <w:b/>
                <w:bCs/>
                <w:noProof/>
                <w:sz w:val="18"/>
                <w:szCs w:val="18"/>
              </w:rPr>
            </w:pPr>
            <w:r w:rsidRPr="00252A6F">
              <w:rPr>
                <w:b/>
                <w:noProof/>
                <w:sz w:val="18"/>
              </w:rPr>
              <w:t>332,6</w:t>
            </w:r>
          </w:p>
        </w:tc>
        <w:tc>
          <w:tcPr>
            <w:tcW w:w="567" w:type="dxa"/>
            <w:gridSpan w:val="2"/>
            <w:tcBorders>
              <w:top w:val="single" w:sz="12" w:space="0" w:color="auto"/>
              <w:bottom w:val="single" w:sz="12" w:space="0" w:color="auto"/>
            </w:tcBorders>
          </w:tcPr>
          <w:p w14:paraId="5CAFC442" w14:textId="77777777" w:rsidR="00C4624A" w:rsidRPr="00252A6F" w:rsidRDefault="00C4624A" w:rsidP="00461AA0">
            <w:pPr>
              <w:spacing w:before="180" w:after="180"/>
              <w:ind w:right="-29"/>
              <w:jc w:val="center"/>
              <w:rPr>
                <w:b/>
                <w:bCs/>
                <w:noProof/>
                <w:sz w:val="18"/>
                <w:szCs w:val="18"/>
              </w:rPr>
            </w:pPr>
            <w:r w:rsidRPr="00252A6F">
              <w:rPr>
                <w:noProof/>
                <w:sz w:val="18"/>
              </w:rPr>
              <w:t>1</w:t>
            </w:r>
          </w:p>
        </w:tc>
        <w:tc>
          <w:tcPr>
            <w:tcW w:w="850" w:type="dxa"/>
            <w:tcBorders>
              <w:top w:val="single" w:sz="12" w:space="0" w:color="auto"/>
              <w:bottom w:val="single" w:sz="12" w:space="0" w:color="auto"/>
            </w:tcBorders>
          </w:tcPr>
          <w:p w14:paraId="5E090080" w14:textId="77777777" w:rsidR="00C4624A" w:rsidRPr="00252A6F" w:rsidRDefault="00C4624A" w:rsidP="00461AA0">
            <w:pPr>
              <w:spacing w:before="180" w:after="180"/>
              <w:ind w:right="-29"/>
              <w:jc w:val="center"/>
              <w:rPr>
                <w:b/>
                <w:bCs/>
                <w:noProof/>
                <w:sz w:val="18"/>
                <w:szCs w:val="18"/>
              </w:rPr>
            </w:pPr>
            <w:r w:rsidRPr="00252A6F">
              <w:rPr>
                <w:b/>
                <w:noProof/>
                <w:sz w:val="18"/>
              </w:rPr>
              <w:t>202,65</w:t>
            </w:r>
          </w:p>
        </w:tc>
        <w:tc>
          <w:tcPr>
            <w:tcW w:w="709" w:type="dxa"/>
            <w:tcBorders>
              <w:top w:val="single" w:sz="12" w:space="0" w:color="auto"/>
              <w:bottom w:val="single" w:sz="12" w:space="0" w:color="auto"/>
            </w:tcBorders>
          </w:tcPr>
          <w:p w14:paraId="1A651741" w14:textId="77777777" w:rsidR="00C4624A" w:rsidRPr="00252A6F" w:rsidRDefault="00C4624A" w:rsidP="00461AA0">
            <w:pPr>
              <w:spacing w:before="180" w:after="180"/>
              <w:ind w:right="-29"/>
              <w:jc w:val="center"/>
              <w:rPr>
                <w:b/>
                <w:bCs/>
                <w:noProof/>
                <w:sz w:val="18"/>
                <w:szCs w:val="18"/>
              </w:rPr>
            </w:pPr>
          </w:p>
        </w:tc>
        <w:tc>
          <w:tcPr>
            <w:tcW w:w="709" w:type="dxa"/>
            <w:tcBorders>
              <w:top w:val="single" w:sz="12" w:space="0" w:color="auto"/>
              <w:bottom w:val="single" w:sz="12" w:space="0" w:color="auto"/>
            </w:tcBorders>
          </w:tcPr>
          <w:p w14:paraId="3339C98B" w14:textId="77777777" w:rsidR="00C4624A" w:rsidRPr="00252A6F" w:rsidRDefault="00C4624A" w:rsidP="00461AA0">
            <w:pPr>
              <w:spacing w:before="180" w:after="180"/>
              <w:ind w:right="-29"/>
              <w:jc w:val="center"/>
              <w:rPr>
                <w:b/>
                <w:bCs/>
                <w:noProof/>
                <w:sz w:val="18"/>
                <w:szCs w:val="18"/>
              </w:rPr>
            </w:pPr>
            <w:r w:rsidRPr="00252A6F">
              <w:rPr>
                <w:b/>
                <w:noProof/>
                <w:sz w:val="18"/>
              </w:rPr>
              <w:t>683,46</w:t>
            </w:r>
          </w:p>
        </w:tc>
        <w:tc>
          <w:tcPr>
            <w:tcW w:w="567" w:type="dxa"/>
            <w:tcBorders>
              <w:top w:val="single" w:sz="12" w:space="0" w:color="auto"/>
              <w:bottom w:val="single" w:sz="12" w:space="0" w:color="auto"/>
            </w:tcBorders>
          </w:tcPr>
          <w:p w14:paraId="4AF5A46D" w14:textId="77777777" w:rsidR="00C4624A" w:rsidRPr="00252A6F" w:rsidRDefault="00C4624A" w:rsidP="00461AA0">
            <w:pPr>
              <w:spacing w:before="180" w:after="180"/>
              <w:ind w:right="-29"/>
              <w:jc w:val="center"/>
              <w:rPr>
                <w:b/>
                <w:bCs/>
                <w:noProof/>
                <w:sz w:val="18"/>
                <w:szCs w:val="18"/>
              </w:rPr>
            </w:pPr>
          </w:p>
        </w:tc>
        <w:tc>
          <w:tcPr>
            <w:tcW w:w="708" w:type="dxa"/>
            <w:tcBorders>
              <w:top w:val="single" w:sz="12" w:space="0" w:color="auto"/>
              <w:bottom w:val="single" w:sz="12" w:space="0" w:color="auto"/>
            </w:tcBorders>
          </w:tcPr>
          <w:p w14:paraId="4CB1B5A6" w14:textId="77777777" w:rsidR="00C4624A" w:rsidRPr="00252A6F" w:rsidRDefault="00C4624A" w:rsidP="00461AA0">
            <w:pPr>
              <w:spacing w:before="180" w:after="180"/>
              <w:ind w:right="-29"/>
              <w:jc w:val="center"/>
              <w:rPr>
                <w:b/>
                <w:bCs/>
                <w:noProof/>
                <w:sz w:val="18"/>
                <w:szCs w:val="18"/>
              </w:rPr>
            </w:pPr>
            <w:r w:rsidRPr="00252A6F">
              <w:rPr>
                <w:b/>
                <w:noProof/>
                <w:sz w:val="18"/>
              </w:rPr>
              <w:t>589,16</w:t>
            </w:r>
          </w:p>
        </w:tc>
        <w:tc>
          <w:tcPr>
            <w:tcW w:w="426" w:type="dxa"/>
            <w:gridSpan w:val="2"/>
            <w:tcBorders>
              <w:top w:val="single" w:sz="12" w:space="0" w:color="auto"/>
              <w:bottom w:val="single" w:sz="12" w:space="0" w:color="auto"/>
            </w:tcBorders>
          </w:tcPr>
          <w:p w14:paraId="58928927" w14:textId="77777777" w:rsidR="00C4624A" w:rsidRPr="00252A6F" w:rsidRDefault="00C4624A" w:rsidP="00461AA0">
            <w:pPr>
              <w:spacing w:before="180" w:after="180"/>
              <w:ind w:right="-29"/>
              <w:jc w:val="center"/>
              <w:rPr>
                <w:b/>
                <w:bCs/>
                <w:noProof/>
                <w:sz w:val="18"/>
                <w:szCs w:val="18"/>
              </w:rPr>
            </w:pPr>
          </w:p>
        </w:tc>
        <w:tc>
          <w:tcPr>
            <w:tcW w:w="708" w:type="dxa"/>
            <w:tcBorders>
              <w:top w:val="single" w:sz="12" w:space="0" w:color="auto"/>
              <w:bottom w:val="single" w:sz="12" w:space="0" w:color="auto"/>
            </w:tcBorders>
          </w:tcPr>
          <w:p w14:paraId="08A493EF" w14:textId="77777777" w:rsidR="00C4624A" w:rsidRPr="00252A6F" w:rsidRDefault="00C4624A" w:rsidP="00461AA0">
            <w:pPr>
              <w:spacing w:before="180" w:after="180"/>
              <w:ind w:right="-29"/>
              <w:jc w:val="center"/>
              <w:rPr>
                <w:b/>
                <w:bCs/>
                <w:noProof/>
                <w:sz w:val="18"/>
                <w:szCs w:val="18"/>
              </w:rPr>
            </w:pPr>
            <w:r w:rsidRPr="00252A6F">
              <w:rPr>
                <w:b/>
                <w:noProof/>
                <w:sz w:val="18"/>
              </w:rPr>
              <w:t>540,06</w:t>
            </w:r>
          </w:p>
        </w:tc>
        <w:tc>
          <w:tcPr>
            <w:tcW w:w="999" w:type="dxa"/>
            <w:gridSpan w:val="2"/>
            <w:tcBorders>
              <w:top w:val="single" w:sz="12" w:space="0" w:color="auto"/>
              <w:bottom w:val="single" w:sz="12" w:space="0" w:color="auto"/>
            </w:tcBorders>
          </w:tcPr>
          <w:p w14:paraId="2CCBE77B" w14:textId="77777777" w:rsidR="00C4624A" w:rsidRPr="00252A6F" w:rsidRDefault="00C4624A" w:rsidP="00461AA0">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14:paraId="257C213E" w14:textId="77777777" w:rsidR="00C4624A" w:rsidRPr="00252A6F" w:rsidRDefault="00C4624A" w:rsidP="00461AA0">
            <w:pPr>
              <w:spacing w:before="180" w:after="180"/>
              <w:ind w:right="-29"/>
              <w:jc w:val="center"/>
              <w:rPr>
                <w:b/>
                <w:bCs/>
                <w:noProof/>
                <w:sz w:val="18"/>
                <w:szCs w:val="18"/>
              </w:rPr>
            </w:pPr>
            <w:r w:rsidRPr="00252A6F">
              <w:rPr>
                <w:b/>
                <w:noProof/>
                <w:sz w:val="18"/>
              </w:rPr>
              <w:t>2 500,5</w:t>
            </w:r>
          </w:p>
        </w:tc>
      </w:tr>
    </w:tbl>
    <w:p w14:paraId="6A4001C3" w14:textId="77777777" w:rsidR="00C4624A" w:rsidRPr="00252A6F" w:rsidRDefault="00C4624A" w:rsidP="00C4624A">
      <w:pPr>
        <w:rPr>
          <w:noProof/>
        </w:rPr>
        <w:sectPr w:rsidR="00C4624A" w:rsidRPr="00252A6F" w:rsidSect="00DF7915">
          <w:headerReference w:type="default" r:id="rId15"/>
          <w:footerReference w:type="default" r:id="rId16"/>
          <w:headerReference w:type="first" r:id="rId17"/>
          <w:footerReference w:type="first" r:id="rId18"/>
          <w:pgSz w:w="16840" w:h="11907" w:orient="landscape" w:code="9"/>
          <w:pgMar w:top="1134" w:right="1418" w:bottom="567" w:left="1418" w:header="709" w:footer="709" w:gutter="0"/>
          <w:cols w:space="708"/>
          <w:docGrid w:linePitch="360"/>
        </w:sectPr>
      </w:pPr>
    </w:p>
    <w:p w14:paraId="34907BBE" w14:textId="2D4D2D86" w:rsidR="00C4624A" w:rsidRPr="00252A6F" w:rsidRDefault="00664ED4" w:rsidP="00664ED4">
      <w:pPr>
        <w:pStyle w:val="ManualHeading3"/>
        <w:rPr>
          <w:noProof/>
          <w:szCs w:val="24"/>
        </w:rPr>
      </w:pPr>
      <w:bookmarkStart w:id="63" w:name="_Toc514938055"/>
      <w:bookmarkStart w:id="64" w:name="_Toc520485054"/>
      <w:r w:rsidRPr="00664ED4">
        <w:t>3.2.3.</w:t>
      </w:r>
      <w:r w:rsidRPr="00664ED4">
        <w:tab/>
      </w:r>
      <w:r w:rsidR="00C4624A" w:rsidRPr="00252A6F">
        <w:rPr>
          <w:noProof/>
        </w:rPr>
        <w:t>Povzetek ocenjenih posledic za upravne odobritve</w:t>
      </w:r>
      <w:bookmarkEnd w:id="63"/>
      <w:bookmarkEnd w:id="64"/>
      <w:r w:rsidR="00C4624A" w:rsidRPr="00252A6F">
        <w:rPr>
          <w:noProof/>
        </w:rPr>
        <w:t xml:space="preserve"> </w:t>
      </w:r>
    </w:p>
    <w:p w14:paraId="25E80310" w14:textId="77777777" w:rsidR="00C4624A" w:rsidRPr="00252A6F" w:rsidRDefault="00C4624A" w:rsidP="00C4624A">
      <w:pPr>
        <w:pStyle w:val="ListDash1"/>
        <w:rPr>
          <w:noProof/>
        </w:rPr>
      </w:pPr>
      <w:r w:rsidRPr="00252A6F">
        <w:rPr>
          <w:noProof/>
        </w:rPr>
        <w:t>X Za predlog/pobudo so potrebne odobritve za upravne zadeve, kot je pojasnjeno v nadaljevanju:</w:t>
      </w:r>
    </w:p>
    <w:p w14:paraId="50CA4AE3" w14:textId="77777777" w:rsidR="00C4624A" w:rsidRPr="00252A6F" w:rsidRDefault="00C4624A" w:rsidP="00C4624A">
      <w:pPr>
        <w:jc w:val="right"/>
        <w:rPr>
          <w:noProof/>
          <w:sz w:val="20"/>
        </w:rPr>
      </w:pPr>
      <w:r w:rsidRPr="00252A6F">
        <w:rPr>
          <w:noProof/>
          <w:sz w:val="20"/>
        </w:rPr>
        <w:t>v mio. EUR (na tri decimalna mesta natančno)</w:t>
      </w:r>
    </w:p>
    <w:tbl>
      <w:tblPr>
        <w:tblW w:w="950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3"/>
        <w:gridCol w:w="992"/>
        <w:gridCol w:w="1134"/>
      </w:tblGrid>
      <w:tr w:rsidR="00C4624A" w:rsidRPr="00252A6F" w14:paraId="7464B419" w14:textId="77777777" w:rsidTr="00461AA0">
        <w:trPr>
          <w:trHeight w:val="585"/>
        </w:trPr>
        <w:tc>
          <w:tcPr>
            <w:tcW w:w="1980" w:type="dxa"/>
          </w:tcPr>
          <w:p w14:paraId="7BA7CAA4" w14:textId="77777777" w:rsidR="00C4624A" w:rsidRPr="00252A6F" w:rsidRDefault="00C4624A" w:rsidP="00461AA0">
            <w:pPr>
              <w:spacing w:before="60" w:after="60" w:line="200" w:lineRule="exact"/>
              <w:rPr>
                <w:noProof/>
                <w:sz w:val="16"/>
                <w:szCs w:val="16"/>
              </w:rPr>
            </w:pPr>
          </w:p>
        </w:tc>
        <w:tc>
          <w:tcPr>
            <w:tcW w:w="1080" w:type="dxa"/>
            <w:vAlign w:val="center"/>
          </w:tcPr>
          <w:p w14:paraId="6F15F029" w14:textId="77777777" w:rsidR="00C4624A" w:rsidRPr="00252A6F" w:rsidRDefault="00C4624A" w:rsidP="00461AA0">
            <w:pPr>
              <w:spacing w:before="60" w:after="60" w:line="200" w:lineRule="exact"/>
              <w:jc w:val="center"/>
              <w:rPr>
                <w:noProof/>
                <w:sz w:val="16"/>
                <w:szCs w:val="16"/>
              </w:rPr>
            </w:pPr>
            <w:r w:rsidRPr="00252A6F">
              <w:rPr>
                <w:noProof/>
                <w:sz w:val="16"/>
              </w:rPr>
              <w:t>Leto 2022</w:t>
            </w:r>
          </w:p>
        </w:tc>
        <w:tc>
          <w:tcPr>
            <w:tcW w:w="1080" w:type="dxa"/>
            <w:vAlign w:val="center"/>
          </w:tcPr>
          <w:p w14:paraId="37AB3507" w14:textId="77777777" w:rsidR="00C4624A" w:rsidRPr="00252A6F" w:rsidRDefault="00C4624A" w:rsidP="00461AA0">
            <w:pPr>
              <w:spacing w:before="60" w:after="60" w:line="200" w:lineRule="exact"/>
              <w:jc w:val="center"/>
              <w:rPr>
                <w:noProof/>
                <w:sz w:val="16"/>
                <w:szCs w:val="16"/>
              </w:rPr>
            </w:pPr>
            <w:r w:rsidRPr="00252A6F">
              <w:rPr>
                <w:noProof/>
                <w:sz w:val="16"/>
              </w:rPr>
              <w:t>Leto 2023</w:t>
            </w:r>
          </w:p>
        </w:tc>
        <w:tc>
          <w:tcPr>
            <w:tcW w:w="1080" w:type="dxa"/>
            <w:vAlign w:val="center"/>
          </w:tcPr>
          <w:p w14:paraId="3E1E292E" w14:textId="77777777" w:rsidR="00C4624A" w:rsidRPr="00252A6F" w:rsidRDefault="00C4624A" w:rsidP="00461AA0">
            <w:pPr>
              <w:spacing w:before="60" w:after="60" w:line="200" w:lineRule="exact"/>
              <w:jc w:val="center"/>
              <w:rPr>
                <w:noProof/>
                <w:sz w:val="16"/>
                <w:szCs w:val="16"/>
              </w:rPr>
            </w:pPr>
            <w:r w:rsidRPr="00252A6F">
              <w:rPr>
                <w:noProof/>
                <w:sz w:val="16"/>
              </w:rPr>
              <w:t>Leto 2024</w:t>
            </w:r>
          </w:p>
        </w:tc>
        <w:tc>
          <w:tcPr>
            <w:tcW w:w="1080" w:type="dxa"/>
            <w:vAlign w:val="center"/>
          </w:tcPr>
          <w:p w14:paraId="261EA92C" w14:textId="77777777" w:rsidR="00C4624A" w:rsidRPr="00252A6F" w:rsidRDefault="00C4624A" w:rsidP="00461AA0">
            <w:pPr>
              <w:spacing w:before="60" w:after="60" w:line="200" w:lineRule="exact"/>
              <w:jc w:val="center"/>
              <w:rPr>
                <w:noProof/>
                <w:sz w:val="16"/>
                <w:szCs w:val="16"/>
              </w:rPr>
            </w:pPr>
            <w:r w:rsidRPr="00252A6F">
              <w:rPr>
                <w:noProof/>
                <w:sz w:val="16"/>
              </w:rPr>
              <w:t>Leto 2025</w:t>
            </w:r>
          </w:p>
        </w:tc>
        <w:tc>
          <w:tcPr>
            <w:tcW w:w="1083" w:type="dxa"/>
            <w:vAlign w:val="center"/>
          </w:tcPr>
          <w:p w14:paraId="014CC033" w14:textId="77777777" w:rsidR="00C4624A" w:rsidRPr="00252A6F" w:rsidRDefault="00C4624A" w:rsidP="00461AA0">
            <w:pPr>
              <w:spacing w:line="200" w:lineRule="exact"/>
              <w:jc w:val="center"/>
              <w:rPr>
                <w:noProof/>
                <w:sz w:val="16"/>
              </w:rPr>
            </w:pPr>
            <w:r w:rsidRPr="00252A6F">
              <w:rPr>
                <w:noProof/>
                <w:sz w:val="16"/>
              </w:rPr>
              <w:t>Leto 2026</w:t>
            </w:r>
          </w:p>
        </w:tc>
        <w:tc>
          <w:tcPr>
            <w:tcW w:w="992" w:type="dxa"/>
            <w:vAlign w:val="center"/>
          </w:tcPr>
          <w:p w14:paraId="78761561" w14:textId="77777777" w:rsidR="00C4624A" w:rsidRPr="00252A6F" w:rsidRDefault="00C4624A" w:rsidP="00461AA0">
            <w:pPr>
              <w:spacing w:line="200" w:lineRule="exact"/>
              <w:jc w:val="center"/>
              <w:rPr>
                <w:noProof/>
                <w:sz w:val="16"/>
                <w:szCs w:val="16"/>
              </w:rPr>
            </w:pPr>
            <w:r w:rsidRPr="00252A6F">
              <w:rPr>
                <w:noProof/>
                <w:sz w:val="16"/>
              </w:rPr>
              <w:t>Leto 2027</w:t>
            </w:r>
          </w:p>
        </w:tc>
        <w:tc>
          <w:tcPr>
            <w:tcW w:w="1134" w:type="dxa"/>
            <w:vAlign w:val="center"/>
          </w:tcPr>
          <w:p w14:paraId="651F1490" w14:textId="77777777" w:rsidR="00C4624A" w:rsidRPr="00252A6F" w:rsidRDefault="00C4624A" w:rsidP="00461AA0">
            <w:pPr>
              <w:spacing w:before="60" w:after="60" w:line="200" w:lineRule="exact"/>
              <w:jc w:val="center"/>
              <w:rPr>
                <w:b/>
                <w:noProof/>
                <w:sz w:val="16"/>
                <w:szCs w:val="16"/>
              </w:rPr>
            </w:pPr>
            <w:r w:rsidRPr="00252A6F">
              <w:rPr>
                <w:b/>
                <w:noProof/>
                <w:sz w:val="16"/>
              </w:rPr>
              <w:t>SKUPAJ</w:t>
            </w:r>
          </w:p>
        </w:tc>
      </w:tr>
    </w:tbl>
    <w:p w14:paraId="565E107A" w14:textId="77777777" w:rsidR="00C4624A" w:rsidRPr="00252A6F" w:rsidRDefault="00C4624A" w:rsidP="00C4624A">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C4624A" w:rsidRPr="00252A6F" w14:paraId="5C238E1F" w14:textId="77777777" w:rsidTr="00461AA0">
        <w:trPr>
          <w:trHeight w:val="585"/>
        </w:trPr>
        <w:tc>
          <w:tcPr>
            <w:tcW w:w="1980" w:type="dxa"/>
            <w:shd w:val="clear" w:color="auto" w:fill="CCCCCC"/>
            <w:vAlign w:val="center"/>
          </w:tcPr>
          <w:p w14:paraId="71AAF9A6" w14:textId="77777777" w:rsidR="00C4624A" w:rsidRPr="00252A6F" w:rsidRDefault="00C4624A" w:rsidP="00461AA0">
            <w:pPr>
              <w:spacing w:before="60" w:after="60" w:line="200" w:lineRule="exact"/>
              <w:jc w:val="center"/>
              <w:rPr>
                <w:b/>
                <w:bCs/>
                <w:noProof/>
                <w:sz w:val="16"/>
                <w:szCs w:val="16"/>
              </w:rPr>
            </w:pPr>
            <w:r w:rsidRPr="00252A6F">
              <w:rPr>
                <w:b/>
                <w:noProof/>
                <w:sz w:val="16"/>
              </w:rPr>
              <w:t>RAZDELEK 7</w:t>
            </w:r>
          </w:p>
          <w:p w14:paraId="473853A2" w14:textId="77777777" w:rsidR="00C4624A" w:rsidRPr="00252A6F" w:rsidRDefault="00C4624A" w:rsidP="00461AA0">
            <w:pPr>
              <w:spacing w:before="60" w:after="60" w:line="200" w:lineRule="exact"/>
              <w:jc w:val="center"/>
              <w:rPr>
                <w:b/>
                <w:bCs/>
                <w:noProof/>
                <w:sz w:val="16"/>
                <w:szCs w:val="16"/>
              </w:rPr>
            </w:pPr>
            <w:r w:rsidRPr="00252A6F">
              <w:rPr>
                <w:b/>
                <w:noProof/>
                <w:sz w:val="16"/>
              </w:rPr>
              <w:t>večletnega finančnega okvira</w:t>
            </w:r>
          </w:p>
        </w:tc>
        <w:tc>
          <w:tcPr>
            <w:tcW w:w="1080" w:type="dxa"/>
            <w:vAlign w:val="center"/>
          </w:tcPr>
          <w:p w14:paraId="56ED5148"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6954126B"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595375DA"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71DD0402"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46EFBC6F"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761CC3F7"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4896CC2C" w14:textId="77777777" w:rsidR="00C4624A" w:rsidRPr="00252A6F" w:rsidRDefault="00C4624A" w:rsidP="00461AA0">
            <w:pPr>
              <w:spacing w:before="60" w:after="60" w:line="200" w:lineRule="exact"/>
              <w:jc w:val="right"/>
              <w:rPr>
                <w:b/>
                <w:bCs/>
                <w:noProof/>
                <w:sz w:val="16"/>
                <w:szCs w:val="16"/>
              </w:rPr>
            </w:pPr>
          </w:p>
        </w:tc>
      </w:tr>
      <w:tr w:rsidR="00C4624A" w:rsidRPr="00252A6F" w14:paraId="48700E9B" w14:textId="77777777" w:rsidTr="00461AA0">
        <w:trPr>
          <w:trHeight w:val="585"/>
        </w:trPr>
        <w:tc>
          <w:tcPr>
            <w:tcW w:w="1980" w:type="dxa"/>
            <w:vAlign w:val="center"/>
          </w:tcPr>
          <w:p w14:paraId="5B1028CE" w14:textId="77777777" w:rsidR="00C4624A" w:rsidRPr="00252A6F" w:rsidRDefault="00C4624A" w:rsidP="00461AA0">
            <w:pPr>
              <w:spacing w:before="60" w:after="60" w:line="200" w:lineRule="exact"/>
              <w:ind w:left="72"/>
              <w:jc w:val="left"/>
              <w:rPr>
                <w:noProof/>
                <w:sz w:val="16"/>
                <w:szCs w:val="16"/>
              </w:rPr>
            </w:pPr>
            <w:r w:rsidRPr="00252A6F">
              <w:rPr>
                <w:noProof/>
                <w:sz w:val="16"/>
              </w:rPr>
              <w:t xml:space="preserve">Človeški viri </w:t>
            </w:r>
          </w:p>
        </w:tc>
        <w:tc>
          <w:tcPr>
            <w:tcW w:w="1080" w:type="dxa"/>
            <w:vAlign w:val="center"/>
          </w:tcPr>
          <w:p w14:paraId="15FA561B" w14:textId="77777777" w:rsidR="00C4624A" w:rsidRPr="00252A6F" w:rsidRDefault="00C4624A" w:rsidP="00461AA0">
            <w:pPr>
              <w:spacing w:before="60" w:after="60" w:line="200" w:lineRule="exact"/>
              <w:jc w:val="right"/>
              <w:rPr>
                <w:noProof/>
                <w:sz w:val="16"/>
                <w:szCs w:val="16"/>
              </w:rPr>
            </w:pPr>
            <w:r w:rsidRPr="00252A6F">
              <w:rPr>
                <w:noProof/>
                <w:sz w:val="16"/>
              </w:rPr>
              <w:t>0,848</w:t>
            </w:r>
          </w:p>
        </w:tc>
        <w:tc>
          <w:tcPr>
            <w:tcW w:w="1080" w:type="dxa"/>
            <w:vAlign w:val="center"/>
          </w:tcPr>
          <w:p w14:paraId="3FC61988" w14:textId="77777777" w:rsidR="00C4624A" w:rsidRPr="00252A6F" w:rsidRDefault="00C4624A" w:rsidP="00461AA0">
            <w:pPr>
              <w:spacing w:before="60" w:after="60" w:line="200" w:lineRule="exact"/>
              <w:jc w:val="right"/>
              <w:rPr>
                <w:noProof/>
                <w:sz w:val="16"/>
                <w:szCs w:val="16"/>
              </w:rPr>
            </w:pPr>
            <w:r w:rsidRPr="00252A6F">
              <w:rPr>
                <w:noProof/>
                <w:sz w:val="16"/>
              </w:rPr>
              <w:t>0,424</w:t>
            </w:r>
          </w:p>
        </w:tc>
        <w:tc>
          <w:tcPr>
            <w:tcW w:w="1080" w:type="dxa"/>
            <w:vAlign w:val="center"/>
          </w:tcPr>
          <w:p w14:paraId="2DCE5A70" w14:textId="77777777" w:rsidR="00C4624A" w:rsidRPr="00252A6F" w:rsidRDefault="00C4624A" w:rsidP="00461AA0">
            <w:pPr>
              <w:spacing w:before="60" w:after="60" w:line="200" w:lineRule="exact"/>
              <w:jc w:val="right"/>
              <w:rPr>
                <w:noProof/>
                <w:sz w:val="16"/>
                <w:szCs w:val="16"/>
              </w:rPr>
            </w:pPr>
            <w:r w:rsidRPr="00252A6F">
              <w:rPr>
                <w:noProof/>
                <w:sz w:val="16"/>
              </w:rPr>
              <w:t>0,424</w:t>
            </w:r>
          </w:p>
        </w:tc>
        <w:tc>
          <w:tcPr>
            <w:tcW w:w="1080" w:type="dxa"/>
            <w:vAlign w:val="center"/>
          </w:tcPr>
          <w:p w14:paraId="607040F8" w14:textId="77777777" w:rsidR="00C4624A" w:rsidRPr="00252A6F" w:rsidRDefault="00C4624A" w:rsidP="00461AA0">
            <w:pPr>
              <w:spacing w:before="60" w:after="60" w:line="200" w:lineRule="exact"/>
              <w:jc w:val="right"/>
              <w:rPr>
                <w:noProof/>
                <w:sz w:val="16"/>
                <w:szCs w:val="16"/>
              </w:rPr>
            </w:pPr>
            <w:r w:rsidRPr="00252A6F">
              <w:rPr>
                <w:noProof/>
                <w:sz w:val="16"/>
              </w:rPr>
              <w:t>0,072</w:t>
            </w:r>
          </w:p>
        </w:tc>
        <w:tc>
          <w:tcPr>
            <w:tcW w:w="1080" w:type="dxa"/>
            <w:vAlign w:val="center"/>
          </w:tcPr>
          <w:p w14:paraId="4D795278" w14:textId="77777777" w:rsidR="00C4624A" w:rsidRPr="00252A6F" w:rsidRDefault="00C4624A" w:rsidP="00461AA0">
            <w:pPr>
              <w:spacing w:before="60" w:after="60" w:line="200" w:lineRule="exact"/>
              <w:jc w:val="right"/>
              <w:rPr>
                <w:noProof/>
                <w:sz w:val="16"/>
                <w:szCs w:val="16"/>
              </w:rPr>
            </w:pPr>
            <w:r w:rsidRPr="00252A6F">
              <w:rPr>
                <w:noProof/>
                <w:sz w:val="16"/>
              </w:rPr>
              <w:t>0,072</w:t>
            </w:r>
          </w:p>
        </w:tc>
        <w:tc>
          <w:tcPr>
            <w:tcW w:w="1080" w:type="dxa"/>
            <w:vAlign w:val="center"/>
          </w:tcPr>
          <w:p w14:paraId="425DA068" w14:textId="77777777" w:rsidR="00C4624A" w:rsidRPr="00252A6F" w:rsidRDefault="00C4624A" w:rsidP="00461AA0">
            <w:pPr>
              <w:spacing w:before="60" w:after="60" w:line="200" w:lineRule="exact"/>
              <w:jc w:val="right"/>
              <w:rPr>
                <w:noProof/>
                <w:sz w:val="16"/>
                <w:szCs w:val="16"/>
              </w:rPr>
            </w:pPr>
            <w:r w:rsidRPr="00252A6F">
              <w:rPr>
                <w:noProof/>
                <w:sz w:val="16"/>
              </w:rPr>
              <w:t>0,072</w:t>
            </w:r>
          </w:p>
        </w:tc>
        <w:tc>
          <w:tcPr>
            <w:tcW w:w="1080" w:type="dxa"/>
            <w:vAlign w:val="center"/>
          </w:tcPr>
          <w:p w14:paraId="1CDF9551" w14:textId="77777777" w:rsidR="00C4624A" w:rsidRPr="00252A6F" w:rsidRDefault="00C4624A" w:rsidP="00461AA0">
            <w:pPr>
              <w:spacing w:before="60" w:after="60" w:line="200" w:lineRule="exact"/>
              <w:jc w:val="right"/>
              <w:rPr>
                <w:b/>
                <w:bCs/>
                <w:noProof/>
                <w:sz w:val="16"/>
                <w:szCs w:val="16"/>
              </w:rPr>
            </w:pPr>
            <w:r w:rsidRPr="00252A6F">
              <w:rPr>
                <w:b/>
                <w:noProof/>
                <w:sz w:val="16"/>
              </w:rPr>
              <w:t>1,912</w:t>
            </w:r>
          </w:p>
        </w:tc>
      </w:tr>
      <w:tr w:rsidR="00C4624A" w:rsidRPr="00252A6F" w14:paraId="7C4F8C84" w14:textId="77777777" w:rsidTr="00461AA0">
        <w:trPr>
          <w:trHeight w:val="585"/>
        </w:trPr>
        <w:tc>
          <w:tcPr>
            <w:tcW w:w="1980" w:type="dxa"/>
            <w:vAlign w:val="center"/>
          </w:tcPr>
          <w:p w14:paraId="0DED2368" w14:textId="77777777" w:rsidR="00C4624A" w:rsidRPr="00252A6F" w:rsidRDefault="00C4624A" w:rsidP="00461AA0">
            <w:pPr>
              <w:spacing w:before="60" w:after="60" w:line="200" w:lineRule="exact"/>
              <w:ind w:left="72"/>
              <w:jc w:val="left"/>
              <w:rPr>
                <w:noProof/>
                <w:sz w:val="16"/>
                <w:szCs w:val="16"/>
              </w:rPr>
            </w:pPr>
            <w:r w:rsidRPr="00252A6F">
              <w:rPr>
                <w:noProof/>
                <w:sz w:val="16"/>
              </w:rPr>
              <w:t xml:space="preserve">Drugi upravni odhodki </w:t>
            </w:r>
          </w:p>
        </w:tc>
        <w:tc>
          <w:tcPr>
            <w:tcW w:w="1080" w:type="dxa"/>
            <w:vAlign w:val="center"/>
          </w:tcPr>
          <w:p w14:paraId="5D74111D" w14:textId="77777777" w:rsidR="00C4624A" w:rsidRPr="00252A6F" w:rsidRDefault="00C4624A" w:rsidP="00461AA0">
            <w:pPr>
              <w:spacing w:before="60" w:after="60" w:line="200" w:lineRule="exact"/>
              <w:jc w:val="right"/>
              <w:rPr>
                <w:noProof/>
                <w:sz w:val="16"/>
                <w:szCs w:val="16"/>
              </w:rPr>
            </w:pPr>
            <w:r w:rsidRPr="00252A6F">
              <w:rPr>
                <w:noProof/>
                <w:sz w:val="16"/>
              </w:rPr>
              <w:t>–</w:t>
            </w:r>
          </w:p>
        </w:tc>
        <w:tc>
          <w:tcPr>
            <w:tcW w:w="1080" w:type="dxa"/>
            <w:vAlign w:val="center"/>
          </w:tcPr>
          <w:p w14:paraId="48C1788D" w14:textId="77777777" w:rsidR="00C4624A" w:rsidRPr="00252A6F" w:rsidRDefault="00C4624A" w:rsidP="00461AA0">
            <w:pPr>
              <w:spacing w:before="60" w:after="60" w:line="200" w:lineRule="exact"/>
              <w:jc w:val="right"/>
              <w:rPr>
                <w:noProof/>
                <w:sz w:val="16"/>
                <w:szCs w:val="16"/>
              </w:rPr>
            </w:pPr>
            <w:r w:rsidRPr="00252A6F">
              <w:rPr>
                <w:noProof/>
                <w:sz w:val="16"/>
              </w:rPr>
              <w:t>0,06</w:t>
            </w:r>
          </w:p>
        </w:tc>
        <w:tc>
          <w:tcPr>
            <w:tcW w:w="1080" w:type="dxa"/>
            <w:vAlign w:val="center"/>
          </w:tcPr>
          <w:p w14:paraId="413A8C18" w14:textId="77777777" w:rsidR="00C4624A" w:rsidRPr="00252A6F" w:rsidRDefault="00C4624A" w:rsidP="00461AA0">
            <w:pPr>
              <w:spacing w:before="60" w:after="60" w:line="200" w:lineRule="exact"/>
              <w:jc w:val="right"/>
              <w:rPr>
                <w:noProof/>
                <w:sz w:val="16"/>
                <w:szCs w:val="16"/>
              </w:rPr>
            </w:pPr>
            <w:r w:rsidRPr="00252A6F">
              <w:rPr>
                <w:noProof/>
                <w:sz w:val="16"/>
              </w:rPr>
              <w:t>–</w:t>
            </w:r>
          </w:p>
        </w:tc>
        <w:tc>
          <w:tcPr>
            <w:tcW w:w="1080" w:type="dxa"/>
            <w:vAlign w:val="center"/>
          </w:tcPr>
          <w:p w14:paraId="7E1D4A82" w14:textId="77777777" w:rsidR="00C4624A" w:rsidRPr="00252A6F" w:rsidRDefault="00C4624A" w:rsidP="00461AA0">
            <w:pPr>
              <w:spacing w:before="60" w:after="60" w:line="200" w:lineRule="exact"/>
              <w:jc w:val="right"/>
              <w:rPr>
                <w:noProof/>
                <w:sz w:val="16"/>
                <w:szCs w:val="16"/>
              </w:rPr>
            </w:pPr>
            <w:r w:rsidRPr="00252A6F">
              <w:rPr>
                <w:noProof/>
                <w:sz w:val="16"/>
              </w:rPr>
              <w:t>–</w:t>
            </w:r>
          </w:p>
        </w:tc>
        <w:tc>
          <w:tcPr>
            <w:tcW w:w="1080" w:type="dxa"/>
            <w:vAlign w:val="center"/>
          </w:tcPr>
          <w:p w14:paraId="44C05C9B" w14:textId="77777777" w:rsidR="00C4624A" w:rsidRPr="00252A6F" w:rsidRDefault="00C4624A" w:rsidP="00461AA0">
            <w:pPr>
              <w:spacing w:before="60" w:after="60" w:line="200" w:lineRule="exact"/>
              <w:jc w:val="right"/>
              <w:rPr>
                <w:noProof/>
                <w:sz w:val="16"/>
                <w:szCs w:val="16"/>
              </w:rPr>
            </w:pPr>
            <w:r w:rsidRPr="00252A6F">
              <w:rPr>
                <w:noProof/>
                <w:sz w:val="16"/>
              </w:rPr>
              <w:t>–</w:t>
            </w:r>
          </w:p>
        </w:tc>
        <w:tc>
          <w:tcPr>
            <w:tcW w:w="1080" w:type="dxa"/>
            <w:vAlign w:val="center"/>
          </w:tcPr>
          <w:p w14:paraId="22AD780F" w14:textId="77777777" w:rsidR="00C4624A" w:rsidRPr="00252A6F" w:rsidRDefault="00C4624A" w:rsidP="00461AA0">
            <w:pPr>
              <w:spacing w:before="60" w:after="60" w:line="200" w:lineRule="exact"/>
              <w:jc w:val="right"/>
              <w:rPr>
                <w:noProof/>
                <w:sz w:val="16"/>
                <w:szCs w:val="16"/>
              </w:rPr>
            </w:pPr>
            <w:r w:rsidRPr="00252A6F">
              <w:rPr>
                <w:noProof/>
                <w:sz w:val="16"/>
              </w:rPr>
              <w:t>–</w:t>
            </w:r>
          </w:p>
        </w:tc>
        <w:tc>
          <w:tcPr>
            <w:tcW w:w="1080" w:type="dxa"/>
            <w:vAlign w:val="center"/>
          </w:tcPr>
          <w:p w14:paraId="73E39171" w14:textId="77777777" w:rsidR="00C4624A" w:rsidRPr="00252A6F" w:rsidRDefault="00C4624A" w:rsidP="00461AA0">
            <w:pPr>
              <w:spacing w:before="60" w:after="60" w:line="200" w:lineRule="exact"/>
              <w:jc w:val="right"/>
              <w:rPr>
                <w:b/>
                <w:bCs/>
                <w:noProof/>
                <w:sz w:val="16"/>
                <w:szCs w:val="16"/>
              </w:rPr>
            </w:pPr>
            <w:r w:rsidRPr="00252A6F">
              <w:rPr>
                <w:noProof/>
                <w:sz w:val="16"/>
              </w:rPr>
              <w:t>0,06</w:t>
            </w:r>
          </w:p>
        </w:tc>
      </w:tr>
      <w:tr w:rsidR="00C4624A" w:rsidRPr="00252A6F" w14:paraId="3C4DC37B" w14:textId="77777777" w:rsidTr="00461AA0">
        <w:trPr>
          <w:trHeight w:val="585"/>
        </w:trPr>
        <w:tc>
          <w:tcPr>
            <w:tcW w:w="1980" w:type="dxa"/>
            <w:shd w:val="clear" w:color="auto" w:fill="CCCCCC"/>
            <w:vAlign w:val="center"/>
          </w:tcPr>
          <w:p w14:paraId="12CE9686" w14:textId="77777777" w:rsidR="00C4624A" w:rsidRPr="00252A6F" w:rsidRDefault="00C4624A" w:rsidP="00461AA0">
            <w:pPr>
              <w:spacing w:before="60" w:after="60" w:line="200" w:lineRule="exact"/>
              <w:jc w:val="center"/>
              <w:rPr>
                <w:b/>
                <w:bCs/>
                <w:noProof/>
                <w:sz w:val="16"/>
                <w:szCs w:val="16"/>
              </w:rPr>
            </w:pPr>
            <w:r w:rsidRPr="00252A6F">
              <w:rPr>
                <w:b/>
                <w:noProof/>
                <w:sz w:val="16"/>
              </w:rPr>
              <w:t>Seštevek za</w:t>
            </w:r>
            <w:r w:rsidRPr="00252A6F">
              <w:rPr>
                <w:b/>
                <w:noProof/>
                <w:sz w:val="16"/>
              </w:rPr>
              <w:br/>
              <w:t>RAZDELEK 7</w:t>
            </w:r>
          </w:p>
          <w:p w14:paraId="1A713BD1" w14:textId="77777777" w:rsidR="00C4624A" w:rsidRPr="00252A6F" w:rsidRDefault="00C4624A" w:rsidP="00461AA0">
            <w:pPr>
              <w:spacing w:before="60" w:after="60" w:line="200" w:lineRule="exact"/>
              <w:jc w:val="center"/>
              <w:rPr>
                <w:b/>
                <w:bCs/>
                <w:noProof/>
                <w:sz w:val="16"/>
                <w:szCs w:val="16"/>
              </w:rPr>
            </w:pPr>
            <w:r w:rsidRPr="00252A6F">
              <w:rPr>
                <w:b/>
                <w:noProof/>
                <w:sz w:val="16"/>
              </w:rPr>
              <w:t xml:space="preserve">večletnega finančnega okvira </w:t>
            </w:r>
          </w:p>
        </w:tc>
        <w:tc>
          <w:tcPr>
            <w:tcW w:w="1080" w:type="dxa"/>
            <w:vAlign w:val="center"/>
          </w:tcPr>
          <w:p w14:paraId="0510900E" w14:textId="77777777" w:rsidR="00C4624A" w:rsidRPr="00252A6F" w:rsidRDefault="00C4624A" w:rsidP="00461AA0">
            <w:pPr>
              <w:spacing w:before="60" w:after="60" w:line="200" w:lineRule="exact"/>
              <w:jc w:val="right"/>
              <w:rPr>
                <w:noProof/>
                <w:sz w:val="16"/>
                <w:szCs w:val="16"/>
              </w:rPr>
            </w:pPr>
            <w:r w:rsidRPr="00252A6F">
              <w:rPr>
                <w:noProof/>
                <w:sz w:val="16"/>
              </w:rPr>
              <w:t>0,848</w:t>
            </w:r>
          </w:p>
        </w:tc>
        <w:tc>
          <w:tcPr>
            <w:tcW w:w="1080" w:type="dxa"/>
            <w:vAlign w:val="center"/>
          </w:tcPr>
          <w:p w14:paraId="6773155E" w14:textId="77777777" w:rsidR="00C4624A" w:rsidRPr="00252A6F" w:rsidRDefault="00C4624A" w:rsidP="00461AA0">
            <w:pPr>
              <w:spacing w:before="60" w:after="60" w:line="200" w:lineRule="exact"/>
              <w:jc w:val="right"/>
              <w:rPr>
                <w:noProof/>
                <w:sz w:val="16"/>
                <w:szCs w:val="16"/>
              </w:rPr>
            </w:pPr>
            <w:r w:rsidRPr="00252A6F">
              <w:rPr>
                <w:noProof/>
                <w:sz w:val="16"/>
              </w:rPr>
              <w:t>0,484</w:t>
            </w:r>
          </w:p>
        </w:tc>
        <w:tc>
          <w:tcPr>
            <w:tcW w:w="1080" w:type="dxa"/>
            <w:vAlign w:val="center"/>
          </w:tcPr>
          <w:p w14:paraId="45079E66" w14:textId="77777777" w:rsidR="00C4624A" w:rsidRPr="00252A6F" w:rsidRDefault="00C4624A" w:rsidP="00461AA0">
            <w:pPr>
              <w:spacing w:before="60" w:after="60" w:line="200" w:lineRule="exact"/>
              <w:jc w:val="right"/>
              <w:rPr>
                <w:noProof/>
                <w:sz w:val="16"/>
                <w:szCs w:val="16"/>
              </w:rPr>
            </w:pPr>
            <w:r w:rsidRPr="00252A6F">
              <w:rPr>
                <w:noProof/>
                <w:sz w:val="16"/>
              </w:rPr>
              <w:t>0,424</w:t>
            </w:r>
          </w:p>
        </w:tc>
        <w:tc>
          <w:tcPr>
            <w:tcW w:w="1080" w:type="dxa"/>
            <w:vAlign w:val="center"/>
          </w:tcPr>
          <w:p w14:paraId="5054946F" w14:textId="77777777" w:rsidR="00C4624A" w:rsidRPr="00252A6F" w:rsidRDefault="00C4624A" w:rsidP="00461AA0">
            <w:pPr>
              <w:spacing w:before="60" w:after="60" w:line="200" w:lineRule="exact"/>
              <w:jc w:val="right"/>
              <w:rPr>
                <w:noProof/>
                <w:sz w:val="16"/>
                <w:szCs w:val="16"/>
              </w:rPr>
            </w:pPr>
            <w:r w:rsidRPr="00252A6F">
              <w:rPr>
                <w:noProof/>
                <w:sz w:val="16"/>
              </w:rPr>
              <w:t>0,072</w:t>
            </w:r>
          </w:p>
        </w:tc>
        <w:tc>
          <w:tcPr>
            <w:tcW w:w="1080" w:type="dxa"/>
            <w:vAlign w:val="center"/>
          </w:tcPr>
          <w:p w14:paraId="57CF36F2" w14:textId="77777777" w:rsidR="00C4624A" w:rsidRPr="00252A6F" w:rsidRDefault="00C4624A" w:rsidP="00461AA0">
            <w:pPr>
              <w:spacing w:before="60" w:after="60" w:line="200" w:lineRule="exact"/>
              <w:jc w:val="right"/>
              <w:rPr>
                <w:noProof/>
                <w:sz w:val="16"/>
                <w:szCs w:val="16"/>
              </w:rPr>
            </w:pPr>
            <w:r w:rsidRPr="00252A6F">
              <w:rPr>
                <w:noProof/>
                <w:sz w:val="16"/>
              </w:rPr>
              <w:t>0,072</w:t>
            </w:r>
          </w:p>
        </w:tc>
        <w:tc>
          <w:tcPr>
            <w:tcW w:w="1080" w:type="dxa"/>
            <w:vAlign w:val="center"/>
          </w:tcPr>
          <w:p w14:paraId="437BCCD6" w14:textId="77777777" w:rsidR="00C4624A" w:rsidRPr="00252A6F" w:rsidRDefault="00C4624A" w:rsidP="00461AA0">
            <w:pPr>
              <w:spacing w:before="60" w:after="60" w:line="200" w:lineRule="exact"/>
              <w:jc w:val="right"/>
              <w:rPr>
                <w:noProof/>
                <w:sz w:val="16"/>
                <w:szCs w:val="16"/>
              </w:rPr>
            </w:pPr>
            <w:r w:rsidRPr="00252A6F">
              <w:rPr>
                <w:noProof/>
                <w:sz w:val="16"/>
              </w:rPr>
              <w:t>0,072</w:t>
            </w:r>
          </w:p>
        </w:tc>
        <w:tc>
          <w:tcPr>
            <w:tcW w:w="1080" w:type="dxa"/>
            <w:vAlign w:val="center"/>
          </w:tcPr>
          <w:p w14:paraId="7F6E0F4C" w14:textId="77777777" w:rsidR="00C4624A" w:rsidRPr="00252A6F" w:rsidRDefault="00C4624A" w:rsidP="00461AA0">
            <w:pPr>
              <w:spacing w:before="60" w:after="60" w:line="200" w:lineRule="exact"/>
              <w:jc w:val="right"/>
              <w:rPr>
                <w:b/>
                <w:bCs/>
                <w:noProof/>
                <w:sz w:val="16"/>
                <w:szCs w:val="16"/>
              </w:rPr>
            </w:pPr>
            <w:r w:rsidRPr="00252A6F">
              <w:rPr>
                <w:b/>
                <w:noProof/>
                <w:sz w:val="16"/>
              </w:rPr>
              <w:t>1,972</w:t>
            </w:r>
          </w:p>
        </w:tc>
      </w:tr>
    </w:tbl>
    <w:p w14:paraId="0E511CAE" w14:textId="77777777" w:rsidR="00C4624A" w:rsidRPr="00252A6F" w:rsidRDefault="00C4624A" w:rsidP="00C4624A">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C4624A" w:rsidRPr="00252A6F" w14:paraId="0ADB61AA" w14:textId="77777777" w:rsidTr="00461AA0">
        <w:trPr>
          <w:trHeight w:val="585"/>
        </w:trPr>
        <w:tc>
          <w:tcPr>
            <w:tcW w:w="1980" w:type="dxa"/>
            <w:shd w:val="clear" w:color="auto" w:fill="CCCCCC"/>
            <w:vAlign w:val="center"/>
          </w:tcPr>
          <w:p w14:paraId="58C5EE44" w14:textId="77777777" w:rsidR="00C4624A" w:rsidRPr="00252A6F" w:rsidRDefault="00C4624A" w:rsidP="00461AA0">
            <w:pPr>
              <w:spacing w:before="60" w:after="60" w:line="200" w:lineRule="exact"/>
              <w:jc w:val="center"/>
              <w:rPr>
                <w:b/>
                <w:bCs/>
                <w:noProof/>
                <w:sz w:val="16"/>
                <w:szCs w:val="16"/>
              </w:rPr>
            </w:pPr>
            <w:r w:rsidRPr="00252A6F">
              <w:rPr>
                <w:b/>
                <w:noProof/>
                <w:sz w:val="16"/>
              </w:rPr>
              <w:t>Odobritve zunaj RAZDELKA 7</w:t>
            </w:r>
            <w:r w:rsidRPr="00252A6F">
              <w:rPr>
                <w:rStyle w:val="FootnoteReference"/>
                <w:b/>
                <w:bCs/>
                <w:noProof/>
                <w:sz w:val="16"/>
                <w:szCs w:val="16"/>
              </w:rPr>
              <w:footnoteReference w:id="43"/>
            </w:r>
            <w:r w:rsidRPr="00252A6F">
              <w:rPr>
                <w:b/>
                <w:noProof/>
                <w:sz w:val="16"/>
              </w:rPr>
              <w:t xml:space="preserve"> </w:t>
            </w:r>
          </w:p>
          <w:p w14:paraId="3C52833D" w14:textId="77777777" w:rsidR="00C4624A" w:rsidRPr="00252A6F" w:rsidRDefault="00C4624A" w:rsidP="00461AA0">
            <w:pPr>
              <w:spacing w:before="60" w:after="60" w:line="200" w:lineRule="exact"/>
              <w:jc w:val="center"/>
              <w:rPr>
                <w:noProof/>
                <w:sz w:val="16"/>
                <w:szCs w:val="16"/>
              </w:rPr>
            </w:pPr>
            <w:r w:rsidRPr="00252A6F">
              <w:rPr>
                <w:b/>
                <w:noProof/>
                <w:sz w:val="16"/>
              </w:rPr>
              <w:t xml:space="preserve">večletnega finančnega okvira </w:t>
            </w:r>
          </w:p>
          <w:p w14:paraId="4481A183" w14:textId="77777777" w:rsidR="00C4624A" w:rsidRPr="00252A6F" w:rsidRDefault="00C4624A" w:rsidP="00461AA0">
            <w:pPr>
              <w:spacing w:before="0" w:after="0" w:line="200" w:lineRule="exact"/>
              <w:jc w:val="center"/>
              <w:rPr>
                <w:b/>
                <w:bCs/>
                <w:noProof/>
                <w:sz w:val="16"/>
                <w:szCs w:val="16"/>
              </w:rPr>
            </w:pPr>
          </w:p>
        </w:tc>
        <w:tc>
          <w:tcPr>
            <w:tcW w:w="1080" w:type="dxa"/>
            <w:vAlign w:val="center"/>
          </w:tcPr>
          <w:p w14:paraId="3C1DFD13"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65829D9D"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5EE57676"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23FE7252"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73748B61"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5913EF0A"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6CC63490" w14:textId="77777777" w:rsidR="00C4624A" w:rsidRPr="00252A6F" w:rsidRDefault="00C4624A" w:rsidP="00461AA0">
            <w:pPr>
              <w:spacing w:before="60" w:after="60" w:line="200" w:lineRule="exact"/>
              <w:jc w:val="right"/>
              <w:rPr>
                <w:b/>
                <w:bCs/>
                <w:noProof/>
                <w:sz w:val="16"/>
                <w:szCs w:val="16"/>
              </w:rPr>
            </w:pPr>
          </w:p>
        </w:tc>
      </w:tr>
      <w:tr w:rsidR="00C4624A" w:rsidRPr="00252A6F" w14:paraId="341F4A8D" w14:textId="77777777" w:rsidTr="00461AA0">
        <w:trPr>
          <w:trHeight w:val="585"/>
        </w:trPr>
        <w:tc>
          <w:tcPr>
            <w:tcW w:w="1980" w:type="dxa"/>
            <w:vAlign w:val="center"/>
          </w:tcPr>
          <w:p w14:paraId="1D3E7939" w14:textId="77777777" w:rsidR="00C4624A" w:rsidRPr="00252A6F" w:rsidRDefault="00C4624A" w:rsidP="00461AA0">
            <w:pPr>
              <w:spacing w:before="60" w:after="60" w:line="200" w:lineRule="exact"/>
              <w:ind w:left="72"/>
              <w:jc w:val="left"/>
              <w:rPr>
                <w:noProof/>
                <w:sz w:val="16"/>
                <w:szCs w:val="16"/>
              </w:rPr>
            </w:pPr>
            <w:r w:rsidRPr="00252A6F">
              <w:rPr>
                <w:noProof/>
                <w:sz w:val="16"/>
              </w:rPr>
              <w:t xml:space="preserve">Človeški viri </w:t>
            </w:r>
          </w:p>
        </w:tc>
        <w:tc>
          <w:tcPr>
            <w:tcW w:w="1080" w:type="dxa"/>
            <w:vAlign w:val="center"/>
          </w:tcPr>
          <w:p w14:paraId="00BD379C"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760AFC1D"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1E76D754"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502F7B05"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488F4FEC"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3CF9FA29"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5CFEC02C" w14:textId="77777777" w:rsidR="00C4624A" w:rsidRPr="00252A6F" w:rsidRDefault="00C4624A" w:rsidP="00461AA0">
            <w:pPr>
              <w:spacing w:before="60" w:after="60" w:line="200" w:lineRule="exact"/>
              <w:jc w:val="right"/>
              <w:rPr>
                <w:b/>
                <w:noProof/>
                <w:sz w:val="16"/>
                <w:szCs w:val="16"/>
              </w:rPr>
            </w:pPr>
          </w:p>
        </w:tc>
      </w:tr>
      <w:tr w:rsidR="00C4624A" w:rsidRPr="00252A6F" w14:paraId="64365CF5" w14:textId="77777777" w:rsidTr="00461AA0">
        <w:trPr>
          <w:trHeight w:val="585"/>
        </w:trPr>
        <w:tc>
          <w:tcPr>
            <w:tcW w:w="1980" w:type="dxa"/>
            <w:vAlign w:val="center"/>
          </w:tcPr>
          <w:p w14:paraId="2F7BD2A6" w14:textId="77777777" w:rsidR="00C4624A" w:rsidRPr="00252A6F" w:rsidRDefault="00C4624A" w:rsidP="00461AA0">
            <w:pPr>
              <w:spacing w:before="60" w:after="60" w:line="200" w:lineRule="exact"/>
              <w:ind w:left="72"/>
              <w:jc w:val="left"/>
              <w:rPr>
                <w:noProof/>
                <w:sz w:val="16"/>
                <w:szCs w:val="16"/>
              </w:rPr>
            </w:pPr>
            <w:r w:rsidRPr="00252A6F">
              <w:rPr>
                <w:noProof/>
                <w:sz w:val="16"/>
              </w:rPr>
              <w:t>Drugi upravni odhodki</w:t>
            </w:r>
          </w:p>
        </w:tc>
        <w:tc>
          <w:tcPr>
            <w:tcW w:w="1080" w:type="dxa"/>
            <w:vAlign w:val="center"/>
          </w:tcPr>
          <w:p w14:paraId="3C4CF276"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6EFE6FA2"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320D80BB"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4B10488B"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4ABBE8B1"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25DAB33B"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521AAB9C" w14:textId="77777777" w:rsidR="00C4624A" w:rsidRPr="00252A6F" w:rsidRDefault="00C4624A" w:rsidP="00461AA0">
            <w:pPr>
              <w:spacing w:before="60" w:after="60" w:line="200" w:lineRule="exact"/>
              <w:jc w:val="right"/>
              <w:rPr>
                <w:b/>
                <w:noProof/>
                <w:sz w:val="16"/>
                <w:szCs w:val="16"/>
              </w:rPr>
            </w:pPr>
          </w:p>
        </w:tc>
      </w:tr>
      <w:tr w:rsidR="00C4624A" w:rsidRPr="00252A6F" w14:paraId="792D8F82" w14:textId="77777777" w:rsidTr="00461AA0">
        <w:trPr>
          <w:trHeight w:val="585"/>
        </w:trPr>
        <w:tc>
          <w:tcPr>
            <w:tcW w:w="1980" w:type="dxa"/>
            <w:shd w:val="clear" w:color="auto" w:fill="CCCCCC"/>
            <w:vAlign w:val="center"/>
          </w:tcPr>
          <w:p w14:paraId="14990251" w14:textId="77777777" w:rsidR="00C4624A" w:rsidRPr="00252A6F" w:rsidRDefault="00C4624A" w:rsidP="00461AA0">
            <w:pPr>
              <w:spacing w:before="60" w:after="60" w:line="200" w:lineRule="exact"/>
              <w:jc w:val="center"/>
              <w:rPr>
                <w:b/>
                <w:noProof/>
                <w:sz w:val="16"/>
                <w:szCs w:val="16"/>
              </w:rPr>
            </w:pPr>
            <w:r w:rsidRPr="00252A6F">
              <w:rPr>
                <w:b/>
                <w:noProof/>
                <w:sz w:val="16"/>
              </w:rPr>
              <w:t xml:space="preserve">Seštevek za odobritve zunaj RAZDELKA 7 večletnega finančnega okvira </w:t>
            </w:r>
          </w:p>
        </w:tc>
        <w:tc>
          <w:tcPr>
            <w:tcW w:w="1080" w:type="dxa"/>
            <w:vAlign w:val="center"/>
          </w:tcPr>
          <w:p w14:paraId="4CFA92B3"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43DABC7C"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397DCA9F"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29D30CFB"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20A5BD25"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1156049E" w14:textId="77777777" w:rsidR="00C4624A" w:rsidRPr="00252A6F" w:rsidRDefault="00C4624A" w:rsidP="00461AA0">
            <w:pPr>
              <w:spacing w:before="60" w:after="60" w:line="200" w:lineRule="exact"/>
              <w:jc w:val="right"/>
              <w:rPr>
                <w:noProof/>
                <w:sz w:val="16"/>
                <w:szCs w:val="16"/>
              </w:rPr>
            </w:pPr>
          </w:p>
        </w:tc>
        <w:tc>
          <w:tcPr>
            <w:tcW w:w="1080" w:type="dxa"/>
            <w:vAlign w:val="center"/>
          </w:tcPr>
          <w:p w14:paraId="2BFBE283" w14:textId="77777777" w:rsidR="00C4624A" w:rsidRPr="00252A6F" w:rsidRDefault="00C4624A" w:rsidP="00461AA0">
            <w:pPr>
              <w:spacing w:before="60" w:after="60" w:line="200" w:lineRule="exact"/>
              <w:jc w:val="right"/>
              <w:rPr>
                <w:b/>
                <w:noProof/>
                <w:sz w:val="16"/>
                <w:szCs w:val="16"/>
              </w:rPr>
            </w:pPr>
          </w:p>
        </w:tc>
      </w:tr>
    </w:tbl>
    <w:p w14:paraId="63E758D9" w14:textId="77777777" w:rsidR="00C4624A" w:rsidRPr="00252A6F" w:rsidRDefault="00C4624A" w:rsidP="00C4624A">
      <w:pPr>
        <w:spacing w:line="200" w:lineRule="exact"/>
        <w:rPr>
          <w:noProof/>
          <w:sz w:val="16"/>
          <w:szCs w:val="16"/>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rsidR="00C4624A" w:rsidRPr="00252A6F" w14:paraId="30016D45" w14:textId="77777777" w:rsidTr="00461AA0">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3D4868F4" w14:textId="77777777" w:rsidR="00C4624A" w:rsidRPr="00252A6F" w:rsidRDefault="00C4624A" w:rsidP="00461AA0">
            <w:pPr>
              <w:spacing w:before="60" w:after="60" w:line="200" w:lineRule="exact"/>
              <w:jc w:val="center"/>
              <w:rPr>
                <w:noProof/>
                <w:sz w:val="16"/>
                <w:szCs w:val="16"/>
              </w:rPr>
            </w:pPr>
            <w:r w:rsidRPr="00252A6F">
              <w:rPr>
                <w:b/>
                <w:noProof/>
                <w:sz w:val="16"/>
              </w:rPr>
              <w:t>SKUPAJ</w:t>
            </w:r>
          </w:p>
        </w:tc>
        <w:tc>
          <w:tcPr>
            <w:tcW w:w="1080" w:type="dxa"/>
            <w:tcBorders>
              <w:top w:val="single" w:sz="12" w:space="0" w:color="auto"/>
              <w:left w:val="single" w:sz="2" w:space="0" w:color="auto"/>
              <w:bottom w:val="single" w:sz="12" w:space="0" w:color="auto"/>
              <w:right w:val="single" w:sz="2" w:space="0" w:color="auto"/>
            </w:tcBorders>
            <w:vAlign w:val="center"/>
          </w:tcPr>
          <w:p w14:paraId="1DEF369A" w14:textId="77777777" w:rsidR="00C4624A" w:rsidRPr="00252A6F" w:rsidRDefault="00C4624A" w:rsidP="00461AA0">
            <w:pPr>
              <w:spacing w:before="60" w:after="60" w:line="200" w:lineRule="exact"/>
              <w:jc w:val="right"/>
              <w:rPr>
                <w:b/>
                <w:bCs/>
                <w:noProof/>
                <w:sz w:val="16"/>
                <w:szCs w:val="16"/>
              </w:rPr>
            </w:pPr>
            <w:r w:rsidRPr="00252A6F">
              <w:rPr>
                <w:noProof/>
                <w:sz w:val="16"/>
              </w:rPr>
              <w:t>0,848</w:t>
            </w:r>
          </w:p>
        </w:tc>
        <w:tc>
          <w:tcPr>
            <w:tcW w:w="1080" w:type="dxa"/>
            <w:tcBorders>
              <w:top w:val="single" w:sz="12" w:space="0" w:color="auto"/>
              <w:left w:val="single" w:sz="2" w:space="0" w:color="auto"/>
              <w:bottom w:val="single" w:sz="12" w:space="0" w:color="auto"/>
              <w:right w:val="single" w:sz="2" w:space="0" w:color="auto"/>
            </w:tcBorders>
            <w:vAlign w:val="center"/>
          </w:tcPr>
          <w:p w14:paraId="7D0E833D" w14:textId="77777777" w:rsidR="00C4624A" w:rsidRPr="00252A6F" w:rsidRDefault="00C4624A" w:rsidP="00461AA0">
            <w:pPr>
              <w:spacing w:before="60" w:after="60" w:line="200" w:lineRule="exact"/>
              <w:jc w:val="right"/>
              <w:rPr>
                <w:b/>
                <w:bCs/>
                <w:noProof/>
                <w:sz w:val="16"/>
                <w:szCs w:val="16"/>
              </w:rPr>
            </w:pPr>
            <w:r w:rsidRPr="00252A6F">
              <w:rPr>
                <w:noProof/>
                <w:sz w:val="16"/>
              </w:rPr>
              <w:t>0,484</w:t>
            </w:r>
          </w:p>
        </w:tc>
        <w:tc>
          <w:tcPr>
            <w:tcW w:w="1080" w:type="dxa"/>
            <w:tcBorders>
              <w:top w:val="single" w:sz="12" w:space="0" w:color="auto"/>
              <w:left w:val="single" w:sz="2" w:space="0" w:color="auto"/>
              <w:bottom w:val="single" w:sz="12" w:space="0" w:color="auto"/>
              <w:right w:val="single" w:sz="2" w:space="0" w:color="auto"/>
            </w:tcBorders>
            <w:vAlign w:val="center"/>
          </w:tcPr>
          <w:p w14:paraId="30CDBE70" w14:textId="77777777" w:rsidR="00C4624A" w:rsidRPr="00252A6F" w:rsidRDefault="00C4624A" w:rsidP="00461AA0">
            <w:pPr>
              <w:spacing w:before="60" w:after="60" w:line="200" w:lineRule="exact"/>
              <w:jc w:val="right"/>
              <w:rPr>
                <w:b/>
                <w:bCs/>
                <w:noProof/>
                <w:sz w:val="16"/>
                <w:szCs w:val="16"/>
              </w:rPr>
            </w:pPr>
            <w:r w:rsidRPr="00252A6F">
              <w:rPr>
                <w:noProof/>
                <w:sz w:val="16"/>
              </w:rPr>
              <w:t>0,424</w:t>
            </w:r>
          </w:p>
        </w:tc>
        <w:tc>
          <w:tcPr>
            <w:tcW w:w="1080" w:type="dxa"/>
            <w:tcBorders>
              <w:top w:val="single" w:sz="12" w:space="0" w:color="auto"/>
              <w:left w:val="single" w:sz="2" w:space="0" w:color="auto"/>
              <w:bottom w:val="single" w:sz="12" w:space="0" w:color="auto"/>
              <w:right w:val="single" w:sz="2" w:space="0" w:color="auto"/>
            </w:tcBorders>
            <w:vAlign w:val="center"/>
          </w:tcPr>
          <w:p w14:paraId="600F8B27" w14:textId="77777777" w:rsidR="00C4624A" w:rsidRPr="00252A6F" w:rsidRDefault="00C4624A" w:rsidP="00461AA0">
            <w:pPr>
              <w:spacing w:before="60" w:after="60" w:line="200" w:lineRule="exact"/>
              <w:jc w:val="right"/>
              <w:rPr>
                <w:b/>
                <w:bCs/>
                <w:noProof/>
                <w:sz w:val="16"/>
                <w:szCs w:val="16"/>
              </w:rPr>
            </w:pPr>
            <w:r w:rsidRPr="00252A6F">
              <w:rPr>
                <w:noProof/>
                <w:sz w:val="16"/>
              </w:rPr>
              <w:t>0,072</w:t>
            </w:r>
          </w:p>
        </w:tc>
        <w:tc>
          <w:tcPr>
            <w:tcW w:w="1080" w:type="dxa"/>
            <w:tcBorders>
              <w:top w:val="single" w:sz="12" w:space="0" w:color="auto"/>
              <w:left w:val="single" w:sz="2" w:space="0" w:color="auto"/>
              <w:bottom w:val="single" w:sz="12" w:space="0" w:color="auto"/>
              <w:right w:val="single" w:sz="2" w:space="0" w:color="auto"/>
            </w:tcBorders>
            <w:vAlign w:val="center"/>
          </w:tcPr>
          <w:p w14:paraId="4F5A4769" w14:textId="77777777" w:rsidR="00C4624A" w:rsidRPr="00252A6F" w:rsidRDefault="00C4624A" w:rsidP="00461AA0">
            <w:pPr>
              <w:spacing w:before="60" w:after="60" w:line="200" w:lineRule="exact"/>
              <w:jc w:val="right"/>
              <w:rPr>
                <w:b/>
                <w:bCs/>
                <w:noProof/>
                <w:sz w:val="16"/>
                <w:szCs w:val="16"/>
              </w:rPr>
            </w:pPr>
            <w:r w:rsidRPr="00252A6F">
              <w:rPr>
                <w:noProof/>
                <w:sz w:val="16"/>
              </w:rPr>
              <w:t>0,072</w:t>
            </w:r>
          </w:p>
        </w:tc>
        <w:tc>
          <w:tcPr>
            <w:tcW w:w="1080" w:type="dxa"/>
            <w:tcBorders>
              <w:top w:val="single" w:sz="12" w:space="0" w:color="auto"/>
              <w:left w:val="single" w:sz="2" w:space="0" w:color="auto"/>
              <w:bottom w:val="single" w:sz="12" w:space="0" w:color="auto"/>
              <w:right w:val="single" w:sz="2" w:space="0" w:color="auto"/>
            </w:tcBorders>
            <w:vAlign w:val="center"/>
          </w:tcPr>
          <w:p w14:paraId="557264BB" w14:textId="77777777" w:rsidR="00C4624A" w:rsidRPr="00252A6F" w:rsidRDefault="00C4624A" w:rsidP="00461AA0">
            <w:pPr>
              <w:spacing w:before="60" w:after="60" w:line="200" w:lineRule="exact"/>
              <w:jc w:val="right"/>
              <w:rPr>
                <w:b/>
                <w:bCs/>
                <w:noProof/>
                <w:sz w:val="16"/>
                <w:szCs w:val="16"/>
              </w:rPr>
            </w:pPr>
            <w:r w:rsidRPr="00252A6F">
              <w:rPr>
                <w:noProof/>
                <w:sz w:val="16"/>
              </w:rPr>
              <w:t>0,072</w:t>
            </w:r>
          </w:p>
        </w:tc>
        <w:tc>
          <w:tcPr>
            <w:tcW w:w="1080" w:type="dxa"/>
            <w:tcBorders>
              <w:top w:val="single" w:sz="12" w:space="0" w:color="auto"/>
              <w:left w:val="single" w:sz="2" w:space="0" w:color="auto"/>
              <w:bottom w:val="single" w:sz="12" w:space="0" w:color="auto"/>
              <w:right w:val="single" w:sz="2" w:space="0" w:color="auto"/>
            </w:tcBorders>
            <w:vAlign w:val="center"/>
          </w:tcPr>
          <w:p w14:paraId="208F2EC1" w14:textId="77777777" w:rsidR="00C4624A" w:rsidRPr="00252A6F" w:rsidRDefault="00C4624A" w:rsidP="00461AA0">
            <w:pPr>
              <w:spacing w:before="60" w:after="60" w:line="200" w:lineRule="exact"/>
              <w:jc w:val="right"/>
              <w:rPr>
                <w:b/>
                <w:bCs/>
                <w:noProof/>
                <w:sz w:val="16"/>
                <w:szCs w:val="16"/>
              </w:rPr>
            </w:pPr>
            <w:r w:rsidRPr="00252A6F">
              <w:rPr>
                <w:b/>
                <w:noProof/>
                <w:sz w:val="16"/>
              </w:rPr>
              <w:t>1,972</w:t>
            </w:r>
          </w:p>
        </w:tc>
      </w:tr>
    </w:tbl>
    <w:p w14:paraId="41C9AAA9" w14:textId="77777777" w:rsidR="00C4624A" w:rsidRPr="00252A6F" w:rsidRDefault="00C4624A" w:rsidP="00C4624A">
      <w:pPr>
        <w:rPr>
          <w:noProof/>
          <w:sz w:val="18"/>
        </w:rPr>
      </w:pPr>
      <w:r w:rsidRPr="00252A6F">
        <w:rPr>
          <w:noProof/>
          <w:sz w:val="18"/>
        </w:rPr>
        <w:t>Potrebe po odobritvah za človeške vire in druge upravne odhodke se krijejo z odobritvami GD, ki so že dodeljene za upravljanje ukrepa in/ali so bile prerazporejene znotraj GD, po potrebi skupaj z dodatnimi viri, ki se lahko pristojnemu GD dodelijo v postopku letne dodelitve virov glede na proračunske omejitve.</w:t>
      </w:r>
    </w:p>
    <w:p w14:paraId="70A4F0E1" w14:textId="77777777" w:rsidR="00C4624A" w:rsidRPr="00252A6F" w:rsidRDefault="00C4624A" w:rsidP="00C4624A">
      <w:pPr>
        <w:rPr>
          <w:noProof/>
          <w:sz w:val="18"/>
        </w:rPr>
        <w:sectPr w:rsidR="00C4624A" w:rsidRPr="00252A6F" w:rsidSect="00DF7915">
          <w:headerReference w:type="default" r:id="rId19"/>
          <w:footerReference w:type="default" r:id="rId20"/>
          <w:headerReference w:type="first" r:id="rId21"/>
          <w:footerReference w:type="first" r:id="rId22"/>
          <w:pgSz w:w="11907" w:h="16840"/>
          <w:pgMar w:top="1134" w:right="1418" w:bottom="1134" w:left="1418" w:header="709" w:footer="709" w:gutter="0"/>
          <w:cols w:space="708"/>
          <w:docGrid w:linePitch="360"/>
        </w:sectPr>
      </w:pPr>
    </w:p>
    <w:p w14:paraId="02B9DFA1" w14:textId="0B99FB5F" w:rsidR="00C4624A" w:rsidRPr="00252A6F" w:rsidRDefault="00664ED4" w:rsidP="00664ED4">
      <w:pPr>
        <w:pStyle w:val="ManualHeading4"/>
        <w:rPr>
          <w:noProof/>
          <w:szCs w:val="24"/>
        </w:rPr>
      </w:pPr>
      <w:r w:rsidRPr="00664ED4">
        <w:t>3.2.3.1.</w:t>
      </w:r>
      <w:r w:rsidRPr="00664ED4">
        <w:tab/>
      </w:r>
      <w:r w:rsidR="00C4624A" w:rsidRPr="00252A6F">
        <w:rPr>
          <w:noProof/>
        </w:rPr>
        <w:t xml:space="preserve">Ocenjene potrebe po človeških virih </w:t>
      </w:r>
    </w:p>
    <w:p w14:paraId="2FC4C894" w14:textId="77777777" w:rsidR="00C4624A" w:rsidRPr="00252A6F" w:rsidRDefault="00C4624A" w:rsidP="00C4624A">
      <w:pPr>
        <w:pStyle w:val="ListDash1"/>
        <w:rPr>
          <w:noProof/>
        </w:rPr>
      </w:pPr>
      <w:r w:rsidRPr="00252A6F">
        <w:rPr>
          <w:rFonts w:ascii="Wingdings" w:hAnsi="Wingdings"/>
          <w:noProof/>
        </w:rPr>
        <w:t></w:t>
      </w:r>
      <w:r w:rsidRPr="00252A6F">
        <w:rPr>
          <w:noProof/>
        </w:rPr>
        <w:t xml:space="preserve"> Za predlog/pobudo so potrebni človeški viri, kot je pojasnjeno v nadaljevanju:</w:t>
      </w:r>
    </w:p>
    <w:p w14:paraId="2B4FAC3D" w14:textId="77777777" w:rsidR="00C4624A" w:rsidRPr="00252A6F" w:rsidRDefault="00C4624A" w:rsidP="00C4624A">
      <w:pPr>
        <w:spacing w:after="60"/>
        <w:jc w:val="right"/>
        <w:rPr>
          <w:i/>
          <w:noProof/>
          <w:sz w:val="20"/>
        </w:rPr>
      </w:pPr>
      <w:r w:rsidRPr="00252A6F">
        <w:rPr>
          <w:i/>
          <w:noProof/>
          <w:sz w:val="20"/>
        </w:rPr>
        <w:t>ocena, izražena v ekvivalentu polnega delovnega časa</w:t>
      </w:r>
    </w:p>
    <w:tbl>
      <w:tblPr>
        <w:tblW w:w="103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178"/>
        <w:gridCol w:w="15"/>
        <w:gridCol w:w="183"/>
        <w:gridCol w:w="1995"/>
        <w:gridCol w:w="383"/>
        <w:gridCol w:w="731"/>
        <w:gridCol w:w="731"/>
        <w:gridCol w:w="731"/>
        <w:gridCol w:w="731"/>
        <w:gridCol w:w="785"/>
        <w:gridCol w:w="850"/>
        <w:gridCol w:w="993"/>
      </w:tblGrid>
      <w:tr w:rsidR="00C4624A" w:rsidRPr="00252A6F" w14:paraId="50F8BDE6" w14:textId="77777777" w:rsidTr="00461AA0">
        <w:trPr>
          <w:gridBefore w:val="1"/>
          <w:wBefore w:w="15" w:type="dxa"/>
          <w:trHeight w:val="289"/>
          <w:jc w:val="center"/>
        </w:trPr>
        <w:tc>
          <w:tcPr>
            <w:tcW w:w="4754" w:type="dxa"/>
            <w:gridSpan w:val="5"/>
            <w:shd w:val="clear" w:color="auto" w:fill="auto"/>
          </w:tcPr>
          <w:p w14:paraId="2A8F5BCE" w14:textId="77777777" w:rsidR="00C4624A" w:rsidRPr="00252A6F" w:rsidRDefault="00C4624A" w:rsidP="00461AA0">
            <w:pPr>
              <w:pStyle w:val="Text1"/>
              <w:spacing w:before="40" w:after="40"/>
              <w:ind w:left="0"/>
              <w:jc w:val="center"/>
              <w:rPr>
                <w:i/>
                <w:noProof/>
                <w:sz w:val="16"/>
                <w:szCs w:val="16"/>
              </w:rPr>
            </w:pPr>
          </w:p>
        </w:tc>
        <w:tc>
          <w:tcPr>
            <w:tcW w:w="731" w:type="dxa"/>
            <w:shd w:val="clear" w:color="auto" w:fill="auto"/>
            <w:vAlign w:val="center"/>
          </w:tcPr>
          <w:p w14:paraId="58C1B7CA" w14:textId="77777777" w:rsidR="00C4624A" w:rsidRPr="00252A6F" w:rsidRDefault="00C4624A" w:rsidP="00461AA0">
            <w:pPr>
              <w:spacing w:before="20" w:after="20"/>
              <w:jc w:val="center"/>
              <w:rPr>
                <w:noProof/>
                <w:sz w:val="16"/>
                <w:szCs w:val="16"/>
              </w:rPr>
            </w:pPr>
            <w:r w:rsidRPr="00252A6F">
              <w:rPr>
                <w:noProof/>
                <w:sz w:val="16"/>
              </w:rPr>
              <w:t>Leto</w:t>
            </w:r>
            <w:r w:rsidRPr="00252A6F">
              <w:rPr>
                <w:noProof/>
                <w:sz w:val="22"/>
              </w:rPr>
              <w:t xml:space="preserve"> 2022</w:t>
            </w:r>
          </w:p>
        </w:tc>
        <w:tc>
          <w:tcPr>
            <w:tcW w:w="731" w:type="dxa"/>
            <w:shd w:val="clear" w:color="auto" w:fill="auto"/>
            <w:vAlign w:val="center"/>
          </w:tcPr>
          <w:p w14:paraId="1AB4A4F0" w14:textId="77777777" w:rsidR="00C4624A" w:rsidRPr="00252A6F" w:rsidRDefault="00C4624A" w:rsidP="00461AA0">
            <w:pPr>
              <w:spacing w:before="20" w:after="20"/>
              <w:jc w:val="center"/>
              <w:rPr>
                <w:noProof/>
                <w:sz w:val="16"/>
                <w:szCs w:val="16"/>
              </w:rPr>
            </w:pPr>
            <w:r w:rsidRPr="00252A6F">
              <w:rPr>
                <w:noProof/>
                <w:sz w:val="16"/>
              </w:rPr>
              <w:t>Leto</w:t>
            </w:r>
            <w:r w:rsidRPr="00252A6F">
              <w:rPr>
                <w:noProof/>
                <w:sz w:val="22"/>
              </w:rPr>
              <w:t xml:space="preserve"> 2023</w:t>
            </w:r>
          </w:p>
        </w:tc>
        <w:tc>
          <w:tcPr>
            <w:tcW w:w="731" w:type="dxa"/>
            <w:shd w:val="clear" w:color="auto" w:fill="auto"/>
            <w:vAlign w:val="center"/>
          </w:tcPr>
          <w:p w14:paraId="1F285BE3" w14:textId="77777777" w:rsidR="00C4624A" w:rsidRPr="00252A6F" w:rsidRDefault="00C4624A" w:rsidP="00461AA0">
            <w:pPr>
              <w:spacing w:before="20" w:after="20"/>
              <w:jc w:val="center"/>
              <w:rPr>
                <w:noProof/>
                <w:sz w:val="16"/>
                <w:szCs w:val="16"/>
              </w:rPr>
            </w:pPr>
            <w:r w:rsidRPr="00252A6F">
              <w:rPr>
                <w:noProof/>
                <w:sz w:val="16"/>
              </w:rPr>
              <w:t>Leto</w:t>
            </w:r>
            <w:r w:rsidRPr="00252A6F">
              <w:rPr>
                <w:noProof/>
                <w:sz w:val="22"/>
              </w:rPr>
              <w:t xml:space="preserve"> 2024</w:t>
            </w:r>
          </w:p>
        </w:tc>
        <w:tc>
          <w:tcPr>
            <w:tcW w:w="731" w:type="dxa"/>
            <w:shd w:val="clear" w:color="auto" w:fill="auto"/>
            <w:vAlign w:val="center"/>
          </w:tcPr>
          <w:p w14:paraId="6A59DEFE" w14:textId="77777777" w:rsidR="00C4624A" w:rsidRPr="00252A6F" w:rsidRDefault="00C4624A" w:rsidP="00461AA0">
            <w:pPr>
              <w:spacing w:before="20" w:after="20"/>
              <w:jc w:val="center"/>
              <w:rPr>
                <w:noProof/>
                <w:sz w:val="16"/>
                <w:szCs w:val="16"/>
              </w:rPr>
            </w:pPr>
            <w:r w:rsidRPr="00252A6F">
              <w:rPr>
                <w:noProof/>
                <w:sz w:val="16"/>
              </w:rPr>
              <w:t>Leto</w:t>
            </w:r>
            <w:r w:rsidRPr="00252A6F">
              <w:rPr>
                <w:noProof/>
                <w:sz w:val="22"/>
              </w:rPr>
              <w:t xml:space="preserve"> 2025</w:t>
            </w:r>
          </w:p>
        </w:tc>
        <w:tc>
          <w:tcPr>
            <w:tcW w:w="785" w:type="dxa"/>
            <w:vAlign w:val="center"/>
          </w:tcPr>
          <w:p w14:paraId="14CC93B6" w14:textId="77777777" w:rsidR="00C4624A" w:rsidRPr="00252A6F" w:rsidRDefault="00C4624A" w:rsidP="00461AA0">
            <w:pPr>
              <w:jc w:val="center"/>
              <w:rPr>
                <w:noProof/>
                <w:sz w:val="16"/>
              </w:rPr>
            </w:pPr>
            <w:r w:rsidRPr="00252A6F">
              <w:rPr>
                <w:noProof/>
                <w:sz w:val="16"/>
              </w:rPr>
              <w:t>Leto</w:t>
            </w:r>
            <w:r w:rsidRPr="00252A6F">
              <w:rPr>
                <w:noProof/>
                <w:sz w:val="22"/>
              </w:rPr>
              <w:t xml:space="preserve"> 2026</w:t>
            </w:r>
          </w:p>
        </w:tc>
        <w:tc>
          <w:tcPr>
            <w:tcW w:w="850" w:type="dxa"/>
            <w:vAlign w:val="center"/>
          </w:tcPr>
          <w:p w14:paraId="074B7401" w14:textId="77777777" w:rsidR="00C4624A" w:rsidRPr="00252A6F" w:rsidRDefault="00C4624A" w:rsidP="00461AA0">
            <w:pPr>
              <w:jc w:val="center"/>
              <w:rPr>
                <w:noProof/>
                <w:sz w:val="16"/>
              </w:rPr>
            </w:pPr>
            <w:r w:rsidRPr="00252A6F">
              <w:rPr>
                <w:noProof/>
                <w:sz w:val="16"/>
              </w:rPr>
              <w:t>Leto</w:t>
            </w:r>
            <w:r w:rsidRPr="00252A6F">
              <w:rPr>
                <w:noProof/>
                <w:sz w:val="22"/>
              </w:rPr>
              <w:t xml:space="preserve"> 2027</w:t>
            </w:r>
          </w:p>
        </w:tc>
        <w:tc>
          <w:tcPr>
            <w:tcW w:w="993" w:type="dxa"/>
            <w:shd w:val="clear" w:color="auto" w:fill="auto"/>
          </w:tcPr>
          <w:p w14:paraId="74ADF764" w14:textId="77777777" w:rsidR="00C4624A" w:rsidRPr="00252A6F" w:rsidRDefault="00C4624A" w:rsidP="00461AA0">
            <w:pPr>
              <w:jc w:val="center"/>
              <w:rPr>
                <w:b/>
                <w:noProof/>
                <w:sz w:val="16"/>
                <w:szCs w:val="16"/>
              </w:rPr>
            </w:pPr>
            <w:r w:rsidRPr="00252A6F">
              <w:rPr>
                <w:noProof/>
                <w:sz w:val="16"/>
              </w:rPr>
              <w:t>SKUPAJ</w:t>
            </w:r>
          </w:p>
        </w:tc>
      </w:tr>
      <w:tr w:rsidR="00C4624A" w:rsidRPr="00252A6F" w14:paraId="77D9B2A3" w14:textId="77777777" w:rsidTr="00461AA0">
        <w:trPr>
          <w:gridBefore w:val="1"/>
          <w:wBefore w:w="15" w:type="dxa"/>
          <w:trHeight w:val="289"/>
          <w:jc w:val="center"/>
        </w:trPr>
        <w:tc>
          <w:tcPr>
            <w:tcW w:w="2193" w:type="dxa"/>
            <w:gridSpan w:val="2"/>
          </w:tcPr>
          <w:p w14:paraId="719A0315" w14:textId="77777777" w:rsidR="00C4624A" w:rsidRPr="00252A6F" w:rsidRDefault="00C4624A" w:rsidP="00461AA0">
            <w:pPr>
              <w:jc w:val="left"/>
              <w:rPr>
                <w:rFonts w:eastAsia="Wingdings"/>
                <w:b/>
                <w:noProof/>
                <w:sz w:val="16"/>
              </w:rPr>
            </w:pPr>
          </w:p>
        </w:tc>
        <w:tc>
          <w:tcPr>
            <w:tcW w:w="8113" w:type="dxa"/>
            <w:gridSpan w:val="10"/>
          </w:tcPr>
          <w:p w14:paraId="3C75375D" w14:textId="77777777" w:rsidR="00C4624A" w:rsidRPr="00252A6F" w:rsidRDefault="00C4624A" w:rsidP="00461AA0">
            <w:pPr>
              <w:jc w:val="left"/>
              <w:rPr>
                <w:noProof/>
                <w:sz w:val="16"/>
                <w:szCs w:val="16"/>
              </w:rPr>
            </w:pPr>
            <w:r w:rsidRPr="00252A6F">
              <w:rPr>
                <w:b/>
                <w:noProof/>
                <w:sz w:val="16"/>
              </w:rPr>
              <w:t>□ Delovna mesta v skladu s kadrovskim načrtom (uradniki in začasni uslužbenci)</w:t>
            </w:r>
          </w:p>
        </w:tc>
      </w:tr>
      <w:tr w:rsidR="00C4624A" w:rsidRPr="00252A6F" w14:paraId="7E36BEB3" w14:textId="77777777" w:rsidTr="00461AA0">
        <w:trPr>
          <w:gridBefore w:val="1"/>
          <w:wBefore w:w="15" w:type="dxa"/>
          <w:trHeight w:val="289"/>
          <w:jc w:val="center"/>
        </w:trPr>
        <w:tc>
          <w:tcPr>
            <w:tcW w:w="4754" w:type="dxa"/>
            <w:gridSpan w:val="5"/>
            <w:shd w:val="clear" w:color="auto" w:fill="auto"/>
            <w:vAlign w:val="center"/>
          </w:tcPr>
          <w:p w14:paraId="75A71ED5" w14:textId="77777777" w:rsidR="00C4624A" w:rsidRPr="00252A6F" w:rsidRDefault="00C4624A" w:rsidP="00461AA0">
            <w:pPr>
              <w:pStyle w:val="Text1"/>
              <w:spacing w:beforeLines="20" w:before="48" w:afterLines="20" w:after="48"/>
              <w:ind w:left="134"/>
              <w:jc w:val="left"/>
              <w:rPr>
                <w:b/>
                <w:bCs/>
                <w:noProof/>
                <w:sz w:val="16"/>
                <w:szCs w:val="16"/>
              </w:rPr>
            </w:pPr>
            <w:r w:rsidRPr="00252A6F">
              <w:rPr>
                <w:noProof/>
                <w:sz w:val="16"/>
              </w:rPr>
              <w:t>20 01 02 01</w:t>
            </w:r>
            <w:r w:rsidRPr="00252A6F">
              <w:rPr>
                <w:noProof/>
                <w:color w:val="000000" w:themeColor="text1"/>
                <w:sz w:val="20"/>
              </w:rPr>
              <w:t xml:space="preserve"> </w:t>
            </w:r>
            <w:r w:rsidRPr="00252A6F">
              <w:rPr>
                <w:noProof/>
                <w:sz w:val="16"/>
              </w:rPr>
              <w:t>(sedež in predstavništva Komisije)</w:t>
            </w:r>
          </w:p>
        </w:tc>
        <w:tc>
          <w:tcPr>
            <w:tcW w:w="731" w:type="dxa"/>
            <w:shd w:val="clear" w:color="auto" w:fill="auto"/>
            <w:vAlign w:val="center"/>
          </w:tcPr>
          <w:p w14:paraId="2756C8E4" w14:textId="77777777" w:rsidR="00C4624A" w:rsidRPr="00252A6F" w:rsidRDefault="00C4624A" w:rsidP="00461AA0">
            <w:pPr>
              <w:spacing w:beforeLines="20" w:before="48" w:afterLines="20" w:after="48"/>
              <w:jc w:val="center"/>
              <w:rPr>
                <w:noProof/>
                <w:sz w:val="16"/>
                <w:szCs w:val="16"/>
              </w:rPr>
            </w:pPr>
            <w:r w:rsidRPr="00252A6F">
              <w:rPr>
                <w:noProof/>
                <w:sz w:val="16"/>
              </w:rPr>
              <w:t>5,4</w:t>
            </w:r>
          </w:p>
        </w:tc>
        <w:tc>
          <w:tcPr>
            <w:tcW w:w="731" w:type="dxa"/>
            <w:shd w:val="clear" w:color="auto" w:fill="auto"/>
            <w:vAlign w:val="center"/>
          </w:tcPr>
          <w:p w14:paraId="4765A1E1" w14:textId="77777777" w:rsidR="00C4624A" w:rsidRPr="00252A6F" w:rsidRDefault="00C4624A" w:rsidP="00461AA0">
            <w:pPr>
              <w:spacing w:beforeLines="20" w:before="48" w:afterLines="20" w:after="48"/>
              <w:jc w:val="center"/>
              <w:rPr>
                <w:noProof/>
                <w:sz w:val="16"/>
                <w:szCs w:val="16"/>
              </w:rPr>
            </w:pPr>
            <w:r w:rsidRPr="00252A6F">
              <w:rPr>
                <w:noProof/>
                <w:sz w:val="16"/>
              </w:rPr>
              <w:t>2,7</w:t>
            </w:r>
          </w:p>
        </w:tc>
        <w:tc>
          <w:tcPr>
            <w:tcW w:w="731" w:type="dxa"/>
            <w:shd w:val="clear" w:color="auto" w:fill="auto"/>
            <w:vAlign w:val="center"/>
          </w:tcPr>
          <w:p w14:paraId="2100006B" w14:textId="77777777" w:rsidR="00C4624A" w:rsidRPr="00252A6F" w:rsidRDefault="00C4624A" w:rsidP="00461AA0">
            <w:pPr>
              <w:spacing w:beforeLines="20" w:before="48" w:afterLines="20" w:after="48"/>
              <w:jc w:val="center"/>
              <w:rPr>
                <w:noProof/>
                <w:sz w:val="16"/>
                <w:szCs w:val="16"/>
              </w:rPr>
            </w:pPr>
            <w:r w:rsidRPr="00252A6F">
              <w:rPr>
                <w:noProof/>
                <w:sz w:val="16"/>
              </w:rPr>
              <w:t>2,7</w:t>
            </w:r>
          </w:p>
        </w:tc>
        <w:tc>
          <w:tcPr>
            <w:tcW w:w="731" w:type="dxa"/>
            <w:shd w:val="clear" w:color="auto" w:fill="auto"/>
            <w:vAlign w:val="center"/>
          </w:tcPr>
          <w:p w14:paraId="181CCDE2" w14:textId="77777777" w:rsidR="00C4624A" w:rsidRPr="00252A6F" w:rsidRDefault="00C4624A" w:rsidP="00461AA0">
            <w:pPr>
              <w:spacing w:beforeLines="20" w:before="48" w:afterLines="20" w:after="48"/>
              <w:jc w:val="center"/>
              <w:rPr>
                <w:noProof/>
                <w:sz w:val="16"/>
                <w:szCs w:val="16"/>
              </w:rPr>
            </w:pPr>
            <w:r w:rsidRPr="00252A6F">
              <w:rPr>
                <w:noProof/>
                <w:sz w:val="16"/>
              </w:rPr>
              <w:t>0,45</w:t>
            </w:r>
          </w:p>
        </w:tc>
        <w:tc>
          <w:tcPr>
            <w:tcW w:w="785" w:type="dxa"/>
            <w:vAlign w:val="center"/>
          </w:tcPr>
          <w:p w14:paraId="241315BE" w14:textId="77777777" w:rsidR="00C4624A" w:rsidRPr="00252A6F" w:rsidRDefault="00C4624A" w:rsidP="00461AA0">
            <w:pPr>
              <w:spacing w:beforeLines="20" w:before="48" w:afterLines="20" w:after="48"/>
              <w:rPr>
                <w:noProof/>
                <w:sz w:val="16"/>
                <w:szCs w:val="16"/>
              </w:rPr>
            </w:pPr>
            <w:r w:rsidRPr="00252A6F">
              <w:rPr>
                <w:noProof/>
                <w:sz w:val="16"/>
              </w:rPr>
              <w:t>0,45</w:t>
            </w:r>
          </w:p>
        </w:tc>
        <w:tc>
          <w:tcPr>
            <w:tcW w:w="850" w:type="dxa"/>
            <w:vAlign w:val="center"/>
          </w:tcPr>
          <w:p w14:paraId="0B35EE2C" w14:textId="77777777" w:rsidR="00C4624A" w:rsidRPr="00252A6F" w:rsidRDefault="00C4624A" w:rsidP="00461AA0">
            <w:pPr>
              <w:spacing w:beforeLines="20" w:before="48" w:afterLines="20" w:after="48"/>
              <w:rPr>
                <w:noProof/>
                <w:sz w:val="16"/>
                <w:szCs w:val="16"/>
              </w:rPr>
            </w:pPr>
            <w:r w:rsidRPr="00252A6F">
              <w:rPr>
                <w:noProof/>
                <w:sz w:val="16"/>
              </w:rPr>
              <w:t>0,45</w:t>
            </w:r>
          </w:p>
        </w:tc>
        <w:tc>
          <w:tcPr>
            <w:tcW w:w="993" w:type="dxa"/>
            <w:shd w:val="clear" w:color="auto" w:fill="auto"/>
            <w:vAlign w:val="center"/>
          </w:tcPr>
          <w:p w14:paraId="2EFEC0CA" w14:textId="77777777" w:rsidR="00C4624A" w:rsidRPr="00252A6F" w:rsidRDefault="00C4624A" w:rsidP="00461AA0">
            <w:pPr>
              <w:spacing w:beforeLines="20" w:before="48" w:afterLines="20" w:after="48"/>
              <w:jc w:val="center"/>
              <w:rPr>
                <w:noProof/>
                <w:sz w:val="16"/>
                <w:szCs w:val="16"/>
              </w:rPr>
            </w:pPr>
            <w:r w:rsidRPr="00252A6F">
              <w:rPr>
                <w:noProof/>
                <w:sz w:val="16"/>
              </w:rPr>
              <w:t>12,15</w:t>
            </w:r>
          </w:p>
        </w:tc>
      </w:tr>
      <w:tr w:rsidR="00C4624A" w:rsidRPr="00252A6F" w14:paraId="3A4BEF12" w14:textId="77777777" w:rsidTr="00461AA0">
        <w:trPr>
          <w:gridBefore w:val="1"/>
          <w:wBefore w:w="15" w:type="dxa"/>
          <w:trHeight w:val="289"/>
          <w:jc w:val="center"/>
        </w:trPr>
        <w:tc>
          <w:tcPr>
            <w:tcW w:w="4754" w:type="dxa"/>
            <w:gridSpan w:val="5"/>
            <w:shd w:val="clear" w:color="auto" w:fill="auto"/>
            <w:vAlign w:val="center"/>
          </w:tcPr>
          <w:p w14:paraId="153ED782" w14:textId="77777777" w:rsidR="00C4624A" w:rsidRPr="00252A6F" w:rsidRDefault="00C4624A" w:rsidP="00461AA0">
            <w:pPr>
              <w:pStyle w:val="Text1"/>
              <w:spacing w:beforeLines="20" w:before="48" w:afterLines="20" w:after="48"/>
              <w:ind w:left="134"/>
              <w:jc w:val="left"/>
              <w:rPr>
                <w:noProof/>
                <w:sz w:val="16"/>
                <w:szCs w:val="16"/>
              </w:rPr>
            </w:pPr>
            <w:r w:rsidRPr="00252A6F">
              <w:rPr>
                <w:noProof/>
                <w:sz w:val="16"/>
              </w:rPr>
              <w:t>20 01 02 03 (delegacije)</w:t>
            </w:r>
          </w:p>
        </w:tc>
        <w:tc>
          <w:tcPr>
            <w:tcW w:w="731" w:type="dxa"/>
            <w:shd w:val="clear" w:color="auto" w:fill="auto"/>
            <w:vAlign w:val="center"/>
          </w:tcPr>
          <w:p w14:paraId="26DE6115"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3C3F27B7"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5DE35D16"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76770B60" w14:textId="77777777" w:rsidR="00C4624A" w:rsidRPr="00252A6F" w:rsidRDefault="00C4624A" w:rsidP="00461AA0">
            <w:pPr>
              <w:spacing w:beforeLines="20" w:before="48" w:afterLines="20" w:after="48"/>
              <w:jc w:val="center"/>
              <w:rPr>
                <w:noProof/>
                <w:sz w:val="16"/>
                <w:szCs w:val="16"/>
              </w:rPr>
            </w:pPr>
          </w:p>
        </w:tc>
        <w:tc>
          <w:tcPr>
            <w:tcW w:w="785" w:type="dxa"/>
          </w:tcPr>
          <w:p w14:paraId="4FFC61C7" w14:textId="77777777" w:rsidR="00C4624A" w:rsidRPr="00252A6F" w:rsidRDefault="00C4624A" w:rsidP="00461AA0">
            <w:pPr>
              <w:spacing w:beforeLines="20" w:before="48" w:afterLines="20" w:after="48"/>
              <w:jc w:val="center"/>
              <w:rPr>
                <w:noProof/>
                <w:sz w:val="16"/>
                <w:szCs w:val="16"/>
              </w:rPr>
            </w:pPr>
          </w:p>
        </w:tc>
        <w:tc>
          <w:tcPr>
            <w:tcW w:w="850" w:type="dxa"/>
          </w:tcPr>
          <w:p w14:paraId="203FEB88" w14:textId="77777777" w:rsidR="00C4624A" w:rsidRPr="00252A6F" w:rsidRDefault="00C4624A" w:rsidP="00461AA0">
            <w:pPr>
              <w:spacing w:beforeLines="20" w:before="48" w:afterLines="20" w:after="48"/>
              <w:jc w:val="center"/>
              <w:rPr>
                <w:noProof/>
                <w:sz w:val="16"/>
                <w:szCs w:val="16"/>
              </w:rPr>
            </w:pPr>
          </w:p>
        </w:tc>
        <w:tc>
          <w:tcPr>
            <w:tcW w:w="993" w:type="dxa"/>
            <w:shd w:val="clear" w:color="auto" w:fill="auto"/>
            <w:vAlign w:val="center"/>
          </w:tcPr>
          <w:p w14:paraId="4F3B8AE2" w14:textId="77777777" w:rsidR="00C4624A" w:rsidRPr="00252A6F" w:rsidRDefault="00C4624A" w:rsidP="00461AA0">
            <w:pPr>
              <w:spacing w:beforeLines="20" w:before="48" w:afterLines="20" w:after="48"/>
              <w:jc w:val="center"/>
              <w:rPr>
                <w:noProof/>
                <w:sz w:val="16"/>
                <w:szCs w:val="16"/>
              </w:rPr>
            </w:pPr>
          </w:p>
        </w:tc>
      </w:tr>
      <w:tr w:rsidR="00C4624A" w:rsidRPr="00252A6F" w14:paraId="29C9156B" w14:textId="77777777" w:rsidTr="00461AA0">
        <w:trPr>
          <w:gridBefore w:val="1"/>
          <w:wBefore w:w="15" w:type="dxa"/>
          <w:trHeight w:val="289"/>
          <w:jc w:val="center"/>
        </w:trPr>
        <w:tc>
          <w:tcPr>
            <w:tcW w:w="4754" w:type="dxa"/>
            <w:gridSpan w:val="5"/>
            <w:shd w:val="clear" w:color="auto" w:fill="auto"/>
            <w:vAlign w:val="center"/>
          </w:tcPr>
          <w:p w14:paraId="0E1F5FC2" w14:textId="77777777" w:rsidR="00C4624A" w:rsidRPr="00252A6F" w:rsidRDefault="00C4624A" w:rsidP="00461AA0">
            <w:pPr>
              <w:pStyle w:val="Text1"/>
              <w:spacing w:beforeLines="20" w:before="48" w:afterLines="20" w:after="48"/>
              <w:ind w:left="134"/>
              <w:jc w:val="left"/>
              <w:rPr>
                <w:noProof/>
                <w:sz w:val="16"/>
                <w:szCs w:val="16"/>
              </w:rPr>
            </w:pPr>
            <w:r w:rsidRPr="00252A6F">
              <w:rPr>
                <w:noProof/>
                <w:sz w:val="16"/>
              </w:rPr>
              <w:t>01 01 01 01</w:t>
            </w:r>
            <w:r w:rsidRPr="00252A6F">
              <w:rPr>
                <w:noProof/>
                <w:color w:val="000000"/>
                <w:sz w:val="20"/>
              </w:rPr>
              <w:t xml:space="preserve"> </w:t>
            </w:r>
            <w:r w:rsidRPr="00252A6F">
              <w:rPr>
                <w:noProof/>
                <w:sz w:val="16"/>
              </w:rPr>
              <w:t>(posredne raziskave)</w:t>
            </w:r>
          </w:p>
        </w:tc>
        <w:tc>
          <w:tcPr>
            <w:tcW w:w="731" w:type="dxa"/>
            <w:shd w:val="clear" w:color="auto" w:fill="auto"/>
            <w:vAlign w:val="center"/>
          </w:tcPr>
          <w:p w14:paraId="64A93D43"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4BA01E7D"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58BE7182"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1D1568BD" w14:textId="77777777" w:rsidR="00C4624A" w:rsidRPr="00252A6F" w:rsidRDefault="00C4624A" w:rsidP="00461AA0">
            <w:pPr>
              <w:spacing w:beforeLines="20" w:before="48" w:afterLines="20" w:after="48"/>
              <w:jc w:val="center"/>
              <w:rPr>
                <w:noProof/>
                <w:sz w:val="16"/>
                <w:szCs w:val="16"/>
              </w:rPr>
            </w:pPr>
          </w:p>
        </w:tc>
        <w:tc>
          <w:tcPr>
            <w:tcW w:w="785" w:type="dxa"/>
          </w:tcPr>
          <w:p w14:paraId="595FCC56" w14:textId="77777777" w:rsidR="00C4624A" w:rsidRPr="00252A6F" w:rsidRDefault="00C4624A" w:rsidP="00461AA0">
            <w:pPr>
              <w:spacing w:beforeLines="20" w:before="48" w:afterLines="20" w:after="48"/>
              <w:jc w:val="center"/>
              <w:rPr>
                <w:noProof/>
                <w:sz w:val="16"/>
                <w:szCs w:val="16"/>
              </w:rPr>
            </w:pPr>
          </w:p>
        </w:tc>
        <w:tc>
          <w:tcPr>
            <w:tcW w:w="850" w:type="dxa"/>
          </w:tcPr>
          <w:p w14:paraId="4B2EE97D" w14:textId="77777777" w:rsidR="00C4624A" w:rsidRPr="00252A6F" w:rsidRDefault="00C4624A" w:rsidP="00461AA0">
            <w:pPr>
              <w:spacing w:beforeLines="20" w:before="48" w:afterLines="20" w:after="48"/>
              <w:jc w:val="center"/>
              <w:rPr>
                <w:noProof/>
                <w:sz w:val="16"/>
                <w:szCs w:val="16"/>
              </w:rPr>
            </w:pPr>
          </w:p>
        </w:tc>
        <w:tc>
          <w:tcPr>
            <w:tcW w:w="993" w:type="dxa"/>
            <w:shd w:val="clear" w:color="auto" w:fill="auto"/>
            <w:vAlign w:val="center"/>
          </w:tcPr>
          <w:p w14:paraId="61C04FFA" w14:textId="77777777" w:rsidR="00C4624A" w:rsidRPr="00252A6F" w:rsidRDefault="00C4624A" w:rsidP="00461AA0">
            <w:pPr>
              <w:spacing w:beforeLines="20" w:before="48" w:afterLines="20" w:after="48"/>
              <w:jc w:val="center"/>
              <w:rPr>
                <w:noProof/>
                <w:sz w:val="16"/>
                <w:szCs w:val="16"/>
              </w:rPr>
            </w:pPr>
          </w:p>
        </w:tc>
      </w:tr>
      <w:tr w:rsidR="00C4624A" w:rsidRPr="00252A6F" w14:paraId="29F0C2DF" w14:textId="77777777" w:rsidTr="00461AA0">
        <w:trPr>
          <w:gridBefore w:val="1"/>
          <w:wBefore w:w="15" w:type="dxa"/>
          <w:trHeight w:val="289"/>
          <w:jc w:val="center"/>
        </w:trPr>
        <w:tc>
          <w:tcPr>
            <w:tcW w:w="4754" w:type="dxa"/>
            <w:gridSpan w:val="5"/>
            <w:shd w:val="clear" w:color="auto" w:fill="auto"/>
            <w:vAlign w:val="center"/>
          </w:tcPr>
          <w:p w14:paraId="22477D6B" w14:textId="77777777" w:rsidR="00C4624A" w:rsidRPr="00252A6F" w:rsidRDefault="00C4624A" w:rsidP="00461AA0">
            <w:pPr>
              <w:pStyle w:val="Text1"/>
              <w:spacing w:beforeLines="20" w:before="48" w:afterLines="20" w:after="48"/>
              <w:ind w:left="134"/>
              <w:jc w:val="left"/>
              <w:rPr>
                <w:noProof/>
                <w:sz w:val="16"/>
                <w:szCs w:val="16"/>
              </w:rPr>
            </w:pPr>
            <w:r w:rsidRPr="00252A6F">
              <w:rPr>
                <w:noProof/>
                <w:sz w:val="16"/>
              </w:rPr>
              <w:t xml:space="preserve"> 01 01 01 11 (neposredne raziskave)</w:t>
            </w:r>
          </w:p>
        </w:tc>
        <w:tc>
          <w:tcPr>
            <w:tcW w:w="731" w:type="dxa"/>
            <w:shd w:val="clear" w:color="auto" w:fill="auto"/>
            <w:vAlign w:val="center"/>
          </w:tcPr>
          <w:p w14:paraId="2BA339A7"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2FE795F5"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6270AD1F"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17AE654A" w14:textId="77777777" w:rsidR="00C4624A" w:rsidRPr="00252A6F" w:rsidRDefault="00C4624A" w:rsidP="00461AA0">
            <w:pPr>
              <w:spacing w:beforeLines="20" w:before="48" w:afterLines="20" w:after="48"/>
              <w:jc w:val="center"/>
              <w:rPr>
                <w:noProof/>
                <w:sz w:val="16"/>
                <w:szCs w:val="16"/>
              </w:rPr>
            </w:pPr>
          </w:p>
        </w:tc>
        <w:tc>
          <w:tcPr>
            <w:tcW w:w="785" w:type="dxa"/>
          </w:tcPr>
          <w:p w14:paraId="1870985C" w14:textId="77777777" w:rsidR="00C4624A" w:rsidRPr="00252A6F" w:rsidRDefault="00C4624A" w:rsidP="00461AA0">
            <w:pPr>
              <w:spacing w:beforeLines="20" w:before="48" w:afterLines="20" w:after="48"/>
              <w:jc w:val="center"/>
              <w:rPr>
                <w:noProof/>
                <w:sz w:val="16"/>
                <w:szCs w:val="16"/>
              </w:rPr>
            </w:pPr>
          </w:p>
        </w:tc>
        <w:tc>
          <w:tcPr>
            <w:tcW w:w="850" w:type="dxa"/>
          </w:tcPr>
          <w:p w14:paraId="3291B80C" w14:textId="77777777" w:rsidR="00C4624A" w:rsidRPr="00252A6F" w:rsidRDefault="00C4624A" w:rsidP="00461AA0">
            <w:pPr>
              <w:spacing w:beforeLines="20" w:before="48" w:afterLines="20" w:after="48"/>
              <w:jc w:val="center"/>
              <w:rPr>
                <w:noProof/>
                <w:sz w:val="16"/>
                <w:szCs w:val="16"/>
              </w:rPr>
            </w:pPr>
          </w:p>
        </w:tc>
        <w:tc>
          <w:tcPr>
            <w:tcW w:w="993" w:type="dxa"/>
            <w:shd w:val="clear" w:color="auto" w:fill="auto"/>
            <w:vAlign w:val="center"/>
          </w:tcPr>
          <w:p w14:paraId="1B4E67CC" w14:textId="77777777" w:rsidR="00C4624A" w:rsidRPr="00252A6F" w:rsidRDefault="00C4624A" w:rsidP="00461AA0">
            <w:pPr>
              <w:spacing w:beforeLines="20" w:before="48" w:afterLines="20" w:after="48"/>
              <w:jc w:val="center"/>
              <w:rPr>
                <w:noProof/>
                <w:sz w:val="16"/>
                <w:szCs w:val="16"/>
              </w:rPr>
            </w:pPr>
          </w:p>
        </w:tc>
      </w:tr>
      <w:tr w:rsidR="00C4624A" w:rsidRPr="00252A6F" w14:paraId="32872266" w14:textId="77777777" w:rsidTr="00461AA0">
        <w:trPr>
          <w:gridBefore w:val="1"/>
          <w:wBefore w:w="15" w:type="dxa"/>
          <w:trHeight w:val="289"/>
          <w:jc w:val="center"/>
        </w:trPr>
        <w:tc>
          <w:tcPr>
            <w:tcW w:w="4754" w:type="dxa"/>
            <w:gridSpan w:val="5"/>
            <w:shd w:val="clear" w:color="auto" w:fill="auto"/>
            <w:vAlign w:val="center"/>
          </w:tcPr>
          <w:p w14:paraId="14709C9D" w14:textId="77777777" w:rsidR="00C4624A" w:rsidRPr="00252A6F" w:rsidRDefault="00C4624A" w:rsidP="00461AA0">
            <w:pPr>
              <w:pStyle w:val="Text1"/>
              <w:spacing w:beforeLines="20" w:before="48" w:afterLines="20" w:after="48"/>
              <w:ind w:left="134"/>
              <w:jc w:val="left"/>
              <w:rPr>
                <w:noProof/>
                <w:sz w:val="16"/>
              </w:rPr>
            </w:pPr>
            <w:r w:rsidRPr="00252A6F">
              <w:rPr>
                <w:noProof/>
                <w:sz w:val="16"/>
              </w:rPr>
              <w:t>Druge proračunske vrstice (navedite)</w:t>
            </w:r>
          </w:p>
        </w:tc>
        <w:tc>
          <w:tcPr>
            <w:tcW w:w="731" w:type="dxa"/>
            <w:shd w:val="clear" w:color="auto" w:fill="auto"/>
            <w:vAlign w:val="center"/>
          </w:tcPr>
          <w:p w14:paraId="3F34DDF8"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6A345001"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73EE1931"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10495D0C" w14:textId="77777777" w:rsidR="00C4624A" w:rsidRPr="00252A6F" w:rsidRDefault="00C4624A" w:rsidP="00461AA0">
            <w:pPr>
              <w:spacing w:beforeLines="20" w:before="48" w:afterLines="20" w:after="48"/>
              <w:jc w:val="center"/>
              <w:rPr>
                <w:noProof/>
                <w:sz w:val="16"/>
                <w:szCs w:val="16"/>
              </w:rPr>
            </w:pPr>
          </w:p>
        </w:tc>
        <w:tc>
          <w:tcPr>
            <w:tcW w:w="785" w:type="dxa"/>
          </w:tcPr>
          <w:p w14:paraId="69834CBB" w14:textId="77777777" w:rsidR="00C4624A" w:rsidRPr="00252A6F" w:rsidRDefault="00C4624A" w:rsidP="00461AA0">
            <w:pPr>
              <w:spacing w:beforeLines="20" w:before="48" w:afterLines="20" w:after="48"/>
              <w:jc w:val="center"/>
              <w:rPr>
                <w:noProof/>
                <w:sz w:val="16"/>
                <w:szCs w:val="16"/>
              </w:rPr>
            </w:pPr>
          </w:p>
        </w:tc>
        <w:tc>
          <w:tcPr>
            <w:tcW w:w="850" w:type="dxa"/>
          </w:tcPr>
          <w:p w14:paraId="6D2384B0" w14:textId="77777777" w:rsidR="00C4624A" w:rsidRPr="00252A6F" w:rsidRDefault="00C4624A" w:rsidP="00461AA0">
            <w:pPr>
              <w:spacing w:beforeLines="20" w:before="48" w:afterLines="20" w:after="48"/>
              <w:jc w:val="center"/>
              <w:rPr>
                <w:noProof/>
                <w:sz w:val="16"/>
                <w:szCs w:val="16"/>
              </w:rPr>
            </w:pPr>
          </w:p>
        </w:tc>
        <w:tc>
          <w:tcPr>
            <w:tcW w:w="993" w:type="dxa"/>
            <w:shd w:val="clear" w:color="auto" w:fill="auto"/>
            <w:vAlign w:val="center"/>
          </w:tcPr>
          <w:p w14:paraId="06A63D37" w14:textId="77777777" w:rsidR="00C4624A" w:rsidRPr="00252A6F" w:rsidRDefault="00C4624A" w:rsidP="00461AA0">
            <w:pPr>
              <w:spacing w:beforeLines="20" w:before="48" w:afterLines="20" w:after="48"/>
              <w:jc w:val="center"/>
              <w:rPr>
                <w:noProof/>
                <w:sz w:val="16"/>
                <w:szCs w:val="16"/>
              </w:rPr>
            </w:pPr>
          </w:p>
        </w:tc>
      </w:tr>
      <w:tr w:rsidR="00C4624A" w:rsidRPr="00252A6F" w14:paraId="06C0D326" w14:textId="77777777" w:rsidTr="00461AA0">
        <w:trPr>
          <w:trHeight w:val="248"/>
          <w:jc w:val="center"/>
        </w:trPr>
        <w:tc>
          <w:tcPr>
            <w:tcW w:w="2193" w:type="dxa"/>
            <w:gridSpan w:val="2"/>
          </w:tcPr>
          <w:p w14:paraId="053F7E79" w14:textId="77777777" w:rsidR="00C4624A" w:rsidRPr="00252A6F" w:rsidRDefault="00C4624A" w:rsidP="00461AA0">
            <w:pPr>
              <w:pStyle w:val="Text1"/>
              <w:spacing w:before="60" w:after="60"/>
              <w:ind w:left="0"/>
              <w:jc w:val="left"/>
              <w:rPr>
                <w:rFonts w:eastAsia="Wingdings"/>
                <w:b/>
                <w:bCs/>
                <w:noProof/>
                <w:sz w:val="16"/>
                <w:szCs w:val="16"/>
              </w:rPr>
            </w:pPr>
          </w:p>
        </w:tc>
        <w:tc>
          <w:tcPr>
            <w:tcW w:w="2193" w:type="dxa"/>
            <w:gridSpan w:val="3"/>
          </w:tcPr>
          <w:p w14:paraId="6FE38C25" w14:textId="77777777" w:rsidR="00C4624A" w:rsidRPr="00252A6F" w:rsidRDefault="00C4624A" w:rsidP="00461AA0">
            <w:pPr>
              <w:pStyle w:val="Text1"/>
              <w:spacing w:before="60" w:after="60"/>
              <w:ind w:left="0"/>
              <w:jc w:val="left"/>
              <w:rPr>
                <w:rFonts w:eastAsia="Wingdings"/>
                <w:b/>
                <w:bCs/>
                <w:noProof/>
                <w:sz w:val="16"/>
                <w:szCs w:val="16"/>
              </w:rPr>
            </w:pPr>
          </w:p>
        </w:tc>
        <w:tc>
          <w:tcPr>
            <w:tcW w:w="5935" w:type="dxa"/>
            <w:gridSpan w:val="8"/>
            <w:shd w:val="clear" w:color="auto" w:fill="auto"/>
            <w:vAlign w:val="center"/>
          </w:tcPr>
          <w:p w14:paraId="07845D62" w14:textId="77777777" w:rsidR="00C4624A" w:rsidRPr="00252A6F" w:rsidRDefault="00C4624A" w:rsidP="00461AA0">
            <w:pPr>
              <w:pStyle w:val="Text1"/>
              <w:spacing w:before="60" w:after="60"/>
              <w:ind w:left="0"/>
              <w:jc w:val="left"/>
              <w:rPr>
                <w:b/>
                <w:noProof/>
                <w:sz w:val="16"/>
                <w:szCs w:val="16"/>
              </w:rPr>
            </w:pPr>
            <w:r w:rsidRPr="00252A6F">
              <w:rPr>
                <w:b/>
                <w:noProof/>
                <w:sz w:val="16"/>
              </w:rPr>
              <w:t>□ Zunanji sodelavci (v ekvivalentu polnega delovnega časa: EPDČ)</w:t>
            </w:r>
            <w:r w:rsidRPr="00252A6F">
              <w:rPr>
                <w:rStyle w:val="FootnoteReference"/>
                <w:b/>
                <w:bCs/>
                <w:noProof/>
                <w:sz w:val="16"/>
                <w:szCs w:val="16"/>
              </w:rPr>
              <w:footnoteReference w:id="44"/>
            </w:r>
          </w:p>
          <w:p w14:paraId="7BFF287A" w14:textId="77777777" w:rsidR="00C4624A" w:rsidRPr="00252A6F" w:rsidRDefault="00C4624A" w:rsidP="00461AA0">
            <w:pPr>
              <w:pStyle w:val="Text1"/>
              <w:spacing w:before="0" w:after="0"/>
              <w:ind w:left="0"/>
              <w:jc w:val="left"/>
              <w:rPr>
                <w:noProof/>
                <w:sz w:val="16"/>
                <w:szCs w:val="16"/>
              </w:rPr>
            </w:pPr>
          </w:p>
        </w:tc>
      </w:tr>
      <w:tr w:rsidR="00C4624A" w:rsidRPr="00252A6F" w14:paraId="1AA95883" w14:textId="77777777" w:rsidTr="00461AA0">
        <w:trPr>
          <w:gridBefore w:val="1"/>
          <w:wBefore w:w="15" w:type="dxa"/>
          <w:trHeight w:val="289"/>
          <w:jc w:val="center"/>
        </w:trPr>
        <w:tc>
          <w:tcPr>
            <w:tcW w:w="4754" w:type="dxa"/>
            <w:gridSpan w:val="5"/>
            <w:shd w:val="clear" w:color="auto" w:fill="auto"/>
            <w:vAlign w:val="center"/>
          </w:tcPr>
          <w:p w14:paraId="2E7111FA" w14:textId="77777777" w:rsidR="00C4624A" w:rsidRPr="00252A6F" w:rsidRDefault="00C4624A" w:rsidP="00461AA0">
            <w:pPr>
              <w:pStyle w:val="Text1"/>
              <w:spacing w:beforeLines="20" w:before="48" w:afterLines="20" w:after="48"/>
              <w:ind w:left="136"/>
              <w:jc w:val="left"/>
              <w:rPr>
                <w:b/>
                <w:noProof/>
                <w:sz w:val="16"/>
                <w:szCs w:val="16"/>
              </w:rPr>
            </w:pPr>
            <w:r w:rsidRPr="00252A6F">
              <w:rPr>
                <w:noProof/>
                <w:sz w:val="16"/>
              </w:rPr>
              <w:t>20 02 01</w:t>
            </w:r>
            <w:r w:rsidRPr="00252A6F">
              <w:rPr>
                <w:noProof/>
                <w:color w:val="000000"/>
                <w:sz w:val="20"/>
              </w:rPr>
              <w:t xml:space="preserve"> </w:t>
            </w:r>
            <w:r w:rsidRPr="00252A6F">
              <w:rPr>
                <w:noProof/>
                <w:sz w:val="16"/>
              </w:rPr>
              <w:t>(PU, NNS, ZU iz splošnih sredstev)</w:t>
            </w:r>
          </w:p>
        </w:tc>
        <w:tc>
          <w:tcPr>
            <w:tcW w:w="731" w:type="dxa"/>
            <w:shd w:val="clear" w:color="auto" w:fill="auto"/>
            <w:vAlign w:val="center"/>
          </w:tcPr>
          <w:p w14:paraId="42CB6E00"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1147C919"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09FA886C"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6B503D85" w14:textId="77777777" w:rsidR="00C4624A" w:rsidRPr="00252A6F" w:rsidRDefault="00C4624A" w:rsidP="00461AA0">
            <w:pPr>
              <w:spacing w:beforeLines="20" w:before="48" w:afterLines="20" w:after="48"/>
              <w:jc w:val="center"/>
              <w:rPr>
                <w:noProof/>
                <w:sz w:val="16"/>
                <w:szCs w:val="16"/>
              </w:rPr>
            </w:pPr>
          </w:p>
        </w:tc>
        <w:tc>
          <w:tcPr>
            <w:tcW w:w="785" w:type="dxa"/>
          </w:tcPr>
          <w:p w14:paraId="0055108E" w14:textId="77777777" w:rsidR="00C4624A" w:rsidRPr="00252A6F" w:rsidRDefault="00C4624A" w:rsidP="00461AA0">
            <w:pPr>
              <w:spacing w:beforeLines="20" w:before="48" w:afterLines="20" w:after="48"/>
              <w:jc w:val="center"/>
              <w:rPr>
                <w:noProof/>
                <w:sz w:val="16"/>
                <w:szCs w:val="16"/>
              </w:rPr>
            </w:pPr>
          </w:p>
        </w:tc>
        <w:tc>
          <w:tcPr>
            <w:tcW w:w="850" w:type="dxa"/>
          </w:tcPr>
          <w:p w14:paraId="5A68C72A" w14:textId="77777777" w:rsidR="00C4624A" w:rsidRPr="00252A6F" w:rsidRDefault="00C4624A" w:rsidP="00461AA0">
            <w:pPr>
              <w:spacing w:beforeLines="20" w:before="48" w:afterLines="20" w:after="48"/>
              <w:jc w:val="center"/>
              <w:rPr>
                <w:noProof/>
                <w:sz w:val="16"/>
                <w:szCs w:val="16"/>
              </w:rPr>
            </w:pPr>
          </w:p>
        </w:tc>
        <w:tc>
          <w:tcPr>
            <w:tcW w:w="993" w:type="dxa"/>
            <w:shd w:val="clear" w:color="auto" w:fill="auto"/>
            <w:vAlign w:val="center"/>
          </w:tcPr>
          <w:p w14:paraId="00AD7D37" w14:textId="77777777" w:rsidR="00C4624A" w:rsidRPr="00252A6F" w:rsidRDefault="00C4624A" w:rsidP="00461AA0">
            <w:pPr>
              <w:spacing w:beforeLines="20" w:before="48" w:afterLines="20" w:after="48"/>
              <w:jc w:val="center"/>
              <w:rPr>
                <w:noProof/>
                <w:sz w:val="16"/>
                <w:szCs w:val="16"/>
              </w:rPr>
            </w:pPr>
          </w:p>
        </w:tc>
      </w:tr>
      <w:tr w:rsidR="00C4624A" w:rsidRPr="00252A6F" w14:paraId="61CAD393" w14:textId="77777777" w:rsidTr="00461AA0">
        <w:trPr>
          <w:gridBefore w:val="1"/>
          <w:wBefore w:w="15" w:type="dxa"/>
          <w:trHeight w:val="289"/>
          <w:jc w:val="center"/>
        </w:trPr>
        <w:tc>
          <w:tcPr>
            <w:tcW w:w="4754" w:type="dxa"/>
            <w:gridSpan w:val="5"/>
            <w:shd w:val="clear" w:color="auto" w:fill="auto"/>
            <w:vAlign w:val="center"/>
          </w:tcPr>
          <w:p w14:paraId="6DB54F89" w14:textId="77777777" w:rsidR="00C4624A" w:rsidRPr="00252A6F" w:rsidRDefault="00C4624A" w:rsidP="00461AA0">
            <w:pPr>
              <w:pStyle w:val="Text1"/>
              <w:spacing w:beforeLines="20" w:before="48" w:afterLines="20" w:after="48"/>
              <w:ind w:left="136"/>
              <w:jc w:val="left"/>
              <w:rPr>
                <w:noProof/>
                <w:sz w:val="16"/>
              </w:rPr>
            </w:pPr>
            <w:r w:rsidRPr="00252A6F">
              <w:rPr>
                <w:noProof/>
                <w:sz w:val="16"/>
              </w:rPr>
              <w:t>20 02 03 (PU, LU, NNS, ZU in MSD na delegacijah)</w:t>
            </w:r>
          </w:p>
        </w:tc>
        <w:tc>
          <w:tcPr>
            <w:tcW w:w="731" w:type="dxa"/>
            <w:shd w:val="clear" w:color="auto" w:fill="auto"/>
            <w:vAlign w:val="center"/>
          </w:tcPr>
          <w:p w14:paraId="5FB93E14"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608F7EDF"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7C0329A5"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206189B7" w14:textId="77777777" w:rsidR="00C4624A" w:rsidRPr="00252A6F" w:rsidRDefault="00C4624A" w:rsidP="00461AA0">
            <w:pPr>
              <w:spacing w:beforeLines="20" w:before="48" w:afterLines="20" w:after="48"/>
              <w:jc w:val="center"/>
              <w:rPr>
                <w:noProof/>
                <w:sz w:val="16"/>
                <w:szCs w:val="16"/>
              </w:rPr>
            </w:pPr>
          </w:p>
        </w:tc>
        <w:tc>
          <w:tcPr>
            <w:tcW w:w="785" w:type="dxa"/>
          </w:tcPr>
          <w:p w14:paraId="58ED052D" w14:textId="77777777" w:rsidR="00C4624A" w:rsidRPr="00252A6F" w:rsidRDefault="00C4624A" w:rsidP="00461AA0">
            <w:pPr>
              <w:spacing w:beforeLines="20" w:before="48" w:afterLines="20" w:after="48"/>
              <w:jc w:val="center"/>
              <w:rPr>
                <w:noProof/>
                <w:sz w:val="16"/>
                <w:szCs w:val="16"/>
              </w:rPr>
            </w:pPr>
          </w:p>
        </w:tc>
        <w:tc>
          <w:tcPr>
            <w:tcW w:w="850" w:type="dxa"/>
          </w:tcPr>
          <w:p w14:paraId="17EC6512" w14:textId="77777777" w:rsidR="00C4624A" w:rsidRPr="00252A6F" w:rsidRDefault="00C4624A" w:rsidP="00461AA0">
            <w:pPr>
              <w:spacing w:beforeLines="20" w:before="48" w:afterLines="20" w:after="48"/>
              <w:jc w:val="center"/>
              <w:rPr>
                <w:noProof/>
                <w:sz w:val="16"/>
                <w:szCs w:val="16"/>
              </w:rPr>
            </w:pPr>
          </w:p>
        </w:tc>
        <w:tc>
          <w:tcPr>
            <w:tcW w:w="993" w:type="dxa"/>
            <w:shd w:val="clear" w:color="auto" w:fill="auto"/>
            <w:vAlign w:val="center"/>
          </w:tcPr>
          <w:p w14:paraId="62EE0F38" w14:textId="77777777" w:rsidR="00C4624A" w:rsidRPr="00252A6F" w:rsidRDefault="00C4624A" w:rsidP="00461AA0">
            <w:pPr>
              <w:spacing w:beforeLines="20" w:before="48" w:afterLines="20" w:after="48"/>
              <w:jc w:val="center"/>
              <w:rPr>
                <w:noProof/>
                <w:sz w:val="16"/>
                <w:szCs w:val="16"/>
              </w:rPr>
            </w:pPr>
          </w:p>
        </w:tc>
      </w:tr>
      <w:tr w:rsidR="00C4624A" w:rsidRPr="00252A6F" w14:paraId="5C913438" w14:textId="77777777" w:rsidTr="00461AA0">
        <w:trPr>
          <w:gridBefore w:val="1"/>
          <w:wBefore w:w="15" w:type="dxa"/>
          <w:trHeight w:val="289"/>
          <w:jc w:val="center"/>
        </w:trPr>
        <w:tc>
          <w:tcPr>
            <w:tcW w:w="2376" w:type="dxa"/>
            <w:gridSpan w:val="3"/>
            <w:vMerge w:val="restart"/>
            <w:shd w:val="clear" w:color="auto" w:fill="auto"/>
            <w:vAlign w:val="center"/>
          </w:tcPr>
          <w:p w14:paraId="3D238E63" w14:textId="77777777" w:rsidR="00C4624A" w:rsidRPr="00252A6F" w:rsidRDefault="00C4624A" w:rsidP="00461AA0">
            <w:pPr>
              <w:pStyle w:val="Text1"/>
              <w:spacing w:beforeLines="20" w:before="48" w:afterLines="20" w:after="48"/>
              <w:ind w:left="136"/>
              <w:jc w:val="left"/>
              <w:rPr>
                <w:b/>
                <w:noProof/>
                <w:sz w:val="16"/>
                <w:szCs w:val="16"/>
              </w:rPr>
            </w:pPr>
            <w:r w:rsidRPr="00252A6F">
              <w:rPr>
                <w:b/>
                <w:noProof/>
                <w:sz w:val="16"/>
              </w:rPr>
              <w:t>XX</w:t>
            </w:r>
            <w:r w:rsidRPr="00252A6F">
              <w:rPr>
                <w:noProof/>
                <w:sz w:val="16"/>
              </w:rPr>
              <w:t> 01 xx </w:t>
            </w:r>
            <w:r w:rsidRPr="00252A6F">
              <w:rPr>
                <w:b/>
                <w:noProof/>
                <w:sz w:val="16"/>
              </w:rPr>
              <w:t xml:space="preserve">yy zz </w:t>
            </w:r>
            <w:r w:rsidRPr="00252A6F">
              <w:rPr>
                <w:b/>
                <w:i/>
                <w:noProof/>
                <w:sz w:val="16"/>
              </w:rPr>
              <w:t xml:space="preserve"> </w:t>
            </w:r>
            <w:r w:rsidRPr="00252A6F">
              <w:rPr>
                <w:rStyle w:val="FootnoteReference"/>
                <w:b/>
                <w:bCs/>
                <w:i/>
                <w:iCs/>
                <w:noProof/>
                <w:sz w:val="16"/>
                <w:szCs w:val="16"/>
              </w:rPr>
              <w:footnoteReference w:id="45"/>
            </w:r>
          </w:p>
          <w:p w14:paraId="181A3998" w14:textId="77777777" w:rsidR="00C4624A" w:rsidRPr="00252A6F" w:rsidRDefault="00C4624A" w:rsidP="00461AA0">
            <w:pPr>
              <w:pStyle w:val="Text1"/>
              <w:spacing w:beforeLines="20" w:before="48" w:afterLines="20" w:after="48"/>
              <w:ind w:left="136"/>
              <w:jc w:val="left"/>
              <w:rPr>
                <w:b/>
                <w:noProof/>
                <w:sz w:val="16"/>
                <w:szCs w:val="16"/>
              </w:rPr>
            </w:pPr>
          </w:p>
        </w:tc>
        <w:tc>
          <w:tcPr>
            <w:tcW w:w="2378" w:type="dxa"/>
            <w:gridSpan w:val="2"/>
            <w:shd w:val="clear" w:color="auto" w:fill="auto"/>
            <w:vAlign w:val="center"/>
          </w:tcPr>
          <w:p w14:paraId="41203697" w14:textId="77777777" w:rsidR="00C4624A" w:rsidRPr="00252A6F" w:rsidRDefault="00C4624A" w:rsidP="00461AA0">
            <w:pPr>
              <w:pStyle w:val="Text1"/>
              <w:spacing w:beforeLines="20" w:before="48" w:afterLines="20" w:after="48"/>
              <w:ind w:left="136"/>
              <w:jc w:val="left"/>
              <w:rPr>
                <w:b/>
                <w:noProof/>
                <w:sz w:val="16"/>
                <w:szCs w:val="16"/>
              </w:rPr>
            </w:pPr>
            <w:r w:rsidRPr="00252A6F">
              <w:rPr>
                <w:noProof/>
                <w:sz w:val="16"/>
              </w:rPr>
              <w:t>– na sedežu</w:t>
            </w:r>
          </w:p>
          <w:p w14:paraId="0BDB0571" w14:textId="77777777" w:rsidR="00C4624A" w:rsidRPr="00252A6F" w:rsidRDefault="00C4624A" w:rsidP="00461AA0">
            <w:pPr>
              <w:pStyle w:val="Text1"/>
              <w:spacing w:beforeLines="20" w:before="48" w:afterLines="20" w:after="48"/>
              <w:ind w:left="136"/>
              <w:jc w:val="left"/>
              <w:rPr>
                <w:b/>
                <w:noProof/>
                <w:sz w:val="16"/>
                <w:szCs w:val="16"/>
              </w:rPr>
            </w:pPr>
          </w:p>
        </w:tc>
        <w:tc>
          <w:tcPr>
            <w:tcW w:w="731" w:type="dxa"/>
            <w:shd w:val="clear" w:color="auto" w:fill="auto"/>
            <w:vAlign w:val="center"/>
          </w:tcPr>
          <w:p w14:paraId="6C6C7792" w14:textId="77777777" w:rsidR="00C4624A" w:rsidRPr="00252A6F" w:rsidRDefault="00C4624A" w:rsidP="00461AA0">
            <w:pPr>
              <w:pStyle w:val="Text1"/>
              <w:spacing w:beforeLines="20" w:before="48" w:afterLines="20" w:after="48"/>
              <w:ind w:left="0"/>
              <w:rPr>
                <w:noProof/>
                <w:sz w:val="16"/>
                <w:szCs w:val="16"/>
              </w:rPr>
            </w:pPr>
          </w:p>
        </w:tc>
        <w:tc>
          <w:tcPr>
            <w:tcW w:w="731" w:type="dxa"/>
            <w:shd w:val="clear" w:color="auto" w:fill="auto"/>
            <w:vAlign w:val="center"/>
          </w:tcPr>
          <w:p w14:paraId="18340CBC"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1FD942F8"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6CEAE02F" w14:textId="77777777" w:rsidR="00C4624A" w:rsidRPr="00252A6F" w:rsidRDefault="00C4624A" w:rsidP="00461AA0">
            <w:pPr>
              <w:spacing w:beforeLines="20" w:before="48" w:afterLines="20" w:after="48"/>
              <w:jc w:val="center"/>
              <w:rPr>
                <w:noProof/>
                <w:sz w:val="16"/>
                <w:szCs w:val="16"/>
              </w:rPr>
            </w:pPr>
          </w:p>
        </w:tc>
        <w:tc>
          <w:tcPr>
            <w:tcW w:w="785" w:type="dxa"/>
          </w:tcPr>
          <w:p w14:paraId="09A75ED8" w14:textId="77777777" w:rsidR="00C4624A" w:rsidRPr="00252A6F" w:rsidRDefault="00C4624A" w:rsidP="00461AA0">
            <w:pPr>
              <w:spacing w:beforeLines="20" w:before="48" w:afterLines="20" w:after="48"/>
              <w:jc w:val="center"/>
              <w:rPr>
                <w:noProof/>
                <w:sz w:val="16"/>
                <w:szCs w:val="16"/>
              </w:rPr>
            </w:pPr>
          </w:p>
        </w:tc>
        <w:tc>
          <w:tcPr>
            <w:tcW w:w="850" w:type="dxa"/>
          </w:tcPr>
          <w:p w14:paraId="74EE2A01" w14:textId="77777777" w:rsidR="00C4624A" w:rsidRPr="00252A6F" w:rsidRDefault="00C4624A" w:rsidP="00461AA0">
            <w:pPr>
              <w:spacing w:beforeLines="20" w:before="48" w:afterLines="20" w:after="48"/>
              <w:jc w:val="center"/>
              <w:rPr>
                <w:noProof/>
                <w:sz w:val="16"/>
                <w:szCs w:val="16"/>
              </w:rPr>
            </w:pPr>
          </w:p>
        </w:tc>
        <w:tc>
          <w:tcPr>
            <w:tcW w:w="993" w:type="dxa"/>
            <w:shd w:val="clear" w:color="auto" w:fill="auto"/>
            <w:vAlign w:val="center"/>
          </w:tcPr>
          <w:p w14:paraId="6FCE68A3" w14:textId="77777777" w:rsidR="00C4624A" w:rsidRPr="00252A6F" w:rsidRDefault="00C4624A" w:rsidP="00461AA0">
            <w:pPr>
              <w:spacing w:beforeLines="20" w:before="48" w:afterLines="20" w:after="48"/>
              <w:jc w:val="center"/>
              <w:rPr>
                <w:noProof/>
                <w:sz w:val="16"/>
                <w:szCs w:val="16"/>
              </w:rPr>
            </w:pPr>
          </w:p>
        </w:tc>
      </w:tr>
      <w:tr w:rsidR="00C4624A" w:rsidRPr="00252A6F" w14:paraId="0F15012E" w14:textId="77777777" w:rsidTr="00461AA0">
        <w:trPr>
          <w:gridBefore w:val="1"/>
          <w:wBefore w:w="15" w:type="dxa"/>
          <w:trHeight w:val="289"/>
          <w:jc w:val="center"/>
        </w:trPr>
        <w:tc>
          <w:tcPr>
            <w:tcW w:w="2376" w:type="dxa"/>
            <w:gridSpan w:val="3"/>
            <w:vMerge/>
            <w:vAlign w:val="center"/>
          </w:tcPr>
          <w:p w14:paraId="498D1DB0" w14:textId="77777777" w:rsidR="00C4624A" w:rsidRPr="00252A6F" w:rsidRDefault="00C4624A" w:rsidP="00461AA0">
            <w:pPr>
              <w:pStyle w:val="Text1"/>
              <w:spacing w:beforeLines="20" w:before="48" w:afterLines="20" w:after="48"/>
              <w:ind w:left="136"/>
              <w:jc w:val="left"/>
              <w:rPr>
                <w:b/>
                <w:noProof/>
                <w:sz w:val="16"/>
                <w:szCs w:val="16"/>
              </w:rPr>
            </w:pPr>
          </w:p>
        </w:tc>
        <w:tc>
          <w:tcPr>
            <w:tcW w:w="2378" w:type="dxa"/>
            <w:gridSpan w:val="2"/>
            <w:shd w:val="clear" w:color="auto" w:fill="auto"/>
            <w:vAlign w:val="center"/>
          </w:tcPr>
          <w:p w14:paraId="45B8BE81" w14:textId="77777777" w:rsidR="00C4624A" w:rsidRPr="00252A6F" w:rsidRDefault="00C4624A" w:rsidP="00461AA0">
            <w:pPr>
              <w:pStyle w:val="Text1"/>
              <w:spacing w:beforeLines="20" w:before="48" w:afterLines="20" w:after="48"/>
              <w:ind w:left="136"/>
              <w:jc w:val="left"/>
              <w:rPr>
                <w:b/>
                <w:noProof/>
                <w:sz w:val="16"/>
                <w:szCs w:val="16"/>
              </w:rPr>
            </w:pPr>
            <w:r w:rsidRPr="00252A6F">
              <w:rPr>
                <w:noProof/>
                <w:sz w:val="16"/>
              </w:rPr>
              <w:t xml:space="preserve">– na delegacijah </w:t>
            </w:r>
          </w:p>
        </w:tc>
        <w:tc>
          <w:tcPr>
            <w:tcW w:w="731" w:type="dxa"/>
            <w:shd w:val="clear" w:color="auto" w:fill="auto"/>
            <w:vAlign w:val="center"/>
          </w:tcPr>
          <w:p w14:paraId="5B714556" w14:textId="77777777" w:rsidR="00C4624A" w:rsidRPr="00252A6F" w:rsidRDefault="00C4624A" w:rsidP="00461AA0">
            <w:pPr>
              <w:pStyle w:val="Text1"/>
              <w:spacing w:beforeLines="20" w:before="48" w:afterLines="20" w:after="48"/>
              <w:ind w:left="0"/>
              <w:rPr>
                <w:noProof/>
                <w:sz w:val="16"/>
                <w:szCs w:val="16"/>
              </w:rPr>
            </w:pPr>
          </w:p>
        </w:tc>
        <w:tc>
          <w:tcPr>
            <w:tcW w:w="731" w:type="dxa"/>
            <w:shd w:val="clear" w:color="auto" w:fill="auto"/>
            <w:vAlign w:val="center"/>
          </w:tcPr>
          <w:p w14:paraId="237DD25B"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2CFBA5EE"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4D197021" w14:textId="77777777" w:rsidR="00C4624A" w:rsidRPr="00252A6F" w:rsidRDefault="00C4624A" w:rsidP="00461AA0">
            <w:pPr>
              <w:spacing w:beforeLines="20" w:before="48" w:afterLines="20" w:after="48"/>
              <w:jc w:val="center"/>
              <w:rPr>
                <w:noProof/>
                <w:sz w:val="16"/>
                <w:szCs w:val="16"/>
              </w:rPr>
            </w:pPr>
          </w:p>
        </w:tc>
        <w:tc>
          <w:tcPr>
            <w:tcW w:w="785" w:type="dxa"/>
          </w:tcPr>
          <w:p w14:paraId="63EF8591" w14:textId="77777777" w:rsidR="00C4624A" w:rsidRPr="00252A6F" w:rsidRDefault="00C4624A" w:rsidP="00461AA0">
            <w:pPr>
              <w:spacing w:beforeLines="20" w:before="48" w:afterLines="20" w:after="48"/>
              <w:jc w:val="center"/>
              <w:rPr>
                <w:noProof/>
                <w:sz w:val="16"/>
                <w:szCs w:val="16"/>
              </w:rPr>
            </w:pPr>
          </w:p>
        </w:tc>
        <w:tc>
          <w:tcPr>
            <w:tcW w:w="850" w:type="dxa"/>
          </w:tcPr>
          <w:p w14:paraId="76E3F4DF" w14:textId="77777777" w:rsidR="00C4624A" w:rsidRPr="00252A6F" w:rsidRDefault="00C4624A" w:rsidP="00461AA0">
            <w:pPr>
              <w:spacing w:beforeLines="20" w:before="48" w:afterLines="20" w:after="48"/>
              <w:jc w:val="center"/>
              <w:rPr>
                <w:noProof/>
                <w:sz w:val="16"/>
                <w:szCs w:val="16"/>
              </w:rPr>
            </w:pPr>
          </w:p>
        </w:tc>
        <w:tc>
          <w:tcPr>
            <w:tcW w:w="993" w:type="dxa"/>
            <w:shd w:val="clear" w:color="auto" w:fill="auto"/>
            <w:vAlign w:val="center"/>
          </w:tcPr>
          <w:p w14:paraId="2236101E" w14:textId="77777777" w:rsidR="00C4624A" w:rsidRPr="00252A6F" w:rsidRDefault="00C4624A" w:rsidP="00461AA0">
            <w:pPr>
              <w:spacing w:beforeLines="20" w:before="48" w:afterLines="20" w:after="48"/>
              <w:jc w:val="center"/>
              <w:rPr>
                <w:noProof/>
                <w:sz w:val="16"/>
                <w:szCs w:val="16"/>
              </w:rPr>
            </w:pPr>
          </w:p>
        </w:tc>
      </w:tr>
      <w:tr w:rsidR="00C4624A" w:rsidRPr="00252A6F" w14:paraId="0FC5566E" w14:textId="77777777" w:rsidTr="00461AA0">
        <w:trPr>
          <w:gridBefore w:val="1"/>
          <w:wBefore w:w="15" w:type="dxa"/>
          <w:trHeight w:val="289"/>
          <w:jc w:val="center"/>
        </w:trPr>
        <w:tc>
          <w:tcPr>
            <w:tcW w:w="4754" w:type="dxa"/>
            <w:gridSpan w:val="5"/>
            <w:shd w:val="clear" w:color="auto" w:fill="auto"/>
            <w:vAlign w:val="center"/>
          </w:tcPr>
          <w:p w14:paraId="33DAF09E" w14:textId="77777777" w:rsidR="00C4624A" w:rsidRPr="00252A6F" w:rsidRDefault="00C4624A" w:rsidP="00461AA0">
            <w:pPr>
              <w:pStyle w:val="Text1"/>
              <w:spacing w:beforeLines="20" w:before="48" w:afterLines="20" w:after="48"/>
              <w:ind w:left="136"/>
              <w:jc w:val="left"/>
              <w:rPr>
                <w:noProof/>
                <w:sz w:val="16"/>
                <w:szCs w:val="16"/>
              </w:rPr>
            </w:pPr>
            <w:r w:rsidRPr="00252A6F">
              <w:rPr>
                <w:noProof/>
                <w:sz w:val="16"/>
              </w:rPr>
              <w:t>01 01 01 02</w:t>
            </w:r>
            <w:r w:rsidRPr="00252A6F">
              <w:rPr>
                <w:noProof/>
                <w:color w:val="000000"/>
                <w:sz w:val="20"/>
              </w:rPr>
              <w:t xml:space="preserve"> </w:t>
            </w:r>
            <w:r w:rsidRPr="00252A6F">
              <w:rPr>
                <w:noProof/>
                <w:sz w:val="16"/>
              </w:rPr>
              <w:t>(PU, NNS, ZU za posredne raziskave)</w:t>
            </w:r>
          </w:p>
        </w:tc>
        <w:tc>
          <w:tcPr>
            <w:tcW w:w="731" w:type="dxa"/>
            <w:shd w:val="clear" w:color="auto" w:fill="auto"/>
            <w:vAlign w:val="center"/>
          </w:tcPr>
          <w:p w14:paraId="714DABFF"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4BCC443B"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7662692A"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38697961" w14:textId="77777777" w:rsidR="00C4624A" w:rsidRPr="00252A6F" w:rsidRDefault="00C4624A" w:rsidP="00461AA0">
            <w:pPr>
              <w:spacing w:beforeLines="20" w:before="48" w:afterLines="20" w:after="48"/>
              <w:jc w:val="center"/>
              <w:rPr>
                <w:noProof/>
                <w:sz w:val="16"/>
                <w:szCs w:val="16"/>
              </w:rPr>
            </w:pPr>
          </w:p>
        </w:tc>
        <w:tc>
          <w:tcPr>
            <w:tcW w:w="785" w:type="dxa"/>
          </w:tcPr>
          <w:p w14:paraId="4162414D" w14:textId="77777777" w:rsidR="00C4624A" w:rsidRPr="00252A6F" w:rsidRDefault="00C4624A" w:rsidP="00461AA0">
            <w:pPr>
              <w:spacing w:beforeLines="20" w:before="48" w:afterLines="20" w:after="48"/>
              <w:jc w:val="center"/>
              <w:rPr>
                <w:noProof/>
                <w:sz w:val="16"/>
                <w:szCs w:val="16"/>
              </w:rPr>
            </w:pPr>
          </w:p>
        </w:tc>
        <w:tc>
          <w:tcPr>
            <w:tcW w:w="850" w:type="dxa"/>
          </w:tcPr>
          <w:p w14:paraId="716FF040" w14:textId="77777777" w:rsidR="00C4624A" w:rsidRPr="00252A6F" w:rsidRDefault="00C4624A" w:rsidP="00461AA0">
            <w:pPr>
              <w:spacing w:beforeLines="20" w:before="48" w:afterLines="20" w:after="48"/>
              <w:jc w:val="center"/>
              <w:rPr>
                <w:noProof/>
                <w:sz w:val="16"/>
                <w:szCs w:val="16"/>
              </w:rPr>
            </w:pPr>
          </w:p>
        </w:tc>
        <w:tc>
          <w:tcPr>
            <w:tcW w:w="993" w:type="dxa"/>
            <w:shd w:val="clear" w:color="auto" w:fill="auto"/>
            <w:vAlign w:val="center"/>
          </w:tcPr>
          <w:p w14:paraId="6E60B9D0" w14:textId="77777777" w:rsidR="00C4624A" w:rsidRPr="00252A6F" w:rsidRDefault="00C4624A" w:rsidP="00461AA0">
            <w:pPr>
              <w:spacing w:beforeLines="20" w:before="48" w:afterLines="20" w:after="48"/>
              <w:jc w:val="center"/>
              <w:rPr>
                <w:noProof/>
                <w:sz w:val="16"/>
                <w:szCs w:val="16"/>
              </w:rPr>
            </w:pPr>
          </w:p>
        </w:tc>
      </w:tr>
      <w:tr w:rsidR="00C4624A" w:rsidRPr="00252A6F" w14:paraId="201102F6" w14:textId="77777777" w:rsidTr="00461AA0">
        <w:trPr>
          <w:gridBefore w:val="1"/>
          <w:wBefore w:w="15" w:type="dxa"/>
          <w:trHeight w:val="289"/>
          <w:jc w:val="center"/>
        </w:trPr>
        <w:tc>
          <w:tcPr>
            <w:tcW w:w="4754" w:type="dxa"/>
            <w:gridSpan w:val="5"/>
            <w:shd w:val="clear" w:color="auto" w:fill="auto"/>
            <w:vAlign w:val="center"/>
          </w:tcPr>
          <w:p w14:paraId="209162CD" w14:textId="77777777" w:rsidR="00C4624A" w:rsidRPr="00252A6F" w:rsidRDefault="00C4624A" w:rsidP="00461AA0">
            <w:pPr>
              <w:pStyle w:val="Text1"/>
              <w:spacing w:beforeLines="20" w:before="48" w:afterLines="20" w:after="48"/>
              <w:ind w:left="136"/>
              <w:jc w:val="left"/>
              <w:rPr>
                <w:noProof/>
                <w:color w:val="FF0000"/>
                <w:sz w:val="16"/>
                <w:szCs w:val="16"/>
              </w:rPr>
            </w:pPr>
            <w:r w:rsidRPr="00252A6F">
              <w:rPr>
                <w:noProof/>
                <w:sz w:val="16"/>
              </w:rPr>
              <w:t xml:space="preserve"> 01 01 01 12 (PU, NNS, ZU za neposredne raziskave)</w:t>
            </w:r>
          </w:p>
        </w:tc>
        <w:tc>
          <w:tcPr>
            <w:tcW w:w="731" w:type="dxa"/>
            <w:shd w:val="clear" w:color="auto" w:fill="auto"/>
            <w:vAlign w:val="center"/>
          </w:tcPr>
          <w:p w14:paraId="048805BA"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71506D56"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357F61FF"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72DF40E3" w14:textId="77777777" w:rsidR="00C4624A" w:rsidRPr="00252A6F" w:rsidRDefault="00C4624A" w:rsidP="00461AA0">
            <w:pPr>
              <w:spacing w:beforeLines="20" w:before="48" w:afterLines="20" w:after="48"/>
              <w:jc w:val="center"/>
              <w:rPr>
                <w:noProof/>
                <w:sz w:val="16"/>
                <w:szCs w:val="16"/>
              </w:rPr>
            </w:pPr>
          </w:p>
        </w:tc>
        <w:tc>
          <w:tcPr>
            <w:tcW w:w="785" w:type="dxa"/>
          </w:tcPr>
          <w:p w14:paraId="79C928B7" w14:textId="77777777" w:rsidR="00C4624A" w:rsidRPr="00252A6F" w:rsidRDefault="00C4624A" w:rsidP="00461AA0">
            <w:pPr>
              <w:spacing w:beforeLines="20" w:before="48" w:afterLines="20" w:after="48"/>
              <w:jc w:val="center"/>
              <w:rPr>
                <w:noProof/>
                <w:sz w:val="16"/>
                <w:szCs w:val="16"/>
              </w:rPr>
            </w:pPr>
          </w:p>
        </w:tc>
        <w:tc>
          <w:tcPr>
            <w:tcW w:w="850" w:type="dxa"/>
          </w:tcPr>
          <w:p w14:paraId="352BF62F" w14:textId="77777777" w:rsidR="00C4624A" w:rsidRPr="00252A6F" w:rsidRDefault="00C4624A" w:rsidP="00461AA0">
            <w:pPr>
              <w:spacing w:beforeLines="20" w:before="48" w:afterLines="20" w:after="48"/>
              <w:jc w:val="center"/>
              <w:rPr>
                <w:noProof/>
                <w:sz w:val="16"/>
                <w:szCs w:val="16"/>
              </w:rPr>
            </w:pPr>
          </w:p>
        </w:tc>
        <w:tc>
          <w:tcPr>
            <w:tcW w:w="993" w:type="dxa"/>
            <w:shd w:val="clear" w:color="auto" w:fill="auto"/>
            <w:vAlign w:val="center"/>
          </w:tcPr>
          <w:p w14:paraId="72902CBB" w14:textId="77777777" w:rsidR="00C4624A" w:rsidRPr="00252A6F" w:rsidRDefault="00C4624A" w:rsidP="00461AA0">
            <w:pPr>
              <w:spacing w:beforeLines="20" w:before="48" w:afterLines="20" w:after="48"/>
              <w:jc w:val="center"/>
              <w:rPr>
                <w:noProof/>
                <w:sz w:val="16"/>
                <w:szCs w:val="16"/>
              </w:rPr>
            </w:pPr>
          </w:p>
        </w:tc>
      </w:tr>
      <w:tr w:rsidR="00C4624A" w:rsidRPr="00252A6F" w14:paraId="27A09C77" w14:textId="77777777" w:rsidTr="00461AA0">
        <w:trPr>
          <w:gridBefore w:val="1"/>
          <w:wBefore w:w="15" w:type="dxa"/>
          <w:trHeight w:val="289"/>
          <w:jc w:val="center"/>
        </w:trPr>
        <w:tc>
          <w:tcPr>
            <w:tcW w:w="4754" w:type="dxa"/>
            <w:gridSpan w:val="5"/>
            <w:shd w:val="clear" w:color="auto" w:fill="auto"/>
            <w:vAlign w:val="center"/>
          </w:tcPr>
          <w:p w14:paraId="47AB691D" w14:textId="77777777" w:rsidR="00C4624A" w:rsidRPr="00252A6F" w:rsidRDefault="00C4624A" w:rsidP="00461AA0">
            <w:pPr>
              <w:pStyle w:val="Text1"/>
              <w:spacing w:beforeLines="20" w:before="48" w:afterLines="20" w:after="48"/>
              <w:ind w:left="136"/>
              <w:jc w:val="left"/>
              <w:rPr>
                <w:noProof/>
                <w:sz w:val="16"/>
              </w:rPr>
            </w:pPr>
            <w:r w:rsidRPr="00252A6F">
              <w:rPr>
                <w:noProof/>
                <w:sz w:val="16"/>
              </w:rPr>
              <w:t>Druge proračunske vrstice (navedite)</w:t>
            </w:r>
          </w:p>
        </w:tc>
        <w:tc>
          <w:tcPr>
            <w:tcW w:w="731" w:type="dxa"/>
            <w:shd w:val="clear" w:color="auto" w:fill="auto"/>
            <w:vAlign w:val="center"/>
          </w:tcPr>
          <w:p w14:paraId="15EC5DE5"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27DAE44C"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137503BD" w14:textId="77777777" w:rsidR="00C4624A" w:rsidRPr="00252A6F" w:rsidRDefault="00C4624A" w:rsidP="00461AA0">
            <w:pPr>
              <w:spacing w:beforeLines="20" w:before="48" w:afterLines="20" w:after="48"/>
              <w:jc w:val="center"/>
              <w:rPr>
                <w:noProof/>
                <w:sz w:val="16"/>
                <w:szCs w:val="16"/>
              </w:rPr>
            </w:pPr>
          </w:p>
        </w:tc>
        <w:tc>
          <w:tcPr>
            <w:tcW w:w="731" w:type="dxa"/>
            <w:shd w:val="clear" w:color="auto" w:fill="auto"/>
            <w:vAlign w:val="center"/>
          </w:tcPr>
          <w:p w14:paraId="0B1D321F" w14:textId="77777777" w:rsidR="00C4624A" w:rsidRPr="00252A6F" w:rsidRDefault="00C4624A" w:rsidP="00461AA0">
            <w:pPr>
              <w:spacing w:beforeLines="20" w:before="48" w:afterLines="20" w:after="48"/>
              <w:jc w:val="center"/>
              <w:rPr>
                <w:noProof/>
                <w:sz w:val="16"/>
                <w:szCs w:val="16"/>
              </w:rPr>
            </w:pPr>
          </w:p>
        </w:tc>
        <w:tc>
          <w:tcPr>
            <w:tcW w:w="785" w:type="dxa"/>
          </w:tcPr>
          <w:p w14:paraId="7A18752C" w14:textId="77777777" w:rsidR="00C4624A" w:rsidRPr="00252A6F" w:rsidRDefault="00C4624A" w:rsidP="00461AA0">
            <w:pPr>
              <w:spacing w:beforeLines="20" w:before="48" w:afterLines="20" w:after="48"/>
              <w:jc w:val="center"/>
              <w:rPr>
                <w:noProof/>
                <w:sz w:val="16"/>
                <w:szCs w:val="16"/>
              </w:rPr>
            </w:pPr>
          </w:p>
        </w:tc>
        <w:tc>
          <w:tcPr>
            <w:tcW w:w="850" w:type="dxa"/>
          </w:tcPr>
          <w:p w14:paraId="175415BE" w14:textId="77777777" w:rsidR="00C4624A" w:rsidRPr="00252A6F" w:rsidRDefault="00C4624A" w:rsidP="00461AA0">
            <w:pPr>
              <w:spacing w:beforeLines="20" w:before="48" w:afterLines="20" w:after="48"/>
              <w:jc w:val="center"/>
              <w:rPr>
                <w:noProof/>
                <w:sz w:val="16"/>
                <w:szCs w:val="16"/>
              </w:rPr>
            </w:pPr>
          </w:p>
        </w:tc>
        <w:tc>
          <w:tcPr>
            <w:tcW w:w="993" w:type="dxa"/>
            <w:shd w:val="clear" w:color="auto" w:fill="auto"/>
            <w:vAlign w:val="center"/>
          </w:tcPr>
          <w:p w14:paraId="0FD2DE23" w14:textId="77777777" w:rsidR="00C4624A" w:rsidRPr="00252A6F" w:rsidRDefault="00C4624A" w:rsidP="00461AA0">
            <w:pPr>
              <w:spacing w:beforeLines="20" w:before="48" w:afterLines="20" w:after="48"/>
              <w:jc w:val="center"/>
              <w:rPr>
                <w:noProof/>
                <w:sz w:val="16"/>
                <w:szCs w:val="16"/>
              </w:rPr>
            </w:pPr>
          </w:p>
        </w:tc>
      </w:tr>
      <w:tr w:rsidR="00C4624A" w:rsidRPr="00252A6F" w14:paraId="523E177B" w14:textId="77777777" w:rsidTr="00461AA0">
        <w:trPr>
          <w:gridBefore w:val="1"/>
          <w:wBefore w:w="15" w:type="dxa"/>
          <w:trHeight w:val="289"/>
          <w:jc w:val="center"/>
        </w:trPr>
        <w:tc>
          <w:tcPr>
            <w:tcW w:w="4754" w:type="dxa"/>
            <w:gridSpan w:val="5"/>
            <w:tcBorders>
              <w:top w:val="double" w:sz="4" w:space="0" w:color="auto"/>
            </w:tcBorders>
            <w:shd w:val="clear" w:color="auto" w:fill="auto"/>
            <w:vAlign w:val="center"/>
          </w:tcPr>
          <w:p w14:paraId="579F3A1A" w14:textId="77777777" w:rsidR="00C4624A" w:rsidRPr="00252A6F" w:rsidRDefault="00C4624A" w:rsidP="00461AA0">
            <w:pPr>
              <w:pStyle w:val="Text1"/>
              <w:spacing w:beforeLines="20" w:before="48" w:afterLines="20" w:after="48"/>
              <w:ind w:left="136"/>
              <w:jc w:val="left"/>
              <w:rPr>
                <w:noProof/>
                <w:sz w:val="16"/>
                <w:szCs w:val="16"/>
              </w:rPr>
            </w:pPr>
            <w:r w:rsidRPr="00252A6F">
              <w:rPr>
                <w:b/>
                <w:noProof/>
                <w:sz w:val="16"/>
              </w:rPr>
              <w:t>SKUPAJ</w:t>
            </w:r>
          </w:p>
        </w:tc>
        <w:tc>
          <w:tcPr>
            <w:tcW w:w="731" w:type="dxa"/>
            <w:tcBorders>
              <w:top w:val="double" w:sz="4" w:space="0" w:color="auto"/>
            </w:tcBorders>
            <w:shd w:val="clear" w:color="auto" w:fill="auto"/>
            <w:vAlign w:val="center"/>
          </w:tcPr>
          <w:p w14:paraId="1284CC1E" w14:textId="77777777" w:rsidR="00C4624A" w:rsidRPr="00252A6F" w:rsidRDefault="00C4624A" w:rsidP="00461AA0">
            <w:pPr>
              <w:spacing w:beforeLines="20" w:before="48" w:afterLines="20" w:after="48"/>
              <w:jc w:val="center"/>
              <w:rPr>
                <w:b/>
                <w:bCs/>
                <w:noProof/>
                <w:sz w:val="16"/>
                <w:szCs w:val="16"/>
              </w:rPr>
            </w:pPr>
            <w:r w:rsidRPr="00252A6F">
              <w:rPr>
                <w:noProof/>
                <w:sz w:val="16"/>
              </w:rPr>
              <w:t>5,4</w:t>
            </w:r>
          </w:p>
        </w:tc>
        <w:tc>
          <w:tcPr>
            <w:tcW w:w="731" w:type="dxa"/>
            <w:tcBorders>
              <w:top w:val="double" w:sz="4" w:space="0" w:color="auto"/>
            </w:tcBorders>
            <w:shd w:val="clear" w:color="auto" w:fill="auto"/>
            <w:vAlign w:val="center"/>
          </w:tcPr>
          <w:p w14:paraId="0B97581E" w14:textId="77777777" w:rsidR="00C4624A" w:rsidRPr="00252A6F" w:rsidRDefault="00C4624A" w:rsidP="00461AA0">
            <w:pPr>
              <w:spacing w:beforeLines="20" w:before="48" w:afterLines="20" w:after="48"/>
              <w:jc w:val="center"/>
              <w:rPr>
                <w:b/>
                <w:bCs/>
                <w:noProof/>
                <w:sz w:val="16"/>
                <w:szCs w:val="16"/>
              </w:rPr>
            </w:pPr>
            <w:r w:rsidRPr="00252A6F">
              <w:rPr>
                <w:noProof/>
                <w:sz w:val="16"/>
              </w:rPr>
              <w:t>2,7</w:t>
            </w:r>
          </w:p>
        </w:tc>
        <w:tc>
          <w:tcPr>
            <w:tcW w:w="731" w:type="dxa"/>
            <w:tcBorders>
              <w:top w:val="double" w:sz="4" w:space="0" w:color="auto"/>
            </w:tcBorders>
            <w:shd w:val="clear" w:color="auto" w:fill="auto"/>
            <w:vAlign w:val="center"/>
          </w:tcPr>
          <w:p w14:paraId="481C39BC" w14:textId="77777777" w:rsidR="00C4624A" w:rsidRPr="00252A6F" w:rsidRDefault="00C4624A" w:rsidP="00461AA0">
            <w:pPr>
              <w:spacing w:beforeLines="20" w:before="48" w:afterLines="20" w:after="48"/>
              <w:jc w:val="center"/>
              <w:rPr>
                <w:b/>
                <w:bCs/>
                <w:noProof/>
                <w:sz w:val="16"/>
                <w:szCs w:val="16"/>
              </w:rPr>
            </w:pPr>
            <w:r w:rsidRPr="00252A6F">
              <w:rPr>
                <w:noProof/>
                <w:sz w:val="16"/>
              </w:rPr>
              <w:t>2,7</w:t>
            </w:r>
          </w:p>
        </w:tc>
        <w:tc>
          <w:tcPr>
            <w:tcW w:w="731" w:type="dxa"/>
            <w:tcBorders>
              <w:top w:val="double" w:sz="4" w:space="0" w:color="auto"/>
            </w:tcBorders>
            <w:shd w:val="clear" w:color="auto" w:fill="auto"/>
            <w:vAlign w:val="center"/>
          </w:tcPr>
          <w:p w14:paraId="7DDFBC08" w14:textId="77777777" w:rsidR="00C4624A" w:rsidRPr="00252A6F" w:rsidRDefault="00C4624A" w:rsidP="00461AA0">
            <w:pPr>
              <w:spacing w:beforeLines="20" w:before="48" w:afterLines="20" w:after="48"/>
              <w:jc w:val="center"/>
              <w:rPr>
                <w:b/>
                <w:bCs/>
                <w:noProof/>
                <w:sz w:val="16"/>
                <w:szCs w:val="16"/>
              </w:rPr>
            </w:pPr>
            <w:r w:rsidRPr="00252A6F">
              <w:rPr>
                <w:noProof/>
                <w:sz w:val="16"/>
              </w:rPr>
              <w:t>0,45</w:t>
            </w:r>
          </w:p>
        </w:tc>
        <w:tc>
          <w:tcPr>
            <w:tcW w:w="785" w:type="dxa"/>
            <w:tcBorders>
              <w:top w:val="double" w:sz="4" w:space="0" w:color="auto"/>
            </w:tcBorders>
            <w:vAlign w:val="center"/>
          </w:tcPr>
          <w:p w14:paraId="0B3D7DD7" w14:textId="77777777" w:rsidR="00C4624A" w:rsidRPr="00252A6F" w:rsidRDefault="00C4624A" w:rsidP="00461AA0">
            <w:pPr>
              <w:spacing w:beforeLines="20" w:before="48" w:afterLines="20" w:after="48"/>
              <w:jc w:val="center"/>
              <w:rPr>
                <w:b/>
                <w:bCs/>
                <w:noProof/>
                <w:sz w:val="16"/>
                <w:szCs w:val="16"/>
              </w:rPr>
            </w:pPr>
            <w:r w:rsidRPr="00252A6F">
              <w:rPr>
                <w:noProof/>
                <w:sz w:val="16"/>
              </w:rPr>
              <w:t>0,45</w:t>
            </w:r>
          </w:p>
        </w:tc>
        <w:tc>
          <w:tcPr>
            <w:tcW w:w="850" w:type="dxa"/>
            <w:tcBorders>
              <w:top w:val="double" w:sz="4" w:space="0" w:color="auto"/>
            </w:tcBorders>
            <w:vAlign w:val="center"/>
          </w:tcPr>
          <w:p w14:paraId="51114931" w14:textId="77777777" w:rsidR="00C4624A" w:rsidRPr="00252A6F" w:rsidRDefault="00C4624A" w:rsidP="00461AA0">
            <w:pPr>
              <w:spacing w:beforeLines="20" w:before="48" w:afterLines="20" w:after="48"/>
              <w:jc w:val="center"/>
              <w:rPr>
                <w:b/>
                <w:bCs/>
                <w:noProof/>
                <w:sz w:val="16"/>
                <w:szCs w:val="16"/>
              </w:rPr>
            </w:pPr>
            <w:r w:rsidRPr="00252A6F">
              <w:rPr>
                <w:noProof/>
                <w:sz w:val="16"/>
              </w:rPr>
              <w:t>0,45</w:t>
            </w:r>
          </w:p>
        </w:tc>
        <w:tc>
          <w:tcPr>
            <w:tcW w:w="993" w:type="dxa"/>
            <w:tcBorders>
              <w:top w:val="double" w:sz="4" w:space="0" w:color="auto"/>
            </w:tcBorders>
            <w:shd w:val="clear" w:color="auto" w:fill="auto"/>
            <w:vAlign w:val="center"/>
          </w:tcPr>
          <w:p w14:paraId="1F31BD76" w14:textId="77777777" w:rsidR="00C4624A" w:rsidRPr="00252A6F" w:rsidRDefault="00C4624A" w:rsidP="00461AA0">
            <w:pPr>
              <w:spacing w:beforeLines="20" w:before="48" w:afterLines="20" w:after="48"/>
              <w:jc w:val="center"/>
              <w:rPr>
                <w:b/>
                <w:bCs/>
                <w:noProof/>
                <w:sz w:val="16"/>
                <w:szCs w:val="16"/>
              </w:rPr>
            </w:pPr>
            <w:r w:rsidRPr="00252A6F">
              <w:rPr>
                <w:noProof/>
                <w:sz w:val="16"/>
              </w:rPr>
              <w:t>12,15</w:t>
            </w:r>
          </w:p>
        </w:tc>
      </w:tr>
    </w:tbl>
    <w:p w14:paraId="3317ABB1" w14:textId="77777777" w:rsidR="00C4624A" w:rsidRPr="00252A6F" w:rsidRDefault="00C4624A" w:rsidP="00C4624A">
      <w:pPr>
        <w:pStyle w:val="Text1"/>
        <w:spacing w:before="60" w:after="60"/>
        <w:ind w:left="851"/>
        <w:rPr>
          <w:noProof/>
          <w:sz w:val="18"/>
          <w:szCs w:val="18"/>
        </w:rPr>
      </w:pPr>
      <w:r w:rsidRPr="00252A6F">
        <w:rPr>
          <w:b/>
          <w:noProof/>
          <w:sz w:val="18"/>
        </w:rPr>
        <w:t>XX</w:t>
      </w:r>
      <w:r w:rsidRPr="00252A6F">
        <w:rPr>
          <w:noProof/>
          <w:sz w:val="18"/>
        </w:rPr>
        <w:t xml:space="preserve"> je zadevno področje ali naslov v proračunu.</w:t>
      </w:r>
    </w:p>
    <w:p w14:paraId="2E226F42" w14:textId="77777777" w:rsidR="00C4624A" w:rsidRPr="00252A6F" w:rsidRDefault="00C4624A" w:rsidP="00C4624A">
      <w:pPr>
        <w:pStyle w:val="Text1"/>
        <w:rPr>
          <w:noProof/>
          <w:sz w:val="18"/>
          <w:szCs w:val="18"/>
        </w:rPr>
      </w:pPr>
      <w:r w:rsidRPr="00252A6F">
        <w:rPr>
          <w:noProof/>
          <w:sz w:val="18"/>
        </w:rPr>
        <w:t>Potrebe po človeških virih se krijejo z osebjem GD, ki je že dodeljeno za upravljanje ukrepa in/ali je bilo prerazporejeno znotraj GD, po potrebi skupaj z dodatnimi viri, ki se lahko pristojnemu GD dodelijo v postopku letne dodelitve virov glede na proračunske omejitve.</w:t>
      </w:r>
    </w:p>
    <w:p w14:paraId="7A12F52A" w14:textId="77777777" w:rsidR="00C4624A" w:rsidRPr="00252A6F" w:rsidRDefault="00C4624A" w:rsidP="00C4624A">
      <w:pPr>
        <w:rPr>
          <w:noProof/>
          <w:sz w:val="20"/>
        </w:rPr>
      </w:pPr>
      <w:r w:rsidRPr="00252A6F">
        <w:rPr>
          <w:noProof/>
          <w:sz w:val="20"/>
        </w:rPr>
        <w:t>Opis nalog:</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C4624A" w:rsidRPr="00252A6F" w14:paraId="7BA65B2D" w14:textId="77777777" w:rsidTr="00461AA0">
        <w:tc>
          <w:tcPr>
            <w:tcW w:w="3240" w:type="dxa"/>
          </w:tcPr>
          <w:p w14:paraId="44544352" w14:textId="77777777" w:rsidR="00C4624A" w:rsidRPr="00252A6F" w:rsidRDefault="00C4624A" w:rsidP="00461AA0">
            <w:pPr>
              <w:rPr>
                <w:noProof/>
                <w:sz w:val="20"/>
              </w:rPr>
            </w:pPr>
            <w:r w:rsidRPr="00252A6F">
              <w:rPr>
                <w:noProof/>
                <w:sz w:val="20"/>
              </w:rPr>
              <w:t>Uradniki in začasni uslužbenci</w:t>
            </w:r>
          </w:p>
        </w:tc>
        <w:tc>
          <w:tcPr>
            <w:tcW w:w="7200" w:type="dxa"/>
          </w:tcPr>
          <w:p w14:paraId="6FA76C64" w14:textId="77777777" w:rsidR="00C4624A" w:rsidRPr="00252A6F" w:rsidRDefault="00C4624A" w:rsidP="00461AA0">
            <w:pPr>
              <w:spacing w:after="200"/>
              <w:rPr>
                <w:noProof/>
                <w:sz w:val="20"/>
                <w:szCs w:val="20"/>
              </w:rPr>
            </w:pPr>
            <w:r w:rsidRPr="00252A6F">
              <w:rPr>
                <w:noProof/>
                <w:sz w:val="20"/>
              </w:rPr>
              <w:t>Direktor direktorata D: nadzoruje in vodi ukrep, sodeluje s Svetom in Parlamentom za sprejetje sklepa in odobritev memoranduma o soglasju, se pogaja z ukrajinskimi organi o memorandumu o soglasju, pregleduje poročila, vodi službene obiske in ocenjuje napredek pri izpolnjevanju pogojev.</w:t>
            </w:r>
          </w:p>
          <w:p w14:paraId="04F61CBC" w14:textId="77777777" w:rsidR="00C4624A" w:rsidRPr="00252A6F" w:rsidRDefault="00C4624A" w:rsidP="00461AA0">
            <w:pPr>
              <w:spacing w:after="200"/>
              <w:rPr>
                <w:noProof/>
                <w:sz w:val="20"/>
                <w:szCs w:val="20"/>
              </w:rPr>
            </w:pPr>
            <w:r w:rsidRPr="00252A6F">
              <w:rPr>
                <w:noProof/>
                <w:sz w:val="20"/>
              </w:rPr>
              <w:t xml:space="preserve">Vodja enote/namestnik vodje enote, direktorat D: pomaga direktorju pri vodenju ukrepa, sodelovanju s Svetom in Parlamentom za sprejetje sklepa in odobritev memoranduma o soglasju, pogajanjih z ukrajinskimi organi o memorandumu o soglasju in sporazumu o posojilu (skupaj z GD za proračun), pregledovanju poročil in ocenjevanju napredka pri izpolnjevanju pogojev. </w:t>
            </w:r>
          </w:p>
          <w:p w14:paraId="70B91B0E" w14:textId="77777777" w:rsidR="00C4624A" w:rsidRPr="00252A6F" w:rsidRDefault="00C4624A" w:rsidP="00461AA0">
            <w:pPr>
              <w:rPr>
                <w:noProof/>
                <w:sz w:val="20"/>
                <w:szCs w:val="20"/>
              </w:rPr>
            </w:pPr>
            <w:r w:rsidRPr="00252A6F">
              <w:rPr>
                <w:noProof/>
                <w:sz w:val="20"/>
              </w:rPr>
              <w:t xml:space="preserve">Analitiki za ekonomske podatke, Sektor makroekonomske pomoči (direktorat D): pripravljajo sklepe in memorandum o soglasju, sodelujejo z organi in mednarodnimi finančnimi institucijami, izvajajo pregledovalne misije, pripravljajo poročila služb Komisije in postopke Komisije, povezane z upravljanjem pomoči, ter sodelujejo z zunanjimi strokovnjaki v zvezi z izvedbo operativne ocene in naknadne ocene. </w:t>
            </w:r>
          </w:p>
          <w:p w14:paraId="084FE239" w14:textId="77777777" w:rsidR="00C4624A" w:rsidRPr="00252A6F" w:rsidRDefault="00C4624A" w:rsidP="00461AA0">
            <w:pPr>
              <w:rPr>
                <w:noProof/>
                <w:sz w:val="20"/>
              </w:rPr>
            </w:pPr>
            <w:r w:rsidRPr="00252A6F">
              <w:rPr>
                <w:noProof/>
                <w:sz w:val="20"/>
              </w:rPr>
              <w:t>GD za proračun (enoti E1 in E3 pod nadzorom direktorja): pripravi sporazum o posojilu, se o njem pogaja z organi Ukrajine, zagotovi odobritev sporazuma pri pristojnih službah Komisije in poskrbi, da sporazum podpišeta obe stranki. Spremlja začetek veljavnosti sporazuma o posojilu. Pripravlja sklepe Komisije o posojilnih transakcijah, spremlja predložitve zahtevkov za sredstva, izbira banke, pripravlja in izvaja posojilne transakcije ter izplačuje finančna sredstva Ukrajini. Izvaja podporne dejavnosti urada, povezane s spremljanjem vračila posojil. Pripravlja ustrezna poročila o teh dejavnostih.</w:t>
            </w:r>
          </w:p>
        </w:tc>
      </w:tr>
      <w:tr w:rsidR="00C4624A" w:rsidRPr="00252A6F" w14:paraId="1C00F45F" w14:textId="77777777" w:rsidTr="00461AA0">
        <w:tc>
          <w:tcPr>
            <w:tcW w:w="3240" w:type="dxa"/>
          </w:tcPr>
          <w:p w14:paraId="3804CF93" w14:textId="77777777" w:rsidR="00C4624A" w:rsidRPr="00252A6F" w:rsidRDefault="00C4624A" w:rsidP="00461AA0">
            <w:pPr>
              <w:spacing w:before="60" w:after="60"/>
              <w:rPr>
                <w:noProof/>
                <w:sz w:val="20"/>
              </w:rPr>
            </w:pPr>
            <w:r w:rsidRPr="00252A6F">
              <w:rPr>
                <w:noProof/>
                <w:sz w:val="20"/>
              </w:rPr>
              <w:t>Zunanji sodelavci</w:t>
            </w:r>
          </w:p>
        </w:tc>
        <w:tc>
          <w:tcPr>
            <w:tcW w:w="7200" w:type="dxa"/>
          </w:tcPr>
          <w:p w14:paraId="2B9C088E" w14:textId="77777777" w:rsidR="00C4624A" w:rsidRPr="00252A6F" w:rsidRDefault="00C4624A" w:rsidP="00461AA0">
            <w:pPr>
              <w:rPr>
                <w:noProof/>
                <w:sz w:val="20"/>
              </w:rPr>
            </w:pPr>
            <w:r w:rsidRPr="00252A6F">
              <w:rPr>
                <w:noProof/>
                <w:sz w:val="20"/>
              </w:rPr>
              <w:t>–</w:t>
            </w:r>
          </w:p>
        </w:tc>
      </w:tr>
    </w:tbl>
    <w:p w14:paraId="6BABB09C" w14:textId="77777777" w:rsidR="00C4624A" w:rsidRPr="00252A6F" w:rsidRDefault="00C4624A" w:rsidP="00C4624A">
      <w:pPr>
        <w:rPr>
          <w:noProof/>
        </w:rPr>
      </w:pPr>
    </w:p>
    <w:p w14:paraId="34A3312E" w14:textId="684DCC0D" w:rsidR="00C4624A" w:rsidRPr="00252A6F" w:rsidRDefault="00664ED4" w:rsidP="00664ED4">
      <w:pPr>
        <w:pStyle w:val="ManualHeading3"/>
        <w:rPr>
          <w:noProof/>
        </w:rPr>
      </w:pPr>
      <w:bookmarkStart w:id="65" w:name="_Toc514938056"/>
      <w:bookmarkStart w:id="66" w:name="_Toc520485055"/>
      <w:r w:rsidRPr="00664ED4">
        <w:t>3.2.4.</w:t>
      </w:r>
      <w:r w:rsidRPr="00664ED4">
        <w:tab/>
      </w:r>
      <w:r w:rsidR="00C4624A" w:rsidRPr="00252A6F">
        <w:rPr>
          <w:noProof/>
        </w:rPr>
        <w:t>Skladnost z veljavnim večletnim finančnim okvirom</w:t>
      </w:r>
      <w:bookmarkEnd w:id="65"/>
      <w:bookmarkEnd w:id="66"/>
      <w:r w:rsidR="00C4624A" w:rsidRPr="00252A6F">
        <w:rPr>
          <w:noProof/>
        </w:rPr>
        <w:t xml:space="preserve"> </w:t>
      </w:r>
    </w:p>
    <w:p w14:paraId="73A289C0" w14:textId="77777777" w:rsidR="00C4624A" w:rsidRPr="00252A6F" w:rsidRDefault="00C4624A" w:rsidP="00C4624A">
      <w:pPr>
        <w:pStyle w:val="Text1"/>
        <w:rPr>
          <w:noProof/>
        </w:rPr>
      </w:pPr>
      <w:r w:rsidRPr="00252A6F">
        <w:rPr>
          <w:noProof/>
        </w:rPr>
        <w:t>Predlog/pobuda:</w:t>
      </w:r>
    </w:p>
    <w:p w14:paraId="3D8B7500" w14:textId="77777777" w:rsidR="00C4624A" w:rsidRPr="00252A6F" w:rsidRDefault="00C4624A" w:rsidP="00C4624A">
      <w:pPr>
        <w:pStyle w:val="ListDash1"/>
        <w:rPr>
          <w:noProof/>
        </w:rPr>
      </w:pPr>
      <w:r w:rsidRPr="00252A6F">
        <w:rPr>
          <w:rFonts w:ascii="Wingdings" w:hAnsi="Wingdings"/>
          <w:noProof/>
        </w:rPr>
        <w:t></w:t>
      </w:r>
      <w:r w:rsidRPr="00252A6F">
        <w:rPr>
          <w:noProof/>
        </w:rPr>
        <w:tab/>
        <w:t>se lahko v celoti financira s prerazporeditvijo znotraj zadevnega razdelka večletnega finančnega okvira;</w:t>
      </w:r>
    </w:p>
    <w:p w14:paraId="2A144A5B" w14:textId="77777777" w:rsidR="00C4624A" w:rsidRPr="00252A6F" w:rsidRDefault="00C4624A" w:rsidP="00C4624A">
      <w:pPr>
        <w:rPr>
          <w:noProof/>
        </w:rPr>
      </w:pPr>
    </w:p>
    <w:p w14:paraId="6775583A" w14:textId="56B13BBE" w:rsidR="00C4624A" w:rsidRPr="00252A6F" w:rsidRDefault="00664ED4" w:rsidP="00664ED4">
      <w:pPr>
        <w:pStyle w:val="ManualHeading3"/>
        <w:rPr>
          <w:noProof/>
          <w:szCs w:val="24"/>
        </w:rPr>
      </w:pPr>
      <w:bookmarkStart w:id="67" w:name="_Toc514938058"/>
      <w:bookmarkStart w:id="68" w:name="_Toc520485056"/>
      <w:r w:rsidRPr="00664ED4">
        <w:t>3.2.5.</w:t>
      </w:r>
      <w:r w:rsidRPr="00664ED4">
        <w:tab/>
      </w:r>
      <w:r w:rsidR="00C4624A" w:rsidRPr="00252A6F">
        <w:rPr>
          <w:noProof/>
        </w:rPr>
        <w:t>Udeležba tretjih oseb pri financiranju</w:t>
      </w:r>
      <w:bookmarkEnd w:id="67"/>
      <w:bookmarkEnd w:id="68"/>
      <w:r w:rsidR="00C4624A" w:rsidRPr="00252A6F">
        <w:rPr>
          <w:noProof/>
        </w:rPr>
        <w:t xml:space="preserve"> </w:t>
      </w:r>
    </w:p>
    <w:p w14:paraId="1BC69ABD" w14:textId="77777777" w:rsidR="00C4624A" w:rsidRPr="00252A6F" w:rsidRDefault="00C4624A" w:rsidP="00C4624A">
      <w:pPr>
        <w:pStyle w:val="Text1"/>
        <w:rPr>
          <w:noProof/>
        </w:rPr>
      </w:pPr>
      <w:r w:rsidRPr="00252A6F">
        <w:rPr>
          <w:noProof/>
        </w:rPr>
        <w:t>V predlogu/pobudi:</w:t>
      </w:r>
    </w:p>
    <w:p w14:paraId="2D2B0D31" w14:textId="77777777" w:rsidR="00C4624A" w:rsidRPr="00252A6F" w:rsidRDefault="00C4624A" w:rsidP="00C4624A">
      <w:pPr>
        <w:pStyle w:val="ListDash1"/>
        <w:rPr>
          <w:noProof/>
        </w:rPr>
      </w:pPr>
      <w:r w:rsidRPr="00252A6F">
        <w:rPr>
          <w:rFonts w:ascii="Wingdings" w:hAnsi="Wingdings"/>
          <w:noProof/>
        </w:rPr>
        <w:t></w:t>
      </w:r>
      <w:r w:rsidRPr="00252A6F">
        <w:rPr>
          <w:noProof/>
        </w:rPr>
        <w:tab/>
        <w:t>ni načrtovano sofinanciranje tretjih oseb;</w:t>
      </w:r>
    </w:p>
    <w:p w14:paraId="67A5E40B" w14:textId="77777777" w:rsidR="00C4624A" w:rsidRPr="00252A6F" w:rsidRDefault="00C4624A" w:rsidP="00C4624A">
      <w:pPr>
        <w:rPr>
          <w:noProof/>
        </w:rPr>
      </w:pPr>
      <w:r w:rsidRPr="00252A6F">
        <w:rPr>
          <w:noProof/>
        </w:rPr>
        <w:t>Predlog vsebuje prispevke držav članic v obliki jamstev, ki so glede na ugotovitve ustrezno orodje za zagotavljanje zaščite poleg rezervacij iz proračuna EU v višini 9 %. Prispevki v okviru teh jamstev bi morali biti vključeni v znesek odobrenih finančnih obveznosti z odstopanjem od prvega pododstavka člena 211(1) finančne uredbe. Zneski unovčitev jamstev bi se morali najprej uporabiti za izpolnitev finančnih obveznosti, ki izhajajo iz izposojanja in za dopolnitev skupnega sklada za rezervacije.</w:t>
      </w:r>
    </w:p>
    <w:p w14:paraId="622A72A1" w14:textId="77777777" w:rsidR="00C4624A" w:rsidRPr="00252A6F" w:rsidRDefault="00C4624A" w:rsidP="00C4624A">
      <w:pPr>
        <w:rPr>
          <w:noProof/>
        </w:rPr>
      </w:pPr>
    </w:p>
    <w:p w14:paraId="117C7544" w14:textId="71D6C0D9" w:rsidR="00C4624A" w:rsidRPr="00252A6F" w:rsidRDefault="00664ED4" w:rsidP="00664ED4">
      <w:pPr>
        <w:pStyle w:val="ManualHeading2"/>
        <w:rPr>
          <w:bCs/>
          <w:noProof/>
          <w:szCs w:val="24"/>
        </w:rPr>
      </w:pPr>
      <w:bookmarkStart w:id="69" w:name="_Toc514938059"/>
      <w:bookmarkStart w:id="70" w:name="_Toc520485057"/>
      <w:r w:rsidRPr="00664ED4">
        <w:t>3.3.</w:t>
      </w:r>
      <w:r w:rsidRPr="00664ED4">
        <w:tab/>
      </w:r>
      <w:r w:rsidR="00C4624A" w:rsidRPr="00252A6F">
        <w:rPr>
          <w:noProof/>
        </w:rPr>
        <w:t>Ocenjene posledice za prihodke</w:t>
      </w:r>
      <w:bookmarkEnd w:id="69"/>
      <w:bookmarkEnd w:id="70"/>
      <w:r w:rsidR="00C4624A" w:rsidRPr="00252A6F">
        <w:rPr>
          <w:noProof/>
        </w:rPr>
        <w:t xml:space="preserve"> </w:t>
      </w:r>
    </w:p>
    <w:p w14:paraId="1F5B33A5" w14:textId="0AECCE6B" w:rsidR="00D518F3" w:rsidRPr="006B3DFE" w:rsidRDefault="00C4624A" w:rsidP="00C42293">
      <w:pPr>
        <w:rPr>
          <w:noProof/>
        </w:rPr>
      </w:pPr>
      <w:r w:rsidRPr="00252A6F">
        <w:rPr>
          <w:rFonts w:ascii="Wingdings" w:hAnsi="Wingdings"/>
          <w:noProof/>
        </w:rPr>
        <w:t></w:t>
      </w:r>
      <w:r w:rsidRPr="00252A6F">
        <w:rPr>
          <w:noProof/>
        </w:rPr>
        <w:tab/>
        <w:t>Predlog/pobuda nima finančnih posledic.</w:t>
      </w:r>
    </w:p>
    <w:sectPr w:rsidR="00D518F3" w:rsidRPr="006B3DFE" w:rsidSect="00DF7915">
      <w:pgSz w:w="11907" w:h="16840" w:code="9"/>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47E19" w14:textId="77777777" w:rsidR="00B925B0" w:rsidRDefault="00B925B0" w:rsidP="00F152DC">
      <w:pPr>
        <w:spacing w:before="0" w:after="0"/>
      </w:pPr>
      <w:r>
        <w:separator/>
      </w:r>
    </w:p>
  </w:endnote>
  <w:endnote w:type="continuationSeparator" w:id="0">
    <w:p w14:paraId="2E584D52" w14:textId="77777777" w:rsidR="00B925B0" w:rsidRDefault="00B925B0" w:rsidP="00F152DC">
      <w:pPr>
        <w:spacing w:before="0" w:after="0"/>
      </w:pPr>
      <w:r>
        <w:continuationSeparator/>
      </w:r>
    </w:p>
  </w:endnote>
  <w:endnote w:type="continuationNotice" w:id="1">
    <w:p w14:paraId="3136B13F" w14:textId="77777777" w:rsidR="00B925B0" w:rsidRDefault="00B925B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F4EE6" w14:textId="17E051B7" w:rsidR="00B925B0" w:rsidRPr="00DF7915" w:rsidRDefault="00DF7915" w:rsidP="00DF7915">
    <w:pPr>
      <w:pStyle w:val="Footer"/>
      <w:rPr>
        <w:rFonts w:ascii="Arial" w:hAnsi="Arial" w:cs="Arial"/>
        <w:b/>
        <w:sz w:val="48"/>
      </w:rPr>
    </w:pPr>
    <w:r w:rsidRPr="00DF7915">
      <w:rPr>
        <w:rFonts w:ascii="Arial" w:hAnsi="Arial" w:cs="Arial"/>
        <w:b/>
        <w:sz w:val="48"/>
      </w:rPr>
      <w:t>SL</w:t>
    </w:r>
    <w:r w:rsidRPr="00DF7915">
      <w:rPr>
        <w:rFonts w:ascii="Arial" w:hAnsi="Arial" w:cs="Arial"/>
        <w:b/>
        <w:sz w:val="48"/>
      </w:rPr>
      <w:tab/>
    </w:r>
    <w:r w:rsidRPr="00DF7915">
      <w:rPr>
        <w:rFonts w:ascii="Arial" w:hAnsi="Arial" w:cs="Arial"/>
        <w:b/>
        <w:sz w:val="48"/>
      </w:rPr>
      <w:tab/>
    </w:r>
    <w:r w:rsidRPr="00DF7915">
      <w:tab/>
    </w:r>
    <w:r w:rsidRPr="00DF7915">
      <w:rPr>
        <w:rFonts w:ascii="Arial" w:hAnsi="Arial" w:cs="Arial"/>
        <w:b/>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29990" w14:textId="34B61BC8" w:rsidR="00DF7915" w:rsidRPr="00DF7915" w:rsidRDefault="00DF7915" w:rsidP="00DF7915">
    <w:pPr>
      <w:pStyle w:val="Footer"/>
      <w:rPr>
        <w:rFonts w:ascii="Arial" w:hAnsi="Arial" w:cs="Arial"/>
        <w:b/>
        <w:sz w:val="48"/>
      </w:rPr>
    </w:pPr>
    <w:r w:rsidRPr="00DF7915">
      <w:rPr>
        <w:rFonts w:ascii="Arial" w:hAnsi="Arial" w:cs="Arial"/>
        <w:b/>
        <w:sz w:val="48"/>
      </w:rPr>
      <w:t>SL</w:t>
    </w:r>
    <w:r w:rsidRPr="00DF7915">
      <w:rPr>
        <w:rFonts w:ascii="Arial" w:hAnsi="Arial" w:cs="Arial"/>
        <w:b/>
        <w:sz w:val="48"/>
      </w:rPr>
      <w:tab/>
    </w:r>
    <w:r>
      <w:fldChar w:fldCharType="begin"/>
    </w:r>
    <w:r>
      <w:instrText xml:space="preserve"> PAGE  \* MERGEFORMAT </w:instrText>
    </w:r>
    <w:r>
      <w:fldChar w:fldCharType="separate"/>
    </w:r>
    <w:r w:rsidR="00307375">
      <w:rPr>
        <w:noProof/>
      </w:rPr>
      <w:t>28</w:t>
    </w:r>
    <w:r>
      <w:fldChar w:fldCharType="end"/>
    </w:r>
    <w:r>
      <w:tab/>
    </w:r>
    <w:r w:rsidRPr="00DF7915">
      <w:tab/>
    </w:r>
    <w:r w:rsidRPr="00DF7915">
      <w:rPr>
        <w:rFonts w:ascii="Arial" w:hAnsi="Arial" w:cs="Arial"/>
        <w:b/>
        <w:sz w:val="48"/>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B2CCE" w14:textId="77777777" w:rsidR="00DF7915" w:rsidRPr="00DF7915" w:rsidRDefault="00DF7915" w:rsidP="00DF79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80EA7" w14:textId="60863AF5" w:rsidR="00DF7915" w:rsidRPr="00DF7915" w:rsidRDefault="00DF7915" w:rsidP="00DF7915">
    <w:pPr>
      <w:pStyle w:val="FooterLandscape"/>
      <w:rPr>
        <w:rFonts w:ascii="Arial" w:hAnsi="Arial" w:cs="Arial"/>
        <w:b/>
        <w:sz w:val="48"/>
      </w:rPr>
    </w:pPr>
    <w:r w:rsidRPr="00DF7915">
      <w:rPr>
        <w:rFonts w:ascii="Arial" w:hAnsi="Arial" w:cs="Arial"/>
        <w:b/>
        <w:sz w:val="48"/>
      </w:rPr>
      <w:t>SL</w:t>
    </w:r>
    <w:r w:rsidRPr="00DF791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F7915">
      <w:tab/>
    </w:r>
    <w:r w:rsidRPr="00DF7915">
      <w:rPr>
        <w:rFonts w:ascii="Arial" w:hAnsi="Arial" w:cs="Arial"/>
        <w:b/>
        <w:sz w:val="48"/>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79326" w14:textId="77777777" w:rsidR="00DF7915" w:rsidRPr="00DF7915" w:rsidRDefault="00DF7915" w:rsidP="00DF7915">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7FE5E" w14:textId="488D18F6" w:rsidR="00B925B0" w:rsidRPr="00DF7915" w:rsidRDefault="00DF7915" w:rsidP="00DF7915">
    <w:pPr>
      <w:pStyle w:val="Footer"/>
      <w:rPr>
        <w:rFonts w:ascii="Arial" w:hAnsi="Arial" w:cs="Arial"/>
        <w:b/>
        <w:sz w:val="48"/>
      </w:rPr>
    </w:pPr>
    <w:r w:rsidRPr="00DF7915">
      <w:rPr>
        <w:rFonts w:ascii="Arial" w:hAnsi="Arial" w:cs="Arial"/>
        <w:b/>
        <w:sz w:val="48"/>
      </w:rPr>
      <w:t>SL</w:t>
    </w:r>
    <w:r w:rsidRPr="00DF791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F7915">
      <w:tab/>
    </w:r>
    <w:r w:rsidRPr="00DF7915">
      <w:rPr>
        <w:rFonts w:ascii="Arial" w:hAnsi="Arial" w:cs="Arial"/>
        <w:b/>
        <w:sz w:val="48"/>
      </w:rPr>
      <w:t>SL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B98F3" w14:textId="77777777" w:rsidR="00DF7915" w:rsidRPr="00DF7915" w:rsidRDefault="00DF7915" w:rsidP="00DF7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81E1A" w14:textId="77777777" w:rsidR="00B925B0" w:rsidRDefault="00B925B0" w:rsidP="00F152DC">
      <w:pPr>
        <w:spacing w:before="0" w:after="0"/>
      </w:pPr>
      <w:r>
        <w:separator/>
      </w:r>
    </w:p>
  </w:footnote>
  <w:footnote w:type="continuationSeparator" w:id="0">
    <w:p w14:paraId="05A2A8D9" w14:textId="77777777" w:rsidR="00B925B0" w:rsidRDefault="00B925B0" w:rsidP="00F152DC">
      <w:pPr>
        <w:spacing w:before="0" w:after="0"/>
      </w:pPr>
      <w:r>
        <w:continuationSeparator/>
      </w:r>
    </w:p>
  </w:footnote>
  <w:footnote w:type="continuationNotice" w:id="1">
    <w:p w14:paraId="0DD88E40" w14:textId="77777777" w:rsidR="00B925B0" w:rsidRDefault="00B925B0">
      <w:pPr>
        <w:spacing w:before="0" w:after="0"/>
      </w:pPr>
    </w:p>
  </w:footnote>
  <w:footnote w:id="2">
    <w:p w14:paraId="59311247" w14:textId="55E2A2FF" w:rsidR="00B925B0" w:rsidRPr="00E61E28" w:rsidRDefault="00B925B0">
      <w:pPr>
        <w:pStyle w:val="FootnoteText"/>
      </w:pPr>
      <w:r>
        <w:rPr>
          <w:rStyle w:val="FootnoteReference"/>
        </w:rPr>
        <w:footnoteRef/>
      </w:r>
      <w:r>
        <w:tab/>
      </w:r>
      <w:r>
        <w:rPr>
          <w:color w:val="000000" w:themeColor="text1"/>
        </w:rPr>
        <w:t>Ukrajina je uradno zaprosila za članstvo v EU 28. februarja 2022, tj. štiri dni po ruski invaziji, 23. junija 2022 pa ji je Evropski svet podelil status države kandidatke.</w:t>
      </w:r>
    </w:p>
  </w:footnote>
  <w:footnote w:id="3">
    <w:p w14:paraId="4A970203" w14:textId="77777777" w:rsidR="00B925B0" w:rsidRPr="00E61E28" w:rsidRDefault="00B925B0">
      <w:pPr>
        <w:pStyle w:val="FootnoteText"/>
      </w:pPr>
      <w:r>
        <w:rPr>
          <w:rStyle w:val="FootnoteReference"/>
        </w:rPr>
        <w:footnoteRef/>
      </w:r>
      <w:r>
        <w:tab/>
      </w:r>
      <w:r>
        <w:rPr>
          <w:color w:val="000000" w:themeColor="text1"/>
        </w:rPr>
        <w:t>Kot je MDS potrdil Evropski komisiji v dopisu o oceni, prejetem 3. junija 2022.</w:t>
      </w:r>
    </w:p>
  </w:footnote>
  <w:footnote w:id="4">
    <w:p w14:paraId="1E350D3A" w14:textId="77777777" w:rsidR="00B925B0" w:rsidRPr="00363D66" w:rsidRDefault="00B925B0" w:rsidP="005C20C9">
      <w:pPr>
        <w:pStyle w:val="FootnoteText"/>
      </w:pPr>
      <w:r>
        <w:rPr>
          <w:rStyle w:val="FootnoteReference"/>
        </w:rPr>
        <w:footnoteRef/>
      </w:r>
      <w:r>
        <w:tab/>
        <w:t>Prvič, Ukrajinska centralna banka je bankam dovolila prodajo brezgotovinske tuje valute z namenom deponiranja zneska za najmanj tri mesece brez pravice do predčasnega zapiranja pozicij. Drugič, določene so bile strožje omejitve za kartični dvig gotovine v tuji valuti ter za transferje in plačila v tujini. Tretjič, algoritem za izračun odprtih pozicij bank v tujih valutah je bil prilagojen in bo začel veljati 1. avgusta 2022.</w:t>
      </w:r>
    </w:p>
  </w:footnote>
  <w:footnote w:id="5">
    <w:p w14:paraId="74491F44" w14:textId="4B637CB4" w:rsidR="00B925B0" w:rsidRDefault="00B925B0" w:rsidP="007F0B43">
      <w:pPr>
        <w:pStyle w:val="FootnoteText"/>
        <w:ind w:left="0" w:firstLine="0"/>
        <w:rPr>
          <w:rFonts w:eastAsia="Times New Roman"/>
          <w:color w:val="000000" w:themeColor="text1"/>
          <w:szCs w:val="24"/>
        </w:rPr>
      </w:pPr>
      <w:r>
        <w:rPr>
          <w:rStyle w:val="FootnoteReference"/>
        </w:rPr>
        <w:footnoteRef/>
      </w:r>
      <w:r>
        <w:tab/>
        <w:t>Skupina ukrajinskih upnikov vključuje Kanado, Francijo</w:t>
      </w:r>
      <w:r>
        <w:rPr>
          <w:color w:val="000000" w:themeColor="text1"/>
        </w:rPr>
        <w:t xml:space="preserve">, Nemčijo, Japonsko, Združeno kraljestvo in </w:t>
      </w:r>
      <w:r>
        <w:tab/>
      </w:r>
      <w:r>
        <w:rPr>
          <w:color w:val="000000" w:themeColor="text1"/>
        </w:rPr>
        <w:t xml:space="preserve">Združene države Amerike. Opazovalci skupine so Avstralija, Avstrija, Belgija, Brazilija, </w:t>
      </w:r>
      <w:r>
        <w:tab/>
      </w:r>
      <w:r>
        <w:rPr>
          <w:color w:val="000000" w:themeColor="text1"/>
        </w:rPr>
        <w:t xml:space="preserve">Danska, </w:t>
      </w:r>
      <w:r>
        <w:tab/>
      </w:r>
      <w:r>
        <w:rPr>
          <w:color w:val="000000" w:themeColor="text1"/>
        </w:rPr>
        <w:t xml:space="preserve">Finska, Irska, Izrael, Italija, Koreja, Nizozemska, Norveška, Španija, Švedska in </w:t>
      </w:r>
      <w:r>
        <w:tab/>
      </w:r>
      <w:r>
        <w:rPr>
          <w:color w:val="000000" w:themeColor="text1"/>
        </w:rPr>
        <w:t>Švica.</w:t>
      </w:r>
    </w:p>
  </w:footnote>
  <w:footnote w:id="6">
    <w:p w14:paraId="3441728F" w14:textId="77777777" w:rsidR="00B925B0" w:rsidRPr="0027553E" w:rsidRDefault="00B925B0">
      <w:pPr>
        <w:pStyle w:val="FootnoteText"/>
      </w:pPr>
      <w:r>
        <w:rPr>
          <w:rStyle w:val="FootnoteReference"/>
        </w:rPr>
        <w:footnoteRef/>
      </w:r>
      <w:r>
        <w:tab/>
        <w:t>Enkratni obrok izredne makrofinančne pomoči v višini do 1 milijarde EUR je bil zaključen v dveh tranšah v dveh zaporednih dneh, da bi se optimizirala povprečna obrestna mera za izposojena sredstva.</w:t>
      </w:r>
    </w:p>
  </w:footnote>
  <w:footnote w:id="7">
    <w:p w14:paraId="4DD49F5B" w14:textId="440E75D4" w:rsidR="00B925B0" w:rsidRDefault="00B925B0" w:rsidP="008C424D">
      <w:pPr>
        <w:pStyle w:val="FootnoteText"/>
      </w:pPr>
      <w:r>
        <w:rPr>
          <w:rStyle w:val="FootnoteReference"/>
        </w:rPr>
        <w:footnoteRef/>
      </w:r>
      <w:r>
        <w:tab/>
        <w:t>Ukrajinsko ministrstvo za finance v sodelovanju z MDS pričakuje, da bo proračunska podpora v četrtem četrtletju zadostno zagotovljena s trdnimi zavezami donatorjev, ki bodo nekoliko višje od 2 milijard dolarjev.</w:t>
      </w:r>
    </w:p>
  </w:footnote>
  <w:footnote w:id="8">
    <w:p w14:paraId="70F243DE" w14:textId="5C3E5BBE" w:rsidR="00B925B0" w:rsidRDefault="00B925B0" w:rsidP="008C424D">
      <w:pPr>
        <w:pStyle w:val="FootnoteText"/>
        <w:rPr>
          <w:rStyle w:val="Hyperlink"/>
        </w:rPr>
      </w:pPr>
      <w:r>
        <w:rPr>
          <w:rStyle w:val="FootnoteReference"/>
        </w:rPr>
        <w:footnoteRef/>
      </w:r>
      <w:r>
        <w:tab/>
        <w:t xml:space="preserve">Spletna stran </w:t>
      </w:r>
      <w:hyperlink r:id="rId1">
        <w:r>
          <w:rPr>
            <w:rStyle w:val="Hyperlink"/>
          </w:rPr>
          <w:t>https://eu-solidarity-ukraine.ec.europa.eu/eu-assistance-ukraine_en</w:t>
        </w:r>
      </w:hyperlink>
      <w:r>
        <w:t xml:space="preserve"> vsebuje pregled okrepljenih prizadevanj EU. </w:t>
      </w:r>
      <w:r>
        <w:rPr>
          <w:rStyle w:val="Hyperlink"/>
        </w:rPr>
        <w:t xml:space="preserve"> </w:t>
      </w:r>
    </w:p>
  </w:footnote>
  <w:footnote w:id="9">
    <w:p w14:paraId="19228560" w14:textId="01BB4A0B" w:rsidR="00B925B0" w:rsidRDefault="00B925B0" w:rsidP="00413FF9">
      <w:pPr>
        <w:pStyle w:val="FootnoteText"/>
      </w:pPr>
      <w:r>
        <w:rPr>
          <w:rStyle w:val="FootnoteReference"/>
        </w:rPr>
        <w:footnoteRef/>
      </w:r>
      <w:r>
        <w:tab/>
        <w:t>Čeprav so izpolnjevanje pogojev politike, povezanih z nujno makrofinančno pomočjo, ovirale vojne razmere, so ukrajinski organi medtem še vedno napredovali pri izvajanju pogojev politike, povezanih z nujno makrofinančno pomočjo, na primer z nedavnim imenovanjem novega vodje specializiranega protikorupcijskega tožilstva 28. julija.</w:t>
      </w:r>
    </w:p>
  </w:footnote>
  <w:footnote w:id="10">
    <w:p w14:paraId="5C6372BD" w14:textId="77777777" w:rsidR="00B925B0" w:rsidRDefault="00B925B0" w:rsidP="006745B7">
      <w:pPr>
        <w:pStyle w:val="FootnoteText"/>
      </w:pPr>
      <w:r>
        <w:rPr>
          <w:rStyle w:val="FootnoteReference"/>
        </w:rPr>
        <w:footnoteRef/>
      </w:r>
      <w:r>
        <w:tab/>
      </w:r>
      <w:hyperlink r:id="rId2" w:history="1">
        <w:r>
          <w:rPr>
            <w:rStyle w:val="Hyperlink"/>
          </w:rPr>
          <w:t>Sklep (EU) 2022/1201</w:t>
        </w:r>
      </w:hyperlink>
      <w:r>
        <w:t>.</w:t>
      </w:r>
    </w:p>
  </w:footnote>
  <w:footnote w:id="11">
    <w:p w14:paraId="776C67A6" w14:textId="22C3322B" w:rsidR="00B925B0" w:rsidRDefault="00B925B0" w:rsidP="22327288">
      <w:pPr>
        <w:rPr>
          <w:rFonts w:eastAsia="Calibri"/>
          <w:sz w:val="20"/>
          <w:szCs w:val="20"/>
        </w:rPr>
      </w:pPr>
      <w:r>
        <w:rPr>
          <w:rStyle w:val="FootnoteReference"/>
        </w:rPr>
        <w:footnoteRef/>
      </w:r>
      <w:r>
        <w:tab/>
      </w:r>
      <w:r>
        <w:rPr>
          <w:sz w:val="20"/>
        </w:rPr>
        <w:t xml:space="preserve">Uredba Sveta (EU) 2020/672 z dne 19. maja 2020 o vzpostavitvi evropskega instrumenta za začasno podporo za ublažitev tveganj za brezposelnost v izrednih razmerah (SURE) po izbruhu COVID-19. </w:t>
      </w:r>
    </w:p>
  </w:footnote>
  <w:footnote w:id="12">
    <w:p w14:paraId="76E03225" w14:textId="6907A691" w:rsidR="00B925B0" w:rsidRPr="00545633" w:rsidRDefault="00B925B0" w:rsidP="00545633">
      <w:pPr>
        <w:pStyle w:val="FootnoteText"/>
        <w:rPr>
          <w:rFonts w:eastAsia="Calibri"/>
        </w:rPr>
      </w:pPr>
      <w:r>
        <w:rPr>
          <w:rStyle w:val="FootnoteReference"/>
        </w:rPr>
        <w:footnoteRef/>
      </w:r>
      <w:r>
        <w:tab/>
        <w:t>Sklep (EU) 2022/1201 Evropskega parlamenta in Sveta z dne 12. julija 2022 o zagotavljanju izredne makrofinančne pomoči Ukrajini (UL L 186, 13.7.2022, str. 1).</w:t>
      </w:r>
    </w:p>
  </w:footnote>
  <w:footnote w:id="13">
    <w:p w14:paraId="6E35A5B5" w14:textId="77777777" w:rsidR="00B925B0" w:rsidRPr="002A6852" w:rsidRDefault="00B925B0" w:rsidP="00264A02">
      <w:pPr>
        <w:pStyle w:val="FootnoteText"/>
        <w:ind w:left="709" w:hanging="709"/>
      </w:pPr>
      <w:r>
        <w:rPr>
          <w:rStyle w:val="FootnoteReference"/>
        </w:rPr>
        <w:footnoteRef/>
      </w:r>
      <w:r>
        <w:tab/>
        <w:t>Sklep (EU) 2022/1201 Evropskega parlamenta in Sveta z dne 12. julija 2022 o zagotavljanju izredne makrofinančne pomoči Ukrajini (UL L 186, 13.7.2022, str. 1).</w:t>
      </w:r>
    </w:p>
  </w:footnote>
  <w:footnote w:id="14">
    <w:p w14:paraId="1B2303EC" w14:textId="77777777" w:rsidR="00B925B0" w:rsidRDefault="00B925B0" w:rsidP="007269D1">
      <w:pPr>
        <w:pStyle w:val="FootnoteText"/>
        <w:rPr>
          <w:rFonts w:eastAsia="Calibri"/>
        </w:rPr>
      </w:pPr>
      <w:r>
        <w:rPr>
          <w:rStyle w:val="FootnoteReference"/>
        </w:rPr>
        <w:footnoteRef/>
      </w:r>
      <w:r>
        <w:tab/>
        <w:t>Kot je MDS potrdil Evropski komisiji v dopisu o oceni, prejetem junija 2022.</w:t>
      </w:r>
    </w:p>
  </w:footnote>
  <w:footnote w:id="15">
    <w:p w14:paraId="295A2F41" w14:textId="77777777" w:rsidR="00B925B0" w:rsidRPr="0052006E" w:rsidRDefault="00B925B0" w:rsidP="00A5323B">
      <w:pPr>
        <w:pStyle w:val="FootnoteText"/>
      </w:pPr>
      <w:r>
        <w:rPr>
          <w:rStyle w:val="FootnoteReference"/>
        </w:rPr>
        <w:footnoteRef/>
      </w:r>
      <w:r>
        <w:tab/>
        <w:t>Jamstvo za zunanje delovanje krije ukrepe sklada EFSD+, krite s proračunskimi jamstvi, makrofinančno pomoč in posojila tretjim državam v skladu s členom 10(2) Uredbe (Euratom) 2021/948. Člen 31(4) uredbe o Instrumentu za sosedstvo ter razvojno in mednarodno sodelovanje – Globalna Evropa določa najvišji znesek za operacije v okviru jamstva za zunanje delovanje v višini 53 448 800 000 EUR in najvišji znesek rezervacij v višini 10 000 000 EUR.</w:t>
      </w:r>
    </w:p>
  </w:footnote>
  <w:footnote w:id="16">
    <w:p w14:paraId="03D3A523" w14:textId="77777777" w:rsidR="00B925B0" w:rsidRPr="00E87BDC" w:rsidRDefault="00B925B0" w:rsidP="00E87BDC">
      <w:pPr>
        <w:pStyle w:val="FootnoteText"/>
      </w:pPr>
      <w:r>
        <w:rPr>
          <w:rStyle w:val="FootnoteReference"/>
        </w:rPr>
        <w:footnoteRef/>
      </w:r>
      <w:r>
        <w:tab/>
      </w:r>
      <w:r>
        <w:rPr>
          <w:color w:val="000000"/>
          <w:sz w:val="19"/>
          <w:shd w:val="clear" w:color="auto" w:fill="FFFFFF"/>
        </w:rPr>
        <w:t>Stališče Evropskega parlamenta z dne 16. februarja 2022 (še ni objavljeno v Uradnem listu) in odločitev Sveta z dne 21. februarja 2022.</w:t>
      </w:r>
    </w:p>
  </w:footnote>
  <w:footnote w:id="17">
    <w:p w14:paraId="6972DEFE" w14:textId="77777777" w:rsidR="00B925B0" w:rsidRPr="00653A60" w:rsidRDefault="00B925B0" w:rsidP="00E87BDC">
      <w:pPr>
        <w:pStyle w:val="FootnoteText"/>
      </w:pPr>
      <w:r>
        <w:rPr>
          <w:rStyle w:val="FootnoteReference"/>
        </w:rPr>
        <w:footnoteRef/>
      </w:r>
      <w:r>
        <w:tab/>
      </w:r>
      <w:r>
        <w:rPr>
          <w:color w:val="000000"/>
          <w:sz w:val="19"/>
          <w:shd w:val="clear" w:color="auto" w:fill="FFFFFF"/>
        </w:rPr>
        <w:t>Sporazum o pridružitvi med Evropsko unijo in Evropsko skupnostjo za atomsko energijo in njunimi državami članicami na eni strani ter Ukrajino na drugi strani (</w:t>
      </w:r>
      <w:hyperlink r:id="rId3" w:history="1">
        <w:r>
          <w:rPr>
            <w:rStyle w:val="Hyperlink"/>
            <w:color w:val="337AB7"/>
            <w:sz w:val="19"/>
            <w:shd w:val="clear" w:color="auto" w:fill="FFFFFF"/>
          </w:rPr>
          <w:t>UL L 161, 29.5.2014, str. 3</w:t>
        </w:r>
      </w:hyperlink>
      <w:r>
        <w:rPr>
          <w:color w:val="000000"/>
          <w:sz w:val="19"/>
          <w:shd w:val="clear" w:color="auto" w:fill="FFFFFF"/>
        </w:rPr>
        <w:t>).</w:t>
      </w:r>
    </w:p>
  </w:footnote>
  <w:footnote w:id="18">
    <w:p w14:paraId="76E1A7B6" w14:textId="77777777" w:rsidR="00B925B0" w:rsidRPr="00653A60" w:rsidRDefault="00B925B0" w:rsidP="00E87BDC">
      <w:pPr>
        <w:pStyle w:val="FootnoteText"/>
      </w:pPr>
      <w:r>
        <w:rPr>
          <w:rStyle w:val="FootnoteReference"/>
        </w:rPr>
        <w:footnoteRef/>
      </w:r>
      <w:r>
        <w:tab/>
      </w:r>
      <w:r>
        <w:rPr>
          <w:color w:val="000000"/>
          <w:sz w:val="19"/>
          <w:shd w:val="clear" w:color="auto" w:fill="FFFFFF"/>
        </w:rPr>
        <w:t>Sklep (EU) 2022/313 Evropskega parlamenta in Sveta z dne 24. februarja 2022 o zagotavljanju makrofinančne pomoči Ukrajini (</w:t>
      </w:r>
      <w:hyperlink r:id="rId4" w:history="1">
        <w:r>
          <w:rPr>
            <w:rStyle w:val="Hyperlink"/>
            <w:sz w:val="19"/>
            <w:shd w:val="clear" w:color="auto" w:fill="FFFFFF"/>
          </w:rPr>
          <w:t>UL L 55, 28.2.2022, str. 4</w:t>
        </w:r>
      </w:hyperlink>
      <w:r>
        <w:rPr>
          <w:color w:val="000000"/>
          <w:sz w:val="19"/>
          <w:shd w:val="clear" w:color="auto" w:fill="FFFFFF"/>
        </w:rPr>
        <w:t>).</w:t>
      </w:r>
    </w:p>
  </w:footnote>
  <w:footnote w:id="19">
    <w:p w14:paraId="49EBF178" w14:textId="77777777" w:rsidR="00B925B0" w:rsidRPr="002A6852" w:rsidRDefault="00B925B0" w:rsidP="00264A02">
      <w:pPr>
        <w:pStyle w:val="FootnoteText"/>
        <w:ind w:left="709" w:hanging="709"/>
      </w:pPr>
      <w:r>
        <w:rPr>
          <w:rStyle w:val="FootnoteReference"/>
        </w:rPr>
        <w:footnoteRef/>
      </w:r>
      <w:r>
        <w:tab/>
        <w:t>Sklep (EU) 2022/1201 Evropskega parlamenta in Sveta z dne 12. julija 2022 o zagotavljanju izredne makrofinančne pomoči Ukrajini (UL L 186, 13.7.2022, str. 1).</w:t>
      </w:r>
    </w:p>
  </w:footnote>
  <w:footnote w:id="20">
    <w:p w14:paraId="7B9B6846" w14:textId="77777777" w:rsidR="00B925B0" w:rsidRPr="008F14A4" w:rsidRDefault="00B925B0" w:rsidP="003C2EA2">
      <w:pPr>
        <w:pStyle w:val="FootnoteText"/>
      </w:pPr>
      <w:r>
        <w:rPr>
          <w:rStyle w:val="FootnoteReference"/>
        </w:rPr>
        <w:footnoteRef/>
      </w:r>
      <w:r>
        <w:tab/>
        <w:t>Uredba (EU) št. 182/2011 Evropskega parlamenta in Sveta z dne 16. februarja 2011 o določitvi splošnih pravil in načel, na podlagi katerih države članice nadzirajo izvajanje izvedbenih pooblastil Komisije (UL L 55, 28.2.2011, str. 13).</w:t>
      </w:r>
    </w:p>
  </w:footnote>
  <w:footnote w:id="21">
    <w:p w14:paraId="13FC43E9" w14:textId="77777777" w:rsidR="00B925B0" w:rsidRPr="00A5323B" w:rsidRDefault="00B925B0" w:rsidP="00A5323B">
      <w:pPr>
        <w:pStyle w:val="FootnoteText"/>
      </w:pPr>
      <w:r>
        <w:rPr>
          <w:rStyle w:val="FootnoteReference"/>
        </w:rPr>
        <w:footnoteRef/>
      </w:r>
      <w:r>
        <w:tab/>
        <w:t>Uredba (EU) 2021/947 Evropskega parlamenta in Sveta z dne 9. junija 2021 o vzpostavitvi Instrumenta za sosedstvo ter razvojno in mednarodno sodelovanje – Globalna Evropa, spremembi in razveljavitvi Sklepa št. 466/2014/EU Evropskega parlamenta in Sveta ter razveljavitvi Uredbe (EU) 2017/1601 Evropskega parlamenta in Sveta ter Uredbe Sveta (ES, Euratom) št. 480/2009 (Besedilo velja za EGP) (UL L 209 14.6.2021, str. 1).</w:t>
      </w:r>
    </w:p>
  </w:footnote>
  <w:footnote w:id="22">
    <w:p w14:paraId="4FC60C7F" w14:textId="77777777" w:rsidR="00B925B0" w:rsidRPr="006B3DFE" w:rsidRDefault="00B925B0" w:rsidP="00EB5A43">
      <w:pPr>
        <w:pStyle w:val="FootnoteText"/>
        <w:rPr>
          <w:b/>
          <w:bCs/>
          <w:lang w:val="pt-PT"/>
        </w:rPr>
      </w:pPr>
      <w:r>
        <w:rPr>
          <w:rStyle w:val="FootnoteReference"/>
        </w:rPr>
        <w:footnoteRef/>
      </w:r>
      <w:r w:rsidRPr="006B3DFE">
        <w:rPr>
          <w:lang w:val="pt-PT"/>
        </w:rPr>
        <w:tab/>
        <w:t>Uredba Sveta (EU, Euratom) 2020/2093 z dne 17. decembra 2020 o določitvi večletnega finančnega okvira za obdobje 2021–2027 (</w:t>
      </w:r>
      <w:r w:rsidRPr="006B3DFE">
        <w:rPr>
          <w:rStyle w:val="Emphasis"/>
          <w:i w:val="0"/>
          <w:color w:val="333333"/>
          <w:shd w:val="clear" w:color="auto" w:fill="FFFFFF"/>
          <w:lang w:val="pt-PT"/>
        </w:rPr>
        <w:t>UL L 433I, 22.12.2020, str. 11).</w:t>
      </w:r>
    </w:p>
  </w:footnote>
  <w:footnote w:id="23">
    <w:p w14:paraId="7BDA4F95" w14:textId="77777777" w:rsidR="00B925B0" w:rsidRPr="006B3DFE" w:rsidRDefault="00B925B0" w:rsidP="004A7222">
      <w:pPr>
        <w:pStyle w:val="FootnoteText"/>
        <w:rPr>
          <w:lang w:val="pt-PT"/>
        </w:rPr>
      </w:pPr>
      <w:r>
        <w:rPr>
          <w:rStyle w:val="FootnoteReference"/>
        </w:rPr>
        <w:footnoteRef/>
      </w:r>
      <w:r w:rsidRPr="006B3DFE">
        <w:rPr>
          <w:lang w:val="pt-PT"/>
        </w:rPr>
        <w:tab/>
        <w:t>Sklep Sveta 2014/335/EU, Euratom z dne 26. maja 2014 o sistemu virov lastnih sredstev Evropske unije (UL L 168, 7.6.2014, str. 105).</w:t>
      </w:r>
    </w:p>
  </w:footnote>
  <w:footnote w:id="24">
    <w:p w14:paraId="012BF31B" w14:textId="77777777" w:rsidR="00B925B0" w:rsidRPr="006B3DFE" w:rsidRDefault="00B925B0" w:rsidP="00616974">
      <w:pPr>
        <w:pStyle w:val="FootnoteText"/>
        <w:tabs>
          <w:tab w:val="left" w:pos="284"/>
        </w:tabs>
        <w:ind w:left="284" w:hanging="284"/>
        <w:rPr>
          <w:lang w:val="pt-PT"/>
        </w:rPr>
      </w:pPr>
      <w:r>
        <w:rPr>
          <w:rStyle w:val="FootnoteReference"/>
        </w:rPr>
        <w:footnoteRef/>
      </w:r>
      <w:r w:rsidRPr="006B3DFE">
        <w:rPr>
          <w:lang w:val="pt-PT"/>
        </w:rPr>
        <w:tab/>
        <w:t>Sklep št. 466/2014/EU Evropskega parlamenta in Sveta z dne 16. aprila 2014 o odobritvi jamstva EU Evropski investicijski banki za izgube pri financiranju v podporo naložbenim projektom zunaj Unije (UL L 135, 8.5.2014, str. 1).</w:t>
      </w:r>
    </w:p>
  </w:footnote>
  <w:footnote w:id="25">
    <w:p w14:paraId="5F8842A2" w14:textId="77777777" w:rsidR="00B925B0" w:rsidRPr="006B3DFE" w:rsidRDefault="00B925B0" w:rsidP="000107EC">
      <w:pPr>
        <w:pStyle w:val="FootnoteText"/>
        <w:tabs>
          <w:tab w:val="left" w:pos="284"/>
        </w:tabs>
        <w:ind w:left="284" w:hanging="284"/>
        <w:rPr>
          <w:rFonts w:eastAsia="Calibri"/>
          <w:lang w:val="pt-PT"/>
        </w:rPr>
      </w:pPr>
      <w:r>
        <w:rPr>
          <w:rStyle w:val="FootnoteReference"/>
        </w:rPr>
        <w:footnoteRef/>
      </w:r>
      <w:r w:rsidRPr="006B3DFE">
        <w:rPr>
          <w:lang w:val="pt-PT"/>
        </w:rPr>
        <w:tab/>
        <w:t>Uredba (EU) 2021/947 Evropskega parlamenta in Sveta z dne 9. junija 2021 o vzpostavitvi Instrumenta za sosedstvo ter razvojno in mednarodno sodelovanje – Globalna Evropa, spremembi in razveljavitvi Sklepa št. 466/2014/EU ter razveljavitvi Uredbe (EU) 2017/1601 in Uredbe Sveta (ES, Euratom) št. 480/2009 (UL L 209, 14.6.2021, str. 1).</w:t>
      </w:r>
    </w:p>
  </w:footnote>
  <w:footnote w:id="26">
    <w:p w14:paraId="0E19FC8C" w14:textId="77777777" w:rsidR="00B925B0" w:rsidRPr="006B3DFE" w:rsidRDefault="00B925B0" w:rsidP="00A5323B">
      <w:pPr>
        <w:pStyle w:val="FootnoteText"/>
        <w:rPr>
          <w:lang w:val="pt-PT"/>
        </w:rPr>
      </w:pPr>
      <w:r>
        <w:rPr>
          <w:rStyle w:val="FootnoteReference"/>
        </w:rPr>
        <w:footnoteRef/>
      </w:r>
      <w:r w:rsidRPr="006B3DFE">
        <w:rPr>
          <w:lang w:val="pt-PT"/>
        </w:rPr>
        <w:tab/>
        <w:t>Sklep Sveta 2010/427/EU z dne 26. julija 2010 o organizaciji in delovanju Evropske službe za zunanje delovanje (UL L 201, 3.8.2010, str. 30).</w:t>
      </w:r>
    </w:p>
  </w:footnote>
  <w:footnote w:id="27">
    <w:p w14:paraId="2DBF078F" w14:textId="77777777" w:rsidR="00B925B0" w:rsidRPr="006B3DFE" w:rsidRDefault="00B925B0" w:rsidP="00C4624A">
      <w:pPr>
        <w:pStyle w:val="FootnoteText"/>
        <w:keepLines/>
        <w:rPr>
          <w:szCs w:val="24"/>
          <w:lang w:val="pt-PT"/>
        </w:rPr>
      </w:pPr>
      <w:r>
        <w:rPr>
          <w:rStyle w:val="FootnoteReference"/>
        </w:rPr>
        <w:footnoteRef/>
      </w:r>
      <w:r w:rsidRPr="006B3DFE">
        <w:rPr>
          <w:lang w:val="pt-PT"/>
        </w:rPr>
        <w:tab/>
        <w:t>ABM: upravljanje po dejavnostih, ABB: oblikovanje proračuna po dejavnostih.</w:t>
      </w:r>
    </w:p>
  </w:footnote>
  <w:footnote w:id="28">
    <w:p w14:paraId="1491D44A" w14:textId="77777777" w:rsidR="00B925B0" w:rsidRPr="006B3DFE" w:rsidRDefault="00B925B0" w:rsidP="00C4624A">
      <w:pPr>
        <w:pStyle w:val="FootnoteText"/>
        <w:rPr>
          <w:szCs w:val="24"/>
          <w:lang w:val="pt-PT"/>
        </w:rPr>
      </w:pPr>
      <w:r>
        <w:rPr>
          <w:rStyle w:val="FootnoteReference"/>
        </w:rPr>
        <w:footnoteRef/>
      </w:r>
      <w:r w:rsidRPr="006B3DFE">
        <w:rPr>
          <w:lang w:val="pt-PT"/>
        </w:rPr>
        <w:tab/>
        <w:t>Po členu 58(2)(a) oz. (b) finančne uredbe.</w:t>
      </w:r>
    </w:p>
  </w:footnote>
  <w:footnote w:id="29">
    <w:p w14:paraId="3989DE78" w14:textId="77777777" w:rsidR="00B925B0" w:rsidRPr="006B3DFE" w:rsidRDefault="00B925B0" w:rsidP="00C4624A">
      <w:pPr>
        <w:pStyle w:val="FootnoteText"/>
        <w:rPr>
          <w:lang w:val="pt-PT"/>
        </w:rPr>
      </w:pPr>
      <w:r>
        <w:rPr>
          <w:rStyle w:val="FootnoteReference"/>
        </w:rPr>
        <w:footnoteRef/>
      </w:r>
      <w:r w:rsidRPr="006B3DFE">
        <w:rPr>
          <w:lang w:val="pt-PT"/>
        </w:rPr>
        <w:tab/>
        <w:t xml:space="preserve">Kot je predstavljen v sporočilu Komisije z dne 18. maja, </w:t>
      </w:r>
      <w:hyperlink r:id="rId5" w:history="1">
        <w:r w:rsidRPr="006B3DFE">
          <w:rPr>
            <w:rStyle w:val="Hyperlink"/>
            <w:lang w:val="pt-PT"/>
          </w:rPr>
          <w:t>https://ec.europa.eu/info/sites/default/files/ukraine-relief-reconstruction_en.pdf</w:t>
        </w:r>
      </w:hyperlink>
      <w:r w:rsidRPr="006B3DFE">
        <w:rPr>
          <w:lang w:val="pt-PT"/>
        </w:rPr>
        <w:t xml:space="preserve">. </w:t>
      </w:r>
    </w:p>
  </w:footnote>
  <w:footnote w:id="30">
    <w:p w14:paraId="20286D9A" w14:textId="77777777" w:rsidR="00B925B0" w:rsidRPr="006B3DFE" w:rsidRDefault="00B925B0" w:rsidP="00C4624A">
      <w:pPr>
        <w:pStyle w:val="FootnoteText"/>
        <w:rPr>
          <w:szCs w:val="24"/>
          <w:lang w:val="pt-PT"/>
        </w:rPr>
      </w:pPr>
      <w:r>
        <w:rPr>
          <w:rStyle w:val="FootnoteReference"/>
        </w:rPr>
        <w:footnoteRef/>
      </w:r>
      <w:r w:rsidRPr="006B3DFE">
        <w:rPr>
          <w:lang w:val="pt-PT"/>
        </w:rPr>
        <w:tab/>
        <w:t>Dif. = diferencirana sredstva / nedif. = nediferencirana sredstva.</w:t>
      </w:r>
    </w:p>
  </w:footnote>
  <w:footnote w:id="31">
    <w:p w14:paraId="4A017EFE" w14:textId="77777777" w:rsidR="00B925B0" w:rsidRPr="006B3DFE" w:rsidRDefault="00B925B0" w:rsidP="00C4624A">
      <w:pPr>
        <w:pStyle w:val="FootnoteText"/>
        <w:rPr>
          <w:szCs w:val="24"/>
          <w:lang w:val="pt-PT"/>
        </w:rPr>
      </w:pPr>
      <w:r>
        <w:rPr>
          <w:rStyle w:val="FootnoteReference"/>
        </w:rPr>
        <w:footnoteRef/>
      </w:r>
      <w:r w:rsidRPr="006B3DFE">
        <w:rPr>
          <w:lang w:val="pt-PT"/>
        </w:rPr>
        <w:tab/>
        <w:t xml:space="preserve">Efta: Evropsko združenje za prosto trgovino. </w:t>
      </w:r>
    </w:p>
  </w:footnote>
  <w:footnote w:id="32">
    <w:p w14:paraId="3671AC24" w14:textId="77777777" w:rsidR="00B925B0" w:rsidRPr="006B3DFE" w:rsidRDefault="00B925B0" w:rsidP="00C4624A">
      <w:pPr>
        <w:pStyle w:val="FootnoteText"/>
        <w:rPr>
          <w:szCs w:val="24"/>
          <w:lang w:val="pt-PT"/>
        </w:rPr>
      </w:pPr>
      <w:r>
        <w:rPr>
          <w:rStyle w:val="FootnoteReference"/>
        </w:rPr>
        <w:footnoteRef/>
      </w:r>
      <w:r w:rsidRPr="006B3DFE">
        <w:rPr>
          <w:lang w:val="pt-PT"/>
        </w:rPr>
        <w:tab/>
        <w:t>Države kandidatke in po potrebi potencialne kandidatke z Zahodnega Balkana.</w:t>
      </w:r>
    </w:p>
  </w:footnote>
  <w:footnote w:id="33">
    <w:p w14:paraId="41E5C110" w14:textId="77777777" w:rsidR="00B925B0" w:rsidRPr="006B3DFE" w:rsidRDefault="00B925B0" w:rsidP="00C4624A">
      <w:pPr>
        <w:pStyle w:val="FootnoteText"/>
        <w:rPr>
          <w:lang w:val="pt-PT"/>
        </w:rPr>
      </w:pPr>
      <w:r>
        <w:rPr>
          <w:rStyle w:val="FootnoteReference"/>
        </w:rPr>
        <w:footnoteRef/>
      </w:r>
      <w:r w:rsidRPr="006B3DFE">
        <w:rPr>
          <w:lang w:val="pt-PT"/>
        </w:rPr>
        <w:tab/>
        <w:t>Sklep (EU) 2022/1201</w:t>
      </w:r>
    </w:p>
  </w:footnote>
  <w:footnote w:id="34">
    <w:p w14:paraId="262C5071" w14:textId="77777777" w:rsidR="00B925B0" w:rsidRPr="006B3DFE" w:rsidRDefault="00B925B0" w:rsidP="00C4624A">
      <w:pPr>
        <w:pStyle w:val="FootnoteText"/>
        <w:rPr>
          <w:sz w:val="18"/>
          <w:szCs w:val="18"/>
          <w:lang w:val="pt-PT"/>
        </w:rPr>
      </w:pPr>
      <w:r>
        <w:rPr>
          <w:rStyle w:val="FootnoteReference"/>
        </w:rPr>
        <w:footnoteRef/>
      </w:r>
      <w:r w:rsidRPr="006B3DFE">
        <w:rPr>
          <w:lang w:val="pt-PT"/>
        </w:rPr>
        <w:tab/>
      </w:r>
      <w:r w:rsidRPr="006B3DFE">
        <w:rPr>
          <w:sz w:val="18"/>
          <w:lang w:val="pt-PT"/>
        </w:rPr>
        <w:t>Po uradni proračunski nomenklaturi.</w:t>
      </w:r>
    </w:p>
  </w:footnote>
  <w:footnote w:id="35">
    <w:p w14:paraId="0D16B96C" w14:textId="77777777" w:rsidR="00B925B0" w:rsidRPr="006B3DFE" w:rsidRDefault="00B925B0" w:rsidP="00C4624A">
      <w:pPr>
        <w:pStyle w:val="FootnoteText"/>
        <w:rPr>
          <w:sz w:val="18"/>
          <w:szCs w:val="18"/>
          <w:lang w:val="pt-PT"/>
        </w:rPr>
      </w:pPr>
      <w:r>
        <w:rPr>
          <w:rStyle w:val="FootnoteReference"/>
        </w:rPr>
        <w:footnoteRef/>
      </w:r>
      <w:r w:rsidRPr="006B3DFE">
        <w:rPr>
          <w:lang w:val="pt-PT"/>
        </w:rPr>
        <w:tab/>
      </w:r>
      <w:r w:rsidRPr="006B3DFE">
        <w:rPr>
          <w:sz w:val="18"/>
          <w:lang w:val="pt-PT"/>
        </w:rPr>
        <w:t>Okrepi se iz rezerve za nove izzive in prednostne naloge v okviru Instrumenta za sosedstvo ter razvojno in mednarodno sodelovanje, proračunska vrstica 14 02 04.</w:t>
      </w:r>
    </w:p>
  </w:footnote>
  <w:footnote w:id="36">
    <w:p w14:paraId="3BD42AD1" w14:textId="77777777" w:rsidR="00B925B0" w:rsidRPr="006B3DFE" w:rsidRDefault="00B925B0" w:rsidP="00C4624A">
      <w:pPr>
        <w:pStyle w:val="FootnoteText"/>
        <w:rPr>
          <w:sz w:val="18"/>
          <w:szCs w:val="18"/>
          <w:lang w:val="pt-PT"/>
        </w:rPr>
      </w:pPr>
      <w:r>
        <w:rPr>
          <w:rStyle w:val="FootnoteReference"/>
        </w:rPr>
        <w:footnoteRef/>
      </w:r>
      <w:r w:rsidRPr="006B3DFE">
        <w:rPr>
          <w:lang w:val="pt-PT"/>
        </w:rPr>
        <w:tab/>
      </w:r>
      <w:r w:rsidRPr="006B3DFE">
        <w:rPr>
          <w:sz w:val="18"/>
          <w:lang w:val="pt-PT"/>
        </w:rPr>
        <w:t>Okrepi se iz rezerve za nove izzive in prednostne naloge v okviru Instrumenta za sosedstvo ter razvojno in mednarodno sodelovanje, proračunska vrstica 14 02 04.</w:t>
      </w:r>
    </w:p>
  </w:footnote>
  <w:footnote w:id="37">
    <w:p w14:paraId="557B71CF" w14:textId="77777777" w:rsidR="00B925B0" w:rsidRPr="006B3DFE" w:rsidRDefault="00B925B0" w:rsidP="00C4624A">
      <w:pPr>
        <w:pStyle w:val="FootnoteText"/>
        <w:rPr>
          <w:sz w:val="18"/>
          <w:szCs w:val="18"/>
          <w:lang w:val="pt-PT"/>
        </w:rPr>
      </w:pPr>
      <w:r>
        <w:rPr>
          <w:rStyle w:val="FootnoteReference"/>
        </w:rPr>
        <w:footnoteRef/>
      </w:r>
      <w:r w:rsidRPr="006B3DFE">
        <w:rPr>
          <w:lang w:val="pt-PT"/>
        </w:rPr>
        <w:tab/>
      </w:r>
      <w:r w:rsidRPr="006B3DFE">
        <w:rPr>
          <w:sz w:val="18"/>
          <w:lang w:val="pt-PT"/>
        </w:rPr>
        <w:t>Okrepi se iz rezerve za nove izzive in prednostne naloge v okviru Instrumenta za sosedstvo ter razvojno in mednarodno sodelovanje, proračunska vrstica 14 02 04.</w:t>
      </w:r>
    </w:p>
  </w:footnote>
  <w:footnote w:id="38">
    <w:p w14:paraId="7BCA02E3" w14:textId="77777777" w:rsidR="00B925B0" w:rsidRPr="006B3DFE" w:rsidRDefault="00B925B0" w:rsidP="00C4624A">
      <w:pPr>
        <w:pStyle w:val="FootnoteText"/>
        <w:rPr>
          <w:lang w:val="pt-PT"/>
        </w:rPr>
      </w:pPr>
      <w:r>
        <w:rPr>
          <w:rStyle w:val="FootnoteReference"/>
        </w:rPr>
        <w:footnoteRef/>
      </w:r>
      <w:r w:rsidRPr="006B3DFE">
        <w:rPr>
          <w:lang w:val="pt-PT"/>
        </w:rPr>
        <w:tab/>
      </w:r>
      <w:r w:rsidRPr="006B3DFE">
        <w:rPr>
          <w:sz w:val="18"/>
          <w:lang w:val="pt-PT"/>
        </w:rPr>
        <w:t>Znesek oblikovanih rezervacij za makrofinančno pomoč v obliki posojil (9 %), ki jih je treba zagotoviti in vplačati v skupni sklad za rezervacije v obdobju 2021–2027, pod pogojem, da se sprejmejo letni proračuni.</w:t>
      </w:r>
    </w:p>
  </w:footnote>
  <w:footnote w:id="39">
    <w:p w14:paraId="0FDDC5DD" w14:textId="77777777" w:rsidR="00B925B0" w:rsidRPr="006B3DFE" w:rsidRDefault="00B925B0" w:rsidP="00C4624A">
      <w:pPr>
        <w:pStyle w:val="FootnoteText"/>
        <w:rPr>
          <w:lang w:val="pt-PT"/>
        </w:rPr>
      </w:pPr>
      <w:r>
        <w:rPr>
          <w:rStyle w:val="FootnoteReference"/>
        </w:rPr>
        <w:footnoteRef/>
      </w:r>
      <w:r w:rsidRPr="006B3DFE">
        <w:rPr>
          <w:lang w:val="pt-PT"/>
        </w:rPr>
        <w:tab/>
      </w:r>
      <w:r w:rsidRPr="006B3DFE">
        <w:rPr>
          <w:sz w:val="18"/>
          <w:lang w:val="pt-PT"/>
        </w:rPr>
        <w:t>Znesek oblikovanih rezervacij za makrofinančno pomoč v obliki posojil (9 %), ki jih je treba zagotoviti in vplačati v skupni sklad za rezervacije v obdobju 2021–2027, pod pogojem, da se sprejmejo letni proračuni.</w:t>
      </w:r>
    </w:p>
  </w:footnote>
  <w:footnote w:id="40">
    <w:p w14:paraId="49FC6B74" w14:textId="77777777" w:rsidR="00B925B0" w:rsidRPr="006B3DFE" w:rsidRDefault="00B925B0" w:rsidP="00C4624A">
      <w:pPr>
        <w:pStyle w:val="FootnoteText"/>
        <w:rPr>
          <w:szCs w:val="24"/>
          <w:lang w:val="pt-PT"/>
        </w:rPr>
      </w:pPr>
      <w:r>
        <w:rPr>
          <w:rStyle w:val="FootnoteReference"/>
        </w:rPr>
        <w:footnoteRef/>
      </w:r>
      <w:r w:rsidRPr="006B3DFE">
        <w:rPr>
          <w:lang w:val="pt-PT"/>
        </w:rPr>
        <w:tab/>
      </w:r>
      <w:r w:rsidRPr="006B3DFE">
        <w:rPr>
          <w:sz w:val="18"/>
          <w:lang w:val="pt-PT"/>
        </w:rPr>
        <w:t>Tehnična in/ali upravna pomoč ter odhodki za podporo izvajanja programov in/ali ukrepov EU (prej vrstice BA), posredne raziskave, neposredne raziskave.</w:t>
      </w:r>
    </w:p>
  </w:footnote>
  <w:footnote w:id="41">
    <w:p w14:paraId="73B31582" w14:textId="77777777" w:rsidR="00B925B0" w:rsidRPr="006B3DFE" w:rsidRDefault="00B925B0" w:rsidP="00C4624A">
      <w:pPr>
        <w:pStyle w:val="FootnoteText"/>
        <w:rPr>
          <w:szCs w:val="24"/>
          <w:lang w:val="pt-PT"/>
        </w:rPr>
      </w:pPr>
      <w:r>
        <w:rPr>
          <w:rStyle w:val="FootnoteReference"/>
        </w:rPr>
        <w:footnoteRef/>
      </w:r>
      <w:r w:rsidRPr="006B3DFE">
        <w:rPr>
          <w:lang w:val="pt-PT"/>
        </w:rPr>
        <w:tab/>
        <w:t>Realizacije so dobavljeni proizvodi in opravljene storitve (npr. število financiranih izmenjav študentov, število kilometrov novozgrajenih cest …).</w:t>
      </w:r>
    </w:p>
  </w:footnote>
  <w:footnote w:id="42">
    <w:p w14:paraId="384D0A4C" w14:textId="77777777" w:rsidR="00B925B0" w:rsidRPr="006B3DFE" w:rsidRDefault="00B925B0" w:rsidP="00C4624A">
      <w:pPr>
        <w:pStyle w:val="FootnoteText"/>
        <w:rPr>
          <w:szCs w:val="24"/>
          <w:lang w:val="pt-PT"/>
        </w:rPr>
      </w:pPr>
      <w:r>
        <w:rPr>
          <w:rStyle w:val="FootnoteReference"/>
        </w:rPr>
        <w:footnoteRef/>
      </w:r>
      <w:r w:rsidRPr="006B3DFE">
        <w:rPr>
          <w:lang w:val="pt-PT"/>
        </w:rPr>
        <w:tab/>
        <w:t xml:space="preserve">Kakor je opisan v točki 1.4.2 „Specifični cilji …“. </w:t>
      </w:r>
    </w:p>
  </w:footnote>
  <w:footnote w:id="43">
    <w:p w14:paraId="7E90D900" w14:textId="77777777" w:rsidR="00B925B0" w:rsidRPr="006B3DFE" w:rsidRDefault="00B925B0" w:rsidP="00C4624A">
      <w:pPr>
        <w:pStyle w:val="FootnoteText"/>
        <w:rPr>
          <w:szCs w:val="24"/>
          <w:lang w:val="pt-PT"/>
        </w:rPr>
      </w:pPr>
      <w:r>
        <w:rPr>
          <w:rStyle w:val="FootnoteReference"/>
        </w:rPr>
        <w:footnoteRef/>
      </w:r>
      <w:r w:rsidRPr="006B3DFE">
        <w:rPr>
          <w:lang w:val="pt-PT"/>
        </w:rPr>
        <w:tab/>
      </w:r>
      <w:r w:rsidRPr="006B3DFE">
        <w:rPr>
          <w:sz w:val="18"/>
          <w:lang w:val="pt-PT"/>
        </w:rPr>
        <w:t>Tehnična in/ali upravna pomoč ter odhodki za podporo izvajanja programov in/ali ukrepov EU (prej vrstice BA), posredne raziskave, neposredne raziskave.</w:t>
      </w:r>
    </w:p>
  </w:footnote>
  <w:footnote w:id="44">
    <w:p w14:paraId="15E1DB93" w14:textId="77777777" w:rsidR="00B925B0" w:rsidRPr="006B3DFE" w:rsidRDefault="00B925B0" w:rsidP="00C4624A">
      <w:pPr>
        <w:pStyle w:val="FootnoteText"/>
        <w:rPr>
          <w:szCs w:val="24"/>
          <w:lang w:val="pt-PT"/>
        </w:rPr>
      </w:pPr>
      <w:r>
        <w:rPr>
          <w:rStyle w:val="FootnoteReference"/>
        </w:rPr>
        <w:footnoteRef/>
      </w:r>
      <w:r w:rsidRPr="006B3DFE">
        <w:rPr>
          <w:lang w:val="pt-PT"/>
        </w:rPr>
        <w:tab/>
        <w:t xml:space="preserve">PU = pogodbeni uslužbenec; LU = lokalni uslužbenec; NNS = napoteni nacionalni strokovnjak; ZU = začasni uslužbenec; MSD = mladi strokovnjak na delegaciji. </w:t>
      </w:r>
    </w:p>
  </w:footnote>
  <w:footnote w:id="45">
    <w:p w14:paraId="14B15293" w14:textId="77777777" w:rsidR="00B925B0" w:rsidRPr="006B3DFE" w:rsidRDefault="00B925B0" w:rsidP="00C4624A">
      <w:pPr>
        <w:pStyle w:val="FootnoteText"/>
        <w:rPr>
          <w:szCs w:val="24"/>
          <w:lang w:val="pt-PT"/>
        </w:rPr>
      </w:pPr>
      <w:r>
        <w:rPr>
          <w:rStyle w:val="FootnoteReference"/>
        </w:rPr>
        <w:footnoteRef/>
      </w:r>
      <w:r w:rsidRPr="006B3DFE">
        <w:rPr>
          <w:lang w:val="pt-PT"/>
        </w:rPr>
        <w:tab/>
        <w:t>Dodatna zgornja meja za zunanje sodelavce v okviru odobritev za poslovanje (prej vrstice BA).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23DA4" w14:textId="77777777" w:rsidR="00DF7915" w:rsidRPr="00DF7915" w:rsidRDefault="00DF7915" w:rsidP="00DF7915">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80A9F" w14:textId="77777777" w:rsidR="00DF7915" w:rsidRPr="00DF7915" w:rsidRDefault="00DF7915" w:rsidP="00DF7915">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8D883" w14:textId="77777777" w:rsidR="00B925B0" w:rsidRPr="007D6519" w:rsidRDefault="00B925B0" w:rsidP="00DF79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DE3E0" w14:textId="77777777" w:rsidR="00DF7915" w:rsidRPr="00DF7915" w:rsidRDefault="00DF7915" w:rsidP="00DF7915">
    <w:pPr>
      <w:pStyle w:val="Header"/>
    </w:pPr>
  </w:p>
</w:hdr>
</file>

<file path=word/intelligence2.xml><?xml version="1.0" encoding="utf-8"?>
<int2:intelligence xmlns:int2="http://schemas.microsoft.com/office/intelligence/2020/intelligence">
  <int2:observations>
    <int2:bookmark int2:bookmarkName="_Int_K9Gb3ihU" int2:invalidationBookmarkName="" int2:hashCode="rJBW+tPzLalLBP" int2:id="qdaytlJR">
      <int2:state int2:type="WordDesignerDefaultAnnotation" int2:value="Rejected"/>
    </int2:bookmark>
    <int2:bookmark int2:bookmarkName="_Int_n3TIBRq2" int2:invalidationBookmarkName="" int2:hashCode="OcaRiU9nDSqNxe" int2:id="Xij35hwO">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num>
  <w:num w:numId="3">
    <w:abstractNumId w:val="0"/>
  </w:num>
  <w:num w:numId="4">
    <w:abstractNumId w:val="20"/>
  </w:num>
  <w:num w:numId="5">
    <w:abstractNumId w:val="8"/>
  </w:num>
  <w:num w:numId="6">
    <w:abstractNumId w:val="17"/>
  </w:num>
  <w:num w:numId="7">
    <w:abstractNumId w:val="16"/>
  </w:num>
  <w:num w:numId="8">
    <w:abstractNumId w:val="27"/>
  </w:num>
  <w:num w:numId="9">
    <w:abstractNumId w:val="24"/>
  </w:num>
  <w:num w:numId="10">
    <w:abstractNumId w:val="28"/>
  </w:num>
  <w:num w:numId="11">
    <w:abstractNumId w:val="29"/>
  </w:num>
  <w:num w:numId="12">
    <w:abstractNumId w:val="1"/>
  </w:num>
  <w:num w:numId="13">
    <w:abstractNumId w:val="10"/>
  </w:num>
  <w:num w:numId="14">
    <w:abstractNumId w:val="2"/>
  </w:num>
  <w:num w:numId="15">
    <w:abstractNumId w:val="11"/>
  </w:num>
  <w:num w:numId="16">
    <w:abstractNumId w:val="9"/>
  </w:num>
  <w:num w:numId="17">
    <w:abstractNumId w:val="1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5"/>
    <w:lvlOverride w:ilvl="0">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2"/>
  </w:num>
  <w:num w:numId="41">
    <w:abstractNumId w:val="26"/>
  </w:num>
  <w:num w:numId="42">
    <w:abstractNumId w:val="6"/>
  </w:num>
  <w:num w:numId="43">
    <w:abstractNumId w:val="13"/>
  </w:num>
  <w:num w:numId="44">
    <w:abstractNumId w:val="14"/>
  </w:num>
  <w:num w:numId="45">
    <w:abstractNumId w:val="4"/>
  </w:num>
  <w:num w:numId="46">
    <w:abstractNumId w:val="25"/>
  </w:num>
  <w:num w:numId="47">
    <w:abstractNumId w:val="3"/>
  </w:num>
  <w:num w:numId="48">
    <w:abstractNumId w:val="15"/>
  </w:num>
  <w:num w:numId="49">
    <w:abstractNumId w:val="21"/>
  </w:num>
  <w:num w:numId="50">
    <w:abstractNumId w:val="22"/>
  </w:num>
  <w:num w:numId="51">
    <w:abstractNumId w:val="5"/>
  </w:num>
  <w:num w:numId="52">
    <w:abstractNumId w:val="19"/>
  </w:num>
  <w:num w:numId="53">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pt-PT" w:vendorID="64" w:dllVersion="131078"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9-08 16:38:58"/>
    <w:docVar w:name="DQCNUMB_10" w:val="253"/>
    <w:docVar w:name="DQCNUMB_11" w:val="254"/>
    <w:docVar w:name="DQCNUMB_12" w:val="255"/>
    <w:docVar w:name="DQCNUMB_13" w:val="256"/>
    <w:docVar w:name="DQCNUMB_14" w:val="257"/>
    <w:docVar w:name="DQCNUMB_15" w:val="258"/>
    <w:docVar w:name="DQCNUMB_4" w:val="233"/>
    <w:docVar w:name="DQCNUMB_5" w:val="239"/>
    <w:docVar w:name="DQCNUMB_6" w:val="240"/>
    <w:docVar w:name="DQCNUMB_7" w:val="241"/>
    <w:docVar w:name="DQCNUMB_8" w:val="244"/>
    <w:docVar w:name="DQCNUMB_9" w:val="245"/>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BCA8062F-6EC3-4F2D-B708-2D5413308C76"/>
    <w:docVar w:name="LW_COVERPAGE_TYPE" w:val="1"/>
    <w:docVar w:name="LW_CROSSREFERENCE" w:val="&lt;UNUSED&gt;"/>
    <w:docVar w:name="LW_DocType" w:val="COM"/>
    <w:docVar w:name="LW_EMISSION" w:val="7.9.2022"/>
    <w:docVar w:name="LW_EMISSION_ISODATE" w:val="2022-09-07"/>
    <w:docVar w:name="LW_EMISSION_LOCATION" w:val="BRX"/>
    <w:docVar w:name="LW_EMISSION_PREFIX" w:val="Bruselj, "/>
    <w:docVar w:name="LW_EMISSION_SUFFIX" w:val=" "/>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SL"/>
    <w:docVar w:name="LW_LEVEL_OF_SENSITIVITY" w:val="Standard treatment"/>
    <w:docVar w:name="LW_NOM.INST" w:val="EVROPSKA KOMISIJA"/>
    <w:docVar w:name="LW_NOM.INST_JOINTDOC" w:val="&lt;EMPTY&gt;"/>
    <w:docVar w:name="LW_PART_NBR" w:val="1"/>
    <w:docVar w:name="LW_PART_NBR_TOTAL" w:val="1"/>
    <w:docVar w:name="LW_REF.II.NEW.CP" w:val="COD"/>
    <w:docVar w:name="LW_REF.II.NEW.CP_NUMBER" w:val="0281"/>
    <w:docVar w:name="LW_REF.II.NEW.CP_YEAR" w:val="2022"/>
    <w:docVar w:name="LW_REF.INST.NEW" w:val="COM"/>
    <w:docVar w:name="LW_REF.INST.NEW_ADOPTED" w:val="final"/>
    <w:docVar w:name="LW_REF.INST.NEW_TEXT" w:val="(2022) 5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edlog"/>
    <w:docVar w:name="LW_SUPERTITRE" w:val="&lt;UNUSED&gt;"/>
    <w:docVar w:name="LW_TITRE.OBJ.CP" w:val="o zagotavljanju izredne makrofinančne pomoči Ukrajini z okrepitvijo skupnega sklada za rezervacije z jamstvi držav članic in posebnimi rezervacijami za nekatere finančne obveznosti v zvezi z Ukrajino, za katere je zagotovljeno jamstvo na podlagi Sklepa št. 466/2014/EU, ter o spremembi Sklepa (EU) 2022/1201"/>
    <w:docVar w:name="LW_TYPE.DOC.CP" w:val="SKLEP EVROPSKEGA PARLAMENTA IN SVETA"/>
    <w:docVar w:name="LwApiVersions" w:val="LW4CoDe 1.23.2.0; LW 8.0, Build 20211117"/>
  </w:docVars>
  <w:rsids>
    <w:rsidRoot w:val="00F152DC"/>
    <w:rsid w:val="000011ED"/>
    <w:rsid w:val="000019D8"/>
    <w:rsid w:val="00003B26"/>
    <w:rsid w:val="000057DC"/>
    <w:rsid w:val="00005F72"/>
    <w:rsid w:val="00007A31"/>
    <w:rsid w:val="000107EC"/>
    <w:rsid w:val="00010CED"/>
    <w:rsid w:val="00012970"/>
    <w:rsid w:val="00013A2D"/>
    <w:rsid w:val="00013C77"/>
    <w:rsid w:val="000147A2"/>
    <w:rsid w:val="0001502C"/>
    <w:rsid w:val="000159F4"/>
    <w:rsid w:val="00016A3F"/>
    <w:rsid w:val="00016E27"/>
    <w:rsid w:val="00017029"/>
    <w:rsid w:val="000212B1"/>
    <w:rsid w:val="00021900"/>
    <w:rsid w:val="00024F99"/>
    <w:rsid w:val="00027756"/>
    <w:rsid w:val="000315A9"/>
    <w:rsid w:val="00032112"/>
    <w:rsid w:val="00033187"/>
    <w:rsid w:val="000355EB"/>
    <w:rsid w:val="00035C38"/>
    <w:rsid w:val="00036817"/>
    <w:rsid w:val="00036ED9"/>
    <w:rsid w:val="00037B03"/>
    <w:rsid w:val="00041A1E"/>
    <w:rsid w:val="00041C52"/>
    <w:rsid w:val="0004268A"/>
    <w:rsid w:val="00045529"/>
    <w:rsid w:val="00045F25"/>
    <w:rsid w:val="00046C1A"/>
    <w:rsid w:val="000473A2"/>
    <w:rsid w:val="000502C4"/>
    <w:rsid w:val="000515B5"/>
    <w:rsid w:val="000556FA"/>
    <w:rsid w:val="000560FF"/>
    <w:rsid w:val="00057BDB"/>
    <w:rsid w:val="000580A5"/>
    <w:rsid w:val="00061862"/>
    <w:rsid w:val="00064188"/>
    <w:rsid w:val="00064BF6"/>
    <w:rsid w:val="00064E53"/>
    <w:rsid w:val="000665E3"/>
    <w:rsid w:val="000701D9"/>
    <w:rsid w:val="00073612"/>
    <w:rsid w:val="0008198D"/>
    <w:rsid w:val="0008267F"/>
    <w:rsid w:val="000826EB"/>
    <w:rsid w:val="00083866"/>
    <w:rsid w:val="000879D1"/>
    <w:rsid w:val="00090079"/>
    <w:rsid w:val="00092586"/>
    <w:rsid w:val="0009399D"/>
    <w:rsid w:val="00097364"/>
    <w:rsid w:val="00097CD1"/>
    <w:rsid w:val="000A07DF"/>
    <w:rsid w:val="000A1D88"/>
    <w:rsid w:val="000A1DD0"/>
    <w:rsid w:val="000A301D"/>
    <w:rsid w:val="000A6575"/>
    <w:rsid w:val="000A6A3B"/>
    <w:rsid w:val="000B1B8F"/>
    <w:rsid w:val="000B1D09"/>
    <w:rsid w:val="000B24D7"/>
    <w:rsid w:val="000B3E19"/>
    <w:rsid w:val="000B4EBA"/>
    <w:rsid w:val="000B5099"/>
    <w:rsid w:val="000B5F06"/>
    <w:rsid w:val="000B66F2"/>
    <w:rsid w:val="000B7A7D"/>
    <w:rsid w:val="000C2104"/>
    <w:rsid w:val="000C635A"/>
    <w:rsid w:val="000D11E1"/>
    <w:rsid w:val="000D7962"/>
    <w:rsid w:val="000E245F"/>
    <w:rsid w:val="000E4B0C"/>
    <w:rsid w:val="000E581E"/>
    <w:rsid w:val="000E5EC9"/>
    <w:rsid w:val="000E65AB"/>
    <w:rsid w:val="000E690C"/>
    <w:rsid w:val="000E6A56"/>
    <w:rsid w:val="000E6FED"/>
    <w:rsid w:val="000E71E5"/>
    <w:rsid w:val="000E7CBC"/>
    <w:rsid w:val="000F0F85"/>
    <w:rsid w:val="000F13FA"/>
    <w:rsid w:val="000F2A80"/>
    <w:rsid w:val="000F3E69"/>
    <w:rsid w:val="000F5981"/>
    <w:rsid w:val="000F61CE"/>
    <w:rsid w:val="000F6CD0"/>
    <w:rsid w:val="00100104"/>
    <w:rsid w:val="001015FB"/>
    <w:rsid w:val="00101661"/>
    <w:rsid w:val="001021EE"/>
    <w:rsid w:val="001025ED"/>
    <w:rsid w:val="0010263F"/>
    <w:rsid w:val="00103018"/>
    <w:rsid w:val="00111129"/>
    <w:rsid w:val="00112C28"/>
    <w:rsid w:val="00114D81"/>
    <w:rsid w:val="00115C90"/>
    <w:rsid w:val="00116866"/>
    <w:rsid w:val="00120E6B"/>
    <w:rsid w:val="00122292"/>
    <w:rsid w:val="001236CE"/>
    <w:rsid w:val="00126520"/>
    <w:rsid w:val="0012696A"/>
    <w:rsid w:val="001279FD"/>
    <w:rsid w:val="00127E82"/>
    <w:rsid w:val="00131E1E"/>
    <w:rsid w:val="0013292D"/>
    <w:rsid w:val="00135D4F"/>
    <w:rsid w:val="00137255"/>
    <w:rsid w:val="0013780B"/>
    <w:rsid w:val="00141BCA"/>
    <w:rsid w:val="00142360"/>
    <w:rsid w:val="001441FE"/>
    <w:rsid w:val="00144E9A"/>
    <w:rsid w:val="0014583F"/>
    <w:rsid w:val="0014598F"/>
    <w:rsid w:val="0014719D"/>
    <w:rsid w:val="001475A3"/>
    <w:rsid w:val="00150A78"/>
    <w:rsid w:val="0015128E"/>
    <w:rsid w:val="0015185E"/>
    <w:rsid w:val="001524A1"/>
    <w:rsid w:val="00152894"/>
    <w:rsid w:val="00162012"/>
    <w:rsid w:val="00162546"/>
    <w:rsid w:val="00162D3B"/>
    <w:rsid w:val="00162E12"/>
    <w:rsid w:val="0016309C"/>
    <w:rsid w:val="00165BF6"/>
    <w:rsid w:val="0016785C"/>
    <w:rsid w:val="00171553"/>
    <w:rsid w:val="001736C4"/>
    <w:rsid w:val="001740D3"/>
    <w:rsid w:val="001754EB"/>
    <w:rsid w:val="00175ED0"/>
    <w:rsid w:val="0018004B"/>
    <w:rsid w:val="0018144D"/>
    <w:rsid w:val="0018313D"/>
    <w:rsid w:val="00184248"/>
    <w:rsid w:val="00185A82"/>
    <w:rsid w:val="00187889"/>
    <w:rsid w:val="00190DCD"/>
    <w:rsid w:val="0019104B"/>
    <w:rsid w:val="001919D2"/>
    <w:rsid w:val="00192260"/>
    <w:rsid w:val="00192AA4"/>
    <w:rsid w:val="001937A0"/>
    <w:rsid w:val="00195FA0"/>
    <w:rsid w:val="00196E4A"/>
    <w:rsid w:val="001A1C5C"/>
    <w:rsid w:val="001A420A"/>
    <w:rsid w:val="001A45F6"/>
    <w:rsid w:val="001A74EC"/>
    <w:rsid w:val="001B1772"/>
    <w:rsid w:val="001B18C0"/>
    <w:rsid w:val="001B23A8"/>
    <w:rsid w:val="001B263A"/>
    <w:rsid w:val="001B32BC"/>
    <w:rsid w:val="001B50E3"/>
    <w:rsid w:val="001C23DB"/>
    <w:rsid w:val="001C7191"/>
    <w:rsid w:val="001D05FE"/>
    <w:rsid w:val="001D0609"/>
    <w:rsid w:val="001D1360"/>
    <w:rsid w:val="001D2BE7"/>
    <w:rsid w:val="001D4B63"/>
    <w:rsid w:val="001D6902"/>
    <w:rsid w:val="001E2B64"/>
    <w:rsid w:val="001E6B0E"/>
    <w:rsid w:val="001E721F"/>
    <w:rsid w:val="001E7C27"/>
    <w:rsid w:val="001F0B97"/>
    <w:rsid w:val="001F12D1"/>
    <w:rsid w:val="001F1738"/>
    <w:rsid w:val="001F3553"/>
    <w:rsid w:val="001F3B66"/>
    <w:rsid w:val="001F4036"/>
    <w:rsid w:val="001F7B2E"/>
    <w:rsid w:val="00200AC3"/>
    <w:rsid w:val="00201A2E"/>
    <w:rsid w:val="00202F6A"/>
    <w:rsid w:val="00206CEE"/>
    <w:rsid w:val="0020713C"/>
    <w:rsid w:val="00210312"/>
    <w:rsid w:val="002120C3"/>
    <w:rsid w:val="00212E7F"/>
    <w:rsid w:val="00217211"/>
    <w:rsid w:val="00217213"/>
    <w:rsid w:val="00217399"/>
    <w:rsid w:val="0022128E"/>
    <w:rsid w:val="00221DFE"/>
    <w:rsid w:val="00223288"/>
    <w:rsid w:val="00223510"/>
    <w:rsid w:val="00226E79"/>
    <w:rsid w:val="00227554"/>
    <w:rsid w:val="00230172"/>
    <w:rsid w:val="00230BE2"/>
    <w:rsid w:val="00243123"/>
    <w:rsid w:val="002443E2"/>
    <w:rsid w:val="002449B2"/>
    <w:rsid w:val="0024536C"/>
    <w:rsid w:val="002457B2"/>
    <w:rsid w:val="0024682D"/>
    <w:rsid w:val="00246BFD"/>
    <w:rsid w:val="002475B2"/>
    <w:rsid w:val="00247C0A"/>
    <w:rsid w:val="00247F8C"/>
    <w:rsid w:val="0025013A"/>
    <w:rsid w:val="00251160"/>
    <w:rsid w:val="002525E1"/>
    <w:rsid w:val="00252A6F"/>
    <w:rsid w:val="002538E9"/>
    <w:rsid w:val="00255002"/>
    <w:rsid w:val="002558D2"/>
    <w:rsid w:val="00255952"/>
    <w:rsid w:val="00257649"/>
    <w:rsid w:val="00261E05"/>
    <w:rsid w:val="0026260F"/>
    <w:rsid w:val="00263DD2"/>
    <w:rsid w:val="00264263"/>
    <w:rsid w:val="00264A02"/>
    <w:rsid w:val="0026676D"/>
    <w:rsid w:val="00270149"/>
    <w:rsid w:val="00271FB3"/>
    <w:rsid w:val="00274BB3"/>
    <w:rsid w:val="00274C32"/>
    <w:rsid w:val="00275444"/>
    <w:rsid w:val="0027553E"/>
    <w:rsid w:val="002808EB"/>
    <w:rsid w:val="0028107C"/>
    <w:rsid w:val="00281812"/>
    <w:rsid w:val="00281960"/>
    <w:rsid w:val="00282932"/>
    <w:rsid w:val="0028421A"/>
    <w:rsid w:val="00285437"/>
    <w:rsid w:val="002903B8"/>
    <w:rsid w:val="002916B8"/>
    <w:rsid w:val="0029418C"/>
    <w:rsid w:val="0029419E"/>
    <w:rsid w:val="0029424D"/>
    <w:rsid w:val="00295191"/>
    <w:rsid w:val="0029E51D"/>
    <w:rsid w:val="002A2E2B"/>
    <w:rsid w:val="002A3D00"/>
    <w:rsid w:val="002A4225"/>
    <w:rsid w:val="002A72A9"/>
    <w:rsid w:val="002B697A"/>
    <w:rsid w:val="002B6B2F"/>
    <w:rsid w:val="002B6D48"/>
    <w:rsid w:val="002B706E"/>
    <w:rsid w:val="002C0E5A"/>
    <w:rsid w:val="002C23D2"/>
    <w:rsid w:val="002C2D5A"/>
    <w:rsid w:val="002C5B2D"/>
    <w:rsid w:val="002C7274"/>
    <w:rsid w:val="002D3372"/>
    <w:rsid w:val="002D4B7A"/>
    <w:rsid w:val="002D669C"/>
    <w:rsid w:val="002D74BC"/>
    <w:rsid w:val="002E357D"/>
    <w:rsid w:val="002E45B3"/>
    <w:rsid w:val="002F430E"/>
    <w:rsid w:val="002F5416"/>
    <w:rsid w:val="002F61DF"/>
    <w:rsid w:val="002F6483"/>
    <w:rsid w:val="002F7399"/>
    <w:rsid w:val="00305446"/>
    <w:rsid w:val="00306670"/>
    <w:rsid w:val="00307375"/>
    <w:rsid w:val="00307866"/>
    <w:rsid w:val="00307F26"/>
    <w:rsid w:val="00312348"/>
    <w:rsid w:val="00313AFA"/>
    <w:rsid w:val="00313DF1"/>
    <w:rsid w:val="0031590D"/>
    <w:rsid w:val="003159F5"/>
    <w:rsid w:val="00320A2E"/>
    <w:rsid w:val="003232B1"/>
    <w:rsid w:val="00326366"/>
    <w:rsid w:val="00332729"/>
    <w:rsid w:val="00334363"/>
    <w:rsid w:val="003352B5"/>
    <w:rsid w:val="00337E8D"/>
    <w:rsid w:val="003425BB"/>
    <w:rsid w:val="00342A80"/>
    <w:rsid w:val="00344AA4"/>
    <w:rsid w:val="00345974"/>
    <w:rsid w:val="00351DD2"/>
    <w:rsid w:val="00356738"/>
    <w:rsid w:val="00356BEB"/>
    <w:rsid w:val="00356DDE"/>
    <w:rsid w:val="0035724B"/>
    <w:rsid w:val="0036292A"/>
    <w:rsid w:val="003634B7"/>
    <w:rsid w:val="00363584"/>
    <w:rsid w:val="00363770"/>
    <w:rsid w:val="00363BF2"/>
    <w:rsid w:val="00363D66"/>
    <w:rsid w:val="00371238"/>
    <w:rsid w:val="00373D40"/>
    <w:rsid w:val="0037462F"/>
    <w:rsid w:val="00381B44"/>
    <w:rsid w:val="00383888"/>
    <w:rsid w:val="0038556C"/>
    <w:rsid w:val="003877B3"/>
    <w:rsid w:val="00390DA4"/>
    <w:rsid w:val="0039458D"/>
    <w:rsid w:val="00396ACD"/>
    <w:rsid w:val="0039771E"/>
    <w:rsid w:val="00397FC6"/>
    <w:rsid w:val="003A16DE"/>
    <w:rsid w:val="003A3BC1"/>
    <w:rsid w:val="003A3D0E"/>
    <w:rsid w:val="003A6FD1"/>
    <w:rsid w:val="003AAD2B"/>
    <w:rsid w:val="003B6770"/>
    <w:rsid w:val="003C18E9"/>
    <w:rsid w:val="003C2EA2"/>
    <w:rsid w:val="003C38B9"/>
    <w:rsid w:val="003C45F0"/>
    <w:rsid w:val="003C554B"/>
    <w:rsid w:val="003C63BF"/>
    <w:rsid w:val="003D3E67"/>
    <w:rsid w:val="003D43D1"/>
    <w:rsid w:val="003D4BDF"/>
    <w:rsid w:val="003D63C6"/>
    <w:rsid w:val="003D6506"/>
    <w:rsid w:val="003D7E22"/>
    <w:rsid w:val="003E17BC"/>
    <w:rsid w:val="003E19E9"/>
    <w:rsid w:val="003E3ADD"/>
    <w:rsid w:val="003E4053"/>
    <w:rsid w:val="003E4A69"/>
    <w:rsid w:val="00401CDA"/>
    <w:rsid w:val="004029A4"/>
    <w:rsid w:val="00403E8C"/>
    <w:rsid w:val="00404213"/>
    <w:rsid w:val="004046FC"/>
    <w:rsid w:val="00405AC3"/>
    <w:rsid w:val="00405F3D"/>
    <w:rsid w:val="004072CB"/>
    <w:rsid w:val="00410CD6"/>
    <w:rsid w:val="00412D3E"/>
    <w:rsid w:val="00413A17"/>
    <w:rsid w:val="00413FF9"/>
    <w:rsid w:val="004151DB"/>
    <w:rsid w:val="00425B4B"/>
    <w:rsid w:val="00427FD0"/>
    <w:rsid w:val="00431866"/>
    <w:rsid w:val="0043411C"/>
    <w:rsid w:val="00434727"/>
    <w:rsid w:val="00437AA5"/>
    <w:rsid w:val="00440F2F"/>
    <w:rsid w:val="00443F7D"/>
    <w:rsid w:val="00445D5E"/>
    <w:rsid w:val="004473F3"/>
    <w:rsid w:val="00447E0D"/>
    <w:rsid w:val="0045096B"/>
    <w:rsid w:val="00453F01"/>
    <w:rsid w:val="004552A8"/>
    <w:rsid w:val="00461AA0"/>
    <w:rsid w:val="00463144"/>
    <w:rsid w:val="0046438F"/>
    <w:rsid w:val="00465DD8"/>
    <w:rsid w:val="0046630B"/>
    <w:rsid w:val="00470DC7"/>
    <w:rsid w:val="00472A5D"/>
    <w:rsid w:val="00474AAC"/>
    <w:rsid w:val="004755A7"/>
    <w:rsid w:val="00480505"/>
    <w:rsid w:val="00481301"/>
    <w:rsid w:val="00481F22"/>
    <w:rsid w:val="00486530"/>
    <w:rsid w:val="004878E8"/>
    <w:rsid w:val="004912ED"/>
    <w:rsid w:val="00491766"/>
    <w:rsid w:val="00492396"/>
    <w:rsid w:val="00494FCE"/>
    <w:rsid w:val="00495E3B"/>
    <w:rsid w:val="00497902"/>
    <w:rsid w:val="004A007B"/>
    <w:rsid w:val="004A1C65"/>
    <w:rsid w:val="004A1F1F"/>
    <w:rsid w:val="004A45BB"/>
    <w:rsid w:val="004A63F5"/>
    <w:rsid w:val="004A6D58"/>
    <w:rsid w:val="004A7222"/>
    <w:rsid w:val="004A78B1"/>
    <w:rsid w:val="004A795D"/>
    <w:rsid w:val="004AE753"/>
    <w:rsid w:val="004B15F4"/>
    <w:rsid w:val="004B28C5"/>
    <w:rsid w:val="004B4811"/>
    <w:rsid w:val="004B4891"/>
    <w:rsid w:val="004B58BF"/>
    <w:rsid w:val="004B663B"/>
    <w:rsid w:val="004C0E40"/>
    <w:rsid w:val="004C2521"/>
    <w:rsid w:val="004C2C81"/>
    <w:rsid w:val="004C2F52"/>
    <w:rsid w:val="004C4A61"/>
    <w:rsid w:val="004C4BDE"/>
    <w:rsid w:val="004C4CE7"/>
    <w:rsid w:val="004C5A11"/>
    <w:rsid w:val="004C5BBE"/>
    <w:rsid w:val="004C6910"/>
    <w:rsid w:val="004D1FE6"/>
    <w:rsid w:val="004D2CA9"/>
    <w:rsid w:val="004D332E"/>
    <w:rsid w:val="004D3464"/>
    <w:rsid w:val="004D50A5"/>
    <w:rsid w:val="004D53A5"/>
    <w:rsid w:val="004D643E"/>
    <w:rsid w:val="004D67C0"/>
    <w:rsid w:val="004E0459"/>
    <w:rsid w:val="004E19F9"/>
    <w:rsid w:val="004E24D1"/>
    <w:rsid w:val="004E2E1D"/>
    <w:rsid w:val="004E30F4"/>
    <w:rsid w:val="004E5EAD"/>
    <w:rsid w:val="004F221F"/>
    <w:rsid w:val="004F2AAF"/>
    <w:rsid w:val="004F505C"/>
    <w:rsid w:val="0050105F"/>
    <w:rsid w:val="0050434D"/>
    <w:rsid w:val="005067A7"/>
    <w:rsid w:val="00510989"/>
    <w:rsid w:val="00512DDF"/>
    <w:rsid w:val="00512FB3"/>
    <w:rsid w:val="005138A0"/>
    <w:rsid w:val="00514F01"/>
    <w:rsid w:val="00517205"/>
    <w:rsid w:val="00521743"/>
    <w:rsid w:val="005219B5"/>
    <w:rsid w:val="00521C42"/>
    <w:rsid w:val="005243BB"/>
    <w:rsid w:val="00524A37"/>
    <w:rsid w:val="005252E6"/>
    <w:rsid w:val="005255BE"/>
    <w:rsid w:val="00525742"/>
    <w:rsid w:val="00525DD7"/>
    <w:rsid w:val="005264A0"/>
    <w:rsid w:val="0052769D"/>
    <w:rsid w:val="00530130"/>
    <w:rsid w:val="00530560"/>
    <w:rsid w:val="005315FF"/>
    <w:rsid w:val="0053252C"/>
    <w:rsid w:val="005409D4"/>
    <w:rsid w:val="00542487"/>
    <w:rsid w:val="00543906"/>
    <w:rsid w:val="00543BF1"/>
    <w:rsid w:val="00545633"/>
    <w:rsid w:val="0054763C"/>
    <w:rsid w:val="0054765B"/>
    <w:rsid w:val="00547BA6"/>
    <w:rsid w:val="0055085C"/>
    <w:rsid w:val="00550A01"/>
    <w:rsid w:val="0055148F"/>
    <w:rsid w:val="00551AAB"/>
    <w:rsid w:val="00553B0C"/>
    <w:rsid w:val="005543D7"/>
    <w:rsid w:val="00554A41"/>
    <w:rsid w:val="005551C4"/>
    <w:rsid w:val="00555D6B"/>
    <w:rsid w:val="0055655B"/>
    <w:rsid w:val="005572D1"/>
    <w:rsid w:val="00557A3C"/>
    <w:rsid w:val="005617A5"/>
    <w:rsid w:val="0056521A"/>
    <w:rsid w:val="005707C4"/>
    <w:rsid w:val="00572963"/>
    <w:rsid w:val="00574470"/>
    <w:rsid w:val="005747FA"/>
    <w:rsid w:val="00575863"/>
    <w:rsid w:val="00577722"/>
    <w:rsid w:val="00580A03"/>
    <w:rsid w:val="005820EC"/>
    <w:rsid w:val="00582810"/>
    <w:rsid w:val="005840C7"/>
    <w:rsid w:val="00584656"/>
    <w:rsid w:val="005849AF"/>
    <w:rsid w:val="005853C9"/>
    <w:rsid w:val="00586D72"/>
    <w:rsid w:val="00593EB8"/>
    <w:rsid w:val="00594A6E"/>
    <w:rsid w:val="00595540"/>
    <w:rsid w:val="00596B06"/>
    <w:rsid w:val="005A0085"/>
    <w:rsid w:val="005A0E10"/>
    <w:rsid w:val="005A187B"/>
    <w:rsid w:val="005A3BBB"/>
    <w:rsid w:val="005A7B51"/>
    <w:rsid w:val="005B118A"/>
    <w:rsid w:val="005B20D6"/>
    <w:rsid w:val="005B34C3"/>
    <w:rsid w:val="005B5FA6"/>
    <w:rsid w:val="005C20C9"/>
    <w:rsid w:val="005C28B1"/>
    <w:rsid w:val="005C4376"/>
    <w:rsid w:val="005C58B5"/>
    <w:rsid w:val="005C5B19"/>
    <w:rsid w:val="005C607E"/>
    <w:rsid w:val="005C686D"/>
    <w:rsid w:val="005C6E81"/>
    <w:rsid w:val="005D06D7"/>
    <w:rsid w:val="005D0DD8"/>
    <w:rsid w:val="005D274D"/>
    <w:rsid w:val="005D28EE"/>
    <w:rsid w:val="005D471B"/>
    <w:rsid w:val="005D58A7"/>
    <w:rsid w:val="005E312A"/>
    <w:rsid w:val="005E4E45"/>
    <w:rsid w:val="005E6585"/>
    <w:rsid w:val="005F542D"/>
    <w:rsid w:val="005F69DD"/>
    <w:rsid w:val="005F7069"/>
    <w:rsid w:val="005F720F"/>
    <w:rsid w:val="0060410B"/>
    <w:rsid w:val="0060468A"/>
    <w:rsid w:val="00604E2B"/>
    <w:rsid w:val="006061FD"/>
    <w:rsid w:val="00606791"/>
    <w:rsid w:val="006071A4"/>
    <w:rsid w:val="00610279"/>
    <w:rsid w:val="0061380B"/>
    <w:rsid w:val="00613DFE"/>
    <w:rsid w:val="0061469A"/>
    <w:rsid w:val="00615E99"/>
    <w:rsid w:val="00616974"/>
    <w:rsid w:val="00617E3F"/>
    <w:rsid w:val="00620770"/>
    <w:rsid w:val="00620E4A"/>
    <w:rsid w:val="006216E0"/>
    <w:rsid w:val="00621DFF"/>
    <w:rsid w:val="0062231F"/>
    <w:rsid w:val="00625E4E"/>
    <w:rsid w:val="00625E88"/>
    <w:rsid w:val="00627CAD"/>
    <w:rsid w:val="00630F7C"/>
    <w:rsid w:val="006352EE"/>
    <w:rsid w:val="00635716"/>
    <w:rsid w:val="00641331"/>
    <w:rsid w:val="006423C2"/>
    <w:rsid w:val="006450A2"/>
    <w:rsid w:val="006456C0"/>
    <w:rsid w:val="00646128"/>
    <w:rsid w:val="006470F9"/>
    <w:rsid w:val="00650CCE"/>
    <w:rsid w:val="00654978"/>
    <w:rsid w:val="00654D12"/>
    <w:rsid w:val="0065524B"/>
    <w:rsid w:val="006615AB"/>
    <w:rsid w:val="00662700"/>
    <w:rsid w:val="006637F5"/>
    <w:rsid w:val="00663C7E"/>
    <w:rsid w:val="00664ED4"/>
    <w:rsid w:val="006650C5"/>
    <w:rsid w:val="006654AB"/>
    <w:rsid w:val="006674EC"/>
    <w:rsid w:val="0066A5AE"/>
    <w:rsid w:val="00672201"/>
    <w:rsid w:val="006745B7"/>
    <w:rsid w:val="00674840"/>
    <w:rsid w:val="00675681"/>
    <w:rsid w:val="006757A3"/>
    <w:rsid w:val="00676F87"/>
    <w:rsid w:val="00677465"/>
    <w:rsid w:val="00677629"/>
    <w:rsid w:val="006776BB"/>
    <w:rsid w:val="0067781C"/>
    <w:rsid w:val="00681971"/>
    <w:rsid w:val="00681F10"/>
    <w:rsid w:val="00683924"/>
    <w:rsid w:val="00685B02"/>
    <w:rsid w:val="006871E8"/>
    <w:rsid w:val="00687347"/>
    <w:rsid w:val="00687C0A"/>
    <w:rsid w:val="00690710"/>
    <w:rsid w:val="00691BE7"/>
    <w:rsid w:val="00693A27"/>
    <w:rsid w:val="0069421D"/>
    <w:rsid w:val="006961A2"/>
    <w:rsid w:val="006A0ED9"/>
    <w:rsid w:val="006A3547"/>
    <w:rsid w:val="006A4628"/>
    <w:rsid w:val="006A5722"/>
    <w:rsid w:val="006A5E5E"/>
    <w:rsid w:val="006A7AAF"/>
    <w:rsid w:val="006B0B00"/>
    <w:rsid w:val="006B1A7C"/>
    <w:rsid w:val="006B34D1"/>
    <w:rsid w:val="006B361B"/>
    <w:rsid w:val="006B3DFE"/>
    <w:rsid w:val="006B472A"/>
    <w:rsid w:val="006B71AD"/>
    <w:rsid w:val="006C4161"/>
    <w:rsid w:val="006C5566"/>
    <w:rsid w:val="006C70E2"/>
    <w:rsid w:val="006D01AB"/>
    <w:rsid w:val="006D346F"/>
    <w:rsid w:val="006D4104"/>
    <w:rsid w:val="006D4172"/>
    <w:rsid w:val="006D4446"/>
    <w:rsid w:val="006D4EE3"/>
    <w:rsid w:val="006D5AB3"/>
    <w:rsid w:val="006D68EB"/>
    <w:rsid w:val="006D6CA1"/>
    <w:rsid w:val="006D7C8B"/>
    <w:rsid w:val="006DD45A"/>
    <w:rsid w:val="006E0DC1"/>
    <w:rsid w:val="006E20AB"/>
    <w:rsid w:val="006E2B67"/>
    <w:rsid w:val="006E3240"/>
    <w:rsid w:val="006E3B44"/>
    <w:rsid w:val="006E5331"/>
    <w:rsid w:val="006E5337"/>
    <w:rsid w:val="006E7603"/>
    <w:rsid w:val="006F076C"/>
    <w:rsid w:val="006F0C56"/>
    <w:rsid w:val="006F3594"/>
    <w:rsid w:val="006F3E47"/>
    <w:rsid w:val="006F7BF8"/>
    <w:rsid w:val="006F7EFE"/>
    <w:rsid w:val="00703837"/>
    <w:rsid w:val="007049A7"/>
    <w:rsid w:val="00705678"/>
    <w:rsid w:val="00706459"/>
    <w:rsid w:val="00713421"/>
    <w:rsid w:val="0072315B"/>
    <w:rsid w:val="007261B3"/>
    <w:rsid w:val="007269D1"/>
    <w:rsid w:val="007271EB"/>
    <w:rsid w:val="00727481"/>
    <w:rsid w:val="00732224"/>
    <w:rsid w:val="00732FD3"/>
    <w:rsid w:val="007333A0"/>
    <w:rsid w:val="00734BC5"/>
    <w:rsid w:val="00736746"/>
    <w:rsid w:val="00740761"/>
    <w:rsid w:val="00742766"/>
    <w:rsid w:val="007440D5"/>
    <w:rsid w:val="0074434F"/>
    <w:rsid w:val="00745A5B"/>
    <w:rsid w:val="00746F08"/>
    <w:rsid w:val="00750687"/>
    <w:rsid w:val="00751969"/>
    <w:rsid w:val="00755155"/>
    <w:rsid w:val="00763AC0"/>
    <w:rsid w:val="007640F7"/>
    <w:rsid w:val="0076439C"/>
    <w:rsid w:val="007649C9"/>
    <w:rsid w:val="00767D20"/>
    <w:rsid w:val="0076DCFD"/>
    <w:rsid w:val="00770F3B"/>
    <w:rsid w:val="00770FF6"/>
    <w:rsid w:val="0077208C"/>
    <w:rsid w:val="00773F69"/>
    <w:rsid w:val="00774243"/>
    <w:rsid w:val="00777C05"/>
    <w:rsid w:val="00783374"/>
    <w:rsid w:val="00784845"/>
    <w:rsid w:val="00786116"/>
    <w:rsid w:val="00787177"/>
    <w:rsid w:val="00787E68"/>
    <w:rsid w:val="0079148B"/>
    <w:rsid w:val="007934CC"/>
    <w:rsid w:val="007936FC"/>
    <w:rsid w:val="00794604"/>
    <w:rsid w:val="0079522F"/>
    <w:rsid w:val="007973E0"/>
    <w:rsid w:val="0079CF9E"/>
    <w:rsid w:val="007A499E"/>
    <w:rsid w:val="007A6C9C"/>
    <w:rsid w:val="007A6E55"/>
    <w:rsid w:val="007A73C0"/>
    <w:rsid w:val="007A7EA3"/>
    <w:rsid w:val="007B7AFC"/>
    <w:rsid w:val="007B7D6F"/>
    <w:rsid w:val="007B7E57"/>
    <w:rsid w:val="007C02FB"/>
    <w:rsid w:val="007C0BB6"/>
    <w:rsid w:val="007C118B"/>
    <w:rsid w:val="007C2722"/>
    <w:rsid w:val="007C40F7"/>
    <w:rsid w:val="007C4B02"/>
    <w:rsid w:val="007C558A"/>
    <w:rsid w:val="007C5A3C"/>
    <w:rsid w:val="007D0861"/>
    <w:rsid w:val="007D0910"/>
    <w:rsid w:val="007D1B46"/>
    <w:rsid w:val="007D6519"/>
    <w:rsid w:val="007E010B"/>
    <w:rsid w:val="007E0999"/>
    <w:rsid w:val="007E13FA"/>
    <w:rsid w:val="007E2A12"/>
    <w:rsid w:val="007E2F24"/>
    <w:rsid w:val="007E70C4"/>
    <w:rsid w:val="007F0B43"/>
    <w:rsid w:val="007F1976"/>
    <w:rsid w:val="007F3958"/>
    <w:rsid w:val="007F4051"/>
    <w:rsid w:val="007F6F8C"/>
    <w:rsid w:val="008022AB"/>
    <w:rsid w:val="00802FC2"/>
    <w:rsid w:val="00803CDF"/>
    <w:rsid w:val="0080611F"/>
    <w:rsid w:val="0080697C"/>
    <w:rsid w:val="00807C2C"/>
    <w:rsid w:val="00807D6C"/>
    <w:rsid w:val="0080FB13"/>
    <w:rsid w:val="00812840"/>
    <w:rsid w:val="00815046"/>
    <w:rsid w:val="00816326"/>
    <w:rsid w:val="00817468"/>
    <w:rsid w:val="00821003"/>
    <w:rsid w:val="00823353"/>
    <w:rsid w:val="00830162"/>
    <w:rsid w:val="008337F4"/>
    <w:rsid w:val="008362E5"/>
    <w:rsid w:val="00844392"/>
    <w:rsid w:val="008447BD"/>
    <w:rsid w:val="00847049"/>
    <w:rsid w:val="008470ED"/>
    <w:rsid w:val="00847598"/>
    <w:rsid w:val="00851550"/>
    <w:rsid w:val="00851AA5"/>
    <w:rsid w:val="00851D24"/>
    <w:rsid w:val="00851EFB"/>
    <w:rsid w:val="00852DCE"/>
    <w:rsid w:val="008536C6"/>
    <w:rsid w:val="00853CA7"/>
    <w:rsid w:val="0085453A"/>
    <w:rsid w:val="0085519E"/>
    <w:rsid w:val="00860965"/>
    <w:rsid w:val="00860E18"/>
    <w:rsid w:val="00860E34"/>
    <w:rsid w:val="00861F90"/>
    <w:rsid w:val="00864E5E"/>
    <w:rsid w:val="008654BA"/>
    <w:rsid w:val="00865C7A"/>
    <w:rsid w:val="00865F32"/>
    <w:rsid w:val="008700A1"/>
    <w:rsid w:val="00870921"/>
    <w:rsid w:val="00871372"/>
    <w:rsid w:val="0087343B"/>
    <w:rsid w:val="0087395A"/>
    <w:rsid w:val="00874B0A"/>
    <w:rsid w:val="00874F58"/>
    <w:rsid w:val="0088094E"/>
    <w:rsid w:val="00882875"/>
    <w:rsid w:val="00882A1A"/>
    <w:rsid w:val="0088355F"/>
    <w:rsid w:val="008872C1"/>
    <w:rsid w:val="00892178"/>
    <w:rsid w:val="00895960"/>
    <w:rsid w:val="008A1282"/>
    <w:rsid w:val="008A5B75"/>
    <w:rsid w:val="008A6D6F"/>
    <w:rsid w:val="008A6E95"/>
    <w:rsid w:val="008B0CEA"/>
    <w:rsid w:val="008B1CED"/>
    <w:rsid w:val="008B207A"/>
    <w:rsid w:val="008B3A48"/>
    <w:rsid w:val="008B4A4A"/>
    <w:rsid w:val="008B5502"/>
    <w:rsid w:val="008B645F"/>
    <w:rsid w:val="008B6C89"/>
    <w:rsid w:val="008B7242"/>
    <w:rsid w:val="008B79A2"/>
    <w:rsid w:val="008B7E21"/>
    <w:rsid w:val="008C06F4"/>
    <w:rsid w:val="008C1C54"/>
    <w:rsid w:val="008C424D"/>
    <w:rsid w:val="008C44BF"/>
    <w:rsid w:val="008C4FA0"/>
    <w:rsid w:val="008C6C4C"/>
    <w:rsid w:val="008C7AF5"/>
    <w:rsid w:val="008D1CBB"/>
    <w:rsid w:val="008D39E7"/>
    <w:rsid w:val="008D4466"/>
    <w:rsid w:val="008D5FB1"/>
    <w:rsid w:val="008D60DA"/>
    <w:rsid w:val="008D78F2"/>
    <w:rsid w:val="008E11B9"/>
    <w:rsid w:val="008E18EE"/>
    <w:rsid w:val="008E2694"/>
    <w:rsid w:val="008E2786"/>
    <w:rsid w:val="008E5EDE"/>
    <w:rsid w:val="008E74FE"/>
    <w:rsid w:val="008F4B16"/>
    <w:rsid w:val="008F6942"/>
    <w:rsid w:val="008F7972"/>
    <w:rsid w:val="008F7D60"/>
    <w:rsid w:val="008F7DB0"/>
    <w:rsid w:val="009014D1"/>
    <w:rsid w:val="00901D95"/>
    <w:rsid w:val="00903232"/>
    <w:rsid w:val="00903CD6"/>
    <w:rsid w:val="009044EA"/>
    <w:rsid w:val="00904641"/>
    <w:rsid w:val="00904C9E"/>
    <w:rsid w:val="009115F2"/>
    <w:rsid w:val="00913FD4"/>
    <w:rsid w:val="0091675A"/>
    <w:rsid w:val="00917643"/>
    <w:rsid w:val="009209E1"/>
    <w:rsid w:val="00920BBA"/>
    <w:rsid w:val="009219A4"/>
    <w:rsid w:val="00921C2E"/>
    <w:rsid w:val="009229A6"/>
    <w:rsid w:val="0092499C"/>
    <w:rsid w:val="00927A10"/>
    <w:rsid w:val="00927B68"/>
    <w:rsid w:val="009340A0"/>
    <w:rsid w:val="00934124"/>
    <w:rsid w:val="009344BB"/>
    <w:rsid w:val="00935C62"/>
    <w:rsid w:val="00935ECF"/>
    <w:rsid w:val="00936EFF"/>
    <w:rsid w:val="009405C2"/>
    <w:rsid w:val="00940731"/>
    <w:rsid w:val="009407C4"/>
    <w:rsid w:val="00941BF2"/>
    <w:rsid w:val="009517BC"/>
    <w:rsid w:val="00951A14"/>
    <w:rsid w:val="009530ED"/>
    <w:rsid w:val="00953240"/>
    <w:rsid w:val="00956BB4"/>
    <w:rsid w:val="00956DA2"/>
    <w:rsid w:val="00961EA0"/>
    <w:rsid w:val="00966F3A"/>
    <w:rsid w:val="00967B46"/>
    <w:rsid w:val="009724AE"/>
    <w:rsid w:val="00972CAC"/>
    <w:rsid w:val="00973461"/>
    <w:rsid w:val="009767F0"/>
    <w:rsid w:val="00976BDB"/>
    <w:rsid w:val="00977488"/>
    <w:rsid w:val="0098012F"/>
    <w:rsid w:val="009804E9"/>
    <w:rsid w:val="009827ED"/>
    <w:rsid w:val="009947CC"/>
    <w:rsid w:val="009957C5"/>
    <w:rsid w:val="00996C33"/>
    <w:rsid w:val="00997A7F"/>
    <w:rsid w:val="009A127F"/>
    <w:rsid w:val="009A137E"/>
    <w:rsid w:val="009A17EC"/>
    <w:rsid w:val="009A530A"/>
    <w:rsid w:val="009A5B64"/>
    <w:rsid w:val="009A6559"/>
    <w:rsid w:val="009A71DF"/>
    <w:rsid w:val="009B0409"/>
    <w:rsid w:val="009B1C12"/>
    <w:rsid w:val="009B5993"/>
    <w:rsid w:val="009B70B8"/>
    <w:rsid w:val="009B7220"/>
    <w:rsid w:val="009B7736"/>
    <w:rsid w:val="009C4734"/>
    <w:rsid w:val="009D02E7"/>
    <w:rsid w:val="009D2967"/>
    <w:rsid w:val="009D348B"/>
    <w:rsid w:val="009D57E5"/>
    <w:rsid w:val="009D59F2"/>
    <w:rsid w:val="009D6163"/>
    <w:rsid w:val="009D7112"/>
    <w:rsid w:val="009E0135"/>
    <w:rsid w:val="009E01E8"/>
    <w:rsid w:val="009E255E"/>
    <w:rsid w:val="009E34CD"/>
    <w:rsid w:val="009E37E2"/>
    <w:rsid w:val="009E3998"/>
    <w:rsid w:val="009E4B74"/>
    <w:rsid w:val="009EF469"/>
    <w:rsid w:val="009F003D"/>
    <w:rsid w:val="009F0637"/>
    <w:rsid w:val="009F1260"/>
    <w:rsid w:val="009F262B"/>
    <w:rsid w:val="009F5546"/>
    <w:rsid w:val="009F5AC0"/>
    <w:rsid w:val="009F6C03"/>
    <w:rsid w:val="009F75F0"/>
    <w:rsid w:val="00A03A50"/>
    <w:rsid w:val="00A111E5"/>
    <w:rsid w:val="00A15756"/>
    <w:rsid w:val="00A163A4"/>
    <w:rsid w:val="00A20C4B"/>
    <w:rsid w:val="00A20C9B"/>
    <w:rsid w:val="00A217B7"/>
    <w:rsid w:val="00A25359"/>
    <w:rsid w:val="00A26C4D"/>
    <w:rsid w:val="00A27715"/>
    <w:rsid w:val="00A31412"/>
    <w:rsid w:val="00A329F9"/>
    <w:rsid w:val="00A32A62"/>
    <w:rsid w:val="00A33EC0"/>
    <w:rsid w:val="00A3543A"/>
    <w:rsid w:val="00A376B5"/>
    <w:rsid w:val="00A5317C"/>
    <w:rsid w:val="00A5323B"/>
    <w:rsid w:val="00A53548"/>
    <w:rsid w:val="00A54BD1"/>
    <w:rsid w:val="00A55609"/>
    <w:rsid w:val="00A565C7"/>
    <w:rsid w:val="00A56CB5"/>
    <w:rsid w:val="00A57BAD"/>
    <w:rsid w:val="00A61EB7"/>
    <w:rsid w:val="00A65225"/>
    <w:rsid w:val="00A65AD8"/>
    <w:rsid w:val="00A70556"/>
    <w:rsid w:val="00A71DD7"/>
    <w:rsid w:val="00A71E52"/>
    <w:rsid w:val="00A73112"/>
    <w:rsid w:val="00A73711"/>
    <w:rsid w:val="00A743D9"/>
    <w:rsid w:val="00A7671E"/>
    <w:rsid w:val="00A77E8C"/>
    <w:rsid w:val="00A82EE3"/>
    <w:rsid w:val="00A8522B"/>
    <w:rsid w:val="00A85E77"/>
    <w:rsid w:val="00A86BD6"/>
    <w:rsid w:val="00A901C5"/>
    <w:rsid w:val="00A9488D"/>
    <w:rsid w:val="00A94D36"/>
    <w:rsid w:val="00A95029"/>
    <w:rsid w:val="00AA0805"/>
    <w:rsid w:val="00AA3C71"/>
    <w:rsid w:val="00AA6104"/>
    <w:rsid w:val="00AA633C"/>
    <w:rsid w:val="00AA6A05"/>
    <w:rsid w:val="00AA6FD5"/>
    <w:rsid w:val="00AAFC12"/>
    <w:rsid w:val="00AB380C"/>
    <w:rsid w:val="00AB394F"/>
    <w:rsid w:val="00AB3C91"/>
    <w:rsid w:val="00AB590D"/>
    <w:rsid w:val="00AB6E45"/>
    <w:rsid w:val="00AD056C"/>
    <w:rsid w:val="00AD211C"/>
    <w:rsid w:val="00AD2B75"/>
    <w:rsid w:val="00AE0170"/>
    <w:rsid w:val="00AE0359"/>
    <w:rsid w:val="00AE2289"/>
    <w:rsid w:val="00AE3870"/>
    <w:rsid w:val="00AE71CD"/>
    <w:rsid w:val="00AF0284"/>
    <w:rsid w:val="00AF6F3B"/>
    <w:rsid w:val="00B00FA6"/>
    <w:rsid w:val="00B0173F"/>
    <w:rsid w:val="00B04B79"/>
    <w:rsid w:val="00B06803"/>
    <w:rsid w:val="00B07A84"/>
    <w:rsid w:val="00B106D1"/>
    <w:rsid w:val="00B174E2"/>
    <w:rsid w:val="00B22316"/>
    <w:rsid w:val="00B23B87"/>
    <w:rsid w:val="00B23BA1"/>
    <w:rsid w:val="00B23FA0"/>
    <w:rsid w:val="00B2532F"/>
    <w:rsid w:val="00B2550B"/>
    <w:rsid w:val="00B2614B"/>
    <w:rsid w:val="00B30C97"/>
    <w:rsid w:val="00B34C39"/>
    <w:rsid w:val="00B4168C"/>
    <w:rsid w:val="00B4359F"/>
    <w:rsid w:val="00B4401B"/>
    <w:rsid w:val="00B50CD9"/>
    <w:rsid w:val="00B51EB5"/>
    <w:rsid w:val="00B53926"/>
    <w:rsid w:val="00B554F8"/>
    <w:rsid w:val="00B6005E"/>
    <w:rsid w:val="00B60B97"/>
    <w:rsid w:val="00B6118F"/>
    <w:rsid w:val="00B63C25"/>
    <w:rsid w:val="00B64312"/>
    <w:rsid w:val="00B644AA"/>
    <w:rsid w:val="00B65F2D"/>
    <w:rsid w:val="00B661B5"/>
    <w:rsid w:val="00B703F7"/>
    <w:rsid w:val="00B70536"/>
    <w:rsid w:val="00B73555"/>
    <w:rsid w:val="00B7786D"/>
    <w:rsid w:val="00B81F26"/>
    <w:rsid w:val="00B8542F"/>
    <w:rsid w:val="00B8685D"/>
    <w:rsid w:val="00B86BE2"/>
    <w:rsid w:val="00B879FC"/>
    <w:rsid w:val="00B9051E"/>
    <w:rsid w:val="00B925B0"/>
    <w:rsid w:val="00B93486"/>
    <w:rsid w:val="00B93597"/>
    <w:rsid w:val="00B94C89"/>
    <w:rsid w:val="00B95A23"/>
    <w:rsid w:val="00B96231"/>
    <w:rsid w:val="00B96762"/>
    <w:rsid w:val="00B972F9"/>
    <w:rsid w:val="00B977C2"/>
    <w:rsid w:val="00BA02C2"/>
    <w:rsid w:val="00BA08DC"/>
    <w:rsid w:val="00BA18B0"/>
    <w:rsid w:val="00BA2468"/>
    <w:rsid w:val="00BA468B"/>
    <w:rsid w:val="00BA4C1F"/>
    <w:rsid w:val="00BA64D1"/>
    <w:rsid w:val="00BB0AF7"/>
    <w:rsid w:val="00BC3349"/>
    <w:rsid w:val="00BC4CE9"/>
    <w:rsid w:val="00BC6E7F"/>
    <w:rsid w:val="00BD2E4D"/>
    <w:rsid w:val="00BD31D7"/>
    <w:rsid w:val="00BD4D50"/>
    <w:rsid w:val="00BD4E7C"/>
    <w:rsid w:val="00BD504C"/>
    <w:rsid w:val="00BD60EA"/>
    <w:rsid w:val="00BE07D3"/>
    <w:rsid w:val="00BE225D"/>
    <w:rsid w:val="00BE3516"/>
    <w:rsid w:val="00BE38AF"/>
    <w:rsid w:val="00BE5BDD"/>
    <w:rsid w:val="00BE71FA"/>
    <w:rsid w:val="00BF0135"/>
    <w:rsid w:val="00BF19F7"/>
    <w:rsid w:val="00BF30FC"/>
    <w:rsid w:val="00BF3AB9"/>
    <w:rsid w:val="00BF5A97"/>
    <w:rsid w:val="00BF7262"/>
    <w:rsid w:val="00BF7B71"/>
    <w:rsid w:val="00BF9AD2"/>
    <w:rsid w:val="00C0206C"/>
    <w:rsid w:val="00C029D9"/>
    <w:rsid w:val="00C06DC8"/>
    <w:rsid w:val="00C12AFE"/>
    <w:rsid w:val="00C1406D"/>
    <w:rsid w:val="00C143D1"/>
    <w:rsid w:val="00C17193"/>
    <w:rsid w:val="00C2166A"/>
    <w:rsid w:val="00C21D71"/>
    <w:rsid w:val="00C22EAE"/>
    <w:rsid w:val="00C23C3D"/>
    <w:rsid w:val="00C24133"/>
    <w:rsid w:val="00C2772B"/>
    <w:rsid w:val="00C27770"/>
    <w:rsid w:val="00C35784"/>
    <w:rsid w:val="00C366A0"/>
    <w:rsid w:val="00C36B54"/>
    <w:rsid w:val="00C3731F"/>
    <w:rsid w:val="00C3C487"/>
    <w:rsid w:val="00C40849"/>
    <w:rsid w:val="00C42293"/>
    <w:rsid w:val="00C42401"/>
    <w:rsid w:val="00C4329A"/>
    <w:rsid w:val="00C436D0"/>
    <w:rsid w:val="00C45B0D"/>
    <w:rsid w:val="00C4624A"/>
    <w:rsid w:val="00C46710"/>
    <w:rsid w:val="00C46CDD"/>
    <w:rsid w:val="00C46F32"/>
    <w:rsid w:val="00C46F9A"/>
    <w:rsid w:val="00C47D58"/>
    <w:rsid w:val="00C4F694"/>
    <w:rsid w:val="00C520EF"/>
    <w:rsid w:val="00C56BC0"/>
    <w:rsid w:val="00C60819"/>
    <w:rsid w:val="00C60CE2"/>
    <w:rsid w:val="00C61F4D"/>
    <w:rsid w:val="00C6214D"/>
    <w:rsid w:val="00C62257"/>
    <w:rsid w:val="00C63954"/>
    <w:rsid w:val="00C63E38"/>
    <w:rsid w:val="00C63F4C"/>
    <w:rsid w:val="00C6469B"/>
    <w:rsid w:val="00C64BC7"/>
    <w:rsid w:val="00C65BB1"/>
    <w:rsid w:val="00C677DC"/>
    <w:rsid w:val="00C7057E"/>
    <w:rsid w:val="00C706FE"/>
    <w:rsid w:val="00C71DE2"/>
    <w:rsid w:val="00C73DE1"/>
    <w:rsid w:val="00C76088"/>
    <w:rsid w:val="00C77790"/>
    <w:rsid w:val="00C827A1"/>
    <w:rsid w:val="00C83D6E"/>
    <w:rsid w:val="00C84A98"/>
    <w:rsid w:val="00C865AF"/>
    <w:rsid w:val="00C8709A"/>
    <w:rsid w:val="00C9331A"/>
    <w:rsid w:val="00C9428C"/>
    <w:rsid w:val="00C94923"/>
    <w:rsid w:val="00C964DA"/>
    <w:rsid w:val="00C97A26"/>
    <w:rsid w:val="00CA23C3"/>
    <w:rsid w:val="00CA284C"/>
    <w:rsid w:val="00CA294F"/>
    <w:rsid w:val="00CA5AB4"/>
    <w:rsid w:val="00CB07DB"/>
    <w:rsid w:val="00CB29FB"/>
    <w:rsid w:val="00CB344F"/>
    <w:rsid w:val="00CB39E5"/>
    <w:rsid w:val="00CB3F01"/>
    <w:rsid w:val="00CB427E"/>
    <w:rsid w:val="00CB4670"/>
    <w:rsid w:val="00CB4F2E"/>
    <w:rsid w:val="00CB4FC3"/>
    <w:rsid w:val="00CB5FF1"/>
    <w:rsid w:val="00CB739B"/>
    <w:rsid w:val="00CB7C77"/>
    <w:rsid w:val="00CB7F78"/>
    <w:rsid w:val="00CC2916"/>
    <w:rsid w:val="00CC66E6"/>
    <w:rsid w:val="00CC7910"/>
    <w:rsid w:val="00CD02AA"/>
    <w:rsid w:val="00CD06CC"/>
    <w:rsid w:val="00CD0967"/>
    <w:rsid w:val="00CD4311"/>
    <w:rsid w:val="00CD6872"/>
    <w:rsid w:val="00CE0339"/>
    <w:rsid w:val="00CE14DF"/>
    <w:rsid w:val="00CE42BE"/>
    <w:rsid w:val="00CE4BB4"/>
    <w:rsid w:val="00CE582B"/>
    <w:rsid w:val="00CE59B3"/>
    <w:rsid w:val="00CE5F24"/>
    <w:rsid w:val="00CE606C"/>
    <w:rsid w:val="00CE686D"/>
    <w:rsid w:val="00CE75E0"/>
    <w:rsid w:val="00CF688F"/>
    <w:rsid w:val="00D01A87"/>
    <w:rsid w:val="00D045D9"/>
    <w:rsid w:val="00D046F9"/>
    <w:rsid w:val="00D0759B"/>
    <w:rsid w:val="00D07EE5"/>
    <w:rsid w:val="00D10749"/>
    <w:rsid w:val="00D10E1C"/>
    <w:rsid w:val="00D118FB"/>
    <w:rsid w:val="00D16ED3"/>
    <w:rsid w:val="00D215D2"/>
    <w:rsid w:val="00D21915"/>
    <w:rsid w:val="00D223C6"/>
    <w:rsid w:val="00D238AB"/>
    <w:rsid w:val="00D24993"/>
    <w:rsid w:val="00D24BBA"/>
    <w:rsid w:val="00D252D6"/>
    <w:rsid w:val="00D26085"/>
    <w:rsid w:val="00D26531"/>
    <w:rsid w:val="00D279F8"/>
    <w:rsid w:val="00D31A30"/>
    <w:rsid w:val="00D33FD2"/>
    <w:rsid w:val="00D36B33"/>
    <w:rsid w:val="00D422FE"/>
    <w:rsid w:val="00D426E2"/>
    <w:rsid w:val="00D4401F"/>
    <w:rsid w:val="00D45297"/>
    <w:rsid w:val="00D473E9"/>
    <w:rsid w:val="00D478E8"/>
    <w:rsid w:val="00D47EB0"/>
    <w:rsid w:val="00D518F3"/>
    <w:rsid w:val="00D53C2C"/>
    <w:rsid w:val="00D541A8"/>
    <w:rsid w:val="00D55915"/>
    <w:rsid w:val="00D56C60"/>
    <w:rsid w:val="00D578EE"/>
    <w:rsid w:val="00D57AD3"/>
    <w:rsid w:val="00D6015A"/>
    <w:rsid w:val="00D60BC7"/>
    <w:rsid w:val="00D613E1"/>
    <w:rsid w:val="00D617EA"/>
    <w:rsid w:val="00D61B1B"/>
    <w:rsid w:val="00D623AE"/>
    <w:rsid w:val="00D62436"/>
    <w:rsid w:val="00D64512"/>
    <w:rsid w:val="00D652C6"/>
    <w:rsid w:val="00D664C1"/>
    <w:rsid w:val="00D702C7"/>
    <w:rsid w:val="00D707CC"/>
    <w:rsid w:val="00D708DC"/>
    <w:rsid w:val="00D71532"/>
    <w:rsid w:val="00D71C86"/>
    <w:rsid w:val="00D71EA8"/>
    <w:rsid w:val="00D7331A"/>
    <w:rsid w:val="00D74633"/>
    <w:rsid w:val="00D75A9C"/>
    <w:rsid w:val="00D86A08"/>
    <w:rsid w:val="00D9121C"/>
    <w:rsid w:val="00D91815"/>
    <w:rsid w:val="00D95034"/>
    <w:rsid w:val="00D95B26"/>
    <w:rsid w:val="00DA2382"/>
    <w:rsid w:val="00DA27D9"/>
    <w:rsid w:val="00DA344B"/>
    <w:rsid w:val="00DA583C"/>
    <w:rsid w:val="00DA697E"/>
    <w:rsid w:val="00DA6B52"/>
    <w:rsid w:val="00DA7535"/>
    <w:rsid w:val="00DA7F25"/>
    <w:rsid w:val="00DB3D7A"/>
    <w:rsid w:val="00DB4B20"/>
    <w:rsid w:val="00DB50CF"/>
    <w:rsid w:val="00DB7EE4"/>
    <w:rsid w:val="00DC1B41"/>
    <w:rsid w:val="00DC2D2C"/>
    <w:rsid w:val="00DC41EB"/>
    <w:rsid w:val="00DC7362"/>
    <w:rsid w:val="00DD2126"/>
    <w:rsid w:val="00DD29FE"/>
    <w:rsid w:val="00DD6809"/>
    <w:rsid w:val="00DE0E51"/>
    <w:rsid w:val="00DE1B07"/>
    <w:rsid w:val="00DE1B22"/>
    <w:rsid w:val="00DE6CD2"/>
    <w:rsid w:val="00DE6FAA"/>
    <w:rsid w:val="00DE7FD3"/>
    <w:rsid w:val="00DF4D55"/>
    <w:rsid w:val="00DF5B1B"/>
    <w:rsid w:val="00DF72DA"/>
    <w:rsid w:val="00DF7915"/>
    <w:rsid w:val="00E004E6"/>
    <w:rsid w:val="00E03070"/>
    <w:rsid w:val="00E035CC"/>
    <w:rsid w:val="00E07235"/>
    <w:rsid w:val="00E110DD"/>
    <w:rsid w:val="00E1314B"/>
    <w:rsid w:val="00E1AF89"/>
    <w:rsid w:val="00E226B3"/>
    <w:rsid w:val="00E2432E"/>
    <w:rsid w:val="00E2459D"/>
    <w:rsid w:val="00E259A8"/>
    <w:rsid w:val="00E25DD4"/>
    <w:rsid w:val="00E274B6"/>
    <w:rsid w:val="00E27D84"/>
    <w:rsid w:val="00E29E84"/>
    <w:rsid w:val="00E31EF6"/>
    <w:rsid w:val="00E32EED"/>
    <w:rsid w:val="00E33156"/>
    <w:rsid w:val="00E338FB"/>
    <w:rsid w:val="00E33C9F"/>
    <w:rsid w:val="00E34702"/>
    <w:rsid w:val="00E3532C"/>
    <w:rsid w:val="00E409A7"/>
    <w:rsid w:val="00E4146C"/>
    <w:rsid w:val="00E41FF1"/>
    <w:rsid w:val="00E45CD9"/>
    <w:rsid w:val="00E4703F"/>
    <w:rsid w:val="00E50FAD"/>
    <w:rsid w:val="00E5243A"/>
    <w:rsid w:val="00E53739"/>
    <w:rsid w:val="00E5380D"/>
    <w:rsid w:val="00E53B16"/>
    <w:rsid w:val="00E55178"/>
    <w:rsid w:val="00E57B74"/>
    <w:rsid w:val="00E5F1A8"/>
    <w:rsid w:val="00E61750"/>
    <w:rsid w:val="00E61E28"/>
    <w:rsid w:val="00E62BB7"/>
    <w:rsid w:val="00E632E4"/>
    <w:rsid w:val="00E63F25"/>
    <w:rsid w:val="00E65806"/>
    <w:rsid w:val="00E66717"/>
    <w:rsid w:val="00E74526"/>
    <w:rsid w:val="00E80345"/>
    <w:rsid w:val="00E82818"/>
    <w:rsid w:val="00E828ED"/>
    <w:rsid w:val="00E8598D"/>
    <w:rsid w:val="00E86605"/>
    <w:rsid w:val="00E86C8B"/>
    <w:rsid w:val="00E87084"/>
    <w:rsid w:val="00E87BDC"/>
    <w:rsid w:val="00E902E8"/>
    <w:rsid w:val="00E90694"/>
    <w:rsid w:val="00E9135C"/>
    <w:rsid w:val="00E92A47"/>
    <w:rsid w:val="00E9439D"/>
    <w:rsid w:val="00E94423"/>
    <w:rsid w:val="00E979AB"/>
    <w:rsid w:val="00EA0347"/>
    <w:rsid w:val="00EA23AC"/>
    <w:rsid w:val="00EA282E"/>
    <w:rsid w:val="00EA3175"/>
    <w:rsid w:val="00EA3E47"/>
    <w:rsid w:val="00EA601E"/>
    <w:rsid w:val="00EA783C"/>
    <w:rsid w:val="00EB03A9"/>
    <w:rsid w:val="00EB10DE"/>
    <w:rsid w:val="00EB116C"/>
    <w:rsid w:val="00EB1FCC"/>
    <w:rsid w:val="00EB30D3"/>
    <w:rsid w:val="00EB3854"/>
    <w:rsid w:val="00EB51B2"/>
    <w:rsid w:val="00EB5A43"/>
    <w:rsid w:val="00EB5CE2"/>
    <w:rsid w:val="00EB5F01"/>
    <w:rsid w:val="00EB65E7"/>
    <w:rsid w:val="00EB78A8"/>
    <w:rsid w:val="00EB78FA"/>
    <w:rsid w:val="00EC0E98"/>
    <w:rsid w:val="00EC39BC"/>
    <w:rsid w:val="00EC42D0"/>
    <w:rsid w:val="00ED1BB6"/>
    <w:rsid w:val="00ED2B40"/>
    <w:rsid w:val="00ED2CB7"/>
    <w:rsid w:val="00ED5788"/>
    <w:rsid w:val="00ED58F9"/>
    <w:rsid w:val="00ED5D74"/>
    <w:rsid w:val="00EE06CA"/>
    <w:rsid w:val="00EE140B"/>
    <w:rsid w:val="00EE1DF0"/>
    <w:rsid w:val="00EE5F93"/>
    <w:rsid w:val="00EE673A"/>
    <w:rsid w:val="00EF1325"/>
    <w:rsid w:val="00EF1640"/>
    <w:rsid w:val="00EF16D8"/>
    <w:rsid w:val="00EF2B0F"/>
    <w:rsid w:val="00EF3B56"/>
    <w:rsid w:val="00EF54CB"/>
    <w:rsid w:val="00EF550B"/>
    <w:rsid w:val="00EF6D73"/>
    <w:rsid w:val="00EF6DB3"/>
    <w:rsid w:val="00F003FC"/>
    <w:rsid w:val="00F00A25"/>
    <w:rsid w:val="00F01358"/>
    <w:rsid w:val="00F03094"/>
    <w:rsid w:val="00F03CAA"/>
    <w:rsid w:val="00F05DD4"/>
    <w:rsid w:val="00F0749D"/>
    <w:rsid w:val="00F10C94"/>
    <w:rsid w:val="00F10ECA"/>
    <w:rsid w:val="00F12B09"/>
    <w:rsid w:val="00F1359D"/>
    <w:rsid w:val="00F1410B"/>
    <w:rsid w:val="00F152DC"/>
    <w:rsid w:val="00F155C5"/>
    <w:rsid w:val="00F16804"/>
    <w:rsid w:val="00F222F2"/>
    <w:rsid w:val="00F23746"/>
    <w:rsid w:val="00F25323"/>
    <w:rsid w:val="00F26B4C"/>
    <w:rsid w:val="00F27088"/>
    <w:rsid w:val="00F3143D"/>
    <w:rsid w:val="00F33082"/>
    <w:rsid w:val="00F3332B"/>
    <w:rsid w:val="00F3407F"/>
    <w:rsid w:val="00F34198"/>
    <w:rsid w:val="00F352C2"/>
    <w:rsid w:val="00F364F0"/>
    <w:rsid w:val="00F36FE5"/>
    <w:rsid w:val="00F401D2"/>
    <w:rsid w:val="00F40F79"/>
    <w:rsid w:val="00F41C94"/>
    <w:rsid w:val="00F41F4C"/>
    <w:rsid w:val="00F44048"/>
    <w:rsid w:val="00F44C80"/>
    <w:rsid w:val="00F452EF"/>
    <w:rsid w:val="00F461FE"/>
    <w:rsid w:val="00F47629"/>
    <w:rsid w:val="00F50875"/>
    <w:rsid w:val="00F5305D"/>
    <w:rsid w:val="00F53324"/>
    <w:rsid w:val="00F547E5"/>
    <w:rsid w:val="00F54A3D"/>
    <w:rsid w:val="00F5711E"/>
    <w:rsid w:val="00F576B4"/>
    <w:rsid w:val="00F57C99"/>
    <w:rsid w:val="00F5E2B0"/>
    <w:rsid w:val="00F61F29"/>
    <w:rsid w:val="00F62191"/>
    <w:rsid w:val="00F64330"/>
    <w:rsid w:val="00F644BF"/>
    <w:rsid w:val="00F64912"/>
    <w:rsid w:val="00F657B7"/>
    <w:rsid w:val="00F703F3"/>
    <w:rsid w:val="00F71640"/>
    <w:rsid w:val="00F724F6"/>
    <w:rsid w:val="00F73C5F"/>
    <w:rsid w:val="00F756F9"/>
    <w:rsid w:val="00F759F0"/>
    <w:rsid w:val="00F75A95"/>
    <w:rsid w:val="00F77BE1"/>
    <w:rsid w:val="00F81A61"/>
    <w:rsid w:val="00F82E8E"/>
    <w:rsid w:val="00F83E92"/>
    <w:rsid w:val="00F858B5"/>
    <w:rsid w:val="00F97BDC"/>
    <w:rsid w:val="00FA1E28"/>
    <w:rsid w:val="00FA2380"/>
    <w:rsid w:val="00FA3093"/>
    <w:rsid w:val="00FA3261"/>
    <w:rsid w:val="00FA4466"/>
    <w:rsid w:val="00FA4D8F"/>
    <w:rsid w:val="00FA50C2"/>
    <w:rsid w:val="00FA57E3"/>
    <w:rsid w:val="00FA71A0"/>
    <w:rsid w:val="00FB26BC"/>
    <w:rsid w:val="00FB4251"/>
    <w:rsid w:val="00FB5222"/>
    <w:rsid w:val="00FB6550"/>
    <w:rsid w:val="00FC0E7E"/>
    <w:rsid w:val="00FC2396"/>
    <w:rsid w:val="00FC3686"/>
    <w:rsid w:val="00FC434B"/>
    <w:rsid w:val="00FC6082"/>
    <w:rsid w:val="00FC6A8B"/>
    <w:rsid w:val="00FD0AB6"/>
    <w:rsid w:val="00FD0BD8"/>
    <w:rsid w:val="00FD157A"/>
    <w:rsid w:val="00FD2B4D"/>
    <w:rsid w:val="00FD3E1B"/>
    <w:rsid w:val="00FE0ABE"/>
    <w:rsid w:val="00FE33B8"/>
    <w:rsid w:val="00FE3AD5"/>
    <w:rsid w:val="00FE405A"/>
    <w:rsid w:val="00FE5014"/>
    <w:rsid w:val="00FE7545"/>
    <w:rsid w:val="00FF1F2C"/>
    <w:rsid w:val="00FF409B"/>
    <w:rsid w:val="00FF5E68"/>
    <w:rsid w:val="00FF627D"/>
    <w:rsid w:val="01033B93"/>
    <w:rsid w:val="010441B4"/>
    <w:rsid w:val="010FE29C"/>
    <w:rsid w:val="0110C8D0"/>
    <w:rsid w:val="01272414"/>
    <w:rsid w:val="012FD761"/>
    <w:rsid w:val="01330338"/>
    <w:rsid w:val="0135CAEA"/>
    <w:rsid w:val="013D9012"/>
    <w:rsid w:val="013E7E54"/>
    <w:rsid w:val="013EFE2E"/>
    <w:rsid w:val="014AB3C5"/>
    <w:rsid w:val="01599BB3"/>
    <w:rsid w:val="015F62CC"/>
    <w:rsid w:val="016023E8"/>
    <w:rsid w:val="01714EF5"/>
    <w:rsid w:val="01718F9F"/>
    <w:rsid w:val="0172D224"/>
    <w:rsid w:val="017598B8"/>
    <w:rsid w:val="0183F728"/>
    <w:rsid w:val="018A9AF1"/>
    <w:rsid w:val="01A11FB8"/>
    <w:rsid w:val="01AB4901"/>
    <w:rsid w:val="01AB94B7"/>
    <w:rsid w:val="01B216D5"/>
    <w:rsid w:val="01BA6172"/>
    <w:rsid w:val="01C612B7"/>
    <w:rsid w:val="01C699EF"/>
    <w:rsid w:val="01CB11E6"/>
    <w:rsid w:val="01D42631"/>
    <w:rsid w:val="01E3EB98"/>
    <w:rsid w:val="01E70D2F"/>
    <w:rsid w:val="01EFDA0E"/>
    <w:rsid w:val="01FA8DBF"/>
    <w:rsid w:val="0209AB15"/>
    <w:rsid w:val="021177C5"/>
    <w:rsid w:val="0216F2DC"/>
    <w:rsid w:val="021C9A3E"/>
    <w:rsid w:val="022609AE"/>
    <w:rsid w:val="024EC49B"/>
    <w:rsid w:val="0250B45C"/>
    <w:rsid w:val="0251856F"/>
    <w:rsid w:val="025397A6"/>
    <w:rsid w:val="025A89ED"/>
    <w:rsid w:val="025B0308"/>
    <w:rsid w:val="0260C715"/>
    <w:rsid w:val="02610531"/>
    <w:rsid w:val="0269BFEB"/>
    <w:rsid w:val="0273B498"/>
    <w:rsid w:val="02861C44"/>
    <w:rsid w:val="0289D4CE"/>
    <w:rsid w:val="028EEC04"/>
    <w:rsid w:val="0291253B"/>
    <w:rsid w:val="02AA0D10"/>
    <w:rsid w:val="02B02863"/>
    <w:rsid w:val="02B37BBB"/>
    <w:rsid w:val="02B7E2AE"/>
    <w:rsid w:val="02D4CCA1"/>
    <w:rsid w:val="02F61F94"/>
    <w:rsid w:val="02F69B51"/>
    <w:rsid w:val="0304F8A3"/>
    <w:rsid w:val="030C148E"/>
    <w:rsid w:val="030C7DDB"/>
    <w:rsid w:val="03108F2E"/>
    <w:rsid w:val="031300DE"/>
    <w:rsid w:val="031C3349"/>
    <w:rsid w:val="03219DAA"/>
    <w:rsid w:val="032CBFED"/>
    <w:rsid w:val="032DF105"/>
    <w:rsid w:val="033A688D"/>
    <w:rsid w:val="03464FB4"/>
    <w:rsid w:val="03471962"/>
    <w:rsid w:val="034A9543"/>
    <w:rsid w:val="0350D686"/>
    <w:rsid w:val="035F23A2"/>
    <w:rsid w:val="035F71A0"/>
    <w:rsid w:val="0362A90F"/>
    <w:rsid w:val="0362D175"/>
    <w:rsid w:val="0377F609"/>
    <w:rsid w:val="037926D2"/>
    <w:rsid w:val="037CC477"/>
    <w:rsid w:val="037DB635"/>
    <w:rsid w:val="0381CC18"/>
    <w:rsid w:val="03A5751C"/>
    <w:rsid w:val="03B56C23"/>
    <w:rsid w:val="03B63AB0"/>
    <w:rsid w:val="03B791CD"/>
    <w:rsid w:val="03B9DB6E"/>
    <w:rsid w:val="03C1F314"/>
    <w:rsid w:val="03C5292D"/>
    <w:rsid w:val="03C9621A"/>
    <w:rsid w:val="03CC8ADE"/>
    <w:rsid w:val="03CE080C"/>
    <w:rsid w:val="03D12020"/>
    <w:rsid w:val="03D1905A"/>
    <w:rsid w:val="03D4DFBC"/>
    <w:rsid w:val="03F39922"/>
    <w:rsid w:val="03F8EF29"/>
    <w:rsid w:val="03FC9776"/>
    <w:rsid w:val="04034C00"/>
    <w:rsid w:val="0405D7D1"/>
    <w:rsid w:val="040DF512"/>
    <w:rsid w:val="0411D0C2"/>
    <w:rsid w:val="04146785"/>
    <w:rsid w:val="041F002E"/>
    <w:rsid w:val="0420B2CC"/>
    <w:rsid w:val="0425A52F"/>
    <w:rsid w:val="04351C98"/>
    <w:rsid w:val="043C0876"/>
    <w:rsid w:val="045FD7DF"/>
    <w:rsid w:val="046338C2"/>
    <w:rsid w:val="0468FF39"/>
    <w:rsid w:val="04696793"/>
    <w:rsid w:val="047E30ED"/>
    <w:rsid w:val="04802898"/>
    <w:rsid w:val="0481ED8B"/>
    <w:rsid w:val="048368AA"/>
    <w:rsid w:val="04954917"/>
    <w:rsid w:val="049AE069"/>
    <w:rsid w:val="049DF94F"/>
    <w:rsid w:val="04A4A2AD"/>
    <w:rsid w:val="04A5DB0B"/>
    <w:rsid w:val="04A79524"/>
    <w:rsid w:val="04ADABE2"/>
    <w:rsid w:val="04C6C3ED"/>
    <w:rsid w:val="04C9C166"/>
    <w:rsid w:val="04D36C79"/>
    <w:rsid w:val="04DC2EDD"/>
    <w:rsid w:val="04DEAF58"/>
    <w:rsid w:val="04E0CF50"/>
    <w:rsid w:val="04E1EFDA"/>
    <w:rsid w:val="04E785CA"/>
    <w:rsid w:val="04EAFE87"/>
    <w:rsid w:val="04F07DB4"/>
    <w:rsid w:val="04F432E2"/>
    <w:rsid w:val="04F89DEF"/>
    <w:rsid w:val="04F9A04B"/>
    <w:rsid w:val="04FF9A96"/>
    <w:rsid w:val="0504C499"/>
    <w:rsid w:val="0508F853"/>
    <w:rsid w:val="052FD438"/>
    <w:rsid w:val="05308E0B"/>
    <w:rsid w:val="0536E652"/>
    <w:rsid w:val="053DFC5C"/>
    <w:rsid w:val="053F2B68"/>
    <w:rsid w:val="05413D86"/>
    <w:rsid w:val="0541D8DF"/>
    <w:rsid w:val="0541E0A6"/>
    <w:rsid w:val="054C1D6F"/>
    <w:rsid w:val="0551B967"/>
    <w:rsid w:val="0553FACF"/>
    <w:rsid w:val="05639290"/>
    <w:rsid w:val="056478EE"/>
    <w:rsid w:val="05734C9F"/>
    <w:rsid w:val="05736548"/>
    <w:rsid w:val="05775D5D"/>
    <w:rsid w:val="0586D24F"/>
    <w:rsid w:val="0591CBFE"/>
    <w:rsid w:val="0598A5F3"/>
    <w:rsid w:val="059E6DC7"/>
    <w:rsid w:val="05A32582"/>
    <w:rsid w:val="05B8BF30"/>
    <w:rsid w:val="05CB63D9"/>
    <w:rsid w:val="05D02379"/>
    <w:rsid w:val="05D04E7A"/>
    <w:rsid w:val="05DA3DC5"/>
    <w:rsid w:val="05F77B7F"/>
    <w:rsid w:val="06001BC2"/>
    <w:rsid w:val="0603E840"/>
    <w:rsid w:val="0606C793"/>
    <w:rsid w:val="060E70E1"/>
    <w:rsid w:val="06158C4A"/>
    <w:rsid w:val="061C648C"/>
    <w:rsid w:val="06216DA1"/>
    <w:rsid w:val="0629A7E1"/>
    <w:rsid w:val="062C7AA6"/>
    <w:rsid w:val="0635D56E"/>
    <w:rsid w:val="0636B0CA"/>
    <w:rsid w:val="0646B71F"/>
    <w:rsid w:val="06497D7D"/>
    <w:rsid w:val="06499F0D"/>
    <w:rsid w:val="066591C7"/>
    <w:rsid w:val="06682193"/>
    <w:rsid w:val="06749905"/>
    <w:rsid w:val="06779DA2"/>
    <w:rsid w:val="067B163B"/>
    <w:rsid w:val="067E8253"/>
    <w:rsid w:val="0691C5BB"/>
    <w:rsid w:val="06A0CF52"/>
    <w:rsid w:val="06A26CA6"/>
    <w:rsid w:val="06A39A09"/>
    <w:rsid w:val="06A84689"/>
    <w:rsid w:val="06B94DB2"/>
    <w:rsid w:val="06C6330D"/>
    <w:rsid w:val="06C732B4"/>
    <w:rsid w:val="06C7F51C"/>
    <w:rsid w:val="06D9D39F"/>
    <w:rsid w:val="06DC903A"/>
    <w:rsid w:val="06DD3335"/>
    <w:rsid w:val="06F791B3"/>
    <w:rsid w:val="0703A0F0"/>
    <w:rsid w:val="07050FD4"/>
    <w:rsid w:val="071D0D88"/>
    <w:rsid w:val="071FF220"/>
    <w:rsid w:val="072785AD"/>
    <w:rsid w:val="072D6689"/>
    <w:rsid w:val="072EDC56"/>
    <w:rsid w:val="072F062C"/>
    <w:rsid w:val="072FD26A"/>
    <w:rsid w:val="07358E57"/>
    <w:rsid w:val="073BE399"/>
    <w:rsid w:val="074A7B7E"/>
    <w:rsid w:val="07591B84"/>
    <w:rsid w:val="07597BF8"/>
    <w:rsid w:val="075B87E1"/>
    <w:rsid w:val="076164FE"/>
    <w:rsid w:val="0764C4D5"/>
    <w:rsid w:val="07682C87"/>
    <w:rsid w:val="0779AC72"/>
    <w:rsid w:val="0784FC0E"/>
    <w:rsid w:val="07861C85"/>
    <w:rsid w:val="079A766E"/>
    <w:rsid w:val="07A1379A"/>
    <w:rsid w:val="07A1B9B1"/>
    <w:rsid w:val="07A50C6E"/>
    <w:rsid w:val="07B20134"/>
    <w:rsid w:val="07BBC929"/>
    <w:rsid w:val="07C2539B"/>
    <w:rsid w:val="07D17684"/>
    <w:rsid w:val="07D623CA"/>
    <w:rsid w:val="07DF85B1"/>
    <w:rsid w:val="07DFF3B2"/>
    <w:rsid w:val="07E4B989"/>
    <w:rsid w:val="07EBFE12"/>
    <w:rsid w:val="07F57A6F"/>
    <w:rsid w:val="07F97B3E"/>
    <w:rsid w:val="07FA4F7D"/>
    <w:rsid w:val="08048C56"/>
    <w:rsid w:val="081AB1C3"/>
    <w:rsid w:val="081D8079"/>
    <w:rsid w:val="083045E2"/>
    <w:rsid w:val="0831326A"/>
    <w:rsid w:val="083402CD"/>
    <w:rsid w:val="0847E216"/>
    <w:rsid w:val="085BF387"/>
    <w:rsid w:val="086D2714"/>
    <w:rsid w:val="086FBBE0"/>
    <w:rsid w:val="0873F86C"/>
    <w:rsid w:val="0877395D"/>
    <w:rsid w:val="087D58C3"/>
    <w:rsid w:val="0880DFAE"/>
    <w:rsid w:val="08834BE3"/>
    <w:rsid w:val="089AA54A"/>
    <w:rsid w:val="08C33F44"/>
    <w:rsid w:val="08C69C7C"/>
    <w:rsid w:val="08C69CC6"/>
    <w:rsid w:val="08CC4092"/>
    <w:rsid w:val="08CC6C0F"/>
    <w:rsid w:val="08CEA978"/>
    <w:rsid w:val="08D948F4"/>
    <w:rsid w:val="08DBCE98"/>
    <w:rsid w:val="08E31BFD"/>
    <w:rsid w:val="0904DFBF"/>
    <w:rsid w:val="090994E2"/>
    <w:rsid w:val="091085AA"/>
    <w:rsid w:val="091A2974"/>
    <w:rsid w:val="0928251E"/>
    <w:rsid w:val="092FE454"/>
    <w:rsid w:val="0939D7D9"/>
    <w:rsid w:val="09456B20"/>
    <w:rsid w:val="094816DE"/>
    <w:rsid w:val="0955CD9D"/>
    <w:rsid w:val="096148A3"/>
    <w:rsid w:val="09636546"/>
    <w:rsid w:val="096804AA"/>
    <w:rsid w:val="096B7EEE"/>
    <w:rsid w:val="096CA3C2"/>
    <w:rsid w:val="09710742"/>
    <w:rsid w:val="0974BD91"/>
    <w:rsid w:val="09762541"/>
    <w:rsid w:val="098121DE"/>
    <w:rsid w:val="0981D970"/>
    <w:rsid w:val="09857874"/>
    <w:rsid w:val="0993877F"/>
    <w:rsid w:val="099632F1"/>
    <w:rsid w:val="099AA2BC"/>
    <w:rsid w:val="09AC14E7"/>
    <w:rsid w:val="09D37871"/>
    <w:rsid w:val="09EB7C80"/>
    <w:rsid w:val="09EE098F"/>
    <w:rsid w:val="09FCE6CB"/>
    <w:rsid w:val="09FDAC6F"/>
    <w:rsid w:val="0A08F775"/>
    <w:rsid w:val="0A0F4750"/>
    <w:rsid w:val="0A1D41D9"/>
    <w:rsid w:val="0A240939"/>
    <w:rsid w:val="0A2510E4"/>
    <w:rsid w:val="0A2BAB5E"/>
    <w:rsid w:val="0A42E0FA"/>
    <w:rsid w:val="0A479D4E"/>
    <w:rsid w:val="0A5181F9"/>
    <w:rsid w:val="0A5280C3"/>
    <w:rsid w:val="0A5B1269"/>
    <w:rsid w:val="0A62F550"/>
    <w:rsid w:val="0A665DA1"/>
    <w:rsid w:val="0A667D18"/>
    <w:rsid w:val="0A6866CE"/>
    <w:rsid w:val="0A79088B"/>
    <w:rsid w:val="0A82F83F"/>
    <w:rsid w:val="0A8AAF10"/>
    <w:rsid w:val="0AA4A6DB"/>
    <w:rsid w:val="0AAA1DD9"/>
    <w:rsid w:val="0AC18392"/>
    <w:rsid w:val="0AC6A285"/>
    <w:rsid w:val="0ACFCBF3"/>
    <w:rsid w:val="0AE85098"/>
    <w:rsid w:val="0AECD771"/>
    <w:rsid w:val="0AEF825C"/>
    <w:rsid w:val="0AF0955F"/>
    <w:rsid w:val="0AF0B25A"/>
    <w:rsid w:val="0AF369EB"/>
    <w:rsid w:val="0AF943F3"/>
    <w:rsid w:val="0AF9DAE5"/>
    <w:rsid w:val="0B16DA8D"/>
    <w:rsid w:val="0B1A7410"/>
    <w:rsid w:val="0B1A9644"/>
    <w:rsid w:val="0B1B0C03"/>
    <w:rsid w:val="0B213F16"/>
    <w:rsid w:val="0B2658EF"/>
    <w:rsid w:val="0B2ED9A1"/>
    <w:rsid w:val="0B44C9A4"/>
    <w:rsid w:val="0B4B6972"/>
    <w:rsid w:val="0B54BAFD"/>
    <w:rsid w:val="0B5BB15C"/>
    <w:rsid w:val="0B5F47F5"/>
    <w:rsid w:val="0B630CCA"/>
    <w:rsid w:val="0B645359"/>
    <w:rsid w:val="0B6D8BB2"/>
    <w:rsid w:val="0B73282F"/>
    <w:rsid w:val="0B7AE9A7"/>
    <w:rsid w:val="0B7FD7D6"/>
    <w:rsid w:val="0B896BA9"/>
    <w:rsid w:val="0B8FFBD8"/>
    <w:rsid w:val="0B95C32F"/>
    <w:rsid w:val="0B9E18F3"/>
    <w:rsid w:val="0B9FEA94"/>
    <w:rsid w:val="0BA7CDF7"/>
    <w:rsid w:val="0BA94659"/>
    <w:rsid w:val="0BAB17B1"/>
    <w:rsid w:val="0BB1D4F8"/>
    <w:rsid w:val="0BB717B7"/>
    <w:rsid w:val="0BC3733F"/>
    <w:rsid w:val="0BD804AA"/>
    <w:rsid w:val="0BDCEE06"/>
    <w:rsid w:val="0BDFE7C5"/>
    <w:rsid w:val="0BE619F1"/>
    <w:rsid w:val="0BE6508F"/>
    <w:rsid w:val="0BE82523"/>
    <w:rsid w:val="0BF501F0"/>
    <w:rsid w:val="0BFD24AB"/>
    <w:rsid w:val="0C199E7F"/>
    <w:rsid w:val="0C1B5F9A"/>
    <w:rsid w:val="0C28128D"/>
    <w:rsid w:val="0C28E0B5"/>
    <w:rsid w:val="0C30F98F"/>
    <w:rsid w:val="0C34E4F6"/>
    <w:rsid w:val="0C40906A"/>
    <w:rsid w:val="0C47C6D8"/>
    <w:rsid w:val="0C4D7044"/>
    <w:rsid w:val="0C502BD2"/>
    <w:rsid w:val="0C523120"/>
    <w:rsid w:val="0C52BBBD"/>
    <w:rsid w:val="0C53EF0C"/>
    <w:rsid w:val="0C588686"/>
    <w:rsid w:val="0C5A2098"/>
    <w:rsid w:val="0C5E3448"/>
    <w:rsid w:val="0C666805"/>
    <w:rsid w:val="0C6769A3"/>
    <w:rsid w:val="0C692CA8"/>
    <w:rsid w:val="0C711836"/>
    <w:rsid w:val="0C833394"/>
    <w:rsid w:val="0C8F4ABA"/>
    <w:rsid w:val="0C96B038"/>
    <w:rsid w:val="0C97CAFE"/>
    <w:rsid w:val="0C9ABF4C"/>
    <w:rsid w:val="0CB051E6"/>
    <w:rsid w:val="0CB628BE"/>
    <w:rsid w:val="0CBC2A6B"/>
    <w:rsid w:val="0CC14ACD"/>
    <w:rsid w:val="0CC624DA"/>
    <w:rsid w:val="0CC8CA07"/>
    <w:rsid w:val="0CC95BE6"/>
    <w:rsid w:val="0CCA3A8C"/>
    <w:rsid w:val="0CCEFCC5"/>
    <w:rsid w:val="0CD3B494"/>
    <w:rsid w:val="0CE1F0E4"/>
    <w:rsid w:val="0CEB6D6A"/>
    <w:rsid w:val="0CFA986C"/>
    <w:rsid w:val="0CFDB2C1"/>
    <w:rsid w:val="0D0543C2"/>
    <w:rsid w:val="0D104165"/>
    <w:rsid w:val="0D11F860"/>
    <w:rsid w:val="0D13A6D9"/>
    <w:rsid w:val="0D302329"/>
    <w:rsid w:val="0D32EE6C"/>
    <w:rsid w:val="0D3E01B2"/>
    <w:rsid w:val="0D42A3FB"/>
    <w:rsid w:val="0D444E38"/>
    <w:rsid w:val="0D466CC5"/>
    <w:rsid w:val="0D46E812"/>
    <w:rsid w:val="0D49F50F"/>
    <w:rsid w:val="0D4F464F"/>
    <w:rsid w:val="0D56260F"/>
    <w:rsid w:val="0D569F74"/>
    <w:rsid w:val="0D6727A6"/>
    <w:rsid w:val="0D6946E5"/>
    <w:rsid w:val="0D6A7DBE"/>
    <w:rsid w:val="0D741E82"/>
    <w:rsid w:val="0D7A81BC"/>
    <w:rsid w:val="0D7F313A"/>
    <w:rsid w:val="0D8135E4"/>
    <w:rsid w:val="0D826F42"/>
    <w:rsid w:val="0D8E3FB5"/>
    <w:rsid w:val="0D9113A2"/>
    <w:rsid w:val="0D9B8C36"/>
    <w:rsid w:val="0D9E0835"/>
    <w:rsid w:val="0D9E1DDA"/>
    <w:rsid w:val="0DACBA17"/>
    <w:rsid w:val="0DAF3761"/>
    <w:rsid w:val="0DC12227"/>
    <w:rsid w:val="0DD2E5EE"/>
    <w:rsid w:val="0DD4D596"/>
    <w:rsid w:val="0DE41034"/>
    <w:rsid w:val="0DE5122B"/>
    <w:rsid w:val="0DEC8AE3"/>
    <w:rsid w:val="0DED002A"/>
    <w:rsid w:val="0DF5CF11"/>
    <w:rsid w:val="0DFBA163"/>
    <w:rsid w:val="0E00A81F"/>
    <w:rsid w:val="0E265686"/>
    <w:rsid w:val="0E2C65E4"/>
    <w:rsid w:val="0E38D23B"/>
    <w:rsid w:val="0E3A30A0"/>
    <w:rsid w:val="0E701D6F"/>
    <w:rsid w:val="0E7625EF"/>
    <w:rsid w:val="0E7EC911"/>
    <w:rsid w:val="0E90CFA0"/>
    <w:rsid w:val="0E958AC6"/>
    <w:rsid w:val="0E988F84"/>
    <w:rsid w:val="0E98FBC1"/>
    <w:rsid w:val="0EBA2544"/>
    <w:rsid w:val="0EBBB179"/>
    <w:rsid w:val="0EC048B5"/>
    <w:rsid w:val="0EC1269E"/>
    <w:rsid w:val="0ECE5EC1"/>
    <w:rsid w:val="0EDC9E7E"/>
    <w:rsid w:val="0EE2B873"/>
    <w:rsid w:val="0EE63E34"/>
    <w:rsid w:val="0EE76BAE"/>
    <w:rsid w:val="0EE7D522"/>
    <w:rsid w:val="0EE8F5B6"/>
    <w:rsid w:val="0EF0E2D5"/>
    <w:rsid w:val="0EF6D085"/>
    <w:rsid w:val="0EFD7EFF"/>
    <w:rsid w:val="0F07B801"/>
    <w:rsid w:val="0F0811D5"/>
    <w:rsid w:val="0F124896"/>
    <w:rsid w:val="0F148EC8"/>
    <w:rsid w:val="0F19FA98"/>
    <w:rsid w:val="0F1ECDA0"/>
    <w:rsid w:val="0F1F9883"/>
    <w:rsid w:val="0F34A448"/>
    <w:rsid w:val="0F36F2EE"/>
    <w:rsid w:val="0F5D9CA5"/>
    <w:rsid w:val="0F617500"/>
    <w:rsid w:val="0F67324F"/>
    <w:rsid w:val="0F70FFAD"/>
    <w:rsid w:val="0F77D734"/>
    <w:rsid w:val="0F784B2E"/>
    <w:rsid w:val="0F7B337E"/>
    <w:rsid w:val="0F7C5A77"/>
    <w:rsid w:val="0F7ED07D"/>
    <w:rsid w:val="0F82ADF5"/>
    <w:rsid w:val="0F87D739"/>
    <w:rsid w:val="0F905C26"/>
    <w:rsid w:val="0F97FB79"/>
    <w:rsid w:val="0FA07279"/>
    <w:rsid w:val="0FA4B32D"/>
    <w:rsid w:val="0FA985CE"/>
    <w:rsid w:val="0FB574E2"/>
    <w:rsid w:val="0FC36F59"/>
    <w:rsid w:val="0FCB98FA"/>
    <w:rsid w:val="0FD4A29C"/>
    <w:rsid w:val="0FE05012"/>
    <w:rsid w:val="0FEC1E96"/>
    <w:rsid w:val="0FEE21B3"/>
    <w:rsid w:val="0FF03B0C"/>
    <w:rsid w:val="0FF2CD5A"/>
    <w:rsid w:val="0FF8CDF3"/>
    <w:rsid w:val="0FF9381F"/>
    <w:rsid w:val="0FFE3DB9"/>
    <w:rsid w:val="1000BC56"/>
    <w:rsid w:val="1004105A"/>
    <w:rsid w:val="1008D50D"/>
    <w:rsid w:val="1021BDEA"/>
    <w:rsid w:val="10264CF4"/>
    <w:rsid w:val="10288D76"/>
    <w:rsid w:val="102A1D76"/>
    <w:rsid w:val="102B424F"/>
    <w:rsid w:val="1035FEE8"/>
    <w:rsid w:val="10381AA7"/>
    <w:rsid w:val="1038CF73"/>
    <w:rsid w:val="103DF008"/>
    <w:rsid w:val="104452C5"/>
    <w:rsid w:val="106210D2"/>
    <w:rsid w:val="106DE685"/>
    <w:rsid w:val="10709142"/>
    <w:rsid w:val="107ACCAC"/>
    <w:rsid w:val="107CDAC5"/>
    <w:rsid w:val="10837D29"/>
    <w:rsid w:val="1093A087"/>
    <w:rsid w:val="10994F60"/>
    <w:rsid w:val="1099E7E7"/>
    <w:rsid w:val="1099F27F"/>
    <w:rsid w:val="109EAA2A"/>
    <w:rsid w:val="10A284A7"/>
    <w:rsid w:val="10A4F464"/>
    <w:rsid w:val="10A76B6F"/>
    <w:rsid w:val="10A8A891"/>
    <w:rsid w:val="10B61114"/>
    <w:rsid w:val="10B8B960"/>
    <w:rsid w:val="10C12C6F"/>
    <w:rsid w:val="10C16D0A"/>
    <w:rsid w:val="10C2E27A"/>
    <w:rsid w:val="10C3CD8F"/>
    <w:rsid w:val="10D4C993"/>
    <w:rsid w:val="10D5BE9C"/>
    <w:rsid w:val="10DEC663"/>
    <w:rsid w:val="10E24CF6"/>
    <w:rsid w:val="10ECF9C1"/>
    <w:rsid w:val="11066483"/>
    <w:rsid w:val="11100898"/>
    <w:rsid w:val="111A0EA6"/>
    <w:rsid w:val="111F866B"/>
    <w:rsid w:val="111FFFE5"/>
    <w:rsid w:val="1128CCF8"/>
    <w:rsid w:val="112910B3"/>
    <w:rsid w:val="112C65E9"/>
    <w:rsid w:val="11333703"/>
    <w:rsid w:val="113693DC"/>
    <w:rsid w:val="1141F555"/>
    <w:rsid w:val="1145E61C"/>
    <w:rsid w:val="1146411A"/>
    <w:rsid w:val="1147506B"/>
    <w:rsid w:val="1156085F"/>
    <w:rsid w:val="1159BC9F"/>
    <w:rsid w:val="115C31D6"/>
    <w:rsid w:val="11622027"/>
    <w:rsid w:val="116303EA"/>
    <w:rsid w:val="116A0E2D"/>
    <w:rsid w:val="117875DD"/>
    <w:rsid w:val="11807AE5"/>
    <w:rsid w:val="118AF9BF"/>
    <w:rsid w:val="11944DA4"/>
    <w:rsid w:val="1196895A"/>
    <w:rsid w:val="119A7E6D"/>
    <w:rsid w:val="119E1B25"/>
    <w:rsid w:val="11A0AD0D"/>
    <w:rsid w:val="11A109AF"/>
    <w:rsid w:val="11A590A4"/>
    <w:rsid w:val="11ACFF41"/>
    <w:rsid w:val="11ADF0BA"/>
    <w:rsid w:val="11B9AD6E"/>
    <w:rsid w:val="11BB7022"/>
    <w:rsid w:val="11C078A3"/>
    <w:rsid w:val="11C2937F"/>
    <w:rsid w:val="11C4CD68"/>
    <w:rsid w:val="11DDBDF8"/>
    <w:rsid w:val="11EC6219"/>
    <w:rsid w:val="11F48D53"/>
    <w:rsid w:val="120D2750"/>
    <w:rsid w:val="1212AA41"/>
    <w:rsid w:val="121665B2"/>
    <w:rsid w:val="121FF4AC"/>
    <w:rsid w:val="1227B60B"/>
    <w:rsid w:val="1231506C"/>
    <w:rsid w:val="12359DC1"/>
    <w:rsid w:val="12369061"/>
    <w:rsid w:val="123DD9CA"/>
    <w:rsid w:val="123E8A3E"/>
    <w:rsid w:val="1252F360"/>
    <w:rsid w:val="125479DD"/>
    <w:rsid w:val="1255E065"/>
    <w:rsid w:val="125720AB"/>
    <w:rsid w:val="125B7F9C"/>
    <w:rsid w:val="1262BB71"/>
    <w:rsid w:val="12789079"/>
    <w:rsid w:val="12802B3A"/>
    <w:rsid w:val="1281853B"/>
    <w:rsid w:val="128948E9"/>
    <w:rsid w:val="128B07AB"/>
    <w:rsid w:val="12906395"/>
    <w:rsid w:val="1293357C"/>
    <w:rsid w:val="12969539"/>
    <w:rsid w:val="12BBD046"/>
    <w:rsid w:val="12BE55F4"/>
    <w:rsid w:val="12C46A12"/>
    <w:rsid w:val="12D86DAF"/>
    <w:rsid w:val="12E320CC"/>
    <w:rsid w:val="12EECCBC"/>
    <w:rsid w:val="12EF09F1"/>
    <w:rsid w:val="12F2F6EA"/>
    <w:rsid w:val="130E1C28"/>
    <w:rsid w:val="130EC403"/>
    <w:rsid w:val="13152462"/>
    <w:rsid w:val="133768F2"/>
    <w:rsid w:val="134CB000"/>
    <w:rsid w:val="13540B86"/>
    <w:rsid w:val="13645541"/>
    <w:rsid w:val="13654DA4"/>
    <w:rsid w:val="137C0B6E"/>
    <w:rsid w:val="137DA29C"/>
    <w:rsid w:val="13890699"/>
    <w:rsid w:val="1393B301"/>
    <w:rsid w:val="1393BEB9"/>
    <w:rsid w:val="13946C22"/>
    <w:rsid w:val="13B69F1D"/>
    <w:rsid w:val="13B6C291"/>
    <w:rsid w:val="13B7992D"/>
    <w:rsid w:val="13D0F022"/>
    <w:rsid w:val="13D359A7"/>
    <w:rsid w:val="13D4C143"/>
    <w:rsid w:val="13D7D793"/>
    <w:rsid w:val="13D7E15A"/>
    <w:rsid w:val="13D98767"/>
    <w:rsid w:val="13F6793E"/>
    <w:rsid w:val="13FAA406"/>
    <w:rsid w:val="140A7A5E"/>
    <w:rsid w:val="140BDF9F"/>
    <w:rsid w:val="14226272"/>
    <w:rsid w:val="142AC05A"/>
    <w:rsid w:val="142C0662"/>
    <w:rsid w:val="142ECCAD"/>
    <w:rsid w:val="1437E260"/>
    <w:rsid w:val="143D6662"/>
    <w:rsid w:val="143FE98D"/>
    <w:rsid w:val="1452D332"/>
    <w:rsid w:val="146110C5"/>
    <w:rsid w:val="146B6C9C"/>
    <w:rsid w:val="146CCB41"/>
    <w:rsid w:val="14745CEE"/>
    <w:rsid w:val="147C8E18"/>
    <w:rsid w:val="14871937"/>
    <w:rsid w:val="148F8668"/>
    <w:rsid w:val="14A02639"/>
    <w:rsid w:val="14A2030C"/>
    <w:rsid w:val="14AAE2D5"/>
    <w:rsid w:val="14AB94FA"/>
    <w:rsid w:val="14B20CA9"/>
    <w:rsid w:val="14B3E4DD"/>
    <w:rsid w:val="14C1788A"/>
    <w:rsid w:val="14C5F5B6"/>
    <w:rsid w:val="14CC0E1D"/>
    <w:rsid w:val="14CC69DB"/>
    <w:rsid w:val="14DB06DD"/>
    <w:rsid w:val="14DCB8AF"/>
    <w:rsid w:val="14DD3166"/>
    <w:rsid w:val="14E8C5B1"/>
    <w:rsid w:val="14FBDAD4"/>
    <w:rsid w:val="150135E7"/>
    <w:rsid w:val="150EA2B5"/>
    <w:rsid w:val="151E41D2"/>
    <w:rsid w:val="152778DD"/>
    <w:rsid w:val="152DF131"/>
    <w:rsid w:val="153820E4"/>
    <w:rsid w:val="153E3F38"/>
    <w:rsid w:val="1548C5B6"/>
    <w:rsid w:val="1555675C"/>
    <w:rsid w:val="1558A3EF"/>
    <w:rsid w:val="15666A9D"/>
    <w:rsid w:val="15739B63"/>
    <w:rsid w:val="1573A723"/>
    <w:rsid w:val="158A50E1"/>
    <w:rsid w:val="158EEF7E"/>
    <w:rsid w:val="15909975"/>
    <w:rsid w:val="159309F0"/>
    <w:rsid w:val="159B519C"/>
    <w:rsid w:val="15A522B1"/>
    <w:rsid w:val="15AE6FEE"/>
    <w:rsid w:val="15AF8C8A"/>
    <w:rsid w:val="15C7D6C3"/>
    <w:rsid w:val="15C9DF89"/>
    <w:rsid w:val="15C9F36E"/>
    <w:rsid w:val="15CD3FAE"/>
    <w:rsid w:val="15F4E0F8"/>
    <w:rsid w:val="15FBB6F2"/>
    <w:rsid w:val="15FE1879"/>
    <w:rsid w:val="16116F4F"/>
    <w:rsid w:val="1622CD47"/>
    <w:rsid w:val="162B5F62"/>
    <w:rsid w:val="162C8929"/>
    <w:rsid w:val="1631D99F"/>
    <w:rsid w:val="16438EDE"/>
    <w:rsid w:val="16440D5E"/>
    <w:rsid w:val="164A8927"/>
    <w:rsid w:val="16540A3D"/>
    <w:rsid w:val="16583970"/>
    <w:rsid w:val="165E1F1B"/>
    <w:rsid w:val="1665152B"/>
    <w:rsid w:val="167A7306"/>
    <w:rsid w:val="1683A317"/>
    <w:rsid w:val="1689D17E"/>
    <w:rsid w:val="168FE49F"/>
    <w:rsid w:val="169B7E76"/>
    <w:rsid w:val="169DFFDA"/>
    <w:rsid w:val="16A2CDBA"/>
    <w:rsid w:val="16B55272"/>
    <w:rsid w:val="16C34988"/>
    <w:rsid w:val="16C5E795"/>
    <w:rsid w:val="16E3B3A6"/>
    <w:rsid w:val="16E5B253"/>
    <w:rsid w:val="16EA35D8"/>
    <w:rsid w:val="16F55A96"/>
    <w:rsid w:val="170A36C6"/>
    <w:rsid w:val="1710292B"/>
    <w:rsid w:val="17284445"/>
    <w:rsid w:val="17323E4F"/>
    <w:rsid w:val="1734B221"/>
    <w:rsid w:val="173E6208"/>
    <w:rsid w:val="174A5C02"/>
    <w:rsid w:val="1750529E"/>
    <w:rsid w:val="17523DA0"/>
    <w:rsid w:val="17614A01"/>
    <w:rsid w:val="176DECB7"/>
    <w:rsid w:val="178C712A"/>
    <w:rsid w:val="17947A7C"/>
    <w:rsid w:val="17978753"/>
    <w:rsid w:val="17996032"/>
    <w:rsid w:val="179F51E2"/>
    <w:rsid w:val="17BE8018"/>
    <w:rsid w:val="17CEDB9C"/>
    <w:rsid w:val="17D77070"/>
    <w:rsid w:val="17E279A9"/>
    <w:rsid w:val="17EB35A5"/>
    <w:rsid w:val="17F05B02"/>
    <w:rsid w:val="17F62D14"/>
    <w:rsid w:val="17F99150"/>
    <w:rsid w:val="17FD66E2"/>
    <w:rsid w:val="18111780"/>
    <w:rsid w:val="18126686"/>
    <w:rsid w:val="1816E39C"/>
    <w:rsid w:val="181FCECE"/>
    <w:rsid w:val="18245E70"/>
    <w:rsid w:val="18273202"/>
    <w:rsid w:val="182E36F3"/>
    <w:rsid w:val="1832A437"/>
    <w:rsid w:val="18371FAB"/>
    <w:rsid w:val="183925CC"/>
    <w:rsid w:val="1849C7C8"/>
    <w:rsid w:val="185653A1"/>
    <w:rsid w:val="185EF339"/>
    <w:rsid w:val="185F02EC"/>
    <w:rsid w:val="18640B26"/>
    <w:rsid w:val="186CFD71"/>
    <w:rsid w:val="186D22B7"/>
    <w:rsid w:val="1872F0A7"/>
    <w:rsid w:val="1883B7CC"/>
    <w:rsid w:val="18888D1A"/>
    <w:rsid w:val="18915AC8"/>
    <w:rsid w:val="1895B5B1"/>
    <w:rsid w:val="18A032D4"/>
    <w:rsid w:val="18A126BA"/>
    <w:rsid w:val="18A425B4"/>
    <w:rsid w:val="18B8A332"/>
    <w:rsid w:val="18C22E87"/>
    <w:rsid w:val="18C6A4EE"/>
    <w:rsid w:val="18CE0A93"/>
    <w:rsid w:val="18DDAF7C"/>
    <w:rsid w:val="18E95236"/>
    <w:rsid w:val="18EB9C9F"/>
    <w:rsid w:val="18ED0CFF"/>
    <w:rsid w:val="18F8D8A2"/>
    <w:rsid w:val="19282A7B"/>
    <w:rsid w:val="19286331"/>
    <w:rsid w:val="192960DD"/>
    <w:rsid w:val="192AD345"/>
    <w:rsid w:val="1933DEDD"/>
    <w:rsid w:val="193BCC63"/>
    <w:rsid w:val="19446E47"/>
    <w:rsid w:val="194735AC"/>
    <w:rsid w:val="195E8248"/>
    <w:rsid w:val="197CE347"/>
    <w:rsid w:val="198B8780"/>
    <w:rsid w:val="199646E6"/>
    <w:rsid w:val="1999A9F3"/>
    <w:rsid w:val="199E8321"/>
    <w:rsid w:val="199F2B03"/>
    <w:rsid w:val="19CCA5EE"/>
    <w:rsid w:val="19D08110"/>
    <w:rsid w:val="19D21CF5"/>
    <w:rsid w:val="19DA121B"/>
    <w:rsid w:val="19E4128B"/>
    <w:rsid w:val="19E55B8E"/>
    <w:rsid w:val="19E71E12"/>
    <w:rsid w:val="19FAEA4A"/>
    <w:rsid w:val="1A0BAF94"/>
    <w:rsid w:val="1A0D313F"/>
    <w:rsid w:val="1A1337BB"/>
    <w:rsid w:val="1A28F802"/>
    <w:rsid w:val="1A39DBC0"/>
    <w:rsid w:val="1A3D30A7"/>
    <w:rsid w:val="1A3EAFB7"/>
    <w:rsid w:val="1A46BCCB"/>
    <w:rsid w:val="1A54B332"/>
    <w:rsid w:val="1A60F24A"/>
    <w:rsid w:val="1A6E5664"/>
    <w:rsid w:val="1A7225BC"/>
    <w:rsid w:val="1A78C651"/>
    <w:rsid w:val="1A7F2D03"/>
    <w:rsid w:val="1A855B0A"/>
    <w:rsid w:val="1A96C3AF"/>
    <w:rsid w:val="1AA845EB"/>
    <w:rsid w:val="1AC36D4D"/>
    <w:rsid w:val="1AC95196"/>
    <w:rsid w:val="1AC97349"/>
    <w:rsid w:val="1ACCD483"/>
    <w:rsid w:val="1AD0A5AB"/>
    <w:rsid w:val="1AD6A00F"/>
    <w:rsid w:val="1AEA80F2"/>
    <w:rsid w:val="1AF92037"/>
    <w:rsid w:val="1AFD9784"/>
    <w:rsid w:val="1B0E7763"/>
    <w:rsid w:val="1B111ECD"/>
    <w:rsid w:val="1B1A4469"/>
    <w:rsid w:val="1B1DE148"/>
    <w:rsid w:val="1B3435BC"/>
    <w:rsid w:val="1B3537C3"/>
    <w:rsid w:val="1B435554"/>
    <w:rsid w:val="1B44E5C4"/>
    <w:rsid w:val="1B4A596D"/>
    <w:rsid w:val="1B5138CD"/>
    <w:rsid w:val="1B660903"/>
    <w:rsid w:val="1B6B1E0E"/>
    <w:rsid w:val="1B6DF4F6"/>
    <w:rsid w:val="1B7256EA"/>
    <w:rsid w:val="1B73838D"/>
    <w:rsid w:val="1B78A546"/>
    <w:rsid w:val="1B7B7B35"/>
    <w:rsid w:val="1B82EE73"/>
    <w:rsid w:val="1B8AC919"/>
    <w:rsid w:val="1B91AFEE"/>
    <w:rsid w:val="1B9A9AB3"/>
    <w:rsid w:val="1BA0765A"/>
    <w:rsid w:val="1BC238C8"/>
    <w:rsid w:val="1BCD506B"/>
    <w:rsid w:val="1BD0982C"/>
    <w:rsid w:val="1BD8A365"/>
    <w:rsid w:val="1BE9ACAB"/>
    <w:rsid w:val="1BF54D41"/>
    <w:rsid w:val="1BFD5F88"/>
    <w:rsid w:val="1C00C684"/>
    <w:rsid w:val="1C076D40"/>
    <w:rsid w:val="1C0D12B9"/>
    <w:rsid w:val="1C187143"/>
    <w:rsid w:val="1C1BBD36"/>
    <w:rsid w:val="1C1DA314"/>
    <w:rsid w:val="1C28F798"/>
    <w:rsid w:val="1C35866B"/>
    <w:rsid w:val="1C38AF75"/>
    <w:rsid w:val="1C495B27"/>
    <w:rsid w:val="1C4B7AD7"/>
    <w:rsid w:val="1C573337"/>
    <w:rsid w:val="1C5923EC"/>
    <w:rsid w:val="1C7FB1CD"/>
    <w:rsid w:val="1C86C79B"/>
    <w:rsid w:val="1C889580"/>
    <w:rsid w:val="1C8A2F62"/>
    <w:rsid w:val="1C8FDD60"/>
    <w:rsid w:val="1C9337C6"/>
    <w:rsid w:val="1C937126"/>
    <w:rsid w:val="1C961533"/>
    <w:rsid w:val="1C9DD258"/>
    <w:rsid w:val="1CA7267C"/>
    <w:rsid w:val="1CC64EEA"/>
    <w:rsid w:val="1CC822D6"/>
    <w:rsid w:val="1CC9CED0"/>
    <w:rsid w:val="1CD521AE"/>
    <w:rsid w:val="1CDE11A9"/>
    <w:rsid w:val="1CDF3F5E"/>
    <w:rsid w:val="1CEBBC37"/>
    <w:rsid w:val="1CED7727"/>
    <w:rsid w:val="1CF2C249"/>
    <w:rsid w:val="1CF793E1"/>
    <w:rsid w:val="1CF84C08"/>
    <w:rsid w:val="1CFC7DBC"/>
    <w:rsid w:val="1D20160F"/>
    <w:rsid w:val="1D31F5E5"/>
    <w:rsid w:val="1D51D5B5"/>
    <w:rsid w:val="1D5A0ABA"/>
    <w:rsid w:val="1D5F7E3C"/>
    <w:rsid w:val="1D7B1DD0"/>
    <w:rsid w:val="1D802C49"/>
    <w:rsid w:val="1D8CE657"/>
    <w:rsid w:val="1D9B7FD1"/>
    <w:rsid w:val="1D9E89A4"/>
    <w:rsid w:val="1D9F0FAC"/>
    <w:rsid w:val="1DA4C111"/>
    <w:rsid w:val="1DA4F713"/>
    <w:rsid w:val="1DA64D2E"/>
    <w:rsid w:val="1DA846FC"/>
    <w:rsid w:val="1DA8A0CB"/>
    <w:rsid w:val="1DACFFD8"/>
    <w:rsid w:val="1DB36D59"/>
    <w:rsid w:val="1DB441A4"/>
    <w:rsid w:val="1DB44471"/>
    <w:rsid w:val="1DB8C1DA"/>
    <w:rsid w:val="1DBFCBCB"/>
    <w:rsid w:val="1DC01DD5"/>
    <w:rsid w:val="1DC904B0"/>
    <w:rsid w:val="1DD69AF1"/>
    <w:rsid w:val="1DD9B16C"/>
    <w:rsid w:val="1DF0274C"/>
    <w:rsid w:val="1DF4D2A0"/>
    <w:rsid w:val="1DFA721B"/>
    <w:rsid w:val="1DFD79EC"/>
    <w:rsid w:val="1E012E0B"/>
    <w:rsid w:val="1E0328EF"/>
    <w:rsid w:val="1E075F77"/>
    <w:rsid w:val="1E08466D"/>
    <w:rsid w:val="1E240110"/>
    <w:rsid w:val="1E2A07D3"/>
    <w:rsid w:val="1E2CC478"/>
    <w:rsid w:val="1E357200"/>
    <w:rsid w:val="1E37BDF0"/>
    <w:rsid w:val="1E3DBB2E"/>
    <w:rsid w:val="1E43E93A"/>
    <w:rsid w:val="1E478BAB"/>
    <w:rsid w:val="1E52BB33"/>
    <w:rsid w:val="1E5862E0"/>
    <w:rsid w:val="1E629101"/>
    <w:rsid w:val="1E65E7B5"/>
    <w:rsid w:val="1E693100"/>
    <w:rsid w:val="1E6CC868"/>
    <w:rsid w:val="1E7A204E"/>
    <w:rsid w:val="1E7B8C12"/>
    <w:rsid w:val="1E7D9F4E"/>
    <w:rsid w:val="1E8F19D7"/>
    <w:rsid w:val="1EA2C652"/>
    <w:rsid w:val="1EA515F4"/>
    <w:rsid w:val="1EA789C0"/>
    <w:rsid w:val="1EBF3B58"/>
    <w:rsid w:val="1ED1F2FD"/>
    <w:rsid w:val="1EEBDC83"/>
    <w:rsid w:val="1EF4C969"/>
    <w:rsid w:val="1EFAD6BF"/>
    <w:rsid w:val="1EFED584"/>
    <w:rsid w:val="1F10DD7F"/>
    <w:rsid w:val="1F1EE4B7"/>
    <w:rsid w:val="1F29909B"/>
    <w:rsid w:val="1F2F6E2A"/>
    <w:rsid w:val="1F394575"/>
    <w:rsid w:val="1F44712C"/>
    <w:rsid w:val="1F4D71CE"/>
    <w:rsid w:val="1F50D4E8"/>
    <w:rsid w:val="1F70EA48"/>
    <w:rsid w:val="1F73C2A6"/>
    <w:rsid w:val="1F75B5E4"/>
    <w:rsid w:val="1F9DC371"/>
    <w:rsid w:val="1FA6B3E5"/>
    <w:rsid w:val="1FCBA38D"/>
    <w:rsid w:val="1FCE3CB5"/>
    <w:rsid w:val="1FDB7D0F"/>
    <w:rsid w:val="1FED8D2C"/>
    <w:rsid w:val="1FEE1B62"/>
    <w:rsid w:val="20010FD6"/>
    <w:rsid w:val="2007107D"/>
    <w:rsid w:val="2016F558"/>
    <w:rsid w:val="201A424E"/>
    <w:rsid w:val="202DC45C"/>
    <w:rsid w:val="20371774"/>
    <w:rsid w:val="203EB3C3"/>
    <w:rsid w:val="20416597"/>
    <w:rsid w:val="20467CF3"/>
    <w:rsid w:val="2048F306"/>
    <w:rsid w:val="205F2D24"/>
    <w:rsid w:val="205F9A4F"/>
    <w:rsid w:val="206871EF"/>
    <w:rsid w:val="20688D9F"/>
    <w:rsid w:val="208112E0"/>
    <w:rsid w:val="2091F6B6"/>
    <w:rsid w:val="209E0714"/>
    <w:rsid w:val="20A20974"/>
    <w:rsid w:val="20A8E709"/>
    <w:rsid w:val="20BCED50"/>
    <w:rsid w:val="20C0A5BA"/>
    <w:rsid w:val="20D033CE"/>
    <w:rsid w:val="20D2CCA9"/>
    <w:rsid w:val="20DC08AC"/>
    <w:rsid w:val="20E0418D"/>
    <w:rsid w:val="20E09727"/>
    <w:rsid w:val="20E7AE71"/>
    <w:rsid w:val="20E7C655"/>
    <w:rsid w:val="20F11437"/>
    <w:rsid w:val="20F13E48"/>
    <w:rsid w:val="20F15655"/>
    <w:rsid w:val="20F2A485"/>
    <w:rsid w:val="20F48D32"/>
    <w:rsid w:val="20F52943"/>
    <w:rsid w:val="21071BE1"/>
    <w:rsid w:val="210C5FC3"/>
    <w:rsid w:val="2118EA80"/>
    <w:rsid w:val="211CFB52"/>
    <w:rsid w:val="211E6F8E"/>
    <w:rsid w:val="212101DB"/>
    <w:rsid w:val="2126DDB4"/>
    <w:rsid w:val="21271DE2"/>
    <w:rsid w:val="2131172E"/>
    <w:rsid w:val="21399E58"/>
    <w:rsid w:val="213D07D8"/>
    <w:rsid w:val="2149EFA4"/>
    <w:rsid w:val="215611BF"/>
    <w:rsid w:val="21568301"/>
    <w:rsid w:val="215D2425"/>
    <w:rsid w:val="2166277B"/>
    <w:rsid w:val="216F4734"/>
    <w:rsid w:val="216F93C6"/>
    <w:rsid w:val="217E4C64"/>
    <w:rsid w:val="2182BF74"/>
    <w:rsid w:val="21838907"/>
    <w:rsid w:val="219143D4"/>
    <w:rsid w:val="2191A607"/>
    <w:rsid w:val="2191CC8C"/>
    <w:rsid w:val="2197C94B"/>
    <w:rsid w:val="21996E7B"/>
    <w:rsid w:val="219CE037"/>
    <w:rsid w:val="21AACE64"/>
    <w:rsid w:val="21AD8439"/>
    <w:rsid w:val="21B9C56C"/>
    <w:rsid w:val="21BD214D"/>
    <w:rsid w:val="21C3EB58"/>
    <w:rsid w:val="21C6314C"/>
    <w:rsid w:val="21C8A52E"/>
    <w:rsid w:val="21D9AFAF"/>
    <w:rsid w:val="21E1F17F"/>
    <w:rsid w:val="21E2C511"/>
    <w:rsid w:val="21E52400"/>
    <w:rsid w:val="21E73178"/>
    <w:rsid w:val="21EFD312"/>
    <w:rsid w:val="21F093D5"/>
    <w:rsid w:val="21F4E697"/>
    <w:rsid w:val="21FCFC0B"/>
    <w:rsid w:val="21FDFF87"/>
    <w:rsid w:val="21FE4482"/>
    <w:rsid w:val="2200B0A7"/>
    <w:rsid w:val="2200C0FC"/>
    <w:rsid w:val="22045E00"/>
    <w:rsid w:val="22055746"/>
    <w:rsid w:val="2206B725"/>
    <w:rsid w:val="2218B448"/>
    <w:rsid w:val="2220575D"/>
    <w:rsid w:val="22257626"/>
    <w:rsid w:val="22327288"/>
    <w:rsid w:val="22530F7E"/>
    <w:rsid w:val="2256F2AF"/>
    <w:rsid w:val="225A4CAE"/>
    <w:rsid w:val="226ADAD2"/>
    <w:rsid w:val="227677F0"/>
    <w:rsid w:val="228884BE"/>
    <w:rsid w:val="228BD382"/>
    <w:rsid w:val="228D8437"/>
    <w:rsid w:val="2292644D"/>
    <w:rsid w:val="229CDC02"/>
    <w:rsid w:val="22A4D19B"/>
    <w:rsid w:val="22AD58F6"/>
    <w:rsid w:val="22D84AC6"/>
    <w:rsid w:val="22DCFE3A"/>
    <w:rsid w:val="22ED92F5"/>
    <w:rsid w:val="22FAD7C1"/>
    <w:rsid w:val="2300501D"/>
    <w:rsid w:val="23040513"/>
    <w:rsid w:val="230A5397"/>
    <w:rsid w:val="23176AFA"/>
    <w:rsid w:val="231C2061"/>
    <w:rsid w:val="231EBA55"/>
    <w:rsid w:val="232DBB4B"/>
    <w:rsid w:val="233FE571"/>
    <w:rsid w:val="235CC2D2"/>
    <w:rsid w:val="236604E5"/>
    <w:rsid w:val="236657C5"/>
    <w:rsid w:val="2367B421"/>
    <w:rsid w:val="236D3D81"/>
    <w:rsid w:val="2373D1A0"/>
    <w:rsid w:val="237E9572"/>
    <w:rsid w:val="237FD19B"/>
    <w:rsid w:val="2380F461"/>
    <w:rsid w:val="23825E01"/>
    <w:rsid w:val="2383D12C"/>
    <w:rsid w:val="238CC5C1"/>
    <w:rsid w:val="238E6974"/>
    <w:rsid w:val="239070AC"/>
    <w:rsid w:val="23A02B67"/>
    <w:rsid w:val="23D0BD2A"/>
    <w:rsid w:val="23D87C38"/>
    <w:rsid w:val="23DB750C"/>
    <w:rsid w:val="23E3D812"/>
    <w:rsid w:val="23E4B55C"/>
    <w:rsid w:val="23F3752F"/>
    <w:rsid w:val="23FB9565"/>
    <w:rsid w:val="23FCF4D6"/>
    <w:rsid w:val="2404C3D0"/>
    <w:rsid w:val="24146D56"/>
    <w:rsid w:val="242A8D6A"/>
    <w:rsid w:val="242F0C47"/>
    <w:rsid w:val="243006EA"/>
    <w:rsid w:val="244329EB"/>
    <w:rsid w:val="244570A0"/>
    <w:rsid w:val="2467B11A"/>
    <w:rsid w:val="24685551"/>
    <w:rsid w:val="24686809"/>
    <w:rsid w:val="246DA3DC"/>
    <w:rsid w:val="247CA7B4"/>
    <w:rsid w:val="247E7F0A"/>
    <w:rsid w:val="2482C180"/>
    <w:rsid w:val="24947CE0"/>
    <w:rsid w:val="2499DCF1"/>
    <w:rsid w:val="24B962EF"/>
    <w:rsid w:val="24BD425B"/>
    <w:rsid w:val="24C3C027"/>
    <w:rsid w:val="24CD71C1"/>
    <w:rsid w:val="24D3E914"/>
    <w:rsid w:val="24DAC24B"/>
    <w:rsid w:val="24E0B050"/>
    <w:rsid w:val="24E123DC"/>
    <w:rsid w:val="24F2ACA6"/>
    <w:rsid w:val="24FB06CF"/>
    <w:rsid w:val="24FDF5E8"/>
    <w:rsid w:val="250AB0C8"/>
    <w:rsid w:val="250E2024"/>
    <w:rsid w:val="250E999A"/>
    <w:rsid w:val="250F3F50"/>
    <w:rsid w:val="251A65D3"/>
    <w:rsid w:val="251F2F55"/>
    <w:rsid w:val="252694D7"/>
    <w:rsid w:val="25271599"/>
    <w:rsid w:val="2528549C"/>
    <w:rsid w:val="252A7E6B"/>
    <w:rsid w:val="252C8759"/>
    <w:rsid w:val="25411EE4"/>
    <w:rsid w:val="2552DD51"/>
    <w:rsid w:val="2569DCA3"/>
    <w:rsid w:val="256A120F"/>
    <w:rsid w:val="256CAA7C"/>
    <w:rsid w:val="2571E560"/>
    <w:rsid w:val="25738702"/>
    <w:rsid w:val="257E4AAF"/>
    <w:rsid w:val="257F1E07"/>
    <w:rsid w:val="2591FDB7"/>
    <w:rsid w:val="259BC51D"/>
    <w:rsid w:val="25A503B2"/>
    <w:rsid w:val="25B685BA"/>
    <w:rsid w:val="25C9C467"/>
    <w:rsid w:val="25E93A50"/>
    <w:rsid w:val="25ED2AB5"/>
    <w:rsid w:val="25F9C9EB"/>
    <w:rsid w:val="2601AD17"/>
    <w:rsid w:val="2609733D"/>
    <w:rsid w:val="261311EA"/>
    <w:rsid w:val="2614734C"/>
    <w:rsid w:val="261B8BC8"/>
    <w:rsid w:val="262B8A42"/>
    <w:rsid w:val="262F289A"/>
    <w:rsid w:val="26303ECE"/>
    <w:rsid w:val="2632699A"/>
    <w:rsid w:val="263E87E8"/>
    <w:rsid w:val="26453005"/>
    <w:rsid w:val="2645DB67"/>
    <w:rsid w:val="26490A82"/>
    <w:rsid w:val="264C9BCE"/>
    <w:rsid w:val="2654532A"/>
    <w:rsid w:val="265F3468"/>
    <w:rsid w:val="266E4842"/>
    <w:rsid w:val="266E9248"/>
    <w:rsid w:val="2673EDD3"/>
    <w:rsid w:val="2679853A"/>
    <w:rsid w:val="26803A5A"/>
    <w:rsid w:val="26827D26"/>
    <w:rsid w:val="26872D03"/>
    <w:rsid w:val="2687B012"/>
    <w:rsid w:val="268CD429"/>
    <w:rsid w:val="268E0F2A"/>
    <w:rsid w:val="269118E9"/>
    <w:rsid w:val="26955EDF"/>
    <w:rsid w:val="26C1F87D"/>
    <w:rsid w:val="26CA2A97"/>
    <w:rsid w:val="26D758DE"/>
    <w:rsid w:val="26DDA3AA"/>
    <w:rsid w:val="26DEF6C3"/>
    <w:rsid w:val="26E052CF"/>
    <w:rsid w:val="26ED3825"/>
    <w:rsid w:val="26F76686"/>
    <w:rsid w:val="26F91492"/>
    <w:rsid w:val="2705CE75"/>
    <w:rsid w:val="2712A608"/>
    <w:rsid w:val="2716B58F"/>
    <w:rsid w:val="271B560C"/>
    <w:rsid w:val="27273C1E"/>
    <w:rsid w:val="272B8557"/>
    <w:rsid w:val="273B575F"/>
    <w:rsid w:val="27528586"/>
    <w:rsid w:val="2755068B"/>
    <w:rsid w:val="2757E5DD"/>
    <w:rsid w:val="275CDEBF"/>
    <w:rsid w:val="276805D8"/>
    <w:rsid w:val="276A3D16"/>
    <w:rsid w:val="2779CAEE"/>
    <w:rsid w:val="277C52B2"/>
    <w:rsid w:val="2780F30B"/>
    <w:rsid w:val="2781532F"/>
    <w:rsid w:val="278716EF"/>
    <w:rsid w:val="278ECDF4"/>
    <w:rsid w:val="27A8CFD8"/>
    <w:rsid w:val="27B61FCC"/>
    <w:rsid w:val="27D5C7BF"/>
    <w:rsid w:val="27D747F0"/>
    <w:rsid w:val="27DB4395"/>
    <w:rsid w:val="27E3D0CA"/>
    <w:rsid w:val="27ECB28C"/>
    <w:rsid w:val="27F04AEA"/>
    <w:rsid w:val="27FD2065"/>
    <w:rsid w:val="28143544"/>
    <w:rsid w:val="281B502E"/>
    <w:rsid w:val="281B962A"/>
    <w:rsid w:val="282A30F1"/>
    <w:rsid w:val="282D55CF"/>
    <w:rsid w:val="282EB53B"/>
    <w:rsid w:val="2831DED7"/>
    <w:rsid w:val="2858A849"/>
    <w:rsid w:val="285A7310"/>
    <w:rsid w:val="285B790C"/>
    <w:rsid w:val="2860DDF7"/>
    <w:rsid w:val="28666615"/>
    <w:rsid w:val="287484B3"/>
    <w:rsid w:val="287BD5DA"/>
    <w:rsid w:val="28913E39"/>
    <w:rsid w:val="28918694"/>
    <w:rsid w:val="28940F77"/>
    <w:rsid w:val="28A7504F"/>
    <w:rsid w:val="28A7CB74"/>
    <w:rsid w:val="28A8699F"/>
    <w:rsid w:val="28AF09B2"/>
    <w:rsid w:val="28C4F402"/>
    <w:rsid w:val="28D1E4D9"/>
    <w:rsid w:val="28D9CF9F"/>
    <w:rsid w:val="28E30800"/>
    <w:rsid w:val="28ED6BD0"/>
    <w:rsid w:val="28EF774B"/>
    <w:rsid w:val="28F566F7"/>
    <w:rsid w:val="28F5E72D"/>
    <w:rsid w:val="2903816C"/>
    <w:rsid w:val="29059088"/>
    <w:rsid w:val="29080310"/>
    <w:rsid w:val="29088B97"/>
    <w:rsid w:val="291DE03F"/>
    <w:rsid w:val="2923C3F8"/>
    <w:rsid w:val="292646C2"/>
    <w:rsid w:val="292E68B5"/>
    <w:rsid w:val="29339EBF"/>
    <w:rsid w:val="2956F22A"/>
    <w:rsid w:val="29611392"/>
    <w:rsid w:val="2976E02F"/>
    <w:rsid w:val="2978D343"/>
    <w:rsid w:val="29872759"/>
    <w:rsid w:val="298DA96D"/>
    <w:rsid w:val="29A5F013"/>
    <w:rsid w:val="29B1A1A5"/>
    <w:rsid w:val="29B34100"/>
    <w:rsid w:val="29BADE6B"/>
    <w:rsid w:val="29BEE9A3"/>
    <w:rsid w:val="29C5026F"/>
    <w:rsid w:val="29D89350"/>
    <w:rsid w:val="29DD6F46"/>
    <w:rsid w:val="29E12D2E"/>
    <w:rsid w:val="29E1BC9A"/>
    <w:rsid w:val="29E73092"/>
    <w:rsid w:val="29EA87D1"/>
    <w:rsid w:val="29EB28E5"/>
    <w:rsid w:val="29FE4EAD"/>
    <w:rsid w:val="2A0E4D79"/>
    <w:rsid w:val="2A1500B3"/>
    <w:rsid w:val="2A239264"/>
    <w:rsid w:val="2A307450"/>
    <w:rsid w:val="2A32EC90"/>
    <w:rsid w:val="2A3CA410"/>
    <w:rsid w:val="2A4261FC"/>
    <w:rsid w:val="2A4FAC7F"/>
    <w:rsid w:val="2A57AB19"/>
    <w:rsid w:val="2A5BA098"/>
    <w:rsid w:val="2A6544A2"/>
    <w:rsid w:val="2A679610"/>
    <w:rsid w:val="2A68DBA3"/>
    <w:rsid w:val="2A69B4B3"/>
    <w:rsid w:val="2A7874D5"/>
    <w:rsid w:val="2A8359F3"/>
    <w:rsid w:val="2A906E99"/>
    <w:rsid w:val="2A91563B"/>
    <w:rsid w:val="2A991286"/>
    <w:rsid w:val="2A9A820B"/>
    <w:rsid w:val="2AA7241F"/>
    <w:rsid w:val="2AAEC534"/>
    <w:rsid w:val="2AB1091C"/>
    <w:rsid w:val="2AB91C51"/>
    <w:rsid w:val="2ABE6AE3"/>
    <w:rsid w:val="2ABFCCC6"/>
    <w:rsid w:val="2AC3DD98"/>
    <w:rsid w:val="2AC74FAD"/>
    <w:rsid w:val="2AC790E9"/>
    <w:rsid w:val="2AC8AF27"/>
    <w:rsid w:val="2ACF1A2D"/>
    <w:rsid w:val="2AD7A98D"/>
    <w:rsid w:val="2AD7F2FF"/>
    <w:rsid w:val="2AD95A74"/>
    <w:rsid w:val="2ADF9713"/>
    <w:rsid w:val="2AE5FC57"/>
    <w:rsid w:val="2AE9D99B"/>
    <w:rsid w:val="2AF8C034"/>
    <w:rsid w:val="2AF9B178"/>
    <w:rsid w:val="2AFDD851"/>
    <w:rsid w:val="2B1E58B6"/>
    <w:rsid w:val="2B2520B0"/>
    <w:rsid w:val="2B2D24F2"/>
    <w:rsid w:val="2B34C127"/>
    <w:rsid w:val="2B48F997"/>
    <w:rsid w:val="2B49C324"/>
    <w:rsid w:val="2B4F325F"/>
    <w:rsid w:val="2B5B6E35"/>
    <w:rsid w:val="2B600635"/>
    <w:rsid w:val="2B62EC11"/>
    <w:rsid w:val="2B6D5F42"/>
    <w:rsid w:val="2B6D862A"/>
    <w:rsid w:val="2B7D8FB8"/>
    <w:rsid w:val="2B82A080"/>
    <w:rsid w:val="2B9C123D"/>
    <w:rsid w:val="2BA403D9"/>
    <w:rsid w:val="2BACA152"/>
    <w:rsid w:val="2BB5BF33"/>
    <w:rsid w:val="2BCAD7A9"/>
    <w:rsid w:val="2BE877DA"/>
    <w:rsid w:val="2BEF47DF"/>
    <w:rsid w:val="2BF2395F"/>
    <w:rsid w:val="2C1F16ED"/>
    <w:rsid w:val="2C22D10B"/>
    <w:rsid w:val="2C257CEA"/>
    <w:rsid w:val="2C391D51"/>
    <w:rsid w:val="2C4AEE15"/>
    <w:rsid w:val="2C5F1462"/>
    <w:rsid w:val="2C619392"/>
    <w:rsid w:val="2C667E17"/>
    <w:rsid w:val="2C669C6D"/>
    <w:rsid w:val="2C679B7F"/>
    <w:rsid w:val="2C6D1E3D"/>
    <w:rsid w:val="2C799EF9"/>
    <w:rsid w:val="2C7E0DC5"/>
    <w:rsid w:val="2C8029F3"/>
    <w:rsid w:val="2C80AA53"/>
    <w:rsid w:val="2C81A369"/>
    <w:rsid w:val="2C923863"/>
    <w:rsid w:val="2C9ACBC6"/>
    <w:rsid w:val="2CAE0DB6"/>
    <w:rsid w:val="2CB07AFA"/>
    <w:rsid w:val="2CB6A23E"/>
    <w:rsid w:val="2CB7DEED"/>
    <w:rsid w:val="2CB843AD"/>
    <w:rsid w:val="2CB8F8A2"/>
    <w:rsid w:val="2CB957AA"/>
    <w:rsid w:val="2CC0EF91"/>
    <w:rsid w:val="2CCED5F0"/>
    <w:rsid w:val="2CD0260A"/>
    <w:rsid w:val="2CD7287C"/>
    <w:rsid w:val="2CDB58BA"/>
    <w:rsid w:val="2CE3783B"/>
    <w:rsid w:val="2CE4664A"/>
    <w:rsid w:val="2CEC7F4F"/>
    <w:rsid w:val="2CECCE07"/>
    <w:rsid w:val="2CFF386E"/>
    <w:rsid w:val="2D092FA3"/>
    <w:rsid w:val="2D0F1778"/>
    <w:rsid w:val="2D16827E"/>
    <w:rsid w:val="2D174F8A"/>
    <w:rsid w:val="2D225800"/>
    <w:rsid w:val="2D297EBE"/>
    <w:rsid w:val="2D3393F4"/>
    <w:rsid w:val="2D351D14"/>
    <w:rsid w:val="2D36FD68"/>
    <w:rsid w:val="2D398C74"/>
    <w:rsid w:val="2D42B455"/>
    <w:rsid w:val="2D4E88FD"/>
    <w:rsid w:val="2D550C36"/>
    <w:rsid w:val="2D55FC73"/>
    <w:rsid w:val="2D5B8405"/>
    <w:rsid w:val="2D5FA952"/>
    <w:rsid w:val="2D61E2EF"/>
    <w:rsid w:val="2D64753E"/>
    <w:rsid w:val="2D6C536E"/>
    <w:rsid w:val="2D6CE214"/>
    <w:rsid w:val="2D6D47E0"/>
    <w:rsid w:val="2D6ED834"/>
    <w:rsid w:val="2D75665C"/>
    <w:rsid w:val="2D80BE34"/>
    <w:rsid w:val="2D92DA2D"/>
    <w:rsid w:val="2D9783D9"/>
    <w:rsid w:val="2DA664A9"/>
    <w:rsid w:val="2DAE129D"/>
    <w:rsid w:val="2DB208BB"/>
    <w:rsid w:val="2DB5632D"/>
    <w:rsid w:val="2DC3F93D"/>
    <w:rsid w:val="2DC5487E"/>
    <w:rsid w:val="2DC7EE12"/>
    <w:rsid w:val="2DD0FA71"/>
    <w:rsid w:val="2DE3897F"/>
    <w:rsid w:val="2DE3A2FB"/>
    <w:rsid w:val="2DE55DA4"/>
    <w:rsid w:val="2DEEC998"/>
    <w:rsid w:val="2DF2DC62"/>
    <w:rsid w:val="2DF4541C"/>
    <w:rsid w:val="2DFA0DA8"/>
    <w:rsid w:val="2DFA13A8"/>
    <w:rsid w:val="2DFA53FC"/>
    <w:rsid w:val="2DFB7E5A"/>
    <w:rsid w:val="2DFC57B8"/>
    <w:rsid w:val="2E01DC69"/>
    <w:rsid w:val="2E01F795"/>
    <w:rsid w:val="2E036BE0"/>
    <w:rsid w:val="2E0CB110"/>
    <w:rsid w:val="2E159E1A"/>
    <w:rsid w:val="2E168F41"/>
    <w:rsid w:val="2E26C318"/>
    <w:rsid w:val="2E369C27"/>
    <w:rsid w:val="2E3B5F26"/>
    <w:rsid w:val="2E51F5CD"/>
    <w:rsid w:val="2E5F975A"/>
    <w:rsid w:val="2E61C839"/>
    <w:rsid w:val="2E6DE39E"/>
    <w:rsid w:val="2E70290F"/>
    <w:rsid w:val="2E74E627"/>
    <w:rsid w:val="2E7B633F"/>
    <w:rsid w:val="2E8A91B2"/>
    <w:rsid w:val="2E923A16"/>
    <w:rsid w:val="2E923EE8"/>
    <w:rsid w:val="2E934E0B"/>
    <w:rsid w:val="2EA50004"/>
    <w:rsid w:val="2EA5D80F"/>
    <w:rsid w:val="2EA959D2"/>
    <w:rsid w:val="2EACB3F1"/>
    <w:rsid w:val="2EAD9FBA"/>
    <w:rsid w:val="2EB6AC54"/>
    <w:rsid w:val="2EBB89C7"/>
    <w:rsid w:val="2EBCECEB"/>
    <w:rsid w:val="2EC79083"/>
    <w:rsid w:val="2EC7E07C"/>
    <w:rsid w:val="2EC9B8AB"/>
    <w:rsid w:val="2EC9C355"/>
    <w:rsid w:val="2ED2799D"/>
    <w:rsid w:val="2EF5165A"/>
    <w:rsid w:val="2EFCBA83"/>
    <w:rsid w:val="2F01339C"/>
    <w:rsid w:val="2F03BA67"/>
    <w:rsid w:val="2F081C45"/>
    <w:rsid w:val="2F1ADFA4"/>
    <w:rsid w:val="2F21E438"/>
    <w:rsid w:val="2F3DCFB1"/>
    <w:rsid w:val="2F4ABF7C"/>
    <w:rsid w:val="2F4EE696"/>
    <w:rsid w:val="2F534933"/>
    <w:rsid w:val="2F556493"/>
    <w:rsid w:val="2F5B9F44"/>
    <w:rsid w:val="2F673A81"/>
    <w:rsid w:val="2F6C2465"/>
    <w:rsid w:val="2F735526"/>
    <w:rsid w:val="2F7B6304"/>
    <w:rsid w:val="2F855C5C"/>
    <w:rsid w:val="2F945BE6"/>
    <w:rsid w:val="2F948237"/>
    <w:rsid w:val="2FAB1AB0"/>
    <w:rsid w:val="2FBB775F"/>
    <w:rsid w:val="2FBC5B25"/>
    <w:rsid w:val="2FBC70C4"/>
    <w:rsid w:val="2FC55957"/>
    <w:rsid w:val="2FCF3DD0"/>
    <w:rsid w:val="2FDA29D4"/>
    <w:rsid w:val="2FDFB8EE"/>
    <w:rsid w:val="2FE47401"/>
    <w:rsid w:val="2FE5BD5A"/>
    <w:rsid w:val="2FE97211"/>
    <w:rsid w:val="2FEB44AC"/>
    <w:rsid w:val="2FF1DCF4"/>
    <w:rsid w:val="2FFFBE7D"/>
    <w:rsid w:val="300033DF"/>
    <w:rsid w:val="3003D8EF"/>
    <w:rsid w:val="301018CE"/>
    <w:rsid w:val="3021E429"/>
    <w:rsid w:val="30225F21"/>
    <w:rsid w:val="3029AA37"/>
    <w:rsid w:val="30413225"/>
    <w:rsid w:val="30473015"/>
    <w:rsid w:val="305CEFA0"/>
    <w:rsid w:val="306EB45F"/>
    <w:rsid w:val="30770F93"/>
    <w:rsid w:val="30853BDF"/>
    <w:rsid w:val="308B11AE"/>
    <w:rsid w:val="3090100C"/>
    <w:rsid w:val="309E8711"/>
    <w:rsid w:val="30AF94E9"/>
    <w:rsid w:val="30B00766"/>
    <w:rsid w:val="30B0D6F0"/>
    <w:rsid w:val="30B139ED"/>
    <w:rsid w:val="30C80423"/>
    <w:rsid w:val="30D77C79"/>
    <w:rsid w:val="30DC937C"/>
    <w:rsid w:val="30E4F1A1"/>
    <w:rsid w:val="30E52A80"/>
    <w:rsid w:val="30E755B5"/>
    <w:rsid w:val="30ECC7CF"/>
    <w:rsid w:val="30FFB01D"/>
    <w:rsid w:val="30FFBF43"/>
    <w:rsid w:val="31055536"/>
    <w:rsid w:val="31063851"/>
    <w:rsid w:val="311CCCFA"/>
    <w:rsid w:val="31331F1C"/>
    <w:rsid w:val="313A11FF"/>
    <w:rsid w:val="313B85AD"/>
    <w:rsid w:val="31432F01"/>
    <w:rsid w:val="31450B2E"/>
    <w:rsid w:val="314567D2"/>
    <w:rsid w:val="31486D3C"/>
    <w:rsid w:val="31488259"/>
    <w:rsid w:val="314CFB76"/>
    <w:rsid w:val="3164A3B2"/>
    <w:rsid w:val="31680DA9"/>
    <w:rsid w:val="31737B83"/>
    <w:rsid w:val="31786B0E"/>
    <w:rsid w:val="3184130C"/>
    <w:rsid w:val="318A9F9F"/>
    <w:rsid w:val="318D5884"/>
    <w:rsid w:val="319229A0"/>
    <w:rsid w:val="3194DC78"/>
    <w:rsid w:val="31973C9D"/>
    <w:rsid w:val="3199B5F9"/>
    <w:rsid w:val="3199D195"/>
    <w:rsid w:val="3199DBA4"/>
    <w:rsid w:val="319A0163"/>
    <w:rsid w:val="319F4F6C"/>
    <w:rsid w:val="31A2D9F6"/>
    <w:rsid w:val="31AA753D"/>
    <w:rsid w:val="31AC1259"/>
    <w:rsid w:val="31B9AD1D"/>
    <w:rsid w:val="31BFE46A"/>
    <w:rsid w:val="31C12E7E"/>
    <w:rsid w:val="31C882BE"/>
    <w:rsid w:val="31CBD858"/>
    <w:rsid w:val="31DA346E"/>
    <w:rsid w:val="31DCA0C6"/>
    <w:rsid w:val="31E13EA5"/>
    <w:rsid w:val="31E1A61B"/>
    <w:rsid w:val="31E1FCA8"/>
    <w:rsid w:val="31EE4031"/>
    <w:rsid w:val="31EF50DD"/>
    <w:rsid w:val="31F0869F"/>
    <w:rsid w:val="31F5F72A"/>
    <w:rsid w:val="31F942E3"/>
    <w:rsid w:val="32001292"/>
    <w:rsid w:val="3216CFD0"/>
    <w:rsid w:val="321EFF26"/>
    <w:rsid w:val="322F27F9"/>
    <w:rsid w:val="32316A32"/>
    <w:rsid w:val="323385D3"/>
    <w:rsid w:val="323D563C"/>
    <w:rsid w:val="323DBF48"/>
    <w:rsid w:val="32452C3D"/>
    <w:rsid w:val="3258B1B9"/>
    <w:rsid w:val="325ABE64"/>
    <w:rsid w:val="3261C689"/>
    <w:rsid w:val="32656EBF"/>
    <w:rsid w:val="326CAD70"/>
    <w:rsid w:val="32717B1F"/>
    <w:rsid w:val="3277AA32"/>
    <w:rsid w:val="3279D5CC"/>
    <w:rsid w:val="3287287A"/>
    <w:rsid w:val="329537A7"/>
    <w:rsid w:val="329602E6"/>
    <w:rsid w:val="3296CF41"/>
    <w:rsid w:val="3298501F"/>
    <w:rsid w:val="32996537"/>
    <w:rsid w:val="3299A001"/>
    <w:rsid w:val="329B2FCE"/>
    <w:rsid w:val="32A392F2"/>
    <w:rsid w:val="32A7FDD0"/>
    <w:rsid w:val="32ADBFF9"/>
    <w:rsid w:val="32AE507A"/>
    <w:rsid w:val="32B0533F"/>
    <w:rsid w:val="32B3218A"/>
    <w:rsid w:val="32BFF39B"/>
    <w:rsid w:val="32C1C5C6"/>
    <w:rsid w:val="32C3119C"/>
    <w:rsid w:val="32C4A2F5"/>
    <w:rsid w:val="32C70031"/>
    <w:rsid w:val="32CCF238"/>
    <w:rsid w:val="32D0EBC4"/>
    <w:rsid w:val="32E01D7B"/>
    <w:rsid w:val="32EFA56E"/>
    <w:rsid w:val="32FA2D33"/>
    <w:rsid w:val="3300FA2C"/>
    <w:rsid w:val="330254E6"/>
    <w:rsid w:val="330AE3F8"/>
    <w:rsid w:val="331B7DD6"/>
    <w:rsid w:val="33219A97"/>
    <w:rsid w:val="3323A9ED"/>
    <w:rsid w:val="3325DCCC"/>
    <w:rsid w:val="3327E952"/>
    <w:rsid w:val="332E9835"/>
    <w:rsid w:val="33307FA8"/>
    <w:rsid w:val="3338407C"/>
    <w:rsid w:val="33436E77"/>
    <w:rsid w:val="334B5A29"/>
    <w:rsid w:val="33637C3E"/>
    <w:rsid w:val="336C9232"/>
    <w:rsid w:val="336DCBD2"/>
    <w:rsid w:val="337DBD50"/>
    <w:rsid w:val="33825D50"/>
    <w:rsid w:val="338E1757"/>
    <w:rsid w:val="338FEB76"/>
    <w:rsid w:val="33919984"/>
    <w:rsid w:val="33958904"/>
    <w:rsid w:val="3395B7BC"/>
    <w:rsid w:val="33A77C58"/>
    <w:rsid w:val="33A91192"/>
    <w:rsid w:val="33AA9DDB"/>
    <w:rsid w:val="33ABE908"/>
    <w:rsid w:val="33C0A79E"/>
    <w:rsid w:val="33C92FD8"/>
    <w:rsid w:val="33CC814F"/>
    <w:rsid w:val="33CECB5B"/>
    <w:rsid w:val="33D297B9"/>
    <w:rsid w:val="33D4AD18"/>
    <w:rsid w:val="33E5BE56"/>
    <w:rsid w:val="33E74A7A"/>
    <w:rsid w:val="33F0E981"/>
    <w:rsid w:val="33F6189D"/>
    <w:rsid w:val="33F87AAC"/>
    <w:rsid w:val="33F88650"/>
    <w:rsid w:val="3409D07E"/>
    <w:rsid w:val="340AF4E8"/>
    <w:rsid w:val="340D5067"/>
    <w:rsid w:val="3429888D"/>
    <w:rsid w:val="34430492"/>
    <w:rsid w:val="3447A17C"/>
    <w:rsid w:val="3448077E"/>
    <w:rsid w:val="3457C925"/>
    <w:rsid w:val="3457FCCA"/>
    <w:rsid w:val="345BC3FC"/>
    <w:rsid w:val="346551F6"/>
    <w:rsid w:val="346ABFDE"/>
    <w:rsid w:val="3470A8E3"/>
    <w:rsid w:val="349360EF"/>
    <w:rsid w:val="3494AD7A"/>
    <w:rsid w:val="349CADC4"/>
    <w:rsid w:val="349FD49B"/>
    <w:rsid w:val="34A05510"/>
    <w:rsid w:val="34AEAD41"/>
    <w:rsid w:val="34B90665"/>
    <w:rsid w:val="34BE9563"/>
    <w:rsid w:val="34C17419"/>
    <w:rsid w:val="34C4F946"/>
    <w:rsid w:val="34C96AE6"/>
    <w:rsid w:val="34DD9374"/>
    <w:rsid w:val="34E51E69"/>
    <w:rsid w:val="34E6FBE7"/>
    <w:rsid w:val="34EF1C0E"/>
    <w:rsid w:val="34F2087A"/>
    <w:rsid w:val="34F7AC0C"/>
    <w:rsid w:val="3502D006"/>
    <w:rsid w:val="3508A0AF"/>
    <w:rsid w:val="351981B7"/>
    <w:rsid w:val="35199D6A"/>
    <w:rsid w:val="351F1BD2"/>
    <w:rsid w:val="352001AF"/>
    <w:rsid w:val="35205A10"/>
    <w:rsid w:val="35216250"/>
    <w:rsid w:val="35219EFB"/>
    <w:rsid w:val="3522E440"/>
    <w:rsid w:val="3524418B"/>
    <w:rsid w:val="35265A5F"/>
    <w:rsid w:val="3532E88C"/>
    <w:rsid w:val="3553B7BF"/>
    <w:rsid w:val="3559C963"/>
    <w:rsid w:val="355F78F8"/>
    <w:rsid w:val="3560F9D9"/>
    <w:rsid w:val="3576AE0D"/>
    <w:rsid w:val="3578FC4F"/>
    <w:rsid w:val="357AF523"/>
    <w:rsid w:val="357DA7DD"/>
    <w:rsid w:val="35821B7C"/>
    <w:rsid w:val="35854502"/>
    <w:rsid w:val="358838B7"/>
    <w:rsid w:val="35891396"/>
    <w:rsid w:val="3596A55C"/>
    <w:rsid w:val="3596EC09"/>
    <w:rsid w:val="359F82F3"/>
    <w:rsid w:val="35A5A0DF"/>
    <w:rsid w:val="35AEF5E9"/>
    <w:rsid w:val="35B13F12"/>
    <w:rsid w:val="35B31B63"/>
    <w:rsid w:val="35B841D4"/>
    <w:rsid w:val="35C17920"/>
    <w:rsid w:val="35C18C1D"/>
    <w:rsid w:val="35C549FD"/>
    <w:rsid w:val="35CDEE7F"/>
    <w:rsid w:val="35DD4CFC"/>
    <w:rsid w:val="35DFB28A"/>
    <w:rsid w:val="35EC55E3"/>
    <w:rsid w:val="35ED2332"/>
    <w:rsid w:val="35F183B1"/>
    <w:rsid w:val="35F4761C"/>
    <w:rsid w:val="35FBB9DA"/>
    <w:rsid w:val="36012257"/>
    <w:rsid w:val="36019F23"/>
    <w:rsid w:val="360417C0"/>
    <w:rsid w:val="36083FCC"/>
    <w:rsid w:val="360EF864"/>
    <w:rsid w:val="360FEE68"/>
    <w:rsid w:val="36169362"/>
    <w:rsid w:val="361BB398"/>
    <w:rsid w:val="362DBA19"/>
    <w:rsid w:val="363BA4FC"/>
    <w:rsid w:val="363CE8AF"/>
    <w:rsid w:val="36517DD4"/>
    <w:rsid w:val="3652C5E5"/>
    <w:rsid w:val="365BD9CC"/>
    <w:rsid w:val="3663A34F"/>
    <w:rsid w:val="366D4CC7"/>
    <w:rsid w:val="366EF37B"/>
    <w:rsid w:val="36795FD5"/>
    <w:rsid w:val="3681D812"/>
    <w:rsid w:val="3688D3D7"/>
    <w:rsid w:val="368B8DF0"/>
    <w:rsid w:val="368C903B"/>
    <w:rsid w:val="3691BBD7"/>
    <w:rsid w:val="3692732C"/>
    <w:rsid w:val="369309E3"/>
    <w:rsid w:val="36930FE7"/>
    <w:rsid w:val="369A8417"/>
    <w:rsid w:val="36A14C83"/>
    <w:rsid w:val="36A9BCD8"/>
    <w:rsid w:val="36B0D959"/>
    <w:rsid w:val="36C23D43"/>
    <w:rsid w:val="36C42158"/>
    <w:rsid w:val="36CD1AED"/>
    <w:rsid w:val="36CFB390"/>
    <w:rsid w:val="36D2B170"/>
    <w:rsid w:val="36D702F4"/>
    <w:rsid w:val="36DC8399"/>
    <w:rsid w:val="36E0D296"/>
    <w:rsid w:val="3704A36C"/>
    <w:rsid w:val="370D2357"/>
    <w:rsid w:val="370F991F"/>
    <w:rsid w:val="3712B5C0"/>
    <w:rsid w:val="371BD408"/>
    <w:rsid w:val="37203EFF"/>
    <w:rsid w:val="37234030"/>
    <w:rsid w:val="37445064"/>
    <w:rsid w:val="374AC64A"/>
    <w:rsid w:val="3758617C"/>
    <w:rsid w:val="375A8504"/>
    <w:rsid w:val="375A999D"/>
    <w:rsid w:val="37628919"/>
    <w:rsid w:val="3764033C"/>
    <w:rsid w:val="37657510"/>
    <w:rsid w:val="3767339B"/>
    <w:rsid w:val="37786E72"/>
    <w:rsid w:val="3780B6EC"/>
    <w:rsid w:val="37880DE5"/>
    <w:rsid w:val="378ACF75"/>
    <w:rsid w:val="378F764A"/>
    <w:rsid w:val="37A61E96"/>
    <w:rsid w:val="37AF7814"/>
    <w:rsid w:val="37B14461"/>
    <w:rsid w:val="37BE1A1B"/>
    <w:rsid w:val="37C6C477"/>
    <w:rsid w:val="37C7D8DA"/>
    <w:rsid w:val="37C8E1CF"/>
    <w:rsid w:val="37D44E86"/>
    <w:rsid w:val="37DB6E18"/>
    <w:rsid w:val="37ED811E"/>
    <w:rsid w:val="37F8B780"/>
    <w:rsid w:val="37F914DB"/>
    <w:rsid w:val="37FC14B3"/>
    <w:rsid w:val="37FDF9D8"/>
    <w:rsid w:val="380642AE"/>
    <w:rsid w:val="380AC3DC"/>
    <w:rsid w:val="380F1888"/>
    <w:rsid w:val="3819156C"/>
    <w:rsid w:val="381F91ED"/>
    <w:rsid w:val="381FBEE4"/>
    <w:rsid w:val="3822A3AD"/>
    <w:rsid w:val="383F910F"/>
    <w:rsid w:val="3854209F"/>
    <w:rsid w:val="385C9917"/>
    <w:rsid w:val="386B83F1"/>
    <w:rsid w:val="386C207C"/>
    <w:rsid w:val="387DCF19"/>
    <w:rsid w:val="388675B2"/>
    <w:rsid w:val="38894833"/>
    <w:rsid w:val="3889C171"/>
    <w:rsid w:val="388CDD36"/>
    <w:rsid w:val="3895A918"/>
    <w:rsid w:val="3898399F"/>
    <w:rsid w:val="389D7912"/>
    <w:rsid w:val="389DA2FA"/>
    <w:rsid w:val="38B520F6"/>
    <w:rsid w:val="38B8AD17"/>
    <w:rsid w:val="38C0C368"/>
    <w:rsid w:val="38C9FFE8"/>
    <w:rsid w:val="38D5BE5D"/>
    <w:rsid w:val="38DAA651"/>
    <w:rsid w:val="38DB08E9"/>
    <w:rsid w:val="38EDDEC5"/>
    <w:rsid w:val="38EFE296"/>
    <w:rsid w:val="38F6B99C"/>
    <w:rsid w:val="38FE254F"/>
    <w:rsid w:val="3900D1A6"/>
    <w:rsid w:val="3904690E"/>
    <w:rsid w:val="39114B86"/>
    <w:rsid w:val="391370A7"/>
    <w:rsid w:val="39253E8E"/>
    <w:rsid w:val="392AB556"/>
    <w:rsid w:val="393DB0C3"/>
    <w:rsid w:val="393E3101"/>
    <w:rsid w:val="394089C2"/>
    <w:rsid w:val="39461E87"/>
    <w:rsid w:val="395E4C41"/>
    <w:rsid w:val="395F31BE"/>
    <w:rsid w:val="396F15C0"/>
    <w:rsid w:val="3981F111"/>
    <w:rsid w:val="398D4665"/>
    <w:rsid w:val="399CF6AF"/>
    <w:rsid w:val="39AE453B"/>
    <w:rsid w:val="39BAC93C"/>
    <w:rsid w:val="39C67645"/>
    <w:rsid w:val="39C8E6A6"/>
    <w:rsid w:val="39D5BB9E"/>
    <w:rsid w:val="39DFB574"/>
    <w:rsid w:val="39EE9CFB"/>
    <w:rsid w:val="39FD2CA3"/>
    <w:rsid w:val="3A0AFF49"/>
    <w:rsid w:val="3A1714F6"/>
    <w:rsid w:val="3A185902"/>
    <w:rsid w:val="3A1B187B"/>
    <w:rsid w:val="3A1FC0C9"/>
    <w:rsid w:val="3A22C081"/>
    <w:rsid w:val="3A25963A"/>
    <w:rsid w:val="3A2D7E3B"/>
    <w:rsid w:val="3A31F3F4"/>
    <w:rsid w:val="3A33F03B"/>
    <w:rsid w:val="3A361EA2"/>
    <w:rsid w:val="3A4E221B"/>
    <w:rsid w:val="3A593EAF"/>
    <w:rsid w:val="3A59BF06"/>
    <w:rsid w:val="3A62AF18"/>
    <w:rsid w:val="3A69AA14"/>
    <w:rsid w:val="3A6D7F41"/>
    <w:rsid w:val="3A6E7B17"/>
    <w:rsid w:val="3A7275B6"/>
    <w:rsid w:val="3A76D94A"/>
    <w:rsid w:val="3A791202"/>
    <w:rsid w:val="3A94D4B1"/>
    <w:rsid w:val="3A97E326"/>
    <w:rsid w:val="3A9BCBD7"/>
    <w:rsid w:val="3A9CEDCE"/>
    <w:rsid w:val="3AA1F138"/>
    <w:rsid w:val="3AB1A3AA"/>
    <w:rsid w:val="3AB347DB"/>
    <w:rsid w:val="3AB72EDE"/>
    <w:rsid w:val="3AC8E1E1"/>
    <w:rsid w:val="3ACBFEC7"/>
    <w:rsid w:val="3ACC65D5"/>
    <w:rsid w:val="3AD20BBB"/>
    <w:rsid w:val="3AD7C993"/>
    <w:rsid w:val="3AE2382F"/>
    <w:rsid w:val="3AE4183A"/>
    <w:rsid w:val="3AEC26D8"/>
    <w:rsid w:val="3AFA0E44"/>
    <w:rsid w:val="3AFB4E0A"/>
    <w:rsid w:val="3B057554"/>
    <w:rsid w:val="3B204F59"/>
    <w:rsid w:val="3B2081BD"/>
    <w:rsid w:val="3B2AA7BD"/>
    <w:rsid w:val="3B379325"/>
    <w:rsid w:val="3B44B540"/>
    <w:rsid w:val="3B4F0156"/>
    <w:rsid w:val="3B53BF24"/>
    <w:rsid w:val="3B59EB52"/>
    <w:rsid w:val="3B5E9238"/>
    <w:rsid w:val="3B70FE0F"/>
    <w:rsid w:val="3B780A23"/>
    <w:rsid w:val="3B830F3B"/>
    <w:rsid w:val="3B86F074"/>
    <w:rsid w:val="3B9E71D5"/>
    <w:rsid w:val="3B9EC856"/>
    <w:rsid w:val="3BA258D3"/>
    <w:rsid w:val="3BA4B75D"/>
    <w:rsid w:val="3BB2F731"/>
    <w:rsid w:val="3BB82F73"/>
    <w:rsid w:val="3BBD9101"/>
    <w:rsid w:val="3BCFC09C"/>
    <w:rsid w:val="3BD356C9"/>
    <w:rsid w:val="3BD66BFF"/>
    <w:rsid w:val="3BD80AB9"/>
    <w:rsid w:val="3BE49FCE"/>
    <w:rsid w:val="3BF0F809"/>
    <w:rsid w:val="3BF6396B"/>
    <w:rsid w:val="3C050F10"/>
    <w:rsid w:val="3C05AF0D"/>
    <w:rsid w:val="3C06DA6A"/>
    <w:rsid w:val="3C08D0A3"/>
    <w:rsid w:val="3C31D269"/>
    <w:rsid w:val="3C39CFD0"/>
    <w:rsid w:val="3C3B37BA"/>
    <w:rsid w:val="3C41C010"/>
    <w:rsid w:val="3C478583"/>
    <w:rsid w:val="3C49AC71"/>
    <w:rsid w:val="3C53CD1B"/>
    <w:rsid w:val="3C5B7F08"/>
    <w:rsid w:val="3C640EAB"/>
    <w:rsid w:val="3C667630"/>
    <w:rsid w:val="3C7DBF49"/>
    <w:rsid w:val="3C88B164"/>
    <w:rsid w:val="3C8B1FE3"/>
    <w:rsid w:val="3C8B9C5E"/>
    <w:rsid w:val="3C8C6F3A"/>
    <w:rsid w:val="3C8C873D"/>
    <w:rsid w:val="3C94AE58"/>
    <w:rsid w:val="3C9698FB"/>
    <w:rsid w:val="3CA34391"/>
    <w:rsid w:val="3CB44ABE"/>
    <w:rsid w:val="3CB4E5ED"/>
    <w:rsid w:val="3CB75FC4"/>
    <w:rsid w:val="3CBCA558"/>
    <w:rsid w:val="3CC0C4A2"/>
    <w:rsid w:val="3CCB2E50"/>
    <w:rsid w:val="3CCC85FE"/>
    <w:rsid w:val="3CD14E18"/>
    <w:rsid w:val="3CD50BB8"/>
    <w:rsid w:val="3CDC17CB"/>
    <w:rsid w:val="3CE55266"/>
    <w:rsid w:val="3CE7972C"/>
    <w:rsid w:val="3CF10BC2"/>
    <w:rsid w:val="3CF269FE"/>
    <w:rsid w:val="3CFB7D85"/>
    <w:rsid w:val="3D040B1B"/>
    <w:rsid w:val="3D092A7B"/>
    <w:rsid w:val="3D1C152B"/>
    <w:rsid w:val="3D1F536D"/>
    <w:rsid w:val="3D2B3A2D"/>
    <w:rsid w:val="3D2CBF9A"/>
    <w:rsid w:val="3D2F2AD2"/>
    <w:rsid w:val="3D3002FF"/>
    <w:rsid w:val="3D3094BC"/>
    <w:rsid w:val="3D3204A1"/>
    <w:rsid w:val="3D3333B1"/>
    <w:rsid w:val="3D348F98"/>
    <w:rsid w:val="3D35C876"/>
    <w:rsid w:val="3D373C77"/>
    <w:rsid w:val="3D4831FC"/>
    <w:rsid w:val="3D523F53"/>
    <w:rsid w:val="3D5A7AA0"/>
    <w:rsid w:val="3D5E2F41"/>
    <w:rsid w:val="3D5FC1C1"/>
    <w:rsid w:val="3D65031C"/>
    <w:rsid w:val="3D6B36CA"/>
    <w:rsid w:val="3D79F024"/>
    <w:rsid w:val="3D81EB59"/>
    <w:rsid w:val="3D863495"/>
    <w:rsid w:val="3D8BD90F"/>
    <w:rsid w:val="3D8BFDA7"/>
    <w:rsid w:val="3D9B6340"/>
    <w:rsid w:val="3D9B7EFA"/>
    <w:rsid w:val="3D9CB043"/>
    <w:rsid w:val="3D9EF890"/>
    <w:rsid w:val="3D9FD955"/>
    <w:rsid w:val="3DA0DF71"/>
    <w:rsid w:val="3DA25C75"/>
    <w:rsid w:val="3DAE0E5D"/>
    <w:rsid w:val="3DB05615"/>
    <w:rsid w:val="3DB42DC6"/>
    <w:rsid w:val="3DC81E91"/>
    <w:rsid w:val="3DCAC1FA"/>
    <w:rsid w:val="3DD7FCCC"/>
    <w:rsid w:val="3DE0B7BD"/>
    <w:rsid w:val="3DE72CE7"/>
    <w:rsid w:val="3DEAA9BE"/>
    <w:rsid w:val="3DEF0B0D"/>
    <w:rsid w:val="3DF664C9"/>
    <w:rsid w:val="3DF8A80E"/>
    <w:rsid w:val="3DF9D494"/>
    <w:rsid w:val="3DFAA13B"/>
    <w:rsid w:val="3E01F7E4"/>
    <w:rsid w:val="3E0AA060"/>
    <w:rsid w:val="3E0B7246"/>
    <w:rsid w:val="3E1EC934"/>
    <w:rsid w:val="3E21B29D"/>
    <w:rsid w:val="3E37B220"/>
    <w:rsid w:val="3E3E87D9"/>
    <w:rsid w:val="3E41724A"/>
    <w:rsid w:val="3E539FAA"/>
    <w:rsid w:val="3E67F362"/>
    <w:rsid w:val="3E681B7C"/>
    <w:rsid w:val="3E6993BD"/>
    <w:rsid w:val="3E6BBFDC"/>
    <w:rsid w:val="3E6D790B"/>
    <w:rsid w:val="3E804BF7"/>
    <w:rsid w:val="3E85BF5D"/>
    <w:rsid w:val="3E8F7922"/>
    <w:rsid w:val="3EA9FB41"/>
    <w:rsid w:val="3EAF679E"/>
    <w:rsid w:val="3EB23B94"/>
    <w:rsid w:val="3EB3CD97"/>
    <w:rsid w:val="3EBC26AB"/>
    <w:rsid w:val="3EBF0640"/>
    <w:rsid w:val="3EBF883B"/>
    <w:rsid w:val="3EC7BF9B"/>
    <w:rsid w:val="3ECA5E84"/>
    <w:rsid w:val="3ED006D4"/>
    <w:rsid w:val="3ED1AD91"/>
    <w:rsid w:val="3ED68DFB"/>
    <w:rsid w:val="3ED7A67C"/>
    <w:rsid w:val="3ED7B905"/>
    <w:rsid w:val="3ED9CAD2"/>
    <w:rsid w:val="3ED9D785"/>
    <w:rsid w:val="3EDB8B9D"/>
    <w:rsid w:val="3EDF11B5"/>
    <w:rsid w:val="3EE3A444"/>
    <w:rsid w:val="3EE7BF6C"/>
    <w:rsid w:val="3EEA6C9D"/>
    <w:rsid w:val="3EF482A4"/>
    <w:rsid w:val="3EF58018"/>
    <w:rsid w:val="3F06EFC2"/>
    <w:rsid w:val="3F10A3F2"/>
    <w:rsid w:val="3F1ABDCC"/>
    <w:rsid w:val="3F2145D0"/>
    <w:rsid w:val="3F26D634"/>
    <w:rsid w:val="3F28AB21"/>
    <w:rsid w:val="3F328722"/>
    <w:rsid w:val="3F4C8325"/>
    <w:rsid w:val="3F50457C"/>
    <w:rsid w:val="3F56C169"/>
    <w:rsid w:val="3F593473"/>
    <w:rsid w:val="3F5B6DDF"/>
    <w:rsid w:val="3F5D2049"/>
    <w:rsid w:val="3F673189"/>
    <w:rsid w:val="3F7A1D99"/>
    <w:rsid w:val="3F81D769"/>
    <w:rsid w:val="3F8EB7CD"/>
    <w:rsid w:val="3F8ED6A2"/>
    <w:rsid w:val="3F933829"/>
    <w:rsid w:val="3F9B4B02"/>
    <w:rsid w:val="3FA6E045"/>
    <w:rsid w:val="3FA8B102"/>
    <w:rsid w:val="3FAF437C"/>
    <w:rsid w:val="3FBBA03A"/>
    <w:rsid w:val="3FBE6DD4"/>
    <w:rsid w:val="3FC18535"/>
    <w:rsid w:val="3FC6F557"/>
    <w:rsid w:val="3FDB8F79"/>
    <w:rsid w:val="3FDD2B1D"/>
    <w:rsid w:val="3FE993B5"/>
    <w:rsid w:val="3FEB9908"/>
    <w:rsid w:val="3FECCA50"/>
    <w:rsid w:val="3FF15D38"/>
    <w:rsid w:val="3FFCD026"/>
    <w:rsid w:val="3FFDFF2A"/>
    <w:rsid w:val="3FFF6AFE"/>
    <w:rsid w:val="3FFFF33A"/>
    <w:rsid w:val="4005E9E7"/>
    <w:rsid w:val="40069453"/>
    <w:rsid w:val="401FF703"/>
    <w:rsid w:val="40220B33"/>
    <w:rsid w:val="403035B5"/>
    <w:rsid w:val="40360F75"/>
    <w:rsid w:val="404B153A"/>
    <w:rsid w:val="404F4251"/>
    <w:rsid w:val="4056F42F"/>
    <w:rsid w:val="4079842B"/>
    <w:rsid w:val="407D3BE3"/>
    <w:rsid w:val="4082FB5C"/>
    <w:rsid w:val="408317DB"/>
    <w:rsid w:val="408D6F08"/>
    <w:rsid w:val="4093AE0B"/>
    <w:rsid w:val="4095D431"/>
    <w:rsid w:val="409D4CD1"/>
    <w:rsid w:val="409E1CD4"/>
    <w:rsid w:val="40A0A24B"/>
    <w:rsid w:val="40A34B84"/>
    <w:rsid w:val="40A38BEA"/>
    <w:rsid w:val="40A72F64"/>
    <w:rsid w:val="40C495FF"/>
    <w:rsid w:val="40C8BF31"/>
    <w:rsid w:val="40DC33E5"/>
    <w:rsid w:val="40DDC978"/>
    <w:rsid w:val="40E787D7"/>
    <w:rsid w:val="40E8A24E"/>
    <w:rsid w:val="40EBCE88"/>
    <w:rsid w:val="40F5ED64"/>
    <w:rsid w:val="41035D6D"/>
    <w:rsid w:val="410745BC"/>
    <w:rsid w:val="410C9C59"/>
    <w:rsid w:val="411ECDA9"/>
    <w:rsid w:val="4123A68A"/>
    <w:rsid w:val="4123EAD6"/>
    <w:rsid w:val="4139252E"/>
    <w:rsid w:val="4149ED77"/>
    <w:rsid w:val="414A2623"/>
    <w:rsid w:val="41560FF3"/>
    <w:rsid w:val="415AF9A2"/>
    <w:rsid w:val="41701769"/>
    <w:rsid w:val="419E0F67"/>
    <w:rsid w:val="419E9DEA"/>
    <w:rsid w:val="41A705D1"/>
    <w:rsid w:val="41B40113"/>
    <w:rsid w:val="41B860BB"/>
    <w:rsid w:val="41B95E34"/>
    <w:rsid w:val="41BDED9B"/>
    <w:rsid w:val="41BEB58F"/>
    <w:rsid w:val="41C273A9"/>
    <w:rsid w:val="41C3DFE4"/>
    <w:rsid w:val="41C8B710"/>
    <w:rsid w:val="41C8D4C0"/>
    <w:rsid w:val="41D79B0C"/>
    <w:rsid w:val="41DD6087"/>
    <w:rsid w:val="41DF5BDF"/>
    <w:rsid w:val="41E6C9E8"/>
    <w:rsid w:val="41EF388E"/>
    <w:rsid w:val="41FE3915"/>
    <w:rsid w:val="41FEA93A"/>
    <w:rsid w:val="420C9CBF"/>
    <w:rsid w:val="420FF496"/>
    <w:rsid w:val="421231E8"/>
    <w:rsid w:val="4214CAF7"/>
    <w:rsid w:val="421763EA"/>
    <w:rsid w:val="421E0C03"/>
    <w:rsid w:val="422AA0A4"/>
    <w:rsid w:val="4230831B"/>
    <w:rsid w:val="4234960D"/>
    <w:rsid w:val="42364236"/>
    <w:rsid w:val="423A8330"/>
    <w:rsid w:val="423E3172"/>
    <w:rsid w:val="4249CE46"/>
    <w:rsid w:val="4253E2E1"/>
    <w:rsid w:val="425546C6"/>
    <w:rsid w:val="426362F8"/>
    <w:rsid w:val="42700980"/>
    <w:rsid w:val="4270CFBE"/>
    <w:rsid w:val="4272D6CE"/>
    <w:rsid w:val="4275C68F"/>
    <w:rsid w:val="4283C28E"/>
    <w:rsid w:val="42862F9E"/>
    <w:rsid w:val="429618A4"/>
    <w:rsid w:val="4296C4DC"/>
    <w:rsid w:val="42A7A5A4"/>
    <w:rsid w:val="42A9E642"/>
    <w:rsid w:val="42B1B08E"/>
    <w:rsid w:val="42B209C2"/>
    <w:rsid w:val="42BA9E0A"/>
    <w:rsid w:val="42BBA85A"/>
    <w:rsid w:val="42BE318B"/>
    <w:rsid w:val="42BE6665"/>
    <w:rsid w:val="42CAC08C"/>
    <w:rsid w:val="42CADBCF"/>
    <w:rsid w:val="42D736E0"/>
    <w:rsid w:val="42E2F345"/>
    <w:rsid w:val="42E41AD2"/>
    <w:rsid w:val="42F910C0"/>
    <w:rsid w:val="42FC00BA"/>
    <w:rsid w:val="430577EE"/>
    <w:rsid w:val="430CA136"/>
    <w:rsid w:val="4311A6CA"/>
    <w:rsid w:val="43159BEE"/>
    <w:rsid w:val="431E93D8"/>
    <w:rsid w:val="432498E1"/>
    <w:rsid w:val="43393F4D"/>
    <w:rsid w:val="434B81B6"/>
    <w:rsid w:val="434C6629"/>
    <w:rsid w:val="434E7161"/>
    <w:rsid w:val="434F1AB7"/>
    <w:rsid w:val="43566008"/>
    <w:rsid w:val="4364D742"/>
    <w:rsid w:val="4367AF37"/>
    <w:rsid w:val="436A942C"/>
    <w:rsid w:val="437C56E4"/>
    <w:rsid w:val="437EEDDE"/>
    <w:rsid w:val="437EEDE2"/>
    <w:rsid w:val="4381F056"/>
    <w:rsid w:val="439039F4"/>
    <w:rsid w:val="439B30E6"/>
    <w:rsid w:val="439F0E47"/>
    <w:rsid w:val="43B57872"/>
    <w:rsid w:val="43BBFE61"/>
    <w:rsid w:val="43C79B63"/>
    <w:rsid w:val="43D4BAD0"/>
    <w:rsid w:val="43D55DD4"/>
    <w:rsid w:val="43E29F3C"/>
    <w:rsid w:val="43E94E6B"/>
    <w:rsid w:val="43EE0D2D"/>
    <w:rsid w:val="43EEAC39"/>
    <w:rsid w:val="43EECE8B"/>
    <w:rsid w:val="43F8B438"/>
    <w:rsid w:val="44044997"/>
    <w:rsid w:val="440A65C5"/>
    <w:rsid w:val="440A7FFA"/>
    <w:rsid w:val="440BAEE7"/>
    <w:rsid w:val="440EA37C"/>
    <w:rsid w:val="44120B07"/>
    <w:rsid w:val="4413F606"/>
    <w:rsid w:val="441CCBD0"/>
    <w:rsid w:val="4425F2FE"/>
    <w:rsid w:val="44294952"/>
    <w:rsid w:val="442CB931"/>
    <w:rsid w:val="442F31DC"/>
    <w:rsid w:val="443D2174"/>
    <w:rsid w:val="443F8E49"/>
    <w:rsid w:val="44437605"/>
    <w:rsid w:val="44472B42"/>
    <w:rsid w:val="4449462D"/>
    <w:rsid w:val="44497A47"/>
    <w:rsid w:val="444A501B"/>
    <w:rsid w:val="44601ED6"/>
    <w:rsid w:val="446690ED"/>
    <w:rsid w:val="4469DC77"/>
    <w:rsid w:val="44706F6C"/>
    <w:rsid w:val="4475C8A0"/>
    <w:rsid w:val="448C6AB2"/>
    <w:rsid w:val="44958221"/>
    <w:rsid w:val="449CD008"/>
    <w:rsid w:val="44B9ADE3"/>
    <w:rsid w:val="44BB9283"/>
    <w:rsid w:val="44D27837"/>
    <w:rsid w:val="44EA76CA"/>
    <w:rsid w:val="44EF8DB6"/>
    <w:rsid w:val="44F021C1"/>
    <w:rsid w:val="44F25E6F"/>
    <w:rsid w:val="44F2A911"/>
    <w:rsid w:val="4517323D"/>
    <w:rsid w:val="452CC478"/>
    <w:rsid w:val="452D04EB"/>
    <w:rsid w:val="453145BA"/>
    <w:rsid w:val="453BFE2C"/>
    <w:rsid w:val="453DFA51"/>
    <w:rsid w:val="45406997"/>
    <w:rsid w:val="454348BB"/>
    <w:rsid w:val="4547090B"/>
    <w:rsid w:val="454A3AA8"/>
    <w:rsid w:val="454AF47C"/>
    <w:rsid w:val="455A2B3C"/>
    <w:rsid w:val="455E7893"/>
    <w:rsid w:val="4562E69A"/>
    <w:rsid w:val="45639F64"/>
    <w:rsid w:val="45997AAB"/>
    <w:rsid w:val="45A3DEC3"/>
    <w:rsid w:val="45A663DE"/>
    <w:rsid w:val="45C1C81D"/>
    <w:rsid w:val="45D5848F"/>
    <w:rsid w:val="45DCDBD6"/>
    <w:rsid w:val="45FEAB70"/>
    <w:rsid w:val="45FF0AE6"/>
    <w:rsid w:val="4610B002"/>
    <w:rsid w:val="462208C2"/>
    <w:rsid w:val="46290DEC"/>
    <w:rsid w:val="462E5199"/>
    <w:rsid w:val="46329716"/>
    <w:rsid w:val="463E9013"/>
    <w:rsid w:val="4645933F"/>
    <w:rsid w:val="4647968D"/>
    <w:rsid w:val="464C6CA1"/>
    <w:rsid w:val="464D8E65"/>
    <w:rsid w:val="464EF9D6"/>
    <w:rsid w:val="465BE8FB"/>
    <w:rsid w:val="465E14AD"/>
    <w:rsid w:val="465FFBCA"/>
    <w:rsid w:val="46608736"/>
    <w:rsid w:val="4664A553"/>
    <w:rsid w:val="467090BD"/>
    <w:rsid w:val="467E7420"/>
    <w:rsid w:val="4680B958"/>
    <w:rsid w:val="468C910B"/>
    <w:rsid w:val="469AD286"/>
    <w:rsid w:val="46A48EA0"/>
    <w:rsid w:val="46BAA3D2"/>
    <w:rsid w:val="46C0DB3F"/>
    <w:rsid w:val="46D0BDF7"/>
    <w:rsid w:val="46EC0201"/>
    <w:rsid w:val="4703DBC5"/>
    <w:rsid w:val="47041B07"/>
    <w:rsid w:val="47051C42"/>
    <w:rsid w:val="470B1A94"/>
    <w:rsid w:val="47150AF0"/>
    <w:rsid w:val="4719851B"/>
    <w:rsid w:val="471E1621"/>
    <w:rsid w:val="472B460E"/>
    <w:rsid w:val="472C7F69"/>
    <w:rsid w:val="472E610F"/>
    <w:rsid w:val="4747C1B7"/>
    <w:rsid w:val="47518807"/>
    <w:rsid w:val="47646D87"/>
    <w:rsid w:val="476805B1"/>
    <w:rsid w:val="476D4C9A"/>
    <w:rsid w:val="47723DE9"/>
    <w:rsid w:val="4777EC2B"/>
    <w:rsid w:val="477B7EE6"/>
    <w:rsid w:val="477E4C3D"/>
    <w:rsid w:val="47848241"/>
    <w:rsid w:val="4786B991"/>
    <w:rsid w:val="479D4E43"/>
    <w:rsid w:val="47A24A64"/>
    <w:rsid w:val="47CD49DF"/>
    <w:rsid w:val="47D7D850"/>
    <w:rsid w:val="47E4097F"/>
    <w:rsid w:val="47F645D0"/>
    <w:rsid w:val="47F770CE"/>
    <w:rsid w:val="47FB134B"/>
    <w:rsid w:val="48038345"/>
    <w:rsid w:val="48098F86"/>
    <w:rsid w:val="480B6BB7"/>
    <w:rsid w:val="48104FEC"/>
    <w:rsid w:val="482174E4"/>
    <w:rsid w:val="48259BEB"/>
    <w:rsid w:val="482D2F1F"/>
    <w:rsid w:val="48312F83"/>
    <w:rsid w:val="485314F7"/>
    <w:rsid w:val="48657ECC"/>
    <w:rsid w:val="487B2A25"/>
    <w:rsid w:val="487D630F"/>
    <w:rsid w:val="4886C635"/>
    <w:rsid w:val="4889648C"/>
    <w:rsid w:val="48930C2B"/>
    <w:rsid w:val="489B0C86"/>
    <w:rsid w:val="489C9692"/>
    <w:rsid w:val="489E2035"/>
    <w:rsid w:val="48A86D20"/>
    <w:rsid w:val="48BFC638"/>
    <w:rsid w:val="48C0D4BE"/>
    <w:rsid w:val="48C8F2E0"/>
    <w:rsid w:val="48D34A17"/>
    <w:rsid w:val="48D39379"/>
    <w:rsid w:val="48D5EF01"/>
    <w:rsid w:val="48E0D374"/>
    <w:rsid w:val="48ED9925"/>
    <w:rsid w:val="48F6DEA4"/>
    <w:rsid w:val="490C8B4E"/>
    <w:rsid w:val="490D0A99"/>
    <w:rsid w:val="490D542F"/>
    <w:rsid w:val="4915FB29"/>
    <w:rsid w:val="491CE54C"/>
    <w:rsid w:val="4921D98D"/>
    <w:rsid w:val="4921F56A"/>
    <w:rsid w:val="492E95E7"/>
    <w:rsid w:val="493CA0AA"/>
    <w:rsid w:val="493D78B5"/>
    <w:rsid w:val="493E1AC5"/>
    <w:rsid w:val="493F4CC7"/>
    <w:rsid w:val="4943DCCC"/>
    <w:rsid w:val="49487BE1"/>
    <w:rsid w:val="494EB8B3"/>
    <w:rsid w:val="495900B2"/>
    <w:rsid w:val="4965A1A9"/>
    <w:rsid w:val="496D86D6"/>
    <w:rsid w:val="4982ED15"/>
    <w:rsid w:val="49853106"/>
    <w:rsid w:val="4988783A"/>
    <w:rsid w:val="498BBF10"/>
    <w:rsid w:val="499CB7BB"/>
    <w:rsid w:val="499F1387"/>
    <w:rsid w:val="499FE530"/>
    <w:rsid w:val="49AB41C5"/>
    <w:rsid w:val="49B4E139"/>
    <w:rsid w:val="49B60854"/>
    <w:rsid w:val="49BBBF54"/>
    <w:rsid w:val="49C129A7"/>
    <w:rsid w:val="49C1DD92"/>
    <w:rsid w:val="49C874AB"/>
    <w:rsid w:val="49D2C413"/>
    <w:rsid w:val="49D3CB28"/>
    <w:rsid w:val="49D52A6D"/>
    <w:rsid w:val="49D7519C"/>
    <w:rsid w:val="49DB92E5"/>
    <w:rsid w:val="49E3316F"/>
    <w:rsid w:val="49F602CA"/>
    <w:rsid w:val="49F91140"/>
    <w:rsid w:val="49FFE1B7"/>
    <w:rsid w:val="4A035ED4"/>
    <w:rsid w:val="4A07DEFC"/>
    <w:rsid w:val="4A0D7DC9"/>
    <w:rsid w:val="4A1805F9"/>
    <w:rsid w:val="4A18388C"/>
    <w:rsid w:val="4A1D3E4A"/>
    <w:rsid w:val="4A2CC8B5"/>
    <w:rsid w:val="4A2ECBA0"/>
    <w:rsid w:val="4A3156E3"/>
    <w:rsid w:val="4A328667"/>
    <w:rsid w:val="4A3BD51F"/>
    <w:rsid w:val="4A46AE6D"/>
    <w:rsid w:val="4A471D1B"/>
    <w:rsid w:val="4A4D726C"/>
    <w:rsid w:val="4A59D716"/>
    <w:rsid w:val="4A794D2D"/>
    <w:rsid w:val="4A7B7DBA"/>
    <w:rsid w:val="4A7B86C1"/>
    <w:rsid w:val="4A826BA8"/>
    <w:rsid w:val="4A98D51B"/>
    <w:rsid w:val="4AA936B1"/>
    <w:rsid w:val="4AAFE287"/>
    <w:rsid w:val="4AB0E8AC"/>
    <w:rsid w:val="4ABFAC89"/>
    <w:rsid w:val="4AC3C4DA"/>
    <w:rsid w:val="4ADEFBA7"/>
    <w:rsid w:val="4AE0E69C"/>
    <w:rsid w:val="4AEB0C96"/>
    <w:rsid w:val="4AEDE0A5"/>
    <w:rsid w:val="4B02624B"/>
    <w:rsid w:val="4B0F51A7"/>
    <w:rsid w:val="4B11F9C5"/>
    <w:rsid w:val="4B1A7000"/>
    <w:rsid w:val="4B1AC960"/>
    <w:rsid w:val="4B1F036B"/>
    <w:rsid w:val="4B20031B"/>
    <w:rsid w:val="4B20BF75"/>
    <w:rsid w:val="4B2B6A43"/>
    <w:rsid w:val="4B2E46E8"/>
    <w:rsid w:val="4B2F8644"/>
    <w:rsid w:val="4B33849A"/>
    <w:rsid w:val="4B361D83"/>
    <w:rsid w:val="4B487796"/>
    <w:rsid w:val="4B4D3F64"/>
    <w:rsid w:val="4B5388D2"/>
    <w:rsid w:val="4B56269C"/>
    <w:rsid w:val="4B58386B"/>
    <w:rsid w:val="4B5DD021"/>
    <w:rsid w:val="4B76C143"/>
    <w:rsid w:val="4B779866"/>
    <w:rsid w:val="4B836726"/>
    <w:rsid w:val="4B8CBB42"/>
    <w:rsid w:val="4B9DF763"/>
    <w:rsid w:val="4BB37996"/>
    <w:rsid w:val="4BB65479"/>
    <w:rsid w:val="4BCC1515"/>
    <w:rsid w:val="4BCD50E0"/>
    <w:rsid w:val="4BDE8BB7"/>
    <w:rsid w:val="4BE367E1"/>
    <w:rsid w:val="4BECC33C"/>
    <w:rsid w:val="4BECEBB0"/>
    <w:rsid w:val="4C09FA1D"/>
    <w:rsid w:val="4C140AD5"/>
    <w:rsid w:val="4C19E38F"/>
    <w:rsid w:val="4C1A64C7"/>
    <w:rsid w:val="4C1CFD5C"/>
    <w:rsid w:val="4C1E1A58"/>
    <w:rsid w:val="4C20039D"/>
    <w:rsid w:val="4C28548C"/>
    <w:rsid w:val="4C53FB00"/>
    <w:rsid w:val="4C557C30"/>
    <w:rsid w:val="4C56137E"/>
    <w:rsid w:val="4C592CCE"/>
    <w:rsid w:val="4C5C5B8B"/>
    <w:rsid w:val="4C600A0F"/>
    <w:rsid w:val="4C713D62"/>
    <w:rsid w:val="4C81CDD6"/>
    <w:rsid w:val="4C96E4D8"/>
    <w:rsid w:val="4CB7885D"/>
    <w:rsid w:val="4CB7A052"/>
    <w:rsid w:val="4CBB2CED"/>
    <w:rsid w:val="4CC6B6BD"/>
    <w:rsid w:val="4CC6C013"/>
    <w:rsid w:val="4CCA5AFE"/>
    <w:rsid w:val="4CD4E80E"/>
    <w:rsid w:val="4CE03FBE"/>
    <w:rsid w:val="4CE40F6D"/>
    <w:rsid w:val="4CE447F7"/>
    <w:rsid w:val="4CEBF8D2"/>
    <w:rsid w:val="4D0253EF"/>
    <w:rsid w:val="4D034EB6"/>
    <w:rsid w:val="4D046B91"/>
    <w:rsid w:val="4D19885D"/>
    <w:rsid w:val="4D29EC20"/>
    <w:rsid w:val="4D2A2D5C"/>
    <w:rsid w:val="4D39D82C"/>
    <w:rsid w:val="4D3E83AC"/>
    <w:rsid w:val="4D45E2DF"/>
    <w:rsid w:val="4D4B8760"/>
    <w:rsid w:val="4D54DF0C"/>
    <w:rsid w:val="4D671AF0"/>
    <w:rsid w:val="4D692141"/>
    <w:rsid w:val="4D695036"/>
    <w:rsid w:val="4D6D8306"/>
    <w:rsid w:val="4D7606F5"/>
    <w:rsid w:val="4D78010A"/>
    <w:rsid w:val="4D95487E"/>
    <w:rsid w:val="4DA5A44D"/>
    <w:rsid w:val="4DB69619"/>
    <w:rsid w:val="4DB72DC7"/>
    <w:rsid w:val="4DC4573D"/>
    <w:rsid w:val="4DC638DB"/>
    <w:rsid w:val="4DC7B0E6"/>
    <w:rsid w:val="4DCCC3E8"/>
    <w:rsid w:val="4DD58FAA"/>
    <w:rsid w:val="4DD97783"/>
    <w:rsid w:val="4DEBCD33"/>
    <w:rsid w:val="4DF05EA0"/>
    <w:rsid w:val="4DF8144C"/>
    <w:rsid w:val="4DFBAF63"/>
    <w:rsid w:val="4E1C659B"/>
    <w:rsid w:val="4E217CBB"/>
    <w:rsid w:val="4E251BE2"/>
    <w:rsid w:val="4E3C6ADF"/>
    <w:rsid w:val="4E408AC1"/>
    <w:rsid w:val="4E5D19AB"/>
    <w:rsid w:val="4E67C07D"/>
    <w:rsid w:val="4E6E004D"/>
    <w:rsid w:val="4E72B4C0"/>
    <w:rsid w:val="4E72EFC4"/>
    <w:rsid w:val="4E7789BD"/>
    <w:rsid w:val="4E790065"/>
    <w:rsid w:val="4E7F29EE"/>
    <w:rsid w:val="4E9529F9"/>
    <w:rsid w:val="4EA45E29"/>
    <w:rsid w:val="4EA5B185"/>
    <w:rsid w:val="4EA6308C"/>
    <w:rsid w:val="4EA8B936"/>
    <w:rsid w:val="4EAAA1A6"/>
    <w:rsid w:val="4EAB7718"/>
    <w:rsid w:val="4EAF49A8"/>
    <w:rsid w:val="4EB30C9B"/>
    <w:rsid w:val="4EB5D373"/>
    <w:rsid w:val="4EB83A96"/>
    <w:rsid w:val="4EBDC07B"/>
    <w:rsid w:val="4EC1EC2D"/>
    <w:rsid w:val="4ECFD28E"/>
    <w:rsid w:val="4EDAA538"/>
    <w:rsid w:val="4EDFAF93"/>
    <w:rsid w:val="4EE05F55"/>
    <w:rsid w:val="4EE33C3F"/>
    <w:rsid w:val="4EEC4D4C"/>
    <w:rsid w:val="4EFA6ADD"/>
    <w:rsid w:val="4F00F176"/>
    <w:rsid w:val="4F02921F"/>
    <w:rsid w:val="4F03D576"/>
    <w:rsid w:val="4F09833D"/>
    <w:rsid w:val="4F16B919"/>
    <w:rsid w:val="4F19912F"/>
    <w:rsid w:val="4F20F071"/>
    <w:rsid w:val="4F2C437A"/>
    <w:rsid w:val="4F2F5337"/>
    <w:rsid w:val="4F319BA4"/>
    <w:rsid w:val="4F3FE38C"/>
    <w:rsid w:val="4F4174AE"/>
    <w:rsid w:val="4F471F10"/>
    <w:rsid w:val="4F4F8206"/>
    <w:rsid w:val="4F589039"/>
    <w:rsid w:val="4F5989D8"/>
    <w:rsid w:val="4F70A303"/>
    <w:rsid w:val="4F731A00"/>
    <w:rsid w:val="4F7425ED"/>
    <w:rsid w:val="4F7547E4"/>
    <w:rsid w:val="4F78A3A2"/>
    <w:rsid w:val="4F794C2D"/>
    <w:rsid w:val="4F80DF22"/>
    <w:rsid w:val="4F817154"/>
    <w:rsid w:val="4F824678"/>
    <w:rsid w:val="4FA00339"/>
    <w:rsid w:val="4FA200E6"/>
    <w:rsid w:val="4FAEDE85"/>
    <w:rsid w:val="4FB3CFB4"/>
    <w:rsid w:val="4FB51F7B"/>
    <w:rsid w:val="4FCD50AE"/>
    <w:rsid w:val="4FE03742"/>
    <w:rsid w:val="4FF6D82A"/>
    <w:rsid w:val="4FFA235C"/>
    <w:rsid w:val="50065690"/>
    <w:rsid w:val="50126BE9"/>
    <w:rsid w:val="50136F91"/>
    <w:rsid w:val="503D4185"/>
    <w:rsid w:val="50491734"/>
    <w:rsid w:val="5049629C"/>
    <w:rsid w:val="504D8A93"/>
    <w:rsid w:val="504E8415"/>
    <w:rsid w:val="50597EB0"/>
    <w:rsid w:val="505F36B9"/>
    <w:rsid w:val="5064C7FD"/>
    <w:rsid w:val="506A5A1D"/>
    <w:rsid w:val="507A1956"/>
    <w:rsid w:val="50831E6A"/>
    <w:rsid w:val="508BA1E1"/>
    <w:rsid w:val="50961D1C"/>
    <w:rsid w:val="5099C3F8"/>
    <w:rsid w:val="50A0C203"/>
    <w:rsid w:val="50A523C8"/>
    <w:rsid w:val="50AAE78E"/>
    <w:rsid w:val="50ABA89C"/>
    <w:rsid w:val="50C6C481"/>
    <w:rsid w:val="50CDEE39"/>
    <w:rsid w:val="50CF8C0B"/>
    <w:rsid w:val="50D29B38"/>
    <w:rsid w:val="50F37A72"/>
    <w:rsid w:val="50F5296C"/>
    <w:rsid w:val="50FB6D35"/>
    <w:rsid w:val="5103E2AB"/>
    <w:rsid w:val="510C8BE2"/>
    <w:rsid w:val="51268B98"/>
    <w:rsid w:val="51286DB7"/>
    <w:rsid w:val="512C2731"/>
    <w:rsid w:val="512D443D"/>
    <w:rsid w:val="5131A2EE"/>
    <w:rsid w:val="5132E400"/>
    <w:rsid w:val="513A5982"/>
    <w:rsid w:val="513F0F14"/>
    <w:rsid w:val="5140DAF4"/>
    <w:rsid w:val="5148997E"/>
    <w:rsid w:val="514ECD32"/>
    <w:rsid w:val="51588C6F"/>
    <w:rsid w:val="5164D000"/>
    <w:rsid w:val="5168E18E"/>
    <w:rsid w:val="516B3919"/>
    <w:rsid w:val="5171DB0C"/>
    <w:rsid w:val="517BC2AD"/>
    <w:rsid w:val="51860B86"/>
    <w:rsid w:val="518D36F5"/>
    <w:rsid w:val="51992356"/>
    <w:rsid w:val="519AE643"/>
    <w:rsid w:val="519F2DAF"/>
    <w:rsid w:val="51A21F89"/>
    <w:rsid w:val="51A2EA1B"/>
    <w:rsid w:val="51A45C14"/>
    <w:rsid w:val="51B053CE"/>
    <w:rsid w:val="51B1285D"/>
    <w:rsid w:val="51CD0A43"/>
    <w:rsid w:val="51D1A06F"/>
    <w:rsid w:val="51D911E6"/>
    <w:rsid w:val="51DF900D"/>
    <w:rsid w:val="51E13815"/>
    <w:rsid w:val="51E723B6"/>
    <w:rsid w:val="51E8FCA4"/>
    <w:rsid w:val="51EC964F"/>
    <w:rsid w:val="51F39974"/>
    <w:rsid w:val="51F601EC"/>
    <w:rsid w:val="51FCEDB2"/>
    <w:rsid w:val="51FED441"/>
    <w:rsid w:val="5200911D"/>
    <w:rsid w:val="52057D48"/>
    <w:rsid w:val="5209814D"/>
    <w:rsid w:val="520A3E2D"/>
    <w:rsid w:val="52141C0D"/>
    <w:rsid w:val="521F5C3A"/>
    <w:rsid w:val="522225E7"/>
    <w:rsid w:val="5226E976"/>
    <w:rsid w:val="5232D885"/>
    <w:rsid w:val="52447FEA"/>
    <w:rsid w:val="5246A9B7"/>
    <w:rsid w:val="5246CBE9"/>
    <w:rsid w:val="525FC429"/>
    <w:rsid w:val="5263879F"/>
    <w:rsid w:val="5266140B"/>
    <w:rsid w:val="5268BD52"/>
    <w:rsid w:val="526B3F2B"/>
    <w:rsid w:val="526E4893"/>
    <w:rsid w:val="527C3A40"/>
    <w:rsid w:val="527F8465"/>
    <w:rsid w:val="52905CE6"/>
    <w:rsid w:val="529636F5"/>
    <w:rsid w:val="52973D96"/>
    <w:rsid w:val="529DF8BE"/>
    <w:rsid w:val="52C36249"/>
    <w:rsid w:val="52C3EC75"/>
    <w:rsid w:val="52D0D6B6"/>
    <w:rsid w:val="52D51C5E"/>
    <w:rsid w:val="52D7B240"/>
    <w:rsid w:val="52E8D1DC"/>
    <w:rsid w:val="530577E7"/>
    <w:rsid w:val="53058F11"/>
    <w:rsid w:val="5316837C"/>
    <w:rsid w:val="531ABEDA"/>
    <w:rsid w:val="5324E18B"/>
    <w:rsid w:val="53260AFD"/>
    <w:rsid w:val="53261B0E"/>
    <w:rsid w:val="53274AEF"/>
    <w:rsid w:val="5328115E"/>
    <w:rsid w:val="53362959"/>
    <w:rsid w:val="533B7137"/>
    <w:rsid w:val="534BF9B8"/>
    <w:rsid w:val="5364DD2A"/>
    <w:rsid w:val="536CFC7A"/>
    <w:rsid w:val="53746061"/>
    <w:rsid w:val="53785D49"/>
    <w:rsid w:val="537E3751"/>
    <w:rsid w:val="537F956E"/>
    <w:rsid w:val="5381E397"/>
    <w:rsid w:val="53820C62"/>
    <w:rsid w:val="53860720"/>
    <w:rsid w:val="5387833C"/>
    <w:rsid w:val="5388E706"/>
    <w:rsid w:val="5391D24D"/>
    <w:rsid w:val="539538B9"/>
    <w:rsid w:val="5398D9C6"/>
    <w:rsid w:val="5399C362"/>
    <w:rsid w:val="539AA4A2"/>
    <w:rsid w:val="53AB4774"/>
    <w:rsid w:val="53B93361"/>
    <w:rsid w:val="53BDD67B"/>
    <w:rsid w:val="53D7477D"/>
    <w:rsid w:val="53D9AE5B"/>
    <w:rsid w:val="53E33BCF"/>
    <w:rsid w:val="53EF17ED"/>
    <w:rsid w:val="53F3A7DF"/>
    <w:rsid w:val="53FBBD74"/>
    <w:rsid w:val="53FFB49D"/>
    <w:rsid w:val="540A79D4"/>
    <w:rsid w:val="5411F2D7"/>
    <w:rsid w:val="54162478"/>
    <w:rsid w:val="541A40C2"/>
    <w:rsid w:val="542E3245"/>
    <w:rsid w:val="54430149"/>
    <w:rsid w:val="545447D9"/>
    <w:rsid w:val="5465947D"/>
    <w:rsid w:val="54678E96"/>
    <w:rsid w:val="547EC685"/>
    <w:rsid w:val="54A21D25"/>
    <w:rsid w:val="54A25E87"/>
    <w:rsid w:val="54AF8D39"/>
    <w:rsid w:val="54B28C3D"/>
    <w:rsid w:val="54C3EA97"/>
    <w:rsid w:val="54C45C50"/>
    <w:rsid w:val="54C61750"/>
    <w:rsid w:val="54C8DD5D"/>
    <w:rsid w:val="54D9D1B7"/>
    <w:rsid w:val="54DCA567"/>
    <w:rsid w:val="54DFF90D"/>
    <w:rsid w:val="54E3A6FE"/>
    <w:rsid w:val="54E4129F"/>
    <w:rsid w:val="54EAC7FA"/>
    <w:rsid w:val="54EAE3C4"/>
    <w:rsid w:val="54EC4C43"/>
    <w:rsid w:val="54F0BF2B"/>
    <w:rsid w:val="551672C5"/>
    <w:rsid w:val="551B3044"/>
    <w:rsid w:val="554401C6"/>
    <w:rsid w:val="554A4806"/>
    <w:rsid w:val="554C87DB"/>
    <w:rsid w:val="555C3AA8"/>
    <w:rsid w:val="55743326"/>
    <w:rsid w:val="557E3590"/>
    <w:rsid w:val="557F0C30"/>
    <w:rsid w:val="558A9784"/>
    <w:rsid w:val="5591F7CE"/>
    <w:rsid w:val="5592D0E1"/>
    <w:rsid w:val="55935F75"/>
    <w:rsid w:val="559A26C8"/>
    <w:rsid w:val="55A384C0"/>
    <w:rsid w:val="55BAB94F"/>
    <w:rsid w:val="55CE0803"/>
    <w:rsid w:val="55CEF3BC"/>
    <w:rsid w:val="55D1D24D"/>
    <w:rsid w:val="55DF0C7D"/>
    <w:rsid w:val="55E06E08"/>
    <w:rsid w:val="55E1EDBE"/>
    <w:rsid w:val="55F1C838"/>
    <w:rsid w:val="5605FDA3"/>
    <w:rsid w:val="560F9F0E"/>
    <w:rsid w:val="561A33A2"/>
    <w:rsid w:val="561B98AA"/>
    <w:rsid w:val="561CCF3D"/>
    <w:rsid w:val="561EF7BC"/>
    <w:rsid w:val="5621D444"/>
    <w:rsid w:val="5637029A"/>
    <w:rsid w:val="563DFFA7"/>
    <w:rsid w:val="5643E6E2"/>
    <w:rsid w:val="56461585"/>
    <w:rsid w:val="5648BAF8"/>
    <w:rsid w:val="565162D0"/>
    <w:rsid w:val="56538AE2"/>
    <w:rsid w:val="56688CE8"/>
    <w:rsid w:val="5668D206"/>
    <w:rsid w:val="566FDF85"/>
    <w:rsid w:val="5672739C"/>
    <w:rsid w:val="568124B1"/>
    <w:rsid w:val="568B50C8"/>
    <w:rsid w:val="568C9416"/>
    <w:rsid w:val="5690B174"/>
    <w:rsid w:val="56A64C3A"/>
    <w:rsid w:val="56BE2C67"/>
    <w:rsid w:val="56BFAD87"/>
    <w:rsid w:val="56CA9595"/>
    <w:rsid w:val="56CC3738"/>
    <w:rsid w:val="56D31FA0"/>
    <w:rsid w:val="56E84063"/>
    <w:rsid w:val="570570F1"/>
    <w:rsid w:val="57090235"/>
    <w:rsid w:val="57100387"/>
    <w:rsid w:val="5713BB45"/>
    <w:rsid w:val="57155FEF"/>
    <w:rsid w:val="571C05C1"/>
    <w:rsid w:val="5723FF17"/>
    <w:rsid w:val="57292BE4"/>
    <w:rsid w:val="57295EC9"/>
    <w:rsid w:val="5736ACD6"/>
    <w:rsid w:val="57378B50"/>
    <w:rsid w:val="573C421A"/>
    <w:rsid w:val="57404C63"/>
    <w:rsid w:val="57475317"/>
    <w:rsid w:val="575414D3"/>
    <w:rsid w:val="57566722"/>
    <w:rsid w:val="575689B0"/>
    <w:rsid w:val="575CEED8"/>
    <w:rsid w:val="57644737"/>
    <w:rsid w:val="5768D2F7"/>
    <w:rsid w:val="576A0AAF"/>
    <w:rsid w:val="576AF5FC"/>
    <w:rsid w:val="576D1B21"/>
    <w:rsid w:val="57804A9F"/>
    <w:rsid w:val="578C894E"/>
    <w:rsid w:val="578F551A"/>
    <w:rsid w:val="57916119"/>
    <w:rsid w:val="57972785"/>
    <w:rsid w:val="579B2BCD"/>
    <w:rsid w:val="57B10376"/>
    <w:rsid w:val="57B46BD7"/>
    <w:rsid w:val="57C9369C"/>
    <w:rsid w:val="57D2F235"/>
    <w:rsid w:val="57D422D7"/>
    <w:rsid w:val="57D60AF0"/>
    <w:rsid w:val="57E59457"/>
    <w:rsid w:val="57E70C73"/>
    <w:rsid w:val="57E9813B"/>
    <w:rsid w:val="57EB1060"/>
    <w:rsid w:val="57F551E3"/>
    <w:rsid w:val="5805CB9B"/>
    <w:rsid w:val="58122B9F"/>
    <w:rsid w:val="58147A00"/>
    <w:rsid w:val="581E27F3"/>
    <w:rsid w:val="5832A15D"/>
    <w:rsid w:val="583B67D0"/>
    <w:rsid w:val="584434FF"/>
    <w:rsid w:val="58463A38"/>
    <w:rsid w:val="584BCE6C"/>
    <w:rsid w:val="585807A1"/>
    <w:rsid w:val="5864C772"/>
    <w:rsid w:val="58701F9F"/>
    <w:rsid w:val="5876710E"/>
    <w:rsid w:val="587DECC5"/>
    <w:rsid w:val="58839AAF"/>
    <w:rsid w:val="5885BA51"/>
    <w:rsid w:val="58896974"/>
    <w:rsid w:val="588F7209"/>
    <w:rsid w:val="5890F70D"/>
    <w:rsid w:val="589A9774"/>
    <w:rsid w:val="589DDE8D"/>
    <w:rsid w:val="589F1608"/>
    <w:rsid w:val="58B82333"/>
    <w:rsid w:val="58BDEED8"/>
    <w:rsid w:val="58C23E0F"/>
    <w:rsid w:val="58C70B20"/>
    <w:rsid w:val="58DE8829"/>
    <w:rsid w:val="58E510F5"/>
    <w:rsid w:val="58E8EF5F"/>
    <w:rsid w:val="58EC587A"/>
    <w:rsid w:val="58F1ADB9"/>
    <w:rsid w:val="58F778EC"/>
    <w:rsid w:val="590706BE"/>
    <w:rsid w:val="5917E5C5"/>
    <w:rsid w:val="5918A6AB"/>
    <w:rsid w:val="591E0EC5"/>
    <w:rsid w:val="5925DB05"/>
    <w:rsid w:val="5932983E"/>
    <w:rsid w:val="593F1C7F"/>
    <w:rsid w:val="59454CBA"/>
    <w:rsid w:val="59466095"/>
    <w:rsid w:val="594D0E8F"/>
    <w:rsid w:val="595FF229"/>
    <w:rsid w:val="596B0CD1"/>
    <w:rsid w:val="596BE9C7"/>
    <w:rsid w:val="596C1E54"/>
    <w:rsid w:val="59840CFF"/>
    <w:rsid w:val="598C7B14"/>
    <w:rsid w:val="599667EF"/>
    <w:rsid w:val="599F28B9"/>
    <w:rsid w:val="59A111CA"/>
    <w:rsid w:val="59A2C32F"/>
    <w:rsid w:val="59AC976B"/>
    <w:rsid w:val="59AD065C"/>
    <w:rsid w:val="59B099B6"/>
    <w:rsid w:val="59D7BFA8"/>
    <w:rsid w:val="59D8CF98"/>
    <w:rsid w:val="59DC3DFE"/>
    <w:rsid w:val="59E38618"/>
    <w:rsid w:val="59F97661"/>
    <w:rsid w:val="59FB1213"/>
    <w:rsid w:val="5A0048B5"/>
    <w:rsid w:val="5A0516E1"/>
    <w:rsid w:val="5A07A588"/>
    <w:rsid w:val="5A12416F"/>
    <w:rsid w:val="5A1CBFF5"/>
    <w:rsid w:val="5A1E5095"/>
    <w:rsid w:val="5A208FF8"/>
    <w:rsid w:val="5A28312C"/>
    <w:rsid w:val="5A2A8402"/>
    <w:rsid w:val="5A2B471A"/>
    <w:rsid w:val="5A2FCFE4"/>
    <w:rsid w:val="5A30C72C"/>
    <w:rsid w:val="5A4A2A5E"/>
    <w:rsid w:val="5A4B7C7C"/>
    <w:rsid w:val="5A4D6318"/>
    <w:rsid w:val="5A503299"/>
    <w:rsid w:val="5A51060D"/>
    <w:rsid w:val="5A512D62"/>
    <w:rsid w:val="5A59C72F"/>
    <w:rsid w:val="5A5D2CAB"/>
    <w:rsid w:val="5A668D86"/>
    <w:rsid w:val="5A6D61E1"/>
    <w:rsid w:val="5A72C5F3"/>
    <w:rsid w:val="5A89D226"/>
    <w:rsid w:val="5A9AA62A"/>
    <w:rsid w:val="5A9BD3A9"/>
    <w:rsid w:val="5AA1E6B2"/>
    <w:rsid w:val="5AA990E7"/>
    <w:rsid w:val="5AACA969"/>
    <w:rsid w:val="5AB7AE9A"/>
    <w:rsid w:val="5AC0A63E"/>
    <w:rsid w:val="5AC15D14"/>
    <w:rsid w:val="5AD72C77"/>
    <w:rsid w:val="5ADDA2A9"/>
    <w:rsid w:val="5ADE76E0"/>
    <w:rsid w:val="5AE055FE"/>
    <w:rsid w:val="5AEADA62"/>
    <w:rsid w:val="5AEB1057"/>
    <w:rsid w:val="5AF24A16"/>
    <w:rsid w:val="5AFACF69"/>
    <w:rsid w:val="5AFBCB95"/>
    <w:rsid w:val="5AFDD8EA"/>
    <w:rsid w:val="5B07992C"/>
    <w:rsid w:val="5B175805"/>
    <w:rsid w:val="5B2FD8AB"/>
    <w:rsid w:val="5B448C86"/>
    <w:rsid w:val="5B48BC9F"/>
    <w:rsid w:val="5B4990B7"/>
    <w:rsid w:val="5B62FAD0"/>
    <w:rsid w:val="5B69B9CA"/>
    <w:rsid w:val="5B73BE57"/>
    <w:rsid w:val="5B753066"/>
    <w:rsid w:val="5B9E8FC9"/>
    <w:rsid w:val="5B9EC2EF"/>
    <w:rsid w:val="5BA04A9E"/>
    <w:rsid w:val="5BA1AB02"/>
    <w:rsid w:val="5BA36A7D"/>
    <w:rsid w:val="5BB003DE"/>
    <w:rsid w:val="5BB497F2"/>
    <w:rsid w:val="5BBBF73D"/>
    <w:rsid w:val="5BC13B68"/>
    <w:rsid w:val="5BC24D47"/>
    <w:rsid w:val="5BCE8B4D"/>
    <w:rsid w:val="5BCF90E9"/>
    <w:rsid w:val="5BD08B18"/>
    <w:rsid w:val="5BE7E94B"/>
    <w:rsid w:val="5BEA0515"/>
    <w:rsid w:val="5BEB6230"/>
    <w:rsid w:val="5BEE5456"/>
    <w:rsid w:val="5BF07155"/>
    <w:rsid w:val="5BF69504"/>
    <w:rsid w:val="5BF9904E"/>
    <w:rsid w:val="5BFC26C6"/>
    <w:rsid w:val="5C16B76C"/>
    <w:rsid w:val="5C3818B3"/>
    <w:rsid w:val="5C3C1D62"/>
    <w:rsid w:val="5C3E8D62"/>
    <w:rsid w:val="5C408C44"/>
    <w:rsid w:val="5C46D5B7"/>
    <w:rsid w:val="5C4909D4"/>
    <w:rsid w:val="5C52A8F5"/>
    <w:rsid w:val="5C5C4269"/>
    <w:rsid w:val="5C7C8688"/>
    <w:rsid w:val="5C7E22C7"/>
    <w:rsid w:val="5C8A6536"/>
    <w:rsid w:val="5C9FAAE3"/>
    <w:rsid w:val="5CB0C2A8"/>
    <w:rsid w:val="5CC03534"/>
    <w:rsid w:val="5CD675E9"/>
    <w:rsid w:val="5CDAFC0E"/>
    <w:rsid w:val="5CE204CA"/>
    <w:rsid w:val="5D0111A1"/>
    <w:rsid w:val="5D08CD65"/>
    <w:rsid w:val="5D0F4733"/>
    <w:rsid w:val="5D141E6A"/>
    <w:rsid w:val="5D1AC3A9"/>
    <w:rsid w:val="5D1D1FB7"/>
    <w:rsid w:val="5D2F87C2"/>
    <w:rsid w:val="5D44159F"/>
    <w:rsid w:val="5D50055C"/>
    <w:rsid w:val="5D543859"/>
    <w:rsid w:val="5D5920D7"/>
    <w:rsid w:val="5D5BD5DF"/>
    <w:rsid w:val="5D6224C4"/>
    <w:rsid w:val="5D716226"/>
    <w:rsid w:val="5D7AC9FF"/>
    <w:rsid w:val="5D7F6DB1"/>
    <w:rsid w:val="5D82FA0A"/>
    <w:rsid w:val="5D88F4E8"/>
    <w:rsid w:val="5D950F4C"/>
    <w:rsid w:val="5D9E665B"/>
    <w:rsid w:val="5DAD987B"/>
    <w:rsid w:val="5DC89F51"/>
    <w:rsid w:val="5DD064E3"/>
    <w:rsid w:val="5DD270E6"/>
    <w:rsid w:val="5DD6EBE8"/>
    <w:rsid w:val="5DE57DE7"/>
    <w:rsid w:val="5DF57811"/>
    <w:rsid w:val="5E205B7B"/>
    <w:rsid w:val="5E2396FD"/>
    <w:rsid w:val="5E24673A"/>
    <w:rsid w:val="5E25B7BF"/>
    <w:rsid w:val="5E3CA9E9"/>
    <w:rsid w:val="5E3E0CDE"/>
    <w:rsid w:val="5E3F69BD"/>
    <w:rsid w:val="5E5693D2"/>
    <w:rsid w:val="5E59648F"/>
    <w:rsid w:val="5E598B8A"/>
    <w:rsid w:val="5E5DA833"/>
    <w:rsid w:val="5E5F814F"/>
    <w:rsid w:val="5E6ACD8F"/>
    <w:rsid w:val="5E742133"/>
    <w:rsid w:val="5E765792"/>
    <w:rsid w:val="5E77A1C0"/>
    <w:rsid w:val="5E78A325"/>
    <w:rsid w:val="5E80777F"/>
    <w:rsid w:val="5E85A506"/>
    <w:rsid w:val="5E94B1DE"/>
    <w:rsid w:val="5E96A3C3"/>
    <w:rsid w:val="5EA45511"/>
    <w:rsid w:val="5EAFAF21"/>
    <w:rsid w:val="5EB28F83"/>
    <w:rsid w:val="5EC3C859"/>
    <w:rsid w:val="5ECAD7F3"/>
    <w:rsid w:val="5ECB5823"/>
    <w:rsid w:val="5ED3F5CF"/>
    <w:rsid w:val="5ED89CC9"/>
    <w:rsid w:val="5EDC14F4"/>
    <w:rsid w:val="5EE1695D"/>
    <w:rsid w:val="5EE260FE"/>
    <w:rsid w:val="5EE7E5F4"/>
    <w:rsid w:val="5EFC80C2"/>
    <w:rsid w:val="5EFFBF3A"/>
    <w:rsid w:val="5F0BB450"/>
    <w:rsid w:val="5F0D3A28"/>
    <w:rsid w:val="5F14141A"/>
    <w:rsid w:val="5F2302F2"/>
    <w:rsid w:val="5F286B52"/>
    <w:rsid w:val="5F343DC9"/>
    <w:rsid w:val="5F3B4BB7"/>
    <w:rsid w:val="5F403E2E"/>
    <w:rsid w:val="5F4B1C0E"/>
    <w:rsid w:val="5F53A0FD"/>
    <w:rsid w:val="5F58A5B4"/>
    <w:rsid w:val="5F5A1365"/>
    <w:rsid w:val="5F5B0F49"/>
    <w:rsid w:val="5F5CF3E8"/>
    <w:rsid w:val="5F630C8D"/>
    <w:rsid w:val="5F6773D1"/>
    <w:rsid w:val="5F69CDCB"/>
    <w:rsid w:val="5F6B6B9B"/>
    <w:rsid w:val="5F7D2B8E"/>
    <w:rsid w:val="5F8B6BAE"/>
    <w:rsid w:val="5F8C319C"/>
    <w:rsid w:val="5F8D167C"/>
    <w:rsid w:val="5F8FF5D3"/>
    <w:rsid w:val="5FA13D2F"/>
    <w:rsid w:val="5FA2ECFE"/>
    <w:rsid w:val="5FABB256"/>
    <w:rsid w:val="5FB8B8A7"/>
    <w:rsid w:val="5FBA324D"/>
    <w:rsid w:val="5FC5F999"/>
    <w:rsid w:val="5FCB6D99"/>
    <w:rsid w:val="5FCC185C"/>
    <w:rsid w:val="5FCF7225"/>
    <w:rsid w:val="5FD1DCB8"/>
    <w:rsid w:val="5FDF4DD0"/>
    <w:rsid w:val="5FE7E47A"/>
    <w:rsid w:val="5FF03145"/>
    <w:rsid w:val="5FFCF9D2"/>
    <w:rsid w:val="600700AF"/>
    <w:rsid w:val="60137221"/>
    <w:rsid w:val="6019E503"/>
    <w:rsid w:val="603E605F"/>
    <w:rsid w:val="60421B21"/>
    <w:rsid w:val="6042B50D"/>
    <w:rsid w:val="6052AFE6"/>
    <w:rsid w:val="60577D22"/>
    <w:rsid w:val="6057A8EB"/>
    <w:rsid w:val="6057B115"/>
    <w:rsid w:val="60722421"/>
    <w:rsid w:val="607D3A8A"/>
    <w:rsid w:val="60813BA2"/>
    <w:rsid w:val="6099DC6D"/>
    <w:rsid w:val="609C4569"/>
    <w:rsid w:val="60B1A6A0"/>
    <w:rsid w:val="60BC4235"/>
    <w:rsid w:val="60BE7756"/>
    <w:rsid w:val="60CF71A9"/>
    <w:rsid w:val="60D0D0B2"/>
    <w:rsid w:val="60D14160"/>
    <w:rsid w:val="60D1EA76"/>
    <w:rsid w:val="60D5BAE6"/>
    <w:rsid w:val="60EE6B23"/>
    <w:rsid w:val="60F70339"/>
    <w:rsid w:val="60FC8CEA"/>
    <w:rsid w:val="611567A8"/>
    <w:rsid w:val="611C83CB"/>
    <w:rsid w:val="612994E8"/>
    <w:rsid w:val="612E079E"/>
    <w:rsid w:val="613EBD5F"/>
    <w:rsid w:val="614352E0"/>
    <w:rsid w:val="61460EFC"/>
    <w:rsid w:val="61506CA8"/>
    <w:rsid w:val="6155D0D8"/>
    <w:rsid w:val="6157E5BC"/>
    <w:rsid w:val="61745700"/>
    <w:rsid w:val="61910551"/>
    <w:rsid w:val="61926C97"/>
    <w:rsid w:val="61A360E8"/>
    <w:rsid w:val="61B8FAB4"/>
    <w:rsid w:val="61BBE9D2"/>
    <w:rsid w:val="61BD7497"/>
    <w:rsid w:val="61BE7BAB"/>
    <w:rsid w:val="61C40402"/>
    <w:rsid w:val="61C5A9A1"/>
    <w:rsid w:val="61CB42D5"/>
    <w:rsid w:val="61D567A9"/>
    <w:rsid w:val="61DC75F2"/>
    <w:rsid w:val="61DF5226"/>
    <w:rsid w:val="61F505DD"/>
    <w:rsid w:val="61FA9E38"/>
    <w:rsid w:val="6202F8E5"/>
    <w:rsid w:val="620AA47F"/>
    <w:rsid w:val="620C2E4E"/>
    <w:rsid w:val="620FC173"/>
    <w:rsid w:val="6213BD2A"/>
    <w:rsid w:val="621567FC"/>
    <w:rsid w:val="621DA83E"/>
    <w:rsid w:val="6225AFD3"/>
    <w:rsid w:val="622C5F46"/>
    <w:rsid w:val="6239C345"/>
    <w:rsid w:val="6242E123"/>
    <w:rsid w:val="624AFF1B"/>
    <w:rsid w:val="624BC5D6"/>
    <w:rsid w:val="626D6B4B"/>
    <w:rsid w:val="6270F9F0"/>
    <w:rsid w:val="62775551"/>
    <w:rsid w:val="6279C49D"/>
    <w:rsid w:val="6285215D"/>
    <w:rsid w:val="62887764"/>
    <w:rsid w:val="628AE640"/>
    <w:rsid w:val="628FDA28"/>
    <w:rsid w:val="62966C14"/>
    <w:rsid w:val="629E8801"/>
    <w:rsid w:val="629E92F1"/>
    <w:rsid w:val="62A14629"/>
    <w:rsid w:val="62AAB51D"/>
    <w:rsid w:val="62AFCDC8"/>
    <w:rsid w:val="62B8384F"/>
    <w:rsid w:val="62BE351A"/>
    <w:rsid w:val="62C1EA79"/>
    <w:rsid w:val="62CB996A"/>
    <w:rsid w:val="62D6FA61"/>
    <w:rsid w:val="62E37798"/>
    <w:rsid w:val="62E48C3A"/>
    <w:rsid w:val="62E725EE"/>
    <w:rsid w:val="62E9A8FD"/>
    <w:rsid w:val="62EB46B9"/>
    <w:rsid w:val="62F0C608"/>
    <w:rsid w:val="62F2A154"/>
    <w:rsid w:val="62F4BA51"/>
    <w:rsid w:val="62F6BA60"/>
    <w:rsid w:val="6306FE57"/>
    <w:rsid w:val="630CEAA7"/>
    <w:rsid w:val="632CD5B2"/>
    <w:rsid w:val="632E31A7"/>
    <w:rsid w:val="632F5845"/>
    <w:rsid w:val="632FD89C"/>
    <w:rsid w:val="6333AF06"/>
    <w:rsid w:val="63397A8B"/>
    <w:rsid w:val="6341B07D"/>
    <w:rsid w:val="634FDF84"/>
    <w:rsid w:val="635023C3"/>
    <w:rsid w:val="63548044"/>
    <w:rsid w:val="6357E743"/>
    <w:rsid w:val="635D6018"/>
    <w:rsid w:val="6367089F"/>
    <w:rsid w:val="6367216F"/>
    <w:rsid w:val="6369D3D0"/>
    <w:rsid w:val="636C32A3"/>
    <w:rsid w:val="636E5761"/>
    <w:rsid w:val="637DF7D1"/>
    <w:rsid w:val="639DA327"/>
    <w:rsid w:val="639E05BB"/>
    <w:rsid w:val="63A5B57C"/>
    <w:rsid w:val="63A72A52"/>
    <w:rsid w:val="63AEB9ED"/>
    <w:rsid w:val="63B97CA4"/>
    <w:rsid w:val="63BBDA89"/>
    <w:rsid w:val="63DC2ED6"/>
    <w:rsid w:val="63F3E2F7"/>
    <w:rsid w:val="63F4ECD1"/>
    <w:rsid w:val="63F5A084"/>
    <w:rsid w:val="63F5CD82"/>
    <w:rsid w:val="640728A1"/>
    <w:rsid w:val="640DF7B3"/>
    <w:rsid w:val="641D36A5"/>
    <w:rsid w:val="641E0BC2"/>
    <w:rsid w:val="6420D46C"/>
    <w:rsid w:val="64211728"/>
    <w:rsid w:val="6428FE5D"/>
    <w:rsid w:val="642C9392"/>
    <w:rsid w:val="643D208B"/>
    <w:rsid w:val="6447CD08"/>
    <w:rsid w:val="64487314"/>
    <w:rsid w:val="6450042E"/>
    <w:rsid w:val="6454C0EB"/>
    <w:rsid w:val="645DBADA"/>
    <w:rsid w:val="645EEDD8"/>
    <w:rsid w:val="645FE106"/>
    <w:rsid w:val="64630EC3"/>
    <w:rsid w:val="6478BDCA"/>
    <w:rsid w:val="647E53E5"/>
    <w:rsid w:val="6482F64F"/>
    <w:rsid w:val="648BC4EC"/>
    <w:rsid w:val="648C90B6"/>
    <w:rsid w:val="6491142A"/>
    <w:rsid w:val="649861A0"/>
    <w:rsid w:val="64A4CBD3"/>
    <w:rsid w:val="64B245F7"/>
    <w:rsid w:val="64B4DEF0"/>
    <w:rsid w:val="64BE88C8"/>
    <w:rsid w:val="64C1B752"/>
    <w:rsid w:val="64C48C7E"/>
    <w:rsid w:val="64C90C51"/>
    <w:rsid w:val="64C9E596"/>
    <w:rsid w:val="64D1EE5D"/>
    <w:rsid w:val="64E19868"/>
    <w:rsid w:val="64E9390A"/>
    <w:rsid w:val="64F7DD82"/>
    <w:rsid w:val="64FD582D"/>
    <w:rsid w:val="64FF2193"/>
    <w:rsid w:val="650605E0"/>
    <w:rsid w:val="6509FD71"/>
    <w:rsid w:val="650B2D3D"/>
    <w:rsid w:val="651B823F"/>
    <w:rsid w:val="651EF0A5"/>
    <w:rsid w:val="65275D17"/>
    <w:rsid w:val="6528903F"/>
    <w:rsid w:val="652E73CE"/>
    <w:rsid w:val="65397767"/>
    <w:rsid w:val="653A30CA"/>
    <w:rsid w:val="653F8172"/>
    <w:rsid w:val="654DD8A3"/>
    <w:rsid w:val="654EF7E9"/>
    <w:rsid w:val="65502475"/>
    <w:rsid w:val="655762E8"/>
    <w:rsid w:val="65696337"/>
    <w:rsid w:val="657522AB"/>
    <w:rsid w:val="6577FF37"/>
    <w:rsid w:val="657C31EB"/>
    <w:rsid w:val="657D420F"/>
    <w:rsid w:val="657EEE71"/>
    <w:rsid w:val="65842B33"/>
    <w:rsid w:val="6589E432"/>
    <w:rsid w:val="658C146B"/>
    <w:rsid w:val="658FB358"/>
    <w:rsid w:val="6594474C"/>
    <w:rsid w:val="659545CC"/>
    <w:rsid w:val="65A2F60B"/>
    <w:rsid w:val="65A45B7D"/>
    <w:rsid w:val="65B4F2E1"/>
    <w:rsid w:val="65C0E90E"/>
    <w:rsid w:val="65CA4FE4"/>
    <w:rsid w:val="65E879B6"/>
    <w:rsid w:val="65F73CBD"/>
    <w:rsid w:val="65F8B010"/>
    <w:rsid w:val="66024EF1"/>
    <w:rsid w:val="660B1B20"/>
    <w:rsid w:val="660E1B98"/>
    <w:rsid w:val="661411FD"/>
    <w:rsid w:val="66185D29"/>
    <w:rsid w:val="662DD640"/>
    <w:rsid w:val="662FEBFB"/>
    <w:rsid w:val="663130BF"/>
    <w:rsid w:val="6634FCB7"/>
    <w:rsid w:val="663B8C7B"/>
    <w:rsid w:val="66446F02"/>
    <w:rsid w:val="66504477"/>
    <w:rsid w:val="66546210"/>
    <w:rsid w:val="6663AD66"/>
    <w:rsid w:val="66673C31"/>
    <w:rsid w:val="6673E2B9"/>
    <w:rsid w:val="667B4F0A"/>
    <w:rsid w:val="668AFE69"/>
    <w:rsid w:val="668E95D4"/>
    <w:rsid w:val="669530F6"/>
    <w:rsid w:val="66954303"/>
    <w:rsid w:val="669E3752"/>
    <w:rsid w:val="66A08009"/>
    <w:rsid w:val="66A60507"/>
    <w:rsid w:val="66A93B8D"/>
    <w:rsid w:val="66B17996"/>
    <w:rsid w:val="66B933D9"/>
    <w:rsid w:val="66C9846C"/>
    <w:rsid w:val="66D91839"/>
    <w:rsid w:val="66F1C9F5"/>
    <w:rsid w:val="66FAC67B"/>
    <w:rsid w:val="6705CE3B"/>
    <w:rsid w:val="67197F19"/>
    <w:rsid w:val="671A4319"/>
    <w:rsid w:val="671B9394"/>
    <w:rsid w:val="6725E89A"/>
    <w:rsid w:val="672EF463"/>
    <w:rsid w:val="67328BF5"/>
    <w:rsid w:val="6735F4C8"/>
    <w:rsid w:val="67413A14"/>
    <w:rsid w:val="674AADCC"/>
    <w:rsid w:val="675E7CC3"/>
    <w:rsid w:val="675EF831"/>
    <w:rsid w:val="6768C456"/>
    <w:rsid w:val="6776EB8F"/>
    <w:rsid w:val="6780FC77"/>
    <w:rsid w:val="67833EEB"/>
    <w:rsid w:val="678FED35"/>
    <w:rsid w:val="679AD10C"/>
    <w:rsid w:val="679BF8FA"/>
    <w:rsid w:val="679D4922"/>
    <w:rsid w:val="679D5141"/>
    <w:rsid w:val="679DBE32"/>
    <w:rsid w:val="67AA7EB5"/>
    <w:rsid w:val="67B1BE95"/>
    <w:rsid w:val="67B26449"/>
    <w:rsid w:val="67B29E11"/>
    <w:rsid w:val="67C32505"/>
    <w:rsid w:val="67C70B93"/>
    <w:rsid w:val="67C94933"/>
    <w:rsid w:val="67CBC02C"/>
    <w:rsid w:val="67D4B680"/>
    <w:rsid w:val="67D5BB86"/>
    <w:rsid w:val="67DC2C21"/>
    <w:rsid w:val="67EC18CE"/>
    <w:rsid w:val="67EFA6E0"/>
    <w:rsid w:val="67EFE139"/>
    <w:rsid w:val="680133BE"/>
    <w:rsid w:val="680E3168"/>
    <w:rsid w:val="6814529B"/>
    <w:rsid w:val="681BDB14"/>
    <w:rsid w:val="68236BC4"/>
    <w:rsid w:val="68349F61"/>
    <w:rsid w:val="68379600"/>
    <w:rsid w:val="683C9E42"/>
    <w:rsid w:val="683DE595"/>
    <w:rsid w:val="683DEDC1"/>
    <w:rsid w:val="68405100"/>
    <w:rsid w:val="684594FA"/>
    <w:rsid w:val="684645B6"/>
    <w:rsid w:val="684F38E8"/>
    <w:rsid w:val="6854E504"/>
    <w:rsid w:val="6857D835"/>
    <w:rsid w:val="6859BE69"/>
    <w:rsid w:val="685A3FFB"/>
    <w:rsid w:val="685D82D4"/>
    <w:rsid w:val="685DD981"/>
    <w:rsid w:val="685E577D"/>
    <w:rsid w:val="68669226"/>
    <w:rsid w:val="686B6291"/>
    <w:rsid w:val="6871133F"/>
    <w:rsid w:val="6883BF3E"/>
    <w:rsid w:val="6887C95B"/>
    <w:rsid w:val="688D8C27"/>
    <w:rsid w:val="68908982"/>
    <w:rsid w:val="68BE413D"/>
    <w:rsid w:val="68C059AC"/>
    <w:rsid w:val="68C29396"/>
    <w:rsid w:val="68C2E7BA"/>
    <w:rsid w:val="68D11B6A"/>
    <w:rsid w:val="68D556B0"/>
    <w:rsid w:val="68DC8A9D"/>
    <w:rsid w:val="68E2ED63"/>
    <w:rsid w:val="68ECF395"/>
    <w:rsid w:val="68ECFEE3"/>
    <w:rsid w:val="68FD27FA"/>
    <w:rsid w:val="69000B59"/>
    <w:rsid w:val="6902D5AF"/>
    <w:rsid w:val="691CB149"/>
    <w:rsid w:val="6926FCD2"/>
    <w:rsid w:val="692A0131"/>
    <w:rsid w:val="693219D6"/>
    <w:rsid w:val="69448BCE"/>
    <w:rsid w:val="694D5A8D"/>
    <w:rsid w:val="694E6E72"/>
    <w:rsid w:val="695AFCBD"/>
    <w:rsid w:val="695FD073"/>
    <w:rsid w:val="69695488"/>
    <w:rsid w:val="69747547"/>
    <w:rsid w:val="69825C4C"/>
    <w:rsid w:val="69837043"/>
    <w:rsid w:val="6984BDA2"/>
    <w:rsid w:val="698F897B"/>
    <w:rsid w:val="6992E35C"/>
    <w:rsid w:val="69961BD2"/>
    <w:rsid w:val="69A8E2AA"/>
    <w:rsid w:val="69B468F7"/>
    <w:rsid w:val="69B834C1"/>
    <w:rsid w:val="69BAE268"/>
    <w:rsid w:val="69C6F62A"/>
    <w:rsid w:val="69CD5611"/>
    <w:rsid w:val="69E93A08"/>
    <w:rsid w:val="69EC87C0"/>
    <w:rsid w:val="6A033FC2"/>
    <w:rsid w:val="6A07A8DD"/>
    <w:rsid w:val="6A0CE88A"/>
    <w:rsid w:val="6A0DD0AB"/>
    <w:rsid w:val="6A14FD74"/>
    <w:rsid w:val="6A169965"/>
    <w:rsid w:val="6A1A5322"/>
    <w:rsid w:val="6A28F4AF"/>
    <w:rsid w:val="6A3206BA"/>
    <w:rsid w:val="6A346042"/>
    <w:rsid w:val="6A38AF3E"/>
    <w:rsid w:val="6A61FA1D"/>
    <w:rsid w:val="6A642C50"/>
    <w:rsid w:val="6A8C06EF"/>
    <w:rsid w:val="6AA3EE1F"/>
    <w:rsid w:val="6AA52D74"/>
    <w:rsid w:val="6AA6A0C9"/>
    <w:rsid w:val="6AABEE36"/>
    <w:rsid w:val="6AB453D0"/>
    <w:rsid w:val="6AB5C781"/>
    <w:rsid w:val="6AB7454B"/>
    <w:rsid w:val="6ABFFE4A"/>
    <w:rsid w:val="6ACCFC5E"/>
    <w:rsid w:val="6ADBA48D"/>
    <w:rsid w:val="6AE7B426"/>
    <w:rsid w:val="6AED5BEC"/>
    <w:rsid w:val="6AF7D796"/>
    <w:rsid w:val="6AF83BFF"/>
    <w:rsid w:val="6B0B5E3F"/>
    <w:rsid w:val="6B374338"/>
    <w:rsid w:val="6B387D8B"/>
    <w:rsid w:val="6B42BEAF"/>
    <w:rsid w:val="6B486722"/>
    <w:rsid w:val="6B4990B7"/>
    <w:rsid w:val="6B4AA3D1"/>
    <w:rsid w:val="6B50CEC8"/>
    <w:rsid w:val="6B537BD6"/>
    <w:rsid w:val="6B59344C"/>
    <w:rsid w:val="6B62E524"/>
    <w:rsid w:val="6B7E8D9F"/>
    <w:rsid w:val="6B7F5B24"/>
    <w:rsid w:val="6B843775"/>
    <w:rsid w:val="6B8B637E"/>
    <w:rsid w:val="6B8C85C6"/>
    <w:rsid w:val="6B8F751B"/>
    <w:rsid w:val="6B916AC3"/>
    <w:rsid w:val="6B9B3F97"/>
    <w:rsid w:val="6BA58944"/>
    <w:rsid w:val="6BA9918C"/>
    <w:rsid w:val="6BB10541"/>
    <w:rsid w:val="6BB50A95"/>
    <w:rsid w:val="6BC94A28"/>
    <w:rsid w:val="6BD83738"/>
    <w:rsid w:val="6BD880B3"/>
    <w:rsid w:val="6BE7197D"/>
    <w:rsid w:val="6BF43558"/>
    <w:rsid w:val="6BFDA51C"/>
    <w:rsid w:val="6C063715"/>
    <w:rsid w:val="6C0C0617"/>
    <w:rsid w:val="6C0DD02C"/>
    <w:rsid w:val="6C1FA02E"/>
    <w:rsid w:val="6C20A147"/>
    <w:rsid w:val="6C25A6FF"/>
    <w:rsid w:val="6C275781"/>
    <w:rsid w:val="6C32506A"/>
    <w:rsid w:val="6C3A8AC1"/>
    <w:rsid w:val="6C3DF15B"/>
    <w:rsid w:val="6C408CD4"/>
    <w:rsid w:val="6C5C0F14"/>
    <w:rsid w:val="6C5F685E"/>
    <w:rsid w:val="6C65B221"/>
    <w:rsid w:val="6C70BA45"/>
    <w:rsid w:val="6C7D797A"/>
    <w:rsid w:val="6C855E2F"/>
    <w:rsid w:val="6C890265"/>
    <w:rsid w:val="6C89353F"/>
    <w:rsid w:val="6C9B59E7"/>
    <w:rsid w:val="6CA29AD5"/>
    <w:rsid w:val="6CBD49D7"/>
    <w:rsid w:val="6CC09205"/>
    <w:rsid w:val="6CC4F004"/>
    <w:rsid w:val="6CCA0577"/>
    <w:rsid w:val="6CCB7288"/>
    <w:rsid w:val="6CE1651E"/>
    <w:rsid w:val="6CEA0516"/>
    <w:rsid w:val="6CED5B67"/>
    <w:rsid w:val="6CF7C9E7"/>
    <w:rsid w:val="6CF9BD57"/>
    <w:rsid w:val="6CFC1FB2"/>
    <w:rsid w:val="6D062757"/>
    <w:rsid w:val="6D10B616"/>
    <w:rsid w:val="6D258B79"/>
    <w:rsid w:val="6D4C76D2"/>
    <w:rsid w:val="6D4D18E2"/>
    <w:rsid w:val="6D55CAB7"/>
    <w:rsid w:val="6D5EFC5F"/>
    <w:rsid w:val="6D602B01"/>
    <w:rsid w:val="6D67F081"/>
    <w:rsid w:val="6D68C6C3"/>
    <w:rsid w:val="6D712E30"/>
    <w:rsid w:val="6D7EDD00"/>
    <w:rsid w:val="6D807282"/>
    <w:rsid w:val="6D8E6783"/>
    <w:rsid w:val="6D95B80C"/>
    <w:rsid w:val="6DAC4825"/>
    <w:rsid w:val="6DAD1B94"/>
    <w:rsid w:val="6DB39C6B"/>
    <w:rsid w:val="6DC88172"/>
    <w:rsid w:val="6DC8B29B"/>
    <w:rsid w:val="6DE53F7C"/>
    <w:rsid w:val="6DEEC226"/>
    <w:rsid w:val="6DF16D9F"/>
    <w:rsid w:val="6DF7092F"/>
    <w:rsid w:val="6DFB38BF"/>
    <w:rsid w:val="6E0C2FCC"/>
    <w:rsid w:val="6E0FFDEF"/>
    <w:rsid w:val="6E18FA97"/>
    <w:rsid w:val="6E20102E"/>
    <w:rsid w:val="6E41F0D4"/>
    <w:rsid w:val="6E4C58D1"/>
    <w:rsid w:val="6E4CCCDE"/>
    <w:rsid w:val="6E54F731"/>
    <w:rsid w:val="6E5726E2"/>
    <w:rsid w:val="6E5CE469"/>
    <w:rsid w:val="6E5FDCC3"/>
    <w:rsid w:val="6E7A995D"/>
    <w:rsid w:val="6E835759"/>
    <w:rsid w:val="6E843DBF"/>
    <w:rsid w:val="6E895932"/>
    <w:rsid w:val="6E8ED94A"/>
    <w:rsid w:val="6E92AD83"/>
    <w:rsid w:val="6E981E21"/>
    <w:rsid w:val="6EA13A43"/>
    <w:rsid w:val="6EA62195"/>
    <w:rsid w:val="6EA69EBE"/>
    <w:rsid w:val="6EAC0873"/>
    <w:rsid w:val="6EB73F9B"/>
    <w:rsid w:val="6EB747BA"/>
    <w:rsid w:val="6EBDF85E"/>
    <w:rsid w:val="6EC76E3C"/>
    <w:rsid w:val="6EC7EAB3"/>
    <w:rsid w:val="6ECD130E"/>
    <w:rsid w:val="6ED139F4"/>
    <w:rsid w:val="6ED1B7E6"/>
    <w:rsid w:val="6ED3C525"/>
    <w:rsid w:val="6ED7356E"/>
    <w:rsid w:val="6EE2021E"/>
    <w:rsid w:val="6EE2FCCA"/>
    <w:rsid w:val="6EE84733"/>
    <w:rsid w:val="6EE87BDA"/>
    <w:rsid w:val="6EE881C6"/>
    <w:rsid w:val="6EF86013"/>
    <w:rsid w:val="6F03DA29"/>
    <w:rsid w:val="6F06FE3D"/>
    <w:rsid w:val="6F09F615"/>
    <w:rsid w:val="6F0B73B1"/>
    <w:rsid w:val="6F0C6D42"/>
    <w:rsid w:val="6F1CC885"/>
    <w:rsid w:val="6F1EBA3F"/>
    <w:rsid w:val="6F277178"/>
    <w:rsid w:val="6F2A37E4"/>
    <w:rsid w:val="6F3065C0"/>
    <w:rsid w:val="6F4D4682"/>
    <w:rsid w:val="6F56CCA7"/>
    <w:rsid w:val="6F5EA218"/>
    <w:rsid w:val="6F633187"/>
    <w:rsid w:val="6F739EE7"/>
    <w:rsid w:val="6F76BE91"/>
    <w:rsid w:val="6F7CE95A"/>
    <w:rsid w:val="6F8BC50A"/>
    <w:rsid w:val="6F92460F"/>
    <w:rsid w:val="6F9CA814"/>
    <w:rsid w:val="6F9FA38B"/>
    <w:rsid w:val="6FA0A05B"/>
    <w:rsid w:val="6FA901E5"/>
    <w:rsid w:val="6FB14323"/>
    <w:rsid w:val="6FC5C771"/>
    <w:rsid w:val="6FC6CEB2"/>
    <w:rsid w:val="6FCFD285"/>
    <w:rsid w:val="6FCFE4C2"/>
    <w:rsid w:val="6FE534B8"/>
    <w:rsid w:val="6FE5C822"/>
    <w:rsid w:val="6FE60C2D"/>
    <w:rsid w:val="6FECC665"/>
    <w:rsid w:val="6FECF936"/>
    <w:rsid w:val="6FF0735E"/>
    <w:rsid w:val="6FFD2748"/>
    <w:rsid w:val="7009F9A9"/>
    <w:rsid w:val="700F7A9A"/>
    <w:rsid w:val="7013C152"/>
    <w:rsid w:val="70162B7D"/>
    <w:rsid w:val="7017CC3D"/>
    <w:rsid w:val="70216A42"/>
    <w:rsid w:val="70243B41"/>
    <w:rsid w:val="70247EA1"/>
    <w:rsid w:val="7025D51C"/>
    <w:rsid w:val="70637C16"/>
    <w:rsid w:val="7066C98D"/>
    <w:rsid w:val="707C2A0E"/>
    <w:rsid w:val="70853EF2"/>
    <w:rsid w:val="7088701A"/>
    <w:rsid w:val="708CB925"/>
    <w:rsid w:val="7095DC57"/>
    <w:rsid w:val="70A191A9"/>
    <w:rsid w:val="70A65A31"/>
    <w:rsid w:val="70A9618A"/>
    <w:rsid w:val="70ABB6C0"/>
    <w:rsid w:val="70ABF110"/>
    <w:rsid w:val="70AED2E9"/>
    <w:rsid w:val="70B202A2"/>
    <w:rsid w:val="70C6FF79"/>
    <w:rsid w:val="70C995C7"/>
    <w:rsid w:val="70D54704"/>
    <w:rsid w:val="70D83E5E"/>
    <w:rsid w:val="70D8D1A3"/>
    <w:rsid w:val="70EE525F"/>
    <w:rsid w:val="7109B0BA"/>
    <w:rsid w:val="711A5E99"/>
    <w:rsid w:val="712BA3FF"/>
    <w:rsid w:val="712EB161"/>
    <w:rsid w:val="713C02F1"/>
    <w:rsid w:val="71411A7D"/>
    <w:rsid w:val="714518F1"/>
    <w:rsid w:val="714520C9"/>
    <w:rsid w:val="71681B2E"/>
    <w:rsid w:val="716A2D14"/>
    <w:rsid w:val="716A8D99"/>
    <w:rsid w:val="7176788D"/>
    <w:rsid w:val="717BCEB3"/>
    <w:rsid w:val="7195BB35"/>
    <w:rsid w:val="719FE481"/>
    <w:rsid w:val="71A42874"/>
    <w:rsid w:val="71A57967"/>
    <w:rsid w:val="71A83D83"/>
    <w:rsid w:val="71B59574"/>
    <w:rsid w:val="71BE9442"/>
    <w:rsid w:val="71D93029"/>
    <w:rsid w:val="71D955B6"/>
    <w:rsid w:val="71E03847"/>
    <w:rsid w:val="71EA8697"/>
    <w:rsid w:val="71FF4C77"/>
    <w:rsid w:val="72047A51"/>
    <w:rsid w:val="721F9A72"/>
    <w:rsid w:val="7231A523"/>
    <w:rsid w:val="7239D0C8"/>
    <w:rsid w:val="723FC064"/>
    <w:rsid w:val="725142A7"/>
    <w:rsid w:val="725C2F23"/>
    <w:rsid w:val="7260AE88"/>
    <w:rsid w:val="7263B493"/>
    <w:rsid w:val="7277C9A9"/>
    <w:rsid w:val="727FF6ED"/>
    <w:rsid w:val="728C1054"/>
    <w:rsid w:val="729F2298"/>
    <w:rsid w:val="72A203D4"/>
    <w:rsid w:val="72A879EA"/>
    <w:rsid w:val="72AB9531"/>
    <w:rsid w:val="72AFE357"/>
    <w:rsid w:val="72B8B400"/>
    <w:rsid w:val="72BF1520"/>
    <w:rsid w:val="72BFC1E1"/>
    <w:rsid w:val="72C9FBFE"/>
    <w:rsid w:val="72CDDF18"/>
    <w:rsid w:val="72DF33D5"/>
    <w:rsid w:val="72E0F7BD"/>
    <w:rsid w:val="72E8790E"/>
    <w:rsid w:val="72F4869B"/>
    <w:rsid w:val="73005182"/>
    <w:rsid w:val="73048C77"/>
    <w:rsid w:val="730B136F"/>
    <w:rsid w:val="731561F7"/>
    <w:rsid w:val="73243CB5"/>
    <w:rsid w:val="733418C1"/>
    <w:rsid w:val="7335850F"/>
    <w:rsid w:val="733E098C"/>
    <w:rsid w:val="73493CBB"/>
    <w:rsid w:val="7362CE4C"/>
    <w:rsid w:val="7366AAF3"/>
    <w:rsid w:val="736EBCC3"/>
    <w:rsid w:val="7372E652"/>
    <w:rsid w:val="7379029B"/>
    <w:rsid w:val="737C3C01"/>
    <w:rsid w:val="7381895E"/>
    <w:rsid w:val="7384B582"/>
    <w:rsid w:val="7389FAB7"/>
    <w:rsid w:val="739AD1EB"/>
    <w:rsid w:val="73A30A5E"/>
    <w:rsid w:val="73B01653"/>
    <w:rsid w:val="73B7382E"/>
    <w:rsid w:val="73B81201"/>
    <w:rsid w:val="73C54F11"/>
    <w:rsid w:val="73CFC496"/>
    <w:rsid w:val="73DE8625"/>
    <w:rsid w:val="73E9EF2F"/>
    <w:rsid w:val="73F4F12C"/>
    <w:rsid w:val="73FE71A5"/>
    <w:rsid w:val="74051CEA"/>
    <w:rsid w:val="7415CB2B"/>
    <w:rsid w:val="74198152"/>
    <w:rsid w:val="742096FC"/>
    <w:rsid w:val="742E0895"/>
    <w:rsid w:val="7436BC6F"/>
    <w:rsid w:val="74375B73"/>
    <w:rsid w:val="7439F5AB"/>
    <w:rsid w:val="74532951"/>
    <w:rsid w:val="74611185"/>
    <w:rsid w:val="7467CF95"/>
    <w:rsid w:val="7467D9EA"/>
    <w:rsid w:val="746CCC80"/>
    <w:rsid w:val="74708D0E"/>
    <w:rsid w:val="74729DC6"/>
    <w:rsid w:val="747D1631"/>
    <w:rsid w:val="7481C7E5"/>
    <w:rsid w:val="7489ADCB"/>
    <w:rsid w:val="748FC195"/>
    <w:rsid w:val="7491591E"/>
    <w:rsid w:val="74A6E3D0"/>
    <w:rsid w:val="74A8FC4B"/>
    <w:rsid w:val="74A9447B"/>
    <w:rsid w:val="74B4B59C"/>
    <w:rsid w:val="74C8D1F0"/>
    <w:rsid w:val="74CA2A33"/>
    <w:rsid w:val="74CC4121"/>
    <w:rsid w:val="74CE3E5F"/>
    <w:rsid w:val="74D19F22"/>
    <w:rsid w:val="74DA404E"/>
    <w:rsid w:val="74E3641F"/>
    <w:rsid w:val="74E6B763"/>
    <w:rsid w:val="74EC98F9"/>
    <w:rsid w:val="74FD2F9C"/>
    <w:rsid w:val="7505D07D"/>
    <w:rsid w:val="7508768C"/>
    <w:rsid w:val="750F6BA9"/>
    <w:rsid w:val="751486C6"/>
    <w:rsid w:val="752E04A0"/>
    <w:rsid w:val="7533744F"/>
    <w:rsid w:val="753B959C"/>
    <w:rsid w:val="754646F3"/>
    <w:rsid w:val="7551B3C5"/>
    <w:rsid w:val="755256E4"/>
    <w:rsid w:val="755F979A"/>
    <w:rsid w:val="756F6711"/>
    <w:rsid w:val="757D39C7"/>
    <w:rsid w:val="758447A9"/>
    <w:rsid w:val="75921E8F"/>
    <w:rsid w:val="75941D00"/>
    <w:rsid w:val="759AAED9"/>
    <w:rsid w:val="75AC9127"/>
    <w:rsid w:val="75B29FA3"/>
    <w:rsid w:val="75B328B9"/>
    <w:rsid w:val="75BDDCCA"/>
    <w:rsid w:val="75CA084F"/>
    <w:rsid w:val="75D9F75D"/>
    <w:rsid w:val="75E186C6"/>
    <w:rsid w:val="75EC932C"/>
    <w:rsid w:val="75EF9F99"/>
    <w:rsid w:val="75F46F33"/>
    <w:rsid w:val="75F6E976"/>
    <w:rsid w:val="75F7FA47"/>
    <w:rsid w:val="7604770B"/>
    <w:rsid w:val="76063432"/>
    <w:rsid w:val="76068A39"/>
    <w:rsid w:val="760FAF05"/>
    <w:rsid w:val="761DC5E8"/>
    <w:rsid w:val="761E32EF"/>
    <w:rsid w:val="761EF953"/>
    <w:rsid w:val="7626EDD6"/>
    <w:rsid w:val="762B2C78"/>
    <w:rsid w:val="76350222"/>
    <w:rsid w:val="763A0DA3"/>
    <w:rsid w:val="76404780"/>
    <w:rsid w:val="7644B8BA"/>
    <w:rsid w:val="76478521"/>
    <w:rsid w:val="76565B07"/>
    <w:rsid w:val="7657ED45"/>
    <w:rsid w:val="766B868C"/>
    <w:rsid w:val="766C9669"/>
    <w:rsid w:val="766D16B1"/>
    <w:rsid w:val="7675A2B5"/>
    <w:rsid w:val="7676C494"/>
    <w:rsid w:val="767E9E2B"/>
    <w:rsid w:val="767F29EE"/>
    <w:rsid w:val="768436D7"/>
    <w:rsid w:val="7695CA6D"/>
    <w:rsid w:val="769B0A8B"/>
    <w:rsid w:val="769F7AC3"/>
    <w:rsid w:val="76AAF138"/>
    <w:rsid w:val="76B7FE04"/>
    <w:rsid w:val="76BC060D"/>
    <w:rsid w:val="76C45BF7"/>
    <w:rsid w:val="76C839D8"/>
    <w:rsid w:val="76CE519D"/>
    <w:rsid w:val="76D0E4D0"/>
    <w:rsid w:val="76DAAB20"/>
    <w:rsid w:val="76E7E638"/>
    <w:rsid w:val="76EB7C00"/>
    <w:rsid w:val="76EEA126"/>
    <w:rsid w:val="76F23721"/>
    <w:rsid w:val="77009B6C"/>
    <w:rsid w:val="77036A31"/>
    <w:rsid w:val="7705805A"/>
    <w:rsid w:val="77067A7E"/>
    <w:rsid w:val="770E44CA"/>
    <w:rsid w:val="7710CB05"/>
    <w:rsid w:val="771D6CEC"/>
    <w:rsid w:val="7732D6FC"/>
    <w:rsid w:val="7735E94E"/>
    <w:rsid w:val="77407D25"/>
    <w:rsid w:val="77521BFE"/>
    <w:rsid w:val="775837BE"/>
    <w:rsid w:val="77594846"/>
    <w:rsid w:val="775DC6FE"/>
    <w:rsid w:val="775F9B74"/>
    <w:rsid w:val="776595FA"/>
    <w:rsid w:val="776F7960"/>
    <w:rsid w:val="7775A008"/>
    <w:rsid w:val="7778A466"/>
    <w:rsid w:val="777DB4FC"/>
    <w:rsid w:val="7781967F"/>
    <w:rsid w:val="77821BB7"/>
    <w:rsid w:val="77954A14"/>
    <w:rsid w:val="779622B1"/>
    <w:rsid w:val="779679A3"/>
    <w:rsid w:val="77B65238"/>
    <w:rsid w:val="77B9BEB2"/>
    <w:rsid w:val="77BA4CBE"/>
    <w:rsid w:val="77C02636"/>
    <w:rsid w:val="77C1BC0D"/>
    <w:rsid w:val="77C60628"/>
    <w:rsid w:val="77C7588A"/>
    <w:rsid w:val="77D98772"/>
    <w:rsid w:val="77D9DD5C"/>
    <w:rsid w:val="77E1C5E6"/>
    <w:rsid w:val="77E7DF5A"/>
    <w:rsid w:val="77E8BF78"/>
    <w:rsid w:val="77F8CFC2"/>
    <w:rsid w:val="77FF263A"/>
    <w:rsid w:val="781615F9"/>
    <w:rsid w:val="78179816"/>
    <w:rsid w:val="7819B7FB"/>
    <w:rsid w:val="7821F817"/>
    <w:rsid w:val="782619BE"/>
    <w:rsid w:val="7838D644"/>
    <w:rsid w:val="783B5170"/>
    <w:rsid w:val="784502EA"/>
    <w:rsid w:val="78505604"/>
    <w:rsid w:val="78543564"/>
    <w:rsid w:val="78625AB1"/>
    <w:rsid w:val="78632F6B"/>
    <w:rsid w:val="786AC170"/>
    <w:rsid w:val="787DE7B5"/>
    <w:rsid w:val="7893A842"/>
    <w:rsid w:val="78967028"/>
    <w:rsid w:val="789705AB"/>
    <w:rsid w:val="789A3926"/>
    <w:rsid w:val="78A6E6F7"/>
    <w:rsid w:val="78AC9F04"/>
    <w:rsid w:val="78C2DBD7"/>
    <w:rsid w:val="78C9633E"/>
    <w:rsid w:val="78CA6846"/>
    <w:rsid w:val="78CDCEDA"/>
    <w:rsid w:val="78E03FFD"/>
    <w:rsid w:val="78E1CAB7"/>
    <w:rsid w:val="78E6BFF0"/>
    <w:rsid w:val="78E97224"/>
    <w:rsid w:val="78E9F95E"/>
    <w:rsid w:val="78F8D3F2"/>
    <w:rsid w:val="79021B9E"/>
    <w:rsid w:val="790467B5"/>
    <w:rsid w:val="790EF88D"/>
    <w:rsid w:val="7917EB75"/>
    <w:rsid w:val="791E2D35"/>
    <w:rsid w:val="79289E06"/>
    <w:rsid w:val="7938A08C"/>
    <w:rsid w:val="7944D13F"/>
    <w:rsid w:val="7959D64A"/>
    <w:rsid w:val="7967E094"/>
    <w:rsid w:val="796D51F1"/>
    <w:rsid w:val="7970F043"/>
    <w:rsid w:val="79804356"/>
    <w:rsid w:val="79824D11"/>
    <w:rsid w:val="798B31CF"/>
    <w:rsid w:val="798C91DE"/>
    <w:rsid w:val="798F6243"/>
    <w:rsid w:val="79A37146"/>
    <w:rsid w:val="79AC0274"/>
    <w:rsid w:val="79C69895"/>
    <w:rsid w:val="79CD6B2F"/>
    <w:rsid w:val="79CDD9E7"/>
    <w:rsid w:val="79CDE8BB"/>
    <w:rsid w:val="79D41917"/>
    <w:rsid w:val="79FFFBD1"/>
    <w:rsid w:val="7A0B950A"/>
    <w:rsid w:val="7A15711F"/>
    <w:rsid w:val="7A15D5D5"/>
    <w:rsid w:val="7A22AC00"/>
    <w:rsid w:val="7A25615B"/>
    <w:rsid w:val="7A29D474"/>
    <w:rsid w:val="7A367D63"/>
    <w:rsid w:val="7A4725D2"/>
    <w:rsid w:val="7A5A93D2"/>
    <w:rsid w:val="7A6A9E8C"/>
    <w:rsid w:val="7A703061"/>
    <w:rsid w:val="7A91B315"/>
    <w:rsid w:val="7A99A079"/>
    <w:rsid w:val="7AAD1E74"/>
    <w:rsid w:val="7AB8266F"/>
    <w:rsid w:val="7ACFB142"/>
    <w:rsid w:val="7ADD94A0"/>
    <w:rsid w:val="7AE3BAEC"/>
    <w:rsid w:val="7AE6F539"/>
    <w:rsid w:val="7AFE604D"/>
    <w:rsid w:val="7B0027E7"/>
    <w:rsid w:val="7B012161"/>
    <w:rsid w:val="7B03B0F5"/>
    <w:rsid w:val="7B0A3186"/>
    <w:rsid w:val="7B0B7E25"/>
    <w:rsid w:val="7B129998"/>
    <w:rsid w:val="7B16CF47"/>
    <w:rsid w:val="7B274E1F"/>
    <w:rsid w:val="7B2AF897"/>
    <w:rsid w:val="7B3450F2"/>
    <w:rsid w:val="7B375F8D"/>
    <w:rsid w:val="7B38D008"/>
    <w:rsid w:val="7B399020"/>
    <w:rsid w:val="7B3BF98F"/>
    <w:rsid w:val="7B404C94"/>
    <w:rsid w:val="7B4BF9BC"/>
    <w:rsid w:val="7B57AFDE"/>
    <w:rsid w:val="7B5A38B7"/>
    <w:rsid w:val="7B5BD061"/>
    <w:rsid w:val="7B65C61C"/>
    <w:rsid w:val="7B66DB5A"/>
    <w:rsid w:val="7B67AED0"/>
    <w:rsid w:val="7B6AADA1"/>
    <w:rsid w:val="7B6F951D"/>
    <w:rsid w:val="7B81181F"/>
    <w:rsid w:val="7B8E76B7"/>
    <w:rsid w:val="7B971B31"/>
    <w:rsid w:val="7B986020"/>
    <w:rsid w:val="7BA2DF18"/>
    <w:rsid w:val="7BA62075"/>
    <w:rsid w:val="7BAD2A36"/>
    <w:rsid w:val="7BBA9F63"/>
    <w:rsid w:val="7BBCDA08"/>
    <w:rsid w:val="7BC097BD"/>
    <w:rsid w:val="7BC88440"/>
    <w:rsid w:val="7BC9CDD6"/>
    <w:rsid w:val="7BE4E0CD"/>
    <w:rsid w:val="7BEC29AE"/>
    <w:rsid w:val="7BEC884A"/>
    <w:rsid w:val="7BECBE83"/>
    <w:rsid w:val="7BEFFAE6"/>
    <w:rsid w:val="7BFB6BEE"/>
    <w:rsid w:val="7C0E397F"/>
    <w:rsid w:val="7C199378"/>
    <w:rsid w:val="7C1E50CE"/>
    <w:rsid w:val="7C348D1B"/>
    <w:rsid w:val="7C4249BF"/>
    <w:rsid w:val="7C44087B"/>
    <w:rsid w:val="7C4EFAAB"/>
    <w:rsid w:val="7C5BC30A"/>
    <w:rsid w:val="7C6C6C9F"/>
    <w:rsid w:val="7C6D6B10"/>
    <w:rsid w:val="7C900D12"/>
    <w:rsid w:val="7C92F1B5"/>
    <w:rsid w:val="7C96145B"/>
    <w:rsid w:val="7C9680D6"/>
    <w:rsid w:val="7C9F6100"/>
    <w:rsid w:val="7CA1916D"/>
    <w:rsid w:val="7CAD48DD"/>
    <w:rsid w:val="7CB5C296"/>
    <w:rsid w:val="7CBC2CEF"/>
    <w:rsid w:val="7CCABE9F"/>
    <w:rsid w:val="7CD5228F"/>
    <w:rsid w:val="7CD5C16C"/>
    <w:rsid w:val="7CD6BF4F"/>
    <w:rsid w:val="7CE19D5B"/>
    <w:rsid w:val="7CE6577B"/>
    <w:rsid w:val="7CE7E798"/>
    <w:rsid w:val="7CEF958A"/>
    <w:rsid w:val="7CF07275"/>
    <w:rsid w:val="7CF4CE47"/>
    <w:rsid w:val="7CFBF52B"/>
    <w:rsid w:val="7D04D064"/>
    <w:rsid w:val="7D0E890E"/>
    <w:rsid w:val="7D11B67C"/>
    <w:rsid w:val="7D11B6FF"/>
    <w:rsid w:val="7D1A0ED5"/>
    <w:rsid w:val="7D25871C"/>
    <w:rsid w:val="7D425811"/>
    <w:rsid w:val="7D46A781"/>
    <w:rsid w:val="7D4A6421"/>
    <w:rsid w:val="7D6D4B6D"/>
    <w:rsid w:val="7D74B33E"/>
    <w:rsid w:val="7D7D05FB"/>
    <w:rsid w:val="7D8217E4"/>
    <w:rsid w:val="7D888975"/>
    <w:rsid w:val="7D934CF2"/>
    <w:rsid w:val="7D95A0A8"/>
    <w:rsid w:val="7DB7DBEA"/>
    <w:rsid w:val="7DB9199A"/>
    <w:rsid w:val="7DBDA6F2"/>
    <w:rsid w:val="7DBE805C"/>
    <w:rsid w:val="7DE78CA6"/>
    <w:rsid w:val="7DEB4FDF"/>
    <w:rsid w:val="7DF084C7"/>
    <w:rsid w:val="7E0A4DFB"/>
    <w:rsid w:val="7E0DFF4C"/>
    <w:rsid w:val="7E176F54"/>
    <w:rsid w:val="7E185BEC"/>
    <w:rsid w:val="7E26C5DB"/>
    <w:rsid w:val="7E2E9EEB"/>
    <w:rsid w:val="7E381F82"/>
    <w:rsid w:val="7E39B6FD"/>
    <w:rsid w:val="7E3D3532"/>
    <w:rsid w:val="7E3FD3E3"/>
    <w:rsid w:val="7E42FD29"/>
    <w:rsid w:val="7E4A5CC9"/>
    <w:rsid w:val="7E4A8E4D"/>
    <w:rsid w:val="7E4C1D16"/>
    <w:rsid w:val="7E4D5D66"/>
    <w:rsid w:val="7E4F70AD"/>
    <w:rsid w:val="7E52FA2E"/>
    <w:rsid w:val="7E56FF9F"/>
    <w:rsid w:val="7E63F496"/>
    <w:rsid w:val="7E6DA9BD"/>
    <w:rsid w:val="7E73A83E"/>
    <w:rsid w:val="7E876833"/>
    <w:rsid w:val="7E8BFBB6"/>
    <w:rsid w:val="7EA9C029"/>
    <w:rsid w:val="7EEA067A"/>
    <w:rsid w:val="7EECF97F"/>
    <w:rsid w:val="7EFC4629"/>
    <w:rsid w:val="7F06E27A"/>
    <w:rsid w:val="7F091BCE"/>
    <w:rsid w:val="7F1911F0"/>
    <w:rsid w:val="7F1EE2F1"/>
    <w:rsid w:val="7F525902"/>
    <w:rsid w:val="7F5386D6"/>
    <w:rsid w:val="7F53E540"/>
    <w:rsid w:val="7F588773"/>
    <w:rsid w:val="7F5A124E"/>
    <w:rsid w:val="7F6A2558"/>
    <w:rsid w:val="7F6F1DE5"/>
    <w:rsid w:val="7F76853C"/>
    <w:rsid w:val="7F7F7C6F"/>
    <w:rsid w:val="7F81D7AE"/>
    <w:rsid w:val="7F853866"/>
    <w:rsid w:val="7F885E5E"/>
    <w:rsid w:val="7FB4AC97"/>
    <w:rsid w:val="7FC44562"/>
    <w:rsid w:val="7FCFEAFB"/>
    <w:rsid w:val="7FD72218"/>
    <w:rsid w:val="7FD7C040"/>
    <w:rsid w:val="7FE07B22"/>
    <w:rsid w:val="7FE103EC"/>
    <w:rsid w:val="7FE5C316"/>
    <w:rsid w:val="7FF39C78"/>
    <w:rsid w:val="7FF6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B759998"/>
  <w15:docId w15:val="{6883B2E6-D872-4043-BE1B-11A572B2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l-SI"/>
    </w:rPr>
  </w:style>
  <w:style w:type="paragraph" w:styleId="Heading1">
    <w:name w:val="heading 1"/>
    <w:basedOn w:val="Normal"/>
    <w:next w:val="Text1"/>
    <w:link w:val="Heading1Char"/>
    <w:uiPriority w:val="9"/>
    <w:qFormat/>
    <w:rsid w:val="00517205"/>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46"/>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46"/>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46"/>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4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F152DC"/>
    <w:pPr>
      <w:numPr>
        <w:numId w:val="4"/>
      </w:numPr>
    </w:pPr>
    <w:rPr>
      <w:rFonts w:eastAsia="Times New Roman"/>
      <w:lang w:eastAsia="de-DE"/>
    </w:rPr>
  </w:style>
  <w:style w:type="paragraph" w:styleId="ListNumber">
    <w:name w:val="List Number"/>
    <w:basedOn w:val="Normal"/>
    <w:rsid w:val="00F152DC"/>
    <w:pPr>
      <w:numPr>
        <w:numId w:val="8"/>
      </w:numPr>
    </w:pPr>
    <w:rPr>
      <w:rFonts w:eastAsia="Times New Roman"/>
      <w:lang w:eastAsia="de-DE"/>
    </w:rPr>
  </w:style>
  <w:style w:type="paragraph" w:customStyle="1" w:styleId="ListBullet1">
    <w:name w:val="List Bullet 1"/>
    <w:basedOn w:val="Normal"/>
    <w:rsid w:val="00F152DC"/>
    <w:pPr>
      <w:numPr>
        <w:numId w:val="3"/>
      </w:numPr>
    </w:pPr>
    <w:rPr>
      <w:rFonts w:eastAsia="Times New Roman"/>
      <w:lang w:eastAsia="de-DE"/>
    </w:rPr>
  </w:style>
  <w:style w:type="paragraph" w:customStyle="1" w:styleId="ListDash">
    <w:name w:val="List Dash"/>
    <w:basedOn w:val="Normal"/>
    <w:rsid w:val="00F152DC"/>
    <w:pPr>
      <w:numPr>
        <w:numId w:val="5"/>
      </w:numPr>
    </w:pPr>
    <w:rPr>
      <w:rFonts w:eastAsia="Times New Roman"/>
      <w:lang w:eastAsia="de-DE"/>
    </w:rPr>
  </w:style>
  <w:style w:type="paragraph" w:customStyle="1" w:styleId="ListDash1">
    <w:name w:val="List Dash 1"/>
    <w:basedOn w:val="Normal"/>
    <w:rsid w:val="00F152DC"/>
    <w:pPr>
      <w:numPr>
        <w:numId w:val="6"/>
      </w:numPr>
    </w:pPr>
    <w:rPr>
      <w:rFonts w:eastAsia="Times New Roman"/>
      <w:lang w:eastAsia="de-DE"/>
    </w:rPr>
  </w:style>
  <w:style w:type="paragraph" w:customStyle="1" w:styleId="ListDash2">
    <w:name w:val="List Dash 2"/>
    <w:basedOn w:val="Normal"/>
    <w:rsid w:val="00F152DC"/>
    <w:pPr>
      <w:numPr>
        <w:numId w:val="7"/>
      </w:numPr>
    </w:pPr>
    <w:rPr>
      <w:rFonts w:eastAsia="Times New Roman"/>
      <w:lang w:eastAsia="de-DE"/>
    </w:rPr>
  </w:style>
  <w:style w:type="paragraph" w:customStyle="1" w:styleId="ListNumberLevel2">
    <w:name w:val="List Number (Level 2)"/>
    <w:basedOn w:val="Normal"/>
    <w:rsid w:val="00F152DC"/>
    <w:pPr>
      <w:numPr>
        <w:ilvl w:val="1"/>
        <w:numId w:val="8"/>
      </w:numPr>
    </w:pPr>
    <w:rPr>
      <w:rFonts w:eastAsia="Times New Roman"/>
      <w:lang w:eastAsia="de-DE"/>
    </w:rPr>
  </w:style>
  <w:style w:type="paragraph" w:customStyle="1" w:styleId="ListNumberLevel3">
    <w:name w:val="List Number (Level 3)"/>
    <w:basedOn w:val="Normal"/>
    <w:rsid w:val="00F152DC"/>
    <w:pPr>
      <w:numPr>
        <w:ilvl w:val="2"/>
        <w:numId w:val="8"/>
      </w:numPr>
    </w:pPr>
    <w:rPr>
      <w:rFonts w:eastAsia="Times New Roman"/>
      <w:lang w:eastAsia="de-DE"/>
    </w:rPr>
  </w:style>
  <w:style w:type="paragraph" w:customStyle="1" w:styleId="ListNumberLevel4">
    <w:name w:val="List Number (Level 4)"/>
    <w:basedOn w:val="Normal"/>
    <w:rsid w:val="00F152DC"/>
    <w:pPr>
      <w:numPr>
        <w:ilvl w:val="3"/>
        <w:numId w:val="8"/>
      </w:numPr>
    </w:pPr>
    <w:rPr>
      <w:rFonts w:eastAsia="Times New Roman"/>
      <w:lang w:eastAsia="de-DE"/>
    </w:rPr>
  </w:style>
  <w:style w:type="table" w:styleId="TableGrid">
    <w:name w:val="Table Grid"/>
    <w:basedOn w:val="TableNormal"/>
    <w:rsid w:val="00F152DC"/>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152DC"/>
    <w:rPr>
      <w:color w:val="0000FF"/>
      <w:u w:val="single"/>
    </w:rPr>
  </w:style>
  <w:style w:type="paragraph" w:styleId="ListBullet">
    <w:name w:val="List Bullet"/>
    <w:basedOn w:val="Normal"/>
    <w:rsid w:val="00F152DC"/>
    <w:pPr>
      <w:numPr>
        <w:numId w:val="9"/>
      </w:numPr>
    </w:pPr>
    <w:rPr>
      <w:rFonts w:eastAsia="Times New Roman"/>
      <w:lang w:eastAsia="en-GB"/>
    </w:rPr>
  </w:style>
  <w:style w:type="paragraph" w:styleId="ListBullet2">
    <w:name w:val="List Bullet 2"/>
    <w:basedOn w:val="Normal"/>
    <w:rsid w:val="00F152DC"/>
    <w:pPr>
      <w:numPr>
        <w:numId w:val="10"/>
      </w:numPr>
    </w:pPr>
    <w:rPr>
      <w:rFonts w:eastAsia="Times New Roman"/>
      <w:lang w:eastAsia="en-GB"/>
    </w:rPr>
  </w:style>
  <w:style w:type="paragraph" w:styleId="ListBullet3">
    <w:name w:val="List Bullet 3"/>
    <w:basedOn w:val="Normal"/>
    <w:rsid w:val="00F152DC"/>
    <w:pPr>
      <w:numPr>
        <w:numId w:val="11"/>
      </w:numPr>
    </w:pPr>
    <w:rPr>
      <w:rFonts w:eastAsia="Times New Roman"/>
      <w:lang w:eastAsia="en-GB"/>
    </w:rPr>
  </w:style>
  <w:style w:type="paragraph" w:styleId="ListNumber2">
    <w:name w:val="List Number 2"/>
    <w:basedOn w:val="Normal"/>
    <w:rsid w:val="00F152DC"/>
    <w:pPr>
      <w:numPr>
        <w:numId w:val="15"/>
      </w:numPr>
    </w:pPr>
    <w:rPr>
      <w:rFonts w:eastAsia="Times New Roman"/>
      <w:lang w:eastAsia="en-GB"/>
    </w:rPr>
  </w:style>
  <w:style w:type="paragraph" w:styleId="ListNumber3">
    <w:name w:val="List Number 3"/>
    <w:basedOn w:val="Normal"/>
    <w:rsid w:val="00F152DC"/>
    <w:pPr>
      <w:numPr>
        <w:numId w:val="16"/>
      </w:numPr>
    </w:pPr>
    <w:rPr>
      <w:rFonts w:eastAsia="Times New Roman"/>
      <w:lang w:eastAsia="en-GB"/>
    </w:rPr>
  </w:style>
  <w:style w:type="paragraph" w:styleId="ListNumber4">
    <w:name w:val="List Number 4"/>
    <w:basedOn w:val="Normal"/>
    <w:rsid w:val="00F152DC"/>
    <w:pPr>
      <w:numPr>
        <w:numId w:val="17"/>
      </w:numPr>
    </w:pPr>
    <w:rPr>
      <w:rFonts w:eastAsia="Times New Roman"/>
      <w:lang w:eastAsia="en-GB"/>
    </w:rPr>
  </w:style>
  <w:style w:type="paragraph" w:customStyle="1" w:styleId="ListDash3">
    <w:name w:val="List Dash 3"/>
    <w:basedOn w:val="Normal"/>
    <w:rsid w:val="00F152DC"/>
    <w:pPr>
      <w:numPr>
        <w:numId w:val="12"/>
      </w:numPr>
    </w:pPr>
    <w:rPr>
      <w:rFonts w:eastAsia="Times New Roman"/>
      <w:lang w:eastAsia="en-GB"/>
    </w:rPr>
  </w:style>
  <w:style w:type="paragraph" w:customStyle="1" w:styleId="ListDash4">
    <w:name w:val="List Dash 4"/>
    <w:basedOn w:val="Normal"/>
    <w:rsid w:val="00F152DC"/>
    <w:pPr>
      <w:numPr>
        <w:numId w:val="13"/>
      </w:numPr>
    </w:pPr>
    <w:rPr>
      <w:rFonts w:eastAsia="Times New Roman"/>
      <w:lang w:eastAsia="en-GB"/>
    </w:rPr>
  </w:style>
  <w:style w:type="paragraph" w:customStyle="1" w:styleId="ListNumber1">
    <w:name w:val="List Number 1"/>
    <w:basedOn w:val="Text1"/>
    <w:rsid w:val="00F152DC"/>
    <w:pPr>
      <w:numPr>
        <w:numId w:val="14"/>
      </w:numPr>
    </w:pPr>
    <w:rPr>
      <w:rFonts w:eastAsia="Times New Roman"/>
      <w:lang w:eastAsia="en-GB"/>
    </w:rPr>
  </w:style>
  <w:style w:type="paragraph" w:customStyle="1" w:styleId="ListNumber1Level2">
    <w:name w:val="List Number 1 (Level 2)"/>
    <w:basedOn w:val="Text1"/>
    <w:rsid w:val="00F152DC"/>
    <w:pPr>
      <w:numPr>
        <w:ilvl w:val="1"/>
        <w:numId w:val="14"/>
      </w:numPr>
    </w:pPr>
    <w:rPr>
      <w:rFonts w:eastAsia="Times New Roman"/>
      <w:lang w:eastAsia="en-GB"/>
    </w:rPr>
  </w:style>
  <w:style w:type="paragraph" w:customStyle="1" w:styleId="ListNumber2Level2">
    <w:name w:val="List Number 2 (Level 2)"/>
    <w:basedOn w:val="Text2"/>
    <w:rsid w:val="00F152DC"/>
    <w:pPr>
      <w:numPr>
        <w:ilvl w:val="1"/>
        <w:numId w:val="15"/>
      </w:numPr>
    </w:pPr>
    <w:rPr>
      <w:rFonts w:eastAsia="Times New Roman"/>
      <w:lang w:eastAsia="en-GB"/>
    </w:rPr>
  </w:style>
  <w:style w:type="paragraph" w:customStyle="1" w:styleId="ListNumber3Level2">
    <w:name w:val="List Number 3 (Level 2)"/>
    <w:basedOn w:val="Text3"/>
    <w:rsid w:val="00F152DC"/>
    <w:pPr>
      <w:numPr>
        <w:ilvl w:val="1"/>
        <w:numId w:val="16"/>
      </w:numPr>
    </w:pPr>
    <w:rPr>
      <w:rFonts w:eastAsia="Times New Roman"/>
      <w:lang w:eastAsia="en-GB"/>
    </w:rPr>
  </w:style>
  <w:style w:type="paragraph" w:customStyle="1" w:styleId="ListNumber4Level2">
    <w:name w:val="List Number 4 (Level 2)"/>
    <w:basedOn w:val="Text4"/>
    <w:rsid w:val="00F152DC"/>
    <w:pPr>
      <w:numPr>
        <w:ilvl w:val="1"/>
        <w:numId w:val="17"/>
      </w:numPr>
    </w:pPr>
    <w:rPr>
      <w:rFonts w:eastAsia="Times New Roman"/>
      <w:lang w:eastAsia="en-GB"/>
    </w:rPr>
  </w:style>
  <w:style w:type="paragraph" w:customStyle="1" w:styleId="ListNumber1Level3">
    <w:name w:val="List Number 1 (Level 3)"/>
    <w:basedOn w:val="Text1"/>
    <w:rsid w:val="00F152DC"/>
    <w:pPr>
      <w:numPr>
        <w:ilvl w:val="2"/>
        <w:numId w:val="14"/>
      </w:numPr>
    </w:pPr>
    <w:rPr>
      <w:rFonts w:eastAsia="Times New Roman"/>
      <w:lang w:eastAsia="en-GB"/>
    </w:rPr>
  </w:style>
  <w:style w:type="paragraph" w:customStyle="1" w:styleId="ListNumber2Level3">
    <w:name w:val="List Number 2 (Level 3)"/>
    <w:basedOn w:val="Text2"/>
    <w:rsid w:val="00F152DC"/>
    <w:pPr>
      <w:numPr>
        <w:ilvl w:val="2"/>
        <w:numId w:val="15"/>
      </w:numPr>
    </w:pPr>
    <w:rPr>
      <w:rFonts w:eastAsia="Times New Roman"/>
      <w:lang w:eastAsia="en-GB"/>
    </w:rPr>
  </w:style>
  <w:style w:type="paragraph" w:customStyle="1" w:styleId="ListNumber3Level3">
    <w:name w:val="List Number 3 (Level 3)"/>
    <w:basedOn w:val="Text3"/>
    <w:rsid w:val="00F152DC"/>
    <w:pPr>
      <w:numPr>
        <w:ilvl w:val="2"/>
        <w:numId w:val="16"/>
      </w:numPr>
    </w:pPr>
    <w:rPr>
      <w:rFonts w:eastAsia="Times New Roman"/>
      <w:lang w:eastAsia="en-GB"/>
    </w:rPr>
  </w:style>
  <w:style w:type="paragraph" w:customStyle="1" w:styleId="ListNumber4Level3">
    <w:name w:val="List Number 4 (Level 3)"/>
    <w:basedOn w:val="Text4"/>
    <w:rsid w:val="00F152DC"/>
    <w:pPr>
      <w:numPr>
        <w:ilvl w:val="2"/>
        <w:numId w:val="17"/>
      </w:numPr>
    </w:pPr>
    <w:rPr>
      <w:rFonts w:eastAsia="Times New Roman"/>
      <w:lang w:eastAsia="en-GB"/>
    </w:rPr>
  </w:style>
  <w:style w:type="paragraph" w:customStyle="1" w:styleId="ListNumber1Level4">
    <w:name w:val="List Number 1 (Level 4)"/>
    <w:basedOn w:val="Text1"/>
    <w:rsid w:val="00F152DC"/>
    <w:pPr>
      <w:numPr>
        <w:ilvl w:val="3"/>
        <w:numId w:val="14"/>
      </w:numPr>
    </w:pPr>
    <w:rPr>
      <w:rFonts w:eastAsia="Times New Roman"/>
      <w:lang w:eastAsia="en-GB"/>
    </w:rPr>
  </w:style>
  <w:style w:type="paragraph" w:customStyle="1" w:styleId="ListNumber2Level4">
    <w:name w:val="List Number 2 (Level 4)"/>
    <w:basedOn w:val="Text2"/>
    <w:rsid w:val="00F152DC"/>
    <w:pPr>
      <w:numPr>
        <w:ilvl w:val="3"/>
        <w:numId w:val="15"/>
      </w:numPr>
    </w:pPr>
    <w:rPr>
      <w:rFonts w:eastAsia="Times New Roman"/>
      <w:lang w:eastAsia="en-GB"/>
    </w:rPr>
  </w:style>
  <w:style w:type="paragraph" w:customStyle="1" w:styleId="ListNumber3Level4">
    <w:name w:val="List Number 3 (Level 4)"/>
    <w:basedOn w:val="Text3"/>
    <w:rsid w:val="00F152DC"/>
    <w:pPr>
      <w:numPr>
        <w:ilvl w:val="3"/>
        <w:numId w:val="16"/>
      </w:numPr>
    </w:pPr>
    <w:rPr>
      <w:rFonts w:eastAsia="Times New Roman"/>
      <w:lang w:eastAsia="en-GB"/>
    </w:rPr>
  </w:style>
  <w:style w:type="paragraph" w:customStyle="1" w:styleId="ListNumber4Level4">
    <w:name w:val="List Number 4 (Level 4)"/>
    <w:basedOn w:val="Text4"/>
    <w:rsid w:val="00F152DC"/>
    <w:pPr>
      <w:numPr>
        <w:ilvl w:val="3"/>
        <w:numId w:val="17"/>
      </w:numPr>
    </w:pPr>
    <w:rPr>
      <w:rFonts w:eastAsia="Times New Roman"/>
      <w:lang w:eastAsia="en-GB"/>
    </w:rPr>
  </w:style>
  <w:style w:type="paragraph" w:customStyle="1" w:styleId="Annexetitreacte">
    <w:name w:val="Annexe titre (acte)"/>
    <w:basedOn w:val="Normal"/>
    <w:next w:val="Normal"/>
    <w:rsid w:val="00F152DC"/>
    <w:pPr>
      <w:jc w:val="center"/>
    </w:pPr>
    <w:rPr>
      <w:rFonts w:eastAsia="Times New Roman"/>
      <w:b/>
      <w:u w:val="single"/>
      <w:lang w:eastAsia="en-GB"/>
    </w:rPr>
  </w:style>
  <w:style w:type="paragraph" w:customStyle="1" w:styleId="Annexetitreexposglobal">
    <w:name w:val="Annexe titre (exposé global)"/>
    <w:basedOn w:val="Normal"/>
    <w:next w:val="Normal"/>
    <w:rsid w:val="00F152DC"/>
    <w:pPr>
      <w:jc w:val="center"/>
    </w:pPr>
    <w:rPr>
      <w:rFonts w:eastAsia="Times New Roman"/>
      <w:b/>
      <w:u w:val="single"/>
      <w:lang w:eastAsia="en-GB"/>
    </w:rPr>
  </w:style>
  <w:style w:type="paragraph" w:customStyle="1" w:styleId="Annexetitrefichefinacte">
    <w:name w:val="Annexe titre (fiche fin. acte)"/>
    <w:basedOn w:val="Normal"/>
    <w:next w:val="Normal"/>
    <w:rsid w:val="00F152DC"/>
    <w:pPr>
      <w:jc w:val="center"/>
    </w:pPr>
    <w:rPr>
      <w:rFonts w:eastAsia="Times New Roman"/>
      <w:b/>
      <w:u w:val="single"/>
      <w:lang w:eastAsia="en-GB"/>
    </w:rPr>
  </w:style>
  <w:style w:type="paragraph" w:customStyle="1" w:styleId="Annexetitrefichefinglobale">
    <w:name w:val="Annexe titre (fiche fin. globale)"/>
    <w:basedOn w:val="Normal"/>
    <w:next w:val="Normal"/>
    <w:rsid w:val="00F152DC"/>
    <w:pPr>
      <w:jc w:val="center"/>
    </w:pPr>
    <w:rPr>
      <w:rFonts w:eastAsia="Times New Roman"/>
      <w:b/>
      <w:u w:val="single"/>
      <w:lang w:eastAsia="en-GB"/>
    </w:rPr>
  </w:style>
  <w:style w:type="paragraph" w:customStyle="1" w:styleId="Annexetitreglobale">
    <w:name w:val="Annexe titre (globale)"/>
    <w:basedOn w:val="Normal"/>
    <w:next w:val="Normal"/>
    <w:rsid w:val="00F152DC"/>
    <w:pPr>
      <w:jc w:val="center"/>
    </w:pPr>
    <w:rPr>
      <w:rFonts w:eastAsia="Times New Roman"/>
      <w:b/>
      <w:u w:val="single"/>
      <w:lang w:eastAsia="en-GB"/>
    </w:rPr>
  </w:style>
  <w:style w:type="paragraph" w:customStyle="1" w:styleId="Exposdesmotifstitreglobal">
    <w:name w:val="Exposé des motifs titre (global)"/>
    <w:basedOn w:val="Normal"/>
    <w:next w:val="Normal"/>
    <w:rsid w:val="00F152DC"/>
    <w:pPr>
      <w:jc w:val="center"/>
    </w:pPr>
    <w:rPr>
      <w:rFonts w:eastAsia="Times New Roman"/>
      <w:b/>
      <w:u w:val="single"/>
      <w:lang w:eastAsia="en-GB"/>
    </w:rPr>
  </w:style>
  <w:style w:type="paragraph" w:customStyle="1" w:styleId="Langueoriginale">
    <w:name w:val="Langue originale"/>
    <w:basedOn w:val="Normal"/>
    <w:rsid w:val="00F152DC"/>
    <w:pPr>
      <w:spacing w:before="360"/>
      <w:jc w:val="center"/>
    </w:pPr>
    <w:rPr>
      <w:rFonts w:eastAsia="Times New Roman"/>
      <w:caps/>
      <w:lang w:eastAsia="en-GB"/>
    </w:rPr>
  </w:style>
  <w:style w:type="paragraph" w:customStyle="1" w:styleId="Phrasefinale">
    <w:name w:val="Phrase finale"/>
    <w:basedOn w:val="Normal"/>
    <w:next w:val="Normal"/>
    <w:rsid w:val="00F152DC"/>
    <w:pPr>
      <w:spacing w:before="360" w:after="0"/>
      <w:jc w:val="center"/>
    </w:pPr>
    <w:rPr>
      <w:rFonts w:eastAsia="Times New Roman"/>
      <w:lang w:eastAsia="en-GB"/>
    </w:rPr>
  </w:style>
  <w:style w:type="paragraph" w:customStyle="1" w:styleId="Prliminairetitre">
    <w:name w:val="Préliminaire titre"/>
    <w:basedOn w:val="Normal"/>
    <w:next w:val="Normal"/>
    <w:rsid w:val="00F152DC"/>
    <w:pPr>
      <w:spacing w:before="360" w:after="360"/>
      <w:jc w:val="center"/>
    </w:pPr>
    <w:rPr>
      <w:rFonts w:eastAsia="Times New Roman"/>
      <w:b/>
      <w:lang w:eastAsia="en-GB"/>
    </w:rPr>
  </w:style>
  <w:style w:type="paragraph" w:customStyle="1" w:styleId="Prliminairetype">
    <w:name w:val="Préliminaire type"/>
    <w:basedOn w:val="Normal"/>
    <w:next w:val="Normal"/>
    <w:rsid w:val="00F152DC"/>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F152DC"/>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F152DC"/>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F152DC"/>
    <w:pPr>
      <w:spacing w:before="0" w:after="0"/>
      <w:ind w:left="5103"/>
      <w:jc w:val="left"/>
    </w:pPr>
    <w:rPr>
      <w:rFonts w:eastAsia="Times New Roman"/>
      <w:lang w:eastAsia="en-GB"/>
    </w:rPr>
  </w:style>
  <w:style w:type="paragraph" w:customStyle="1" w:styleId="Sous-titreobjetprliminaire">
    <w:name w:val="Sous-titre objet (préliminaire)"/>
    <w:basedOn w:val="Normal"/>
    <w:rsid w:val="00F152DC"/>
    <w:pPr>
      <w:spacing w:before="0" w:after="0"/>
      <w:jc w:val="center"/>
    </w:pPr>
    <w:rPr>
      <w:rFonts w:eastAsia="Times New Roman"/>
      <w:b/>
      <w:lang w:eastAsia="en-GB"/>
    </w:rPr>
  </w:style>
  <w:style w:type="paragraph" w:customStyle="1" w:styleId="Statutprliminaire">
    <w:name w:val="Statut (préliminaire)"/>
    <w:basedOn w:val="Normal"/>
    <w:next w:val="Normal"/>
    <w:rsid w:val="00F152DC"/>
    <w:pPr>
      <w:spacing w:before="360" w:after="0"/>
      <w:jc w:val="center"/>
    </w:pPr>
    <w:rPr>
      <w:rFonts w:eastAsia="Times New Roman"/>
      <w:lang w:eastAsia="en-GB"/>
    </w:rPr>
  </w:style>
  <w:style w:type="paragraph" w:customStyle="1" w:styleId="Titreobjetprliminaire">
    <w:name w:val="Titre objet (préliminaire)"/>
    <w:basedOn w:val="Normal"/>
    <w:next w:val="Normal"/>
    <w:rsid w:val="00F152DC"/>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F152DC"/>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F152DC"/>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F152DC"/>
    <w:pPr>
      <w:jc w:val="center"/>
    </w:pPr>
    <w:rPr>
      <w:rFonts w:eastAsia="Times New Roman"/>
      <w:b/>
      <w:u w:val="single"/>
      <w:lang w:eastAsia="en-GB"/>
    </w:rPr>
  </w:style>
  <w:style w:type="paragraph" w:customStyle="1" w:styleId="Fichefinanciretravailtitre">
    <w:name w:val="Fiche financière (travail) titre"/>
    <w:basedOn w:val="Normal"/>
    <w:next w:val="Normal"/>
    <w:rsid w:val="00F152DC"/>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F152DC"/>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F152DC"/>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F152DC"/>
    <w:pPr>
      <w:jc w:val="center"/>
    </w:pPr>
    <w:rPr>
      <w:rFonts w:eastAsia="Times New Roman"/>
      <w:b/>
      <w:u w:val="single"/>
      <w:lang w:eastAsia="en-GB"/>
    </w:rPr>
  </w:style>
  <w:style w:type="character" w:styleId="CommentReference">
    <w:name w:val="annotation reference"/>
    <w:rsid w:val="00F152DC"/>
    <w:rPr>
      <w:rFonts w:cs="Times New Roman"/>
      <w:sz w:val="16"/>
      <w:szCs w:val="16"/>
    </w:rPr>
  </w:style>
  <w:style w:type="paragraph" w:styleId="CommentText">
    <w:name w:val="annotation text"/>
    <w:basedOn w:val="Normal"/>
    <w:link w:val="CommentTextChar"/>
    <w:rsid w:val="00F152DC"/>
    <w:rPr>
      <w:rFonts w:eastAsia="Times New Roman"/>
      <w:sz w:val="20"/>
      <w:szCs w:val="20"/>
      <w:lang w:eastAsia="en-GB"/>
    </w:rPr>
  </w:style>
  <w:style w:type="character" w:customStyle="1" w:styleId="CommentTextChar">
    <w:name w:val="Comment Text Char"/>
    <w:basedOn w:val="DefaultParagraphFont"/>
    <w:link w:val="CommentText"/>
    <w:rsid w:val="00F152DC"/>
    <w:rPr>
      <w:rFonts w:ascii="Times New Roman" w:eastAsia="Times New Roman" w:hAnsi="Times New Roman" w:cs="Times New Roman"/>
      <w:sz w:val="20"/>
      <w:szCs w:val="20"/>
      <w:lang w:val="sl-SI" w:eastAsia="en-GB"/>
    </w:rPr>
  </w:style>
  <w:style w:type="paragraph" w:styleId="CommentSubject">
    <w:name w:val="annotation subject"/>
    <w:basedOn w:val="CommentText"/>
    <w:next w:val="CommentText"/>
    <w:link w:val="CommentSubjectChar"/>
    <w:rsid w:val="00F152DC"/>
    <w:rPr>
      <w:b/>
      <w:bCs/>
    </w:rPr>
  </w:style>
  <w:style w:type="character" w:customStyle="1" w:styleId="CommentSubjectChar">
    <w:name w:val="Comment Subject Char"/>
    <w:basedOn w:val="CommentTextChar"/>
    <w:link w:val="CommentSubject"/>
    <w:rsid w:val="00F152DC"/>
    <w:rPr>
      <w:rFonts w:ascii="Times New Roman" w:eastAsia="Times New Roman" w:hAnsi="Times New Roman" w:cs="Times New Roman"/>
      <w:b/>
      <w:bCs/>
      <w:sz w:val="20"/>
      <w:szCs w:val="20"/>
      <w:lang w:val="sl-SI" w:eastAsia="en-GB"/>
    </w:rPr>
  </w:style>
  <w:style w:type="paragraph" w:styleId="BalloonText">
    <w:name w:val="Balloon Text"/>
    <w:basedOn w:val="Normal"/>
    <w:link w:val="BalloonTextChar"/>
    <w:rsid w:val="00F152DC"/>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F152DC"/>
    <w:rPr>
      <w:rFonts w:ascii="Tahoma" w:eastAsia="Times New Roman" w:hAnsi="Tahoma" w:cs="Tahoma"/>
      <w:sz w:val="16"/>
      <w:szCs w:val="16"/>
      <w:lang w:val="sl-SI" w:eastAsia="en-GB"/>
    </w:rPr>
  </w:style>
  <w:style w:type="paragraph" w:styleId="Caption">
    <w:name w:val="caption"/>
    <w:basedOn w:val="Normal"/>
    <w:next w:val="Normal"/>
    <w:qFormat/>
    <w:rsid w:val="00F152DC"/>
    <w:rPr>
      <w:rFonts w:eastAsia="Times New Roman"/>
      <w:b/>
      <w:bCs/>
      <w:sz w:val="20"/>
      <w:szCs w:val="20"/>
      <w:lang w:eastAsia="en-GB"/>
    </w:rPr>
  </w:style>
  <w:style w:type="paragraph" w:styleId="TableofFigures">
    <w:name w:val="table of figures"/>
    <w:basedOn w:val="Normal"/>
    <w:next w:val="Normal"/>
    <w:rsid w:val="00F152DC"/>
    <w:rPr>
      <w:rFonts w:eastAsia="Times New Roman"/>
      <w:lang w:eastAsia="en-GB"/>
    </w:rPr>
  </w:style>
  <w:style w:type="character" w:styleId="PageNumber">
    <w:name w:val="page number"/>
    <w:rsid w:val="00F152DC"/>
  </w:style>
  <w:style w:type="character" w:customStyle="1" w:styleId="tw4winMark">
    <w:name w:val="tw4winMark"/>
    <w:rsid w:val="00F152DC"/>
    <w:rPr>
      <w:vanish/>
      <w:color w:val="800080"/>
      <w:vertAlign w:val="subscript"/>
    </w:rPr>
  </w:style>
  <w:style w:type="character" w:styleId="FollowedHyperlink">
    <w:name w:val="FollowedHyperlink"/>
    <w:rsid w:val="00F152DC"/>
    <w:rPr>
      <w:color w:val="800080"/>
      <w:u w:val="single"/>
    </w:rPr>
  </w:style>
  <w:style w:type="paragraph" w:customStyle="1" w:styleId="Sous-titreobjet">
    <w:name w:val="Sous-titre objet"/>
    <w:basedOn w:val="Normal"/>
    <w:rsid w:val="00F152DC"/>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F152DC"/>
  </w:style>
  <w:style w:type="paragraph" w:styleId="Revision">
    <w:name w:val="Revision"/>
    <w:hidden/>
    <w:uiPriority w:val="99"/>
    <w:semiHidden/>
    <w:rsid w:val="00F152DC"/>
    <w:rPr>
      <w:rFonts w:ascii="Calibri" w:eastAsia="Calibri" w:hAnsi="Calibri" w:cs="Times New Roman"/>
      <w:sz w:val="24"/>
      <w:lang w:eastAsia="en-GB"/>
    </w:rPr>
  </w:style>
  <w:style w:type="paragraph" w:customStyle="1" w:styleId="FooterCoverPage">
    <w:name w:val="Footer Cover Page"/>
    <w:basedOn w:val="Normal"/>
    <w:link w:val="FooterCoverPageChar"/>
    <w:rsid w:val="00F152DC"/>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F152DC"/>
    <w:rPr>
      <w:rFonts w:ascii="Times New Roman" w:hAnsi="Times New Roman" w:cs="Times New Roman"/>
      <w:b/>
      <w:sz w:val="28"/>
      <w:lang w:val="sl-SI"/>
    </w:rPr>
  </w:style>
  <w:style w:type="character" w:customStyle="1" w:styleId="FooterCoverPageChar">
    <w:name w:val="Footer Cover Page Char"/>
    <w:link w:val="FooterCoverPage"/>
    <w:rsid w:val="00F152DC"/>
    <w:rPr>
      <w:rFonts w:ascii="Times New Roman" w:eastAsia="Calibri" w:hAnsi="Times New Roman" w:cs="Times New Roman"/>
      <w:sz w:val="24"/>
      <w:lang w:val="sl-SI" w:eastAsia="en-GB"/>
    </w:rPr>
  </w:style>
  <w:style w:type="paragraph" w:customStyle="1" w:styleId="HeaderCoverPage">
    <w:name w:val="Header Cover Page"/>
    <w:basedOn w:val="Normal"/>
    <w:link w:val="HeaderCoverPageChar"/>
    <w:rsid w:val="00F152DC"/>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F152DC"/>
    <w:rPr>
      <w:rFonts w:ascii="Times New Roman" w:eastAsia="Calibri" w:hAnsi="Times New Roman" w:cs="Times New Roman"/>
      <w:sz w:val="24"/>
      <w:lang w:val="sl-SI" w:eastAsia="en-GB"/>
    </w:rPr>
  </w:style>
  <w:style w:type="paragraph" w:customStyle="1" w:styleId="oj-normal">
    <w:name w:val="oj-normal"/>
    <w:basedOn w:val="Normal"/>
    <w:rsid w:val="004D643E"/>
    <w:pPr>
      <w:spacing w:before="100" w:beforeAutospacing="1" w:after="100" w:afterAutospacing="1"/>
      <w:jc w:val="left"/>
    </w:pPr>
    <w:rPr>
      <w:rFonts w:eastAsia="Times New Roman"/>
      <w:szCs w:val="24"/>
    </w:rPr>
  </w:style>
  <w:style w:type="paragraph" w:styleId="ListParagraph">
    <w:name w:val="List Paragraph"/>
    <w:basedOn w:val="Normal"/>
    <w:uiPriority w:val="34"/>
    <w:qFormat/>
    <w:rsid w:val="004D643E"/>
    <w:pPr>
      <w:ind w:left="720"/>
      <w:contextualSpacing/>
    </w:pPr>
  </w:style>
  <w:style w:type="paragraph" w:customStyle="1" w:styleId="sti-art">
    <w:name w:val="sti-art"/>
    <w:basedOn w:val="Normal"/>
    <w:rsid w:val="004D643E"/>
    <w:pPr>
      <w:spacing w:before="100" w:beforeAutospacing="1" w:after="100" w:afterAutospacing="1"/>
      <w:jc w:val="left"/>
    </w:pPr>
    <w:rPr>
      <w:rFonts w:eastAsia="Times New Roman"/>
      <w:szCs w:val="24"/>
      <w:lang w:eastAsia="en-GB"/>
    </w:rPr>
  </w:style>
  <w:style w:type="paragraph" w:styleId="EndnoteText">
    <w:name w:val="endnote text"/>
    <w:basedOn w:val="Normal"/>
    <w:link w:val="EndnoteTextChar"/>
    <w:uiPriority w:val="99"/>
    <w:semiHidden/>
    <w:unhideWhenUsed/>
    <w:rsid w:val="00E87BDC"/>
    <w:pPr>
      <w:spacing w:before="0" w:after="0"/>
    </w:pPr>
    <w:rPr>
      <w:sz w:val="20"/>
      <w:szCs w:val="20"/>
    </w:rPr>
  </w:style>
  <w:style w:type="character" w:customStyle="1" w:styleId="EndnoteTextChar">
    <w:name w:val="Endnote Text Char"/>
    <w:basedOn w:val="DefaultParagraphFont"/>
    <w:link w:val="EndnoteText"/>
    <w:uiPriority w:val="99"/>
    <w:semiHidden/>
    <w:rsid w:val="00E87BDC"/>
    <w:rPr>
      <w:rFonts w:ascii="Times New Roman" w:hAnsi="Times New Roman" w:cs="Times New Roman"/>
      <w:sz w:val="20"/>
      <w:szCs w:val="20"/>
      <w:lang w:val="sl-SI"/>
    </w:rPr>
  </w:style>
  <w:style w:type="character" w:styleId="EndnoteReference">
    <w:name w:val="endnote reference"/>
    <w:basedOn w:val="DefaultParagraphFont"/>
    <w:uiPriority w:val="99"/>
    <w:semiHidden/>
    <w:unhideWhenUsed/>
    <w:rsid w:val="00E87BDC"/>
    <w:rPr>
      <w:vertAlign w:val="superscript"/>
    </w:rPr>
  </w:style>
  <w:style w:type="character" w:customStyle="1" w:styleId="oj-italic">
    <w:name w:val="oj-italic"/>
    <w:basedOn w:val="DefaultParagraphFont"/>
    <w:rsid w:val="000B3E19"/>
  </w:style>
  <w:style w:type="character" w:styleId="Emphasis">
    <w:name w:val="Emphasis"/>
    <w:basedOn w:val="DefaultParagraphFont"/>
    <w:uiPriority w:val="20"/>
    <w:qFormat/>
    <w:rsid w:val="004A7222"/>
    <w:rPr>
      <w:i/>
      <w:iCs/>
    </w:rPr>
  </w:style>
  <w:style w:type="paragraph" w:customStyle="1" w:styleId="Fichefinanciretitre0">
    <w:name w:val="Fiche financière titre0"/>
    <w:basedOn w:val="Normal"/>
    <w:next w:val="Normal"/>
    <w:rsid w:val="00517205"/>
    <w:pPr>
      <w:jc w:val="center"/>
    </w:pPr>
    <w:rPr>
      <w:b/>
      <w:u w:val="single"/>
    </w:rPr>
  </w:style>
  <w:style w:type="paragraph" w:customStyle="1" w:styleId="li">
    <w:name w:val="li"/>
    <w:basedOn w:val="Normal"/>
    <w:rsid w:val="006F3594"/>
    <w:pPr>
      <w:spacing w:before="100" w:beforeAutospacing="1" w:after="100" w:afterAutospacing="1"/>
      <w:jc w:val="left"/>
    </w:pPr>
    <w:rPr>
      <w:rFonts w:eastAsia="Times New Roman"/>
      <w:szCs w:val="24"/>
    </w:rPr>
  </w:style>
  <w:style w:type="paragraph" w:customStyle="1" w:styleId="Fichefinanciretitre00">
    <w:name w:val="Fiche financière titre00"/>
    <w:basedOn w:val="Normal"/>
    <w:next w:val="Normal"/>
    <w:rsid w:val="00D664C1"/>
    <w:pPr>
      <w:jc w:val="center"/>
    </w:pPr>
    <w:rPr>
      <w:b/>
      <w:u w:val="single"/>
    </w:rPr>
  </w:style>
  <w:style w:type="paragraph" w:customStyle="1" w:styleId="Fichefinanciretitre000">
    <w:name w:val="Fiche financière titre000"/>
    <w:basedOn w:val="Normal"/>
    <w:next w:val="Normal"/>
    <w:rsid w:val="00E03070"/>
    <w:pPr>
      <w:jc w:val="center"/>
    </w:pPr>
    <w:rPr>
      <w:b/>
      <w:u w:val="single"/>
    </w:rPr>
  </w:style>
  <w:style w:type="paragraph" w:customStyle="1" w:styleId="Fichefinanciretitre0000">
    <w:name w:val="Fiche financière titre0000"/>
    <w:basedOn w:val="Normal"/>
    <w:next w:val="Normal"/>
    <w:rsid w:val="00D57AD3"/>
    <w:pPr>
      <w:jc w:val="center"/>
    </w:pPr>
    <w:rPr>
      <w:b/>
      <w:u w:val="single"/>
    </w:rPr>
  </w:style>
  <w:style w:type="paragraph" w:customStyle="1" w:styleId="LegalNumPar">
    <w:name w:val="LegalNumPar"/>
    <w:basedOn w:val="Normal"/>
    <w:rsid w:val="00E632E4"/>
    <w:pPr>
      <w:numPr>
        <w:numId w:val="26"/>
      </w:numPr>
      <w:spacing w:line="360" w:lineRule="auto"/>
    </w:pPr>
  </w:style>
  <w:style w:type="paragraph" w:customStyle="1" w:styleId="LegalNumPar2">
    <w:name w:val="LegalNumPar2"/>
    <w:basedOn w:val="Normal"/>
    <w:rsid w:val="00E632E4"/>
    <w:pPr>
      <w:numPr>
        <w:ilvl w:val="1"/>
        <w:numId w:val="26"/>
      </w:numPr>
      <w:spacing w:line="360" w:lineRule="auto"/>
    </w:pPr>
  </w:style>
  <w:style w:type="paragraph" w:customStyle="1" w:styleId="LegalNumPar3">
    <w:name w:val="LegalNumPar3"/>
    <w:basedOn w:val="Normal"/>
    <w:rsid w:val="00E632E4"/>
    <w:pPr>
      <w:numPr>
        <w:ilvl w:val="2"/>
        <w:numId w:val="26"/>
      </w:numPr>
      <w:spacing w:line="360" w:lineRule="auto"/>
    </w:pPr>
  </w:style>
  <w:style w:type="character" w:customStyle="1" w:styleId="normaltextrun">
    <w:name w:val="normaltextrun"/>
    <w:basedOn w:val="DefaultParagraphFont"/>
    <w:rsid w:val="00917643"/>
  </w:style>
  <w:style w:type="character" w:customStyle="1" w:styleId="eop">
    <w:name w:val="eop"/>
    <w:basedOn w:val="DefaultParagraphFont"/>
    <w:rsid w:val="00917643"/>
  </w:style>
  <w:style w:type="character" w:customStyle="1" w:styleId="Mention1">
    <w:name w:val="Mention1"/>
    <w:basedOn w:val="DefaultParagraphFont"/>
    <w:uiPriority w:val="99"/>
    <w:unhideWhenUsed/>
    <w:rsid w:val="00D518F3"/>
    <w:rPr>
      <w:color w:val="2B579A"/>
      <w:shd w:val="clear" w:color="auto" w:fill="E6E6E6"/>
    </w:rPr>
  </w:style>
  <w:style w:type="character" w:customStyle="1" w:styleId="findhit">
    <w:name w:val="findhit"/>
    <w:basedOn w:val="DefaultParagraphFont"/>
    <w:rsid w:val="00D518F3"/>
  </w:style>
  <w:style w:type="character" w:customStyle="1" w:styleId="UnresolvedMention1">
    <w:name w:val="Unresolved Mention1"/>
    <w:basedOn w:val="DefaultParagraphFont"/>
    <w:uiPriority w:val="99"/>
    <w:semiHidden/>
    <w:unhideWhenUsed/>
    <w:rsid w:val="00E4146C"/>
    <w:rPr>
      <w:color w:val="605E5C"/>
      <w:shd w:val="clear" w:color="auto" w:fill="E1DFDD"/>
    </w:rPr>
  </w:style>
  <w:style w:type="character" w:customStyle="1" w:styleId="UnresolvedMention2">
    <w:name w:val="Unresolved Mention2"/>
    <w:basedOn w:val="DefaultParagraphFont"/>
    <w:uiPriority w:val="99"/>
    <w:semiHidden/>
    <w:unhideWhenUsed/>
    <w:rsid w:val="00C61F4D"/>
    <w:rPr>
      <w:color w:val="605E5C"/>
      <w:shd w:val="clear" w:color="auto" w:fill="E1DFDD"/>
    </w:rPr>
  </w:style>
  <w:style w:type="character" w:customStyle="1" w:styleId="UnresolvedMention3">
    <w:name w:val="Unresolved Mention3"/>
    <w:basedOn w:val="DefaultParagraphFont"/>
    <w:uiPriority w:val="99"/>
    <w:semiHidden/>
    <w:unhideWhenUsed/>
    <w:rsid w:val="00C42293"/>
    <w:rPr>
      <w:color w:val="605E5C"/>
      <w:shd w:val="clear" w:color="auto" w:fill="E1DFDD"/>
    </w:rPr>
  </w:style>
  <w:style w:type="character" w:customStyle="1" w:styleId="UnresolvedMention4">
    <w:name w:val="Unresolved Mention4"/>
    <w:basedOn w:val="DefaultParagraphFont"/>
    <w:uiPriority w:val="99"/>
    <w:semiHidden/>
    <w:unhideWhenUsed/>
    <w:rsid w:val="00F452EF"/>
    <w:rPr>
      <w:color w:val="605E5C"/>
      <w:shd w:val="clear" w:color="auto" w:fill="E1DFDD"/>
    </w:rPr>
  </w:style>
  <w:style w:type="paragraph" w:styleId="Header">
    <w:name w:val="header"/>
    <w:basedOn w:val="Normal"/>
    <w:link w:val="HeaderChar"/>
    <w:uiPriority w:val="99"/>
    <w:unhideWhenUsed/>
    <w:rsid w:val="00DF7915"/>
    <w:pPr>
      <w:tabs>
        <w:tab w:val="center" w:pos="4535"/>
        <w:tab w:val="right" w:pos="9071"/>
      </w:tabs>
      <w:spacing w:before="0"/>
    </w:pPr>
  </w:style>
  <w:style w:type="character" w:customStyle="1" w:styleId="HeaderChar">
    <w:name w:val="Header Char"/>
    <w:basedOn w:val="DefaultParagraphFont"/>
    <w:link w:val="Header"/>
    <w:uiPriority w:val="99"/>
    <w:rsid w:val="00DF7915"/>
    <w:rPr>
      <w:rFonts w:ascii="Times New Roman" w:hAnsi="Times New Roman" w:cs="Times New Roman"/>
      <w:sz w:val="24"/>
      <w:lang w:val="sl-SI"/>
    </w:rPr>
  </w:style>
  <w:style w:type="paragraph" w:styleId="Footer">
    <w:name w:val="footer"/>
    <w:basedOn w:val="Normal"/>
    <w:link w:val="FooterChar"/>
    <w:uiPriority w:val="99"/>
    <w:unhideWhenUsed/>
    <w:rsid w:val="00DF791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F7915"/>
    <w:rPr>
      <w:rFonts w:ascii="Times New Roman" w:hAnsi="Times New Roman" w:cs="Times New Roman"/>
      <w:sz w:val="24"/>
      <w:lang w:val="sl-SI"/>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sl-SI"/>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sl-SI"/>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sl-SI"/>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sl-SI"/>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sl-SI"/>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sl-SI"/>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sl-SI"/>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DF7915"/>
    <w:pPr>
      <w:tabs>
        <w:tab w:val="center" w:pos="7285"/>
        <w:tab w:val="right" w:pos="14003"/>
      </w:tabs>
      <w:spacing w:before="0"/>
    </w:pPr>
  </w:style>
  <w:style w:type="paragraph" w:customStyle="1" w:styleId="FooterLandscape">
    <w:name w:val="FooterLandscape"/>
    <w:basedOn w:val="Normal"/>
    <w:rsid w:val="00DF791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DF791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F7915"/>
    <w:pPr>
      <w:spacing w:before="0"/>
      <w:jc w:val="right"/>
    </w:pPr>
    <w:rPr>
      <w:sz w:val="28"/>
    </w:rPr>
  </w:style>
  <w:style w:type="paragraph" w:customStyle="1" w:styleId="FooterSensitivity">
    <w:name w:val="Footer Sensitivity"/>
    <w:basedOn w:val="Normal"/>
    <w:rsid w:val="00DF791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39"/>
      </w:numPr>
    </w:pPr>
  </w:style>
  <w:style w:type="paragraph" w:customStyle="1" w:styleId="Tiret1">
    <w:name w:val="Tiret 1"/>
    <w:basedOn w:val="Point1"/>
    <w:rsid w:val="00517205"/>
    <w:pPr>
      <w:numPr>
        <w:numId w:val="40"/>
      </w:numPr>
    </w:pPr>
  </w:style>
  <w:style w:type="paragraph" w:customStyle="1" w:styleId="Tiret2">
    <w:name w:val="Tiret 2"/>
    <w:basedOn w:val="Point2"/>
    <w:rsid w:val="00517205"/>
    <w:pPr>
      <w:numPr>
        <w:numId w:val="41"/>
      </w:numPr>
    </w:pPr>
  </w:style>
  <w:style w:type="paragraph" w:customStyle="1" w:styleId="Tiret3">
    <w:name w:val="Tiret 3"/>
    <w:basedOn w:val="Point3"/>
    <w:rsid w:val="00517205"/>
    <w:pPr>
      <w:numPr>
        <w:numId w:val="42"/>
      </w:numPr>
    </w:pPr>
  </w:style>
  <w:style w:type="paragraph" w:customStyle="1" w:styleId="Tiret4">
    <w:name w:val="Tiret 4"/>
    <w:basedOn w:val="Point4"/>
    <w:rsid w:val="00517205"/>
    <w:pPr>
      <w:numPr>
        <w:numId w:val="43"/>
      </w:numPr>
    </w:pPr>
  </w:style>
  <w:style w:type="paragraph" w:customStyle="1" w:styleId="Tiret5">
    <w:name w:val="Tiret 5"/>
    <w:basedOn w:val="Point5"/>
    <w:rsid w:val="00517205"/>
    <w:pPr>
      <w:numPr>
        <w:numId w:val="44"/>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45"/>
      </w:numPr>
    </w:pPr>
  </w:style>
  <w:style w:type="paragraph" w:customStyle="1" w:styleId="NumPar2">
    <w:name w:val="NumPar 2"/>
    <w:basedOn w:val="Normal"/>
    <w:next w:val="Text1"/>
    <w:rsid w:val="00517205"/>
    <w:pPr>
      <w:numPr>
        <w:ilvl w:val="1"/>
        <w:numId w:val="45"/>
      </w:numPr>
    </w:pPr>
  </w:style>
  <w:style w:type="paragraph" w:customStyle="1" w:styleId="NumPar3">
    <w:name w:val="NumPar 3"/>
    <w:basedOn w:val="Normal"/>
    <w:next w:val="Text1"/>
    <w:rsid w:val="00517205"/>
    <w:pPr>
      <w:numPr>
        <w:ilvl w:val="2"/>
        <w:numId w:val="45"/>
      </w:numPr>
    </w:pPr>
  </w:style>
  <w:style w:type="paragraph" w:customStyle="1" w:styleId="NumPar4">
    <w:name w:val="NumPar 4"/>
    <w:basedOn w:val="Normal"/>
    <w:next w:val="Text1"/>
    <w:rsid w:val="00517205"/>
    <w:pPr>
      <w:numPr>
        <w:ilvl w:val="3"/>
        <w:numId w:val="45"/>
      </w:numPr>
    </w:pPr>
  </w:style>
  <w:style w:type="paragraph" w:customStyle="1" w:styleId="NumPar5">
    <w:name w:val="NumPar 5"/>
    <w:basedOn w:val="Normal"/>
    <w:next w:val="Text2"/>
    <w:rsid w:val="00517205"/>
    <w:pPr>
      <w:numPr>
        <w:ilvl w:val="4"/>
        <w:numId w:val="45"/>
      </w:numPr>
    </w:pPr>
  </w:style>
  <w:style w:type="paragraph" w:customStyle="1" w:styleId="NumPar6">
    <w:name w:val="NumPar 6"/>
    <w:basedOn w:val="Normal"/>
    <w:next w:val="Text2"/>
    <w:rsid w:val="00517205"/>
    <w:pPr>
      <w:numPr>
        <w:ilvl w:val="5"/>
        <w:numId w:val="45"/>
      </w:numPr>
    </w:pPr>
  </w:style>
  <w:style w:type="paragraph" w:customStyle="1" w:styleId="NumPar7">
    <w:name w:val="NumPar 7"/>
    <w:basedOn w:val="Normal"/>
    <w:next w:val="Text2"/>
    <w:rsid w:val="00517205"/>
    <w:pPr>
      <w:numPr>
        <w:ilvl w:val="6"/>
        <w:numId w:val="45"/>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47"/>
      </w:numPr>
    </w:pPr>
  </w:style>
  <w:style w:type="paragraph" w:customStyle="1" w:styleId="Point1number">
    <w:name w:val="Point 1 (number)"/>
    <w:basedOn w:val="Normal"/>
    <w:rsid w:val="00517205"/>
    <w:pPr>
      <w:numPr>
        <w:ilvl w:val="2"/>
        <w:numId w:val="47"/>
      </w:numPr>
    </w:pPr>
  </w:style>
  <w:style w:type="paragraph" w:customStyle="1" w:styleId="Point2number">
    <w:name w:val="Point 2 (number)"/>
    <w:basedOn w:val="Normal"/>
    <w:rsid w:val="00517205"/>
    <w:pPr>
      <w:numPr>
        <w:ilvl w:val="4"/>
        <w:numId w:val="47"/>
      </w:numPr>
    </w:pPr>
  </w:style>
  <w:style w:type="paragraph" w:customStyle="1" w:styleId="Point3number">
    <w:name w:val="Point 3 (number)"/>
    <w:basedOn w:val="Normal"/>
    <w:rsid w:val="00517205"/>
    <w:pPr>
      <w:numPr>
        <w:ilvl w:val="6"/>
        <w:numId w:val="47"/>
      </w:numPr>
    </w:pPr>
  </w:style>
  <w:style w:type="paragraph" w:customStyle="1" w:styleId="Point0letter">
    <w:name w:val="Point 0 (letter)"/>
    <w:basedOn w:val="Normal"/>
    <w:rsid w:val="00517205"/>
    <w:pPr>
      <w:numPr>
        <w:ilvl w:val="1"/>
        <w:numId w:val="47"/>
      </w:numPr>
    </w:pPr>
  </w:style>
  <w:style w:type="paragraph" w:customStyle="1" w:styleId="Point1letter">
    <w:name w:val="Point 1 (letter)"/>
    <w:basedOn w:val="Normal"/>
    <w:rsid w:val="00517205"/>
    <w:pPr>
      <w:numPr>
        <w:ilvl w:val="3"/>
        <w:numId w:val="47"/>
      </w:numPr>
    </w:pPr>
  </w:style>
  <w:style w:type="paragraph" w:customStyle="1" w:styleId="Point2letter">
    <w:name w:val="Point 2 (letter)"/>
    <w:basedOn w:val="Normal"/>
    <w:rsid w:val="00517205"/>
    <w:pPr>
      <w:numPr>
        <w:ilvl w:val="5"/>
        <w:numId w:val="47"/>
      </w:numPr>
    </w:pPr>
  </w:style>
  <w:style w:type="paragraph" w:customStyle="1" w:styleId="Point3letter">
    <w:name w:val="Point 3 (letter)"/>
    <w:basedOn w:val="Normal"/>
    <w:rsid w:val="00517205"/>
    <w:pPr>
      <w:numPr>
        <w:ilvl w:val="7"/>
        <w:numId w:val="47"/>
      </w:numPr>
    </w:pPr>
  </w:style>
  <w:style w:type="paragraph" w:customStyle="1" w:styleId="Point4letter">
    <w:name w:val="Point 4 (letter)"/>
    <w:basedOn w:val="Normal"/>
    <w:rsid w:val="00517205"/>
    <w:pPr>
      <w:numPr>
        <w:ilvl w:val="8"/>
        <w:numId w:val="47"/>
      </w:numPr>
    </w:pPr>
  </w:style>
  <w:style w:type="paragraph" w:customStyle="1" w:styleId="Bullet0">
    <w:name w:val="Bullet 0"/>
    <w:basedOn w:val="Normal"/>
    <w:rsid w:val="00517205"/>
    <w:pPr>
      <w:numPr>
        <w:numId w:val="48"/>
      </w:numPr>
    </w:pPr>
  </w:style>
  <w:style w:type="paragraph" w:customStyle="1" w:styleId="Bullet1">
    <w:name w:val="Bullet 1"/>
    <w:basedOn w:val="Normal"/>
    <w:rsid w:val="00517205"/>
    <w:pPr>
      <w:numPr>
        <w:numId w:val="49"/>
      </w:numPr>
    </w:pPr>
  </w:style>
  <w:style w:type="paragraph" w:customStyle="1" w:styleId="Bullet2">
    <w:name w:val="Bullet 2"/>
    <w:basedOn w:val="Normal"/>
    <w:rsid w:val="00517205"/>
    <w:pPr>
      <w:numPr>
        <w:numId w:val="50"/>
      </w:numPr>
    </w:pPr>
  </w:style>
  <w:style w:type="paragraph" w:customStyle="1" w:styleId="Bullet3">
    <w:name w:val="Bullet 3"/>
    <w:basedOn w:val="Normal"/>
    <w:rsid w:val="00517205"/>
    <w:pPr>
      <w:numPr>
        <w:numId w:val="51"/>
      </w:numPr>
    </w:pPr>
  </w:style>
  <w:style w:type="paragraph" w:customStyle="1" w:styleId="Bullet4">
    <w:name w:val="Bullet 4"/>
    <w:basedOn w:val="Normal"/>
    <w:rsid w:val="00517205"/>
    <w:pPr>
      <w:numPr>
        <w:numId w:val="52"/>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53"/>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86051">
      <w:bodyDiv w:val="1"/>
      <w:marLeft w:val="0"/>
      <w:marRight w:val="0"/>
      <w:marTop w:val="0"/>
      <w:marBottom w:val="0"/>
      <w:divBdr>
        <w:top w:val="none" w:sz="0" w:space="0" w:color="auto"/>
        <w:left w:val="none" w:sz="0" w:space="0" w:color="auto"/>
        <w:bottom w:val="none" w:sz="0" w:space="0" w:color="auto"/>
        <w:right w:val="none" w:sz="0" w:space="0" w:color="auto"/>
      </w:divBdr>
    </w:div>
    <w:div w:id="305554170">
      <w:bodyDiv w:val="1"/>
      <w:marLeft w:val="0"/>
      <w:marRight w:val="0"/>
      <w:marTop w:val="0"/>
      <w:marBottom w:val="0"/>
      <w:divBdr>
        <w:top w:val="none" w:sz="0" w:space="0" w:color="auto"/>
        <w:left w:val="none" w:sz="0" w:space="0" w:color="auto"/>
        <w:bottom w:val="none" w:sz="0" w:space="0" w:color="auto"/>
        <w:right w:val="none" w:sz="0" w:space="0" w:color="auto"/>
      </w:divBdr>
    </w:div>
    <w:div w:id="762842011">
      <w:bodyDiv w:val="1"/>
      <w:marLeft w:val="0"/>
      <w:marRight w:val="0"/>
      <w:marTop w:val="0"/>
      <w:marBottom w:val="0"/>
      <w:divBdr>
        <w:top w:val="none" w:sz="0" w:space="0" w:color="auto"/>
        <w:left w:val="none" w:sz="0" w:space="0" w:color="auto"/>
        <w:bottom w:val="none" w:sz="0" w:space="0" w:color="auto"/>
        <w:right w:val="none" w:sz="0" w:space="0" w:color="auto"/>
      </w:divBdr>
    </w:div>
    <w:div w:id="1395008308">
      <w:bodyDiv w:val="1"/>
      <w:marLeft w:val="0"/>
      <w:marRight w:val="0"/>
      <w:marTop w:val="0"/>
      <w:marBottom w:val="0"/>
      <w:divBdr>
        <w:top w:val="none" w:sz="0" w:space="0" w:color="auto"/>
        <w:left w:val="none" w:sz="0" w:space="0" w:color="auto"/>
        <w:bottom w:val="none" w:sz="0" w:space="0" w:color="auto"/>
        <w:right w:val="none" w:sz="0" w:space="0" w:color="auto"/>
      </w:divBdr>
    </w:div>
    <w:div w:id="1721661369">
      <w:bodyDiv w:val="1"/>
      <w:marLeft w:val="0"/>
      <w:marRight w:val="0"/>
      <w:marTop w:val="0"/>
      <w:marBottom w:val="0"/>
      <w:divBdr>
        <w:top w:val="none" w:sz="0" w:space="0" w:color="auto"/>
        <w:left w:val="none" w:sz="0" w:space="0" w:color="auto"/>
        <w:bottom w:val="none" w:sz="0" w:space="0" w:color="auto"/>
        <w:right w:val="none" w:sz="0" w:space="0" w:color="auto"/>
      </w:divBdr>
    </w:div>
    <w:div w:id="1859543181">
      <w:bodyDiv w:val="1"/>
      <w:marLeft w:val="0"/>
      <w:marRight w:val="0"/>
      <w:marTop w:val="0"/>
      <w:marBottom w:val="0"/>
      <w:divBdr>
        <w:top w:val="none" w:sz="0" w:space="0" w:color="auto"/>
        <w:left w:val="none" w:sz="0" w:space="0" w:color="auto"/>
        <w:bottom w:val="none" w:sz="0" w:space="0" w:color="auto"/>
        <w:right w:val="none" w:sz="0" w:space="0" w:color="auto"/>
      </w:divBdr>
    </w:div>
    <w:div w:id="205437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7.xml"/><Relationship Id="rId30"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L/AUTO/?uri=OJ:L:2014:161:TOC" TargetMode="External"/><Relationship Id="rId2" Type="http://schemas.openxmlformats.org/officeDocument/2006/relationships/hyperlink" Target="https://eur-lex.europa.eu/legal-content/SL/TXT/?uri=CELEX:32022D1201" TargetMode="External"/><Relationship Id="rId1" Type="http://schemas.openxmlformats.org/officeDocument/2006/relationships/hyperlink" Target="https://eu-solidarity-ukraine.ec.europa.eu/eu-assistance-ukraine_en" TargetMode="External"/><Relationship Id="rId5" Type="http://schemas.openxmlformats.org/officeDocument/2006/relationships/hyperlink" Target="https://ec.europa.eu/info/sites/default/files/ukraine-relief-reconstruction_en.pdf" TargetMode="External"/><Relationship Id="rId4" Type="http://schemas.openxmlformats.org/officeDocument/2006/relationships/hyperlink" Target="https://eur-lex.europa.eu/eli/dec/2022/313/oj?locale=s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6C08CCF0D84043B4E7C315EFB8EAF3" ma:contentTypeVersion="4" ma:contentTypeDescription="Create a new document." ma:contentTypeScope="" ma:versionID="4125c7f30dcb2c0a9fe505d7bda8097e">
  <xsd:schema xmlns:xsd="http://www.w3.org/2001/XMLSchema" xmlns:xs="http://www.w3.org/2001/XMLSchema" xmlns:p="http://schemas.microsoft.com/office/2006/metadata/properties" xmlns:ns2="c7440682-6439-415b-99df-de01877f7c9b" targetNamespace="http://schemas.microsoft.com/office/2006/metadata/properties" ma:root="true" ma:fieldsID="1f6fa727447f79c1797bb80e8c5c0d2a" ns2:_="">
    <xsd:import namespace="c7440682-6439-415b-99df-de01877f7c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40682-6439-415b-99df-de01877f7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F163B-2269-4D17-A509-C069948CEFB6}">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c7440682-6439-415b-99df-de01877f7c9b"/>
    <ds:schemaRef ds:uri="http://www.w3.org/XML/1998/namespace"/>
    <ds:schemaRef ds:uri="http://purl.org/dc/dcmitype/"/>
  </ds:schemaRefs>
</ds:datastoreItem>
</file>

<file path=customXml/itemProps2.xml><?xml version="1.0" encoding="utf-8"?>
<ds:datastoreItem xmlns:ds="http://schemas.openxmlformats.org/officeDocument/2006/customXml" ds:itemID="{12E828A7-1DD5-459E-83E9-81A3D4DF5EDE}">
  <ds:schemaRefs>
    <ds:schemaRef ds:uri="http://schemas.microsoft.com/sharepoint/v3/contenttype/forms"/>
  </ds:schemaRefs>
</ds:datastoreItem>
</file>

<file path=customXml/itemProps3.xml><?xml version="1.0" encoding="utf-8"?>
<ds:datastoreItem xmlns:ds="http://schemas.openxmlformats.org/officeDocument/2006/customXml" ds:itemID="{45C630AB-7838-4258-87B0-E0BAB34F3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40682-6439-415b-99df-de01877f7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143A76-DC80-4764-AA65-005799901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47</Pages>
  <Words>16116</Words>
  <Characters>95085</Characters>
  <Application>Microsoft Office Word</Application>
  <DocSecurity>0</DocSecurity>
  <Lines>2377</Lines>
  <Paragraphs>1020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38</cp:revision>
  <cp:lastPrinted>2022-05-25T09:13:00Z</cp:lastPrinted>
  <dcterms:created xsi:type="dcterms:W3CDTF">2022-09-08T14:25:00Z</dcterms:created>
  <dcterms:modified xsi:type="dcterms:W3CDTF">2022-09-08T14:38:00Z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ContentTypeId">
    <vt:lpwstr>0x010100B56C08CCF0D84043B4E7C315EFB8EAF3</vt:lpwstr>
  </property>
  <property fmtid="{D5CDD505-2E9C-101B-9397-08002B2CF9AE}" pid="11" name="MSIP_Label_6bd9ddd1-4d20-43f6-abfa-fc3c07406f94_Enabled">
    <vt:lpwstr>true</vt:lpwstr>
  </property>
  <property fmtid="{D5CDD505-2E9C-101B-9397-08002B2CF9AE}" pid="12" name="MSIP_Label_6bd9ddd1-4d20-43f6-abfa-fc3c07406f94_SetDate">
    <vt:lpwstr>2022-05-21T11:21:05Z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3ff85831-9e9a-4714-af9a-84cc9c166280</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