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76D30" w14:textId="5E11397F" w:rsidR="00F152DC" w:rsidRPr="00195EC3" w:rsidRDefault="003A691C" w:rsidP="003A691C">
      <w:pPr>
        <w:pStyle w:val="Pagedecouverture"/>
        <w:rPr>
          <w:noProof/>
        </w:rPr>
      </w:pPr>
      <w:r>
        <w:rPr>
          <w:noProof/>
        </w:rPr>
        <w:pict w14:anchorId="23855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215D291-5CD6-440F-A06C-82030346B47F" style="width:455.25pt;height:383.25pt">
            <v:imagedata r:id="rId11" o:title=""/>
          </v:shape>
        </w:pict>
      </w:r>
    </w:p>
    <w:p w14:paraId="4B74A241" w14:textId="77777777" w:rsidR="00F152DC" w:rsidRPr="00195EC3" w:rsidRDefault="00F152DC" w:rsidP="00F152DC">
      <w:pPr>
        <w:rPr>
          <w:noProof/>
        </w:rPr>
        <w:sectPr w:rsidR="00F152DC" w:rsidRPr="00195EC3" w:rsidSect="003A691C">
          <w:footerReference w:type="default" r:id="rId12"/>
          <w:pgSz w:w="11907" w:h="16839"/>
          <w:pgMar w:top="1134" w:right="1417" w:bottom="1134" w:left="1417" w:header="709" w:footer="709" w:gutter="0"/>
          <w:pgNumType w:start="0"/>
          <w:cols w:space="720"/>
          <w:docGrid w:linePitch="360"/>
        </w:sectPr>
      </w:pPr>
    </w:p>
    <w:p w14:paraId="54816CF5" w14:textId="77777777" w:rsidR="00F152DC" w:rsidRPr="00195EC3" w:rsidRDefault="00F152DC" w:rsidP="00D045D9">
      <w:pPr>
        <w:pStyle w:val="Exposdesmotifstitre"/>
        <w:rPr>
          <w:noProof/>
        </w:rPr>
      </w:pPr>
      <w:bookmarkStart w:id="0" w:name="_GoBack"/>
      <w:bookmarkEnd w:id="0"/>
      <w:r w:rsidRPr="00195EC3">
        <w:rPr>
          <w:noProof/>
        </w:rPr>
        <w:lastRenderedPageBreak/>
        <w:t>RELAZIONE</w:t>
      </w:r>
    </w:p>
    <w:p w14:paraId="043DC893" w14:textId="77777777" w:rsidR="00F152DC" w:rsidRPr="00195EC3" w:rsidRDefault="4EAF49A8" w:rsidP="61926C97">
      <w:pPr>
        <w:ind w:left="850" w:hanging="850"/>
        <w:rPr>
          <w:noProof/>
        </w:rPr>
      </w:pPr>
      <w:r w:rsidRPr="00195EC3">
        <w:rPr>
          <w:b/>
          <w:smallCaps/>
          <w:noProof/>
        </w:rPr>
        <w:t>1.</w:t>
      </w:r>
      <w:r w:rsidRPr="00195EC3">
        <w:rPr>
          <w:noProof/>
        </w:rPr>
        <w:tab/>
      </w:r>
      <w:r w:rsidRPr="00195EC3">
        <w:rPr>
          <w:b/>
          <w:smallCaps/>
          <w:noProof/>
        </w:rPr>
        <w:t>CONTESTO DELLA PROPOSTA</w:t>
      </w:r>
    </w:p>
    <w:p w14:paraId="51447383" w14:textId="77777777" w:rsidR="26DEF6C3" w:rsidRPr="00195EC3" w:rsidRDefault="26DEF6C3" w:rsidP="00A3543A">
      <w:pPr>
        <w:pStyle w:val="Bullet0"/>
        <w:numPr>
          <w:ilvl w:val="0"/>
          <w:numId w:val="27"/>
        </w:numPr>
        <w:rPr>
          <w:noProof/>
        </w:rPr>
      </w:pPr>
      <w:r w:rsidRPr="00195EC3">
        <w:rPr>
          <w:noProof/>
        </w:rPr>
        <w:t>Motivi e obiettivi della proposta</w:t>
      </w:r>
    </w:p>
    <w:p w14:paraId="4FAEB011" w14:textId="6B6F73CF" w:rsidR="008C4FA0" w:rsidRPr="002A406A" w:rsidRDefault="30770F93" w:rsidP="00AB380C">
      <w:pPr>
        <w:rPr>
          <w:noProof/>
        </w:rPr>
      </w:pPr>
      <w:r w:rsidRPr="002A406A">
        <w:rPr>
          <w:noProof/>
        </w:rPr>
        <w:t>La proposta mira a consentire all'UE di prestare ulteriore assistenza macrofinanziaria (AMF) eccezionale all'Ucraina per un importo di 5</w:t>
      </w:r>
      <w:r w:rsidR="00B26C7E" w:rsidRPr="002A406A">
        <w:rPr>
          <w:noProof/>
        </w:rPr>
        <w:t> </w:t>
      </w:r>
      <w:r w:rsidRPr="002A406A">
        <w:rPr>
          <w:noProof/>
        </w:rPr>
        <w:t>miliardi di EUR in prestiti, dotando nel contempo il bilancio dell'UE dei mezzi che permetteranno di assorbire il rischio di perdite su questi prestiti aggiuntivi e sul prestito AMF da 1 miliardo di EUR adottato il 12</w:t>
      </w:r>
      <w:r w:rsidR="00B26C7E" w:rsidRPr="002A406A">
        <w:rPr>
          <w:noProof/>
        </w:rPr>
        <w:t> </w:t>
      </w:r>
      <w:r w:rsidRPr="002A406A">
        <w:rPr>
          <w:noProof/>
        </w:rPr>
        <w:t>luglio 2022. Intende estendere la stessa protezione del bilancio anche all'erogazione alle autorità ucraine e ai soggetti statali ucraini, dopo il 15</w:t>
      </w:r>
      <w:r w:rsidR="00B26C7E" w:rsidRPr="002A406A">
        <w:rPr>
          <w:noProof/>
        </w:rPr>
        <w:t> </w:t>
      </w:r>
      <w:r w:rsidRPr="002A406A">
        <w:rPr>
          <w:noProof/>
        </w:rPr>
        <w:t>luglio 2022, dei prestiti del mandato esterno già sottoscritti.</w:t>
      </w:r>
    </w:p>
    <w:p w14:paraId="41637F02" w14:textId="60AE47BD" w:rsidR="61926C97" w:rsidRPr="00195EC3" w:rsidRDefault="28D1E4D9" w:rsidP="007F0B43">
      <w:pPr>
        <w:pStyle w:val="Bullet0"/>
        <w:rPr>
          <w:rFonts w:eastAsiaTheme="minorEastAsia"/>
          <w:noProof/>
          <w:szCs w:val="24"/>
        </w:rPr>
      </w:pPr>
      <w:r w:rsidRPr="00195EC3">
        <w:rPr>
          <w:noProof/>
        </w:rPr>
        <w:t>Contesto generale</w:t>
      </w:r>
    </w:p>
    <w:p w14:paraId="210C5375" w14:textId="37E76DD5" w:rsidR="61926C97" w:rsidRPr="002A406A" w:rsidRDefault="5103E2AB" w:rsidP="61926C97">
      <w:pPr>
        <w:rPr>
          <w:noProof/>
        </w:rPr>
      </w:pPr>
      <w:r w:rsidRPr="002A406A">
        <w:rPr>
          <w:noProof/>
        </w:rPr>
        <w:t xml:space="preserve">Il sostegno dell'UE all'Ucraina s'iscrive nel contesto di un saldo rapporto di lunga data. </w:t>
      </w:r>
      <w:r w:rsidR="00B26C7E" w:rsidRPr="002A406A">
        <w:rPr>
          <w:noProof/>
        </w:rPr>
        <w:br/>
      </w:r>
      <w:r w:rsidRPr="002A406A">
        <w:rPr>
          <w:noProof/>
        </w:rPr>
        <w:t>Dal 2014 l'Ucraina intrattiene con l'UE un solido partenariato che va oltre la semplice cooperazione bilaterale ed è finalizzato a realizzare gradualmente l'associazione politica e l'integrazione economica. L'accordo di associazione UE-Ucraina, entrato in vigore il 1º settembre 2017 e comprendente una zona di libero scambio globale e approfondita (DCFTA), costituisce il principale strumento per avvicinare maggiormente l'Ucraina e l'UE. Oltre a promuovere legami politici più profondi, rapporti economici più stretti e il rispetto dei valori comuni, l'accordo ha messo a disposizione un solido quadro per realizzare un ambizioso programma di riforme incentrato sulla lotta alla corruzione, l'indipendenza del sistema giudiziario, lo Stato di diritto e un migliore contesto imprenditoriale. L'UE ha costantemente appoggiato le significative riforme strutturali dell'Ucraina, che sono fondamentali per attirare investimenti, stimolare la produttività e innalzare il tenore di vita a medio e lungo termine. Con la domanda di adesione all'Unione e il riconoscimento dello status di paese candidato, la cooperazione con l'Ucraina è destinata ad approfondirsi ulteriormente via via che il paese avanza nel suo percorso europeo</w:t>
      </w:r>
      <w:r w:rsidRPr="00195EC3">
        <w:rPr>
          <w:rStyle w:val="FootnoteReference"/>
          <w:rFonts w:eastAsia="Times New Roman"/>
          <w:noProof/>
        </w:rPr>
        <w:footnoteReference w:id="2"/>
      </w:r>
      <w:r w:rsidRPr="002A406A">
        <w:rPr>
          <w:noProof/>
        </w:rPr>
        <w:t xml:space="preserve">. </w:t>
      </w:r>
    </w:p>
    <w:p w14:paraId="70EA8046" w14:textId="7E8C261F" w:rsidR="61926C97" w:rsidRPr="002A406A" w:rsidRDefault="42D736E0" w:rsidP="22327288">
      <w:pPr>
        <w:rPr>
          <w:noProof/>
        </w:rPr>
      </w:pPr>
      <w:r w:rsidRPr="002A406A">
        <w:rPr>
          <w:noProof/>
        </w:rPr>
        <w:t>Lo sviluppo economico a lungo termine dell'Ucraina e l'attenzione all'orientamento delle riforme si ritrovano confrontati a sfide immani da quando la Russia ha invaso il paese il 24</w:t>
      </w:r>
      <w:r w:rsidR="00B26C7E" w:rsidRPr="002A406A">
        <w:rPr>
          <w:noProof/>
        </w:rPr>
        <w:t> </w:t>
      </w:r>
      <w:r w:rsidRPr="002A406A">
        <w:rPr>
          <w:noProof/>
        </w:rPr>
        <w:t xml:space="preserve">febbraio 2022 in un atto senza precedenti di aggressione ingiustificata e non provocata. Oltre alle sofferenze umane che provoca, la guerra di aggressione che la Russia porta avanti in Ucraina danneggia pesantemente le infrastrutture fisiche (strade, ponti, fabbriche, ecc.) e gli edifici residenziali e pubblici (unità abitative, scuole, ospedali, ecc.) del paese. </w:t>
      </w:r>
      <w:r w:rsidR="00B26C7E" w:rsidRPr="002A406A">
        <w:rPr>
          <w:noProof/>
        </w:rPr>
        <w:br/>
      </w:r>
      <w:r w:rsidRPr="002A406A">
        <w:rPr>
          <w:noProof/>
        </w:rPr>
        <w:t>I combattimenti sono anche all'origine dell'esodo di massa di oltre 8 milioni di sfollati interni e oltre 6</w:t>
      </w:r>
      <w:r w:rsidR="00B26C7E" w:rsidRPr="002A406A">
        <w:rPr>
          <w:noProof/>
        </w:rPr>
        <w:t> </w:t>
      </w:r>
      <w:r w:rsidRPr="002A406A">
        <w:rPr>
          <w:noProof/>
        </w:rPr>
        <w:t>milioni di profughi. L'impatto complessivo sull'economia, in termini di perdita di produzione nel 2022 e di perdita di produzione futura a causa della distruzione del capitale e della migrazione della forza lavoro, è stimato nell'ordine di centinaia di miliardi. Nel solo 2022 il PIL dell'Ucraina è dato in calo tra il 30 % e il 50 %, il che comporterebbe un'ulteriore perdita di oltre 100</w:t>
      </w:r>
      <w:r w:rsidR="00B26C7E" w:rsidRPr="002A406A">
        <w:rPr>
          <w:noProof/>
        </w:rPr>
        <w:t> </w:t>
      </w:r>
      <w:r w:rsidRPr="002A406A">
        <w:rPr>
          <w:noProof/>
        </w:rPr>
        <w:t>miliardi di EUR, oltre alla distruzione del capitale fisico.</w:t>
      </w:r>
    </w:p>
    <w:p w14:paraId="6F47F649" w14:textId="63B9122E" w:rsidR="2FEB44AC" w:rsidRPr="002A406A" w:rsidRDefault="0FA07279" w:rsidP="22327288">
      <w:pPr>
        <w:rPr>
          <w:noProof/>
        </w:rPr>
      </w:pPr>
      <w:r w:rsidRPr="002A406A">
        <w:rPr>
          <w:noProof/>
        </w:rPr>
        <w:t>Oltre a causare enormi danni all'economia, la guerra di aggressione della Russia nei confronti dell'Ucraina ha determinato per lo Stato la perdita di accesso ai mercati internazionali dei capitali. Secondo le stime di giugno 2022 delle autorità e del Fondo monetario internazionale (FMI), il conseguente deficit di finanziamento sottostante della bilancia dei pagamenti toccherà un importo attorno ai 39</w:t>
      </w:r>
      <w:r w:rsidR="00B26C7E" w:rsidRPr="002A406A">
        <w:rPr>
          <w:noProof/>
        </w:rPr>
        <w:t> </w:t>
      </w:r>
      <w:r w:rsidRPr="002A406A">
        <w:rPr>
          <w:noProof/>
        </w:rPr>
        <w:t>miliardi di USD per il 2022 complessivamente. Secondo la valutazione iniziale dell'FMI, l'Ucraina potrebbe finanziare 9</w:t>
      </w:r>
      <w:r w:rsidR="00B26C7E" w:rsidRPr="002A406A">
        <w:rPr>
          <w:noProof/>
        </w:rPr>
        <w:t> </w:t>
      </w:r>
      <w:r w:rsidRPr="002A406A">
        <w:rPr>
          <w:noProof/>
        </w:rPr>
        <w:t xml:space="preserve">miliardi di USD di questo deficit </w:t>
      </w:r>
      <w:r w:rsidRPr="002A406A">
        <w:rPr>
          <w:noProof/>
        </w:rPr>
        <w:lastRenderedPageBreak/>
        <w:t>attingendo alle riserve internazionali ufficiali senza per questo compromettere la propria stabilità macrofinanziaria</w:t>
      </w:r>
      <w:r w:rsidRPr="00195EC3">
        <w:rPr>
          <w:rStyle w:val="FootnoteReference"/>
          <w:rFonts w:eastAsia="Times New Roman"/>
          <w:noProof/>
        </w:rPr>
        <w:footnoteReference w:id="3"/>
      </w:r>
      <w:r w:rsidRPr="002A406A">
        <w:rPr>
          <w:noProof/>
        </w:rPr>
        <w:t>.</w:t>
      </w:r>
    </w:p>
    <w:p w14:paraId="6C3D90F1" w14:textId="6D11E730" w:rsidR="006D7C8B" w:rsidRPr="002A406A" w:rsidRDefault="462E5199" w:rsidP="005264A0">
      <w:pPr>
        <w:rPr>
          <w:noProof/>
        </w:rPr>
      </w:pPr>
      <w:r w:rsidRPr="002A406A">
        <w:rPr>
          <w:noProof/>
        </w:rPr>
        <w:t>Gli impegni bilaterali e multilaterali di sostegno finanziario assunti nei confronti dell'Ucraina nella riunione dei ministri delle Finanze e dei governatori delle banche centrali del G7, tenutasi a Petersberg dal 18 al 20 maggio, sfiorano i 20</w:t>
      </w:r>
      <w:r w:rsidR="00B26C7E" w:rsidRPr="002A406A">
        <w:rPr>
          <w:noProof/>
        </w:rPr>
        <w:t> </w:t>
      </w:r>
      <w:r w:rsidRPr="002A406A">
        <w:rPr>
          <w:noProof/>
        </w:rPr>
        <w:t>miliardi di USD. Si tratta di impegni fondamentali per sostenere il funzionamento dello Stato ucraino, ma anche una loro erogazione integrale e celere lascerebbe comunque scoperto un importo attorno ai 10</w:t>
      </w:r>
      <w:r w:rsidR="00B26C7E" w:rsidRPr="002A406A">
        <w:rPr>
          <w:noProof/>
        </w:rPr>
        <w:t> </w:t>
      </w:r>
      <w:r w:rsidRPr="002A406A">
        <w:rPr>
          <w:noProof/>
        </w:rPr>
        <w:t xml:space="preserve">miliardi di USD del fabbisogno di finanziamento stimato dall'FMI. Lo svincolo di una quota ingente dell'AMF eccezionale residua permetterebbe un ulteriore e significativo sostegno e contribuirebbe a colmare parzialmente questa carenza. </w:t>
      </w:r>
    </w:p>
    <w:p w14:paraId="0A87A1BC" w14:textId="1F8C28C2" w:rsidR="006D7C8B" w:rsidRPr="002A406A" w:rsidRDefault="57E70C73" w:rsidP="005264A0">
      <w:pPr>
        <w:rPr>
          <w:noProof/>
        </w:rPr>
      </w:pPr>
      <w:r w:rsidRPr="002A406A">
        <w:rPr>
          <w:noProof/>
        </w:rPr>
        <w:t>Dando tra l'altro riscontro al notevole divario tra impegni e effettivi esborsi, nei primi 7 mesi del 2022 le riserve internazionali ucraine sono diminuite dell'equivalente di 8,5</w:t>
      </w:r>
      <w:r w:rsidR="00B26C7E" w:rsidRPr="002A406A">
        <w:rPr>
          <w:noProof/>
        </w:rPr>
        <w:t> </w:t>
      </w:r>
      <w:r w:rsidRPr="002A406A">
        <w:rPr>
          <w:noProof/>
        </w:rPr>
        <w:t>miliardi di USD e a fine luglio si aggiravano sui 22,3</w:t>
      </w:r>
      <w:r w:rsidR="00B26C7E" w:rsidRPr="002A406A">
        <w:rPr>
          <w:noProof/>
        </w:rPr>
        <w:t> </w:t>
      </w:r>
      <w:r w:rsidRPr="002A406A">
        <w:rPr>
          <w:noProof/>
        </w:rPr>
        <w:t>miliardi di USD (importo sufficiente a coprire circa 3,5 mesi di importazioni future); rimangono quindi riserve molto limitate per l'uso nel resto dell'anno (20 miliardi di USD è l'importo ritenuto spesso il livello critico delle riserve necessario ai fini della stabilità macroeconomica nel paese). In questo contesto sempre più difficile, il 21 luglio la banca centrale ucraina (NBU) ha svalutato la hryvnia del 25 % rispetto al dollaro statunitense, pur mantenendo il regime di cambio fisso. Alla misura si sono accompagnate ulteriori misure volte a ridurre al minimo la domanda di valuta estera</w:t>
      </w:r>
      <w:r w:rsidRPr="00195EC3">
        <w:rPr>
          <w:rStyle w:val="FootnoteReference"/>
          <w:noProof/>
        </w:rPr>
        <w:footnoteReference w:id="4"/>
      </w:r>
      <w:r w:rsidRPr="002A406A">
        <w:rPr>
          <w:noProof/>
        </w:rPr>
        <w:t>.</w:t>
      </w:r>
    </w:p>
    <w:p w14:paraId="105455A8" w14:textId="761D398E" w:rsidR="006A0ED9" w:rsidRPr="002A406A" w:rsidRDefault="01BA6172" w:rsidP="6CC4F004">
      <w:pPr>
        <w:rPr>
          <w:rFonts w:eastAsia="Times New Roman"/>
          <w:noProof/>
        </w:rPr>
      </w:pPr>
      <w:r w:rsidRPr="002A406A">
        <w:rPr>
          <w:noProof/>
        </w:rPr>
        <w:t>Il 21 luglio l'Ucraina ha presentato formalmente una richiesta di consenso alla sospensione del servizio del debito commerciale del paese almeno sino a fine 2023. Quest'iniziativa di sospensione del servizio del debito, accolta con favore dai grandi creditori ufficiali bilaterali, in particolare dal gruppo dei creditori dell'Ucraina</w:t>
      </w:r>
      <w:r w:rsidRPr="00195EC3">
        <w:rPr>
          <w:rStyle w:val="FootnoteReference"/>
          <w:rFonts w:eastAsia="Times New Roman"/>
          <w:noProof/>
        </w:rPr>
        <w:footnoteReference w:id="5"/>
      </w:r>
      <w:r w:rsidRPr="002A406A">
        <w:rPr>
          <w:noProof/>
        </w:rPr>
        <w:t xml:space="preserve">, e da loro sostenuta con un'analoga intenzione, apporta un considerevole contributo sotto forma di aiuto all'Ucraina nella gestione della liquidità. Da essa si attende anche un ulteriore sgravio per il bilancio. </w:t>
      </w:r>
    </w:p>
    <w:p w14:paraId="0E66D5E4" w14:textId="5A35EAE1" w:rsidR="008022AB" w:rsidRPr="002A406A" w:rsidRDefault="7821F817" w:rsidP="6CC4F004">
      <w:pPr>
        <w:rPr>
          <w:rFonts w:eastAsia="Times New Roman"/>
          <w:noProof/>
        </w:rPr>
      </w:pPr>
      <w:r w:rsidRPr="002A406A">
        <w:rPr>
          <w:noProof/>
        </w:rPr>
        <w:t xml:space="preserve">Sul versante dell'UE, molti Stati membri hanno messo a disposizione sovvenzioni e si sono impegnati a ulteriori prestiti e garanzie, sia a livello bilaterale sia per il tramite delle istituzioni finanziarie internazionali. I prestiti bilaterali concessi finora dagli Stati membri dell'UE sono di carattere agevolato e contengono un considerevole elemento di gratuità, evidenziato dall'applicazione della la metodologia consolidata dell'OCSE per il calcolo dell'elemento di gratuità nell'aiuto pubblico allo sviluppo. </w:t>
      </w:r>
    </w:p>
    <w:p w14:paraId="1A2846B9" w14:textId="23A793BA" w:rsidR="008022AB" w:rsidRPr="002A406A" w:rsidRDefault="3DCAC1FA" w:rsidP="6FFD2748">
      <w:pPr>
        <w:rPr>
          <w:rFonts w:eastAsia="Times New Roman"/>
          <w:noProof/>
        </w:rPr>
      </w:pPr>
      <w:r w:rsidRPr="002A406A">
        <w:rPr>
          <w:noProof/>
        </w:rPr>
        <w:t>Nel 2022 l'UE in sé ha messo a disposizione dell'Ucraina 2,2</w:t>
      </w:r>
      <w:r w:rsidR="00B26C7E" w:rsidRPr="002A406A">
        <w:rPr>
          <w:noProof/>
        </w:rPr>
        <w:t> </w:t>
      </w:r>
      <w:r w:rsidRPr="002A406A">
        <w:rPr>
          <w:noProof/>
        </w:rPr>
        <w:t>miliardi di EUR in prestiti di AMF, di cui 1,2</w:t>
      </w:r>
      <w:r w:rsidR="00B26C7E" w:rsidRPr="002A406A">
        <w:rPr>
          <w:noProof/>
        </w:rPr>
        <w:t> </w:t>
      </w:r>
      <w:r w:rsidRPr="002A406A">
        <w:rPr>
          <w:noProof/>
        </w:rPr>
        <w:t>miliardi di EUR di AMF di emergenza erogati a marzo e a maggio e 1</w:t>
      </w:r>
      <w:r w:rsidR="00B26C7E" w:rsidRPr="002A406A">
        <w:rPr>
          <w:noProof/>
        </w:rPr>
        <w:t> </w:t>
      </w:r>
      <w:r w:rsidRPr="002A406A">
        <w:rPr>
          <w:noProof/>
        </w:rPr>
        <w:t>miliardo di EUR di AMF eccezionale erogato il 1</w:t>
      </w:r>
      <w:r w:rsidRPr="002A406A">
        <w:rPr>
          <w:noProof/>
          <w:vertAlign w:val="superscript"/>
        </w:rPr>
        <w:t>o</w:t>
      </w:r>
      <w:r w:rsidRPr="002A406A">
        <w:rPr>
          <w:noProof/>
        </w:rPr>
        <w:t xml:space="preserve"> e 2 agosto</w:t>
      </w:r>
      <w:r w:rsidRPr="00195EC3">
        <w:rPr>
          <w:rStyle w:val="FootnoteReference"/>
          <w:rFonts w:eastAsia="Times New Roman"/>
          <w:noProof/>
        </w:rPr>
        <w:footnoteReference w:id="6"/>
      </w:r>
      <w:r w:rsidRPr="002A406A">
        <w:rPr>
          <w:noProof/>
        </w:rPr>
        <w:t>. Quest'ultimo costituisce la prima quota del sostegno dell'AMF eccezionale per un importo massimo di 9</w:t>
      </w:r>
      <w:r w:rsidR="00B26C7E" w:rsidRPr="002A406A">
        <w:rPr>
          <w:noProof/>
        </w:rPr>
        <w:t> </w:t>
      </w:r>
      <w:r w:rsidRPr="002A406A">
        <w:rPr>
          <w:noProof/>
        </w:rPr>
        <w:t xml:space="preserve">miliardi di EUR annunciato dalla Commissione nella comunicazione "Ucraina: assistenza e ricostruzione" del </w:t>
      </w:r>
      <w:r w:rsidRPr="002A406A">
        <w:rPr>
          <w:noProof/>
        </w:rPr>
        <w:lastRenderedPageBreak/>
        <w:t>18</w:t>
      </w:r>
      <w:r w:rsidR="00B26C7E" w:rsidRPr="002A406A">
        <w:rPr>
          <w:noProof/>
        </w:rPr>
        <w:t> </w:t>
      </w:r>
      <w:r w:rsidRPr="002A406A">
        <w:rPr>
          <w:noProof/>
        </w:rPr>
        <w:t>maggio e approvato dal Consiglio europeo del 23 e 24 giugno 2022. Di fronte all'ampio deficit di finanziamento complessivo, l'UE si è detta determinata a contribuire in modo consistente al finanziamento del restante fabbisogno di finanziamento dell'Ucraina per l'intero 2022. L'urgenza di sbloccare fondi ingenti entro la fine dell'anno è posta ulteriormente in risalto dal limitato flusso di sostegno finanziario internazionale promesso per il quarto trimestre</w:t>
      </w:r>
      <w:r w:rsidRPr="00195EC3">
        <w:rPr>
          <w:rStyle w:val="FootnoteReference"/>
          <w:rFonts w:eastAsia="Times New Roman"/>
          <w:noProof/>
        </w:rPr>
        <w:footnoteReference w:id="7"/>
      </w:r>
      <w:r w:rsidRPr="002A406A">
        <w:rPr>
          <w:noProof/>
        </w:rPr>
        <w:t>.</w:t>
      </w:r>
    </w:p>
    <w:p w14:paraId="162DF835" w14:textId="5EC84D25" w:rsidR="61926C97" w:rsidRPr="002A406A" w:rsidRDefault="0FA07279" w:rsidP="22327288">
      <w:pPr>
        <w:rPr>
          <w:rFonts w:eastAsia="Times New Roman"/>
          <w:noProof/>
        </w:rPr>
      </w:pPr>
      <w:r w:rsidRPr="002A406A">
        <w:rPr>
          <w:noProof/>
        </w:rPr>
        <w:t xml:space="preserve">In risposta all'invito del Consiglio europeo del 23 e 24 giugno e data l'urgenza del fabbisogno di finanziamento a breve termine dell'Ucraina, la Commissione europea ha presentato una prima proposta di AMF eccezionale, per un importo massimo di 1 miliardo di EUR, che è stata erogata integralmente in due </w:t>
      </w:r>
      <w:r w:rsidRPr="002A406A">
        <w:rPr>
          <w:i/>
          <w:noProof/>
        </w:rPr>
        <w:t>tranche</w:t>
      </w:r>
      <w:r w:rsidRPr="002A406A">
        <w:rPr>
          <w:noProof/>
        </w:rPr>
        <w:t xml:space="preserve"> il 1</w:t>
      </w:r>
      <w:r w:rsidRPr="002A406A">
        <w:rPr>
          <w:noProof/>
          <w:vertAlign w:val="superscript"/>
        </w:rPr>
        <w:t>o</w:t>
      </w:r>
      <w:r w:rsidRPr="002A406A">
        <w:rPr>
          <w:noProof/>
        </w:rPr>
        <w:t xml:space="preserve"> e 2</w:t>
      </w:r>
      <w:r w:rsidR="00B26C7E" w:rsidRPr="002A406A">
        <w:rPr>
          <w:noProof/>
        </w:rPr>
        <w:t> </w:t>
      </w:r>
      <w:r w:rsidRPr="002A406A">
        <w:rPr>
          <w:noProof/>
        </w:rPr>
        <w:t>agosto 2022. Per progredire nella realizzazione del pacchetto di sostegno eccezionale, la Commissione europea propone un'ulteriore AMF eccezionale per un importo di 5</w:t>
      </w:r>
      <w:r w:rsidR="00B26C7E" w:rsidRPr="002A406A">
        <w:rPr>
          <w:noProof/>
        </w:rPr>
        <w:t> </w:t>
      </w:r>
      <w:r w:rsidRPr="002A406A">
        <w:rPr>
          <w:noProof/>
        </w:rPr>
        <w:t xml:space="preserve">miliardi di EUR in prestiti all'Ucraina. </w:t>
      </w:r>
      <w:r w:rsidR="00B26C7E" w:rsidRPr="002A406A">
        <w:rPr>
          <w:noProof/>
        </w:rPr>
        <w:br/>
      </w:r>
      <w:r w:rsidRPr="002A406A">
        <w:rPr>
          <w:noProof/>
        </w:rPr>
        <w:t>I restanti 3</w:t>
      </w:r>
      <w:r w:rsidR="00B26C7E" w:rsidRPr="002A406A">
        <w:rPr>
          <w:noProof/>
        </w:rPr>
        <w:t> </w:t>
      </w:r>
      <w:r w:rsidRPr="002A406A">
        <w:rPr>
          <w:noProof/>
        </w:rPr>
        <w:t>miliardi di EUR dell'AMF eccezionale annunciata (per un importo massimo di 9</w:t>
      </w:r>
      <w:r w:rsidR="00B26C7E" w:rsidRPr="002A406A">
        <w:rPr>
          <w:noProof/>
        </w:rPr>
        <w:t> </w:t>
      </w:r>
      <w:r w:rsidRPr="002A406A">
        <w:rPr>
          <w:noProof/>
        </w:rPr>
        <w:t xml:space="preserve">miliardi di EUR) saranno messi a disposizione non appena possibile. </w:t>
      </w:r>
    </w:p>
    <w:p w14:paraId="7C97CA4A" w14:textId="11D62BDB" w:rsidR="61926C97" w:rsidRPr="002A406A" w:rsidRDefault="0FA07279" w:rsidP="22327288">
      <w:pPr>
        <w:rPr>
          <w:rFonts w:eastAsia="Times New Roman"/>
          <w:noProof/>
        </w:rPr>
      </w:pPr>
      <w:r w:rsidRPr="002A406A">
        <w:rPr>
          <w:noProof/>
        </w:rPr>
        <w:t>Oltre al sostegno diretto, a luglio 2022 la Commissione europea ha deciso di reindirizzare verso l'Ucraina 1,59</w:t>
      </w:r>
      <w:r w:rsidR="00B26C7E" w:rsidRPr="002A406A">
        <w:rPr>
          <w:noProof/>
        </w:rPr>
        <w:t> </w:t>
      </w:r>
      <w:r w:rsidRPr="002A406A">
        <w:rPr>
          <w:noProof/>
        </w:rPr>
        <w:t>miliardi di EUR di prestiti non erogati nell'ambito del mandato esterno, di cui 1,05</w:t>
      </w:r>
      <w:r w:rsidR="00B26C7E" w:rsidRPr="002A406A">
        <w:rPr>
          <w:noProof/>
        </w:rPr>
        <w:t> </w:t>
      </w:r>
      <w:r w:rsidRPr="002A406A">
        <w:rPr>
          <w:noProof/>
        </w:rPr>
        <w:t>miliardi di EUR erogabili dalla BEI nel terzo trimestre del 2022 a titolo di sostegno alle autorità ucraine e 536</w:t>
      </w:r>
      <w:r w:rsidR="00B26C7E" w:rsidRPr="002A406A">
        <w:rPr>
          <w:noProof/>
        </w:rPr>
        <w:t> </w:t>
      </w:r>
      <w:r w:rsidRPr="002A406A">
        <w:rPr>
          <w:noProof/>
        </w:rPr>
        <w:t>milioni di EUR di prestiti BEI erogabili in una fase successiva al fine di riavviare taluni progetti. L'importo si aggiunge ai 668</w:t>
      </w:r>
      <w:r w:rsidR="00B26C7E" w:rsidRPr="002A406A">
        <w:rPr>
          <w:noProof/>
        </w:rPr>
        <w:t> </w:t>
      </w:r>
      <w:r w:rsidRPr="002A406A">
        <w:rPr>
          <w:noProof/>
        </w:rPr>
        <w:t>milioni di EUR che la Commissione e la BEI avevano già convenuto di reindirizzare a marzo 2022 e che sono stati erogati entro un mese dall'inizio della guerra di aggressione condotta dalla Russia.</w:t>
      </w:r>
    </w:p>
    <w:p w14:paraId="66386C32" w14:textId="7FD9A6DB" w:rsidR="00512DDF" w:rsidRPr="002A406A" w:rsidRDefault="3DCAC1FA" w:rsidP="61926C97">
      <w:pPr>
        <w:rPr>
          <w:rFonts w:eastAsia="Times New Roman"/>
          <w:noProof/>
        </w:rPr>
      </w:pPr>
      <w:r w:rsidRPr="002A406A">
        <w:rPr>
          <w:noProof/>
        </w:rPr>
        <w:t>I prestiti dell'AMF e i prestiti riassegnati del mandato esterno si sommano ai molti altri tipi di sostegno offerto dall'UE, in particolare aiuto umanitario, assistenza allo sviluppo e nel settore della difesa, sospensione di tutti i dazi all'importazione sulle esportazioni ucraine per un anno e altre iniziative di solidarietà, ad esempio per superare le strozzature nel settore dei trasporti in modo da permettere le esportazioni, in particolare di cereali</w:t>
      </w:r>
      <w:r w:rsidRPr="00195EC3">
        <w:rPr>
          <w:rStyle w:val="FootnoteReference"/>
          <w:rFonts w:eastAsia="Times New Roman"/>
          <w:noProof/>
        </w:rPr>
        <w:footnoteReference w:id="8"/>
      </w:r>
      <w:r w:rsidRPr="002A406A">
        <w:rPr>
          <w:noProof/>
        </w:rPr>
        <w:t xml:space="preserve">. </w:t>
      </w:r>
    </w:p>
    <w:p w14:paraId="1D9BA8FC" w14:textId="77777777" w:rsidR="61926C97" w:rsidRPr="002A406A" w:rsidRDefault="61926C97" w:rsidP="61926C97">
      <w:pPr>
        <w:rPr>
          <w:noProof/>
        </w:rPr>
      </w:pPr>
      <w:r w:rsidRPr="002A406A">
        <w:rPr>
          <w:noProof/>
        </w:rPr>
        <w:t>Quest'esteso programma unionale di sostegno s'inserisce nello straordinario sforzo prodigato a livello internazionale dai donatori bilaterali e dalle istituzioni finanziarie internazionali per sostenere l'Ucraina in questa fase critica e nel percorso di ricostruzione a lungo termine.</w:t>
      </w:r>
    </w:p>
    <w:p w14:paraId="0003500D" w14:textId="644CC4B1" w:rsidR="006E20AB" w:rsidRPr="002A406A" w:rsidRDefault="7893A842" w:rsidP="61926C97">
      <w:pPr>
        <w:rPr>
          <w:noProof/>
        </w:rPr>
      </w:pPr>
      <w:r w:rsidRPr="002A406A">
        <w:rPr>
          <w:noProof/>
        </w:rPr>
        <w:t>Dato l'alto rischio di esposizioni finanziarie verso l'Ucraina, la presente proposta precisa i mezzi di bilancio necessari per sostenere la concessione di ulteriori prestiti di AMF eccezionale per un importo di 5</w:t>
      </w:r>
      <w:r w:rsidR="00B26C7E" w:rsidRPr="002A406A">
        <w:rPr>
          <w:noProof/>
        </w:rPr>
        <w:t> </w:t>
      </w:r>
      <w:r w:rsidRPr="002A406A">
        <w:rPr>
          <w:noProof/>
        </w:rPr>
        <w:t>miliardi di EUR e l'erogazione dei prestiti riassegnati del mandato esterno.</w:t>
      </w:r>
    </w:p>
    <w:p w14:paraId="1A22A079" w14:textId="77777777" w:rsidR="006E20AB" w:rsidRPr="00195EC3" w:rsidRDefault="006E20AB" w:rsidP="0087343B">
      <w:pPr>
        <w:pStyle w:val="Bullet0"/>
        <w:rPr>
          <w:noProof/>
        </w:rPr>
      </w:pPr>
      <w:r w:rsidRPr="00195EC3">
        <w:rPr>
          <w:noProof/>
        </w:rPr>
        <w:t>Principali elementi della proposta</w:t>
      </w:r>
    </w:p>
    <w:p w14:paraId="7EE25B72" w14:textId="3D4D749B" w:rsidR="26DEF6C3" w:rsidRPr="00195EC3" w:rsidRDefault="00E7408C" w:rsidP="00E7408C">
      <w:pPr>
        <w:pStyle w:val="Point0"/>
        <w:rPr>
          <w:noProof/>
        </w:rPr>
      </w:pPr>
      <w:r w:rsidRPr="00E7408C">
        <w:t>(1)</w:t>
      </w:r>
      <w:r w:rsidRPr="00E7408C">
        <w:tab/>
      </w:r>
      <w:r w:rsidR="00A54BD1" w:rsidRPr="00195EC3">
        <w:rPr>
          <w:noProof/>
        </w:rPr>
        <w:t>Eccezionalità dell'operazione di AMF</w:t>
      </w:r>
    </w:p>
    <w:p w14:paraId="1D48B37C" w14:textId="4DB5105C" w:rsidR="007261B3" w:rsidRPr="002A406A" w:rsidRDefault="48E0D374" w:rsidP="22327288">
      <w:pPr>
        <w:tabs>
          <w:tab w:val="left" w:pos="4320"/>
        </w:tabs>
        <w:spacing w:after="0"/>
        <w:rPr>
          <w:rFonts w:eastAsia="Times New Roman"/>
          <w:noProof/>
        </w:rPr>
      </w:pPr>
      <w:r w:rsidRPr="002A406A">
        <w:rPr>
          <w:noProof/>
        </w:rPr>
        <w:t xml:space="preserve">Date le circostanze inedite della guerra di aggressione russa nei confronti dell'Ucraina, quest'AMF eccezionale differisce dalle normali operazioni di AMF offrendo maggiore flessibilità sotto diversi aspetti. A rafforzare la natura di agevolazione dell'assistenza vengono la scadenza media più elevata dei prestiti, fino a 25 anni, e la possibilità che il bilancio dell'UE copra le spese per interessi e le spese amministrative. A questo si aggiunge il fatto che, nel contesto attuale e a differenza delle normali operazioni di AMF, l'AMF eccezionale </w:t>
      </w:r>
      <w:r w:rsidRPr="002A406A">
        <w:rPr>
          <w:noProof/>
        </w:rPr>
        <w:lastRenderedPageBreak/>
        <w:t>proposta per un importo massimo di 5</w:t>
      </w:r>
      <w:r w:rsidR="00B26C7E" w:rsidRPr="002A406A">
        <w:rPr>
          <w:noProof/>
        </w:rPr>
        <w:t> </w:t>
      </w:r>
      <w:r w:rsidRPr="002A406A">
        <w:rPr>
          <w:noProof/>
        </w:rPr>
        <w:t xml:space="preserve">miliardi di EUR non è collegata ufficialmente a un programma di erogazione dell'FMI. </w:t>
      </w:r>
    </w:p>
    <w:p w14:paraId="4CDB1FE5" w14:textId="7AC7026F" w:rsidR="007261B3" w:rsidRPr="002A406A" w:rsidRDefault="007261B3" w:rsidP="005C20C9">
      <w:pPr>
        <w:tabs>
          <w:tab w:val="left" w:pos="4320"/>
        </w:tabs>
        <w:spacing w:after="0"/>
        <w:rPr>
          <w:rFonts w:eastAsia="Times New Roman"/>
          <w:noProof/>
          <w:lang w:eastAsia="de-AT"/>
        </w:rPr>
      </w:pPr>
    </w:p>
    <w:p w14:paraId="3C7AE3D1" w14:textId="468BDB3D" w:rsidR="006E20AB" w:rsidRPr="002A406A" w:rsidRDefault="0A82F83F" w:rsidP="00B30C97">
      <w:pPr>
        <w:tabs>
          <w:tab w:val="left" w:pos="4320"/>
        </w:tabs>
        <w:spacing w:after="0"/>
        <w:rPr>
          <w:rFonts w:eastAsia="Times New Roman"/>
          <w:b/>
          <w:bCs/>
          <w:noProof/>
          <w:szCs w:val="24"/>
          <w:u w:val="single"/>
        </w:rPr>
      </w:pPr>
      <w:bookmarkStart w:id="1" w:name="_Hlk113366538"/>
      <w:r w:rsidRPr="002A406A">
        <w:rPr>
          <w:noProof/>
        </w:rPr>
        <w:t>Un protocollo d'intesa, da concordare con le autorità ucraine, stabilirà in dettaglio le modalità di svincolo delle rate del prestito. Oltre alle condizioni politiche alle quali saranno collegati gli esborsi in questa seconda parte dell'AMF eccezionale all'Ucraina, il protocollo d'intesa imporrà anche l'impiego dei sistemi di rendicontazione istituiti nel contesto della prima parte. Le misure politiche cui sarà collegata l'erogazione dell'assistenza saranno, da un lato, ritagliate sulle questioni più critiche e, dall'altro, proporzionate ai risultati che si possono ottenere nella situazione attuale, che vede il proseguimento della guerra di aggressione russa nei confronti dell'Ucraina. Tramite il sistema di rendicontazione, il futuro protocollo d'intesa porrebbe l'accento su una maggiore trasparenza e responsabilità per quanto riguarda l'impiego delle risorse di bilancio (compresi i fondi ricevuti nell'ambito di quest'assistenza). Potrebbe includere valutazioni dei bisogni da soddisfare, specie in termini di infrastrutture critiche quali strade, ferrovie, ospedali, scuole e edilizia residenziale. Potrebbero essere presi in considerazione, se del caso, anche gli interventi, nell'ambito dell'AMF di emergenza da 1,2</w:t>
      </w:r>
      <w:r w:rsidR="00B26C7E" w:rsidRPr="002A406A">
        <w:rPr>
          <w:noProof/>
        </w:rPr>
        <w:t> </w:t>
      </w:r>
      <w:r w:rsidRPr="002A406A">
        <w:rPr>
          <w:noProof/>
        </w:rPr>
        <w:t>miliardi di EUR erogata a marzo e a maggio 2022, volti a migliorare la resilienza e la stabilità del paese, nel settore della governance e dello Stato di diritto e nel settore dell'energia, che non sono stati completati per cause di forza maggiore</w:t>
      </w:r>
      <w:r w:rsidRPr="00195EC3">
        <w:rPr>
          <w:rStyle w:val="FootnoteReference"/>
          <w:rFonts w:eastAsia="Times New Roman"/>
          <w:noProof/>
        </w:rPr>
        <w:footnoteReference w:id="9"/>
      </w:r>
      <w:r w:rsidRPr="002A406A">
        <w:rPr>
          <w:noProof/>
        </w:rPr>
        <w:t>.</w:t>
      </w:r>
    </w:p>
    <w:p w14:paraId="5182A5E9" w14:textId="1B5C419A" w:rsidR="26DEF6C3" w:rsidRPr="002A406A" w:rsidRDefault="00E7408C" w:rsidP="00E7408C">
      <w:pPr>
        <w:pStyle w:val="Point0"/>
        <w:rPr>
          <w:noProof/>
        </w:rPr>
      </w:pPr>
      <w:bookmarkStart w:id="2" w:name="_Hlk113270238"/>
      <w:bookmarkEnd w:id="1"/>
      <w:r w:rsidRPr="00E7408C">
        <w:t>(2)</w:t>
      </w:r>
      <w:r w:rsidRPr="00E7408C">
        <w:tab/>
      </w:r>
      <w:r w:rsidR="00E632E4" w:rsidRPr="002A406A">
        <w:rPr>
          <w:noProof/>
        </w:rPr>
        <w:t>Gestione del bilancio e dei rischi</w:t>
      </w:r>
    </w:p>
    <w:bookmarkEnd w:id="2"/>
    <w:p w14:paraId="1C23C572" w14:textId="5931E12D" w:rsidR="26DEF6C3" w:rsidRPr="002A406A" w:rsidRDefault="415AF9A2" w:rsidP="26DEF6C3">
      <w:pPr>
        <w:rPr>
          <w:noProof/>
        </w:rPr>
      </w:pPr>
      <w:r w:rsidRPr="002A406A">
        <w:rPr>
          <w:noProof/>
        </w:rPr>
        <w:t>Il presente pacchetto di prestiti di AMF eccezionale deve tenere conto dell'entità e del profilo di rischio più elevato delle esposizioni dell'UE verso l'Ucraina, così come dei particolari vincoli cui nella situazione attuale è confrontato il bilancio dell'UE. Si prevedono tuttavia condizioni estremamente agevolate per i prestiti (scadenza media fino a 25 anni), offrendo nel contempo sollievo a breve termine allo Stato ucraino grazie allo sgravio dal pagamento degli interessi, almeno per l'attuale quadro finanziario pluriennale (QFP). Alla luce delle diverse considerazioni esposte, la proposta si contraddistingue per gli elementi illustrati di seguito.</w:t>
      </w:r>
    </w:p>
    <w:p w14:paraId="235A6C2D" w14:textId="77777777" w:rsidR="26DEF6C3" w:rsidRPr="002A406A" w:rsidRDefault="61926C97" w:rsidP="00E632E4">
      <w:pPr>
        <w:pStyle w:val="LegalNumPar2"/>
        <w:rPr>
          <w:noProof/>
          <w:u w:val="single"/>
        </w:rPr>
      </w:pPr>
      <w:r w:rsidRPr="002A406A">
        <w:rPr>
          <w:noProof/>
          <w:u w:val="single"/>
        </w:rPr>
        <w:t>Maggiore capacità di assorbimento delle perdite commisurata al più elevato rischio di credito</w:t>
      </w:r>
    </w:p>
    <w:p w14:paraId="5EF4B1F1" w14:textId="39180217" w:rsidR="26DEF6C3" w:rsidRPr="002A406A" w:rsidRDefault="7CB5C296" w:rsidP="26DEF6C3">
      <w:pPr>
        <w:rPr>
          <w:noProof/>
        </w:rPr>
      </w:pPr>
      <w:r w:rsidRPr="002A406A">
        <w:rPr>
          <w:noProof/>
        </w:rPr>
        <w:t>Analogamente alla recente decisione del Parlamento europeo e del Consiglio relativa a un'AMF eccezionale per un importo massimo di 1 miliardo di EUR in prestiti</w:t>
      </w:r>
      <w:r w:rsidRPr="00195EC3">
        <w:rPr>
          <w:rStyle w:val="FootnoteReference"/>
          <w:rFonts w:eastAsia="Times New Roman"/>
          <w:noProof/>
        </w:rPr>
        <w:footnoteReference w:id="10"/>
      </w:r>
      <w:r w:rsidRPr="002A406A">
        <w:rPr>
          <w:noProof/>
        </w:rPr>
        <w:t>, il pacchetto di prestiti all'Ucraina attualmente proposto presenta in potenza rischi più elevati di inadempimento sui rimborsi rispetto ai normali prestiti di AMF. La guerra di aggressione russa determina l'inadeguatezza del tasso di copertura del 9 % applicato in genere ai paesi che attraversano una crisi della bilancia dei pagamenti: dati i problemi cui l'Ucraina deve far fronte e la probabilità di perdite, la presente proposta presuppone la necessità di una copertura del 70 % per mettere il bilancio dell'UE al riparo da imprevisti futuri. Questo tasso di copertura elevato è al momento ritenuto necessario se, in linea con i principi di sana gestione finanziaria, si vuole contenere il rischio derivante da quest'ulteriore AMF eccezionale concessa all'Ucraina.</w:t>
      </w:r>
    </w:p>
    <w:p w14:paraId="08D38E88" w14:textId="77777777" w:rsidR="61926C97" w:rsidRPr="002A406A" w:rsidRDefault="462E5199" w:rsidP="61926C97">
      <w:pPr>
        <w:rPr>
          <w:noProof/>
        </w:rPr>
      </w:pPr>
      <w:r w:rsidRPr="002A406A">
        <w:rPr>
          <w:noProof/>
        </w:rPr>
        <w:lastRenderedPageBreak/>
        <w:t>Dalla valutazione di detti elementi risulta che la copertura del 70 % esprime quella politica prudente e cautelativa di attenuazione dei rischi che permette di rassicurare gli investitori sul fatto che gli importi investiti nelle obbligazioni dell'UE che finanziano i prestiti dell'AMF eccezionale all'Ucraina saranno rimborsati integralmente e alla scadenza.</w:t>
      </w:r>
    </w:p>
    <w:p w14:paraId="370FB3E0" w14:textId="77777777" w:rsidR="26DEF6C3" w:rsidRPr="002A406A" w:rsidRDefault="26DEF6C3" w:rsidP="00E632E4">
      <w:pPr>
        <w:pStyle w:val="LegalNumPar2"/>
        <w:rPr>
          <w:noProof/>
          <w:u w:val="single"/>
        </w:rPr>
      </w:pPr>
      <w:r w:rsidRPr="002A406A">
        <w:rPr>
          <w:noProof/>
          <w:u w:val="single"/>
        </w:rPr>
        <w:t>Necessaria copertura di bilancio realizzata mediante garanzie degli Stati membri</w:t>
      </w:r>
    </w:p>
    <w:p w14:paraId="70746240" w14:textId="306F1E0F" w:rsidR="26DEF6C3" w:rsidRPr="002A406A" w:rsidRDefault="7A367D63" w:rsidP="07D623CA">
      <w:pPr>
        <w:rPr>
          <w:noProof/>
        </w:rPr>
      </w:pPr>
      <w:r w:rsidRPr="002A406A">
        <w:rPr>
          <w:noProof/>
        </w:rPr>
        <w:t xml:space="preserve">La garanzia per le azioni esterne nell'ambito dello strumento di vicinato, cooperazione allo sviluppo e cooperazione internazionale – Europa globale è intesa a garantire operazioni di AMF per un totale complessivo di circa 11 miliardi di EUR, con copertura del 9 %, dato che i prestiti di AMF comportano un rischio sovrano. Su tale base, nella programmazione finanziaria accantonamenti per 1 miliardo di EUR sono stati riservati alle operazioni di AMF a favore di paesi terzi a partire dai fondi di cui all'articolo 31, paragrafo 5, terzo comma, del regolamento (UE) 2021/947. </w:t>
      </w:r>
    </w:p>
    <w:p w14:paraId="3BEA3533" w14:textId="0E6CCA5A" w:rsidR="61926C97" w:rsidRPr="002A406A" w:rsidRDefault="6C275781" w:rsidP="07D623CA">
      <w:pPr>
        <w:rPr>
          <w:noProof/>
        </w:rPr>
      </w:pPr>
      <w:r w:rsidRPr="002A406A">
        <w:rPr>
          <w:noProof/>
        </w:rPr>
        <w:t>La copertura è già stata destinata per la maggior parte ai prestiti di AMF all'Ucraina: i prestiti dell'AMF di emergenza per 1,2</w:t>
      </w:r>
      <w:r w:rsidR="00B26C7E" w:rsidRPr="002A406A">
        <w:rPr>
          <w:noProof/>
        </w:rPr>
        <w:t> </w:t>
      </w:r>
      <w:r w:rsidRPr="002A406A">
        <w:rPr>
          <w:noProof/>
        </w:rPr>
        <w:t>miliardi di EUR al 9 % (108 milioni di EUR di accantonamento) e il recente prestito di AMF eccezionale per 1 miliardo di EUR al 70 % (700</w:t>
      </w:r>
      <w:r w:rsidR="00B26C7E" w:rsidRPr="002A406A">
        <w:rPr>
          <w:noProof/>
        </w:rPr>
        <w:t> </w:t>
      </w:r>
      <w:r w:rsidRPr="002A406A">
        <w:rPr>
          <w:noProof/>
        </w:rPr>
        <w:t>milioni di EUR di accantonamento). Le risorse residue del bilancio dell'UE non sono pertanto sufficienti a fornire la necessaria copertura di bilancio dei 5</w:t>
      </w:r>
      <w:r w:rsidR="00B26C7E" w:rsidRPr="002A406A">
        <w:rPr>
          <w:noProof/>
        </w:rPr>
        <w:t> </w:t>
      </w:r>
      <w:r w:rsidRPr="002A406A">
        <w:rPr>
          <w:noProof/>
        </w:rPr>
        <w:t>miliardi di EUR di prestiti aggiuntivi al 70 % del valore nozionale.</w:t>
      </w:r>
    </w:p>
    <w:p w14:paraId="2307BA6C" w14:textId="5425CDC0" w:rsidR="61926C97" w:rsidRPr="002A406A" w:rsidRDefault="462E5199" w:rsidP="07D623CA">
      <w:pPr>
        <w:rPr>
          <w:noProof/>
        </w:rPr>
      </w:pPr>
      <w:r w:rsidRPr="002A406A">
        <w:rPr>
          <w:noProof/>
        </w:rPr>
        <w:t xml:space="preserve">I nuovi prestiti di AMF proposti possono pertanto rispondere al criterio della sana gestione finanziaria soltanto se gli Stati membri accettano di fornire il necessario complemento di copertura di bilancio, per il quale è proposta la forma di garanzie con importo impegnato da ciascuno Stato membro calcolato in proporzione dell'RNL. Grazie a tali garanzie l'UE sarebbe in grado di richiamare gli importi necessari per onorare, qualora l'Ucraina risultasse inadempiente, gli impegni di rimborso assunti nei confronti degli obbligazionisti nella misura necessaria a colmare l'eventuale carenza del fondo comune di copertura. Agli Stati membri non sarebbe chiesto di anticipare liquidità ai fini della copertura e le garanzie sarebbero attivate soltanto se gli inadempimenti dell'Ucraina avessero esaurito l'accantonamento specifico disponibile nel fondo comune di copertura. Le garanzie costituiscono una risposta adeguata date anche l'imprevedibilità e l'incertezza che circondano le potenziali perdite. </w:t>
      </w:r>
      <w:r w:rsidR="00B26C7E" w:rsidRPr="002A406A">
        <w:rPr>
          <w:noProof/>
        </w:rPr>
        <w:br/>
      </w:r>
      <w:r w:rsidRPr="002A406A">
        <w:rPr>
          <w:noProof/>
        </w:rPr>
        <w:t>Come indicato in precedenza, i prestiti sarebbero strutturati in modo da massimizzare le possibilità che l'Ucraina abbia recuperato in misura sufficiente da consentirle di onorare integralmente gli obblighi di rimborso.</w:t>
      </w:r>
    </w:p>
    <w:p w14:paraId="732169CC" w14:textId="2F9C7159" w:rsidR="00604E2B" w:rsidRPr="002A406A" w:rsidRDefault="0FA07279" w:rsidP="00604E2B">
      <w:pPr>
        <w:rPr>
          <w:noProof/>
        </w:rPr>
      </w:pPr>
      <w:r w:rsidRPr="002A406A">
        <w:rPr>
          <w:noProof/>
        </w:rPr>
        <w:t>La messa a disposizione di garanzie degli Stati membri è una tecnica che è stata usata nel contesto del regolamento sullo strumento di sostegno per attenuare i rischi di disoccupazione nello stato di emergenza (SURE)</w:t>
      </w:r>
      <w:r w:rsidRPr="00195EC3">
        <w:rPr>
          <w:rStyle w:val="FootnoteReference"/>
          <w:rFonts w:eastAsia="Times New Roman"/>
          <w:noProof/>
        </w:rPr>
        <w:footnoteReference w:id="11"/>
      </w:r>
      <w:r w:rsidRPr="002A406A">
        <w:rPr>
          <w:noProof/>
        </w:rPr>
        <w:t xml:space="preserve"> per far sì che l'UE disponesse di una capacità di bilancio sufficiente a assorbire le perdite previste sui prestiti da essa erogati agli Stati membri. </w:t>
      </w:r>
      <w:r w:rsidR="00B26C7E" w:rsidRPr="002A406A">
        <w:rPr>
          <w:noProof/>
        </w:rPr>
        <w:br/>
      </w:r>
      <w:r w:rsidRPr="002A406A">
        <w:rPr>
          <w:noProof/>
        </w:rPr>
        <w:t>Il SURE era però subordinato all'entrata in vigore di tutte le garanzie; data l'estrema urgenza del fabbisogno di finanziamento del paese, in questo caso i prestiti dell'AMF eccezionale all'Ucraina potrebbero invece essere messi a disposizione prima dell'entrata in vigore dei singoli accordi sulla garanzia nazionale tra la Commissione e gli Stati membri, purché questi assumano il fermo impegno a concluderli quanto prima.</w:t>
      </w:r>
    </w:p>
    <w:p w14:paraId="5C9598F3" w14:textId="77777777" w:rsidR="00604E2B" w:rsidRPr="002A406A" w:rsidRDefault="00604E2B" w:rsidP="00604E2B">
      <w:pPr>
        <w:pStyle w:val="LegalNumPar2"/>
        <w:rPr>
          <w:rFonts w:eastAsiaTheme="minorEastAsia"/>
          <w:noProof/>
          <w:szCs w:val="24"/>
          <w:u w:val="single"/>
        </w:rPr>
      </w:pPr>
      <w:r w:rsidRPr="002A406A">
        <w:rPr>
          <w:noProof/>
          <w:u w:val="single"/>
        </w:rPr>
        <w:t>Massimizzare le sinergie tra copertura dell'UE e garanzie degli Stati membri</w:t>
      </w:r>
    </w:p>
    <w:p w14:paraId="5BA2BB21" w14:textId="6800E8BD" w:rsidR="26DEF6C3" w:rsidRPr="002A406A" w:rsidRDefault="67D4B680" w:rsidP="26DEF6C3">
      <w:pPr>
        <w:rPr>
          <w:noProof/>
        </w:rPr>
      </w:pPr>
      <w:r w:rsidRPr="002A406A">
        <w:rPr>
          <w:noProof/>
        </w:rPr>
        <w:lastRenderedPageBreak/>
        <w:t>Per ottimizzare la gestione delle situazioni di eventuale richiamo della copertura di bilancio dell'UE e delle garanzie degli Stati membri per rimborsare gli investitori obbligazionari dell'UE, si propone una gestione integrata, come gestione di un'esposizione unica di 6 miliardi di EUR, del recente prestito di 1 miliardo di EUR di AMF eccezionale, erogato il 1</w:t>
      </w:r>
      <w:r w:rsidRPr="002A406A">
        <w:rPr>
          <w:noProof/>
          <w:vertAlign w:val="superscript"/>
        </w:rPr>
        <w:t>o</w:t>
      </w:r>
      <w:r w:rsidRPr="002A406A">
        <w:rPr>
          <w:noProof/>
        </w:rPr>
        <w:t xml:space="preserve"> e 2</w:t>
      </w:r>
      <w:r w:rsidR="00B26C7E" w:rsidRPr="002A406A">
        <w:rPr>
          <w:noProof/>
        </w:rPr>
        <w:t> </w:t>
      </w:r>
      <w:r w:rsidRPr="002A406A">
        <w:rPr>
          <w:noProof/>
        </w:rPr>
        <w:t>agosto 2022, e dei prestiti aggiuntivi di 5</w:t>
      </w:r>
      <w:r w:rsidR="00B26C7E" w:rsidRPr="002A406A">
        <w:rPr>
          <w:noProof/>
        </w:rPr>
        <w:t> </w:t>
      </w:r>
      <w:r w:rsidRPr="002A406A">
        <w:rPr>
          <w:noProof/>
        </w:rPr>
        <w:t>miliardi di EUR rientranti nell'ambito della presente iniziativa. In questo modo il bilancio dell'UE provvederà una protezione dalle prime perdite per il 9 % della totalità dei 6</w:t>
      </w:r>
      <w:r w:rsidR="00B26C7E" w:rsidRPr="002A406A">
        <w:rPr>
          <w:noProof/>
        </w:rPr>
        <w:t> </w:t>
      </w:r>
      <w:r w:rsidRPr="002A406A">
        <w:rPr>
          <w:noProof/>
        </w:rPr>
        <w:t>miliardi di EUR, a cui si aggiungeranno garanzie degli Stati membri per un ulteriore</w:t>
      </w:r>
      <w:r w:rsidR="0064601D" w:rsidRPr="002A406A">
        <w:rPr>
          <w:noProof/>
        </w:rPr>
        <w:t xml:space="preserve"> 61 % del valore dei prestiti. </w:t>
      </w:r>
    </w:p>
    <w:p w14:paraId="0CF1B5F6" w14:textId="16B0D9E0" w:rsidR="26DEF6C3" w:rsidRPr="002A406A" w:rsidRDefault="009A127F" w:rsidP="26DEF6C3">
      <w:pPr>
        <w:rPr>
          <w:noProof/>
        </w:rPr>
      </w:pPr>
      <w:r w:rsidRPr="002A406A">
        <w:rPr>
          <w:noProof/>
        </w:rPr>
        <w:t>S'illustrano qui di seguito le implicazioni della gestione unica dei due complessi di prestiti dell'assistenza macrofinanziaria eccezionale.</w:t>
      </w:r>
    </w:p>
    <w:p w14:paraId="2FDE5118" w14:textId="2AC7639F" w:rsidR="26DEF6C3" w:rsidRPr="002A406A" w:rsidRDefault="57972785" w:rsidP="0087343B">
      <w:pPr>
        <w:pStyle w:val="Bullet0"/>
        <w:rPr>
          <w:noProof/>
        </w:rPr>
      </w:pPr>
      <w:r w:rsidRPr="002A406A">
        <w:rPr>
          <w:noProof/>
        </w:rPr>
        <w:t>La prevista copertura da attingere al bilancio dell'UE esclusivamente per soddisfare i 6</w:t>
      </w:r>
      <w:r w:rsidR="00B26C7E" w:rsidRPr="002A406A">
        <w:rPr>
          <w:noProof/>
        </w:rPr>
        <w:t> </w:t>
      </w:r>
      <w:r w:rsidRPr="002A406A">
        <w:rPr>
          <w:noProof/>
        </w:rPr>
        <w:t>miliardi di EUR di potenziali pretese derivanti dalle nuove esposizioni relative all'Ucraina ammonterà a 540</w:t>
      </w:r>
      <w:r w:rsidR="00B26C7E" w:rsidRPr="002A406A">
        <w:rPr>
          <w:noProof/>
        </w:rPr>
        <w:t> </w:t>
      </w:r>
      <w:r w:rsidRPr="002A406A">
        <w:rPr>
          <w:noProof/>
        </w:rPr>
        <w:t>milioni di EUR – un importo ingente (a cui si aggiungeranno gli accantonamenti per i prestiti del mandato esterno riassegnati – cfr.</w:t>
      </w:r>
      <w:r w:rsidR="00B26C7E" w:rsidRPr="002A406A">
        <w:rPr>
          <w:noProof/>
        </w:rPr>
        <w:t> </w:t>
      </w:r>
      <w:r w:rsidRPr="002A406A">
        <w:rPr>
          <w:noProof/>
        </w:rPr>
        <w:t>infra) che costituirà una consistente riserva atta a gestire le esigenze di rimborso qualora l'Ucraina si ritrovasse nell'impossibilità, temporanea o no, di assolvere i propri obblighi di pagamento nei confronti dell'UE. Una riserva di quest'entità può fungere da primo livello efficace di protezione qualora l'Ucraina abbia omesso di ripagare l'UE e può servire a procrastinare il necessario richiamo delle garanzie degli Stati membri. I 540</w:t>
      </w:r>
      <w:r w:rsidR="00B26C7E" w:rsidRPr="002A406A">
        <w:rPr>
          <w:noProof/>
        </w:rPr>
        <w:t> </w:t>
      </w:r>
      <w:r w:rsidRPr="002A406A">
        <w:rPr>
          <w:noProof/>
        </w:rPr>
        <w:t>milioni di EUR accantonati possono essere tenuti in uno specifico comparto del fondo comune di copertura, così da consentire lo svincolo di 160</w:t>
      </w:r>
      <w:r w:rsidR="00B26C7E" w:rsidRPr="002A406A">
        <w:rPr>
          <w:noProof/>
        </w:rPr>
        <w:t> </w:t>
      </w:r>
      <w:r w:rsidRPr="002A406A">
        <w:rPr>
          <w:noProof/>
        </w:rPr>
        <w:t>milioni di EUR dai 700 milioni di EUR di accantonamenti già destinati al prestito di 1 miliardo di EUR della prima parte del pacchetto di AMF eccezionale.</w:t>
      </w:r>
    </w:p>
    <w:p w14:paraId="7ED9DE6E" w14:textId="391F668B" w:rsidR="26DEF6C3" w:rsidRPr="002A406A" w:rsidRDefault="67D4B680" w:rsidP="0087343B">
      <w:pPr>
        <w:pStyle w:val="Bullet0"/>
        <w:rPr>
          <w:rFonts w:eastAsiaTheme="minorEastAsia"/>
          <w:noProof/>
          <w:szCs w:val="24"/>
        </w:rPr>
      </w:pPr>
      <w:r w:rsidRPr="002A406A">
        <w:rPr>
          <w:noProof/>
        </w:rPr>
        <w:t>Per portare la copertura di bilancio al necessario livello del 70 %, gli Stati membri dovrebbero mettere a disposizione garanzie di bilancio per il restante 61 % dell'intero pacchetto di 6</w:t>
      </w:r>
      <w:r w:rsidR="00B26C7E" w:rsidRPr="002A406A">
        <w:rPr>
          <w:noProof/>
        </w:rPr>
        <w:t> </w:t>
      </w:r>
      <w:r w:rsidRPr="002A406A">
        <w:rPr>
          <w:noProof/>
        </w:rPr>
        <w:t>miliardi di EUR di prestiti dell'AMF eccezionale. Il totale dei volumi che gli Stati membri sono chiamati a garantire ammonterebbe complessivamente a 3,66</w:t>
      </w:r>
      <w:r w:rsidR="00B26C7E" w:rsidRPr="002A406A">
        <w:rPr>
          <w:noProof/>
        </w:rPr>
        <w:t> </w:t>
      </w:r>
      <w:r w:rsidRPr="002A406A">
        <w:rPr>
          <w:noProof/>
        </w:rPr>
        <w:t xml:space="preserve">miliardi di EUR. Le garanzie sarebbero attivate soltanto in caso di esaurimento degli importi tenuti come accantonamenti nello specifico comparto del fondo comune di copertura dedicato all'AMF all'Ucraina. Gli Stati membri s'impegnano a fornire le risorse incondizionatamente e immediatamente in risposta a una richiesta della Commissione conseguente al potenziale inadempimento degli obblighi di pagamento da parte dell'Ucraina. Poiché gli Stati membri non devono anticipare liquidità, le garanzie di bilancio che mettono a disposizione costituiscono passività potenziali. Rappresentano un secondo livello di protezione per gli investitori in obbligazioni dell'UE che finanziano i prestiti dell'AMF eccezionale. </w:t>
      </w:r>
    </w:p>
    <w:p w14:paraId="07372491" w14:textId="0F2E862A" w:rsidR="26DEF6C3" w:rsidRPr="00195EC3" w:rsidRDefault="20BCED50" w:rsidP="22327288">
      <w:pPr>
        <w:rPr>
          <w:rFonts w:eastAsia="Times New Roman"/>
          <w:noProof/>
        </w:rPr>
      </w:pPr>
      <w:r w:rsidRPr="002A406A">
        <w:rPr>
          <w:noProof/>
        </w:rPr>
        <w:t>Quest'impostazione implica la necessità di modificare lievemente il testo della decisione (UE) 2022/1201</w:t>
      </w:r>
      <w:r w:rsidRPr="00195EC3">
        <w:rPr>
          <w:rStyle w:val="FootnoteReference"/>
          <w:rFonts w:eastAsia="Times New Roman"/>
          <w:noProof/>
        </w:rPr>
        <w:footnoteReference w:id="12"/>
      </w:r>
      <w:r w:rsidRPr="002A406A">
        <w:rPr>
          <w:noProof/>
        </w:rPr>
        <w:t xml:space="preserve"> che ha disposto prestiti dell'AMF eccezionale per 1</w:t>
      </w:r>
      <w:r w:rsidR="00B26C7E" w:rsidRPr="002A406A">
        <w:rPr>
          <w:noProof/>
        </w:rPr>
        <w:t> </w:t>
      </w:r>
      <w:r w:rsidRPr="002A406A">
        <w:rPr>
          <w:noProof/>
        </w:rPr>
        <w:t xml:space="preserve">miliardo di EUR. </w:t>
      </w:r>
      <w:r w:rsidRPr="00195EC3">
        <w:rPr>
          <w:noProof/>
        </w:rPr>
        <w:t>La presente proposta stabilisce le modifiche necessarie.</w:t>
      </w:r>
    </w:p>
    <w:p w14:paraId="62A527FE" w14:textId="77777777" w:rsidR="00604E2B" w:rsidRPr="002A406A" w:rsidRDefault="00604E2B" w:rsidP="00604E2B">
      <w:pPr>
        <w:pStyle w:val="LegalNumPar2"/>
        <w:rPr>
          <w:noProof/>
          <w:u w:val="single"/>
        </w:rPr>
      </w:pPr>
      <w:r w:rsidRPr="002A406A">
        <w:rPr>
          <w:noProof/>
          <w:u w:val="single"/>
        </w:rPr>
        <w:t xml:space="preserve">Copertura dei costi degli interessi tramite il bilancio dell'UE </w:t>
      </w:r>
    </w:p>
    <w:p w14:paraId="57F726AE" w14:textId="0BBFEA46" w:rsidR="6BB10541" w:rsidRPr="002A406A" w:rsidRDefault="6BB10541" w:rsidP="3AD20BBB">
      <w:pPr>
        <w:rPr>
          <w:rFonts w:eastAsia="Times New Roman"/>
          <w:noProof/>
        </w:rPr>
      </w:pPr>
      <w:r w:rsidRPr="002A406A">
        <w:rPr>
          <w:noProof/>
        </w:rPr>
        <w:t>Se l'Ucraina lo chiede e ferma restando la disponibilità di risorse di bilancio, è possibile che il bilancio dell'UE si ritrovi a sostenere i costi degli interessi derivanti dal prestito di luglio di 1</w:t>
      </w:r>
      <w:r w:rsidR="00B26C7E" w:rsidRPr="002A406A">
        <w:rPr>
          <w:noProof/>
        </w:rPr>
        <w:t> </w:t>
      </w:r>
      <w:r w:rsidRPr="002A406A">
        <w:rPr>
          <w:noProof/>
        </w:rPr>
        <w:t xml:space="preserve">miliardo di EUR nell'ambito dell'attuale QFP. Facendosi carico di tali costi l'UE sgraverebbe ulteriormente le finanze ucraine, limitando e posticipando nel contempo il rischio </w:t>
      </w:r>
      <w:r w:rsidRPr="002A406A">
        <w:rPr>
          <w:noProof/>
        </w:rPr>
        <w:lastRenderedPageBreak/>
        <w:t xml:space="preserve">di potenziale inadempimento sul rimborso del capitale alla scadenza del prestito o di potenziale </w:t>
      </w:r>
      <w:r w:rsidRPr="002A406A">
        <w:rPr>
          <w:i/>
          <w:noProof/>
        </w:rPr>
        <w:t>default</w:t>
      </w:r>
      <w:r w:rsidRPr="002A406A">
        <w:rPr>
          <w:noProof/>
        </w:rPr>
        <w:t>. La Commissione potrebbe stabilire un prestito a lunga scadenza (25 anni in media) così da lasciare all'Ucraina un periodo il più possibile lungo per tornare alla crescita, ricostruire l'economia in linea con il percorso europeo del paese e massimizzare le possibilità di un rimborso integrale. Strutturando le passività in questo modo, la Commissione potrà anche tentare di attenuare il rischio di escussione parziale o totale delle garanzie degli Stati membri. Per estendere lo stesso trattamento ai costi degli interessi derivanti dai 5</w:t>
      </w:r>
      <w:r w:rsidR="00B26C7E" w:rsidRPr="002A406A">
        <w:rPr>
          <w:noProof/>
        </w:rPr>
        <w:t> </w:t>
      </w:r>
      <w:r w:rsidRPr="002A406A">
        <w:rPr>
          <w:noProof/>
        </w:rPr>
        <w:t xml:space="preserve">miliardi di EUR di prestiti dell'ulteriore AMF eccezionale occorre mobilitare ulteriori risorse. </w:t>
      </w:r>
    </w:p>
    <w:p w14:paraId="2C63F463" w14:textId="418FF38F" w:rsidR="73B7382E" w:rsidRPr="002A406A" w:rsidRDefault="73B7382E" w:rsidP="00604E2B">
      <w:pPr>
        <w:pStyle w:val="LegalNumPar2"/>
        <w:rPr>
          <w:rFonts w:eastAsiaTheme="minorEastAsia"/>
          <w:noProof/>
          <w:szCs w:val="24"/>
        </w:rPr>
      </w:pPr>
      <w:r w:rsidRPr="002A406A">
        <w:rPr>
          <w:noProof/>
          <w:u w:val="single"/>
        </w:rPr>
        <w:t>Tasso di copertura più elevato per i prestiti del mandato esterno reindirizzati erogati nel terzo trimestre 2022 e per i prestiti del mandato esterno ancora da erogare</w:t>
      </w:r>
    </w:p>
    <w:p w14:paraId="0EC7C633" w14:textId="18715963" w:rsidR="61926C97" w:rsidRPr="002A406A" w:rsidRDefault="3DCAC1FA" w:rsidP="22327288">
      <w:pPr>
        <w:rPr>
          <w:rFonts w:eastAsia="Times New Roman"/>
          <w:noProof/>
        </w:rPr>
      </w:pPr>
      <w:r w:rsidRPr="002A406A">
        <w:rPr>
          <w:noProof/>
        </w:rPr>
        <w:t>Dato il fabbisogno urgente di finanziamenti del paese, a luglio 2022 la Commissione ha deciso di riassegnare all'Ucraina 1,59</w:t>
      </w:r>
      <w:r w:rsidR="00B26C7E" w:rsidRPr="002A406A">
        <w:rPr>
          <w:noProof/>
        </w:rPr>
        <w:t> </w:t>
      </w:r>
      <w:r w:rsidRPr="002A406A">
        <w:rPr>
          <w:noProof/>
        </w:rPr>
        <w:t>miliardi di EUR in prestiti del mandato esterno della BEI: la BEI erogherà 1,05</w:t>
      </w:r>
      <w:r w:rsidR="00B26C7E" w:rsidRPr="002A406A">
        <w:rPr>
          <w:noProof/>
        </w:rPr>
        <w:t> </w:t>
      </w:r>
      <w:r w:rsidRPr="002A406A">
        <w:rPr>
          <w:noProof/>
        </w:rPr>
        <w:t>miliardi di euro nel terzo trimestre 2022, mentre prevede l'erogazione di altri 536</w:t>
      </w:r>
      <w:r w:rsidR="00B26C7E" w:rsidRPr="002A406A">
        <w:rPr>
          <w:noProof/>
        </w:rPr>
        <w:t> </w:t>
      </w:r>
      <w:r w:rsidRPr="002A406A">
        <w:rPr>
          <w:noProof/>
        </w:rPr>
        <w:t>milioni di EUR di prestiti nel periodo 2022-2023 per contribuire a finanziare il riavvio di taluni progetti di investimento. Poiché si tratta di prestiti allo Stato ucraino (o da questo garantiti), il livello di rischio è lo stesso dei prestiti dell'AMF eccezionale. Nell'ambito degli accordi di garanzia del mandato esterno, la BEI ha il diritto di ricorrere al bilancio dell'UE per l'intero importo delle perdite da essa sostenute sui prestiti in virtù di tale garanzia. Si noti quindi che a tali esposizioni dovrebbe applicarsi lo stesso approccio precauzionale e che si dovrebbero inserire congrui accantonamenti aggiuntivi nel fondo comune di copertura, in un comparto comune dedicato all'Ucraina. La presente proposta prevede pertanto di estendere il tasso di copertura del 70 % all'esposizione aggiuntiva di 1,59</w:t>
      </w:r>
      <w:r w:rsidR="00B26C7E" w:rsidRPr="002A406A">
        <w:rPr>
          <w:noProof/>
        </w:rPr>
        <w:t> </w:t>
      </w:r>
      <w:r w:rsidRPr="002A406A">
        <w:rPr>
          <w:noProof/>
        </w:rPr>
        <w:t xml:space="preserve">miliardi di EUR derivante dai prestiti che hanno cambiato destinazione. Agli eventuali ulteriori esborsi di prestiti del mandato esterno reindirizzati verso l'Ucraina si applicherebbe lo stesso tasso di copertura (rivisto periodicamente), sempre che siano reperite le necessarie risorse di bilancio. </w:t>
      </w:r>
    </w:p>
    <w:p w14:paraId="210B4EB2" w14:textId="0E4B269A" w:rsidR="001475A3" w:rsidRPr="002A406A" w:rsidRDefault="00C60CE2" w:rsidP="22327288">
      <w:pPr>
        <w:rPr>
          <w:rFonts w:eastAsia="Times New Roman"/>
          <w:noProof/>
        </w:rPr>
      </w:pPr>
      <w:r w:rsidRPr="002A406A">
        <w:rPr>
          <w:noProof/>
        </w:rPr>
        <w:t>La copertura del 70 % necessaria per gli 1,59</w:t>
      </w:r>
      <w:r w:rsidR="00B26C7E" w:rsidRPr="002A406A">
        <w:rPr>
          <w:noProof/>
        </w:rPr>
        <w:t> </w:t>
      </w:r>
      <w:r w:rsidRPr="002A406A">
        <w:rPr>
          <w:noProof/>
        </w:rPr>
        <w:t xml:space="preserve">miliardi di EUR di prestiti del mandato esterno sarà fornita dal bilancio dell'UE, sarà disciplinata dalle disposizioni sulle coperture previste dal regolamento finanziario (e non dal Fondo di garanzia per le azioni esterne) e sarà tenuta in un comparto distinto del fondo comune di copertura. </w:t>
      </w:r>
    </w:p>
    <w:p w14:paraId="49D6D708" w14:textId="683D17DA" w:rsidR="001475A3" w:rsidRPr="002A406A" w:rsidRDefault="4B2E46E8" w:rsidP="22327288">
      <w:pPr>
        <w:rPr>
          <w:rFonts w:eastAsia="Times New Roman"/>
          <w:noProof/>
        </w:rPr>
      </w:pPr>
      <w:bookmarkStart w:id="3" w:name="_Hlk113262305"/>
      <w:r w:rsidRPr="002A406A">
        <w:rPr>
          <w:noProof/>
        </w:rPr>
        <w:t>Si propone che, salvo evoluzione della valutazione dei rischi associati, qualsiasi ulteriore erogazione all'Ucraina di prestiti del mandato esterno sia subordinata al reperimento delle risorse di bilancio che permettano di coprire le esposizioni al 70 % del valore nozionale, tenuto conto delle priorità dello strumento NDICI – Europa globale.</w:t>
      </w:r>
    </w:p>
    <w:bookmarkEnd w:id="3"/>
    <w:p w14:paraId="52043BFA" w14:textId="549993DC" w:rsidR="26DEF6C3" w:rsidRPr="002A406A" w:rsidRDefault="30770F93" w:rsidP="00604E2B">
      <w:pPr>
        <w:pStyle w:val="LegalNumPar2"/>
        <w:rPr>
          <w:noProof/>
          <w:u w:val="single"/>
        </w:rPr>
      </w:pPr>
      <w:r w:rsidRPr="002A406A">
        <w:rPr>
          <w:noProof/>
          <w:u w:val="single"/>
        </w:rPr>
        <w:t>Riesame del fabbisogno di copertura dei prestiti dell'AMF e dei prestiti del mandato esterno</w:t>
      </w:r>
    </w:p>
    <w:p w14:paraId="077DB925" w14:textId="563D63FC" w:rsidR="26DEF6C3" w:rsidRPr="002A406A" w:rsidRDefault="62966C14" w:rsidP="22327288">
      <w:pPr>
        <w:rPr>
          <w:noProof/>
        </w:rPr>
      </w:pPr>
      <w:r w:rsidRPr="002A406A">
        <w:rPr>
          <w:noProof/>
        </w:rPr>
        <w:t>L'elevata percentuale di copertura prevista dalla presente proposta è giustificata dal fatto che l'Ucraina si trova attualmente a far fronte alle implicazioni militari, economiche e sociali di un conflitto armato su vasta scala. Se la situazione militare ed economica del paese si stabilizzerà o migliorerà, questo livello di copertura potrà non risultare più necessario. La presente proposta ne prevede pertanto un riesame periodico (ogni sei mesi) a partire da metà 2023, o prima, se del caso. Il riesame riguarderà anche la copertura del prestito da 1</w:t>
      </w:r>
      <w:r w:rsidR="00B26C7E" w:rsidRPr="002A406A">
        <w:rPr>
          <w:noProof/>
        </w:rPr>
        <w:t> </w:t>
      </w:r>
      <w:r w:rsidRPr="002A406A">
        <w:rPr>
          <w:noProof/>
        </w:rPr>
        <w:t xml:space="preserve">miliardo di EUR </w:t>
      </w:r>
      <w:r w:rsidRPr="002A406A">
        <w:rPr>
          <w:noProof/>
        </w:rPr>
        <w:lastRenderedPageBreak/>
        <w:t>concesso in virtù della decisione (UE) 2022/1201</w:t>
      </w:r>
      <w:r w:rsidRPr="00195EC3">
        <w:rPr>
          <w:rStyle w:val="FootnoteReference"/>
          <w:noProof/>
        </w:rPr>
        <w:footnoteReference w:id="13"/>
      </w:r>
      <w:r w:rsidRPr="002A406A">
        <w:rPr>
          <w:noProof/>
        </w:rPr>
        <w:t xml:space="preserve"> e la copertura eccezionale del 70 % a fronte degli 1,59</w:t>
      </w:r>
      <w:r w:rsidR="00B26C7E" w:rsidRPr="002A406A">
        <w:rPr>
          <w:noProof/>
        </w:rPr>
        <w:t> </w:t>
      </w:r>
      <w:r w:rsidRPr="002A406A">
        <w:rPr>
          <w:noProof/>
        </w:rPr>
        <w:t xml:space="preserve">miliardi di EUR di prestiti del mandato esterno riassegnati (cfr. infra). Oltre al riesame periodico, la Commissione potrebbe riesaminare il tasso di copertura anche </w:t>
      </w:r>
      <w:r w:rsidRPr="002A406A">
        <w:rPr>
          <w:i/>
          <w:noProof/>
        </w:rPr>
        <w:t>ad hoc</w:t>
      </w:r>
      <w:r w:rsidRPr="002A406A">
        <w:rPr>
          <w:noProof/>
        </w:rPr>
        <w:t>, in particolare se giustificato da un evento rilevante.</w:t>
      </w:r>
    </w:p>
    <w:p w14:paraId="6038D113" w14:textId="55A99E3E" w:rsidR="006E20AB" w:rsidRPr="00195EC3" w:rsidRDefault="43566008" w:rsidP="00A3543A">
      <w:pPr>
        <w:pStyle w:val="LegalNumPar"/>
        <w:numPr>
          <w:ilvl w:val="0"/>
          <w:numId w:val="31"/>
        </w:numPr>
        <w:rPr>
          <w:b/>
          <w:noProof/>
        </w:rPr>
      </w:pPr>
      <w:r w:rsidRPr="00195EC3">
        <w:rPr>
          <w:b/>
          <w:noProof/>
        </w:rPr>
        <w:t>Esecuzione dei prestiti dell'AMF</w:t>
      </w:r>
    </w:p>
    <w:p w14:paraId="7EB9C068" w14:textId="1C8B8D36" w:rsidR="61926C97" w:rsidRPr="002A406A" w:rsidRDefault="383F910F" w:rsidP="22327288">
      <w:pPr>
        <w:rPr>
          <w:noProof/>
        </w:rPr>
      </w:pPr>
      <w:r w:rsidRPr="002A406A">
        <w:rPr>
          <w:noProof/>
        </w:rPr>
        <w:t xml:space="preserve">La Commissione provvederà ad erogare con urgenza le rate dei prestiti di AMF eccezionale una volta che la presente proposta sarà stata adottata e tutte le formalità espletate, in particolare: i) l'impegno inequivocabile e unanime di tutti gli Stati membri a concludere accordi di garanzia, nel più breve tempo consentito dalle rispettive procedure nazionali; ii) la firma del protocollo d'intesa e l'entrata in vigore dell'accordo di prestito. </w:t>
      </w:r>
    </w:p>
    <w:p w14:paraId="3717554F" w14:textId="4FAF871B" w:rsidR="00C94923" w:rsidRPr="002A406A" w:rsidRDefault="4D671AF0" w:rsidP="00C94923">
      <w:pPr>
        <w:rPr>
          <w:rFonts w:eastAsia="Times New Roman"/>
          <w:noProof/>
        </w:rPr>
      </w:pPr>
      <w:r w:rsidRPr="002A406A">
        <w:rPr>
          <w:noProof/>
        </w:rPr>
        <w:t xml:space="preserve">In base alla presente proposta la Commissione europea procederà ai prestiti immediatamente dopo l'entrata in vigore della decisione, fatto salvo l'impegno chiaro e inequivocabile di tutti gli Stati membri a mettere a disposizione le garanzie con la massima celerità consentita dalle procedure nazionali. L'esperienza insegna che, sebbene molti Stati membri possano concludere le procedure entro 2-3 mesi, possono trascorrere 4-5 mesi prima che siano disponibili tutte le garanzie. Si tratta di tempi incompatibili con l'obiettivo di sostenere urgentemente l'Ucraina, e la Commissione prevede quindi, in via eccezionale data la situazione estrema, di organizzare i prestiti in parallelo al ricevimento delle garanzie. </w:t>
      </w:r>
      <w:r w:rsidR="00B26C7E" w:rsidRPr="002A406A">
        <w:rPr>
          <w:noProof/>
        </w:rPr>
        <w:br/>
      </w:r>
      <w:r w:rsidRPr="002A406A">
        <w:rPr>
          <w:noProof/>
        </w:rPr>
        <w:t>In questa peculiare situazione il rischio per il bilancio dell'UE è attenuato, dal momento che nessun evento di pagamento (pagamento di interessi) giungerà a scadenza prima che sia trascorso un lungo periodo di tempo, in particolare non nel corso del periodo (4-5 mesi) che intercorrerà prima che siano state ricevute tutte le garanzie. Nell'ipotesi teorica di un inadempimento nel corso di questo periodo, si potrà colmare la carenza temporanea mobilitando gli accantonamenti del fondo comune di copertura (e, se necessario, prelevando in via temporanea da altri comparti del medesimo). Grazie agli accantonamenti del fondo comune di copertura, si disporrà delle liquidità necessarie per saldare tutti i pagamenti dovuti agli investitori obbligazionari dell'UE anche se le garanzie non saranno ancora disponibili nella loro integralità.</w:t>
      </w:r>
    </w:p>
    <w:p w14:paraId="04322276" w14:textId="69155E22" w:rsidR="61926C97" w:rsidRPr="002A406A" w:rsidRDefault="1035FEE8" w:rsidP="61926C97">
      <w:pPr>
        <w:rPr>
          <w:noProof/>
        </w:rPr>
      </w:pPr>
      <w:r w:rsidRPr="002A406A">
        <w:rPr>
          <w:noProof/>
        </w:rPr>
        <w:t>La Commissione propone pertanto di organizzare i nuovi prestiti dell'AMF in un numero limitato di rate da versare il più rapidamente possibile dopo l'entrata in vigore della presente decisione e la messa a punto del collegato accordo di prestito. È massimamente importante che tutti gli Stati membri mettano a disposizione quanto prima le necessarie garanzie di bilancio e che sia assunto l'impegno collettivo di completare rapidamente il processo.</w:t>
      </w:r>
    </w:p>
    <w:p w14:paraId="266AF385" w14:textId="5FD64B44" w:rsidR="26DEF6C3" w:rsidRPr="002A406A" w:rsidRDefault="4123EAD6" w:rsidP="26DEF6C3">
      <w:pPr>
        <w:spacing w:before="0" w:after="240"/>
        <w:rPr>
          <w:noProof/>
        </w:rPr>
      </w:pPr>
      <w:r w:rsidRPr="002A406A">
        <w:rPr>
          <w:noProof/>
        </w:rPr>
        <w:t>Per erogare l'intero importo di 9 miliardi di EUR di AMF eccezionale, annunciato nella comunicazione "Ucraina: assistenza e ricostruzione" del 18</w:t>
      </w:r>
      <w:r w:rsidR="00B26C7E" w:rsidRPr="002A406A">
        <w:rPr>
          <w:noProof/>
        </w:rPr>
        <w:t> </w:t>
      </w:r>
      <w:r w:rsidRPr="002A406A">
        <w:rPr>
          <w:noProof/>
        </w:rPr>
        <w:t>maggio 2022, la Commissione lavora insieme agli Stati membri dell'UE a un meccanismo solido ed equo per l'erogazione dei restanti 3 miliardi di EUR. Una volta completata la progettazione del meccanismo, presenterà in tempi rapidi una proposta sull'importo residuo del sostegno.</w:t>
      </w:r>
    </w:p>
    <w:p w14:paraId="700CF3E1" w14:textId="77777777" w:rsidR="00F152DC" w:rsidRPr="002A406A" w:rsidRDefault="00F152DC" w:rsidP="00D045D9">
      <w:pPr>
        <w:pStyle w:val="ManualHeading1"/>
        <w:rPr>
          <w:noProof/>
        </w:rPr>
      </w:pPr>
      <w:r w:rsidRPr="002A406A">
        <w:rPr>
          <w:noProof/>
        </w:rPr>
        <w:t>2.</w:t>
      </w:r>
      <w:r w:rsidRPr="002A406A">
        <w:rPr>
          <w:noProof/>
        </w:rPr>
        <w:tab/>
        <w:t>BASE GIURIDICA, SUSSIDIARIETÀ E PROPORZIONALITÀ</w:t>
      </w:r>
    </w:p>
    <w:p w14:paraId="3BF4F247" w14:textId="77777777" w:rsidR="00F152DC" w:rsidRPr="002A406A" w:rsidRDefault="00F152DC" w:rsidP="00D045D9">
      <w:pPr>
        <w:pStyle w:val="ManualHeading2"/>
        <w:rPr>
          <w:rFonts w:eastAsia="Arial Unicode MS"/>
          <w:noProof/>
          <w:u w:color="000000"/>
          <w:bdr w:val="nil"/>
        </w:rPr>
      </w:pPr>
      <w:r w:rsidRPr="002A406A">
        <w:rPr>
          <w:noProof/>
          <w:u w:color="000000"/>
          <w:bdr w:val="nil"/>
        </w:rPr>
        <w:t>•</w:t>
      </w:r>
      <w:r w:rsidRPr="002A406A">
        <w:rPr>
          <w:noProof/>
        </w:rPr>
        <w:tab/>
      </w:r>
      <w:r w:rsidRPr="002A406A">
        <w:rPr>
          <w:noProof/>
          <w:u w:color="000000"/>
          <w:bdr w:val="nil"/>
        </w:rPr>
        <w:t>Base giuridica</w:t>
      </w:r>
    </w:p>
    <w:p w14:paraId="3EFF6B3B" w14:textId="5FC49CAA" w:rsidR="00D24BBA" w:rsidRPr="002A406A" w:rsidRDefault="6E8ED94A" w:rsidP="00FA50C2">
      <w:pPr>
        <w:rPr>
          <w:noProof/>
        </w:rPr>
      </w:pPr>
      <w:r w:rsidRPr="002A406A">
        <w:rPr>
          <w:noProof/>
        </w:rPr>
        <w:t>L'articolo 212 del trattato sul funzionamento dell'Unione europea costituisce la base giuridica adeguata per l'assistenza finanziaria conces</w:t>
      </w:r>
      <w:r w:rsidR="00B26C7E" w:rsidRPr="002A406A">
        <w:rPr>
          <w:noProof/>
        </w:rPr>
        <w:t xml:space="preserve">sa dall'Unione ai paesi terzi. </w:t>
      </w:r>
      <w:r w:rsidRPr="002A406A">
        <w:rPr>
          <w:noProof/>
        </w:rPr>
        <w:t xml:space="preserve">L'aggressione militare </w:t>
      </w:r>
      <w:r w:rsidRPr="002A406A">
        <w:rPr>
          <w:noProof/>
        </w:rPr>
        <w:lastRenderedPageBreak/>
        <w:t xml:space="preserve">non provocata e ingiustificata da parte della Russia rende necessaria la concessione di ulteriore assistenza finanziaria all'Ucraina. Per rafforzare la sostenibilità di bilancio di tali misure è necessario prevedere un meccanismo di garanzie degli Stati membri che vengano a sostegno dell'assistenza finanziaria. Nella situazione attuale queste garanzie sono un elemento imprescindibile dell'assistenza finanziaria. </w:t>
      </w:r>
    </w:p>
    <w:p w14:paraId="67C17D50" w14:textId="77777777" w:rsidR="00F152DC" w:rsidRPr="002A406A" w:rsidRDefault="00F152DC" w:rsidP="00D045D9">
      <w:pPr>
        <w:pStyle w:val="ManualHeading2"/>
        <w:rPr>
          <w:rFonts w:eastAsia="Arial Unicode MS"/>
          <w:noProof/>
          <w:u w:color="000000"/>
          <w:bdr w:val="nil"/>
        </w:rPr>
      </w:pPr>
      <w:r w:rsidRPr="002A406A">
        <w:rPr>
          <w:noProof/>
          <w:u w:color="000000"/>
          <w:bdr w:val="nil"/>
        </w:rPr>
        <w:t>•</w:t>
      </w:r>
      <w:r w:rsidRPr="002A406A">
        <w:rPr>
          <w:noProof/>
        </w:rPr>
        <w:tab/>
      </w:r>
      <w:r w:rsidRPr="002A406A">
        <w:rPr>
          <w:noProof/>
          <w:u w:color="000000"/>
          <w:bdr w:val="nil"/>
        </w:rPr>
        <w:t xml:space="preserve">Sussidiarietà (per la competenza non esclusiva) </w:t>
      </w:r>
    </w:p>
    <w:p w14:paraId="04F15FD3" w14:textId="649420C1" w:rsidR="004D643E" w:rsidRPr="002A406A" w:rsidRDefault="004D643E" w:rsidP="003C45F0">
      <w:pPr>
        <w:rPr>
          <w:noProof/>
        </w:rPr>
      </w:pPr>
      <w:r w:rsidRPr="002A406A">
        <w:rPr>
          <w:noProof/>
        </w:rPr>
        <w:t xml:space="preserve">Il principio di sussidiarietà è rispettato in quanto gli obiettivi di ripristino della stabilità macrofinanziaria a breve termine in Ucraina non possono essere conseguiti in misura sufficiente dagli Stati membri da soli e possono essere conseguiti meglio a livello di UE. </w:t>
      </w:r>
      <w:r w:rsidR="00675EAC" w:rsidRPr="002A406A">
        <w:rPr>
          <w:noProof/>
        </w:rPr>
        <w:br/>
      </w:r>
      <w:r w:rsidRPr="002A406A">
        <w:rPr>
          <w:noProof/>
        </w:rPr>
        <w:t>I motivi principali risiedono nei vincoli di bilancio a livello nazionale e nella necessità di un forte coordinamento dei donatori al fine di massimizzare la portata e l'efficacia dell'assistenza, limitando nel contempo l'onere a carico della capacità amministrativa delle autorità ucraine, che è estremamente limitata nelle circostanze attuali.</w:t>
      </w:r>
    </w:p>
    <w:p w14:paraId="3AF5DB7F" w14:textId="77777777" w:rsidR="00F152DC" w:rsidRPr="002A406A" w:rsidRDefault="00F152DC" w:rsidP="00D045D9">
      <w:pPr>
        <w:pStyle w:val="ManualHeading2"/>
        <w:rPr>
          <w:rFonts w:eastAsia="Arial Unicode MS"/>
          <w:noProof/>
          <w:u w:color="000000"/>
          <w:bdr w:val="nil"/>
        </w:rPr>
      </w:pPr>
      <w:r w:rsidRPr="002A406A">
        <w:rPr>
          <w:noProof/>
          <w:u w:color="000000"/>
          <w:bdr w:val="nil"/>
        </w:rPr>
        <w:t>•</w:t>
      </w:r>
      <w:r w:rsidRPr="002A406A">
        <w:rPr>
          <w:noProof/>
        </w:rPr>
        <w:tab/>
      </w:r>
      <w:r w:rsidRPr="002A406A">
        <w:rPr>
          <w:noProof/>
          <w:u w:color="000000"/>
          <w:bdr w:val="nil"/>
        </w:rPr>
        <w:t>Proporzionalità</w:t>
      </w:r>
    </w:p>
    <w:p w14:paraId="04F279AC" w14:textId="177249EB" w:rsidR="004D643E" w:rsidRPr="002A406A" w:rsidRDefault="004D643E" w:rsidP="004D643E">
      <w:pPr>
        <w:pBdr>
          <w:top w:val="nil"/>
          <w:left w:val="nil"/>
          <w:bottom w:val="nil"/>
          <w:right w:val="nil"/>
          <w:between w:val="nil"/>
          <w:bar w:val="nil"/>
        </w:pBdr>
        <w:spacing w:before="0" w:after="240"/>
        <w:rPr>
          <w:noProof/>
        </w:rPr>
      </w:pPr>
      <w:r w:rsidRPr="002A406A">
        <w:rPr>
          <w:noProof/>
        </w:rPr>
        <w:t>La proposta è conforme al principio di proporzionalità: si limita infatti al minimo indispensabile per raggiungere l'obiettivo di mantenere la stabilità macrofinanziaria a breve termine e non va al di là di quanto è necessario a tale scopo.</w:t>
      </w:r>
    </w:p>
    <w:p w14:paraId="6532697D" w14:textId="0208F5EA" w:rsidR="004D643E" w:rsidRPr="002A406A" w:rsidRDefault="28666615" w:rsidP="22327288">
      <w:pPr>
        <w:pBdr>
          <w:top w:val="nil"/>
          <w:left w:val="nil"/>
          <w:bottom w:val="nil"/>
          <w:right w:val="nil"/>
          <w:between w:val="nil"/>
          <w:bar w:val="nil"/>
        </w:pBdr>
        <w:spacing w:before="0" w:after="240"/>
        <w:rPr>
          <w:noProof/>
        </w:rPr>
      </w:pPr>
      <w:r w:rsidRPr="002A406A">
        <w:rPr>
          <w:noProof/>
        </w:rPr>
        <w:t>Come indicato dalla Commissione sulla base delle stime delle autorità e confermato dall'FMI</w:t>
      </w:r>
      <w:r w:rsidRPr="00195EC3">
        <w:rPr>
          <w:rStyle w:val="FootnoteReference"/>
          <w:rFonts w:eastAsia="Arial Unicode MS"/>
          <w:noProof/>
        </w:rPr>
        <w:footnoteReference w:id="14"/>
      </w:r>
      <w:r w:rsidRPr="002A406A">
        <w:rPr>
          <w:noProof/>
        </w:rPr>
        <w:t>, l'importo della proposta AMF eccezionale, combinato con l'AMF di emergenza già erogata, corrisponde al massimo alla metà del fabbisogno di finanziamento residuo stimato per il 2022. Si tratta di una percentuale coerente con le normali prassi di ripartizione degli oneri per le operazioni di AMF (per un paese con un accordo di associazione il massimale sarebbe del 60 % secondo le conclusioni del Consiglio ECOFIN dell'8</w:t>
      </w:r>
      <w:r w:rsidR="00675EAC" w:rsidRPr="002A406A">
        <w:rPr>
          <w:noProof/>
        </w:rPr>
        <w:t> </w:t>
      </w:r>
      <w:r w:rsidRPr="002A406A">
        <w:rPr>
          <w:noProof/>
        </w:rPr>
        <w:t>ottobre 2002) e che tiene conto dell'assistenza che altri donatori bilaterali e multilaterali si sono impegnati a fornire all'Ucraina.</w:t>
      </w:r>
    </w:p>
    <w:p w14:paraId="5A05CE7B" w14:textId="2331B29F" w:rsidR="004D643E" w:rsidRPr="002A406A" w:rsidRDefault="2D6D47E0" w:rsidP="004D643E">
      <w:pPr>
        <w:pBdr>
          <w:top w:val="nil"/>
          <w:left w:val="nil"/>
          <w:bottom w:val="nil"/>
          <w:right w:val="nil"/>
          <w:between w:val="nil"/>
          <w:bar w:val="nil"/>
        </w:pBdr>
        <w:spacing w:before="0" w:after="240"/>
        <w:rPr>
          <w:noProof/>
        </w:rPr>
      </w:pPr>
      <w:r w:rsidRPr="002A406A">
        <w:rPr>
          <w:noProof/>
        </w:rPr>
        <w:t>Dal punto di vista finanziario le garanzie degli Stati membri, attivabili soltanto in situazioni eccezionali, paiono la soluzione più efficace, che evita sia di dover reperire risorse aggiuntive entro i massimali dell'attuale QFP, i cui importi sono oggi tutti impiegati integralmente, sia di chiedere agli Stati membri di anticipare fondi aggiuntivi, dato che permette di richiamare gli importi ex post in caso di perdita.</w:t>
      </w:r>
    </w:p>
    <w:p w14:paraId="2BCF1801" w14:textId="74D1CDE6" w:rsidR="004D643E" w:rsidRPr="002A406A" w:rsidRDefault="004D643E" w:rsidP="22327288">
      <w:pPr>
        <w:pBdr>
          <w:top w:val="nil"/>
          <w:left w:val="nil"/>
          <w:bottom w:val="nil"/>
          <w:right w:val="nil"/>
          <w:between w:val="nil"/>
          <w:bar w:val="nil"/>
        </w:pBdr>
        <w:spacing w:before="0" w:after="240"/>
        <w:rPr>
          <w:noProof/>
        </w:rPr>
      </w:pPr>
      <w:r w:rsidRPr="002A406A">
        <w:rPr>
          <w:noProof/>
        </w:rPr>
        <w:t>Gli Stati membri saranno tenuti a mettere a disposizione risorse nell'ambito di questo strumento soltanto in una gamma limitata di situazioni stabilite nella decisione. In particolare, non dovranno trasferire liquidità all'UE immediatamente, ma soltanto quando saranno riunite le condizioni per l'attivazione della garanzia. Poiché per i rimborsi si potrà far ricorso in primo luogo agli accantonamenti del fondo comune di copertura, è probabile che le garanzie siano attivate raramente e prevedibilmente, ammesso che si presenti la necessità di attivarle.</w:t>
      </w:r>
    </w:p>
    <w:p w14:paraId="42D8B79A" w14:textId="77777777" w:rsidR="00F152DC" w:rsidRPr="002A406A" w:rsidRDefault="00F152DC" w:rsidP="00D045D9">
      <w:pPr>
        <w:pStyle w:val="ManualHeading2"/>
        <w:rPr>
          <w:rFonts w:eastAsia="Arial Unicode MS"/>
          <w:noProof/>
          <w:u w:color="000000"/>
          <w:bdr w:val="nil"/>
        </w:rPr>
      </w:pPr>
      <w:r w:rsidRPr="002A406A">
        <w:rPr>
          <w:noProof/>
          <w:u w:color="000000"/>
          <w:bdr w:val="nil"/>
        </w:rPr>
        <w:t>•</w:t>
      </w:r>
      <w:r w:rsidRPr="002A406A">
        <w:rPr>
          <w:noProof/>
        </w:rPr>
        <w:tab/>
      </w:r>
      <w:r w:rsidRPr="002A406A">
        <w:rPr>
          <w:noProof/>
          <w:u w:color="000000"/>
          <w:bdr w:val="nil"/>
        </w:rPr>
        <w:t>Scelta dell'atto giuridico</w:t>
      </w:r>
    </w:p>
    <w:p w14:paraId="52944293" w14:textId="78DA4CE5" w:rsidR="005820EC" w:rsidRPr="002A406A" w:rsidRDefault="00D95034" w:rsidP="00D95034">
      <w:pPr>
        <w:rPr>
          <w:noProof/>
        </w:rPr>
      </w:pPr>
      <w:r w:rsidRPr="002A406A">
        <w:rPr>
          <w:noProof/>
        </w:rPr>
        <w:t xml:space="preserve">Strumenti quali il finanziamento di progetti o l'assistenza tecnica non sarebbero né adeguati né sufficienti per conseguire i più ampi obiettivi macrofinanziari di questa AMF eccezionale. Il principale valore aggiunto dell'AMF eccezionale rispetto ad altri strumenti dell'UE risiede nella capacità di alleggerire la pressione finanziaria esterna rapidamente e per quanto necessario. A questo si aggiunge il contributo che apporta alla stabilità del contesto </w:t>
      </w:r>
      <w:r w:rsidRPr="002A406A">
        <w:rPr>
          <w:noProof/>
        </w:rPr>
        <w:lastRenderedPageBreak/>
        <w:t xml:space="preserve">macrofinanziario, anche promuovendo una situazione della bilancia dei pagamenti e del bilancio duratura e più sostenibile, sullo sfondo di un quadro adeguato di obblighi di rendicontazione e condizioni politiche. Contribuendo all'adeguatezza del contesto strategico generale, l'AMF può migliorare l'efficacia delle misure finanziate in Ucraina da altri strumenti finanziari più mirati dell'UE. Le conseguenze in termini di sostenibilità del debito del paese sono attutite dalla forte natura di agevolazione dell'operazione, caratterizzata da scadenze più lunghe e dal contributo a copertura dei costi degli interessi. Pare giustificato fornire in tempi rapidi l'importo (molto ingente ed estremamente necessario) del sostegno finanziario attraverso la struttura per i prestiti a condizioni altamente agevolate dell'AMF, considerati in particolare i limiti di cui la comunità internazionale, compresa l'UE, deve tener conto per fornire cospicui finanziamenti sotto forma di sovvenzioni. </w:t>
      </w:r>
    </w:p>
    <w:p w14:paraId="1CCAF2FF" w14:textId="77777777" w:rsidR="00F152DC" w:rsidRPr="002A406A" w:rsidRDefault="00F152DC" w:rsidP="00BA468B">
      <w:pPr>
        <w:pStyle w:val="ManualHeading1"/>
        <w:spacing w:before="0" w:after="240"/>
        <w:rPr>
          <w:rFonts w:eastAsia="Arial Unicode MS"/>
          <w:noProof/>
        </w:rPr>
      </w:pPr>
      <w:r w:rsidRPr="002A406A">
        <w:rPr>
          <w:noProof/>
        </w:rPr>
        <w:t>3.</w:t>
      </w:r>
      <w:r w:rsidRPr="002A406A">
        <w:rPr>
          <w:noProof/>
        </w:rPr>
        <w:tab/>
        <w:t>RISULTATI DELLE VALUTAZIONI EX POST, DELLE CONSULTAZIONI DEI PORTATORI DI INTERESSI E DELLE VALUTAZIONI D'IMPATTO</w:t>
      </w:r>
    </w:p>
    <w:p w14:paraId="30D8E233" w14:textId="77777777" w:rsidR="00F152DC" w:rsidRPr="002A406A" w:rsidRDefault="00F152DC" w:rsidP="00D045D9">
      <w:pPr>
        <w:pStyle w:val="ManualHeading2"/>
        <w:rPr>
          <w:rFonts w:eastAsia="Arial Unicode MS"/>
          <w:noProof/>
          <w:u w:color="000000"/>
          <w:bdr w:val="nil"/>
        </w:rPr>
      </w:pPr>
      <w:r w:rsidRPr="002A406A">
        <w:rPr>
          <w:noProof/>
          <w:bdr w:val="nil"/>
        </w:rPr>
        <w:t>•</w:t>
      </w:r>
      <w:r w:rsidRPr="002A406A">
        <w:rPr>
          <w:noProof/>
        </w:rPr>
        <w:tab/>
      </w:r>
      <w:r w:rsidRPr="002A406A">
        <w:rPr>
          <w:noProof/>
          <w:bdr w:val="nil"/>
        </w:rPr>
        <w:t>Valutazioni ex post / Vaglio di adeguatezza della legislazione vigente</w:t>
      </w:r>
    </w:p>
    <w:p w14:paraId="0B6A95E6" w14:textId="77777777" w:rsidR="45FEAB70" w:rsidRPr="002A406A" w:rsidRDefault="45FEAB70" w:rsidP="45FEAB70">
      <w:pPr>
        <w:spacing w:before="0" w:after="240"/>
        <w:rPr>
          <w:noProof/>
        </w:rPr>
      </w:pPr>
      <w:r w:rsidRPr="002A406A">
        <w:rPr>
          <w:noProof/>
        </w:rPr>
        <w:t xml:space="preserve">Dalle passate valutazioni ex post è emerso che, in generale, le precedenti operazioni di AMF a favore dell'Ucraina sono risultate estremamente pertinenti in termini di obiettivi, dotazione finanziaria e condizioni strategiche. </w:t>
      </w:r>
    </w:p>
    <w:p w14:paraId="13054417" w14:textId="77777777" w:rsidR="45FEAB70" w:rsidRPr="002A406A" w:rsidRDefault="45FEAB70" w:rsidP="4E7789BD">
      <w:pPr>
        <w:spacing w:before="0" w:after="240"/>
        <w:rPr>
          <w:noProof/>
        </w:rPr>
      </w:pPr>
      <w:r w:rsidRPr="002A406A">
        <w:rPr>
          <w:noProof/>
        </w:rPr>
        <w:t>Dette operazioni si sono dimostrate fondamentali per aiutare l'Ucraina ad affrontare i problemi della bilancia dei pagamenti e ad attuare fondamentali riforme strutturali per stabilizzare l'economia e rafforzare la sostenibilità della posizione esterna. Hanno consentito economie di bilancio e benefici finanziari, e hanno funzionato da catalizzatori di ulteriore sostegno finanziario e di fiducia degli investitori. Il complesso della condizionalità dell'AMF, complementare al collegato programma dell'FMI, ha determinato un impulso politico, contribuendo alla mobilitazione delle autorità ucraine su riforme essenziali, specialmente in settori non contemplati dai programmi di altri donatori internazionali.</w:t>
      </w:r>
    </w:p>
    <w:p w14:paraId="4C11EE49" w14:textId="1DD87A61" w:rsidR="004D643E" w:rsidRPr="002A406A" w:rsidRDefault="28666615" w:rsidP="22327288">
      <w:pPr>
        <w:pBdr>
          <w:top w:val="nil"/>
          <w:left w:val="nil"/>
          <w:bottom w:val="nil"/>
          <w:right w:val="nil"/>
          <w:between w:val="nil"/>
          <w:bar w:val="nil"/>
        </w:pBdr>
        <w:spacing w:before="0" w:after="240"/>
        <w:rPr>
          <w:rFonts w:eastAsia="Arial Unicode MS"/>
          <w:noProof/>
        </w:rPr>
      </w:pPr>
      <w:r w:rsidRPr="002A406A">
        <w:rPr>
          <w:noProof/>
        </w:rPr>
        <w:t>Recentemente non è stato effettuato nessun riesame dei tassi di copertura applicati ai portafogli dei prestiti di AMF e dell'Euratom né della copertura della garanzia di bilancio del mandato esterno. Il tasso di copertura dell'AMF nell'ambito della garanzia per le azioni esterne è stato confermato al 9 % al momento dell'adozione del regolamento (UE) 2021/947 (regolamento NDICI-Europa globale). Il regolamento NDICI-Europa globale stabilisce inoltre un importo massimo di copertura per l'intera garanzia per le azioni esterne</w:t>
      </w:r>
      <w:r w:rsidRPr="00195EC3">
        <w:rPr>
          <w:rStyle w:val="FootnoteReference"/>
          <w:rFonts w:eastAsia="Arial Unicode MS"/>
          <w:noProof/>
        </w:rPr>
        <w:footnoteReference w:id="15"/>
      </w:r>
      <w:r w:rsidRPr="002A406A">
        <w:rPr>
          <w:noProof/>
        </w:rPr>
        <w:t>. Un riesame della copertura dell'assistenza macrofinanziaria è previsto per il 2024. Sebbene l'AMF sia per sua natura uno strumento di crisi, i rischi insiti nella concessione di prestiti a un paese in guerra vanno ben oltre gli scenari prospettati al momento dell'adozione dell'NDICI-Europa globale. È pertanto necessario adottare, sulla base delle analisi disponibili, soluzioni su misura che permettano di far fronte all'urgenza della situazione.</w:t>
      </w:r>
    </w:p>
    <w:p w14:paraId="66EF4EBE" w14:textId="77777777" w:rsidR="00F152DC" w:rsidRPr="002A406A" w:rsidRDefault="00F152DC" w:rsidP="00D045D9">
      <w:pPr>
        <w:pStyle w:val="ManualHeading2"/>
        <w:rPr>
          <w:rFonts w:eastAsia="Arial Unicode MS"/>
          <w:noProof/>
          <w:u w:color="000000"/>
          <w:bdr w:val="nil"/>
        </w:rPr>
      </w:pPr>
      <w:r w:rsidRPr="002A406A">
        <w:rPr>
          <w:noProof/>
          <w:u w:color="000000"/>
          <w:bdr w:val="nil"/>
        </w:rPr>
        <w:t>•</w:t>
      </w:r>
      <w:r w:rsidRPr="002A406A">
        <w:rPr>
          <w:noProof/>
        </w:rPr>
        <w:tab/>
      </w:r>
      <w:r w:rsidRPr="002A406A">
        <w:rPr>
          <w:noProof/>
          <w:u w:color="000000"/>
          <w:bdr w:val="nil"/>
        </w:rPr>
        <w:t>Consultazioni dei portatori di interessi</w:t>
      </w:r>
    </w:p>
    <w:p w14:paraId="05ACC244" w14:textId="77777777" w:rsidR="00D95034" w:rsidRPr="002A406A" w:rsidRDefault="00D95034" w:rsidP="00D95034">
      <w:pPr>
        <w:rPr>
          <w:noProof/>
        </w:rPr>
      </w:pPr>
      <w:r w:rsidRPr="002A406A">
        <w:rPr>
          <w:noProof/>
        </w:rPr>
        <w:t xml:space="preserve">Questa AMF eccezionale è concessa come parte integrante del sostegno internazionale all'Ucraina. Nel preparare la presente proposta i servizi della Commissione hanno consultato l'FMI, la Banca mondiale e altri donatori bilaterali (Stati membri compresi) e multilaterali </w:t>
      </w:r>
      <w:r w:rsidRPr="002A406A">
        <w:rPr>
          <w:noProof/>
        </w:rPr>
        <w:lastRenderedPageBreak/>
        <w:t>dotati di notevole esperienza macrofinanziaria, anche per quanto riguarda l'economia ucraina. La Commissione si è inoltre tenuta regolarmente in contatto con le autorità ucraine.</w:t>
      </w:r>
    </w:p>
    <w:p w14:paraId="4FA56C1D" w14:textId="77777777" w:rsidR="00F152DC" w:rsidRPr="002A406A" w:rsidRDefault="00F152DC" w:rsidP="00D045D9">
      <w:pPr>
        <w:pStyle w:val="ManualHeading2"/>
        <w:rPr>
          <w:rFonts w:eastAsia="Arial Unicode MS"/>
          <w:noProof/>
          <w:bdr w:val="nil"/>
        </w:rPr>
      </w:pPr>
      <w:r w:rsidRPr="002A406A">
        <w:rPr>
          <w:noProof/>
          <w:bdr w:val="nil"/>
        </w:rPr>
        <w:t>•</w:t>
      </w:r>
      <w:r w:rsidRPr="002A406A">
        <w:rPr>
          <w:noProof/>
        </w:rPr>
        <w:tab/>
      </w:r>
      <w:r w:rsidRPr="002A406A">
        <w:rPr>
          <w:noProof/>
          <w:bdr w:val="nil"/>
        </w:rPr>
        <w:t>Assunzione e uso di perizie</w:t>
      </w:r>
    </w:p>
    <w:p w14:paraId="18318455" w14:textId="77777777" w:rsidR="004D643E" w:rsidRPr="002A406A" w:rsidRDefault="06749905" w:rsidP="003C45F0">
      <w:pPr>
        <w:rPr>
          <w:noProof/>
        </w:rPr>
      </w:pPr>
      <w:r w:rsidRPr="002A406A">
        <w:rPr>
          <w:noProof/>
        </w:rPr>
        <w:t>I servizi della Commissione hanno basato la presente proposta su un'attenta analisi del fabbisogno finanziario e della più ampia situazione macrofinanziaria dell'Ucraina, condotta in cooperazione con l'FMI e le istituzioni internazionali competenti. Sono comprese discussioni periodiche sulle più recenti proiezioni del fabbisogno di finanziamento dell'Ucraina nelle sedi internazionali, ad esempio il G7.</w:t>
      </w:r>
    </w:p>
    <w:p w14:paraId="3EAE64A8" w14:textId="024AC831" w:rsidR="004D643E" w:rsidRPr="002A406A" w:rsidRDefault="004D643E" w:rsidP="003C45F0">
      <w:pPr>
        <w:rPr>
          <w:noProof/>
        </w:rPr>
      </w:pPr>
      <w:r w:rsidRPr="002A406A">
        <w:rPr>
          <w:noProof/>
        </w:rPr>
        <w:t xml:space="preserve">I servizi della Commissione tengono discussioni con i loro omologhi delle divisioni Rischi delle istituzioni finanziarie internazionali ampiamente esposte verso l'Ucraina, con l'obiettivo di comprendere in che modo tali istituzioni copriranno e gestiranno queste esposizioni. </w:t>
      </w:r>
      <w:r w:rsidR="00675EAC" w:rsidRPr="002A406A">
        <w:rPr>
          <w:noProof/>
        </w:rPr>
        <w:br/>
      </w:r>
      <w:r w:rsidRPr="002A406A">
        <w:rPr>
          <w:noProof/>
        </w:rPr>
        <w:t>Le discussioni hanno messo in luce la misura in cui l'approccio istituzionale di ciascun soggetto dipenda dall'entità dell'esposizione del suo bilancio all'impatto delle perdite sulle esposizioni verso l'Ucraina. Alcune istituzioni fruiscono di controgaranzie totali o parziali con riguardo alla loro esposizione o di altre forme di salvaguardia (riserve detenute dall'Ucraina presso l'FMI). La posizione dell'UE, che ha finanziato prestiti di AMF nella formula back</w:t>
      </w:r>
      <w:r w:rsidR="00675EAC" w:rsidRPr="002A406A">
        <w:rPr>
          <w:noProof/>
        </w:rPr>
        <w:noBreakHyphen/>
      </w:r>
      <w:r w:rsidRPr="002A406A">
        <w:rPr>
          <w:noProof/>
        </w:rPr>
        <w:t>to</w:t>
      </w:r>
      <w:r w:rsidR="00675EAC" w:rsidRPr="002A406A">
        <w:rPr>
          <w:noProof/>
        </w:rPr>
        <w:noBreakHyphen/>
      </w:r>
      <w:r w:rsidRPr="002A406A">
        <w:rPr>
          <w:noProof/>
        </w:rPr>
        <w:t>back, la mette nella situazione peculiare di dover assicurare un flusso costante e prevedibile di pagamenti ai suoi obbligazionisti secondo un calendario fisso e regolare in caso di inadempimento sui pagamenti da parte dei beneficiari del prestito. Nella situazione attuale l'Unione potrà mettere rapidamente a disposizione di un beneficiario unico un complemento di AMF di entità eccezionale, mantenendo nel contempo il proprio modello di finanziamento, soltanto se potenzierà il fondo comune di copertura con garanzie supplementari degli Stati membri che fungano da meccanismo di protezione di ultima istanza dell'esposizione verso l'Ucraina.</w:t>
      </w:r>
    </w:p>
    <w:p w14:paraId="43584837" w14:textId="691E7828" w:rsidR="004D643E" w:rsidRPr="002A406A" w:rsidRDefault="7C4EFAAB" w:rsidP="003C45F0">
      <w:pPr>
        <w:rPr>
          <w:noProof/>
        </w:rPr>
      </w:pPr>
      <w:r w:rsidRPr="002A406A">
        <w:rPr>
          <w:noProof/>
        </w:rPr>
        <w:t>Conformemente alle disposizioni del regolamento finanziario, durante l'attuazione dell'assistenza i servizi della Commissione eseguiranno una valutazione operativa dei circuiti finanziari e amministrativi dell'Ucraina per accertarsi che le procedure di gestione dell'assistenza finanziaria, compresa l'AMF, forniscano garanzie adeguate, anche tenendo conto delle circostanze eccezionali dovute alla guerra di aggressione russa. In tal modo sarà possibile aggiornare la valutazione precedente in cui si concludeva che i circuiti e le procedure finanziari in Ucraina si fondano e operano sulla base di principi solidi e sono pertanto ritenuti adeguati ai fini dell'AMF.</w:t>
      </w:r>
    </w:p>
    <w:p w14:paraId="2CD72EE3" w14:textId="77777777" w:rsidR="00F152DC" w:rsidRPr="002A406A" w:rsidRDefault="00F152DC" w:rsidP="00D045D9">
      <w:pPr>
        <w:pStyle w:val="ManualHeading2"/>
        <w:rPr>
          <w:rFonts w:eastAsia="Arial Unicode MS"/>
          <w:noProof/>
          <w:u w:color="000000"/>
          <w:bdr w:val="nil"/>
        </w:rPr>
      </w:pPr>
      <w:r w:rsidRPr="002A406A">
        <w:rPr>
          <w:noProof/>
          <w:u w:color="000000"/>
          <w:bdr w:val="nil"/>
        </w:rPr>
        <w:t>•</w:t>
      </w:r>
      <w:r w:rsidRPr="002A406A">
        <w:rPr>
          <w:noProof/>
        </w:rPr>
        <w:tab/>
      </w:r>
      <w:r w:rsidRPr="002A406A">
        <w:rPr>
          <w:noProof/>
          <w:u w:color="000000"/>
          <w:bdr w:val="nil"/>
        </w:rPr>
        <w:t>Valutazione d'impatto</w:t>
      </w:r>
    </w:p>
    <w:p w14:paraId="52783777" w14:textId="56CD5186" w:rsidR="00D045D9" w:rsidRPr="002A406A" w:rsidRDefault="00D045D9" w:rsidP="00D045D9">
      <w:pPr>
        <w:pBdr>
          <w:top w:val="nil"/>
          <w:left w:val="nil"/>
          <w:bottom w:val="nil"/>
          <w:right w:val="nil"/>
          <w:between w:val="nil"/>
          <w:bar w:val="nil"/>
        </w:pBdr>
        <w:spacing w:before="0" w:after="240"/>
        <w:rPr>
          <w:noProof/>
        </w:rPr>
      </w:pPr>
      <w:r w:rsidRPr="002A406A">
        <w:rPr>
          <w:noProof/>
        </w:rPr>
        <w:t xml:space="preserve">L'AMF dell'Unione è uno strumento di emergenza eccezionale inteso a superare gravi difficoltà della bilancia dei pagamenti in paesi terzi. Più in generale le proposte della Commissione relative all'AMF muovono dagli insegnamenti tratti dalle valutazioni ex post effettuate sulle operazioni già compiute nel vicinato dell'UE. Quest'AMF eccezionale contribuirà ad alleviare il fabbisogno di finanziamento a breve termine dell'Ucraina nelle attuali circostanze straordinarie. Gli obblighi di rendicontazione e le condizioni politiche collegate a quest'AMF eccezionale mirano ad assicurare l'efficienza, la trasparenza e la rendicontabilità del sostegno. L'AMF eccezionale dovrebbe basarsi sui risultati conseguiti dai sei programmi di AMF attuati dal 2015, da ultimo per la COVID-19 e l'AMF di emergenza di inizio 2022. </w:t>
      </w:r>
    </w:p>
    <w:p w14:paraId="68F4BCE0" w14:textId="1DBD6C9B" w:rsidR="004D643E" w:rsidRPr="002A406A" w:rsidRDefault="004D643E" w:rsidP="004D643E">
      <w:pPr>
        <w:pBdr>
          <w:top w:val="nil"/>
          <w:left w:val="nil"/>
          <w:bottom w:val="nil"/>
          <w:right w:val="nil"/>
          <w:between w:val="nil"/>
          <w:bar w:val="nil"/>
        </w:pBdr>
        <w:spacing w:before="0" w:after="240"/>
        <w:rPr>
          <w:rFonts w:eastAsia="Arial Unicode MS"/>
          <w:noProof/>
          <w:color w:val="000000" w:themeColor="text1"/>
        </w:rPr>
      </w:pPr>
      <w:r w:rsidRPr="002A406A">
        <w:rPr>
          <w:noProof/>
        </w:rPr>
        <w:t xml:space="preserve">La proposta non necessita di valutazione d'impatto, in quanto l'assistenza macrofinanziaria è l'unica opzione strategica a disposizione per affrontare il problema. L'impiego di garanzie complementari consegue a una valutazione approfondita del rischio finanziario delle passività in essere. </w:t>
      </w:r>
    </w:p>
    <w:p w14:paraId="0FFEC5C1" w14:textId="77777777" w:rsidR="00F152DC" w:rsidRPr="002A406A" w:rsidRDefault="00F152DC" w:rsidP="00D045D9">
      <w:pPr>
        <w:pStyle w:val="ManualHeading2"/>
        <w:rPr>
          <w:rFonts w:eastAsia="Arial Unicode MS"/>
          <w:noProof/>
          <w:u w:color="000000"/>
          <w:bdr w:val="nil"/>
        </w:rPr>
      </w:pPr>
      <w:r w:rsidRPr="002A406A">
        <w:rPr>
          <w:noProof/>
          <w:u w:color="000000"/>
          <w:bdr w:val="nil"/>
        </w:rPr>
        <w:lastRenderedPageBreak/>
        <w:t>•</w:t>
      </w:r>
      <w:r w:rsidRPr="002A406A">
        <w:rPr>
          <w:noProof/>
        </w:rPr>
        <w:tab/>
      </w:r>
      <w:r w:rsidRPr="002A406A">
        <w:rPr>
          <w:noProof/>
          <w:u w:color="000000"/>
          <w:bdr w:val="nil"/>
        </w:rPr>
        <w:t>Efficienza normativa e semplificazione</w:t>
      </w:r>
    </w:p>
    <w:p w14:paraId="3BF53190" w14:textId="77777777" w:rsidR="004D643E" w:rsidRPr="002A406A" w:rsidRDefault="004D643E" w:rsidP="004D643E">
      <w:pPr>
        <w:pBdr>
          <w:top w:val="nil"/>
          <w:left w:val="nil"/>
          <w:bottom w:val="nil"/>
          <w:right w:val="nil"/>
          <w:between w:val="nil"/>
          <w:bar w:val="nil"/>
        </w:pBdr>
        <w:spacing w:before="0" w:after="240"/>
        <w:rPr>
          <w:rFonts w:eastAsia="Arial Unicode MS"/>
          <w:noProof/>
        </w:rPr>
      </w:pPr>
      <w:r w:rsidRPr="002A406A">
        <w:rPr>
          <w:noProof/>
        </w:rPr>
        <w:t xml:space="preserve">La proposta non è collegata al programma di efficienza normativa e semplificazione. </w:t>
      </w:r>
    </w:p>
    <w:p w14:paraId="487B40D9" w14:textId="77777777" w:rsidR="00F152DC" w:rsidRPr="002A406A" w:rsidRDefault="00F152DC" w:rsidP="00D045D9">
      <w:pPr>
        <w:pStyle w:val="ManualHeading2"/>
        <w:rPr>
          <w:rFonts w:eastAsia="Arial Unicode MS"/>
          <w:noProof/>
          <w:u w:color="000000"/>
          <w:bdr w:val="nil"/>
        </w:rPr>
      </w:pPr>
      <w:r w:rsidRPr="002A406A">
        <w:rPr>
          <w:noProof/>
          <w:u w:color="000000"/>
          <w:bdr w:val="nil"/>
        </w:rPr>
        <w:t>•</w:t>
      </w:r>
      <w:r w:rsidRPr="002A406A">
        <w:rPr>
          <w:noProof/>
        </w:rPr>
        <w:tab/>
      </w:r>
      <w:r w:rsidRPr="002A406A">
        <w:rPr>
          <w:noProof/>
          <w:u w:color="000000"/>
          <w:bdr w:val="nil"/>
        </w:rPr>
        <w:t>Diritti fondamentali</w:t>
      </w:r>
    </w:p>
    <w:p w14:paraId="3B738F03" w14:textId="77777777" w:rsidR="00D045D9" w:rsidRPr="002A406A" w:rsidRDefault="00D045D9" w:rsidP="00D045D9">
      <w:pPr>
        <w:pBdr>
          <w:top w:val="nil"/>
          <w:left w:val="nil"/>
          <w:bottom w:val="nil"/>
          <w:right w:val="nil"/>
          <w:between w:val="nil"/>
          <w:bar w:val="nil"/>
        </w:pBdr>
        <w:spacing w:before="0" w:after="240"/>
        <w:rPr>
          <w:noProof/>
        </w:rPr>
      </w:pPr>
      <w:r w:rsidRPr="002A406A">
        <w:rPr>
          <w:noProof/>
        </w:rPr>
        <w:t xml:space="preserve">I paesi interessati dalla politica europea di vicinato sono ammissibili all'AMF. La concessione dell'AMF è subordinata al rispetto, da parte del paese ammissibile, di meccanismi democratici effettivi, compreso un sistema parlamentare multipartitico e lo Stato di diritto, e alla garanzia del rispetto dei diritti umani. </w:t>
      </w:r>
    </w:p>
    <w:p w14:paraId="5B42392F" w14:textId="77777777" w:rsidR="004D643E" w:rsidRPr="002A406A" w:rsidRDefault="4AE0E69C" w:rsidP="4E7789BD">
      <w:pPr>
        <w:pBdr>
          <w:top w:val="nil"/>
          <w:left w:val="nil"/>
          <w:bottom w:val="nil"/>
          <w:right w:val="nil"/>
          <w:between w:val="nil"/>
          <w:bar w:val="nil"/>
        </w:pBdr>
        <w:spacing w:before="0" w:after="240"/>
        <w:rPr>
          <w:noProof/>
        </w:rPr>
      </w:pPr>
      <w:r w:rsidRPr="002A406A">
        <w:rPr>
          <w:noProof/>
        </w:rPr>
        <w:t>Costituiscono un chiaro segnale positivo il rinnovato impegno riformatore e la forte volontà politica delle autorità ucraine, dimostrati in particolare dal positivo assolvimento delle condizioni di politica strutturale connesse al programma di AMF destinata all'Ucraina per far fronte alla COVID-19, in settori fondamentali quali il sistema giudiziario, il buon governo, lo Stato di diritto e la lotta alla corruzione. Analogamente gli sforzi profusi per sostenere la domanda di adesione all'UE, in particolare rispondendo in maniera circostanziata a due questionari completi ed estremamente dettagliati, trasmettono il chiaro segnale che le autorità intendono perseguire le aspirazioni europee dell'Ucraina e concretarle. Dopo l'aggressione russa le autorità ucraine hanno dimostrato un notevole grado di resilienza e hanno proseguito nell'impegno di realizzazione di queste riforme in modo trasparente e in linea con le norme dell'UE. Attualmente, quindi, la condizione politica preliminare per un'operazione di AMF è considerata soddisfatta.</w:t>
      </w:r>
    </w:p>
    <w:p w14:paraId="1698AAC6" w14:textId="77777777" w:rsidR="00F152DC" w:rsidRPr="002A406A" w:rsidRDefault="00F152DC" w:rsidP="00D045D9">
      <w:pPr>
        <w:pStyle w:val="ManualHeading1"/>
        <w:rPr>
          <w:noProof/>
        </w:rPr>
      </w:pPr>
      <w:r w:rsidRPr="002A406A">
        <w:rPr>
          <w:noProof/>
        </w:rPr>
        <w:t>4.</w:t>
      </w:r>
      <w:r w:rsidRPr="002A406A">
        <w:rPr>
          <w:noProof/>
        </w:rPr>
        <w:tab/>
        <w:t>INCIDENZA SUL BILANCIO</w:t>
      </w:r>
    </w:p>
    <w:p w14:paraId="79DC3A94" w14:textId="77777777" w:rsidR="45FEAB70" w:rsidRPr="002A406A" w:rsidRDefault="45FEAB70" w:rsidP="017598B8">
      <w:pPr>
        <w:rPr>
          <w:rFonts w:eastAsia="Times New Roman"/>
          <w:noProof/>
        </w:rPr>
      </w:pPr>
      <w:r w:rsidRPr="002A406A">
        <w:rPr>
          <w:noProof/>
        </w:rPr>
        <w:t xml:space="preserve">I fondi per quest'AMF eccezionale all'Ucraina da 5 miliardi di EUR proverranno da prestiti contratti sui mercati dei capitali e a loro volta trasferiti all'Ucraina. Verranno a integrare l'AMF eccezionale da 1 miliardo di EUR concessa all'Ucraina in virtù della decisione (UE) 2022/1201. </w:t>
      </w:r>
    </w:p>
    <w:p w14:paraId="10C03901" w14:textId="54A02A4D" w:rsidR="00860E34" w:rsidRPr="002A406A" w:rsidRDefault="425546C6" w:rsidP="00675EAC">
      <w:pPr>
        <w:pBdr>
          <w:top w:val="nil"/>
          <w:left w:val="nil"/>
          <w:bottom w:val="nil"/>
          <w:right w:val="nil"/>
          <w:between w:val="nil"/>
          <w:bar w:val="nil"/>
        </w:pBdr>
        <w:spacing w:before="0" w:after="240"/>
        <w:rPr>
          <w:noProof/>
        </w:rPr>
      </w:pPr>
      <w:r w:rsidRPr="002A406A">
        <w:rPr>
          <w:noProof/>
        </w:rPr>
        <w:t>A tutela del bilancio dell'Unione, i due prestiti di AMF eccezionale a favore dell'Ucraina, che complessivamente implicano un importo massimo di 6 miliardi di EUR, dovrebbero essere coperti al 70 % mediante una dotazione versata del 9 % e garanzie richiamabili degli Stati membri per il 61 %. La copertura versata richiesta (in percentuale del 9 % della garanzia per le azioni esterne) sarà assegnata nell'ambito dell'NDICI-Europa globale, per un importo totale di 540</w:t>
      </w:r>
      <w:r w:rsidR="00675EAC" w:rsidRPr="002A406A">
        <w:rPr>
          <w:noProof/>
        </w:rPr>
        <w:t> </w:t>
      </w:r>
      <w:r w:rsidRPr="002A406A">
        <w:rPr>
          <w:noProof/>
        </w:rPr>
        <w:t>milioni di EUR (linea di bilancio 14 02 01 70 "NDICI-Europa globale – Dotazione del fondo comune di copertura"). La possibilità di mobilitare, nell'ambito degli attuali massimali del QFP, risorse di bilancio per la copertura aggiuntiva al di sopra del 9 % è tuttavia limitata. Per poter mettere a disposizione dell'Ucraina ulteriori prestiti di AMF mantenendo una sana gestione del bilancio e senza interferire nell'attuazione del QFP 2021</w:t>
      </w:r>
      <w:r w:rsidR="00675EAC" w:rsidRPr="002A406A">
        <w:rPr>
          <w:noProof/>
        </w:rPr>
        <w:noBreakHyphen/>
      </w:r>
      <w:r w:rsidRPr="002A406A">
        <w:rPr>
          <w:noProof/>
        </w:rPr>
        <w:t>2027 occorre ricorrere alle garanzie degli Stati membri: è questa la logica di fondo che spinge a chiedere agli Stati membri di mettere a disposizione garanzie per un ulteriore 61 % del valore dei proposti 6</w:t>
      </w:r>
      <w:r w:rsidR="00675EAC" w:rsidRPr="002A406A">
        <w:rPr>
          <w:noProof/>
        </w:rPr>
        <w:t> </w:t>
      </w:r>
      <w:r w:rsidRPr="002A406A">
        <w:rPr>
          <w:noProof/>
        </w:rPr>
        <w:t>miliardi di EUR di prestiti.</w:t>
      </w:r>
    </w:p>
    <w:p w14:paraId="39578AF2" w14:textId="23FD07D6" w:rsidR="005A3BBB" w:rsidRPr="002A406A" w:rsidRDefault="005A3BBB" w:rsidP="00675EAC">
      <w:pPr>
        <w:pBdr>
          <w:top w:val="nil"/>
          <w:left w:val="nil"/>
          <w:bottom w:val="nil"/>
          <w:right w:val="nil"/>
          <w:between w:val="nil"/>
          <w:bar w:val="nil"/>
        </w:pBdr>
        <w:spacing w:before="0" w:after="240"/>
        <w:rPr>
          <w:noProof/>
        </w:rPr>
      </w:pPr>
      <w:r w:rsidRPr="002A406A">
        <w:rPr>
          <w:noProof/>
        </w:rPr>
        <w:t>La copertura complessiva potrebbe quindi contare sulla protezione dalle prime perdite, con un accantonamento versato pari al 9 % di 6</w:t>
      </w:r>
      <w:r w:rsidR="00675EAC" w:rsidRPr="002A406A">
        <w:rPr>
          <w:noProof/>
        </w:rPr>
        <w:t> </w:t>
      </w:r>
      <w:r w:rsidRPr="002A406A">
        <w:rPr>
          <w:noProof/>
        </w:rPr>
        <w:t>miliardi di EUR, integrata dalle garanzie complementari degli Stati membri a copertura di esposizioni fino a 3,66</w:t>
      </w:r>
      <w:r w:rsidR="00675EAC" w:rsidRPr="002A406A">
        <w:rPr>
          <w:noProof/>
        </w:rPr>
        <w:t> </w:t>
      </w:r>
      <w:r w:rsidRPr="002A406A">
        <w:rPr>
          <w:noProof/>
        </w:rPr>
        <w:t>miliardi di EUR, pari al 61 % dei 6</w:t>
      </w:r>
      <w:r w:rsidR="00675EAC" w:rsidRPr="002A406A">
        <w:rPr>
          <w:noProof/>
        </w:rPr>
        <w:t> </w:t>
      </w:r>
      <w:r w:rsidRPr="002A406A">
        <w:rPr>
          <w:noProof/>
        </w:rPr>
        <w:t xml:space="preserve">miliardi di EUR di prestiti dell'AMF; in conformità della normativa applicabile, gli eventuali importi residui sarebbero coperti dal bilancio dell'Unione come passività potenziale. </w:t>
      </w:r>
    </w:p>
    <w:p w14:paraId="6E7A2680" w14:textId="77777777" w:rsidR="00E34702" w:rsidRPr="002A406A" w:rsidRDefault="0D4F464F" w:rsidP="00E34702">
      <w:pPr>
        <w:pBdr>
          <w:top w:val="nil"/>
          <w:left w:val="nil"/>
          <w:bottom w:val="nil"/>
          <w:right w:val="nil"/>
          <w:between w:val="nil"/>
          <w:bar w:val="nil"/>
        </w:pBdr>
        <w:spacing w:before="0" w:after="240"/>
        <w:rPr>
          <w:noProof/>
        </w:rPr>
      </w:pPr>
      <w:r w:rsidRPr="002A406A">
        <w:rPr>
          <w:noProof/>
        </w:rPr>
        <w:lastRenderedPageBreak/>
        <w:t>L'assistenza macrofinanziaria eccezionale concessa all'Ucraina in virtù della presente decisione partirà immediatamente all'entrata in vigore della decisione stessa, senza attendere il ricevimento delle garanzie nazionali richieste.</w:t>
      </w:r>
    </w:p>
    <w:p w14:paraId="5F23EC5E" w14:textId="73F45B68" w:rsidR="00B6005E" w:rsidRPr="002A406A" w:rsidRDefault="00B6005E" w:rsidP="00B6005E">
      <w:pPr>
        <w:pBdr>
          <w:top w:val="nil"/>
          <w:left w:val="nil"/>
          <w:bottom w:val="nil"/>
          <w:right w:val="nil"/>
          <w:between w:val="nil"/>
          <w:bar w:val="nil"/>
        </w:pBdr>
        <w:spacing w:before="0" w:after="240"/>
        <w:rPr>
          <w:noProof/>
        </w:rPr>
      </w:pPr>
      <w:r w:rsidRPr="002A406A">
        <w:rPr>
          <w:noProof/>
        </w:rPr>
        <w:t>Data l'urgenza di partire con i prestiti all'Ucraina nel corso del 2022, l'UE li attiverà prima che siano disponibili le garanzie degli Stati membri. L'esperienza insegna che, sebbene molti Stati membri possano concludere le procedure entro 2-3 mesi, possono trascorrere 4</w:t>
      </w:r>
      <w:r w:rsidR="00675EAC" w:rsidRPr="002A406A">
        <w:rPr>
          <w:noProof/>
        </w:rPr>
        <w:noBreakHyphen/>
      </w:r>
      <w:r w:rsidRPr="002A406A">
        <w:rPr>
          <w:noProof/>
        </w:rPr>
        <w:t xml:space="preserve">5 mesi prima che siano disponibili tutte le garanzie. Data l'estrema urgenza del fabbisogno di finanziamento dell'Ucraina, non si possono rispettare questi tempi: la Commissione prevede quindi, in via eccezionale data la situazione estrema, di organizzare i prestiti in parallelo al ricevimento delle garanzie. </w:t>
      </w:r>
    </w:p>
    <w:p w14:paraId="002FB356" w14:textId="543935EF" w:rsidR="00B6005E" w:rsidRPr="002A406A" w:rsidRDefault="00B6005E" w:rsidP="00B6005E">
      <w:pPr>
        <w:pBdr>
          <w:top w:val="nil"/>
          <w:left w:val="nil"/>
          <w:bottom w:val="nil"/>
          <w:right w:val="nil"/>
          <w:between w:val="nil"/>
          <w:bar w:val="nil"/>
        </w:pBdr>
        <w:spacing w:before="0" w:after="240"/>
        <w:rPr>
          <w:noProof/>
        </w:rPr>
      </w:pPr>
      <w:r w:rsidRPr="002A406A">
        <w:rPr>
          <w:noProof/>
        </w:rPr>
        <w:t xml:space="preserve">La struttura medesima del pacchetto di prestiti mette gli investitori in obbligazioni unionali al riparo dal rischio di incorrere in un inadempimento dell'Unione nel corso del breve periodo che intercorrerà prima del ricevimento delle </w:t>
      </w:r>
      <w:r w:rsidR="00195EC3" w:rsidRPr="002A406A">
        <w:rPr>
          <w:noProof/>
        </w:rPr>
        <w:t>garanzie (</w:t>
      </w:r>
      <w:r w:rsidRPr="002A406A">
        <w:rPr>
          <w:noProof/>
        </w:rPr>
        <w:t>4-5 mesi), durante il quale non è comunque previsto alcun evento di pagamento. Nell'ipotesi teorica di un inadempimento nel corso di questo periodo, la Commissione potrà attingere agli importi accantonati per i prestiti dell'AMF e, se necessario, ad altri accantonamenti del fondo comune di copertura dell'UE.</w:t>
      </w:r>
    </w:p>
    <w:p w14:paraId="40FF8DE9" w14:textId="69469BB1" w:rsidR="00E34702" w:rsidRPr="002A406A" w:rsidRDefault="4272D6CE" w:rsidP="22327288">
      <w:pPr>
        <w:pBdr>
          <w:top w:val="nil"/>
          <w:left w:val="nil"/>
          <w:bottom w:val="nil"/>
          <w:right w:val="nil"/>
          <w:between w:val="nil"/>
          <w:bar w:val="nil"/>
        </w:pBdr>
        <w:spacing w:before="0" w:after="240"/>
        <w:rPr>
          <w:noProof/>
          <w:highlight w:val="yellow"/>
        </w:rPr>
      </w:pPr>
      <w:r w:rsidRPr="002A406A">
        <w:rPr>
          <w:noProof/>
        </w:rPr>
        <w:t xml:space="preserve">Gli Stati membri dovrebbero completare le rispettive procedure nazionali affinché le garanzie entrino in vigore con la massima urgenza. </w:t>
      </w:r>
    </w:p>
    <w:p w14:paraId="763701CC" w14:textId="48DB84F3" w:rsidR="007271EB" w:rsidRPr="002A406A" w:rsidRDefault="70243B41" w:rsidP="007271EB">
      <w:pPr>
        <w:pBdr>
          <w:top w:val="nil"/>
          <w:left w:val="nil"/>
          <w:bottom w:val="nil"/>
          <w:right w:val="nil"/>
          <w:between w:val="nil"/>
          <w:bar w:val="nil"/>
        </w:pBdr>
        <w:spacing w:before="0" w:after="240"/>
        <w:rPr>
          <w:rFonts w:eastAsia="Arial Unicode MS"/>
          <w:noProof/>
        </w:rPr>
      </w:pPr>
      <w:r w:rsidRPr="002A406A">
        <w:rPr>
          <w:noProof/>
        </w:rPr>
        <w:t xml:space="preserve">Le garanzie coprirebbero importi superiori all'iniziale accantonamento versato del 9 % dell'importo dei prestiti previsti dalla presente decisione e dalla decisione (UE) 2022/1201, iscrivendosi nell'ambito del QFP secondo quanto disposto all'articolo 31, paragrafo 5, del regolamento NDICI-Europa globale e dalla programmazione finanziaria. Le attivazioni si limiteranno alle situazioni di inadempimento dell'Ucraina sul rimborso dei prestiti previsti dalla presente decisione e dalla decisione (UE) 2022/1201 e sarebbero in primo luogo impiegate per assolvere gli obblighi dell'Unione e, se del caso, per ricostituire lo specifico comparto del fondo comune di copertura dedicato all'Ucraina. I contributi sarebbero conteggiati nel calcolo dell'accantonamento risultante dal tasso di copertura di cui all'articolo 211, paragrafo 1, del regolamento finanziario, in deroga all'articolo 211, paragrafo 4, secondo comma, dello stesso regolamento. </w:t>
      </w:r>
    </w:p>
    <w:p w14:paraId="374CDC95" w14:textId="77777777" w:rsidR="007271EB" w:rsidRPr="002A406A" w:rsidRDefault="007271EB" w:rsidP="005A3BBB">
      <w:pPr>
        <w:pBdr>
          <w:top w:val="nil"/>
          <w:left w:val="nil"/>
          <w:bottom w:val="nil"/>
          <w:right w:val="nil"/>
          <w:between w:val="nil"/>
          <w:bar w:val="nil"/>
        </w:pBdr>
        <w:spacing w:before="0" w:after="240"/>
        <w:rPr>
          <w:noProof/>
        </w:rPr>
      </w:pPr>
      <w:r w:rsidRPr="002A406A">
        <w:rPr>
          <w:noProof/>
        </w:rPr>
        <w:t>Gli importi richiesti agli Stati membri costituirebbero entrate con destinazione specifica esterne ai sensi dell'articolo 21, paragrafo 2, lettera a), punto ii), del regolamento finanziario, finalizzate a mettere a disposizione contributi degli Stati membri per la copertura dell'AMF, che è un programma di aiuti esterni garantito in conformità dell'NDICI-Europa globale.</w:t>
      </w:r>
    </w:p>
    <w:p w14:paraId="1AB70225" w14:textId="77777777" w:rsidR="004D643E" w:rsidRPr="002A406A" w:rsidRDefault="64C48C7E" w:rsidP="005A3BBB">
      <w:pPr>
        <w:pBdr>
          <w:top w:val="nil"/>
          <w:left w:val="nil"/>
          <w:bottom w:val="nil"/>
          <w:right w:val="nil"/>
          <w:between w:val="nil"/>
          <w:bar w:val="nil"/>
        </w:pBdr>
        <w:spacing w:before="0" w:after="240"/>
        <w:rPr>
          <w:noProof/>
        </w:rPr>
      </w:pPr>
      <w:r w:rsidRPr="002A406A">
        <w:rPr>
          <w:noProof/>
        </w:rPr>
        <w:t>Data l'eccezionalità dell'assistenza macrofinanziaria assistita dalle garanzie, è opportuno coprire la passività finanziaria derivante dall'AMF prevista dalla presente decisione e dalla decisione (UE) 2022/1201 separandola dalle altre passività finanziarie che rientrano nell'ambito della garanzia per le azioni esterne. È in particolare opportuno usare la dotazione accantonata nel fondo comune di copertura per quest'AMF unicamente per le passività finanziarie derivanti dalla presente decisione, anziché la norma generale di cui all'articolo 31, paragrafo 6, del regolamento NDICI-Europa globale.</w:t>
      </w:r>
    </w:p>
    <w:p w14:paraId="040FB470" w14:textId="13ABEF55" w:rsidR="00F71640" w:rsidRPr="002A406A" w:rsidRDefault="26C1F87D" w:rsidP="07D623CA">
      <w:pPr>
        <w:pBdr>
          <w:top w:val="nil"/>
          <w:left w:val="nil"/>
          <w:bottom w:val="nil"/>
          <w:right w:val="nil"/>
          <w:between w:val="nil"/>
          <w:bar w:val="nil"/>
        </w:pBdr>
        <w:spacing w:before="0" w:after="240"/>
        <w:rPr>
          <w:rFonts w:eastAsia="Times New Roman"/>
          <w:noProof/>
        </w:rPr>
      </w:pPr>
      <w:r w:rsidRPr="002A406A">
        <w:rPr>
          <w:noProof/>
        </w:rPr>
        <w:t>Le stesse considerazioni di rischio si applicano ai prestiti del mandato esterno già erogati o destinati ad essere erogati dalla BEI dopo il 15</w:t>
      </w:r>
      <w:r w:rsidR="00675EAC" w:rsidRPr="002A406A">
        <w:rPr>
          <w:noProof/>
        </w:rPr>
        <w:t> </w:t>
      </w:r>
      <w:r w:rsidRPr="002A406A">
        <w:rPr>
          <w:noProof/>
        </w:rPr>
        <w:t xml:space="preserve">luglio 2022. La presente proposta prevede pertanto l'estensione a tali prestiti del tasso di copertura del 70 %, l'applicazione delle norme sulla copertura previste dal regolamento finanziario (e non delle norme del Fondo di garanzia </w:t>
      </w:r>
      <w:r w:rsidRPr="002A406A">
        <w:rPr>
          <w:noProof/>
        </w:rPr>
        <w:lastRenderedPageBreak/>
        <w:t xml:space="preserve">per le azioni esterne) e la collocazione degli accantonamenti in un comparto distinto del fondo comune di copertura. </w:t>
      </w:r>
    </w:p>
    <w:p w14:paraId="79D9F9E3" w14:textId="5668874A" w:rsidR="00CD6872" w:rsidRPr="002A406A" w:rsidRDefault="0F7C5A77" w:rsidP="07D623CA">
      <w:pPr>
        <w:pBdr>
          <w:top w:val="nil"/>
          <w:left w:val="nil"/>
          <w:bottom w:val="nil"/>
          <w:right w:val="nil"/>
          <w:between w:val="nil"/>
          <w:bar w:val="nil"/>
        </w:pBdr>
        <w:spacing w:before="0" w:after="240"/>
        <w:rPr>
          <w:rFonts w:eastAsia="Arial Unicode MS"/>
          <w:noProof/>
        </w:rPr>
      </w:pPr>
      <w:r w:rsidRPr="002A406A">
        <w:rPr>
          <w:noProof/>
        </w:rPr>
        <w:t>Nel periodo del QFP 2021-2027 dovrebbe essere messo a disposizione un contributo in conto interessi, a carico della dotazione di cui all'articolo</w:t>
      </w:r>
      <w:r w:rsidR="00675EAC" w:rsidRPr="002A406A">
        <w:rPr>
          <w:noProof/>
        </w:rPr>
        <w:t> </w:t>
      </w:r>
      <w:r w:rsidRPr="002A406A">
        <w:rPr>
          <w:noProof/>
        </w:rPr>
        <w:t>6, paragrafo 2, lettera a), primo trattino, dell'NDICI-Europa globale. L'Unione rinuncerebbe ai costi amministrativi connessi all'assunzione e alla concessione di prestiti, che l'Ucraina non sarebbe quindi tenuta a coprire e che resterebbero a carico delle rispettive linee del bilancio amministrativo.</w:t>
      </w:r>
    </w:p>
    <w:p w14:paraId="3A547F5D" w14:textId="77777777" w:rsidR="00F152DC" w:rsidRPr="002A406A" w:rsidRDefault="00F152DC" w:rsidP="00D045D9">
      <w:pPr>
        <w:pStyle w:val="ManualHeading1"/>
        <w:rPr>
          <w:noProof/>
        </w:rPr>
      </w:pPr>
      <w:r w:rsidRPr="002A406A">
        <w:rPr>
          <w:noProof/>
        </w:rPr>
        <w:t>5.</w:t>
      </w:r>
      <w:r w:rsidRPr="002A406A">
        <w:rPr>
          <w:noProof/>
        </w:rPr>
        <w:tab/>
        <w:t>ALTRI ELEMENTI</w:t>
      </w:r>
    </w:p>
    <w:p w14:paraId="56A6DD0A" w14:textId="77777777" w:rsidR="00F152DC" w:rsidRPr="002A406A" w:rsidRDefault="00F152DC" w:rsidP="00D045D9">
      <w:pPr>
        <w:pStyle w:val="ManualHeading2"/>
        <w:rPr>
          <w:rFonts w:eastAsia="Arial Unicode MS"/>
          <w:noProof/>
          <w:u w:color="000000"/>
          <w:bdr w:val="nil"/>
        </w:rPr>
      </w:pPr>
      <w:r w:rsidRPr="002A406A">
        <w:rPr>
          <w:noProof/>
          <w:u w:color="000000"/>
          <w:bdr w:val="nil"/>
        </w:rPr>
        <w:t>•</w:t>
      </w:r>
      <w:r w:rsidRPr="002A406A">
        <w:rPr>
          <w:noProof/>
        </w:rPr>
        <w:tab/>
      </w:r>
      <w:r w:rsidRPr="002A406A">
        <w:rPr>
          <w:noProof/>
          <w:u w:color="000000"/>
          <w:bdr w:val="nil"/>
        </w:rPr>
        <w:t>Piani attuativi e modalità di monitoraggio, valutazione e informazione</w:t>
      </w:r>
    </w:p>
    <w:p w14:paraId="5A7AA2B2" w14:textId="3AFFEAE5" w:rsidR="00D422FE" w:rsidRPr="002A406A" w:rsidRDefault="00E87BDC" w:rsidP="00EB03A9">
      <w:pPr>
        <w:rPr>
          <w:noProof/>
        </w:rPr>
      </w:pPr>
      <w:r w:rsidRPr="002A406A">
        <w:rPr>
          <w:noProof/>
        </w:rPr>
        <w:t>L'Unione europea mette a disposizione dell'Ucraina AMF eccezionale per un importo complessivo di 5</w:t>
      </w:r>
      <w:r w:rsidR="00675EAC" w:rsidRPr="002A406A">
        <w:rPr>
          <w:noProof/>
        </w:rPr>
        <w:t> </w:t>
      </w:r>
      <w:r w:rsidRPr="002A406A">
        <w:rPr>
          <w:noProof/>
        </w:rPr>
        <w:t>miliardi di EUR sotto forma di prestiti a lungo termine. L'assistenza, che si prevede di erogare in più rate, contribuirà a coprire il fabbisogno residuo di finanziamenti esterni dell'Ucraina nel 2022. La prima rata sarà versata una volta approvata la presente proposta ed entrato in vigore il relativo protocollo d'intesa, e non appena gli Stati membri all'unanimità avranno accettato di completare con la massima urgenza le procedure nazionali di messa a disposizione delle rispettive garanzie.</w:t>
      </w:r>
    </w:p>
    <w:p w14:paraId="2DC06D3E" w14:textId="77777777" w:rsidR="00E87BDC" w:rsidRPr="002A406A" w:rsidRDefault="4149ED77" w:rsidP="003C45F0">
      <w:pPr>
        <w:rPr>
          <w:noProof/>
        </w:rPr>
      </w:pPr>
      <w:r w:rsidRPr="002A406A">
        <w:rPr>
          <w:noProof/>
        </w:rPr>
        <w:t>L'erogazione sarebbe subordinata all'adempimento degli obblighi di rendicontazione concordati nel protocollo d'intesa. La Commissione collaborerà strettamente con le istituzioni finanziarie internazionali e le autorità nazionali per monitorare gli sviluppi e l'applicazione degli obblighi e delle condizioni concordati nel protocollo d'intesa.</w:t>
      </w:r>
    </w:p>
    <w:p w14:paraId="0920E093" w14:textId="3EE02D76" w:rsidR="00E87BDC" w:rsidRPr="002A406A" w:rsidRDefault="3BB2F731" w:rsidP="00E87BDC">
      <w:pPr>
        <w:pBdr>
          <w:top w:val="nil"/>
          <w:left w:val="nil"/>
          <w:bottom w:val="nil"/>
          <w:right w:val="nil"/>
          <w:between w:val="nil"/>
          <w:bar w:val="nil"/>
        </w:pBdr>
        <w:spacing w:before="0" w:after="240"/>
        <w:rPr>
          <w:noProof/>
        </w:rPr>
      </w:pPr>
      <w:r w:rsidRPr="002A406A">
        <w:rPr>
          <w:noProof/>
        </w:rPr>
        <w:t xml:space="preserve">L'assistenza sarà gestita dalla Commissione. Si applicano disposizioni specifiche, conformi al regolamento finanziario, in materia di prevenzione delle frodi e di altre irregolarità. </w:t>
      </w:r>
    </w:p>
    <w:p w14:paraId="4D542897" w14:textId="77777777" w:rsidR="00F152DC" w:rsidRPr="002A406A" w:rsidRDefault="00F152DC" w:rsidP="00D045D9">
      <w:pPr>
        <w:pStyle w:val="ManualHeading2"/>
        <w:rPr>
          <w:rFonts w:eastAsia="Arial Unicode MS"/>
          <w:noProof/>
          <w:u w:color="000000"/>
          <w:bdr w:val="nil"/>
        </w:rPr>
      </w:pPr>
      <w:r w:rsidRPr="002A406A">
        <w:rPr>
          <w:noProof/>
          <w:u w:color="000000"/>
          <w:bdr w:val="nil"/>
        </w:rPr>
        <w:t>•</w:t>
      </w:r>
      <w:r w:rsidRPr="002A406A">
        <w:rPr>
          <w:noProof/>
        </w:rPr>
        <w:tab/>
      </w:r>
      <w:r w:rsidRPr="002A406A">
        <w:rPr>
          <w:noProof/>
          <w:u w:color="000000"/>
          <w:bdr w:val="nil"/>
        </w:rPr>
        <w:t>Documenti esplicativi (per le direttive)</w:t>
      </w:r>
    </w:p>
    <w:p w14:paraId="30A603BF" w14:textId="77777777" w:rsidR="004D643E" w:rsidRPr="002A406A" w:rsidRDefault="004D643E" w:rsidP="004D643E">
      <w:pPr>
        <w:pBdr>
          <w:top w:val="nil"/>
          <w:left w:val="nil"/>
          <w:bottom w:val="nil"/>
          <w:right w:val="nil"/>
          <w:between w:val="nil"/>
          <w:bar w:val="nil"/>
        </w:pBdr>
        <w:spacing w:before="0" w:after="240"/>
        <w:rPr>
          <w:rFonts w:eastAsia="Arial Unicode MS"/>
          <w:noProof/>
        </w:rPr>
      </w:pPr>
      <w:r w:rsidRPr="002A406A">
        <w:rPr>
          <w:noProof/>
        </w:rPr>
        <w:t xml:space="preserve">Non applicabile </w:t>
      </w:r>
    </w:p>
    <w:p w14:paraId="6BEA7686" w14:textId="77777777" w:rsidR="00F152DC" w:rsidRPr="002A406A" w:rsidRDefault="00F152DC" w:rsidP="00D045D9">
      <w:pPr>
        <w:pStyle w:val="ManualHeading2"/>
        <w:rPr>
          <w:rFonts w:eastAsia="Arial Unicode MS"/>
          <w:noProof/>
          <w:u w:color="000000"/>
          <w:bdr w:val="nil"/>
        </w:rPr>
      </w:pPr>
      <w:r w:rsidRPr="002A406A">
        <w:rPr>
          <w:noProof/>
          <w:u w:color="000000"/>
          <w:bdr w:val="nil"/>
        </w:rPr>
        <w:t>•</w:t>
      </w:r>
      <w:r w:rsidRPr="002A406A">
        <w:rPr>
          <w:noProof/>
        </w:rPr>
        <w:tab/>
      </w:r>
      <w:r w:rsidRPr="002A406A">
        <w:rPr>
          <w:noProof/>
          <w:u w:color="000000"/>
          <w:bdr w:val="nil"/>
        </w:rPr>
        <w:t>Illustrazione dettagliata delle singole disposizioni della proposta</w:t>
      </w:r>
    </w:p>
    <w:p w14:paraId="1CD1DF1A" w14:textId="77777777" w:rsidR="001F3B66" w:rsidRPr="002A406A" w:rsidRDefault="001F3B66" w:rsidP="4E7789BD">
      <w:pPr>
        <w:pBdr>
          <w:top w:val="nil"/>
          <w:left w:val="nil"/>
          <w:bottom w:val="nil"/>
          <w:right w:val="nil"/>
          <w:between w:val="nil"/>
          <w:bar w:val="nil"/>
        </w:pBdr>
        <w:spacing w:before="0" w:after="240"/>
        <w:rPr>
          <w:noProof/>
        </w:rPr>
      </w:pPr>
      <w:r w:rsidRPr="002A406A">
        <w:rPr>
          <w:noProof/>
        </w:rPr>
        <w:t>La decisione inquadrerà le garanzie degli Stati membri a copertura delle perdite che vadano oltre la dotazione già versata al fondo comune di copertura o prevista nella programmazione finanziaria del QFP 2021-2027.</w:t>
      </w:r>
    </w:p>
    <w:p w14:paraId="3A68BBFE" w14:textId="77777777" w:rsidR="001F3B66" w:rsidRPr="002A406A" w:rsidRDefault="60BE7756" w:rsidP="4E7789BD">
      <w:pPr>
        <w:pBdr>
          <w:top w:val="nil"/>
          <w:left w:val="nil"/>
          <w:bottom w:val="nil"/>
          <w:right w:val="nil"/>
          <w:between w:val="nil"/>
          <w:bar w:val="nil"/>
        </w:pBdr>
        <w:spacing w:before="0" w:after="240"/>
        <w:rPr>
          <w:noProof/>
        </w:rPr>
      </w:pPr>
      <w:r w:rsidRPr="002A406A">
        <w:rPr>
          <w:noProof/>
        </w:rPr>
        <w:t>L'articolo 1 illustra le caratteristiche principali dell'assistenza macrofinanziaria eccezionale contemplata dalla decisione.</w:t>
      </w:r>
    </w:p>
    <w:p w14:paraId="5F00C70E" w14:textId="730319C0" w:rsidR="001F3B66" w:rsidRPr="002A406A" w:rsidRDefault="60BE7756" w:rsidP="4E7789BD">
      <w:pPr>
        <w:pBdr>
          <w:top w:val="nil"/>
          <w:left w:val="nil"/>
          <w:bottom w:val="nil"/>
          <w:right w:val="nil"/>
          <w:between w:val="nil"/>
          <w:bar w:val="nil"/>
        </w:pBdr>
        <w:spacing w:before="0" w:after="240"/>
        <w:rPr>
          <w:noProof/>
        </w:rPr>
      </w:pPr>
      <w:r w:rsidRPr="002A406A">
        <w:rPr>
          <w:noProof/>
        </w:rPr>
        <w:t>L'articolo 2 impone l'obbligo di rispettare le condizioni politiche preliminari necessarie per l'erogazione de</w:t>
      </w:r>
      <w:r w:rsidR="0064601D" w:rsidRPr="002A406A">
        <w:rPr>
          <w:noProof/>
        </w:rPr>
        <w:t>ll'assistenza macrofinanziaria.</w:t>
      </w:r>
      <w:r w:rsidRPr="002A406A">
        <w:rPr>
          <w:noProof/>
        </w:rPr>
        <w:t xml:space="preserve"> </w:t>
      </w:r>
    </w:p>
    <w:p w14:paraId="3BE13E60" w14:textId="77777777" w:rsidR="001F3B66" w:rsidRPr="002A406A" w:rsidRDefault="60BE7756" w:rsidP="60BE7756">
      <w:pPr>
        <w:pBdr>
          <w:top w:val="nil"/>
          <w:left w:val="nil"/>
          <w:bottom w:val="nil"/>
          <w:right w:val="nil"/>
          <w:between w:val="nil"/>
          <w:bar w:val="nil"/>
        </w:pBdr>
        <w:spacing w:before="0" w:after="240"/>
        <w:rPr>
          <w:noProof/>
        </w:rPr>
      </w:pPr>
      <w:r w:rsidRPr="002A406A">
        <w:rPr>
          <w:noProof/>
        </w:rPr>
        <w:t xml:space="preserve">L'articolo 3 stabilisce precisamente gli obblighi in materia di monitoraggio e rendicontazione e le condizioni politiche alle quali dev'essere collegata l'assistenza macrofinanziaria eccezionale dell'Unione. Tali obblighi e condizioni sono stabiliti in un protocollo d'intesa. </w:t>
      </w:r>
    </w:p>
    <w:p w14:paraId="4B22BDFE" w14:textId="1472D99A" w:rsidR="001F3B66" w:rsidRPr="002A406A" w:rsidRDefault="5DE57DE7" w:rsidP="736EBCC3">
      <w:pPr>
        <w:pBdr>
          <w:top w:val="nil"/>
          <w:left w:val="nil"/>
          <w:bottom w:val="nil"/>
          <w:right w:val="nil"/>
          <w:between w:val="nil"/>
          <w:bar w:val="nil"/>
        </w:pBdr>
        <w:spacing w:before="0" w:after="240"/>
        <w:rPr>
          <w:noProof/>
        </w:rPr>
      </w:pPr>
      <w:r w:rsidRPr="002A406A">
        <w:rPr>
          <w:noProof/>
        </w:rPr>
        <w:t>L'articolo 4 stabilisce le condizioni necessarie per l'erogazione in più rate dell'assistenza macrofinanziaria eccezionale. Tempi e condizioni dell'erogazione di ciascuna rata sono stab</w:t>
      </w:r>
      <w:r w:rsidR="0064601D" w:rsidRPr="002A406A">
        <w:rPr>
          <w:noProof/>
        </w:rPr>
        <w:t>iliti nel protocollo d'intesa.</w:t>
      </w:r>
      <w:r w:rsidRPr="002A406A">
        <w:rPr>
          <w:noProof/>
        </w:rPr>
        <w:t xml:space="preserve"> </w:t>
      </w:r>
    </w:p>
    <w:p w14:paraId="0EDFA04E" w14:textId="77777777" w:rsidR="001F3B66" w:rsidRPr="002A406A" w:rsidRDefault="60BE7756" w:rsidP="4E7789BD">
      <w:pPr>
        <w:pBdr>
          <w:top w:val="nil"/>
          <w:left w:val="nil"/>
          <w:bottom w:val="nil"/>
          <w:right w:val="nil"/>
          <w:between w:val="nil"/>
          <w:bar w:val="nil"/>
        </w:pBdr>
        <w:spacing w:before="0" w:after="240" w:line="257" w:lineRule="auto"/>
        <w:rPr>
          <w:noProof/>
        </w:rPr>
      </w:pPr>
      <w:r w:rsidRPr="002A406A">
        <w:rPr>
          <w:noProof/>
        </w:rPr>
        <w:t>L'articolo 5 illustra le norme applicabili alle operazioni di assunzione ed erogazione di prestiti.</w:t>
      </w:r>
    </w:p>
    <w:p w14:paraId="34157A72" w14:textId="77777777" w:rsidR="001F3B66" w:rsidRPr="002A406A" w:rsidRDefault="60BE7756" w:rsidP="4E7789BD">
      <w:pPr>
        <w:pBdr>
          <w:top w:val="nil"/>
          <w:left w:val="nil"/>
          <w:bottom w:val="nil"/>
          <w:right w:val="nil"/>
          <w:between w:val="nil"/>
          <w:bar w:val="nil"/>
        </w:pBdr>
        <w:spacing w:before="0" w:after="240"/>
        <w:rPr>
          <w:noProof/>
        </w:rPr>
      </w:pPr>
      <w:r w:rsidRPr="002A406A">
        <w:rPr>
          <w:noProof/>
        </w:rPr>
        <w:lastRenderedPageBreak/>
        <w:t>L'articolo 6 illustra il finanziamento del contributo in conto interessi.</w:t>
      </w:r>
    </w:p>
    <w:p w14:paraId="37074467" w14:textId="77777777" w:rsidR="001F3B66" w:rsidRPr="002A406A" w:rsidRDefault="001F3B66" w:rsidP="6FFD2748">
      <w:pPr>
        <w:pBdr>
          <w:top w:val="nil"/>
          <w:left w:val="nil"/>
          <w:bottom w:val="nil"/>
          <w:right w:val="nil"/>
          <w:between w:val="nil"/>
          <w:bar w:val="nil"/>
        </w:pBdr>
        <w:spacing w:before="0" w:after="240"/>
        <w:rPr>
          <w:noProof/>
        </w:rPr>
      </w:pPr>
      <w:r w:rsidRPr="002A406A">
        <w:rPr>
          <w:noProof/>
        </w:rPr>
        <w:t xml:space="preserve">L'articolo 7 illustra gli obblighi di rendicontazione della Commissione nei confronti del Parlamento europeo e del Consiglio nella fase di attuazione dell'assistenza macrofinanziaria eccezionale a favore dell'Ucraina. </w:t>
      </w:r>
    </w:p>
    <w:p w14:paraId="2CD7E6DB" w14:textId="77777777" w:rsidR="001F3B66" w:rsidRPr="002A406A" w:rsidRDefault="001F3B66" w:rsidP="00860E34">
      <w:pPr>
        <w:pBdr>
          <w:top w:val="nil"/>
          <w:left w:val="nil"/>
          <w:bottom w:val="nil"/>
          <w:right w:val="nil"/>
          <w:between w:val="nil"/>
          <w:bar w:val="nil"/>
        </w:pBdr>
        <w:spacing w:before="0" w:after="240"/>
        <w:rPr>
          <w:noProof/>
        </w:rPr>
      </w:pPr>
      <w:r w:rsidRPr="002A406A">
        <w:rPr>
          <w:noProof/>
        </w:rPr>
        <w:t xml:space="preserve">L'articolo 8 precisa le modalità di valutazione dell'attuazione dell'assistenza macrofinanziaria eccezionale. </w:t>
      </w:r>
    </w:p>
    <w:p w14:paraId="71C02550" w14:textId="6F8578DE" w:rsidR="00083866" w:rsidRPr="002A406A" w:rsidRDefault="00083866" w:rsidP="00083866">
      <w:pPr>
        <w:pBdr>
          <w:top w:val="nil"/>
          <w:left w:val="nil"/>
          <w:bottom w:val="nil"/>
          <w:right w:val="nil"/>
          <w:between w:val="nil"/>
          <w:bar w:val="nil"/>
        </w:pBdr>
        <w:spacing w:before="0" w:after="240"/>
        <w:rPr>
          <w:noProof/>
        </w:rPr>
      </w:pPr>
      <w:r w:rsidRPr="002A406A">
        <w:rPr>
          <w:noProof/>
        </w:rPr>
        <w:t>L'articolo 9 prevede la costituzione di garanzie nazionali degli Stati membri per un importo complessivo di 3,66</w:t>
      </w:r>
      <w:r w:rsidR="00675EAC" w:rsidRPr="002A406A">
        <w:rPr>
          <w:noProof/>
        </w:rPr>
        <w:t> </w:t>
      </w:r>
      <w:r w:rsidRPr="002A406A">
        <w:rPr>
          <w:noProof/>
        </w:rPr>
        <w:t xml:space="preserve">miliardi di EUR. </w:t>
      </w:r>
    </w:p>
    <w:p w14:paraId="73647262" w14:textId="77777777" w:rsidR="00EB5A43" w:rsidRPr="002A406A" w:rsidRDefault="003C2EA2" w:rsidP="00083866">
      <w:pPr>
        <w:pBdr>
          <w:top w:val="nil"/>
          <w:left w:val="nil"/>
          <w:bottom w:val="nil"/>
          <w:right w:val="nil"/>
          <w:between w:val="nil"/>
          <w:bar w:val="nil"/>
        </w:pBdr>
        <w:spacing w:before="0" w:after="240"/>
        <w:rPr>
          <w:noProof/>
        </w:rPr>
      </w:pPr>
      <w:r w:rsidRPr="002A406A">
        <w:rPr>
          <w:noProof/>
        </w:rPr>
        <w:t>L'articolo 10 illustra gli accordi di garanzia che la Commissione conclude con gli Stati membri.</w:t>
      </w:r>
    </w:p>
    <w:p w14:paraId="6F851169" w14:textId="127263E4" w:rsidR="60BE7756" w:rsidRPr="002A406A" w:rsidRDefault="60BE7756" w:rsidP="6FFD2748">
      <w:pPr>
        <w:rPr>
          <w:rFonts w:eastAsia="Times New Roman"/>
          <w:noProof/>
        </w:rPr>
      </w:pPr>
      <w:r w:rsidRPr="002A406A">
        <w:rPr>
          <w:noProof/>
          <w:color w:val="000000" w:themeColor="text1"/>
        </w:rPr>
        <w:t>L'articolo 11 illustra le m</w:t>
      </w:r>
      <w:r w:rsidR="0064601D" w:rsidRPr="002A406A">
        <w:rPr>
          <w:noProof/>
          <w:color w:val="000000" w:themeColor="text1"/>
        </w:rPr>
        <w:t xml:space="preserve">odalità di copertura dell'AMF. </w:t>
      </w:r>
    </w:p>
    <w:p w14:paraId="5EF9D411" w14:textId="6EEDF6F5" w:rsidR="60BE7756" w:rsidRPr="002A406A" w:rsidRDefault="60BE7756" w:rsidP="6FFD2748">
      <w:pPr>
        <w:rPr>
          <w:rFonts w:eastAsia="Times New Roman"/>
          <w:noProof/>
        </w:rPr>
      </w:pPr>
      <w:r w:rsidRPr="002A406A">
        <w:rPr>
          <w:noProof/>
          <w:color w:val="000000" w:themeColor="text1"/>
        </w:rPr>
        <w:t>L'articolo 12 prevede il rafforzamento della copertura a fronte di alcune passività finanziarie in Ucraina garantite a norma della decisione n. 466/2014/UE.</w:t>
      </w:r>
    </w:p>
    <w:p w14:paraId="314971CF" w14:textId="77777777" w:rsidR="6FFD2748" w:rsidRPr="002A406A" w:rsidRDefault="6FFD2748" w:rsidP="6FFD2748">
      <w:pPr>
        <w:rPr>
          <w:rFonts w:eastAsia="Times New Roman"/>
          <w:noProof/>
        </w:rPr>
      </w:pPr>
      <w:r w:rsidRPr="002A406A">
        <w:rPr>
          <w:noProof/>
        </w:rPr>
        <w:t>L'articolo 13 prevede la valutazione dell'adeguatezza della copertura e la procedura di riesame.</w:t>
      </w:r>
    </w:p>
    <w:p w14:paraId="699FDFAC" w14:textId="77777777" w:rsidR="6FFD2748" w:rsidRPr="002A406A" w:rsidRDefault="6FFD2748" w:rsidP="6FFD2748">
      <w:pPr>
        <w:rPr>
          <w:rFonts w:eastAsia="Times New Roman"/>
          <w:noProof/>
        </w:rPr>
      </w:pPr>
      <w:r w:rsidRPr="002A406A">
        <w:rPr>
          <w:noProof/>
        </w:rPr>
        <w:t>L'articolo 14 stabilisce le norme contabili applicabili all'accantonamento iscritto nel fondo comune di copertura.</w:t>
      </w:r>
    </w:p>
    <w:p w14:paraId="3554C2A5" w14:textId="77777777" w:rsidR="6FFD2748" w:rsidRPr="002A406A" w:rsidRDefault="6FFD2748" w:rsidP="6FFD2748">
      <w:pPr>
        <w:rPr>
          <w:rFonts w:eastAsia="Times New Roman"/>
          <w:noProof/>
        </w:rPr>
      </w:pPr>
      <w:r w:rsidRPr="002A406A">
        <w:rPr>
          <w:noProof/>
        </w:rPr>
        <w:t>L'articolo 15 stabilisce che la Commissione è assistita da un comitato in conformità delle regole della comitatologia.</w:t>
      </w:r>
    </w:p>
    <w:p w14:paraId="0FBC02C5" w14:textId="77777777" w:rsidR="6FFD2748" w:rsidRPr="002A406A" w:rsidRDefault="6FFD2748" w:rsidP="6FFD2748">
      <w:pPr>
        <w:rPr>
          <w:rFonts w:eastAsia="Times New Roman"/>
          <w:noProof/>
        </w:rPr>
      </w:pPr>
      <w:r w:rsidRPr="002A406A">
        <w:rPr>
          <w:noProof/>
        </w:rPr>
        <w:t>L'articolo 16 precisa l'esercizio della delega.</w:t>
      </w:r>
    </w:p>
    <w:p w14:paraId="3AC2F657" w14:textId="77777777" w:rsidR="6FFD2748" w:rsidRPr="002A406A" w:rsidRDefault="6FFD2748" w:rsidP="6FFD2748">
      <w:pPr>
        <w:rPr>
          <w:rFonts w:eastAsia="Times New Roman"/>
          <w:noProof/>
        </w:rPr>
      </w:pPr>
      <w:r w:rsidRPr="002A406A">
        <w:rPr>
          <w:noProof/>
        </w:rPr>
        <w:t>L'articolo 17 illustra gli obblighi di rendicontazione della Commissione nei confronti del Parlamento europeo e del Consiglio nella fase di attuazione dell'assistenza macrofinanziaria eccezionale a favore dell'Ucraina.</w:t>
      </w:r>
    </w:p>
    <w:p w14:paraId="647138FA" w14:textId="77777777" w:rsidR="6FFD2748" w:rsidRPr="002A406A" w:rsidRDefault="6FFD2748" w:rsidP="6FFD2748">
      <w:pPr>
        <w:rPr>
          <w:rFonts w:eastAsia="Times New Roman"/>
          <w:noProof/>
        </w:rPr>
      </w:pPr>
      <w:r w:rsidRPr="002A406A">
        <w:rPr>
          <w:noProof/>
        </w:rPr>
        <w:t>L'articolo 18 riporta le modifiche della decisione (UE) 2022/1201.</w:t>
      </w:r>
    </w:p>
    <w:p w14:paraId="66A3B2B3" w14:textId="77777777" w:rsidR="6FFD2748" w:rsidRPr="002A406A" w:rsidRDefault="6FFD2748" w:rsidP="6FFD2748">
      <w:pPr>
        <w:rPr>
          <w:rFonts w:eastAsia="Times New Roman"/>
          <w:noProof/>
        </w:rPr>
      </w:pPr>
      <w:r w:rsidRPr="002A406A">
        <w:rPr>
          <w:noProof/>
        </w:rPr>
        <w:t>L'articolo 19 indica la data di entrata in vigore della decisione.</w:t>
      </w:r>
    </w:p>
    <w:p w14:paraId="310B5BBD" w14:textId="77777777" w:rsidR="003A3D0E" w:rsidRPr="002A406A" w:rsidRDefault="003A3D0E" w:rsidP="00D045D9">
      <w:pPr>
        <w:rPr>
          <w:noProof/>
        </w:rPr>
        <w:sectPr w:rsidR="003A3D0E" w:rsidRPr="002A406A" w:rsidSect="003A691C">
          <w:footerReference w:type="default" r:id="rId13"/>
          <w:footerReference w:type="first" r:id="rId14"/>
          <w:pgSz w:w="11907" w:h="16839"/>
          <w:pgMar w:top="1134" w:right="1417" w:bottom="1134" w:left="1417" w:header="709" w:footer="709" w:gutter="0"/>
          <w:cols w:space="708"/>
          <w:docGrid w:linePitch="360"/>
        </w:sectPr>
      </w:pPr>
    </w:p>
    <w:p w14:paraId="0C1CA64A" w14:textId="5F7C10DB" w:rsidR="005804A6" w:rsidRDefault="005804A6" w:rsidP="005804A6">
      <w:pPr>
        <w:pStyle w:val="Rfrenceinterinstitutionnelle"/>
        <w:rPr>
          <w:noProof/>
        </w:rPr>
      </w:pPr>
      <w:r w:rsidRPr="005804A6">
        <w:lastRenderedPageBreak/>
        <w:t>2022/0281 (COD)</w:t>
      </w:r>
    </w:p>
    <w:p w14:paraId="1BCB2BEB" w14:textId="4F4102FE" w:rsidR="00F152DC" w:rsidRPr="002A406A" w:rsidRDefault="002A406A" w:rsidP="002A406A">
      <w:pPr>
        <w:pStyle w:val="Statut"/>
        <w:rPr>
          <w:noProof/>
        </w:rPr>
      </w:pPr>
      <w:r w:rsidRPr="002A406A">
        <w:rPr>
          <w:noProof/>
        </w:rPr>
        <w:t>Proposta di</w:t>
      </w:r>
    </w:p>
    <w:p w14:paraId="5C608A12" w14:textId="0C06B9B5" w:rsidR="00F152DC" w:rsidRPr="002A406A" w:rsidRDefault="002A406A" w:rsidP="002A406A">
      <w:pPr>
        <w:pStyle w:val="Typedudocument"/>
        <w:rPr>
          <w:noProof/>
        </w:rPr>
      </w:pPr>
      <w:r w:rsidRPr="002A406A">
        <w:rPr>
          <w:noProof/>
        </w:rPr>
        <w:t>DECISIONE DEL PARLAMENTO EUROPEO E DEL CONSIGLIO</w:t>
      </w:r>
    </w:p>
    <w:p w14:paraId="7E9DBB1D" w14:textId="1B8CB8B2" w:rsidR="00F152DC" w:rsidRPr="002A406A" w:rsidRDefault="002A406A" w:rsidP="002A406A">
      <w:pPr>
        <w:pStyle w:val="Titreobjet"/>
        <w:rPr>
          <w:noProof/>
        </w:rPr>
      </w:pPr>
      <w:r w:rsidRPr="002A406A">
        <w:rPr>
          <w:noProof/>
        </w:rPr>
        <w:t>relativa alla concessione di assistenza macrofinanziaria eccezionale all'Ucraina, al rafforzamento del fondo comune di copertura mediante garanzie degli Stati membri e una dotazione specifica per alcune passività finanziarie relative all'Ucraina garantite a norma della decisione n. 466/2014/UE, e che modifica la decisione (UE) 2022/1201</w:t>
      </w:r>
    </w:p>
    <w:p w14:paraId="04203AEE" w14:textId="77777777" w:rsidR="00F152DC" w:rsidRPr="002A406A" w:rsidRDefault="00F152DC" w:rsidP="00D045D9">
      <w:pPr>
        <w:pStyle w:val="Institutionquiagit"/>
        <w:rPr>
          <w:noProof/>
        </w:rPr>
      </w:pPr>
      <w:r w:rsidRPr="002A406A">
        <w:rPr>
          <w:noProof/>
        </w:rPr>
        <w:t>IL PARLAMENTO EUROPEO E IL CONSIGLIO DELL'UNIONE EUROPEA,</w:t>
      </w:r>
    </w:p>
    <w:p w14:paraId="63816572" w14:textId="115CC634" w:rsidR="00F152DC" w:rsidRPr="002A406A" w:rsidRDefault="2E74E627" w:rsidP="00D045D9">
      <w:pPr>
        <w:rPr>
          <w:noProof/>
        </w:rPr>
      </w:pPr>
      <w:r w:rsidRPr="002A406A">
        <w:rPr>
          <w:noProof/>
        </w:rPr>
        <w:t>visto il trattato sul funzionamento dell'Unione europea, in particolare l'articolo</w:t>
      </w:r>
      <w:r w:rsidR="00675EAC" w:rsidRPr="002A406A">
        <w:rPr>
          <w:noProof/>
        </w:rPr>
        <w:t> </w:t>
      </w:r>
      <w:r w:rsidRPr="002A406A">
        <w:rPr>
          <w:noProof/>
        </w:rPr>
        <w:t>212,</w:t>
      </w:r>
    </w:p>
    <w:p w14:paraId="761DADF6" w14:textId="77777777" w:rsidR="00F152DC" w:rsidRPr="002A406A" w:rsidRDefault="00F152DC" w:rsidP="00D045D9">
      <w:pPr>
        <w:rPr>
          <w:noProof/>
        </w:rPr>
      </w:pPr>
      <w:r w:rsidRPr="002A406A">
        <w:rPr>
          <w:noProof/>
        </w:rPr>
        <w:t>vista la proposta della Commissione europea,</w:t>
      </w:r>
    </w:p>
    <w:p w14:paraId="6BA7B79E" w14:textId="77777777" w:rsidR="00F152DC" w:rsidRPr="002A406A" w:rsidRDefault="00F152DC" w:rsidP="00D045D9">
      <w:pPr>
        <w:rPr>
          <w:noProof/>
        </w:rPr>
      </w:pPr>
      <w:r w:rsidRPr="002A406A">
        <w:rPr>
          <w:noProof/>
        </w:rPr>
        <w:t>previa trasmissione del progetto di atto legislativo ai parlamenti nazionali,</w:t>
      </w:r>
    </w:p>
    <w:p w14:paraId="1C3C0EFA" w14:textId="77777777" w:rsidR="00F152DC" w:rsidRPr="002A406A" w:rsidRDefault="4B2F8644" w:rsidP="00D045D9">
      <w:pPr>
        <w:rPr>
          <w:noProof/>
        </w:rPr>
      </w:pPr>
      <w:r w:rsidRPr="002A406A">
        <w:rPr>
          <w:noProof/>
        </w:rPr>
        <w:t>deliberando secondo la procedura legislativa ordinaria</w:t>
      </w:r>
      <w:r w:rsidRPr="00195EC3">
        <w:rPr>
          <w:rStyle w:val="FootnoteReference"/>
          <w:noProof/>
        </w:rPr>
        <w:footnoteReference w:id="16"/>
      </w:r>
      <w:r w:rsidRPr="002A406A">
        <w:rPr>
          <w:noProof/>
        </w:rPr>
        <w:t>,</w:t>
      </w:r>
    </w:p>
    <w:p w14:paraId="471759EC" w14:textId="77777777" w:rsidR="00F152DC" w:rsidRPr="00195EC3" w:rsidRDefault="00F152DC" w:rsidP="00D045D9">
      <w:pPr>
        <w:rPr>
          <w:noProof/>
        </w:rPr>
      </w:pPr>
      <w:r w:rsidRPr="00195EC3">
        <w:rPr>
          <w:noProof/>
        </w:rPr>
        <w:t>considerando quanto segue:</w:t>
      </w:r>
    </w:p>
    <w:p w14:paraId="65E1890D" w14:textId="7127B51E" w:rsidR="00681971" w:rsidRPr="002A406A" w:rsidRDefault="00E7408C" w:rsidP="00E7408C">
      <w:pPr>
        <w:pStyle w:val="ManualConsidrant"/>
        <w:rPr>
          <w:noProof/>
        </w:rPr>
      </w:pPr>
      <w:r w:rsidRPr="00E7408C">
        <w:t>(1)</w:t>
      </w:r>
      <w:r w:rsidRPr="00E7408C">
        <w:tab/>
      </w:r>
      <w:r w:rsidR="323DBF48" w:rsidRPr="002A406A">
        <w:rPr>
          <w:noProof/>
        </w:rPr>
        <w:t>Il 1º</w:t>
      </w:r>
      <w:r w:rsidR="00675EAC" w:rsidRPr="002A406A">
        <w:rPr>
          <w:noProof/>
        </w:rPr>
        <w:t> </w:t>
      </w:r>
      <w:r w:rsidR="323DBF48" w:rsidRPr="002A406A">
        <w:rPr>
          <w:noProof/>
        </w:rPr>
        <w:t>settembre 2017 è entrato in vigore un accordo di associazione tra l'Unione e l'Ucraina</w:t>
      </w:r>
      <w:r w:rsidR="323DBF48" w:rsidRPr="00195EC3">
        <w:rPr>
          <w:rStyle w:val="FootnoteReference"/>
          <w:b/>
          <w:bCs/>
          <w:noProof/>
        </w:rPr>
        <w:footnoteReference w:id="17"/>
      </w:r>
      <w:r w:rsidR="323DBF48" w:rsidRPr="002A406A">
        <w:rPr>
          <w:noProof/>
        </w:rPr>
        <w:t xml:space="preserve"> ("accordo di associazione"), comprendente una zona di libero scambio globale e approfondita (DCFTA).</w:t>
      </w:r>
    </w:p>
    <w:p w14:paraId="18539B28" w14:textId="616B6C54" w:rsidR="00681971" w:rsidRPr="002A406A" w:rsidRDefault="00E7408C" w:rsidP="00E7408C">
      <w:pPr>
        <w:pStyle w:val="ManualConsidrant"/>
        <w:rPr>
          <w:rFonts w:eastAsia="Times New Roman"/>
          <w:noProof/>
        </w:rPr>
      </w:pPr>
      <w:r w:rsidRPr="00E7408C">
        <w:t>(2)</w:t>
      </w:r>
      <w:r w:rsidRPr="00E7408C">
        <w:tab/>
      </w:r>
      <w:r w:rsidR="5164D000" w:rsidRPr="002A406A">
        <w:rPr>
          <w:noProof/>
        </w:rPr>
        <w:t>Nella primavera del 2014 l'Ucraina ha intrapreso un ambizioso programma di riforma volto a stabilizzare l'economia e migliorare le condizioni di vita dei cittadini. Tra le priorità del programma figurano la lotta contro la corruzione e le riforme costituzionali, elettorali e giudiziarie. L'attuazione di tali riforme è stata sostenuta da programmi consecutivi di assistenza macrofinanziaria, nell'ambito dei quali l'Ucraina ha ricevuto assistenza sotto forma di prestiti per un totale di 6,6</w:t>
      </w:r>
      <w:r w:rsidR="00675EAC" w:rsidRPr="002A406A">
        <w:rPr>
          <w:noProof/>
        </w:rPr>
        <w:t> </w:t>
      </w:r>
      <w:r w:rsidR="5164D000" w:rsidRPr="002A406A">
        <w:rPr>
          <w:noProof/>
        </w:rPr>
        <w:t>miliardi di EUR. L'assistenza macrofinanziaria di emergenza, messa a disposizione nel contesto delle crescenti tensioni lungo la frontiera con la Russia ai sensi della decisione (UE) 2022/313 del Parlamento europeo e del Consiglio</w:t>
      </w:r>
      <w:r w:rsidR="5164D000" w:rsidRPr="00195EC3">
        <w:rPr>
          <w:rStyle w:val="FootnoteReference"/>
          <w:b/>
          <w:bCs/>
          <w:noProof/>
        </w:rPr>
        <w:footnoteReference w:id="18"/>
      </w:r>
      <w:r w:rsidR="5164D000" w:rsidRPr="002A406A">
        <w:rPr>
          <w:noProof/>
        </w:rPr>
        <w:t>, ha comportato l'erogazione di 1,2</w:t>
      </w:r>
      <w:r w:rsidR="00675EAC" w:rsidRPr="002A406A">
        <w:rPr>
          <w:noProof/>
        </w:rPr>
        <w:t> </w:t>
      </w:r>
      <w:r w:rsidR="5164D000" w:rsidRPr="002A406A">
        <w:rPr>
          <w:noProof/>
        </w:rPr>
        <w:t>miliardi di EUR in prestiti all'Ucraina in due rate di 600</w:t>
      </w:r>
      <w:r w:rsidR="00675EAC" w:rsidRPr="002A406A">
        <w:rPr>
          <w:noProof/>
        </w:rPr>
        <w:t> </w:t>
      </w:r>
      <w:r w:rsidR="5164D000" w:rsidRPr="002A406A">
        <w:rPr>
          <w:noProof/>
        </w:rPr>
        <w:t>milioni di EUR nel marzo e nel maggio 2022. L'assistenza macrofinanziaria (AMF) eccezionale fino a 1</w:t>
      </w:r>
      <w:r w:rsidR="00675EAC" w:rsidRPr="002A406A">
        <w:rPr>
          <w:noProof/>
        </w:rPr>
        <w:t> </w:t>
      </w:r>
      <w:r w:rsidR="5164D000" w:rsidRPr="002A406A">
        <w:rPr>
          <w:noProof/>
        </w:rPr>
        <w:t>miliardo di EUR a norma della decisione (UE) 2022/1201 del Parlamento europeo e del Consiglio</w:t>
      </w:r>
      <w:r w:rsidR="5164D000" w:rsidRPr="00195EC3">
        <w:rPr>
          <w:rStyle w:val="FootnoteReference"/>
          <w:noProof/>
        </w:rPr>
        <w:footnoteReference w:id="19"/>
      </w:r>
      <w:r w:rsidR="5164D000" w:rsidRPr="002A406A">
        <w:rPr>
          <w:noProof/>
        </w:rPr>
        <w:t xml:space="preserve"> ha fornito un sostegno rapido e urgente al bilancio ucraino ed è stata interamente erogata il 1° e il 2 agosto 2022. Ha rappresentato la prima parte del pacchetto eccezionale di AMF all'Ucraina annunciato dalla Commissione nella comunicazione "Ucraina: assistenza e ricostruzione" del 18</w:t>
      </w:r>
      <w:r w:rsidR="00675EAC" w:rsidRPr="002A406A">
        <w:rPr>
          <w:noProof/>
        </w:rPr>
        <w:t> </w:t>
      </w:r>
      <w:r w:rsidR="5164D000" w:rsidRPr="002A406A">
        <w:rPr>
          <w:noProof/>
        </w:rPr>
        <w:t xml:space="preserve">maggio 2022 e approvato dal Consiglio europeo del 23-24 giugno 2022. La presente decisione costituisce la </w:t>
      </w:r>
      <w:r w:rsidR="5164D000" w:rsidRPr="002A406A">
        <w:rPr>
          <w:noProof/>
        </w:rPr>
        <w:lastRenderedPageBreak/>
        <w:t>seconda fase di attuazione dell'impegno di fornire fino a 9</w:t>
      </w:r>
      <w:r w:rsidR="00675EAC" w:rsidRPr="002A406A">
        <w:rPr>
          <w:noProof/>
        </w:rPr>
        <w:t> </w:t>
      </w:r>
      <w:r w:rsidR="5164D000" w:rsidRPr="002A406A">
        <w:rPr>
          <w:noProof/>
        </w:rPr>
        <w:t>miliardi di EUR di assistenza macrofinanziaria all'Ucraina. Essa stabilisce la base per la concessione di ulteriori 5</w:t>
      </w:r>
      <w:r w:rsidR="00675EAC" w:rsidRPr="002A406A">
        <w:rPr>
          <w:noProof/>
        </w:rPr>
        <w:t> </w:t>
      </w:r>
      <w:r w:rsidR="5164D000" w:rsidRPr="002A406A">
        <w:rPr>
          <w:noProof/>
        </w:rPr>
        <w:t>miliardi di EUR di prestiti AMF a condizioni molto agevolate. Dovrebbe essere rapidamente seguita da un terzo pacchetto di assistenza finanziaria per un ulteriore importo massimo di 3</w:t>
      </w:r>
      <w:r w:rsidR="00675EAC" w:rsidRPr="002A406A">
        <w:rPr>
          <w:noProof/>
        </w:rPr>
        <w:t> </w:t>
      </w:r>
      <w:r w:rsidR="5164D000" w:rsidRPr="002A406A">
        <w:rPr>
          <w:noProof/>
        </w:rPr>
        <w:t>miliardi di EUR, una volta definite le modalità appropriate.</w:t>
      </w:r>
    </w:p>
    <w:p w14:paraId="5A74026E" w14:textId="4EDBCD9A" w:rsidR="00681971" w:rsidRPr="002A406A" w:rsidRDefault="00E7408C" w:rsidP="00E7408C">
      <w:pPr>
        <w:pStyle w:val="ManualConsidrant"/>
        <w:rPr>
          <w:noProof/>
        </w:rPr>
      </w:pPr>
      <w:r w:rsidRPr="00E7408C">
        <w:t>(3)</w:t>
      </w:r>
      <w:r w:rsidRPr="00E7408C">
        <w:tab/>
      </w:r>
      <w:r w:rsidR="645EEDD8" w:rsidRPr="002A406A">
        <w:rPr>
          <w:noProof/>
        </w:rPr>
        <w:t>L'aggressione militare della Russia all'Ucraina, non provocata e ingiustificata, iniziata il 24</w:t>
      </w:r>
      <w:r w:rsidR="00675EAC" w:rsidRPr="002A406A">
        <w:rPr>
          <w:noProof/>
        </w:rPr>
        <w:t> </w:t>
      </w:r>
      <w:r w:rsidR="645EEDD8" w:rsidRPr="002A406A">
        <w:rPr>
          <w:noProof/>
        </w:rPr>
        <w:t>febbraio 2022, e la guerra in corso da allora hanno causato la perdita di accesso al mercato e un drastico calo delle entrate pubbliche, mentre la spesa pubblica per far fronte alla situazione umanitaria e mantenere la continuità dei servizi statali è notevolmente aumentata. In questa situazione molto incerta e volatile le stime più affidabili del fabbisogno di finanziamento dell'Ucraina, realizzate dal Fondo monetario internazionale (FMI), indicano un fabbisogno straordinario di finanziamenti di circa 39</w:t>
      </w:r>
      <w:r w:rsidR="00675EAC" w:rsidRPr="002A406A">
        <w:rPr>
          <w:noProof/>
        </w:rPr>
        <w:t> </w:t>
      </w:r>
      <w:r w:rsidR="645EEDD8" w:rsidRPr="002A406A">
        <w:rPr>
          <w:noProof/>
        </w:rPr>
        <w:t>miliardi di USD nel 2022, di cui circa la metà potrebbe essere soddisfatta qualora venisse integralmente erogato il sostegno internazionale fin qui promesso. L'erogazione rapida di questa seconda fase del pacchetto di assistenza macrofinanziaria eccezionale all'Ucraina da parte dell'Unione è considerata, nelle attuali circostanze straordinarie, una risposta a breve termine adeguata ai notevoli rischi per la stabilità macrofinanziaria del paese. Questi ulteriori 5</w:t>
      </w:r>
      <w:r w:rsidR="00675EAC" w:rsidRPr="002A406A">
        <w:rPr>
          <w:noProof/>
        </w:rPr>
        <w:t> </w:t>
      </w:r>
      <w:r w:rsidR="645EEDD8" w:rsidRPr="002A406A">
        <w:rPr>
          <w:noProof/>
        </w:rPr>
        <w:t>miliardi di EUR di assistenza macrofinanziaria eccezionale dell'Unione favorirebbero la stabilizzazione macrofinanziaria dell'Ucraina, rafforzerebbero la resilienza immediata del paese e ne sosterrebbero la capacità di ripresa, contribuendo in tal modo alla sostenibilità del debito pubblico dell'Ucraina e in ultima analisi alla capacità del paese di rimborsare i suoi obblighi finanziari.</w:t>
      </w:r>
    </w:p>
    <w:p w14:paraId="2F8E18F1" w14:textId="57DCDB74" w:rsidR="00681971" w:rsidRPr="002A406A" w:rsidRDefault="00E7408C" w:rsidP="00E7408C">
      <w:pPr>
        <w:pStyle w:val="ManualConsidrant"/>
        <w:rPr>
          <w:noProof/>
        </w:rPr>
      </w:pPr>
      <w:r w:rsidRPr="00E7408C">
        <w:t>(4)</w:t>
      </w:r>
      <w:r w:rsidRPr="00E7408C">
        <w:tab/>
      </w:r>
      <w:r w:rsidR="349360EF" w:rsidRPr="002A406A">
        <w:rPr>
          <w:noProof/>
        </w:rPr>
        <w:t>Questa nuova fase di assistenza macrofinanziaria eccezionale fornirà un contributo significativo alla copertura del fabbisogno di finanziamento dell'Ucraina stimato dall'FMI e da altre istituzioni finanziarie internazionali, tenendo conto della capacità del paese di autofinanziarsi con risorse proprie. La determinazione dell'importo dell'assistenza tiene conto anche dei previsti contributi finanziari di donatori bilaterali e multilaterali e della necessità di garantire un'equa ripartizione degli oneri tra l'Unione e gli altri donatori, nonché della precedente mobilitazione degli altri strumenti finanziari esterni dell'Unione in Ucraina e del valore aggiunto dell'intervento complessivo dell'Unione. È opportuno riconoscere l'impegno delle autorità ucraine a collaborare strettamente con l'FMI per quanto riguarda la definizione e l'attuazione di misure di emergenza a breve termine e l'intenzione delle medesime autorità di collaborare con l'FMI a un programma economico adeguato quando le condizioni lo consentiranno. Tale programma è stato formalmente richiesto nell'agosto 2022. L'assistenza macrofinanziaria eccezionale dell'Unione dovrebbe mirare a mantenere la stabilità macrofinanziaria e la resilienza nella situazione della guerra di aggressione della Russia. La Commissione dovrebbe garantire che l'assistenza macrofinanziaria eccezionale dell'Unione sia coerente, sotto il profilo giuridico e sostanziale, con i principi fondamentali e gli obiettivi delle misure adottate nei vari settori dell'azione esterna e con le altre politiche pertinenti dell'Unione.</w:t>
      </w:r>
    </w:p>
    <w:p w14:paraId="795FAD5D" w14:textId="5E0A9AAE" w:rsidR="00681971" w:rsidRPr="002A406A" w:rsidRDefault="00E7408C" w:rsidP="00E7408C">
      <w:pPr>
        <w:pStyle w:val="ManualConsidrant"/>
        <w:rPr>
          <w:noProof/>
        </w:rPr>
      </w:pPr>
      <w:r w:rsidRPr="00E7408C">
        <w:t>(5)</w:t>
      </w:r>
      <w:r w:rsidRPr="00E7408C">
        <w:tab/>
      </w:r>
      <w:r w:rsidR="26955EDF" w:rsidRPr="002A406A">
        <w:rPr>
          <w:noProof/>
        </w:rPr>
        <w:t>L'assistenza macrofinanziaria eccezionale dell'Unione dovrebbe sostenere la politica esterna dell'Unione nei confronti dell'Ucraina. I servizi della Commissione e il servizio europeo per l'azione esterna dovrebbero lavorare a stretto contatto durante l'intera operazione di assistenza macrofinanziaria al fine di coordinare la politica esterna dell'Unione e garantirne la coerenza.</w:t>
      </w:r>
    </w:p>
    <w:p w14:paraId="668AC47D" w14:textId="78F4AFD6" w:rsidR="00681971" w:rsidRPr="002A406A" w:rsidRDefault="00E7408C" w:rsidP="00E7408C">
      <w:pPr>
        <w:pStyle w:val="ManualConsidrant"/>
        <w:rPr>
          <w:noProof/>
        </w:rPr>
      </w:pPr>
      <w:r w:rsidRPr="00E7408C">
        <w:lastRenderedPageBreak/>
        <w:t>(6)</w:t>
      </w:r>
      <w:r w:rsidRPr="00E7408C">
        <w:tab/>
      </w:r>
      <w:r w:rsidR="453145BA" w:rsidRPr="002A406A">
        <w:rPr>
          <w:noProof/>
        </w:rPr>
        <w:t>È opportuno subordinare la concessione dell'assistenza macrofinanziaria eccezionale dell'Unione al prerequisito del rispetto, da parte dell'Ucraina, di meccanismi democratici effettivi, compreso un sistema parlamentare multipartitico, e dello Stato di diritto, nonché a garanzie sul rispetto dei diritti umani. Le attuali condizioni correlate alla guerra di aggressione della Russia nei confronti dell'Ucraina, e in particolare la legge marziale in vigore, non dovrebbero intaccare tali principi, nonostante la concentrazione del potere nelle mani dell'esecutivo.</w:t>
      </w:r>
    </w:p>
    <w:p w14:paraId="74A0EB6A" w14:textId="400773DD" w:rsidR="00681971" w:rsidRPr="002A406A" w:rsidRDefault="00E7408C" w:rsidP="00E7408C">
      <w:pPr>
        <w:pStyle w:val="ManualConsidrant"/>
        <w:rPr>
          <w:noProof/>
        </w:rPr>
      </w:pPr>
      <w:r w:rsidRPr="00E7408C">
        <w:t>(7)</w:t>
      </w:r>
      <w:r w:rsidRPr="00E7408C">
        <w:tab/>
      </w:r>
      <w:r w:rsidR="26955EDF" w:rsidRPr="002A406A">
        <w:rPr>
          <w:noProof/>
        </w:rPr>
        <w:t>Per assicurare una tutela efficace degli interessi finanziari dell'Unione connessi all'assistenza macrofinanziaria eccezionale da questa fornita, l'Ucraina dovrebbe adottare misure appropriate in materia di prevenzione e lotta contro la frode, la corruzione e ogni altra irregolarità relativa all'assistenza. Inoltre è opportuno stabilire disposizioni in materia di controlli da parte della Commissione, verifiche contabili da parte della Corte dei conti ed esercizio delle competenze da parte della Procura europea.</w:t>
      </w:r>
    </w:p>
    <w:p w14:paraId="5C7432F3" w14:textId="7F822D0E" w:rsidR="00681971" w:rsidRPr="002A406A" w:rsidRDefault="00E7408C" w:rsidP="00E7408C">
      <w:pPr>
        <w:pStyle w:val="ManualConsidrant"/>
        <w:rPr>
          <w:noProof/>
        </w:rPr>
      </w:pPr>
      <w:r w:rsidRPr="00E7408C">
        <w:t>(8)</w:t>
      </w:r>
      <w:r w:rsidRPr="00E7408C">
        <w:tab/>
      </w:r>
      <w:r w:rsidR="26955EDF" w:rsidRPr="002A406A">
        <w:rPr>
          <w:noProof/>
        </w:rPr>
        <w:t xml:space="preserve">L'assistenza macrofinanziaria eccezionale dell'Unione dovrebbe essere collegata a obblighi di rendicontazione e condizioni inerenti alle politiche, da stabilire in un protocollo d'intesa. I solidi obblighi di rendicontazione mirano, nelle attuali circostanze della guerra di aggressione della Russia nei confronti dell'Ucraina, a garantire l'efficienza, la trasparenza e la responsabilità del ricorso ai fondi. </w:t>
      </w:r>
      <w:r w:rsidR="00675EAC" w:rsidRPr="002A406A">
        <w:rPr>
          <w:noProof/>
        </w:rPr>
        <w:br/>
      </w:r>
      <w:r w:rsidR="26955EDF" w:rsidRPr="002A406A">
        <w:rPr>
          <w:noProof/>
        </w:rPr>
        <w:t xml:space="preserve">Le condizioni inerenti alle politiche sono intese a rafforzare la resilienza immediata del paese e la sostenibilità del suo debito a più lungo termine, riducendo in tal modo i rischi connessi al rimborso dei suoi obblighi finanziari in essere e futuri. </w:t>
      </w:r>
    </w:p>
    <w:p w14:paraId="70D36E6A" w14:textId="14A455F4" w:rsidR="00681971" w:rsidRPr="002A406A" w:rsidRDefault="00E7408C" w:rsidP="00E7408C">
      <w:pPr>
        <w:pStyle w:val="ManualConsidrant"/>
        <w:rPr>
          <w:noProof/>
        </w:rPr>
      </w:pPr>
      <w:r w:rsidRPr="00E7408C">
        <w:t>(9)</w:t>
      </w:r>
      <w:r w:rsidRPr="00E7408C">
        <w:tab/>
      </w:r>
      <w:r w:rsidR="3090100C" w:rsidRPr="002A406A">
        <w:rPr>
          <w:noProof/>
        </w:rPr>
        <w:t>È opportuno attribuire alla Commissione competenze di esecuzione al fine di garantire condizioni uniformi di esecuzione della presente decisione. È altresì opportuno che tali competenze siano esercitate conformemente al regolamento (UE) n.</w:t>
      </w:r>
      <w:r w:rsidR="00675EAC" w:rsidRPr="002A406A">
        <w:rPr>
          <w:noProof/>
        </w:rPr>
        <w:t> </w:t>
      </w:r>
      <w:r w:rsidR="3090100C" w:rsidRPr="002A406A">
        <w:rPr>
          <w:noProof/>
        </w:rPr>
        <w:t>182/2011 del Parlamento europeo e del Consiglio</w:t>
      </w:r>
      <w:r w:rsidR="3090100C" w:rsidRPr="00195EC3">
        <w:rPr>
          <w:rStyle w:val="FootnoteReference"/>
          <w:noProof/>
        </w:rPr>
        <w:footnoteReference w:id="20"/>
      </w:r>
      <w:r w:rsidR="3090100C" w:rsidRPr="002A406A">
        <w:rPr>
          <w:noProof/>
        </w:rPr>
        <w:t>.</w:t>
      </w:r>
    </w:p>
    <w:p w14:paraId="7A3FC60D" w14:textId="54F34B80" w:rsidR="00681971" w:rsidRPr="002A406A" w:rsidRDefault="00E7408C" w:rsidP="00E7408C">
      <w:pPr>
        <w:pStyle w:val="ManualConsidrant"/>
        <w:rPr>
          <w:noProof/>
        </w:rPr>
      </w:pPr>
      <w:r w:rsidRPr="00E7408C">
        <w:t>(10)</w:t>
      </w:r>
      <w:r w:rsidRPr="00E7408C">
        <w:tab/>
      </w:r>
      <w:r w:rsidR="51EC964F" w:rsidRPr="002A406A">
        <w:rPr>
          <w:noProof/>
        </w:rPr>
        <w:t>La scadenza media massima dei prestiti a norma della presente decisione e della decisione (UE) 2022/1201 dovrebbe essere di 25 anni.</w:t>
      </w:r>
    </w:p>
    <w:p w14:paraId="7B9DD023" w14:textId="4C00C786" w:rsidR="00681971" w:rsidRPr="002A406A" w:rsidRDefault="00E7408C" w:rsidP="00E7408C">
      <w:pPr>
        <w:pStyle w:val="ManualConsidrant"/>
        <w:rPr>
          <w:noProof/>
        </w:rPr>
      </w:pPr>
      <w:r w:rsidRPr="00E7408C">
        <w:t>(11)</w:t>
      </w:r>
      <w:r w:rsidRPr="00E7408C">
        <w:tab/>
      </w:r>
      <w:r w:rsidR="3EE7BF6C" w:rsidRPr="002A406A">
        <w:rPr>
          <w:noProof/>
        </w:rPr>
        <w:t>Dato che i prestiti ai sensi della presente decisione e della decisione (UE) 2022/1201 comportano gli stessi rischi per il bilancio dell'Unione e dovrebbero avere una scadenza media massima comune di 25 anni, l'importo aggregato di 6</w:t>
      </w:r>
      <w:r w:rsidR="00675EAC" w:rsidRPr="002A406A">
        <w:rPr>
          <w:noProof/>
        </w:rPr>
        <w:t> </w:t>
      </w:r>
      <w:r w:rsidR="3EE7BF6C" w:rsidRPr="002A406A">
        <w:rPr>
          <w:noProof/>
        </w:rPr>
        <w:t>miliardi di EUR dell'assistenza macrofinanziaria a titolo della presente decisione e della decisione (UE) 2022/1201 a favore dell'Ucraina dovrebbe essere coperto da una metodologia comune per la gestione delle implicazioni finanziarie e di bilancio. In particolare dovrebbe essere stabilito lo stesso livello di copertura di bilancio quale protezione adeguata contro la possibilità di un potenziale mancato rimborso da parte dell'Ucraina di alcuni o di tutti i prestiti alla data prevista. Le coperture messe a disposizione dal bilancio dell'Unione per le due serie di prestiti dell'assistenza macrofinanziaria eccezionale dovrebbero essere gestite come un insieme integrato di coperture. Ciò rafforzerà la resilienza e la flessibilità del bilancio dell'Unione in risposta a qualsiasi s</w:t>
      </w:r>
      <w:r w:rsidR="00675EAC" w:rsidRPr="002A406A">
        <w:rPr>
          <w:noProof/>
        </w:rPr>
        <w:t>ituazione di mancato pagamento.</w:t>
      </w:r>
      <w:r w:rsidR="3EE7BF6C" w:rsidRPr="002A406A">
        <w:rPr>
          <w:noProof/>
        </w:rPr>
        <w:t xml:space="preserve"> È opportuno pertanto modificare di conseguenza l'articolo 7, paragrafo</w:t>
      </w:r>
      <w:r w:rsidR="00675EAC" w:rsidRPr="002A406A">
        <w:rPr>
          <w:noProof/>
        </w:rPr>
        <w:t> </w:t>
      </w:r>
      <w:r w:rsidR="3EE7BF6C" w:rsidRPr="002A406A">
        <w:rPr>
          <w:noProof/>
        </w:rPr>
        <w:t>2, della decisione (UE) 2022/1201.</w:t>
      </w:r>
    </w:p>
    <w:p w14:paraId="7046D2D0" w14:textId="565312B0" w:rsidR="00681971" w:rsidRPr="002A406A" w:rsidRDefault="00E7408C" w:rsidP="00E7408C">
      <w:pPr>
        <w:pStyle w:val="ManualConsidrant"/>
        <w:rPr>
          <w:noProof/>
        </w:rPr>
      </w:pPr>
      <w:r w:rsidRPr="00E7408C">
        <w:lastRenderedPageBreak/>
        <w:t>(12)</w:t>
      </w:r>
      <w:r w:rsidRPr="00E7408C">
        <w:tab/>
      </w:r>
      <w:r w:rsidR="2D42B455" w:rsidRPr="002A406A">
        <w:rPr>
          <w:noProof/>
        </w:rPr>
        <w:t xml:space="preserve">L'assistenza macrofinanziaria eccezionale ai sensi della presente decisione e della decisione (UE) 2022/1201 costituisce una passività finanziaria per l'Unione nell'ambito del volume complessivo della garanzia per le azioni esterne. </w:t>
      </w:r>
      <w:r w:rsidR="00675EAC" w:rsidRPr="002A406A">
        <w:rPr>
          <w:noProof/>
        </w:rPr>
        <w:br/>
      </w:r>
      <w:r w:rsidR="2D42B455" w:rsidRPr="002A406A">
        <w:rPr>
          <w:noProof/>
        </w:rPr>
        <w:t>L'importo totale fino a 6</w:t>
      </w:r>
      <w:r w:rsidR="00675EAC" w:rsidRPr="002A406A">
        <w:rPr>
          <w:noProof/>
        </w:rPr>
        <w:t> </w:t>
      </w:r>
      <w:r w:rsidR="2D42B455" w:rsidRPr="002A406A">
        <w:rPr>
          <w:noProof/>
        </w:rPr>
        <w:t>miliardi di EUR di prestiti di assistenza macrofinanziaria eccezionale a favore dell'Ucraina dovrebbe beneficiare del 9 % di copertura versata disponibile per i prestiti di assistenza macrofinanziaria nell'ambito della garanzia per le azioni esterne. L'importo della copertura dovrebbe essere finanziato dalla dotazione programmata per l'assistenza macrofinanziaria a norma del regolamento (UE) 2021/947 del Parlamento europeo e del Consiglio</w:t>
      </w:r>
      <w:r w:rsidR="2D42B455" w:rsidRPr="00195EC3">
        <w:rPr>
          <w:rStyle w:val="FootnoteReference"/>
          <w:b/>
          <w:bCs/>
          <w:noProof/>
        </w:rPr>
        <w:footnoteReference w:id="21"/>
      </w:r>
      <w:r w:rsidR="2D42B455" w:rsidRPr="002A406A">
        <w:rPr>
          <w:noProof/>
        </w:rPr>
        <w:t>, per un importo totale pari a 540</w:t>
      </w:r>
      <w:r w:rsidR="00675EAC" w:rsidRPr="002A406A">
        <w:rPr>
          <w:noProof/>
        </w:rPr>
        <w:t> </w:t>
      </w:r>
      <w:r w:rsidR="2D42B455" w:rsidRPr="002A406A">
        <w:rPr>
          <w:noProof/>
        </w:rPr>
        <w:t xml:space="preserve">milioni di EUR. Tale importo dovrebbe essere impegnato e versato al fondo comune di copertura nell'ambito del QFP 2021-2027. </w:t>
      </w:r>
    </w:p>
    <w:p w14:paraId="68125864" w14:textId="020D611C" w:rsidR="00681971" w:rsidRPr="002A406A" w:rsidRDefault="00E7408C" w:rsidP="00E7408C">
      <w:pPr>
        <w:pStyle w:val="ManualConsidrant"/>
        <w:rPr>
          <w:noProof/>
        </w:rPr>
      </w:pPr>
      <w:r w:rsidRPr="00E7408C">
        <w:t>(13)</w:t>
      </w:r>
      <w:r w:rsidRPr="00E7408C">
        <w:tab/>
      </w:r>
      <w:r w:rsidR="2D42B455" w:rsidRPr="002A406A">
        <w:rPr>
          <w:noProof/>
        </w:rPr>
        <w:t>A norma dell'articolo</w:t>
      </w:r>
      <w:r w:rsidR="00D70676" w:rsidRPr="002A406A">
        <w:rPr>
          <w:noProof/>
        </w:rPr>
        <w:t> </w:t>
      </w:r>
      <w:r w:rsidR="2D42B455" w:rsidRPr="002A406A">
        <w:rPr>
          <w:noProof/>
        </w:rPr>
        <w:t>210, paragrafo 3, del regolamento (UE, Euratom) 2018/1046 del Parlamento europeo e del Consiglio (il "regolamento finanziario"), le passività potenziali derivanti dalle garanzie di bilancio o dall'assistenza finanziaria a carico del bilancio devono essere ritenute sostenibili se la loro evoluzione pluriennale prevista è compatibile con i limiti fissati dal regolamento (UE, Euratom) 2020/2093 del Consiglio</w:t>
      </w:r>
      <w:r w:rsidR="2D42B455" w:rsidRPr="00195EC3">
        <w:rPr>
          <w:rStyle w:val="FootnoteReference"/>
          <w:noProof/>
        </w:rPr>
        <w:footnoteReference w:id="22"/>
      </w:r>
      <w:r w:rsidR="2D42B455" w:rsidRPr="002A406A">
        <w:rPr>
          <w:noProof/>
        </w:rPr>
        <w:t xml:space="preserve"> che stabilisce il quadro finanziario pluriennale previsto all'articolo</w:t>
      </w:r>
      <w:r w:rsidR="00D70676" w:rsidRPr="002A406A">
        <w:rPr>
          <w:noProof/>
        </w:rPr>
        <w:t> </w:t>
      </w:r>
      <w:r w:rsidR="2D42B455" w:rsidRPr="002A406A">
        <w:rPr>
          <w:noProof/>
        </w:rPr>
        <w:t>312, paragrafo</w:t>
      </w:r>
      <w:r w:rsidR="00D70676" w:rsidRPr="002A406A">
        <w:rPr>
          <w:noProof/>
        </w:rPr>
        <w:t> </w:t>
      </w:r>
      <w:r w:rsidR="2D42B455" w:rsidRPr="002A406A">
        <w:rPr>
          <w:noProof/>
        </w:rPr>
        <w:t>2, TFUE e il massimale relativo agli stanziamenti annuali di pagamento di cui all'articolo</w:t>
      </w:r>
      <w:r w:rsidR="00D70676" w:rsidRPr="002A406A">
        <w:rPr>
          <w:noProof/>
        </w:rPr>
        <w:t> </w:t>
      </w:r>
      <w:r w:rsidR="2D42B455" w:rsidRPr="002A406A">
        <w:rPr>
          <w:noProof/>
        </w:rPr>
        <w:t>3, paragrafo 1, della decisione 2014/335/UE, Euratom del Consiglio</w:t>
      </w:r>
      <w:r w:rsidR="2D42B455" w:rsidRPr="00195EC3">
        <w:rPr>
          <w:rStyle w:val="FootnoteReference"/>
          <w:noProof/>
        </w:rPr>
        <w:footnoteReference w:id="23"/>
      </w:r>
      <w:r w:rsidR="2D42B455" w:rsidRPr="002A406A">
        <w:rPr>
          <w:noProof/>
        </w:rPr>
        <w:t>. Al fine di consentire all'Unione di concedere all'Ucraina un sostegno significativo attraverso un'AMF di entità senza precedenti in modo sicuro sotto il profilo finanziario, preservando nel contempo l'elevata affidabilità creditizia dell'Unione e, di conseguenza, la sua capacità di erogare finanziamenti in modo efficace nel contesto delle sue politiche interne ed esterne, è indispensabile tutelare adeguatamente il bilancio dell'Unione dall'insorgere di tali passività potenziali e garantirne la sostenibilità finanziaria ai sensi dell'articolo</w:t>
      </w:r>
      <w:r w:rsidR="00D70676" w:rsidRPr="002A406A">
        <w:rPr>
          <w:noProof/>
        </w:rPr>
        <w:t> </w:t>
      </w:r>
      <w:r w:rsidR="2D42B455" w:rsidRPr="002A406A">
        <w:rPr>
          <w:noProof/>
        </w:rPr>
        <w:t xml:space="preserve">210, paragrafo 3, del regolamento finanziario. </w:t>
      </w:r>
    </w:p>
    <w:p w14:paraId="22D5E4A6" w14:textId="2E0146FF" w:rsidR="00681971" w:rsidRPr="002A406A" w:rsidRDefault="00E7408C" w:rsidP="00E7408C">
      <w:pPr>
        <w:pStyle w:val="ManualConsidrant"/>
        <w:rPr>
          <w:noProof/>
        </w:rPr>
      </w:pPr>
      <w:r w:rsidRPr="00E7408C">
        <w:t>(14)</w:t>
      </w:r>
      <w:r w:rsidRPr="00E7408C">
        <w:tab/>
      </w:r>
      <w:r w:rsidR="0420B2CC" w:rsidRPr="002A406A">
        <w:rPr>
          <w:noProof/>
        </w:rPr>
        <w:t>Conformemente al principio della sana gestione finanziaria, il fondo comune di copertura dovrebbe essere rafforzato con mezzi commisurati ai rischi derivanti dalle passività potenziali connesse a questa assistenza macrofinanziaria di entità senza precedenti a favore di un unico beneficiario. In assenza di un tale rafforzamento, il bilancio dell'Unione non sarebbe in grado di garantire, in condizioni di sicurezza finanziaria, l'ingente assistenza senza precedenti che l'Ucraina ha chiesto per far fronte alla guerra. Per proteggere il bilancio dell'Unione i prestiti AMF eccezionali fino a 6</w:t>
      </w:r>
      <w:r w:rsidR="00D70676" w:rsidRPr="002A406A">
        <w:rPr>
          <w:noProof/>
        </w:rPr>
        <w:t> </w:t>
      </w:r>
      <w:r w:rsidR="0420B2CC" w:rsidRPr="002A406A">
        <w:rPr>
          <w:noProof/>
        </w:rPr>
        <w:t>miliardi di EUR a favore dell'Ucraina dovrebbero beneficiare di una copertura del 70 % mediante accantonamenti versati (al livello del 9 %), integrati da garanzie nazionali per fornire una copertura di bilancio per perdite fino a un ulteriore 61 % del valore dei prestiti.</w:t>
      </w:r>
    </w:p>
    <w:p w14:paraId="02B17280" w14:textId="2EF2A719" w:rsidR="00681971" w:rsidRPr="002A406A" w:rsidRDefault="00E7408C" w:rsidP="00E7408C">
      <w:pPr>
        <w:pStyle w:val="ManualConsidrant"/>
        <w:rPr>
          <w:noProof/>
        </w:rPr>
      </w:pPr>
      <w:r w:rsidRPr="00E7408C">
        <w:t>(15)</w:t>
      </w:r>
      <w:r w:rsidRPr="00E7408C">
        <w:tab/>
      </w:r>
      <w:r w:rsidR="0420B2CC" w:rsidRPr="002A406A">
        <w:rPr>
          <w:noProof/>
        </w:rPr>
        <w:t xml:space="preserve">Le risorse di cui al regolamento (UE, Euratom) 2020/2093 sono soggette a forti pressioni in considerazione delle priorità generali di spesa dell'Unione. È pertanto </w:t>
      </w:r>
      <w:r w:rsidR="0420B2CC" w:rsidRPr="002A406A">
        <w:rPr>
          <w:noProof/>
        </w:rPr>
        <w:lastRenderedPageBreak/>
        <w:t>opportuno cercare, per le risorse aggiuntive, una soluzione alternativa che non influisca sulla spesa regolare prevista nella programmazione finanziaria del QFP 2021</w:t>
      </w:r>
      <w:r w:rsidR="00D70676" w:rsidRPr="002A406A">
        <w:rPr>
          <w:noProof/>
        </w:rPr>
        <w:noBreakHyphen/>
      </w:r>
      <w:r w:rsidR="0420B2CC" w:rsidRPr="002A406A">
        <w:rPr>
          <w:noProof/>
        </w:rPr>
        <w:t xml:space="preserve">2027. </w:t>
      </w:r>
    </w:p>
    <w:p w14:paraId="6C8242D5" w14:textId="54B49631" w:rsidR="00112C28" w:rsidRPr="002A406A" w:rsidRDefault="00E7408C" w:rsidP="00E7408C">
      <w:pPr>
        <w:pStyle w:val="ManualConsidrant"/>
        <w:rPr>
          <w:rStyle w:val="eop"/>
          <w:rFonts w:eastAsiaTheme="minorEastAsia"/>
          <w:noProof/>
          <w:szCs w:val="24"/>
        </w:rPr>
      </w:pPr>
      <w:r w:rsidRPr="00E7408C">
        <w:rPr>
          <w:rStyle w:val="eop"/>
        </w:rPr>
        <w:t>(16)</w:t>
      </w:r>
      <w:r w:rsidRPr="00E7408C">
        <w:rPr>
          <w:rStyle w:val="eop"/>
        </w:rPr>
        <w:tab/>
      </w:r>
      <w:r w:rsidR="00917643" w:rsidRPr="002A406A">
        <w:rPr>
          <w:rStyle w:val="normaltextrun"/>
          <w:noProof/>
          <w:color w:val="000000"/>
          <w:shd w:val="clear" w:color="auto" w:fill="FFFFFF"/>
        </w:rPr>
        <w:t xml:space="preserve">I contributi degli Stati membri sotto forma di garanzie sono stati individuati come uno strumento adeguato per fornire una protezione aggiuntiva rispetto alla copertura iniziale versata. Le garanzie degli Stati membri dovrebbero </w:t>
      </w:r>
      <w:r w:rsidR="00917643" w:rsidRPr="002A406A">
        <w:rPr>
          <w:rStyle w:val="normaltextrun"/>
          <w:noProof/>
          <w:color w:val="000000" w:themeColor="text1"/>
        </w:rPr>
        <w:t xml:space="preserve">essere fornite su base volontaria e </w:t>
      </w:r>
      <w:r w:rsidR="00917643" w:rsidRPr="002A406A">
        <w:rPr>
          <w:rStyle w:val="normaltextrun"/>
          <w:noProof/>
          <w:color w:val="000000"/>
          <w:shd w:val="clear" w:color="auto" w:fill="FFFFFF"/>
        </w:rPr>
        <w:t>costituire un sostegno adeguato del bilancio dell'Unione, qualora gli accantonamenti del fondo comune di copertura relativi alle passività finanziarie di cui alla presente decisione</w:t>
      </w:r>
      <w:r w:rsidR="00195EC3" w:rsidRPr="002A406A">
        <w:rPr>
          <w:rStyle w:val="normaltextrun"/>
          <w:noProof/>
          <w:color w:val="000000"/>
          <w:shd w:val="clear" w:color="auto" w:fill="FFFFFF"/>
        </w:rPr>
        <w:t xml:space="preserve"> </w:t>
      </w:r>
      <w:r w:rsidR="00917643" w:rsidRPr="002A406A">
        <w:rPr>
          <w:noProof/>
          <w:color w:val="000000" w:themeColor="text1"/>
        </w:rPr>
        <w:t>e alla decisione (UE) 2022/1201</w:t>
      </w:r>
      <w:r w:rsidR="00917643" w:rsidRPr="002A406A">
        <w:rPr>
          <w:noProof/>
        </w:rPr>
        <w:t xml:space="preserve"> </w:t>
      </w:r>
      <w:r w:rsidR="00917643" w:rsidRPr="002A406A">
        <w:rPr>
          <w:rStyle w:val="normaltextrun"/>
          <w:noProof/>
          <w:color w:val="000000"/>
          <w:shd w:val="clear" w:color="auto" w:fill="FFFFFF"/>
        </w:rPr>
        <w:t>fossero esauriti. La copertura ai fini di tali garanzie dovrebbe essere inclusa nell'importo della passività finanziaria autorizzata in deroga all'articolo 211, paragrafo 1, primo comma, del regolamento finanziario. Tali importi dovrebbero essere presi in considerazione per il calcolo della copertura risultante dal tasso di copertura di cui all'articolo 211, paragrafo 1, del regolamento finanziario, in deroga all'articolo 211, paragrafo 4, secondo comma, dello stesso regolamento.</w:t>
      </w:r>
      <w:r w:rsidR="00917643" w:rsidRPr="002A406A">
        <w:rPr>
          <w:rStyle w:val="eop"/>
          <w:noProof/>
          <w:color w:val="000000"/>
          <w:shd w:val="clear" w:color="auto" w:fill="FFFFFF"/>
        </w:rPr>
        <w:t xml:space="preserve"> </w:t>
      </w:r>
    </w:p>
    <w:p w14:paraId="5C4AD745" w14:textId="04693F78" w:rsidR="00681971" w:rsidRPr="002A406A" w:rsidRDefault="00E7408C" w:rsidP="00E7408C">
      <w:pPr>
        <w:pStyle w:val="ManualConsidrant"/>
        <w:rPr>
          <w:rFonts w:eastAsiaTheme="minorEastAsia"/>
          <w:noProof/>
        </w:rPr>
      </w:pPr>
      <w:r w:rsidRPr="00E7408C">
        <w:t>(17)</w:t>
      </w:r>
      <w:r w:rsidRPr="00E7408C">
        <w:tab/>
      </w:r>
      <w:r w:rsidR="4C1E1A58" w:rsidRPr="002A406A">
        <w:rPr>
          <w:noProof/>
        </w:rPr>
        <w:t>Le garanzie fornite dagli Stati membri dovrebbero coprire il prestito AMF eccezionale di cui alla presente decisione e il prestito AMF eccezionale di 1</w:t>
      </w:r>
      <w:r w:rsidR="00D70676" w:rsidRPr="002A406A">
        <w:rPr>
          <w:noProof/>
        </w:rPr>
        <w:t> </w:t>
      </w:r>
      <w:r w:rsidR="4C1E1A58" w:rsidRPr="002A406A">
        <w:rPr>
          <w:noProof/>
        </w:rPr>
        <w:t>miliardo di EUR di cui alla decisione (UE) 2022/1201. Dovrebbero essere irrevocabili, incondizionate e a richiesta. Tali garanzie dovrebbero assicurare la capacità dell'Unione di rimborsare i prestiti contratti sui mercati dei capitali o presso le istituzioni finanziarie. Dovrebbero essere attivate solo quando sono soddisfatte condizioni rigorose relative all'adeguatezza degli accantonamenti disponibili e qualora l'Unione non riceva dall'Ucraina un pagamento dei prestiti di assistenza macrofinanziaria concessi ai sensi della presente decisione e della decisione (UE) 2022/1201 in tempo utile per adempiere agli obblighi finanziari dell'Unione derivanti da obbligazioni o in caso di modifica del calendario di pagamento dei prestiti concessi ai sensi della presente decisione e della decisione (UE) 2022/1201. Le garanzie degli Stati membri dovrebbero essere attivate per un importo corrispondente all'importo derivante dalle perdite incorse nell'assistenza finanziaria all'Ucraina ai sensi della presente decisione e della decisione (UE) 2022/1201 e per ricostituire il fondo comune di copertura fino al livello necessario per riportare la copertura versata al livello richiesto. Le garanzie degli Stati membri dovrebbero essere attivate solo dopo che l'importo della dotazione iniziale accantonata per l'AMF di cui alla presente decisione e alla decisione (UE) 2022/1201 sia stato esaurito o sia in procinto di esserlo. Gli importi recuperati nell'ambito degli accordi di prestito in relazione all'assistenza finanziaria all'Ucraina ai sensi della presente decisione e della decisione (UE) 2022/1201 dovrebbero essere rimborsati agli Stati membri che hanno onorato le attivazioni della garanzia, in deroga all'articolo 211, paragrafo 4, lettera c), del regolamento finanziario.</w:t>
      </w:r>
    </w:p>
    <w:p w14:paraId="083926EB" w14:textId="51A6BB38" w:rsidR="00112C28" w:rsidRPr="002A406A" w:rsidRDefault="00E7408C" w:rsidP="00E7408C">
      <w:pPr>
        <w:pStyle w:val="ManualConsidrant"/>
        <w:rPr>
          <w:rFonts w:eastAsiaTheme="minorEastAsia"/>
          <w:noProof/>
          <w:szCs w:val="24"/>
        </w:rPr>
      </w:pPr>
      <w:r w:rsidRPr="00E7408C">
        <w:t>(18)</w:t>
      </w:r>
      <w:r w:rsidRPr="00E7408C">
        <w:tab/>
      </w:r>
      <w:r w:rsidR="0420B2CC" w:rsidRPr="002A406A">
        <w:rPr>
          <w:noProof/>
        </w:rPr>
        <w:t xml:space="preserve">Nel caso in cui il pagamento degli obblighi finanziari dell'Unione derivanti da obbligazioni per l'assistenza macrofinanziaria a favore dell'Ucraina di cui alla presente decisione e alla decisione (UE) 2022/1201 sia stato temporaneamente coperto con gli accantonamenti del fondo comune di copertura destinati alla copertura di altre passività finanziarie dell'Unione, è possibile ricorrere all'attivazione delle garanzie degli Stati membri per ricostituire gli accantonamenti a copertura di tali passività finanziarie. </w:t>
      </w:r>
    </w:p>
    <w:p w14:paraId="1396AF1C" w14:textId="1EEBA85D" w:rsidR="00681971" w:rsidRPr="002A406A" w:rsidRDefault="00E7408C" w:rsidP="00E7408C">
      <w:pPr>
        <w:pStyle w:val="ManualConsidrant"/>
        <w:rPr>
          <w:rFonts w:eastAsiaTheme="minorEastAsia"/>
          <w:noProof/>
          <w:szCs w:val="24"/>
        </w:rPr>
      </w:pPr>
      <w:r w:rsidRPr="00E7408C">
        <w:t>(19)</w:t>
      </w:r>
      <w:r w:rsidRPr="00E7408C">
        <w:tab/>
      </w:r>
      <w:r w:rsidR="2E51F5CD" w:rsidRPr="002A406A">
        <w:rPr>
          <w:noProof/>
        </w:rPr>
        <w:t>Considerata la natura eccezionale dell'assistenza macrofinanziaria coperta dalle garanzie, è opportuno gestire gli accantonamenti a fronte delle passività finanziarie derivanti dall'assistenza macrofinanziaria ai sensi della presente decisione e della decisione (UE) 2022/1201 e per le eventuali erogazioni successive al 15</w:t>
      </w:r>
      <w:r w:rsidR="00D70676" w:rsidRPr="002A406A">
        <w:rPr>
          <w:noProof/>
        </w:rPr>
        <w:t> </w:t>
      </w:r>
      <w:r w:rsidR="2E51F5CD" w:rsidRPr="002A406A">
        <w:rPr>
          <w:noProof/>
        </w:rPr>
        <w:t xml:space="preserve">luglio 2022 di </w:t>
      </w:r>
      <w:r w:rsidR="2E51F5CD" w:rsidRPr="002A406A">
        <w:rPr>
          <w:noProof/>
        </w:rPr>
        <w:lastRenderedPageBreak/>
        <w:t>prestiti garantiti ai sensi della decisione n. 466/2014/UE del Parlamento europeo e del Consiglio</w:t>
      </w:r>
      <w:r w:rsidR="2E51F5CD" w:rsidRPr="00195EC3">
        <w:rPr>
          <w:rStyle w:val="FootnoteReference"/>
          <w:noProof/>
        </w:rPr>
        <w:footnoteReference w:id="24"/>
      </w:r>
      <w:r w:rsidR="2E51F5CD" w:rsidRPr="002A406A">
        <w:rPr>
          <w:noProof/>
        </w:rPr>
        <w:t xml:space="preserve"> separatamente dalle altre passività finanziarie nell'ambito della garanzia per le azioni esterne e del fondo di garanzia per le azioni esterne. Si propone pertanto di utilizzare la dotazione accantonata nel fondo comune di copertura unicamente per le passività finanziarie derivanti dall'assistenza macrofinanziaria di cui alla presente decisione e alla decisione (UE) 2022/1201, anziché in conformità alla regola generale di cui all'articolo 31, paragrafo 6, del regolamento NDICI-GE</w:t>
      </w:r>
      <w:r w:rsidR="2E51F5CD" w:rsidRPr="00195EC3">
        <w:rPr>
          <w:rStyle w:val="FootnoteReference"/>
          <w:noProof/>
        </w:rPr>
        <w:footnoteReference w:id="25"/>
      </w:r>
      <w:r w:rsidR="2E51F5CD" w:rsidRPr="002A406A">
        <w:rPr>
          <w:noProof/>
        </w:rPr>
        <w:t>. Si propone inoltre di utilizzare la dotazione accantonata nel fondo comune di copertura per i prestiti garantiti a norma della decisione n. 466/2014/UE erogati dopo il 15</w:t>
      </w:r>
      <w:r w:rsidR="00D70676" w:rsidRPr="002A406A">
        <w:rPr>
          <w:noProof/>
        </w:rPr>
        <w:t> </w:t>
      </w:r>
      <w:r w:rsidR="2E51F5CD" w:rsidRPr="002A406A">
        <w:rPr>
          <w:noProof/>
        </w:rPr>
        <w:t>luglio 2022 unicamente per le passività finanziarie derivanti da tali prestiti e di applicare alla copertura le norme del regolamento finanziario, anziché la regola generale di cui all'articolo 31, paragrafo 8, del regolamento NDICI-GE. Questa procedura dovrebbe essere integrata dall'esclusione della dotazione accantonata per la presente assistenza macrofinanziaria dall'applicazione del tasso di copertura effettivo, in deroga all'articolo 213 del regolamento finanziario.</w:t>
      </w:r>
    </w:p>
    <w:p w14:paraId="51712194" w14:textId="692A82E0" w:rsidR="0088094E" w:rsidRPr="002A406A" w:rsidRDefault="00E7408C" w:rsidP="00E7408C">
      <w:pPr>
        <w:pStyle w:val="ManualConsidrant"/>
        <w:rPr>
          <w:rFonts w:eastAsiaTheme="minorEastAsia"/>
          <w:noProof/>
          <w:szCs w:val="24"/>
        </w:rPr>
      </w:pPr>
      <w:r w:rsidRPr="00E7408C">
        <w:t>(20)</w:t>
      </w:r>
      <w:r w:rsidRPr="00E7408C">
        <w:tab/>
      </w:r>
      <w:r w:rsidR="75AC9127" w:rsidRPr="002A406A">
        <w:rPr>
          <w:noProof/>
        </w:rPr>
        <w:t xml:space="preserve">La quota relativa dei contributi di ciascuno Stato membro (criterio di contribuzione) all'importo globale garantito dovrebbe corrispondere alle quote relative degli Stati membri sul reddito nazionale lordo totale dell'Unione. Le attivazioni della garanzia dovrebbero essere effettuate proporzionalmente e basarsi su tale criterio di contribuzione. </w:t>
      </w:r>
    </w:p>
    <w:p w14:paraId="16C87F52" w14:textId="16F5A793" w:rsidR="0088094E" w:rsidRPr="002A406A" w:rsidRDefault="00E7408C" w:rsidP="00E7408C">
      <w:pPr>
        <w:pStyle w:val="ManualConsidrant"/>
        <w:rPr>
          <w:rFonts w:eastAsiaTheme="minorEastAsia"/>
          <w:noProof/>
        </w:rPr>
      </w:pPr>
      <w:r w:rsidRPr="00E7408C">
        <w:t>(21)</w:t>
      </w:r>
      <w:r w:rsidRPr="00E7408C">
        <w:tab/>
      </w:r>
      <w:r w:rsidR="0E7EC911" w:rsidRPr="002A406A">
        <w:rPr>
          <w:noProof/>
        </w:rPr>
        <w:t xml:space="preserve">Gli Stati membri dovrebbero completare le rispettive procedure nazionali affinché le garanzie entrino in vigore con la massima priorità. Considerata l'urgenza della situazione, il tempo necessario per il completamento di tali procedure non dovrebbe ritardare l'erogazione dell'assistenza macrofinanziaria eccezionale urgentemente necessaria all'Ucraina di cui alla presente decisione. I prestiti AMF supplementari previsti dalla presente decisione saranno predisposti rapidamente dopo l'entrata in vigore della presente decisione, l'adozione del protocollo d'intesa e la firma dell'accordo di prestito. </w:t>
      </w:r>
    </w:p>
    <w:p w14:paraId="44B328E3" w14:textId="230521FD" w:rsidR="00681971" w:rsidRPr="002A406A" w:rsidRDefault="00E7408C" w:rsidP="00E7408C">
      <w:pPr>
        <w:pStyle w:val="ManualConsidrant"/>
        <w:rPr>
          <w:noProof/>
        </w:rPr>
      </w:pPr>
      <w:r w:rsidRPr="00E7408C">
        <w:t>(22)</w:t>
      </w:r>
      <w:r w:rsidRPr="00E7408C">
        <w:tab/>
      </w:r>
      <w:r w:rsidR="6F0B73B1" w:rsidRPr="002A406A">
        <w:rPr>
          <w:noProof/>
        </w:rPr>
        <w:t>Considerata la difficile situazione dell'Ucraina causata dalla guerra di aggressione della Russia e al fine di sostenere il paese nel suo percorso di stabilità a lungo termine, è opportuno derogare all'articolo</w:t>
      </w:r>
      <w:r w:rsidR="00D70676" w:rsidRPr="002A406A">
        <w:rPr>
          <w:noProof/>
        </w:rPr>
        <w:t> </w:t>
      </w:r>
      <w:r w:rsidR="6F0B73B1" w:rsidRPr="002A406A">
        <w:rPr>
          <w:noProof/>
        </w:rPr>
        <w:t xml:space="preserve">220, paragrafo 5, lettera e), del regolamento finanziario e consentire all'Unione di coprire i costi legati al tasso d'interesse e di rinunciare alle spese amministrative a carico dell'Ucraina. Il contributo in conto interessi dovrebbe essere concesso in quanto strumento ritenuto appropriato per garantire l'efficacia del sostegno ai sensi dell'articolo 220, paragrafo 1, del regolamento finanziario ed essere a carico del bilancio dell'Unione almeno per l'attuale ciclo del QFP. Nel periodo 2021-2027 esso dovrebbe essere a carico della dotazione di cui all'articolo 6, paragrafo 2, lettera a), primo trattino, del regolamento (UE) 2021/947. </w:t>
      </w:r>
    </w:p>
    <w:p w14:paraId="28347810" w14:textId="041B3677" w:rsidR="00681971" w:rsidRPr="002A406A" w:rsidRDefault="00E7408C" w:rsidP="00E7408C">
      <w:pPr>
        <w:pStyle w:val="ManualConsidrant"/>
        <w:rPr>
          <w:noProof/>
        </w:rPr>
      </w:pPr>
      <w:r w:rsidRPr="00E7408C">
        <w:t>(23)</w:t>
      </w:r>
      <w:r w:rsidRPr="00E7408C">
        <w:tab/>
      </w:r>
      <w:r w:rsidR="1D20160F" w:rsidRPr="002A406A">
        <w:rPr>
          <w:noProof/>
        </w:rPr>
        <w:t xml:space="preserve">Il contributo in conto interessi e la cancellazione delle spese amministrative potrebbero essere chiesti dall'Ucraina entro la fine di marzo di ogni anno. </w:t>
      </w:r>
      <w:r w:rsidR="00D70676" w:rsidRPr="002A406A">
        <w:rPr>
          <w:noProof/>
        </w:rPr>
        <w:br/>
      </w:r>
      <w:r w:rsidR="1D20160F" w:rsidRPr="002A406A">
        <w:rPr>
          <w:noProof/>
        </w:rPr>
        <w:lastRenderedPageBreak/>
        <w:t>Per consentire una certa flessibilità nel rimborso del capitale, in deroga all'articolo 220, paragrafo 2, del regolamento finanziario, dovrebbe essere altresì possibile rinnovare i prestiti associati assunti per conto dell'Unione.</w:t>
      </w:r>
    </w:p>
    <w:p w14:paraId="7FEED15B" w14:textId="36FC321C" w:rsidR="00681971" w:rsidRPr="002A406A" w:rsidRDefault="00E7408C" w:rsidP="00E7408C">
      <w:pPr>
        <w:pStyle w:val="ManualConsidrant"/>
        <w:rPr>
          <w:rFonts w:eastAsiaTheme="minorEastAsia"/>
          <w:noProof/>
        </w:rPr>
      </w:pPr>
      <w:r w:rsidRPr="00E7408C">
        <w:t>(24)</w:t>
      </w:r>
      <w:r w:rsidRPr="00E7408C">
        <w:tab/>
      </w:r>
      <w:r w:rsidR="7E8BFBB6" w:rsidRPr="002A406A">
        <w:rPr>
          <w:noProof/>
        </w:rPr>
        <w:t>A fronte del fabbisogno di finanziamento urgente dell'Ucraina, nel luglio 2022 la Commissione europea ha concordato la riassegnazione e l'erogazione di ulteriori 1,59</w:t>
      </w:r>
      <w:r w:rsidR="000D3989" w:rsidRPr="002A406A">
        <w:rPr>
          <w:noProof/>
        </w:rPr>
        <w:t> </w:t>
      </w:r>
      <w:r w:rsidR="7E8BFBB6" w:rsidRPr="002A406A">
        <w:rPr>
          <w:noProof/>
        </w:rPr>
        <w:t>miliardi di EUR di prestiti della BEI all'Ucraina garantiti dal mandato di prestiti esterni 2014</w:t>
      </w:r>
      <w:r w:rsidR="000D3989" w:rsidRPr="002A406A">
        <w:rPr>
          <w:noProof/>
        </w:rPr>
        <w:noBreakHyphen/>
      </w:r>
      <w:r w:rsidR="7E8BFBB6" w:rsidRPr="002A406A">
        <w:rPr>
          <w:noProof/>
        </w:rPr>
        <w:t>20 (ELM). Poiché si tratta di prestiti a favore di entità sovrane e statali ucraine, il livello di rischio per il bilancio dell'Unione è tuttavia lo stesso dei prestiti dell'AMF. Il bilancio dell'UE dovrebbe pertanto applicare a tali esposizioni lo stesso approccio precauzionale applicato ai nuovi prestiti AMF. La presente decisione applica pertanto un tasso di copertura del 70 % agli 1,59</w:t>
      </w:r>
      <w:r w:rsidR="000D3989" w:rsidRPr="002A406A">
        <w:rPr>
          <w:noProof/>
        </w:rPr>
        <w:t> </w:t>
      </w:r>
      <w:r w:rsidR="7E8BFBB6" w:rsidRPr="002A406A">
        <w:rPr>
          <w:noProof/>
        </w:rPr>
        <w:t>miliardi di EUR di prestiti del mandato di prestiti esterni riconvertiti e a qualsiasi ulteriore erogazione di prestiti del mandato di prestiti esterni all'Ucraina. Tale tasso di copertura dovrebbe applicarsi al posto del tasso di copertura risultante dall'articolo 31, paragrafo 8, terza frase, del regolamento (UE) 2021/947. La copertura del 70 % per l'erogazione di 1,59</w:t>
      </w:r>
      <w:r w:rsidR="000D3989" w:rsidRPr="002A406A">
        <w:rPr>
          <w:noProof/>
        </w:rPr>
        <w:t> </w:t>
      </w:r>
      <w:r w:rsidR="7E8BFBB6" w:rsidRPr="002A406A">
        <w:rPr>
          <w:noProof/>
        </w:rPr>
        <w:t xml:space="preserve">miliardi di EUR di prestiti nel quadro del mandato di prestiti esterni all'Ucraina sarà finanziata dal bilancio dell'Unione. </w:t>
      </w:r>
    </w:p>
    <w:p w14:paraId="07E27E35" w14:textId="77955574" w:rsidR="0088355F" w:rsidRPr="002A406A" w:rsidRDefault="00E7408C" w:rsidP="00E7408C">
      <w:pPr>
        <w:pStyle w:val="ManualConsidrant"/>
        <w:rPr>
          <w:noProof/>
        </w:rPr>
      </w:pPr>
      <w:r w:rsidRPr="00E7408C">
        <w:t>(25)</w:t>
      </w:r>
      <w:r w:rsidRPr="00E7408C">
        <w:tab/>
      </w:r>
      <w:r w:rsidR="68D11B6A" w:rsidRPr="002A406A">
        <w:rPr>
          <w:noProof/>
        </w:rPr>
        <w:t xml:space="preserve">Ogni sei mesi dovrebbe essere effettuata una revisione degli accantonamenti per le rispettive AMF e i prestiti del mandato di prestiti esterni, a partire dalla metà del 2023 o, se del caso, prima di tale data. Tale revisione dovrebbe valutare in particolare se la situazione dell'Ucraina si sia evoluta in modo tale da giustificare un aumento o una diminuzione del tasso di copertura. La Commissione potrebbe riesaminare il tasso di copertura su base ad hoc, in particolare se giustificato da un evento rilevante. </w:t>
      </w:r>
      <w:r w:rsidR="000D3989" w:rsidRPr="002A406A">
        <w:rPr>
          <w:noProof/>
        </w:rPr>
        <w:br/>
      </w:r>
      <w:r w:rsidR="68D11B6A" w:rsidRPr="002A406A">
        <w:rPr>
          <w:noProof/>
        </w:rPr>
        <w:t>Al fine di garantire che il tasso di copertura rimanga adeguato ai rischi finanziari, dovrebbe essere delegato alla Commissione il potere di adottare atti conformemente all'articolo 290 del trattato sul funzionamento dell'Unione europea per quanto riguarda il tasso di copertura qualora sia giustificato un aumento o una diminuzione dello stesso. È di particolare importanza che durante i lavori preparatori la Commissione svolga adeguate consultazioni, anche a livello di esperti, nel rispetto dei principi stabiliti nell'accordo interistituzionale "Legiferare meglio" del 13</w:t>
      </w:r>
      <w:r w:rsidR="000D3989" w:rsidRPr="002A406A">
        <w:rPr>
          <w:noProof/>
        </w:rPr>
        <w:t> </w:t>
      </w:r>
      <w:r w:rsidR="68D11B6A" w:rsidRPr="002A406A">
        <w:rPr>
          <w:noProof/>
        </w:rPr>
        <w:t xml:space="preserve">aprile 2016. </w:t>
      </w:r>
      <w:r w:rsidR="000D3989" w:rsidRPr="002A406A">
        <w:rPr>
          <w:noProof/>
        </w:rPr>
        <w:br/>
      </w:r>
      <w:r w:rsidR="68D11B6A" w:rsidRPr="002A406A">
        <w:rPr>
          <w:noProof/>
        </w:rPr>
        <w:t>In particolare, al fine di garantire la parità di partecipazione alla preparazione degli atti delegati, il Parlamento europeo e il Consiglio ricevono tutti i documenti contemporaneamente agli esperti degli Stati membri, e i loro esperti hanno sistematicamente accesso alle riunioni dei gruppi di esperti della Commissione incaricati della preparazione di tali atti delegati.</w:t>
      </w:r>
    </w:p>
    <w:p w14:paraId="53890F2A" w14:textId="7F36E252" w:rsidR="00EA0347" w:rsidRPr="002A406A" w:rsidRDefault="00E7408C" w:rsidP="00E7408C">
      <w:pPr>
        <w:pStyle w:val="ManualConsidrant"/>
        <w:rPr>
          <w:rFonts w:eastAsiaTheme="minorEastAsia"/>
          <w:noProof/>
        </w:rPr>
      </w:pPr>
      <w:r w:rsidRPr="00E7408C">
        <w:t>(26)</w:t>
      </w:r>
      <w:r w:rsidRPr="00E7408C">
        <w:tab/>
      </w:r>
      <w:r w:rsidR="426362F8" w:rsidRPr="002A406A">
        <w:rPr>
          <w:noProof/>
        </w:rPr>
        <w:t>Poiché l'obiettivo della presente decisione, vale a dire la concessione dell'assistenza macrofinanziaria eccezionale all'Ucraina al fine di sostenerne, in particolare, la resilienza e la stabilità economica, non può essere conseguito in misura sufficiente dagli Stati membri ma, a motivo della sua portata e dei suoi effetti, può essere conseguito meglio a livello di Unione, quest'ultima può intervenire in base al principio di sussidiarietà sancito dall'articolo 5, paragrafo 3, del trattato sull'Unione europea (TUE). La presente decisione si limita a quanto è necessario per conseguire tale obiettivo in ottemperanza al principio di proporzionalità enunciato al paragrafo</w:t>
      </w:r>
      <w:r w:rsidR="000D3989" w:rsidRPr="002A406A">
        <w:rPr>
          <w:noProof/>
        </w:rPr>
        <w:t> </w:t>
      </w:r>
      <w:r w:rsidR="426362F8" w:rsidRPr="002A406A">
        <w:rPr>
          <w:noProof/>
        </w:rPr>
        <w:t>4 dello stesso articolo.</w:t>
      </w:r>
    </w:p>
    <w:p w14:paraId="25875B52" w14:textId="219C2B53" w:rsidR="00EA0347" w:rsidRPr="002A406A" w:rsidRDefault="00E7408C" w:rsidP="00E7408C">
      <w:pPr>
        <w:pStyle w:val="ManualConsidrant"/>
        <w:rPr>
          <w:noProof/>
        </w:rPr>
      </w:pPr>
      <w:r w:rsidRPr="00E7408C">
        <w:t>(27)</w:t>
      </w:r>
      <w:r w:rsidRPr="00E7408C">
        <w:tab/>
      </w:r>
      <w:r w:rsidR="426362F8" w:rsidRPr="002A406A">
        <w:rPr>
          <w:noProof/>
        </w:rPr>
        <w:t>Considerata l'urgenza derivante dalle circostanze eccezionali causate dall'aggressione militare non provocata e ingiustificata della Russia, si ritiene opportuno ammettere un'eccezione al periodo di otto settimane di cui all'articolo</w:t>
      </w:r>
      <w:r w:rsidR="000D3989" w:rsidRPr="002A406A">
        <w:rPr>
          <w:noProof/>
        </w:rPr>
        <w:t> </w:t>
      </w:r>
      <w:r w:rsidR="426362F8" w:rsidRPr="002A406A">
        <w:rPr>
          <w:noProof/>
        </w:rPr>
        <w:t xml:space="preserve">4 del protocollo n. 1 sul ruolo dei parlamenti nazionali nell'Unione europea, allegato al trattato sull'Unione </w:t>
      </w:r>
      <w:r w:rsidR="426362F8" w:rsidRPr="002A406A">
        <w:rPr>
          <w:noProof/>
        </w:rPr>
        <w:lastRenderedPageBreak/>
        <w:t xml:space="preserve">europea, al trattato sul funzionamento dell'Unione europea e al trattato che istituisce la Comunità europea dell'energia atomica. </w:t>
      </w:r>
    </w:p>
    <w:p w14:paraId="17106B55" w14:textId="11C3DA58" w:rsidR="00EA0347" w:rsidRPr="002A406A" w:rsidRDefault="00E7408C" w:rsidP="00E7408C">
      <w:pPr>
        <w:pStyle w:val="ManualConsidrant"/>
        <w:rPr>
          <w:noProof/>
        </w:rPr>
      </w:pPr>
      <w:r w:rsidRPr="00E7408C">
        <w:t>(28)</w:t>
      </w:r>
      <w:r w:rsidRPr="00E7408C">
        <w:tab/>
      </w:r>
      <w:r w:rsidR="6F0B73B1" w:rsidRPr="002A406A">
        <w:rPr>
          <w:noProof/>
        </w:rPr>
        <w:t>Data l'urgenza della situazione in Ucraina, la presente decisione dovrebbe entrare in vigore il giorno successivo alla pubblicazione nella Gazzetta ufficiale dell'Unione europea,</w:t>
      </w:r>
    </w:p>
    <w:p w14:paraId="6BF25892" w14:textId="77777777" w:rsidR="003C45F0" w:rsidRPr="002A406A" w:rsidRDefault="00F152DC" w:rsidP="0087343B">
      <w:pPr>
        <w:pStyle w:val="Formuledadoption"/>
        <w:spacing w:before="360"/>
        <w:rPr>
          <w:noProof/>
        </w:rPr>
      </w:pPr>
      <w:r w:rsidRPr="002A406A">
        <w:rPr>
          <w:noProof/>
        </w:rPr>
        <w:t xml:space="preserve">HANNO ADOTTATO LA PRESENTE DECISIONE: </w:t>
      </w:r>
    </w:p>
    <w:p w14:paraId="4B3CB7D3" w14:textId="77777777" w:rsidR="004D643E" w:rsidRPr="002A406A" w:rsidRDefault="004D643E" w:rsidP="003C45F0">
      <w:pPr>
        <w:pStyle w:val="ManualHeading2"/>
        <w:jc w:val="center"/>
        <w:rPr>
          <w:noProof/>
        </w:rPr>
      </w:pPr>
      <w:r w:rsidRPr="002A406A">
        <w:rPr>
          <w:noProof/>
        </w:rPr>
        <w:t xml:space="preserve">Capo I </w:t>
      </w:r>
      <w:r w:rsidRPr="002A406A">
        <w:rPr>
          <w:noProof/>
        </w:rPr>
        <w:br/>
        <w:t>Assistenza macrofinanziaria eccezionale</w:t>
      </w:r>
    </w:p>
    <w:p w14:paraId="7364EAF2" w14:textId="77777777" w:rsidR="004D643E" w:rsidRPr="002A406A" w:rsidRDefault="004D643E" w:rsidP="004D643E">
      <w:pPr>
        <w:pStyle w:val="Titrearticle"/>
        <w:rPr>
          <w:noProof/>
        </w:rPr>
      </w:pPr>
      <w:r w:rsidRPr="002A406A">
        <w:rPr>
          <w:noProof/>
        </w:rPr>
        <w:t>Articolo 1</w:t>
      </w:r>
    </w:p>
    <w:p w14:paraId="01964931" w14:textId="77777777" w:rsidR="00187889" w:rsidRPr="002A406A" w:rsidRDefault="29339EBF" w:rsidP="00616974">
      <w:pPr>
        <w:jc w:val="center"/>
        <w:rPr>
          <w:b/>
          <w:bCs/>
          <w:noProof/>
        </w:rPr>
      </w:pPr>
      <w:r w:rsidRPr="002A406A">
        <w:rPr>
          <w:b/>
          <w:noProof/>
        </w:rPr>
        <w:t>Messa a disposizione dell'assistenza macrofinanziaria eccezionale dell'Unione</w:t>
      </w:r>
    </w:p>
    <w:p w14:paraId="7D829944" w14:textId="7A9A6FE7" w:rsidR="004D643E" w:rsidRPr="002A406A" w:rsidRDefault="00E7408C" w:rsidP="00E7408C">
      <w:pPr>
        <w:pStyle w:val="ManualNumPar1"/>
        <w:rPr>
          <w:noProof/>
        </w:rPr>
      </w:pPr>
      <w:r w:rsidRPr="00E7408C">
        <w:t>1.</w:t>
      </w:r>
      <w:r w:rsidRPr="00E7408C">
        <w:tab/>
      </w:r>
      <w:r w:rsidR="4D95487E" w:rsidRPr="002A406A">
        <w:rPr>
          <w:noProof/>
        </w:rPr>
        <w:t>L'Unione mette a disposizione dell'Ucraina un'assistenza macrofinanziaria eccezionale per un importo massimo di 5</w:t>
      </w:r>
      <w:r w:rsidR="000D3989" w:rsidRPr="002A406A">
        <w:rPr>
          <w:noProof/>
        </w:rPr>
        <w:t> </w:t>
      </w:r>
      <w:r w:rsidR="4D95487E" w:rsidRPr="002A406A">
        <w:rPr>
          <w:noProof/>
        </w:rPr>
        <w:t>000</w:t>
      </w:r>
      <w:r w:rsidR="000D3989" w:rsidRPr="002A406A">
        <w:rPr>
          <w:noProof/>
        </w:rPr>
        <w:t> </w:t>
      </w:r>
      <w:r w:rsidR="4D95487E" w:rsidRPr="002A406A">
        <w:rPr>
          <w:noProof/>
        </w:rPr>
        <w:t>000</w:t>
      </w:r>
      <w:r w:rsidR="000D3989" w:rsidRPr="002A406A">
        <w:rPr>
          <w:noProof/>
        </w:rPr>
        <w:t> </w:t>
      </w:r>
      <w:r w:rsidR="4D95487E" w:rsidRPr="002A406A">
        <w:rPr>
          <w:noProof/>
        </w:rPr>
        <w:t>000 EUR ("assistenza macrofinanziaria eccezionale dell'Unione") al fine di sostenere la stabilità macrofinanziaria dell'Ucraina. L'assistenza macrofinanziaria dell'Unione è erogata all'Ucraina sotto forma di prestiti. L'assistenza contribuisce a coprire il fabbisogno di finanziamenti dell'Ucraina individuato in cooperazione con le istituzioni finanziarie internazionali.</w:t>
      </w:r>
    </w:p>
    <w:p w14:paraId="163EB5F3" w14:textId="4C0BC53C" w:rsidR="004D643E" w:rsidRPr="002A406A" w:rsidRDefault="00E7408C" w:rsidP="00E7408C">
      <w:pPr>
        <w:pStyle w:val="ManualNumPar1"/>
        <w:rPr>
          <w:noProof/>
        </w:rPr>
      </w:pPr>
      <w:r w:rsidRPr="00E7408C">
        <w:t>2.</w:t>
      </w:r>
      <w:r w:rsidRPr="00E7408C">
        <w:tab/>
      </w:r>
      <w:r w:rsidR="1A0D313F" w:rsidRPr="002A406A">
        <w:rPr>
          <w:noProof/>
        </w:rPr>
        <w:t>Al fine di finanziare l'assistenza macrofinanziaria eccezionale dell'Unione, la Commissione ha la facoltà di prendere in prestito, a nome dell'Unione, i fondi necessari sui mercati dei capitali o presso le istituzioni finanziarie e di concederli a sua volta in prestito all'Ucraina. I prestiti di cui al paragrafo 1 e alla decisione (UE) 2022/1201 hanno congiuntamente una scadenza media massima di 25 anni.</w:t>
      </w:r>
    </w:p>
    <w:p w14:paraId="7ED6EE09" w14:textId="63B258F6" w:rsidR="004D643E" w:rsidRPr="002A406A" w:rsidRDefault="00E7408C" w:rsidP="00E7408C">
      <w:pPr>
        <w:pStyle w:val="ManualNumPar1"/>
        <w:rPr>
          <w:rFonts w:eastAsiaTheme="minorEastAsia"/>
          <w:noProof/>
          <w:szCs w:val="24"/>
        </w:rPr>
      </w:pPr>
      <w:r w:rsidRPr="00E7408C">
        <w:t>3.</w:t>
      </w:r>
      <w:r w:rsidRPr="00E7408C">
        <w:tab/>
      </w:r>
      <w:r w:rsidR="5EDC14F4" w:rsidRPr="002A406A">
        <w:rPr>
          <w:noProof/>
        </w:rPr>
        <w:t>L'assistenza macrofinanziaria eccezionale dell'Unione è messa a disposizione a decorrere dal primo giorno successivo all'entrata in vigore del protocollo d'intesa di cui all'articolo 3, paragrafo 1, e durante il periodo di disponibilità ivi definito, anche se le garanzie di cui al capo II, sezione 1, della presente decisione non sono ancora state fornite.</w:t>
      </w:r>
    </w:p>
    <w:p w14:paraId="1676C968" w14:textId="0765B3E0" w:rsidR="004D643E" w:rsidRPr="002A406A" w:rsidRDefault="00E7408C" w:rsidP="00E7408C">
      <w:pPr>
        <w:pStyle w:val="ManualNumPar1"/>
        <w:rPr>
          <w:noProof/>
        </w:rPr>
      </w:pPr>
      <w:r w:rsidRPr="00E7408C">
        <w:t>4.</w:t>
      </w:r>
      <w:r w:rsidRPr="00E7408C">
        <w:tab/>
      </w:r>
      <w:r w:rsidR="31DA346E" w:rsidRPr="002A406A">
        <w:rPr>
          <w:noProof/>
        </w:rPr>
        <w:t>Qualora, nel corso del periodo di erogazione dell'assistenza macrofinanziaria eccezionale dell'Unione, il fabbisogno di finanziamenti dell'Ucraina diminuisca radicalmente rispetto alle previsioni iniziali, la Commissione riduce, sospende o annulla l'importo dell'assistenza.</w:t>
      </w:r>
    </w:p>
    <w:p w14:paraId="66195141" w14:textId="77777777" w:rsidR="004D643E" w:rsidRPr="00195EC3" w:rsidRDefault="004D643E" w:rsidP="003C45F0">
      <w:pPr>
        <w:pStyle w:val="Titrearticle"/>
        <w:rPr>
          <w:noProof/>
        </w:rPr>
      </w:pPr>
      <w:r w:rsidRPr="00195EC3">
        <w:rPr>
          <w:noProof/>
        </w:rPr>
        <w:t>Articolo 2</w:t>
      </w:r>
    </w:p>
    <w:p w14:paraId="744F0679" w14:textId="77777777" w:rsidR="00187889" w:rsidRPr="00195EC3" w:rsidRDefault="24FDF5E8" w:rsidP="00616974">
      <w:pPr>
        <w:jc w:val="center"/>
        <w:rPr>
          <w:b/>
          <w:bCs/>
          <w:noProof/>
        </w:rPr>
      </w:pPr>
      <w:r w:rsidRPr="00195EC3">
        <w:rPr>
          <w:b/>
          <w:noProof/>
        </w:rPr>
        <w:t>Prerequisito per l'assistenza macrofinanziaria</w:t>
      </w:r>
    </w:p>
    <w:p w14:paraId="16B84453" w14:textId="20D0DAC6" w:rsidR="004D643E" w:rsidRPr="002A406A" w:rsidRDefault="00E7408C" w:rsidP="00E7408C">
      <w:pPr>
        <w:pStyle w:val="ManualNumPar1"/>
        <w:rPr>
          <w:noProof/>
        </w:rPr>
      </w:pPr>
      <w:r w:rsidRPr="00E7408C">
        <w:t>1.</w:t>
      </w:r>
      <w:r w:rsidRPr="00E7408C">
        <w:tab/>
      </w:r>
      <w:r w:rsidR="004D643E" w:rsidRPr="002A406A">
        <w:rPr>
          <w:noProof/>
        </w:rPr>
        <w:t>La concessione dell'assistenza macrofinanziaria eccezionale dell'Unione è subordinata al prerequisito del rispetto, da parte dell'Ucraina, di meccanismi democratici effettivi, compreso un sistema parlamentare multipartitico, e dello Stato di diritto, nonché alla garanzia del rispetto dei diritti umani.</w:t>
      </w:r>
    </w:p>
    <w:p w14:paraId="3621DB13" w14:textId="5CC8DCF0" w:rsidR="004D643E" w:rsidRPr="002A406A" w:rsidRDefault="00E7408C" w:rsidP="00E7408C">
      <w:pPr>
        <w:pStyle w:val="ManualNumPar1"/>
        <w:rPr>
          <w:noProof/>
        </w:rPr>
      </w:pPr>
      <w:r w:rsidRPr="00E7408C">
        <w:t>2.</w:t>
      </w:r>
      <w:r w:rsidRPr="00E7408C">
        <w:tab/>
      </w:r>
      <w:r w:rsidR="2D6D47E0" w:rsidRPr="002A406A">
        <w:rPr>
          <w:noProof/>
        </w:rPr>
        <w:t>La Commissione monitora il rispetto del prerequisito di cui al paragrafo 1 durante l'intero ciclo dell'assistenza macrofinanziaria eccezionale dell'Unione, in particolare prima dell'erogazione, tenendo conto altresì delle circostanze sul campo e delle conseguenze dell'applicazione della legge marziale.</w:t>
      </w:r>
    </w:p>
    <w:p w14:paraId="4BDE4736" w14:textId="0C7AC449" w:rsidR="004D643E" w:rsidRPr="002A406A" w:rsidRDefault="00E7408C" w:rsidP="00E7408C">
      <w:pPr>
        <w:pStyle w:val="ManualNumPar1"/>
        <w:rPr>
          <w:noProof/>
        </w:rPr>
      </w:pPr>
      <w:r w:rsidRPr="00E7408C">
        <w:lastRenderedPageBreak/>
        <w:t>3.</w:t>
      </w:r>
      <w:r w:rsidRPr="00E7408C">
        <w:tab/>
      </w:r>
      <w:r w:rsidR="657EEE71" w:rsidRPr="002A406A">
        <w:rPr>
          <w:noProof/>
        </w:rPr>
        <w:t>I paragrafi 1 e 2 del presente articolo si applicano in conformità della decisione 2010/427/UE del Consiglio</w:t>
      </w:r>
      <w:r w:rsidR="657EEE71" w:rsidRPr="00195EC3">
        <w:rPr>
          <w:rStyle w:val="FootnoteReference"/>
          <w:rFonts w:eastAsia="Times New Roman"/>
          <w:noProof/>
        </w:rPr>
        <w:footnoteReference w:id="26"/>
      </w:r>
      <w:r w:rsidR="657EEE71" w:rsidRPr="002A406A">
        <w:rPr>
          <w:noProof/>
        </w:rPr>
        <w:t>.</w:t>
      </w:r>
    </w:p>
    <w:p w14:paraId="295EBE42" w14:textId="77777777" w:rsidR="004D643E" w:rsidRPr="00195EC3" w:rsidRDefault="004D643E" w:rsidP="003C45F0">
      <w:pPr>
        <w:pStyle w:val="Titrearticle"/>
        <w:rPr>
          <w:noProof/>
        </w:rPr>
      </w:pPr>
      <w:r w:rsidRPr="00195EC3">
        <w:rPr>
          <w:noProof/>
        </w:rPr>
        <w:t>Articolo 3</w:t>
      </w:r>
    </w:p>
    <w:p w14:paraId="32B5A313" w14:textId="77777777" w:rsidR="00187889" w:rsidRPr="00195EC3" w:rsidRDefault="24FDF5E8" w:rsidP="00616974">
      <w:pPr>
        <w:jc w:val="center"/>
        <w:rPr>
          <w:b/>
          <w:bCs/>
          <w:noProof/>
        </w:rPr>
      </w:pPr>
      <w:r w:rsidRPr="00195EC3">
        <w:rPr>
          <w:b/>
          <w:noProof/>
        </w:rPr>
        <w:t>Protocollo d'intesa</w:t>
      </w:r>
    </w:p>
    <w:p w14:paraId="7D3DD31C" w14:textId="2B919E83" w:rsidR="004D643E" w:rsidRPr="002A406A" w:rsidRDefault="00E7408C" w:rsidP="00E7408C">
      <w:pPr>
        <w:pStyle w:val="ManualNumPar1"/>
        <w:rPr>
          <w:noProof/>
        </w:rPr>
      </w:pPr>
      <w:r w:rsidRPr="00E7408C">
        <w:t>1.</w:t>
      </w:r>
      <w:r w:rsidRPr="00E7408C">
        <w:tab/>
      </w:r>
      <w:r w:rsidR="004D643E" w:rsidRPr="002A406A">
        <w:rPr>
          <w:noProof/>
        </w:rPr>
        <w:t xml:space="preserve">La Commissione concorda con l'Ucraina condizioni inerenti alle politiche alle quali deve essere collegata l'assistenza macrofinanziaria eccezionale dell'Unione. </w:t>
      </w:r>
      <w:r w:rsidR="000D3989" w:rsidRPr="002A406A">
        <w:rPr>
          <w:noProof/>
        </w:rPr>
        <w:br/>
      </w:r>
      <w:r w:rsidR="004D643E" w:rsidRPr="002A406A">
        <w:rPr>
          <w:noProof/>
        </w:rPr>
        <w:t>Le condizioni inerenti alle politiche sono adottate secondo la procedura d'esame di cui all'articolo 14, paragrafo 2. Tali condizioni inerenti alle politiche sono stabilite in un protocollo d'intesa.</w:t>
      </w:r>
    </w:p>
    <w:p w14:paraId="47D8D6C0" w14:textId="16252F3B" w:rsidR="004D643E" w:rsidRPr="002A406A" w:rsidRDefault="00E7408C" w:rsidP="00E7408C">
      <w:pPr>
        <w:pStyle w:val="ManualNumPar1"/>
        <w:rPr>
          <w:noProof/>
        </w:rPr>
      </w:pPr>
      <w:r w:rsidRPr="00E7408C">
        <w:t>2.</w:t>
      </w:r>
      <w:r w:rsidRPr="00E7408C">
        <w:tab/>
      </w:r>
      <w:r w:rsidR="2D6D47E0" w:rsidRPr="002A406A">
        <w:rPr>
          <w:noProof/>
        </w:rPr>
        <w:t>Gli obblighi di rendicontazione adottati nel contesto della prima parte della presente assistenza macrofinanziaria eccezionale sono inclusi nel protocollo d'intesa e garantiscono, in particolare, l'efficienza, la trasparenza e la rendicontabilità in relazione all'utilizzo dell'assistenza macrofinanziaria eccezionale dell'Unione.</w:t>
      </w:r>
    </w:p>
    <w:p w14:paraId="64B36E12" w14:textId="072E4BF8" w:rsidR="004D643E" w:rsidRPr="002A406A" w:rsidRDefault="00E7408C" w:rsidP="00E7408C">
      <w:pPr>
        <w:pStyle w:val="ManualNumPar1"/>
        <w:rPr>
          <w:noProof/>
        </w:rPr>
      </w:pPr>
      <w:r w:rsidRPr="00E7408C">
        <w:t>3.</w:t>
      </w:r>
      <w:r w:rsidRPr="00E7408C">
        <w:tab/>
      </w:r>
      <w:r w:rsidR="70243B41" w:rsidRPr="002A406A">
        <w:rPr>
          <w:noProof/>
        </w:rPr>
        <w:t>Le condizioni finanziarie dell'assistenza macrofinanziaria eccezionale dell'Unione sono stabilite in dettaglio in un accordo di prestito da concludere tra la Commissione e l'Ucraina.</w:t>
      </w:r>
    </w:p>
    <w:p w14:paraId="52929F13" w14:textId="364EC6D3" w:rsidR="004D643E" w:rsidRPr="002A406A" w:rsidRDefault="00E7408C" w:rsidP="00E7408C">
      <w:pPr>
        <w:pStyle w:val="ManualNumPar1"/>
        <w:rPr>
          <w:noProof/>
        </w:rPr>
      </w:pPr>
      <w:r w:rsidRPr="00E7408C">
        <w:t>4.</w:t>
      </w:r>
      <w:r w:rsidRPr="00E7408C">
        <w:tab/>
      </w:r>
      <w:r w:rsidR="70243B41" w:rsidRPr="002A406A">
        <w:rPr>
          <w:noProof/>
        </w:rPr>
        <w:t>La Commissione verifica, con cadenza periodica, l'attuazione degli obblighi di rendicontazione e i progressi compiuti nel rispetto delle condizioni inerenti alle politiche concordate nel protocollo d'intesa. La Commissione informa il Parlamento europeo e il Consiglio in merito ai risultati di detta verifica.</w:t>
      </w:r>
    </w:p>
    <w:p w14:paraId="5DED8360" w14:textId="77777777" w:rsidR="004D643E" w:rsidRPr="00195EC3" w:rsidRDefault="004D643E" w:rsidP="003C45F0">
      <w:pPr>
        <w:pStyle w:val="Titrearticle"/>
        <w:rPr>
          <w:noProof/>
        </w:rPr>
      </w:pPr>
      <w:r w:rsidRPr="00195EC3">
        <w:rPr>
          <w:noProof/>
        </w:rPr>
        <w:t>Articolo 4</w:t>
      </w:r>
    </w:p>
    <w:p w14:paraId="7BD5F428" w14:textId="77777777" w:rsidR="00187889" w:rsidRPr="00195EC3" w:rsidRDefault="29339EBF" w:rsidP="00616974">
      <w:pPr>
        <w:jc w:val="center"/>
        <w:rPr>
          <w:noProof/>
        </w:rPr>
      </w:pPr>
      <w:r w:rsidRPr="00195EC3">
        <w:rPr>
          <w:b/>
          <w:noProof/>
        </w:rPr>
        <w:t>Erogazione dell'assistenza macrofinanziaria eccezionale</w:t>
      </w:r>
    </w:p>
    <w:p w14:paraId="5A048D27" w14:textId="5605C476" w:rsidR="004D643E" w:rsidRPr="002A406A" w:rsidRDefault="00E7408C" w:rsidP="00E7408C">
      <w:pPr>
        <w:pStyle w:val="ManualNumPar1"/>
        <w:rPr>
          <w:noProof/>
        </w:rPr>
      </w:pPr>
      <w:r w:rsidRPr="00E7408C">
        <w:t>1.</w:t>
      </w:r>
      <w:r w:rsidRPr="00E7408C">
        <w:tab/>
      </w:r>
      <w:r w:rsidR="004D643E" w:rsidRPr="002A406A">
        <w:rPr>
          <w:noProof/>
        </w:rPr>
        <w:t>Fatti salvi i requisiti di cui al paragrafo</w:t>
      </w:r>
      <w:r w:rsidR="000D3989" w:rsidRPr="002A406A">
        <w:rPr>
          <w:noProof/>
        </w:rPr>
        <w:t> </w:t>
      </w:r>
      <w:r w:rsidR="004D643E" w:rsidRPr="002A406A">
        <w:rPr>
          <w:noProof/>
        </w:rPr>
        <w:t>3, la Commissione mette a disposizione l'assistenza macrofinanziaria eccezionale dell'Unione in rate, ciascuna delle quali consistente in un prestito. Il calendario per l'erogazione di ciascuna rata è stabilito dalla Commissione. Una rata può essere erogata in una o più tranche.</w:t>
      </w:r>
    </w:p>
    <w:p w14:paraId="7BA7FD49" w14:textId="197C70F2" w:rsidR="00187889" w:rsidRPr="002A406A" w:rsidRDefault="00E7408C" w:rsidP="00E7408C">
      <w:pPr>
        <w:pStyle w:val="ManualNumPar1"/>
        <w:rPr>
          <w:noProof/>
        </w:rPr>
      </w:pPr>
      <w:r w:rsidRPr="00E7408C">
        <w:t>2.</w:t>
      </w:r>
      <w:r w:rsidRPr="00E7408C">
        <w:tab/>
      </w:r>
      <w:r w:rsidR="24FDF5E8" w:rsidRPr="002A406A">
        <w:rPr>
          <w:noProof/>
        </w:rPr>
        <w:t>L'erogazione dell'assistenza macrofinanziaria eccezionale dell'Unione è gestita dalla Commissione in linea con gli accordi o le intese raggiunti tra la Commissione e l'Ucraina nel protocollo d'intesa di cui all'articolo</w:t>
      </w:r>
      <w:r w:rsidR="000D3989" w:rsidRPr="002A406A">
        <w:rPr>
          <w:noProof/>
        </w:rPr>
        <w:t> </w:t>
      </w:r>
      <w:r w:rsidR="24FDF5E8" w:rsidRPr="002A406A">
        <w:rPr>
          <w:noProof/>
        </w:rPr>
        <w:t>3, paragrafo 1.</w:t>
      </w:r>
    </w:p>
    <w:p w14:paraId="76ACDDD7" w14:textId="5683CDD6" w:rsidR="004D643E" w:rsidRPr="002A406A" w:rsidRDefault="00E7408C" w:rsidP="00E7408C">
      <w:pPr>
        <w:pStyle w:val="ManualNumPar1"/>
        <w:rPr>
          <w:noProof/>
        </w:rPr>
      </w:pPr>
      <w:r w:rsidRPr="00E7408C">
        <w:t>3.</w:t>
      </w:r>
      <w:r w:rsidRPr="00E7408C">
        <w:tab/>
      </w:r>
      <w:r w:rsidR="2D6D47E0" w:rsidRPr="002A406A">
        <w:rPr>
          <w:noProof/>
        </w:rPr>
        <w:t xml:space="preserve">La Commissione decide di versare le rate a seguito della valutazione dei requisiti seguenti: </w:t>
      </w:r>
    </w:p>
    <w:p w14:paraId="60C778EA" w14:textId="5C7D85D3" w:rsidR="00DA6B52" w:rsidRPr="002A406A" w:rsidRDefault="00E7408C" w:rsidP="00E7408C">
      <w:pPr>
        <w:pStyle w:val="Point1"/>
        <w:rPr>
          <w:noProof/>
        </w:rPr>
      </w:pPr>
      <w:r w:rsidRPr="00E7408C">
        <w:t>(a)</w:t>
      </w:r>
      <w:r w:rsidRPr="00E7408C">
        <w:tab/>
      </w:r>
      <w:r w:rsidR="00DA6B52" w:rsidRPr="002A406A">
        <w:rPr>
          <w:noProof/>
        </w:rPr>
        <w:t>il rispetto del prerequisito di cui all'articolo 2, paragrafo</w:t>
      </w:r>
      <w:r w:rsidR="000D3989" w:rsidRPr="002A406A">
        <w:rPr>
          <w:noProof/>
        </w:rPr>
        <w:t> </w:t>
      </w:r>
      <w:r w:rsidR="00DA6B52" w:rsidRPr="002A406A">
        <w:rPr>
          <w:noProof/>
        </w:rPr>
        <w:t xml:space="preserve">1; </w:t>
      </w:r>
    </w:p>
    <w:p w14:paraId="05F7FE4B" w14:textId="32255012" w:rsidR="00604E2B" w:rsidRPr="002A406A" w:rsidRDefault="00E7408C" w:rsidP="00E7408C">
      <w:pPr>
        <w:pStyle w:val="Point1"/>
        <w:rPr>
          <w:noProof/>
        </w:rPr>
      </w:pPr>
      <w:r w:rsidRPr="00E7408C">
        <w:t>(b)</w:t>
      </w:r>
      <w:r w:rsidRPr="00E7408C">
        <w:tab/>
      </w:r>
      <w:r w:rsidR="00604E2B" w:rsidRPr="002A406A">
        <w:rPr>
          <w:noProof/>
        </w:rPr>
        <w:t>l'attuazione soddisfacente degli obblighi di rendicontazione concordati nel protocollo d'intesa;</w:t>
      </w:r>
    </w:p>
    <w:p w14:paraId="4D2460A1" w14:textId="63E0623B" w:rsidR="00604E2B" w:rsidRPr="002A406A" w:rsidRDefault="00E7408C" w:rsidP="00E7408C">
      <w:pPr>
        <w:pStyle w:val="Point1"/>
        <w:rPr>
          <w:noProof/>
        </w:rPr>
      </w:pPr>
      <w:r w:rsidRPr="00E7408C">
        <w:t>(c)</w:t>
      </w:r>
      <w:r w:rsidRPr="00E7408C">
        <w:tab/>
      </w:r>
      <w:r w:rsidR="00604E2B" w:rsidRPr="002A406A">
        <w:rPr>
          <w:noProof/>
        </w:rPr>
        <w:t>per la seconda rata e per le rate successive, progressi soddisfacenti verso l'attuazione delle condizioni inerenti alle politiche concordate nel protocollo d'intesa.</w:t>
      </w:r>
    </w:p>
    <w:p w14:paraId="6315F304" w14:textId="205F1972" w:rsidR="003E4A69" w:rsidRPr="002A406A" w:rsidRDefault="003E4A69" w:rsidP="009405C2">
      <w:pPr>
        <w:pStyle w:val="Text1"/>
        <w:rPr>
          <w:noProof/>
        </w:rPr>
      </w:pPr>
      <w:r w:rsidRPr="002A406A">
        <w:rPr>
          <w:noProof/>
        </w:rPr>
        <w:lastRenderedPageBreak/>
        <w:t>Prima di erogare l'importo massimo dell'assistenza macrofinanziaria, la Commissione verifica il rispetto di tutte le condizioni inerenti alle politiche concordate nel protocollo d'intesa.</w:t>
      </w:r>
    </w:p>
    <w:p w14:paraId="5C18CD53" w14:textId="5E6BAD33" w:rsidR="004D643E" w:rsidRPr="002A406A" w:rsidRDefault="00E7408C" w:rsidP="00E7408C">
      <w:pPr>
        <w:pStyle w:val="ManualNumPar1"/>
        <w:rPr>
          <w:rFonts w:eastAsiaTheme="minorEastAsia"/>
          <w:noProof/>
        </w:rPr>
      </w:pPr>
      <w:r w:rsidRPr="00E7408C">
        <w:t>4.</w:t>
      </w:r>
      <w:r w:rsidRPr="00E7408C">
        <w:tab/>
      </w:r>
      <w:r w:rsidR="2D6D47E0" w:rsidRPr="002A406A">
        <w:rPr>
          <w:noProof/>
        </w:rPr>
        <w:t>Qualora i requisiti di cui al paragrafo 3 non siano soddisfatti, la Commissione sospende temporaneamente o annulla l'erogazione dell'assistenza macrofinanziaria eccezionale dell'Unione. In tali casi comunica al Parlamento europeo e al Consiglio i motivi della sospensione o dell'annullamento.</w:t>
      </w:r>
    </w:p>
    <w:p w14:paraId="3E89C012" w14:textId="51AFC028" w:rsidR="004D643E" w:rsidRPr="002A406A" w:rsidRDefault="00E7408C" w:rsidP="00E7408C">
      <w:pPr>
        <w:pStyle w:val="ManualNumPar1"/>
        <w:rPr>
          <w:noProof/>
        </w:rPr>
      </w:pPr>
      <w:r w:rsidRPr="00E7408C">
        <w:t>5.</w:t>
      </w:r>
      <w:r w:rsidRPr="00E7408C">
        <w:tab/>
      </w:r>
      <w:r w:rsidR="2D6D47E0" w:rsidRPr="002A406A">
        <w:rPr>
          <w:noProof/>
        </w:rPr>
        <w:t>In linea di principio l'assistenza macrofinanziaria eccezionale dell'Unione è erogata alla Banca nazionale dell'Ucraina. Alle condizioni che saranno concordate nel protocollo d'intesa, fra cui una conferma del fabbisogno residuo di finanziamento di bilancio, i fondi dell'Unione possono essere erogati al ministero delle Finanze dell'Ucraina quale beneficiario finale.</w:t>
      </w:r>
    </w:p>
    <w:p w14:paraId="459A40FD" w14:textId="77777777" w:rsidR="00DE6CD2" w:rsidRPr="002A406A" w:rsidRDefault="00DE6CD2" w:rsidP="00DE6CD2">
      <w:pPr>
        <w:pStyle w:val="Titrearticle"/>
        <w:rPr>
          <w:noProof/>
        </w:rPr>
      </w:pPr>
      <w:r w:rsidRPr="002A406A">
        <w:rPr>
          <w:noProof/>
        </w:rPr>
        <w:t>Articolo 5</w:t>
      </w:r>
    </w:p>
    <w:p w14:paraId="49BC0A91" w14:textId="77777777" w:rsidR="00DE6CD2" w:rsidRPr="002A406A" w:rsidRDefault="53EF17ED" w:rsidP="00D10749">
      <w:pPr>
        <w:jc w:val="center"/>
        <w:rPr>
          <w:noProof/>
        </w:rPr>
      </w:pPr>
      <w:r w:rsidRPr="002A406A">
        <w:rPr>
          <w:b/>
          <w:noProof/>
        </w:rPr>
        <w:t>Operazioni di assunzione e di erogazione di prestiti</w:t>
      </w:r>
      <w:r w:rsidRPr="002A406A">
        <w:rPr>
          <w:noProof/>
        </w:rPr>
        <w:t xml:space="preserve"> </w:t>
      </w:r>
    </w:p>
    <w:p w14:paraId="4DEE42A7" w14:textId="435291CA" w:rsidR="00DE6CD2" w:rsidRPr="002A406A" w:rsidRDefault="00E7408C" w:rsidP="00E7408C">
      <w:pPr>
        <w:pStyle w:val="ManualNumPar1"/>
        <w:rPr>
          <w:noProof/>
        </w:rPr>
      </w:pPr>
      <w:r w:rsidRPr="00E7408C">
        <w:t>1.</w:t>
      </w:r>
      <w:r w:rsidRPr="00E7408C">
        <w:tab/>
      </w:r>
      <w:r w:rsidR="00DE6CD2" w:rsidRPr="002A406A">
        <w:rPr>
          <w:noProof/>
        </w:rPr>
        <w:t>Le operazioni di assunzione e di erogazione di prestiti sono eseguite in conformità dell'articolo</w:t>
      </w:r>
      <w:r w:rsidR="000D3989" w:rsidRPr="002A406A">
        <w:rPr>
          <w:noProof/>
        </w:rPr>
        <w:t> </w:t>
      </w:r>
      <w:r w:rsidR="00DE6CD2" w:rsidRPr="002A406A">
        <w:rPr>
          <w:noProof/>
        </w:rPr>
        <w:t xml:space="preserve">220 del regolamento finanziario. </w:t>
      </w:r>
    </w:p>
    <w:p w14:paraId="487FE2AD" w14:textId="0B93E205" w:rsidR="00DE6CD2" w:rsidRPr="002A406A" w:rsidRDefault="00E7408C" w:rsidP="00E7408C">
      <w:pPr>
        <w:pStyle w:val="ManualNumPar1"/>
        <w:rPr>
          <w:noProof/>
        </w:rPr>
      </w:pPr>
      <w:r w:rsidRPr="00E7408C">
        <w:t>2.</w:t>
      </w:r>
      <w:r w:rsidRPr="00E7408C">
        <w:tab/>
      </w:r>
      <w:r w:rsidR="00DE6CD2" w:rsidRPr="002A406A">
        <w:rPr>
          <w:noProof/>
        </w:rPr>
        <w:t>Se necessario, in deroga all'articolo</w:t>
      </w:r>
      <w:r w:rsidR="000D3989" w:rsidRPr="002A406A">
        <w:rPr>
          <w:noProof/>
        </w:rPr>
        <w:t> </w:t>
      </w:r>
      <w:r w:rsidR="00DE6CD2" w:rsidRPr="002A406A">
        <w:rPr>
          <w:noProof/>
        </w:rPr>
        <w:t>220, paragrafo 2, del regolamento finanziario, la Commissione può rinnovare i relativi prestiti contratti per conto dell'Unione.</w:t>
      </w:r>
    </w:p>
    <w:p w14:paraId="6D27D0CD" w14:textId="77777777" w:rsidR="004D643E" w:rsidRPr="00195EC3" w:rsidRDefault="004D643E" w:rsidP="00DA6B52">
      <w:pPr>
        <w:pStyle w:val="Titrearticle"/>
        <w:rPr>
          <w:noProof/>
        </w:rPr>
      </w:pPr>
      <w:r w:rsidRPr="00195EC3">
        <w:rPr>
          <w:noProof/>
        </w:rPr>
        <w:t>Articolo 6</w:t>
      </w:r>
    </w:p>
    <w:p w14:paraId="2B822D07" w14:textId="77777777" w:rsidR="007B7AFC" w:rsidRPr="00195EC3" w:rsidRDefault="53EF17ED" w:rsidP="00D10749">
      <w:pPr>
        <w:jc w:val="center"/>
        <w:rPr>
          <w:b/>
          <w:bCs/>
          <w:noProof/>
        </w:rPr>
      </w:pPr>
      <w:r w:rsidRPr="00195EC3">
        <w:rPr>
          <w:b/>
          <w:noProof/>
        </w:rPr>
        <w:t>Contributo in conto interessi</w:t>
      </w:r>
    </w:p>
    <w:p w14:paraId="3C063664" w14:textId="7A32D7F6" w:rsidR="004D643E" w:rsidRPr="002A406A" w:rsidRDefault="00E7408C" w:rsidP="00E7408C">
      <w:pPr>
        <w:pStyle w:val="ManualNumPar1"/>
        <w:rPr>
          <w:noProof/>
        </w:rPr>
      </w:pPr>
      <w:r w:rsidRPr="00E7408C">
        <w:t>1.</w:t>
      </w:r>
      <w:r w:rsidRPr="00E7408C">
        <w:tab/>
      </w:r>
      <w:r w:rsidR="032CBFED" w:rsidRPr="002A406A">
        <w:rPr>
          <w:noProof/>
        </w:rPr>
        <w:t>Per i prestiti di cui alla presente decisione, in deroga all'articolo</w:t>
      </w:r>
      <w:r w:rsidR="000D3989" w:rsidRPr="002A406A">
        <w:rPr>
          <w:noProof/>
        </w:rPr>
        <w:t> </w:t>
      </w:r>
      <w:r w:rsidR="032CBFED" w:rsidRPr="002A406A">
        <w:rPr>
          <w:noProof/>
        </w:rPr>
        <w:t>220, paragrafo</w:t>
      </w:r>
      <w:r w:rsidR="000D3989" w:rsidRPr="002A406A">
        <w:rPr>
          <w:noProof/>
        </w:rPr>
        <w:t> </w:t>
      </w:r>
      <w:r w:rsidR="032CBFED" w:rsidRPr="002A406A">
        <w:rPr>
          <w:noProof/>
        </w:rPr>
        <w:t>5, lettera e), del regolamento finanziario, l'Unione può farsi carico degli interessi concedendo un contributo in conto interessi e coprendo le spese amministrative connesse all'assunzione e all'erogazione di prestiti, a eccezione dei costi relativi al rimborso anticipato del prestito.</w:t>
      </w:r>
    </w:p>
    <w:p w14:paraId="556173CB" w14:textId="36692164" w:rsidR="009044EA" w:rsidRPr="002A406A" w:rsidRDefault="00E7408C" w:rsidP="00E7408C">
      <w:pPr>
        <w:pStyle w:val="ManualNumPar1"/>
        <w:rPr>
          <w:noProof/>
        </w:rPr>
      </w:pPr>
      <w:r w:rsidRPr="00E7408C">
        <w:t>2.</w:t>
      </w:r>
      <w:r w:rsidRPr="00E7408C">
        <w:tab/>
      </w:r>
      <w:r w:rsidR="2D6D47E0" w:rsidRPr="002A406A">
        <w:rPr>
          <w:noProof/>
        </w:rPr>
        <w:t>L'Ucraina può chiedere il contributo in conto interessi e la copertura delle spese amministrative da parte dell'Unione entro la fine di marzo di ogni anno.</w:t>
      </w:r>
    </w:p>
    <w:p w14:paraId="16A407F1" w14:textId="365A0471" w:rsidR="00DE6CD2" w:rsidRPr="002A406A" w:rsidRDefault="00E7408C" w:rsidP="00E7408C">
      <w:pPr>
        <w:pStyle w:val="ManualNumPar1"/>
        <w:rPr>
          <w:noProof/>
        </w:rPr>
      </w:pPr>
      <w:r w:rsidRPr="00E7408C">
        <w:t>3.</w:t>
      </w:r>
      <w:r w:rsidRPr="00E7408C">
        <w:tab/>
      </w:r>
      <w:r w:rsidR="71A42874" w:rsidRPr="002A406A">
        <w:rPr>
          <w:noProof/>
        </w:rPr>
        <w:t>La dotazione di cui all'articolo</w:t>
      </w:r>
      <w:r w:rsidR="000D3989" w:rsidRPr="002A406A">
        <w:rPr>
          <w:noProof/>
        </w:rPr>
        <w:t> </w:t>
      </w:r>
      <w:r w:rsidR="71A42874" w:rsidRPr="002A406A">
        <w:rPr>
          <w:noProof/>
        </w:rPr>
        <w:t>6, paragrafo 2, lettera a), primo trattino, del regolamento (UE) 2021/947 è utilizzata sotto forma di contributo in conto interessi per coprire i costi dei pagamenti di interessi relativi all'assistenza macrofinanziaria durante il periodo 2021-2027.</w:t>
      </w:r>
    </w:p>
    <w:p w14:paraId="2DD1702F" w14:textId="77777777" w:rsidR="00D518F3" w:rsidRPr="002A406A" w:rsidRDefault="00D518F3" w:rsidP="00D518F3">
      <w:pPr>
        <w:pStyle w:val="Titrearticle"/>
        <w:rPr>
          <w:noProof/>
        </w:rPr>
      </w:pPr>
      <w:r w:rsidRPr="002A406A">
        <w:rPr>
          <w:noProof/>
        </w:rPr>
        <w:t>Articolo 7</w:t>
      </w:r>
    </w:p>
    <w:p w14:paraId="56C9876D" w14:textId="77777777" w:rsidR="007B7AFC" w:rsidRPr="002A406A" w:rsidRDefault="007B7AFC" w:rsidP="007B7AFC">
      <w:pPr>
        <w:pStyle w:val="Text1"/>
        <w:jc w:val="center"/>
        <w:rPr>
          <w:b/>
          <w:noProof/>
        </w:rPr>
      </w:pPr>
      <w:r w:rsidRPr="002A406A">
        <w:rPr>
          <w:b/>
          <w:noProof/>
        </w:rPr>
        <w:t>Informazioni al Parlamento europeo e al Consiglio</w:t>
      </w:r>
    </w:p>
    <w:p w14:paraId="0C5D3DF6" w14:textId="2BB681D9" w:rsidR="00187889" w:rsidRPr="002A406A" w:rsidRDefault="004D643E" w:rsidP="00D518F3">
      <w:pPr>
        <w:rPr>
          <w:noProof/>
        </w:rPr>
      </w:pPr>
      <w:r w:rsidRPr="002A406A">
        <w:rPr>
          <w:noProof/>
        </w:rPr>
        <w:t>La Commissione informa il Parlamento europeo e il Consiglio in merito all'evoluzione dell'assistenza macrofinanziaria eccezionale dell'Unione, compresi i relativi esborsi e gli sviluppi delle operazioni di cui all'articolo</w:t>
      </w:r>
      <w:r w:rsidR="000D3989" w:rsidRPr="002A406A">
        <w:rPr>
          <w:noProof/>
        </w:rPr>
        <w:t> </w:t>
      </w:r>
      <w:r w:rsidRPr="002A406A">
        <w:rPr>
          <w:noProof/>
        </w:rPr>
        <w:t>5, paragrafi 2 e 3, e fornisce a tempo debito a tali istituzioni i documenti pertinenti.</w:t>
      </w:r>
    </w:p>
    <w:p w14:paraId="701EC647" w14:textId="77777777" w:rsidR="004D643E" w:rsidRPr="002A406A" w:rsidRDefault="176DECB7" w:rsidP="00DA6B52">
      <w:pPr>
        <w:pStyle w:val="Titrearticle"/>
        <w:rPr>
          <w:noProof/>
        </w:rPr>
      </w:pPr>
      <w:r w:rsidRPr="002A406A">
        <w:rPr>
          <w:noProof/>
        </w:rPr>
        <w:t>Articolo 8</w:t>
      </w:r>
    </w:p>
    <w:p w14:paraId="67A98FAC" w14:textId="1D68D9F8" w:rsidR="007B7AFC" w:rsidRPr="002A406A" w:rsidRDefault="007B7AFC" w:rsidP="007B7AFC">
      <w:pPr>
        <w:shd w:val="clear" w:color="auto" w:fill="FFFFFF" w:themeFill="background1"/>
        <w:spacing w:after="0"/>
        <w:jc w:val="center"/>
        <w:rPr>
          <w:rFonts w:eastAsia="Times New Roman"/>
          <w:b/>
          <w:noProof/>
        </w:rPr>
      </w:pPr>
      <w:r w:rsidRPr="002A406A">
        <w:rPr>
          <w:b/>
          <w:noProof/>
        </w:rPr>
        <w:t>Valutazione dell'attuazione dell'assistenza macrofinanziaria eccezionale</w:t>
      </w:r>
    </w:p>
    <w:p w14:paraId="397B9772" w14:textId="6279CA8A" w:rsidR="007B7AFC" w:rsidRPr="002A406A" w:rsidRDefault="00604E2B" w:rsidP="00604E2B">
      <w:pPr>
        <w:rPr>
          <w:noProof/>
        </w:rPr>
      </w:pPr>
      <w:r w:rsidRPr="002A406A">
        <w:rPr>
          <w:noProof/>
        </w:rPr>
        <w:lastRenderedPageBreak/>
        <w:t>Durante l'attuazione dell'assistenza macrofinanziaria dell'Unione la Commissione riesamina, per mezzo di una valutazione operativa, la solidità dei meccanismi finanziari, delle procedure amministrative e dei meccanismi di controllo interni ed esterni dell'Ucraina che sono pertinenti ai fini dell'assistenza. Tale valutazione operativa può essere condotta congiuntamente a quella prevista dalla decisione (UE) 2022/1201.</w:t>
      </w:r>
    </w:p>
    <w:p w14:paraId="556DC442" w14:textId="77777777" w:rsidR="00A376B5" w:rsidRPr="002A406A" w:rsidRDefault="0C52BBBD" w:rsidP="00DA6B52">
      <w:pPr>
        <w:pStyle w:val="ManualHeading2"/>
        <w:jc w:val="center"/>
        <w:rPr>
          <w:noProof/>
        </w:rPr>
      </w:pPr>
      <w:r w:rsidRPr="002A406A">
        <w:rPr>
          <w:noProof/>
        </w:rPr>
        <w:t xml:space="preserve">Capo II </w:t>
      </w:r>
      <w:r w:rsidRPr="002A406A">
        <w:rPr>
          <w:noProof/>
        </w:rPr>
        <w:br/>
        <w:t xml:space="preserve">Rafforzamento del fondo comune di copertura </w:t>
      </w:r>
    </w:p>
    <w:p w14:paraId="6F0EFBA1" w14:textId="77777777" w:rsidR="00A376B5" w:rsidRPr="002A406A" w:rsidRDefault="00A376B5" w:rsidP="00DA6B52">
      <w:pPr>
        <w:pStyle w:val="ManualHeading2"/>
        <w:jc w:val="center"/>
        <w:rPr>
          <w:noProof/>
        </w:rPr>
      </w:pPr>
      <w:r w:rsidRPr="002A406A">
        <w:rPr>
          <w:noProof/>
        </w:rPr>
        <w:t>Sezione 1</w:t>
      </w:r>
    </w:p>
    <w:p w14:paraId="2CD83FA8" w14:textId="77777777" w:rsidR="004D643E" w:rsidRPr="002A406A" w:rsidRDefault="004D643E" w:rsidP="00DA6B52">
      <w:pPr>
        <w:pStyle w:val="ManualHeading2"/>
        <w:jc w:val="center"/>
        <w:rPr>
          <w:noProof/>
        </w:rPr>
      </w:pPr>
      <w:r w:rsidRPr="002A406A">
        <w:rPr>
          <w:noProof/>
        </w:rPr>
        <w:t>Garanzie degli Stati membri per l'assistenza macrofinanziaria eccezionale dell'Unione ai sensi della presente decisione e della decisione (UE) 2021/1201</w:t>
      </w:r>
    </w:p>
    <w:p w14:paraId="7F0EE6B8" w14:textId="77777777" w:rsidR="004D643E" w:rsidRPr="002A406A" w:rsidRDefault="004D643E" w:rsidP="00DA6B52">
      <w:pPr>
        <w:pStyle w:val="Titrearticle"/>
        <w:rPr>
          <w:noProof/>
        </w:rPr>
      </w:pPr>
      <w:r w:rsidRPr="002A406A">
        <w:rPr>
          <w:noProof/>
        </w:rPr>
        <w:t>Articolo 9</w:t>
      </w:r>
    </w:p>
    <w:p w14:paraId="79B6271D" w14:textId="77777777" w:rsidR="004D643E" w:rsidRPr="002A406A" w:rsidRDefault="0C52BBBD" w:rsidP="26DEF6C3">
      <w:pPr>
        <w:jc w:val="center"/>
        <w:rPr>
          <w:b/>
          <w:bCs/>
          <w:noProof/>
        </w:rPr>
      </w:pPr>
      <w:r w:rsidRPr="002A406A">
        <w:rPr>
          <w:b/>
          <w:noProof/>
        </w:rPr>
        <w:t>Contributi in forma di garanzia da parte degli Stati membri</w:t>
      </w:r>
    </w:p>
    <w:p w14:paraId="5C07708E" w14:textId="2DB5E68A" w:rsidR="004D643E" w:rsidRPr="002A406A" w:rsidRDefault="00E7408C" w:rsidP="00E7408C">
      <w:pPr>
        <w:pStyle w:val="ManualNumPar1"/>
        <w:rPr>
          <w:noProof/>
          <w:color w:val="000000" w:themeColor="text1"/>
        </w:rPr>
      </w:pPr>
      <w:r w:rsidRPr="00E7408C">
        <w:t>1.</w:t>
      </w:r>
      <w:r w:rsidRPr="00E7408C">
        <w:tab/>
      </w:r>
      <w:r w:rsidR="0C52BBBD" w:rsidRPr="002A406A">
        <w:rPr>
          <w:noProof/>
        </w:rPr>
        <w:t>Con riguardo all'assistenza macrofinanziaria eccezionale dell'Unione a favore dell'Ucraina di cui all'articolo 1 della presente decisione e di cui alla decisione (UE) 2022/1201, gli Stati membri possono integrare la copertura per l'assistenza macrofinanziaria detenuta nel fondo comune di copertura fornendo garanzie fino all'importo totale di 3 660 000 000 EUR ("AMF coperta").</w:t>
      </w:r>
    </w:p>
    <w:p w14:paraId="2475DC84" w14:textId="5298099E" w:rsidR="004D643E" w:rsidRPr="002A406A" w:rsidRDefault="00E7408C" w:rsidP="00E7408C">
      <w:pPr>
        <w:pStyle w:val="ManualNumPar1"/>
        <w:rPr>
          <w:noProof/>
          <w:color w:val="000000" w:themeColor="text1"/>
        </w:rPr>
      </w:pPr>
      <w:r w:rsidRPr="00E7408C">
        <w:t>2.</w:t>
      </w:r>
      <w:r w:rsidRPr="00E7408C">
        <w:tab/>
      </w:r>
      <w:r w:rsidR="378F764A" w:rsidRPr="002A406A">
        <w:rPr>
          <w:noProof/>
        </w:rPr>
        <w:t>I contributi degli Stati membri sono forniti sotto forma di garanzie irrevocabili, incondizionate e su richiesta mediante un accordo di garanzia concluso con la Commissione, in conformità dell'articolo 10.</w:t>
      </w:r>
      <w:r w:rsidR="378F764A" w:rsidRPr="002A406A">
        <w:rPr>
          <w:noProof/>
          <w:color w:val="000000" w:themeColor="text1"/>
        </w:rPr>
        <w:t xml:space="preserve"> </w:t>
      </w:r>
    </w:p>
    <w:p w14:paraId="58998121" w14:textId="576B8346" w:rsidR="004D643E" w:rsidRPr="002A406A" w:rsidRDefault="00E7408C" w:rsidP="00E7408C">
      <w:pPr>
        <w:pStyle w:val="ManualNumPar1"/>
        <w:rPr>
          <w:noProof/>
        </w:rPr>
      </w:pPr>
      <w:r w:rsidRPr="00E7408C">
        <w:t>3.</w:t>
      </w:r>
      <w:r w:rsidRPr="00E7408C">
        <w:tab/>
      </w:r>
      <w:r w:rsidR="2D6D47E0" w:rsidRPr="002A406A">
        <w:rPr>
          <w:noProof/>
        </w:rPr>
        <w:t>La quota relativa del contributo dello Stato membro interessato all'importo di cui al paragrafo 1 corrisponde alla quota relativa di tale Stato membro sul reddito nazionale lordo totale dell'Unione, quale risulta dalla parte A ("Finanziamento del bilancio annuale dell'Unione - Introduzione"), tabella 4, colonna 1), della rubrica Stato generale delle entrate del bilancio 2022 iscritta nel bilancio generale dell'Unione per l'esercizio 2022, adottato il 24</w:t>
      </w:r>
      <w:r w:rsidR="00011D3E" w:rsidRPr="002A406A">
        <w:rPr>
          <w:noProof/>
        </w:rPr>
        <w:t> </w:t>
      </w:r>
      <w:r w:rsidR="2D6D47E0" w:rsidRPr="002A406A">
        <w:rPr>
          <w:noProof/>
        </w:rPr>
        <w:t>novembre 2021.</w:t>
      </w:r>
    </w:p>
    <w:p w14:paraId="13FBAC47" w14:textId="021414B8" w:rsidR="004D643E" w:rsidRPr="002A406A" w:rsidRDefault="00E7408C" w:rsidP="00E7408C">
      <w:pPr>
        <w:pStyle w:val="ManualNumPar1"/>
        <w:rPr>
          <w:noProof/>
        </w:rPr>
      </w:pPr>
      <w:r w:rsidRPr="00E7408C">
        <w:t>4.</w:t>
      </w:r>
      <w:r w:rsidRPr="00E7408C">
        <w:tab/>
      </w:r>
      <w:r w:rsidR="2D6D47E0" w:rsidRPr="002A406A">
        <w:rPr>
          <w:noProof/>
        </w:rPr>
        <w:t>Le garanzie prendono effetto per ciascuno Stato membro a decorrere dalla data di entrata in vigore dell'accordo di garanzia tra la Commissione e tale Stato membro di cui all'articolo</w:t>
      </w:r>
      <w:r w:rsidR="00011D3E" w:rsidRPr="002A406A">
        <w:rPr>
          <w:noProof/>
        </w:rPr>
        <w:t> </w:t>
      </w:r>
      <w:r w:rsidR="2D6D47E0" w:rsidRPr="002A406A">
        <w:rPr>
          <w:noProof/>
        </w:rPr>
        <w:t xml:space="preserve">10. </w:t>
      </w:r>
    </w:p>
    <w:p w14:paraId="390CD8BD" w14:textId="77777777" w:rsidR="004D643E" w:rsidRPr="002A406A" w:rsidRDefault="004D643E" w:rsidP="009405C2">
      <w:pPr>
        <w:pStyle w:val="Titrearticle"/>
        <w:rPr>
          <w:noProof/>
        </w:rPr>
      </w:pPr>
      <w:r w:rsidRPr="002A406A">
        <w:rPr>
          <w:noProof/>
        </w:rPr>
        <w:t>Articolo 10</w:t>
      </w:r>
    </w:p>
    <w:p w14:paraId="3CE3A64C" w14:textId="77777777" w:rsidR="000556FA" w:rsidRPr="002A406A" w:rsidRDefault="000556FA" w:rsidP="000556FA">
      <w:pPr>
        <w:jc w:val="center"/>
        <w:rPr>
          <w:b/>
          <w:noProof/>
        </w:rPr>
      </w:pPr>
      <w:r w:rsidRPr="002A406A">
        <w:rPr>
          <w:b/>
          <w:noProof/>
        </w:rPr>
        <w:t>Accordi di garanzia</w:t>
      </w:r>
    </w:p>
    <w:p w14:paraId="046F9112" w14:textId="4C158571" w:rsidR="000556FA" w:rsidRPr="002A406A" w:rsidRDefault="000556FA" w:rsidP="009405C2">
      <w:pPr>
        <w:rPr>
          <w:noProof/>
        </w:rPr>
      </w:pPr>
      <w:r w:rsidRPr="002A406A">
        <w:rPr>
          <w:noProof/>
        </w:rPr>
        <w:t xml:space="preserve">La Commissione conclude un accordo di garanzia con ciascuno Stato membro che fornisce una garanzia a norma dell'articolo 9. L'accordo stabilisce le norme che disciplinano la garanzia, che sono le stesse per tutti gli Stati membri e comprendono in particolare: </w:t>
      </w:r>
    </w:p>
    <w:p w14:paraId="471D22C0" w14:textId="4613D661" w:rsidR="000556FA" w:rsidRPr="002A406A" w:rsidRDefault="00E7408C" w:rsidP="00E7408C">
      <w:pPr>
        <w:pStyle w:val="Point0"/>
        <w:rPr>
          <w:noProof/>
        </w:rPr>
      </w:pPr>
      <w:r w:rsidRPr="00E7408C">
        <w:t>(b)</w:t>
      </w:r>
      <w:r w:rsidRPr="00E7408C">
        <w:tab/>
      </w:r>
      <w:r w:rsidR="77594846" w:rsidRPr="002A406A">
        <w:rPr>
          <w:noProof/>
        </w:rPr>
        <w:t xml:space="preserve">disposizioni che stabiliscono l'obbligo per gli Stati membri di onorare le attivazioni della garanzia effettuate dalla Commissione in relazione all'AMF coperta, una volta che gli importi complessivi della dotazione iniziale accantonata nel fondo comune di copertura a fronte della passività finanziaria derivante dall'AMF coperta siano stati prelevati o stiano per esserlo; </w:t>
      </w:r>
    </w:p>
    <w:p w14:paraId="43CAF6F7" w14:textId="37D01DCB" w:rsidR="000556FA" w:rsidRPr="002A406A" w:rsidRDefault="00E7408C" w:rsidP="00E7408C">
      <w:pPr>
        <w:pStyle w:val="Point0"/>
        <w:rPr>
          <w:noProof/>
        </w:rPr>
      </w:pPr>
      <w:r w:rsidRPr="00E7408C">
        <w:t>(c)</w:t>
      </w:r>
      <w:r w:rsidRPr="00E7408C">
        <w:tab/>
      </w:r>
      <w:r w:rsidR="568C9416" w:rsidRPr="002A406A">
        <w:rPr>
          <w:noProof/>
        </w:rPr>
        <w:t xml:space="preserve">disposizioni atte ad assicurare che le attivazioni della garanzia siano effettuate proporzionalmente e si basino sul criterio di contribuzione di cui all'articolo 9, paragrafo 3; </w:t>
      </w:r>
    </w:p>
    <w:p w14:paraId="641FE0AA" w14:textId="2FE3235B" w:rsidR="00F3143D" w:rsidRPr="002A406A" w:rsidRDefault="00E7408C" w:rsidP="00E7408C">
      <w:pPr>
        <w:pStyle w:val="Point0"/>
        <w:rPr>
          <w:rFonts w:eastAsiaTheme="minorEastAsia"/>
          <w:noProof/>
        </w:rPr>
      </w:pPr>
      <w:r w:rsidRPr="00E7408C">
        <w:lastRenderedPageBreak/>
        <w:t>(d)</w:t>
      </w:r>
      <w:r w:rsidRPr="00E7408C">
        <w:tab/>
      </w:r>
      <w:r w:rsidR="00F3143D" w:rsidRPr="002A406A">
        <w:rPr>
          <w:noProof/>
        </w:rPr>
        <w:t>disposizioni atte a prevedere che le attivazioni della garanzia assicurino la capacità dell'Unione di rimborsare i fondi presi a prestito a norma dell'articolo 1, paragrafo 2, sui mercati dei capitali o presso istituzioni finanziarie a seguito di un mancato pagamento, anche previsto, da parte dell'Ucraina, compresi i casi di modifica del calendario di pagamento per qualsiasi motivo;</w:t>
      </w:r>
    </w:p>
    <w:p w14:paraId="5C714C0D" w14:textId="4B1641B2" w:rsidR="008B207A" w:rsidRPr="002A406A" w:rsidRDefault="00E7408C" w:rsidP="00E7408C">
      <w:pPr>
        <w:pStyle w:val="Point0"/>
        <w:rPr>
          <w:rFonts w:eastAsiaTheme="minorEastAsia"/>
          <w:noProof/>
        </w:rPr>
      </w:pPr>
      <w:r w:rsidRPr="00E7408C">
        <w:t>(e)</w:t>
      </w:r>
      <w:r w:rsidRPr="00E7408C">
        <w:tab/>
      </w:r>
      <w:r w:rsidR="7DEB4FDF" w:rsidRPr="002A406A">
        <w:rPr>
          <w:noProof/>
        </w:rPr>
        <w:t xml:space="preserve">disposizioni atte ad assicurare che le attivazioni della garanzia possano essere utilizzate per ricostituire la dotazione del fondo comune di copertura prelevata a fronte dell'AMF coperta; </w:t>
      </w:r>
    </w:p>
    <w:p w14:paraId="017F8543" w14:textId="12AB277A" w:rsidR="000556FA" w:rsidRPr="002A406A" w:rsidRDefault="00E7408C" w:rsidP="00E7408C">
      <w:pPr>
        <w:pStyle w:val="Point0"/>
        <w:rPr>
          <w:noProof/>
        </w:rPr>
      </w:pPr>
      <w:r w:rsidRPr="00E7408C">
        <w:t>(f)</w:t>
      </w:r>
      <w:r w:rsidRPr="00E7408C">
        <w:tab/>
      </w:r>
      <w:r w:rsidR="31680DA9" w:rsidRPr="002A406A">
        <w:rPr>
          <w:noProof/>
        </w:rPr>
        <w:t>disposizioni atte ad assicurare che in capo a uno Stato membro che non abbia onorato l'attivazione di una garanzia continui a incombere tale obbligo;</w:t>
      </w:r>
    </w:p>
    <w:p w14:paraId="14281C75" w14:textId="2D939AEC" w:rsidR="000556FA" w:rsidRPr="002A406A" w:rsidRDefault="00E7408C" w:rsidP="00E7408C">
      <w:pPr>
        <w:pStyle w:val="Point0"/>
        <w:rPr>
          <w:noProof/>
        </w:rPr>
      </w:pPr>
      <w:r w:rsidRPr="00E7408C">
        <w:t>(g)</w:t>
      </w:r>
      <w:r w:rsidRPr="00E7408C">
        <w:tab/>
      </w:r>
      <w:r w:rsidR="42862F9E" w:rsidRPr="002A406A">
        <w:rPr>
          <w:noProof/>
        </w:rPr>
        <w:t>disposizioni relative alle condizioni di pagamento.</w:t>
      </w:r>
    </w:p>
    <w:p w14:paraId="61D8620F" w14:textId="77777777" w:rsidR="000556FA" w:rsidRPr="002A406A" w:rsidRDefault="00A376B5" w:rsidP="00DA6B52">
      <w:pPr>
        <w:jc w:val="center"/>
        <w:rPr>
          <w:b/>
          <w:noProof/>
        </w:rPr>
      </w:pPr>
      <w:r w:rsidRPr="002A406A">
        <w:rPr>
          <w:b/>
          <w:noProof/>
        </w:rPr>
        <w:t>Sezione 2</w:t>
      </w:r>
    </w:p>
    <w:p w14:paraId="4536CF93" w14:textId="77777777" w:rsidR="00A376B5" w:rsidRPr="002A406A" w:rsidRDefault="00A376B5" w:rsidP="00DA6B52">
      <w:pPr>
        <w:jc w:val="center"/>
        <w:rPr>
          <w:b/>
          <w:noProof/>
        </w:rPr>
      </w:pPr>
      <w:r w:rsidRPr="002A406A">
        <w:rPr>
          <w:b/>
          <w:noProof/>
        </w:rPr>
        <w:t>Copertura dell'AMF coperta e di alcune passività finanziarie nell'ambito del mandato di prestiti esterni in Ucraina</w:t>
      </w:r>
    </w:p>
    <w:p w14:paraId="62C60EC5" w14:textId="77777777" w:rsidR="000556FA" w:rsidRPr="00195EC3" w:rsidRDefault="000556FA" w:rsidP="000556FA">
      <w:pPr>
        <w:pStyle w:val="Titrearticle"/>
        <w:rPr>
          <w:b/>
          <w:noProof/>
        </w:rPr>
      </w:pPr>
      <w:bookmarkStart w:id="4" w:name="_Hlk105846293"/>
      <w:r w:rsidRPr="00195EC3">
        <w:rPr>
          <w:noProof/>
        </w:rPr>
        <w:t>Articolo 11</w:t>
      </w:r>
    </w:p>
    <w:p w14:paraId="633189A2" w14:textId="77777777" w:rsidR="00A376B5" w:rsidRPr="00195EC3" w:rsidRDefault="00187889" w:rsidP="00DA6B52">
      <w:pPr>
        <w:jc w:val="center"/>
        <w:rPr>
          <w:b/>
          <w:noProof/>
        </w:rPr>
      </w:pPr>
      <w:r w:rsidRPr="00195EC3">
        <w:rPr>
          <w:b/>
          <w:noProof/>
        </w:rPr>
        <w:t xml:space="preserve">Copertura dell'AMF coperta </w:t>
      </w:r>
    </w:p>
    <w:bookmarkEnd w:id="4"/>
    <w:p w14:paraId="0D2A27D7" w14:textId="6C0C43D8" w:rsidR="00A55609" w:rsidRPr="002A406A" w:rsidRDefault="00E7408C" w:rsidP="00E7408C">
      <w:pPr>
        <w:pStyle w:val="ManualNumPar1"/>
        <w:rPr>
          <w:noProof/>
        </w:rPr>
      </w:pPr>
      <w:r w:rsidRPr="00E7408C">
        <w:t>1.</w:t>
      </w:r>
      <w:r w:rsidRPr="00E7408C">
        <w:tab/>
      </w:r>
      <w:r w:rsidR="7489ADCB" w:rsidRPr="002A406A">
        <w:rPr>
          <w:noProof/>
        </w:rPr>
        <w:t>Per l'AMF coperta è applicato un tasso di copertura del 70 % anziché la regola generale di cui all'articolo 31, paragrafo 5, terzo comma, del regol</w:t>
      </w:r>
      <w:r w:rsidR="0064601D" w:rsidRPr="002A406A">
        <w:rPr>
          <w:noProof/>
        </w:rPr>
        <w:t>amento (UE) 2021/947.</w:t>
      </w:r>
      <w:r w:rsidR="7489ADCB" w:rsidRPr="002A406A">
        <w:rPr>
          <w:noProof/>
        </w:rPr>
        <w:t xml:space="preserve"> </w:t>
      </w:r>
      <w:r w:rsidR="7489ADCB" w:rsidRPr="002A406A">
        <w:rPr>
          <w:noProof/>
        </w:rPr>
        <w:br/>
        <w:t>Tuttavia il livello della dotazione versata al fondo comune di copertura è mantenuto e, se utilizzato, ricostituito, a livello del 9 % delle passività in essere dell'AMF coperta fino al completo utilizzo delle garanzie di cui all'articolo 9.</w:t>
      </w:r>
    </w:p>
    <w:p w14:paraId="6A2EBD65" w14:textId="4414C667" w:rsidR="00A55609" w:rsidRPr="002A406A" w:rsidRDefault="00E7408C" w:rsidP="00E7408C">
      <w:pPr>
        <w:pStyle w:val="ManualNumPar1"/>
        <w:rPr>
          <w:noProof/>
        </w:rPr>
      </w:pPr>
      <w:r w:rsidRPr="00E7408C">
        <w:t>2.</w:t>
      </w:r>
      <w:r w:rsidRPr="00E7408C">
        <w:tab/>
      </w:r>
      <w:r w:rsidR="4449462D" w:rsidRPr="002A406A">
        <w:rPr>
          <w:noProof/>
        </w:rPr>
        <w:t>Gli importi risultanti dalle attivazioni della garanzia di cui all'articolo</w:t>
      </w:r>
      <w:r w:rsidR="00011D3E" w:rsidRPr="002A406A">
        <w:rPr>
          <w:noProof/>
        </w:rPr>
        <w:t> </w:t>
      </w:r>
      <w:r w:rsidR="4449462D" w:rsidRPr="002A406A">
        <w:rPr>
          <w:noProof/>
        </w:rPr>
        <w:t>10 costituiscono entrate con destinazione specifica esterne destinate al pagamento delle passività finanziarie derivanti dall'AMF coperta e ai pagamenti al fondo comune di copertura, in conformità dell'articolo</w:t>
      </w:r>
      <w:r w:rsidR="00011D3E" w:rsidRPr="002A406A">
        <w:rPr>
          <w:noProof/>
        </w:rPr>
        <w:t> </w:t>
      </w:r>
      <w:r w:rsidR="4449462D" w:rsidRPr="002A406A">
        <w:rPr>
          <w:noProof/>
        </w:rPr>
        <w:t>21, paragrafo 2, lettera a), punto ii), del regolamento (UE, Euratom) 2018/1046.</w:t>
      </w:r>
    </w:p>
    <w:p w14:paraId="125E6AB9" w14:textId="7C6B8686" w:rsidR="00B23BA1" w:rsidRPr="002A406A" w:rsidRDefault="00E7408C" w:rsidP="00E7408C">
      <w:pPr>
        <w:pStyle w:val="ManualNumPar1"/>
        <w:rPr>
          <w:noProof/>
        </w:rPr>
      </w:pPr>
      <w:r w:rsidRPr="00E7408C">
        <w:t>3.</w:t>
      </w:r>
      <w:r w:rsidRPr="00E7408C">
        <w:tab/>
      </w:r>
      <w:r w:rsidR="3EA9FB41" w:rsidRPr="002A406A">
        <w:rPr>
          <w:noProof/>
        </w:rPr>
        <w:t>In deroga all'articolo 211, paragrafo 1, primo comma, seconda frase, del regolamento finanziario, l'importo delle garanzie di cui all'articolo 9, paragrafo 1, è incluso nell'importo della passività finanziaria autorizzata. In deroga all'articolo 211, paragrafo 4, secondo comma, del regolamento finanziario, gli importi della copertura di cui al paragrafo 2 del presente articolo sono presi in considerazione per il calcolo della copertura risultante dal tasso di copertura a fronte dell'AMF coperta.</w:t>
      </w:r>
    </w:p>
    <w:p w14:paraId="79E136F3" w14:textId="2EEE0611" w:rsidR="00B23BA1" w:rsidRPr="00195EC3" w:rsidRDefault="00E7408C" w:rsidP="00E7408C">
      <w:pPr>
        <w:pStyle w:val="ManualNumPar1"/>
        <w:rPr>
          <w:noProof/>
        </w:rPr>
      </w:pPr>
      <w:r w:rsidRPr="00E7408C">
        <w:t>4.</w:t>
      </w:r>
      <w:r w:rsidRPr="00E7408C">
        <w:tab/>
      </w:r>
      <w:r w:rsidR="00B23BA1" w:rsidRPr="002A406A">
        <w:rPr>
          <w:noProof/>
        </w:rPr>
        <w:t xml:space="preserve">In deroga all'articolo 211, paragrafo 4, lettera c), del regolamento finanziario, gli importi recuperati dall'Ucraina in relazione all'AMF coperta non contribuiscono alla copertura fino all'importo delle attivazioni della garanzia onorate dagli Stati membri a norma dell'articolo 10, lettera a). </w:t>
      </w:r>
      <w:r w:rsidR="00B23BA1" w:rsidRPr="00195EC3">
        <w:rPr>
          <w:noProof/>
        </w:rPr>
        <w:t>Tali importi sono rimborsati a detti Stati membri.</w:t>
      </w:r>
    </w:p>
    <w:p w14:paraId="54D2A011" w14:textId="77777777" w:rsidR="00B23BA1" w:rsidRPr="00195EC3" w:rsidRDefault="00B23BA1" w:rsidP="00B23BA1">
      <w:pPr>
        <w:pStyle w:val="Text1"/>
        <w:rPr>
          <w:noProof/>
        </w:rPr>
      </w:pPr>
    </w:p>
    <w:p w14:paraId="032F00EB" w14:textId="77777777" w:rsidR="00A376B5" w:rsidRPr="00195EC3" w:rsidRDefault="00A376B5" w:rsidP="00D518F3">
      <w:pPr>
        <w:spacing w:before="360"/>
        <w:jc w:val="center"/>
        <w:rPr>
          <w:i/>
          <w:noProof/>
        </w:rPr>
      </w:pPr>
      <w:r w:rsidRPr="00195EC3">
        <w:rPr>
          <w:i/>
          <w:noProof/>
        </w:rPr>
        <w:t>Articolo 12</w:t>
      </w:r>
    </w:p>
    <w:p w14:paraId="3D42F94F" w14:textId="77777777" w:rsidR="00A376B5" w:rsidRPr="002A406A" w:rsidRDefault="00A376B5" w:rsidP="00A376B5">
      <w:pPr>
        <w:jc w:val="center"/>
        <w:rPr>
          <w:b/>
          <w:noProof/>
        </w:rPr>
      </w:pPr>
      <w:r w:rsidRPr="002A406A">
        <w:rPr>
          <w:b/>
          <w:noProof/>
        </w:rPr>
        <w:t>Rafforzamento della copertura a fronte di alcune passività finanziarie in Ucraina garantite a norma della decisione n. 466/2014/UE</w:t>
      </w:r>
    </w:p>
    <w:p w14:paraId="4D631F8C" w14:textId="76E7E7D2" w:rsidR="0079522F" w:rsidRPr="002A406A" w:rsidRDefault="1DB8C1DA" w:rsidP="5BC24D47">
      <w:pPr>
        <w:rPr>
          <w:noProof/>
        </w:rPr>
      </w:pPr>
      <w:r w:rsidRPr="002A406A">
        <w:rPr>
          <w:noProof/>
        </w:rPr>
        <w:lastRenderedPageBreak/>
        <w:t>In deroga all'articolo 31, paragrafo 8, terza frase, del regolamento (UE) 2021/947, il tasso di copertura del 70 % si applica agli importi dei prestiti erogati dopo il 15</w:t>
      </w:r>
      <w:r w:rsidR="00826E90" w:rsidRPr="002A406A">
        <w:rPr>
          <w:noProof/>
        </w:rPr>
        <w:t> </w:t>
      </w:r>
      <w:r w:rsidRPr="002A406A">
        <w:rPr>
          <w:noProof/>
        </w:rPr>
        <w:t>luglio 2022 nell'ambito di operazioni di finanziamento della Banca europea per gli investimenti in Ucraina firmate dalla Banca europea per gli investimenti prima del 31 dicembre 2021 e garantite dall'UE in conformità della decisione n. 466/2014/UE ("passività finanziarie coperte nell'ambito del mandato di prestiti esterni in Ucraina") e si applicano gli articoli</w:t>
      </w:r>
      <w:r w:rsidR="00826E90" w:rsidRPr="002A406A">
        <w:rPr>
          <w:noProof/>
        </w:rPr>
        <w:t> </w:t>
      </w:r>
      <w:r w:rsidRPr="002A406A">
        <w:rPr>
          <w:noProof/>
        </w:rPr>
        <w:t xml:space="preserve">211, 212 e 213 del regolamento finanziario, fatti salvi gli articoli 13 e 14 della presente decisione. </w:t>
      </w:r>
      <w:r w:rsidR="00826E90" w:rsidRPr="002A406A">
        <w:rPr>
          <w:noProof/>
        </w:rPr>
        <w:br/>
      </w:r>
      <w:r w:rsidRPr="002A406A">
        <w:rPr>
          <w:noProof/>
        </w:rPr>
        <w:t>Ai fini dell'articolo 211, paragrafo 1, secondo comma, del regolamento finanziario, la copertura raggiunge entro il 31</w:t>
      </w:r>
      <w:r w:rsidR="00826E90" w:rsidRPr="002A406A">
        <w:rPr>
          <w:noProof/>
        </w:rPr>
        <w:t> </w:t>
      </w:r>
      <w:r w:rsidRPr="002A406A">
        <w:rPr>
          <w:noProof/>
        </w:rPr>
        <w:t>dicembre 2027 il livello corrispondente al tasso di copertura applicato all'importo totale delle passività in essere derivanti dalle passività finanziarie coperte nell'ambito del mandato di prestiti esterni in Ucraina.</w:t>
      </w:r>
    </w:p>
    <w:p w14:paraId="6EBE1227" w14:textId="77777777" w:rsidR="005747FA" w:rsidRPr="002A406A" w:rsidRDefault="005747FA" w:rsidP="00D518F3">
      <w:pPr>
        <w:spacing w:before="360"/>
        <w:jc w:val="center"/>
        <w:rPr>
          <w:i/>
          <w:noProof/>
        </w:rPr>
      </w:pPr>
      <w:r w:rsidRPr="002A406A">
        <w:rPr>
          <w:i/>
          <w:noProof/>
        </w:rPr>
        <w:t>Articolo 13</w:t>
      </w:r>
    </w:p>
    <w:p w14:paraId="0CCB4946" w14:textId="77777777" w:rsidR="00282932" w:rsidRPr="002A406A" w:rsidRDefault="10C2E27A" w:rsidP="00BB0AF7">
      <w:pPr>
        <w:jc w:val="center"/>
        <w:rPr>
          <w:b/>
          <w:bCs/>
          <w:noProof/>
        </w:rPr>
      </w:pPr>
      <w:r w:rsidRPr="002A406A">
        <w:rPr>
          <w:b/>
          <w:noProof/>
        </w:rPr>
        <w:t>Valutazione dell'adeguatezza del tasso di copertura e procedura di revisione</w:t>
      </w:r>
    </w:p>
    <w:p w14:paraId="462D7A24" w14:textId="5605933A" w:rsidR="00A55609" w:rsidRPr="002A406A" w:rsidRDefault="00E7408C" w:rsidP="00E7408C">
      <w:pPr>
        <w:pStyle w:val="ManualNumPar1"/>
        <w:rPr>
          <w:noProof/>
        </w:rPr>
      </w:pPr>
      <w:r w:rsidRPr="00E7408C">
        <w:t>1.</w:t>
      </w:r>
      <w:r w:rsidRPr="00E7408C">
        <w:tab/>
      </w:r>
      <w:r w:rsidR="3691BBD7" w:rsidRPr="002A406A">
        <w:rPr>
          <w:noProof/>
        </w:rPr>
        <w:t>Ogni sei mesi a decorrere dal 30</w:t>
      </w:r>
      <w:r w:rsidR="00826E90" w:rsidRPr="002A406A">
        <w:rPr>
          <w:noProof/>
        </w:rPr>
        <w:t> </w:t>
      </w:r>
      <w:r w:rsidR="3691BBD7" w:rsidRPr="002A406A">
        <w:rPr>
          <w:noProof/>
        </w:rPr>
        <w:t>giugno 2023 e ogniqualvolta la Commissione concluda che altri motivi o eventi indicano la necessità di farlo, la Commissione valuta se vi siano nuovi sviluppi che potrebbero incidere in modo duraturo e significativo sull'adeguatezza del tasso di copertura, compreso il tasso di copertura versata, di cui agli articoli</w:t>
      </w:r>
      <w:r w:rsidR="00826E90" w:rsidRPr="002A406A">
        <w:rPr>
          <w:noProof/>
        </w:rPr>
        <w:t> </w:t>
      </w:r>
      <w:r w:rsidR="3691BBD7" w:rsidRPr="002A406A">
        <w:rPr>
          <w:noProof/>
        </w:rPr>
        <w:t xml:space="preserve">11 e 12. La Commissione individua in particolare la presenza di una variazione duratura significativa del profilo di rischio di credito di tali esposizioni avvalendosi di dati relativi a un periodo di almeno due anni. </w:t>
      </w:r>
    </w:p>
    <w:p w14:paraId="609BB4C0" w14:textId="1D04A39E" w:rsidR="00A55609" w:rsidRPr="002A406A" w:rsidRDefault="00E7408C" w:rsidP="00E7408C">
      <w:pPr>
        <w:pStyle w:val="ManualNumPar1"/>
        <w:rPr>
          <w:noProof/>
        </w:rPr>
      </w:pPr>
      <w:r w:rsidRPr="00E7408C">
        <w:t>2.</w:t>
      </w:r>
      <w:r w:rsidRPr="00E7408C">
        <w:tab/>
      </w:r>
      <w:r w:rsidR="5E205B7B" w:rsidRPr="002A406A">
        <w:rPr>
          <w:noProof/>
        </w:rPr>
        <w:t>Alla Commissione è conferito il potere di modificare gli articoli</w:t>
      </w:r>
      <w:r w:rsidR="00826E90" w:rsidRPr="002A406A">
        <w:rPr>
          <w:noProof/>
        </w:rPr>
        <w:t> </w:t>
      </w:r>
      <w:r w:rsidR="5E205B7B" w:rsidRPr="002A406A">
        <w:rPr>
          <w:noProof/>
        </w:rPr>
        <w:t>11 e 12 per adeguare il tasso di copertura mediante un atto delegato in conformità dell'articolo 16, in particolare per tenere conto degli sviluppi di cui al paragrafo 1.</w:t>
      </w:r>
    </w:p>
    <w:p w14:paraId="1DDFC276" w14:textId="77777777" w:rsidR="00A376B5" w:rsidRPr="002A406A" w:rsidRDefault="00DE6CD2" w:rsidP="00D518F3">
      <w:pPr>
        <w:spacing w:before="360"/>
        <w:jc w:val="center"/>
        <w:rPr>
          <w:i/>
          <w:noProof/>
        </w:rPr>
      </w:pPr>
      <w:r w:rsidRPr="002A406A">
        <w:rPr>
          <w:i/>
          <w:noProof/>
        </w:rPr>
        <w:t>Articolo 14</w:t>
      </w:r>
    </w:p>
    <w:p w14:paraId="2C33F0F3" w14:textId="77777777" w:rsidR="00A376B5" w:rsidRPr="002A406A" w:rsidRDefault="476D4C9A" w:rsidP="26DEF6C3">
      <w:pPr>
        <w:jc w:val="center"/>
        <w:rPr>
          <w:b/>
          <w:bCs/>
          <w:noProof/>
        </w:rPr>
      </w:pPr>
      <w:r w:rsidRPr="002A406A">
        <w:rPr>
          <w:b/>
          <w:noProof/>
        </w:rPr>
        <w:t>Dotazione detenuta nel fondo comune di copertura</w:t>
      </w:r>
    </w:p>
    <w:p w14:paraId="32234390" w14:textId="490D445E" w:rsidR="00A55609" w:rsidRPr="002A406A" w:rsidRDefault="00E7408C" w:rsidP="00E7408C">
      <w:pPr>
        <w:pStyle w:val="ManualNumPar1"/>
        <w:rPr>
          <w:noProof/>
        </w:rPr>
      </w:pPr>
      <w:r w:rsidRPr="00E7408C">
        <w:t>1.</w:t>
      </w:r>
      <w:r w:rsidRPr="00E7408C">
        <w:tab/>
      </w:r>
      <w:r w:rsidR="00EB78A8" w:rsidRPr="002A406A">
        <w:rPr>
          <w:noProof/>
        </w:rPr>
        <w:t>Anziché la regola generale di cui all'articolo 31, paragrafo 6, del regolamento (UE) 2021/947, la passività finanziaria derivante dall'AMF coperta è coperta separatamente da altre passività finanziarie nell'ambito della garanzia per le azioni esterne e la dotazione accantonata nel fondo comune di copertura per l'AMF coperta è utilizzata unicamente per le passività finanziarie ai sensi della presente decisione e della decisione (UE) 2022/1201.</w:t>
      </w:r>
    </w:p>
    <w:p w14:paraId="1F958B17" w14:textId="33B0D717" w:rsidR="002C0E5A" w:rsidRPr="002A406A" w:rsidRDefault="002C0E5A" w:rsidP="00F452EF">
      <w:pPr>
        <w:pStyle w:val="Text1"/>
        <w:rPr>
          <w:noProof/>
        </w:rPr>
      </w:pPr>
      <w:r w:rsidRPr="002A406A">
        <w:rPr>
          <w:noProof/>
        </w:rPr>
        <w:t>Anziché la regola generale di cui all'articolo 31, paragrafo 8, del regolamento (UE) 2021/947, la passività finanziaria derivante dalle passività finanziarie coperte nell'ambito del mandato di prestiti esterni in Ucraina è coperta separatamente da altre passività finanziarie nell'ambito del fondo di garanzia per le azioni esterne e la dotazione accantonata nel fondo comune di copertura per le passività finanziarie coperte nell'ambito del mandato di prestiti esterni in Ucraina è utilizzata unicamente per le passività finanziarie ai sensi della presente decisione e della decisione (UE) 2022/1201.</w:t>
      </w:r>
    </w:p>
    <w:p w14:paraId="7BF514AF" w14:textId="110D5F4A" w:rsidR="00EB78A8" w:rsidRPr="002A406A" w:rsidRDefault="00E7408C" w:rsidP="00E7408C">
      <w:pPr>
        <w:pStyle w:val="ManualNumPar1"/>
        <w:rPr>
          <w:noProof/>
        </w:rPr>
      </w:pPr>
      <w:r w:rsidRPr="00E7408C">
        <w:t>2.</w:t>
      </w:r>
      <w:r w:rsidRPr="00E7408C">
        <w:tab/>
      </w:r>
      <w:r w:rsidR="00EB78A8" w:rsidRPr="002A406A">
        <w:rPr>
          <w:noProof/>
        </w:rPr>
        <w:t>In deroga all'articolo 213 del regolamento finanziario, il tasso di copertura effettivo non si applica alla dotazione accantonata nel fondo comune di copertura a fronte dell'AMF coperta e delle passività finanziarie coperte nell'ambito del mandato di prestiti esterni in Ucraina.</w:t>
      </w:r>
    </w:p>
    <w:p w14:paraId="4EDF9C6B" w14:textId="7AEDD4E5" w:rsidR="00AA6104" w:rsidRPr="002A406A" w:rsidRDefault="00E7408C" w:rsidP="00E7408C">
      <w:pPr>
        <w:pStyle w:val="ManualNumPar1"/>
        <w:rPr>
          <w:noProof/>
        </w:rPr>
      </w:pPr>
      <w:r w:rsidRPr="00E7408C">
        <w:lastRenderedPageBreak/>
        <w:t>3.</w:t>
      </w:r>
      <w:r w:rsidRPr="00E7408C">
        <w:tab/>
      </w:r>
      <w:r w:rsidR="00AA6104" w:rsidRPr="002A406A">
        <w:rPr>
          <w:noProof/>
        </w:rPr>
        <w:t xml:space="preserve">In deroga all'articolo 213, paragrafo 4, lettera a), del regolamento finanziario, qualsiasi eccedenza della copertura di cui all'articolo 12 costituisce un'entrata con destinazione specifica esterna ai sensi dell'articolo 21, paragrafo 5, del regolamento finanziario per il programma di assistenza esterna cui l'Ucraina è ammissibile. </w:t>
      </w:r>
    </w:p>
    <w:p w14:paraId="2CFC23E4" w14:textId="77777777" w:rsidR="00AA6104" w:rsidRPr="002A406A" w:rsidRDefault="00AA6104" w:rsidP="00AA6104">
      <w:pPr>
        <w:pStyle w:val="Text1"/>
        <w:ind w:left="0"/>
        <w:rPr>
          <w:noProof/>
        </w:rPr>
      </w:pPr>
    </w:p>
    <w:p w14:paraId="2A19F504" w14:textId="77777777" w:rsidR="004D643E" w:rsidRPr="002A406A" w:rsidRDefault="004D643E" w:rsidP="00D518F3">
      <w:pPr>
        <w:pStyle w:val="ManualHeading2"/>
        <w:tabs>
          <w:tab w:val="clear" w:pos="850"/>
        </w:tabs>
        <w:spacing w:before="360"/>
        <w:ind w:left="0" w:firstLine="0"/>
        <w:jc w:val="center"/>
        <w:rPr>
          <w:b w:val="0"/>
          <w:noProof/>
        </w:rPr>
      </w:pPr>
      <w:r w:rsidRPr="002A406A">
        <w:rPr>
          <w:noProof/>
        </w:rPr>
        <w:t xml:space="preserve">Capo III </w:t>
      </w:r>
      <w:r w:rsidRPr="002A406A">
        <w:rPr>
          <w:noProof/>
        </w:rPr>
        <w:br/>
        <w:t xml:space="preserve">Disposizioni comuni </w:t>
      </w:r>
    </w:p>
    <w:p w14:paraId="40D971E5" w14:textId="77777777" w:rsidR="00226E79" w:rsidRPr="002A406A" w:rsidRDefault="00226E79" w:rsidP="00226E79">
      <w:pPr>
        <w:pStyle w:val="Titrearticle"/>
        <w:rPr>
          <w:noProof/>
        </w:rPr>
      </w:pPr>
      <w:r w:rsidRPr="002A406A">
        <w:rPr>
          <w:noProof/>
        </w:rPr>
        <w:t>Articolo 15</w:t>
      </w:r>
    </w:p>
    <w:p w14:paraId="70F3370E" w14:textId="77777777" w:rsidR="007B7AFC" w:rsidRPr="00195EC3" w:rsidRDefault="4234960D" w:rsidP="3AD20BBB">
      <w:pPr>
        <w:jc w:val="center"/>
        <w:rPr>
          <w:b/>
          <w:bCs/>
          <w:noProof/>
        </w:rPr>
      </w:pPr>
      <w:r w:rsidRPr="00195EC3">
        <w:rPr>
          <w:b/>
          <w:noProof/>
        </w:rPr>
        <w:t>Procedura di comitato</w:t>
      </w:r>
    </w:p>
    <w:p w14:paraId="54242F2C" w14:textId="778D1865" w:rsidR="00A55609" w:rsidRPr="002A406A" w:rsidRDefault="00E7408C" w:rsidP="00E7408C">
      <w:pPr>
        <w:pStyle w:val="ManualNumPar1"/>
        <w:rPr>
          <w:noProof/>
        </w:rPr>
      </w:pPr>
      <w:r w:rsidRPr="00E7408C">
        <w:t>1.</w:t>
      </w:r>
      <w:r w:rsidRPr="00E7408C">
        <w:tab/>
      </w:r>
      <w:r w:rsidR="00226E79" w:rsidRPr="002A406A">
        <w:rPr>
          <w:noProof/>
        </w:rPr>
        <w:t>La Commissione è assistita da un comitato ai sensi del regolamento (UE) n.</w:t>
      </w:r>
      <w:r w:rsidR="00826E90" w:rsidRPr="002A406A">
        <w:rPr>
          <w:noProof/>
        </w:rPr>
        <w:t> </w:t>
      </w:r>
      <w:r w:rsidR="00226E79" w:rsidRPr="002A406A">
        <w:rPr>
          <w:noProof/>
        </w:rPr>
        <w:t>182/2011.</w:t>
      </w:r>
    </w:p>
    <w:p w14:paraId="718E12A6" w14:textId="6E02ABFE" w:rsidR="00226E79" w:rsidRPr="002A406A" w:rsidRDefault="00E7408C" w:rsidP="00E7408C">
      <w:pPr>
        <w:pStyle w:val="ManualNumPar1"/>
        <w:rPr>
          <w:noProof/>
        </w:rPr>
      </w:pPr>
      <w:r w:rsidRPr="00E7408C">
        <w:t>2.</w:t>
      </w:r>
      <w:r w:rsidRPr="00E7408C">
        <w:tab/>
      </w:r>
      <w:r w:rsidR="378F764A" w:rsidRPr="002A406A">
        <w:rPr>
          <w:noProof/>
        </w:rPr>
        <w:t>Nei casi in cui è fatto riferimento al presente paragrafo, si applica l'articolo</w:t>
      </w:r>
      <w:r w:rsidR="00826E90" w:rsidRPr="002A406A">
        <w:rPr>
          <w:noProof/>
        </w:rPr>
        <w:t> </w:t>
      </w:r>
      <w:r w:rsidR="378F764A" w:rsidRPr="002A406A">
        <w:rPr>
          <w:noProof/>
        </w:rPr>
        <w:t>5 del regolamento (UE) n. 182/2011.</w:t>
      </w:r>
    </w:p>
    <w:p w14:paraId="726E60FD" w14:textId="77777777" w:rsidR="00363BF2" w:rsidRPr="00195EC3" w:rsidRDefault="00363BF2" w:rsidP="00363BF2">
      <w:pPr>
        <w:pStyle w:val="Titrearticle"/>
        <w:ind w:left="720"/>
        <w:rPr>
          <w:noProof/>
        </w:rPr>
      </w:pPr>
      <w:r w:rsidRPr="00195EC3">
        <w:rPr>
          <w:noProof/>
        </w:rPr>
        <w:t>Articolo 16</w:t>
      </w:r>
    </w:p>
    <w:p w14:paraId="7F379EE7" w14:textId="520367E8" w:rsidR="00363BF2" w:rsidRPr="00195EC3" w:rsidRDefault="27528586" w:rsidP="3AD20BBB">
      <w:pPr>
        <w:pStyle w:val="ListParagraph"/>
        <w:spacing w:before="0" w:after="0"/>
        <w:jc w:val="center"/>
        <w:rPr>
          <w:b/>
          <w:bCs/>
          <w:noProof/>
        </w:rPr>
      </w:pPr>
      <w:r w:rsidRPr="00195EC3">
        <w:rPr>
          <w:b/>
          <w:noProof/>
        </w:rPr>
        <w:t xml:space="preserve">Esercizio della delega </w:t>
      </w:r>
    </w:p>
    <w:p w14:paraId="273CEAA8" w14:textId="733C5E83" w:rsidR="00A55609" w:rsidRPr="002A406A" w:rsidRDefault="00E7408C" w:rsidP="00E7408C">
      <w:pPr>
        <w:pStyle w:val="ManualNumPar1"/>
        <w:rPr>
          <w:noProof/>
        </w:rPr>
      </w:pPr>
      <w:r w:rsidRPr="00E7408C">
        <w:t>1.</w:t>
      </w:r>
      <w:r w:rsidRPr="00E7408C">
        <w:tab/>
      </w:r>
      <w:r w:rsidR="00363BF2" w:rsidRPr="002A406A">
        <w:rPr>
          <w:noProof/>
        </w:rPr>
        <w:t xml:space="preserve">Il potere di adottare atti delegati è conferito alla Commissione alle condizioni stabilite nel presente articolo. </w:t>
      </w:r>
    </w:p>
    <w:p w14:paraId="7C7F1004" w14:textId="2123BDFD" w:rsidR="00A55609" w:rsidRPr="002A406A" w:rsidRDefault="00E7408C" w:rsidP="00E7408C">
      <w:pPr>
        <w:pStyle w:val="ManualNumPar1"/>
        <w:rPr>
          <w:noProof/>
        </w:rPr>
      </w:pPr>
      <w:r w:rsidRPr="00E7408C">
        <w:t>2.</w:t>
      </w:r>
      <w:r w:rsidRPr="00E7408C">
        <w:tab/>
      </w:r>
      <w:r w:rsidR="00363BF2" w:rsidRPr="002A406A">
        <w:rPr>
          <w:noProof/>
        </w:rPr>
        <w:t>Il potere di adottare atti delegati di cui all'articolo</w:t>
      </w:r>
      <w:r w:rsidR="00826E90" w:rsidRPr="002A406A">
        <w:rPr>
          <w:noProof/>
        </w:rPr>
        <w:t> </w:t>
      </w:r>
      <w:r w:rsidR="00363BF2" w:rsidRPr="002A406A">
        <w:rPr>
          <w:noProof/>
        </w:rPr>
        <w:t xml:space="preserve">13, paragrafo 2, è conferito alla Commissione per un periodo indeterminato a decorrere dalla </w:t>
      </w:r>
      <w:r w:rsidR="00363BF2" w:rsidRPr="002A406A">
        <w:rPr>
          <w:i/>
          <w:noProof/>
        </w:rPr>
        <w:t>data di entrata in vigore della presente decisione</w:t>
      </w:r>
      <w:r w:rsidR="00363BF2" w:rsidRPr="002A406A">
        <w:rPr>
          <w:noProof/>
        </w:rPr>
        <w:t>.</w:t>
      </w:r>
    </w:p>
    <w:p w14:paraId="1C8FBACF" w14:textId="4DFDEAC1" w:rsidR="00A55609" w:rsidRPr="002A406A" w:rsidRDefault="00E7408C" w:rsidP="00E7408C">
      <w:pPr>
        <w:pStyle w:val="ManualNumPar1"/>
        <w:rPr>
          <w:noProof/>
        </w:rPr>
      </w:pPr>
      <w:r w:rsidRPr="00E7408C">
        <w:t>3.</w:t>
      </w:r>
      <w:r w:rsidRPr="00E7408C">
        <w:tab/>
      </w:r>
      <w:r w:rsidR="00C76088" w:rsidRPr="002A406A">
        <w:rPr>
          <w:noProof/>
        </w:rPr>
        <w:t>La delega di potere di cui all'articolo</w:t>
      </w:r>
      <w:r w:rsidR="00826E90" w:rsidRPr="002A406A">
        <w:rPr>
          <w:noProof/>
        </w:rPr>
        <w:t> </w:t>
      </w:r>
      <w:r w:rsidR="00C76088" w:rsidRPr="002A406A">
        <w:rPr>
          <w:noProof/>
        </w:rPr>
        <w:t xml:space="preserve">13, paragrafo 2, può essere revocata in qualsiasi momento dal Parlamento europeo o dal Consiglio. La decisione di revoca pone fine alla delega di potere ivi specificata. Gli effetti della decisione decorrono dal giorno successivo alla pubblicazione della decisione nella </w:t>
      </w:r>
      <w:r w:rsidR="00C76088" w:rsidRPr="002A406A">
        <w:rPr>
          <w:i/>
          <w:noProof/>
        </w:rPr>
        <w:t>Gazzetta ufficiale dell'Unione europea</w:t>
      </w:r>
      <w:r w:rsidR="00C76088" w:rsidRPr="002A406A">
        <w:rPr>
          <w:noProof/>
        </w:rPr>
        <w:t xml:space="preserve"> o da una data successiva ivi specificata. Essa non pregiudica la validità degli atti delegati già in vigore.</w:t>
      </w:r>
    </w:p>
    <w:p w14:paraId="2CFF54D4" w14:textId="4C0A9B8A" w:rsidR="00A55609" w:rsidRPr="002A406A" w:rsidRDefault="00E7408C" w:rsidP="00E7408C">
      <w:pPr>
        <w:pStyle w:val="ManualNumPar1"/>
        <w:rPr>
          <w:noProof/>
        </w:rPr>
      </w:pPr>
      <w:r w:rsidRPr="00E7408C">
        <w:t>4.</w:t>
      </w:r>
      <w:r w:rsidRPr="00E7408C">
        <w:tab/>
      </w:r>
      <w:r w:rsidR="00C76088" w:rsidRPr="002A406A">
        <w:rPr>
          <w:noProof/>
        </w:rPr>
        <w:t>Prima dell'adozione dell'atto delegato la Commissione consulta gli esperti designati da ciascuno Stato membro nel rispetto dei principi stabiliti nell'accordo interistituzionale "Legiferare meglio" del 13</w:t>
      </w:r>
      <w:r w:rsidR="00826E90" w:rsidRPr="002A406A">
        <w:rPr>
          <w:noProof/>
        </w:rPr>
        <w:t> </w:t>
      </w:r>
      <w:r w:rsidR="00C76088" w:rsidRPr="002A406A">
        <w:rPr>
          <w:noProof/>
        </w:rPr>
        <w:t>aprile 2016.</w:t>
      </w:r>
    </w:p>
    <w:p w14:paraId="49197DC8" w14:textId="7680F381" w:rsidR="00A55609" w:rsidRPr="002A406A" w:rsidRDefault="00E7408C" w:rsidP="00E7408C">
      <w:pPr>
        <w:pStyle w:val="ManualNumPar1"/>
        <w:rPr>
          <w:noProof/>
        </w:rPr>
      </w:pPr>
      <w:r w:rsidRPr="00E7408C">
        <w:t>5.</w:t>
      </w:r>
      <w:r w:rsidRPr="00E7408C">
        <w:tab/>
      </w:r>
      <w:r w:rsidR="00C76088" w:rsidRPr="002A406A">
        <w:rPr>
          <w:noProof/>
        </w:rPr>
        <w:t>Non appena adotta un atto delegato, la Commissione ne dà contestualmente notifica al Parlamento europeo e al Consiglio.</w:t>
      </w:r>
    </w:p>
    <w:p w14:paraId="46CBDEC0" w14:textId="43462EDF" w:rsidR="00C76088" w:rsidRPr="002A406A" w:rsidRDefault="00E7408C" w:rsidP="00E7408C">
      <w:pPr>
        <w:pStyle w:val="ManualNumPar1"/>
        <w:rPr>
          <w:noProof/>
        </w:rPr>
      </w:pPr>
      <w:r w:rsidRPr="00E7408C">
        <w:t>6.</w:t>
      </w:r>
      <w:r w:rsidRPr="00E7408C">
        <w:tab/>
      </w:r>
      <w:r w:rsidR="00C76088" w:rsidRPr="002A406A">
        <w:rPr>
          <w:noProof/>
        </w:rPr>
        <w:t>L'atto delegato adottato ai sensi dell'articolo</w:t>
      </w:r>
      <w:r w:rsidR="00826E90" w:rsidRPr="002A406A">
        <w:rPr>
          <w:noProof/>
        </w:rPr>
        <w:t> </w:t>
      </w:r>
      <w:r w:rsidR="00C76088" w:rsidRPr="002A406A">
        <w:rPr>
          <w:noProof/>
        </w:rPr>
        <w:t>13, paragrafo 2, entra in vigore solo se né il Parlamento europeo né il Consiglio hanno sollevato obiezioni entro il termine di due mesi dalla data in cui esso è stato loro notificato o se, prima della scadenza di tale termine, sia il Parlamento europeo che il Consiglio hanno informato la Commissione che non intendono sollevare obiezioni. Tale termine è prorogato di due mesi su iniziativa del Parlamento europeo o del Consiglio.</w:t>
      </w:r>
    </w:p>
    <w:p w14:paraId="162D4897" w14:textId="77777777" w:rsidR="004D643E" w:rsidRPr="00195EC3" w:rsidRDefault="004D643E" w:rsidP="6FFD2748">
      <w:pPr>
        <w:pStyle w:val="Titrearticle"/>
        <w:rPr>
          <w:rFonts w:eastAsia="Calibri"/>
          <w:noProof/>
        </w:rPr>
      </w:pPr>
      <w:r w:rsidRPr="00195EC3">
        <w:rPr>
          <w:noProof/>
        </w:rPr>
        <w:t>Articolo 17</w:t>
      </w:r>
    </w:p>
    <w:p w14:paraId="62467E5A" w14:textId="77777777" w:rsidR="007B7AFC" w:rsidRPr="00195EC3" w:rsidRDefault="007B7AFC" w:rsidP="00A7671E">
      <w:pPr>
        <w:jc w:val="center"/>
        <w:rPr>
          <w:b/>
          <w:bCs/>
          <w:noProof/>
        </w:rPr>
      </w:pPr>
      <w:r w:rsidRPr="00195EC3">
        <w:rPr>
          <w:b/>
          <w:noProof/>
        </w:rPr>
        <w:t>Relazione annuale</w:t>
      </w:r>
    </w:p>
    <w:p w14:paraId="456A370F" w14:textId="541BA2ED" w:rsidR="004D643E" w:rsidRPr="00195EC3" w:rsidRDefault="00E7408C" w:rsidP="00E7408C">
      <w:pPr>
        <w:pStyle w:val="ManualNumPar1"/>
        <w:rPr>
          <w:noProof/>
        </w:rPr>
      </w:pPr>
      <w:r w:rsidRPr="00E7408C">
        <w:lastRenderedPageBreak/>
        <w:t>1.</w:t>
      </w:r>
      <w:r w:rsidRPr="00E7408C">
        <w:tab/>
      </w:r>
      <w:r w:rsidR="004D643E" w:rsidRPr="002A406A">
        <w:rPr>
          <w:noProof/>
        </w:rPr>
        <w:t xml:space="preserve">Entro il 30 giugno di ogni anno la Commissione presenta al Parlamento europeo e al Consiglio, nell'ambito della sua relazione annuale, una valutazione dell'attuazione del capo I della presente decisione nel corso dell'anno precedente, comprensiva di una valutazione dell'attuazione. </w:t>
      </w:r>
      <w:r w:rsidR="004D643E" w:rsidRPr="00195EC3">
        <w:rPr>
          <w:noProof/>
        </w:rPr>
        <w:t>Tale relazione:</w:t>
      </w:r>
    </w:p>
    <w:p w14:paraId="16CF17AA" w14:textId="171D24DB" w:rsidR="004D643E" w:rsidRPr="002A406A" w:rsidRDefault="00E7408C" w:rsidP="00E7408C">
      <w:pPr>
        <w:pStyle w:val="Point1"/>
        <w:rPr>
          <w:rFonts w:eastAsiaTheme="minorEastAsia"/>
          <w:noProof/>
          <w:szCs w:val="24"/>
        </w:rPr>
      </w:pPr>
      <w:r w:rsidRPr="00E7408C">
        <w:t>(a)</w:t>
      </w:r>
      <w:r w:rsidRPr="00E7408C">
        <w:tab/>
      </w:r>
      <w:r w:rsidR="2D6D47E0" w:rsidRPr="002A406A">
        <w:rPr>
          <w:noProof/>
        </w:rPr>
        <w:t>esamina i progressi ottenuti nell'attuazione dell'assistenza macrofinanziaria eccezionale dell'Unione;</w:t>
      </w:r>
    </w:p>
    <w:p w14:paraId="21CB86BD" w14:textId="4D7831D9" w:rsidR="004D643E" w:rsidRPr="002A406A" w:rsidRDefault="00E7408C" w:rsidP="00E7408C">
      <w:pPr>
        <w:pStyle w:val="Point1"/>
        <w:rPr>
          <w:noProof/>
          <w:szCs w:val="24"/>
        </w:rPr>
      </w:pPr>
      <w:r w:rsidRPr="00E7408C">
        <w:t>(b)</w:t>
      </w:r>
      <w:r w:rsidRPr="00E7408C">
        <w:tab/>
      </w:r>
      <w:r w:rsidR="2D6D47E0" w:rsidRPr="002A406A">
        <w:rPr>
          <w:noProof/>
        </w:rPr>
        <w:t>valuta la situazione e le prospettive economiche dell'Ucraina, nonché l'attuazione degli obblighi e delle condizioni di cui all'articolo</w:t>
      </w:r>
      <w:r w:rsidR="00C46AB3" w:rsidRPr="002A406A">
        <w:rPr>
          <w:noProof/>
        </w:rPr>
        <w:t> </w:t>
      </w:r>
      <w:r w:rsidR="2D6D47E0" w:rsidRPr="002A406A">
        <w:rPr>
          <w:noProof/>
        </w:rPr>
        <w:t>3, paragrafo</w:t>
      </w:r>
      <w:r w:rsidR="00C46AB3" w:rsidRPr="002A406A">
        <w:rPr>
          <w:noProof/>
        </w:rPr>
        <w:t> </w:t>
      </w:r>
      <w:r w:rsidR="2D6D47E0" w:rsidRPr="002A406A">
        <w:rPr>
          <w:noProof/>
        </w:rPr>
        <w:t>1;</w:t>
      </w:r>
    </w:p>
    <w:p w14:paraId="17FCBA0F" w14:textId="6469E4B7" w:rsidR="087D58C3" w:rsidRPr="002A406A" w:rsidRDefault="00E7408C" w:rsidP="00E7408C">
      <w:pPr>
        <w:pStyle w:val="Point1"/>
        <w:rPr>
          <w:noProof/>
          <w:szCs w:val="24"/>
        </w:rPr>
      </w:pPr>
      <w:r w:rsidRPr="00E7408C">
        <w:t>(c)</w:t>
      </w:r>
      <w:r w:rsidRPr="00E7408C">
        <w:tab/>
      </w:r>
      <w:r w:rsidR="2D6D47E0" w:rsidRPr="002A406A">
        <w:rPr>
          <w:noProof/>
        </w:rPr>
        <w:t>indica il legame tra gli obblighi e le condizioni definiti nel protocollo d'intesa, l'attuale situazione dell'Ucraina sotto il profilo macrofinanziario e le decisioni della Commissione di versare le rate dell'assistenza macrofinanziaria eccezionale dell'Unione.</w:t>
      </w:r>
    </w:p>
    <w:p w14:paraId="557A8A2B" w14:textId="519BE340" w:rsidR="004D643E" w:rsidRPr="002A406A" w:rsidRDefault="00E7408C" w:rsidP="00E7408C">
      <w:pPr>
        <w:pStyle w:val="ManualNumPar1"/>
        <w:rPr>
          <w:noProof/>
        </w:rPr>
      </w:pPr>
      <w:r w:rsidRPr="00E7408C">
        <w:t>2.</w:t>
      </w:r>
      <w:r w:rsidRPr="00E7408C">
        <w:tab/>
      </w:r>
      <w:r w:rsidR="2D6D47E0" w:rsidRPr="002A406A">
        <w:rPr>
          <w:noProof/>
        </w:rPr>
        <w:t>Entro due anni dal termine del periodo di disponibilità la Commissione presenta al Parlamento europeo e al Consiglio una relazione di valutazione ex post, in cui analizza i risultati e l'efficienza dell'assistenza macrofinanziaria eccezionale dell'Unione erogata e valuta in quale misura essa abbia contribuito agli obiettivi dell'assistenza.</w:t>
      </w:r>
    </w:p>
    <w:p w14:paraId="591380B7" w14:textId="77777777" w:rsidR="00CC66E6" w:rsidRPr="002A406A" w:rsidRDefault="00CC66E6" w:rsidP="00CC66E6">
      <w:pPr>
        <w:pStyle w:val="ManualHeading2"/>
        <w:tabs>
          <w:tab w:val="clear" w:pos="850"/>
        </w:tabs>
        <w:ind w:left="0" w:firstLine="0"/>
        <w:jc w:val="center"/>
        <w:rPr>
          <w:b w:val="0"/>
          <w:noProof/>
        </w:rPr>
      </w:pPr>
      <w:r w:rsidRPr="002A406A">
        <w:rPr>
          <w:noProof/>
        </w:rPr>
        <w:t xml:space="preserve">Capo IV </w:t>
      </w:r>
      <w:r w:rsidRPr="002A406A">
        <w:rPr>
          <w:noProof/>
        </w:rPr>
        <w:br/>
        <w:t>Modifica della decisione (UE) 2022/1201 e disposizione finale</w:t>
      </w:r>
    </w:p>
    <w:p w14:paraId="5C3DD84D" w14:textId="77777777" w:rsidR="00CC66E6" w:rsidRPr="002A406A" w:rsidRDefault="00CC66E6" w:rsidP="00CC66E6">
      <w:pPr>
        <w:pStyle w:val="Titrearticle"/>
        <w:rPr>
          <w:noProof/>
        </w:rPr>
      </w:pPr>
      <w:r w:rsidRPr="002A406A">
        <w:rPr>
          <w:noProof/>
        </w:rPr>
        <w:t>Articolo 18</w:t>
      </w:r>
    </w:p>
    <w:p w14:paraId="4B9FEA6C" w14:textId="77777777" w:rsidR="00097364" w:rsidRPr="002A406A" w:rsidRDefault="00CC66E6" w:rsidP="000B1D09">
      <w:pPr>
        <w:pStyle w:val="Titrearticle"/>
        <w:jc w:val="both"/>
        <w:rPr>
          <w:i w:val="0"/>
          <w:noProof/>
        </w:rPr>
      </w:pPr>
      <w:r w:rsidRPr="002A406A">
        <w:rPr>
          <w:i w:val="0"/>
          <w:noProof/>
        </w:rPr>
        <w:t xml:space="preserve">La decisione (UE) 2022/1201 è così modificata: </w:t>
      </w:r>
    </w:p>
    <w:p w14:paraId="50F11304" w14:textId="4CC8E23C" w:rsidR="00CC66E6" w:rsidRPr="002A406A" w:rsidRDefault="00E7408C" w:rsidP="00E7408C">
      <w:pPr>
        <w:pStyle w:val="ManualNumPar1"/>
        <w:rPr>
          <w:noProof/>
        </w:rPr>
      </w:pPr>
      <w:r w:rsidRPr="00E7408C">
        <w:t>1.</w:t>
      </w:r>
      <w:r w:rsidRPr="00E7408C">
        <w:tab/>
      </w:r>
      <w:r w:rsidR="00097364" w:rsidRPr="002A406A">
        <w:rPr>
          <w:noProof/>
        </w:rPr>
        <w:t>all'articolo</w:t>
      </w:r>
      <w:r w:rsidR="0064601D" w:rsidRPr="002A406A">
        <w:rPr>
          <w:noProof/>
        </w:rPr>
        <w:t> </w:t>
      </w:r>
      <w:r w:rsidR="00097364" w:rsidRPr="002A406A">
        <w:rPr>
          <w:noProof/>
        </w:rPr>
        <w:t>1, paragrafo 2, la seconda frase è sostituita dalla seguente:</w:t>
      </w:r>
    </w:p>
    <w:p w14:paraId="007D1E60" w14:textId="77777777" w:rsidR="00A55609" w:rsidRPr="002A406A" w:rsidRDefault="006F3594" w:rsidP="00A55609">
      <w:pPr>
        <w:pStyle w:val="li"/>
        <w:shd w:val="clear" w:color="auto" w:fill="FFFFFF"/>
        <w:spacing w:before="0" w:beforeAutospacing="0" w:after="0" w:afterAutospacing="0"/>
        <w:jc w:val="both"/>
        <w:textAlignment w:val="baseline"/>
        <w:rPr>
          <w:noProof/>
          <w:color w:val="000000"/>
          <w:bdr w:val="none" w:sz="0" w:space="0" w:color="auto" w:frame="1"/>
        </w:rPr>
      </w:pPr>
      <w:r w:rsidRPr="002A406A">
        <w:rPr>
          <w:noProof/>
        </w:rPr>
        <w:t xml:space="preserve">"I prestiti di cui al paragrafo 1 e alla decisione [COM(2022)XXX - </w:t>
      </w:r>
      <w:r w:rsidRPr="002A406A">
        <w:rPr>
          <w:i/>
          <w:noProof/>
        </w:rPr>
        <w:t>la presente proposta</w:t>
      </w:r>
      <w:r w:rsidRPr="002A406A">
        <w:rPr>
          <w:noProof/>
        </w:rPr>
        <w:t>] hanno congiuntamente una scadenza media massima di 25 anni.";</w:t>
      </w:r>
    </w:p>
    <w:p w14:paraId="23981E34" w14:textId="255F1C2E" w:rsidR="006F3594" w:rsidRPr="00195EC3" w:rsidRDefault="00E7408C" w:rsidP="00E7408C">
      <w:pPr>
        <w:pStyle w:val="ManualNumPar1"/>
        <w:rPr>
          <w:noProof/>
        </w:rPr>
      </w:pPr>
      <w:r w:rsidRPr="00E7408C">
        <w:t>2.</w:t>
      </w:r>
      <w:r w:rsidRPr="00E7408C">
        <w:tab/>
      </w:r>
      <w:r w:rsidR="00097364" w:rsidRPr="00195EC3">
        <w:rPr>
          <w:noProof/>
        </w:rPr>
        <w:t>l'articolo</w:t>
      </w:r>
      <w:r w:rsidR="0064601D">
        <w:rPr>
          <w:noProof/>
        </w:rPr>
        <w:t> </w:t>
      </w:r>
      <w:r w:rsidR="00097364" w:rsidRPr="00195EC3">
        <w:rPr>
          <w:noProof/>
        </w:rPr>
        <w:t>7 è soppresso.</w:t>
      </w:r>
    </w:p>
    <w:p w14:paraId="1DCB8078" w14:textId="77777777" w:rsidR="00F152DC" w:rsidRPr="00195EC3" w:rsidRDefault="00F152DC" w:rsidP="00D045D9">
      <w:pPr>
        <w:pStyle w:val="Titrearticle"/>
        <w:rPr>
          <w:noProof/>
        </w:rPr>
      </w:pPr>
      <w:r w:rsidRPr="00195EC3">
        <w:rPr>
          <w:noProof/>
        </w:rPr>
        <w:t>Articolo 19</w:t>
      </w:r>
    </w:p>
    <w:p w14:paraId="230C2B53" w14:textId="0F0C35BC" w:rsidR="00F152DC" w:rsidRPr="002A406A" w:rsidRDefault="004D643E" w:rsidP="00D045D9">
      <w:pPr>
        <w:rPr>
          <w:noProof/>
        </w:rPr>
      </w:pPr>
      <w:r w:rsidRPr="002A406A">
        <w:rPr>
          <w:noProof/>
        </w:rPr>
        <w:t xml:space="preserve">La presente decisione entra in vigore il giorno successivo alla pubblicazione nella </w:t>
      </w:r>
      <w:r w:rsidRPr="002A406A">
        <w:rPr>
          <w:i/>
          <w:noProof/>
        </w:rPr>
        <w:t>Gazzetta</w:t>
      </w:r>
      <w:r w:rsidR="0064601D" w:rsidRPr="002A406A">
        <w:rPr>
          <w:i/>
          <w:noProof/>
        </w:rPr>
        <w:t> </w:t>
      </w:r>
      <w:r w:rsidRPr="002A406A">
        <w:rPr>
          <w:i/>
          <w:noProof/>
        </w:rPr>
        <w:t>ufficiale dell'Unione europea</w:t>
      </w:r>
      <w:r w:rsidRPr="002A406A">
        <w:rPr>
          <w:noProof/>
        </w:rPr>
        <w:t>.</w:t>
      </w:r>
    </w:p>
    <w:p w14:paraId="24E6DDAE" w14:textId="77777777" w:rsidR="00F152DC" w:rsidRPr="002A406A" w:rsidRDefault="00F152DC" w:rsidP="2716B58F">
      <w:pPr>
        <w:keepNext/>
        <w:keepLines/>
        <w:rPr>
          <w:rFonts w:eastAsia="Calibri"/>
          <w:noProof/>
          <w:szCs w:val="24"/>
        </w:rPr>
      </w:pPr>
    </w:p>
    <w:p w14:paraId="47D31D79" w14:textId="2933C41B" w:rsidR="00F152DC" w:rsidRPr="002A406A" w:rsidRDefault="00787FAC" w:rsidP="007A18C3">
      <w:pPr>
        <w:pStyle w:val="Fait"/>
        <w:rPr>
          <w:noProof/>
        </w:rPr>
      </w:pPr>
      <w:r w:rsidRPr="00787FAC">
        <w:t>Fatto a Bruxelles, il</w:t>
      </w:r>
    </w:p>
    <w:p w14:paraId="091E8CD1" w14:textId="77777777" w:rsidR="00F152DC" w:rsidRPr="002A406A" w:rsidRDefault="00F152DC" w:rsidP="007A18C3">
      <w:pPr>
        <w:pStyle w:val="Institutionquisigne"/>
        <w:rPr>
          <w:noProof/>
        </w:rPr>
      </w:pPr>
      <w:r w:rsidRPr="002A406A">
        <w:rPr>
          <w:noProof/>
        </w:rPr>
        <w:t>Per il Parlamento europeo</w:t>
      </w:r>
      <w:r w:rsidRPr="002A406A">
        <w:rPr>
          <w:noProof/>
        </w:rPr>
        <w:tab/>
      </w:r>
      <w:r w:rsidRPr="002A406A">
        <w:rPr>
          <w:noProof/>
        </w:rPr>
        <w:tab/>
      </w:r>
      <w:r w:rsidRPr="002A406A">
        <w:rPr>
          <w:noProof/>
        </w:rPr>
        <w:tab/>
        <w:t>Per il Consiglio</w:t>
      </w:r>
    </w:p>
    <w:p w14:paraId="740CE9F1" w14:textId="77777777" w:rsidR="007649C9" w:rsidRPr="002A406A" w:rsidRDefault="00A32A62" w:rsidP="00274C32">
      <w:pPr>
        <w:pStyle w:val="Personnequisigne"/>
        <w:rPr>
          <w:noProof/>
        </w:rPr>
        <w:sectPr w:rsidR="007649C9" w:rsidRPr="002A406A" w:rsidSect="003A691C">
          <w:pgSz w:w="11907" w:h="16840" w:code="9"/>
          <w:pgMar w:top="1134" w:right="1418" w:bottom="1134" w:left="1418" w:header="709" w:footer="709" w:gutter="0"/>
          <w:cols w:space="720"/>
          <w:docGrid w:linePitch="360"/>
        </w:sectPr>
      </w:pPr>
      <w:r w:rsidRPr="002A406A">
        <w:rPr>
          <w:noProof/>
        </w:rPr>
        <w:t>La presidente</w:t>
      </w:r>
      <w:r w:rsidRPr="002A406A">
        <w:rPr>
          <w:noProof/>
        </w:rPr>
        <w:tab/>
      </w:r>
      <w:r w:rsidRPr="002A406A">
        <w:rPr>
          <w:noProof/>
        </w:rPr>
        <w:tab/>
      </w:r>
      <w:r w:rsidRPr="002A406A">
        <w:rPr>
          <w:noProof/>
        </w:rPr>
        <w:tab/>
        <w:t>Il presidente</w:t>
      </w:r>
    </w:p>
    <w:p w14:paraId="60D187E9" w14:textId="77777777" w:rsidR="00C4624A" w:rsidRPr="002A406A" w:rsidRDefault="00C4624A" w:rsidP="00C4624A">
      <w:pPr>
        <w:pStyle w:val="Fichefinanciretitre"/>
        <w:rPr>
          <w:noProof/>
        </w:rPr>
      </w:pPr>
      <w:r w:rsidRPr="002A406A">
        <w:rPr>
          <w:noProof/>
        </w:rPr>
        <w:lastRenderedPageBreak/>
        <w:t>SCHEDA FINANZIARIA LEGISLATIVA</w:t>
      </w:r>
    </w:p>
    <w:p w14:paraId="6157CF2F" w14:textId="2121B666" w:rsidR="00C4624A" w:rsidRPr="00195EC3" w:rsidRDefault="00E7408C" w:rsidP="00E7408C">
      <w:pPr>
        <w:pStyle w:val="ManualHeading1"/>
        <w:rPr>
          <w:noProof/>
        </w:rPr>
      </w:pPr>
      <w:bookmarkStart w:id="5" w:name="_Toc514938007"/>
      <w:bookmarkStart w:id="6" w:name="_Toc520485025"/>
      <w:r w:rsidRPr="00E7408C">
        <w:t>1.</w:t>
      </w:r>
      <w:r w:rsidRPr="00E7408C">
        <w:tab/>
      </w:r>
      <w:r w:rsidR="00C4624A" w:rsidRPr="00195EC3">
        <w:rPr>
          <w:noProof/>
        </w:rPr>
        <w:t>CONTESTO DELLA PROPOSTA/INIZIATIVA</w:t>
      </w:r>
      <w:bookmarkEnd w:id="5"/>
      <w:bookmarkEnd w:id="6"/>
      <w:r w:rsidR="00C4624A" w:rsidRPr="00195EC3">
        <w:rPr>
          <w:noProof/>
        </w:rPr>
        <w:t xml:space="preserve"> </w:t>
      </w:r>
    </w:p>
    <w:p w14:paraId="00B41A3D" w14:textId="35A1F430" w:rsidR="00C4624A" w:rsidRPr="00195EC3" w:rsidRDefault="00E7408C" w:rsidP="00E7408C">
      <w:pPr>
        <w:pStyle w:val="ManualHeading2"/>
        <w:rPr>
          <w:noProof/>
        </w:rPr>
      </w:pPr>
      <w:bookmarkStart w:id="7" w:name="_Toc514938008"/>
      <w:bookmarkStart w:id="8" w:name="_Toc520485026"/>
      <w:r w:rsidRPr="00E7408C">
        <w:t>1.1.</w:t>
      </w:r>
      <w:r w:rsidRPr="00E7408C">
        <w:tab/>
      </w:r>
      <w:r w:rsidR="00C4624A" w:rsidRPr="00195EC3">
        <w:rPr>
          <w:noProof/>
        </w:rPr>
        <w:t>Titolo della proposta/iniziativa</w:t>
      </w:r>
      <w:bookmarkEnd w:id="7"/>
      <w:bookmarkEnd w:id="8"/>
    </w:p>
    <w:p w14:paraId="185F59AC" w14:textId="77777777" w:rsidR="00C4624A" w:rsidRPr="002A406A" w:rsidRDefault="00C4624A" w:rsidP="00C4624A">
      <w:pPr>
        <w:pBdr>
          <w:top w:val="single" w:sz="4" w:space="1" w:color="auto"/>
          <w:left w:val="single" w:sz="4" w:space="4" w:color="auto"/>
          <w:bottom w:val="single" w:sz="4" w:space="1" w:color="auto"/>
          <w:right w:val="single" w:sz="4" w:space="4" w:color="auto"/>
        </w:pBdr>
        <w:ind w:left="851"/>
        <w:rPr>
          <w:rFonts w:eastAsiaTheme="majorEastAsia"/>
          <w:b/>
          <w:bCs/>
          <w:noProof/>
        </w:rPr>
      </w:pPr>
      <w:r w:rsidRPr="002A406A">
        <w:rPr>
          <w:noProof/>
          <w:color w:val="000000" w:themeColor="text1"/>
        </w:rPr>
        <w:t>Proposta di decisione del Parlamento europeo e del Consiglio relativa alla concessione di assistenza macrofinanziaria all'Ucraina</w:t>
      </w:r>
    </w:p>
    <w:p w14:paraId="1CFFE837" w14:textId="31160A9D" w:rsidR="00C4624A" w:rsidRPr="002A406A" w:rsidRDefault="00E7408C" w:rsidP="00E7408C">
      <w:pPr>
        <w:pStyle w:val="ManualHeading2"/>
        <w:rPr>
          <w:i/>
          <w:iCs/>
          <w:noProof/>
        </w:rPr>
      </w:pPr>
      <w:bookmarkStart w:id="9" w:name="_Toc514938011"/>
      <w:bookmarkStart w:id="10" w:name="_Toc520485027"/>
      <w:r w:rsidRPr="00E7408C">
        <w:t>1.2.</w:t>
      </w:r>
      <w:r w:rsidRPr="00E7408C">
        <w:tab/>
      </w:r>
      <w:r w:rsidR="00C4624A" w:rsidRPr="002A406A">
        <w:rPr>
          <w:noProof/>
        </w:rPr>
        <w:t>Settore/settori interessati</w:t>
      </w:r>
      <w:bookmarkEnd w:id="9"/>
      <w:bookmarkEnd w:id="10"/>
      <w:r w:rsidR="00C4624A" w:rsidRPr="002A406A">
        <w:rPr>
          <w:i/>
          <w:noProof/>
        </w:rPr>
        <w:t xml:space="preserve"> </w:t>
      </w:r>
      <w:r w:rsidR="00C4624A" w:rsidRPr="002A406A">
        <w:rPr>
          <w:noProof/>
        </w:rPr>
        <w:t>nella struttura ABM/ABB</w:t>
      </w:r>
      <w:r w:rsidR="00C4624A" w:rsidRPr="00195EC3">
        <w:rPr>
          <w:rStyle w:val="FootnoteReference"/>
          <w:noProof/>
        </w:rPr>
        <w:footnoteReference w:id="27"/>
      </w:r>
    </w:p>
    <w:p w14:paraId="207C44F6" w14:textId="77777777" w:rsidR="00C4624A" w:rsidRPr="002A406A" w:rsidRDefault="00C4624A" w:rsidP="00C4624A">
      <w:pPr>
        <w:pStyle w:val="Text1"/>
        <w:pBdr>
          <w:top w:val="single" w:sz="4" w:space="1" w:color="auto"/>
          <w:left w:val="single" w:sz="4" w:space="4" w:color="auto"/>
          <w:bottom w:val="single" w:sz="4" w:space="1" w:color="auto"/>
          <w:right w:val="single" w:sz="4" w:space="4" w:color="auto"/>
        </w:pBdr>
        <w:rPr>
          <w:noProof/>
        </w:rPr>
      </w:pPr>
      <w:r w:rsidRPr="002A406A">
        <w:rPr>
          <w:noProof/>
        </w:rPr>
        <w:t>Settore: affari economici e finanziari</w:t>
      </w:r>
    </w:p>
    <w:p w14:paraId="5A6E4B53" w14:textId="77777777" w:rsidR="00C4624A" w:rsidRPr="002A406A" w:rsidRDefault="00C4624A" w:rsidP="00C4624A">
      <w:pPr>
        <w:pStyle w:val="Text1"/>
        <w:pBdr>
          <w:top w:val="single" w:sz="4" w:space="1" w:color="auto"/>
          <w:left w:val="single" w:sz="4" w:space="4" w:color="auto"/>
          <w:bottom w:val="single" w:sz="4" w:space="1" w:color="auto"/>
          <w:right w:val="single" w:sz="4" w:space="4" w:color="auto"/>
        </w:pBdr>
        <w:rPr>
          <w:noProof/>
        </w:rPr>
      </w:pPr>
      <w:r w:rsidRPr="002A406A">
        <w:rPr>
          <w:noProof/>
        </w:rPr>
        <w:t>Attività: affari economici e finanziari internazionali</w:t>
      </w:r>
    </w:p>
    <w:p w14:paraId="544C88F4" w14:textId="7F81C957" w:rsidR="00C4624A" w:rsidRPr="00195EC3" w:rsidRDefault="00E7408C" w:rsidP="00E7408C">
      <w:pPr>
        <w:pStyle w:val="ManualHeading2"/>
        <w:rPr>
          <w:bCs/>
          <w:noProof/>
          <w:szCs w:val="24"/>
        </w:rPr>
      </w:pPr>
      <w:bookmarkStart w:id="11" w:name="_Toc514938014"/>
      <w:bookmarkStart w:id="12" w:name="_Toc520485028"/>
      <w:r w:rsidRPr="00E7408C">
        <w:t>1.3.</w:t>
      </w:r>
      <w:r w:rsidRPr="00E7408C">
        <w:tab/>
      </w:r>
      <w:r w:rsidR="00C4624A" w:rsidRPr="00195EC3">
        <w:rPr>
          <w:noProof/>
        </w:rPr>
        <w:t>La proposta/iniziativa riguarda:</w:t>
      </w:r>
      <w:bookmarkEnd w:id="11"/>
      <w:bookmarkEnd w:id="12"/>
      <w:r w:rsidR="00C4624A" w:rsidRPr="00195EC3">
        <w:rPr>
          <w:noProof/>
        </w:rPr>
        <w:t xml:space="preserve"> </w:t>
      </w:r>
    </w:p>
    <w:p w14:paraId="172EDA0D" w14:textId="77777777" w:rsidR="00C4624A" w:rsidRPr="00195EC3" w:rsidRDefault="00C4624A" w:rsidP="00C4624A">
      <w:pPr>
        <w:pStyle w:val="Text1"/>
        <w:rPr>
          <w:b/>
          <w:bCs/>
          <w:noProof/>
          <w:sz w:val="22"/>
        </w:rPr>
      </w:pPr>
      <w:r w:rsidRPr="00195EC3">
        <w:rPr>
          <w:rFonts w:ascii="Wingdings" w:hAnsi="Wingdings"/>
          <w:noProof/>
        </w:rPr>
        <w:t></w:t>
      </w:r>
      <w:r w:rsidRPr="00195EC3">
        <w:rPr>
          <w:b/>
          <w:i/>
          <w:noProof/>
          <w:sz w:val="22"/>
        </w:rPr>
        <w:t xml:space="preserve"> </w:t>
      </w:r>
      <w:r w:rsidRPr="00195EC3">
        <w:rPr>
          <w:b/>
          <w:noProof/>
        </w:rPr>
        <w:t>una nuova azione</w:t>
      </w:r>
      <w:r w:rsidRPr="00195EC3">
        <w:rPr>
          <w:b/>
          <w:noProof/>
          <w:sz w:val="22"/>
        </w:rPr>
        <w:t xml:space="preserve"> </w:t>
      </w:r>
    </w:p>
    <w:p w14:paraId="7B6FDD4A" w14:textId="77777777" w:rsidR="00C4624A" w:rsidRPr="002A406A" w:rsidRDefault="00C4624A" w:rsidP="00C4624A">
      <w:pPr>
        <w:pStyle w:val="Text1"/>
        <w:rPr>
          <w:noProof/>
          <w:sz w:val="22"/>
        </w:rPr>
      </w:pPr>
      <w:r w:rsidRPr="00195EC3">
        <w:rPr>
          <w:rFonts w:ascii="Wingdings" w:hAnsi="Wingdings"/>
          <w:noProof/>
        </w:rPr>
        <w:t></w:t>
      </w:r>
      <w:r w:rsidRPr="00195EC3">
        <w:rPr>
          <w:rFonts w:ascii="Wingdings" w:hAnsi="Wingdings"/>
          <w:noProof/>
        </w:rPr>
        <w:t></w:t>
      </w:r>
      <w:r w:rsidRPr="002A406A">
        <w:rPr>
          <w:b/>
          <w:noProof/>
        </w:rPr>
        <w:t>una nuova azione a seguito di un progetto pilota/un'azione preparatoria</w:t>
      </w:r>
      <w:r w:rsidRPr="00195EC3">
        <w:rPr>
          <w:rStyle w:val="FootnoteReference"/>
          <w:b/>
          <w:bCs/>
          <w:noProof/>
        </w:rPr>
        <w:footnoteReference w:id="28"/>
      </w:r>
      <w:r w:rsidRPr="002A406A">
        <w:rPr>
          <w:noProof/>
          <w:sz w:val="22"/>
        </w:rPr>
        <w:t xml:space="preserve"> </w:t>
      </w:r>
    </w:p>
    <w:p w14:paraId="0D896569" w14:textId="77777777" w:rsidR="00C4624A" w:rsidRPr="002A406A" w:rsidRDefault="00C4624A" w:rsidP="00C4624A">
      <w:pPr>
        <w:pStyle w:val="Text1"/>
        <w:rPr>
          <w:noProof/>
          <w:sz w:val="22"/>
        </w:rPr>
      </w:pPr>
      <w:r w:rsidRPr="00195EC3">
        <w:rPr>
          <w:rFonts w:ascii="Wingdings" w:hAnsi="Wingdings"/>
          <w:noProof/>
        </w:rPr>
        <w:t></w:t>
      </w:r>
      <w:r w:rsidRPr="002A406A">
        <w:rPr>
          <w:i/>
          <w:noProof/>
          <w:sz w:val="22"/>
        </w:rPr>
        <w:t xml:space="preserve"> </w:t>
      </w:r>
      <w:r w:rsidRPr="002A406A">
        <w:rPr>
          <w:b/>
          <w:noProof/>
        </w:rPr>
        <w:t>la proroga di un'azione esistente</w:t>
      </w:r>
      <w:r w:rsidRPr="002A406A">
        <w:rPr>
          <w:noProof/>
          <w:sz w:val="22"/>
        </w:rPr>
        <w:t xml:space="preserve"> </w:t>
      </w:r>
    </w:p>
    <w:p w14:paraId="6B0414A1" w14:textId="77777777" w:rsidR="00C4624A" w:rsidRPr="002A406A" w:rsidRDefault="00C4624A" w:rsidP="00C4624A">
      <w:pPr>
        <w:pStyle w:val="Text1"/>
        <w:rPr>
          <w:noProof/>
        </w:rPr>
      </w:pPr>
      <w:r w:rsidRPr="00195EC3">
        <w:rPr>
          <w:rFonts w:ascii="Wingdings" w:hAnsi="Wingdings"/>
          <w:noProof/>
        </w:rPr>
        <w:t></w:t>
      </w:r>
      <w:r w:rsidRPr="002A406A">
        <w:rPr>
          <w:i/>
          <w:noProof/>
          <w:sz w:val="22"/>
        </w:rPr>
        <w:t xml:space="preserve"> </w:t>
      </w:r>
      <w:r w:rsidRPr="002A406A">
        <w:rPr>
          <w:b/>
          <w:noProof/>
        </w:rPr>
        <w:t>la fusione o il riorientamento di una o più azioni verso un'altra/una nuova azione</w:t>
      </w:r>
      <w:r w:rsidRPr="002A406A">
        <w:rPr>
          <w:noProof/>
        </w:rPr>
        <w:t xml:space="preserve"> </w:t>
      </w:r>
    </w:p>
    <w:p w14:paraId="16985A21" w14:textId="6B679310" w:rsidR="00C4624A" w:rsidRPr="00195EC3" w:rsidRDefault="00E7408C" w:rsidP="00E7408C">
      <w:pPr>
        <w:pStyle w:val="ManualHeading2"/>
        <w:rPr>
          <w:noProof/>
          <w:szCs w:val="24"/>
        </w:rPr>
      </w:pPr>
      <w:bookmarkStart w:id="13" w:name="_Toc514938015"/>
      <w:bookmarkStart w:id="14" w:name="_Toc520485029"/>
      <w:r w:rsidRPr="00E7408C">
        <w:t>1.4.</w:t>
      </w:r>
      <w:r w:rsidRPr="00E7408C">
        <w:tab/>
      </w:r>
      <w:r w:rsidR="00C4624A" w:rsidRPr="00195EC3">
        <w:rPr>
          <w:noProof/>
        </w:rPr>
        <w:t>Obiettivi</w:t>
      </w:r>
      <w:bookmarkEnd w:id="13"/>
      <w:bookmarkEnd w:id="14"/>
    </w:p>
    <w:p w14:paraId="6DC65E5B" w14:textId="1088CE86" w:rsidR="00C4624A" w:rsidRPr="00195EC3" w:rsidRDefault="00E7408C" w:rsidP="00E7408C">
      <w:pPr>
        <w:pStyle w:val="ManualHeading3"/>
        <w:rPr>
          <w:noProof/>
        </w:rPr>
      </w:pPr>
      <w:bookmarkStart w:id="15" w:name="_Toc514938016"/>
      <w:bookmarkStart w:id="16" w:name="_Toc520485030"/>
      <w:r w:rsidRPr="00E7408C">
        <w:t>1.4.1.</w:t>
      </w:r>
      <w:r w:rsidRPr="00E7408C">
        <w:tab/>
      </w:r>
      <w:r w:rsidR="00C4624A" w:rsidRPr="00195EC3">
        <w:rPr>
          <w:noProof/>
        </w:rPr>
        <w:t>Obiettivi generali</w:t>
      </w:r>
      <w:bookmarkEnd w:id="15"/>
      <w:bookmarkEnd w:id="16"/>
    </w:p>
    <w:p w14:paraId="6E1EB600" w14:textId="77777777" w:rsidR="00C4624A" w:rsidRPr="002A406A" w:rsidRDefault="00C4624A" w:rsidP="00C4624A">
      <w:pPr>
        <w:pStyle w:val="Text1"/>
        <w:rPr>
          <w:rFonts w:eastAsia="Calibri"/>
          <w:noProof/>
          <w:szCs w:val="24"/>
        </w:rPr>
      </w:pPr>
      <w:r w:rsidRPr="002A406A">
        <w:rPr>
          <w:noProof/>
        </w:rPr>
        <w:t xml:space="preserve"> "Il rilancio dell'occupazione, della crescita e degli investimenti: promuovere la prosperità anche al di fuori dell'UE"</w:t>
      </w:r>
    </w:p>
    <w:p w14:paraId="2B392266" w14:textId="0D65AC1F" w:rsidR="00C4624A" w:rsidRPr="00195EC3" w:rsidRDefault="00E7408C" w:rsidP="00E7408C">
      <w:pPr>
        <w:pStyle w:val="ManualHeading3"/>
        <w:rPr>
          <w:noProof/>
        </w:rPr>
      </w:pPr>
      <w:bookmarkStart w:id="17" w:name="_Toc514938018"/>
      <w:bookmarkStart w:id="18" w:name="_Toc520485031"/>
      <w:r w:rsidRPr="00E7408C">
        <w:t>1.4.2.</w:t>
      </w:r>
      <w:r w:rsidRPr="00E7408C">
        <w:tab/>
      </w:r>
      <w:r w:rsidR="00C4624A" w:rsidRPr="00195EC3">
        <w:rPr>
          <w:noProof/>
        </w:rPr>
        <w:t>Obiettivi specifici</w:t>
      </w:r>
      <w:bookmarkEnd w:id="17"/>
      <w:bookmarkEnd w:id="18"/>
    </w:p>
    <w:p w14:paraId="49E97B65" w14:textId="77777777" w:rsidR="00C4624A" w:rsidRPr="00195EC3" w:rsidRDefault="00C4624A" w:rsidP="00C4624A">
      <w:pPr>
        <w:pStyle w:val="Text1"/>
        <w:pBdr>
          <w:top w:val="single" w:sz="4" w:space="1" w:color="auto"/>
          <w:left w:val="single" w:sz="4" w:space="4" w:color="auto"/>
          <w:bottom w:val="single" w:sz="4" w:space="2" w:color="auto"/>
          <w:right w:val="single" w:sz="4" w:space="4" w:color="auto"/>
        </w:pBdr>
        <w:rPr>
          <w:noProof/>
          <w:u w:val="single"/>
        </w:rPr>
      </w:pPr>
      <w:r w:rsidRPr="00195EC3">
        <w:rPr>
          <w:noProof/>
          <w:u w:val="single"/>
        </w:rPr>
        <w:t>Obiettivo specifico</w:t>
      </w:r>
    </w:p>
    <w:p w14:paraId="1D2FB174" w14:textId="77777777" w:rsidR="00C4624A" w:rsidRPr="002A406A" w:rsidRDefault="00C4624A" w:rsidP="00C4624A">
      <w:pPr>
        <w:ind w:firstLine="720"/>
        <w:rPr>
          <w:rFonts w:eastAsia="Times New Roman"/>
          <w:noProof/>
          <w:szCs w:val="24"/>
        </w:rPr>
      </w:pPr>
      <w:r w:rsidRPr="002A406A">
        <w:rPr>
          <w:noProof/>
        </w:rPr>
        <w:t xml:space="preserve">"Promuovere la prosperità anche al di fuori dell'UE" </w:t>
      </w:r>
    </w:p>
    <w:p w14:paraId="49B767DC" w14:textId="77777777" w:rsidR="00C4624A" w:rsidRPr="002A406A" w:rsidRDefault="00C4624A" w:rsidP="00C4624A">
      <w:pPr>
        <w:pStyle w:val="Text1"/>
        <w:pBdr>
          <w:top w:val="single" w:sz="4" w:space="1" w:color="auto"/>
          <w:left w:val="single" w:sz="4" w:space="4" w:color="auto"/>
          <w:bottom w:val="single" w:sz="4" w:space="1" w:color="auto"/>
          <w:right w:val="single" w:sz="4" w:space="4" w:color="auto"/>
        </w:pBdr>
        <w:rPr>
          <w:noProof/>
          <w:u w:val="single"/>
        </w:rPr>
      </w:pPr>
      <w:r w:rsidRPr="002A406A">
        <w:rPr>
          <w:noProof/>
          <w:u w:val="single"/>
        </w:rPr>
        <w:t>Attività ABM/ABB interessate</w:t>
      </w:r>
    </w:p>
    <w:p w14:paraId="1C185005" w14:textId="77777777" w:rsidR="00C4624A" w:rsidRPr="002A406A" w:rsidRDefault="00C4624A" w:rsidP="00C4624A">
      <w:pPr>
        <w:ind w:firstLine="720"/>
        <w:rPr>
          <w:rFonts w:eastAsia="Times New Roman"/>
          <w:noProof/>
        </w:rPr>
      </w:pPr>
      <w:r w:rsidRPr="002A406A">
        <w:rPr>
          <w:noProof/>
        </w:rPr>
        <w:t xml:space="preserve">Le attività concernenti la DG ECFIN riguardano: </w:t>
      </w:r>
    </w:p>
    <w:p w14:paraId="6BC29546" w14:textId="6A226A4F" w:rsidR="00C4624A" w:rsidRPr="002A406A" w:rsidRDefault="00C4624A" w:rsidP="00C4624A">
      <w:pPr>
        <w:ind w:left="720"/>
        <w:rPr>
          <w:rFonts w:eastAsia="Times New Roman"/>
          <w:noProof/>
          <w:szCs w:val="24"/>
        </w:rPr>
      </w:pPr>
      <w:r w:rsidRPr="002A406A">
        <w:rPr>
          <w:noProof/>
        </w:rPr>
        <w:t>a)</w:t>
      </w:r>
      <w:r w:rsidRPr="002A406A">
        <w:rPr>
          <w:noProof/>
        </w:rPr>
        <w:tab/>
        <w:t>il sostegno alla stabilità macroeconomica e la promozione delle riforme a favore della crescita al di fuori dell'UE, anche attraverso dialoghi economici regolari con partner fondamentali e l'erogazione di assistenza macrofin</w:t>
      </w:r>
      <w:r w:rsidR="0064601D" w:rsidRPr="002A406A">
        <w:rPr>
          <w:noProof/>
        </w:rPr>
        <w:t>anziaria;</w:t>
      </w:r>
      <w:r w:rsidRPr="002A406A">
        <w:rPr>
          <w:noProof/>
        </w:rPr>
        <w:t xml:space="preserve"> </w:t>
      </w:r>
    </w:p>
    <w:p w14:paraId="22E586E2" w14:textId="77777777" w:rsidR="00C4624A" w:rsidRPr="002A406A" w:rsidRDefault="00C4624A" w:rsidP="00C4624A">
      <w:pPr>
        <w:ind w:left="720"/>
        <w:rPr>
          <w:rFonts w:eastAsia="Times New Roman"/>
          <w:noProof/>
          <w:szCs w:val="24"/>
        </w:rPr>
      </w:pPr>
      <w:r w:rsidRPr="002A406A">
        <w:rPr>
          <w:noProof/>
        </w:rPr>
        <w:t>b)</w:t>
      </w:r>
      <w:r w:rsidRPr="002A406A">
        <w:rPr>
          <w:noProof/>
        </w:rPr>
        <w:tab/>
        <w:t>il sostegno al processo di allargamento e all'attuazione delle politiche di allargamento e di vicinato dell'UE, così come delle altre priorità dell'UE nei paesi partner, mediante analisi economiche, consulenze e valutazioni delle politiche.</w:t>
      </w:r>
    </w:p>
    <w:p w14:paraId="5A7447AB" w14:textId="77777777" w:rsidR="00C4624A" w:rsidRPr="002A406A" w:rsidRDefault="00C4624A" w:rsidP="00C4624A">
      <w:pPr>
        <w:pStyle w:val="Text1"/>
        <w:rPr>
          <w:rFonts w:eastAsia="Calibri"/>
          <w:noProof/>
          <w:szCs w:val="24"/>
        </w:rPr>
      </w:pPr>
    </w:p>
    <w:p w14:paraId="39EE5479" w14:textId="04320139" w:rsidR="00C4624A" w:rsidRPr="00195EC3" w:rsidRDefault="00E7408C" w:rsidP="00E7408C">
      <w:pPr>
        <w:pStyle w:val="ManualHeading3"/>
        <w:rPr>
          <w:noProof/>
        </w:rPr>
      </w:pPr>
      <w:bookmarkStart w:id="19" w:name="_Toc514938019"/>
      <w:bookmarkStart w:id="20" w:name="_Toc520485032"/>
      <w:r w:rsidRPr="00E7408C">
        <w:t>1.4.3.</w:t>
      </w:r>
      <w:r w:rsidRPr="00E7408C">
        <w:tab/>
      </w:r>
      <w:r w:rsidR="00C4624A" w:rsidRPr="00195EC3">
        <w:rPr>
          <w:noProof/>
        </w:rPr>
        <w:t>Risultati e incidenza previsti</w:t>
      </w:r>
      <w:bookmarkEnd w:id="19"/>
      <w:bookmarkEnd w:id="20"/>
    </w:p>
    <w:p w14:paraId="072B6846" w14:textId="77777777" w:rsidR="00C4624A" w:rsidRPr="002A406A" w:rsidRDefault="00C4624A" w:rsidP="00C4624A">
      <w:pPr>
        <w:pStyle w:val="Text1"/>
        <w:rPr>
          <w:i/>
          <w:noProof/>
          <w:sz w:val="20"/>
        </w:rPr>
      </w:pPr>
      <w:r w:rsidRPr="002A406A">
        <w:rPr>
          <w:i/>
          <w:noProof/>
          <w:sz w:val="20"/>
        </w:rPr>
        <w:t>Precisare gli effetti che la proposta/iniziativa dovrebbe avere sui beneficiari/gruppi interessati.</w:t>
      </w:r>
    </w:p>
    <w:p w14:paraId="274BEF64" w14:textId="77777777" w:rsidR="00C4624A" w:rsidRPr="002A406A" w:rsidRDefault="00C4624A" w:rsidP="00A3543A">
      <w:pPr>
        <w:pStyle w:val="Bullet1"/>
        <w:numPr>
          <w:ilvl w:val="0"/>
          <w:numId w:val="29"/>
        </w:numPr>
        <w:rPr>
          <w:rFonts w:eastAsiaTheme="minorEastAsia"/>
          <w:noProof/>
        </w:rPr>
      </w:pPr>
      <w:r w:rsidRPr="002A406A">
        <w:rPr>
          <w:noProof/>
        </w:rPr>
        <w:t>Fornire assistenza macrofinanziaria all'Ucraina al fine di sostenerne la resilienza economica e la stabilità in una situazione di guerra.</w:t>
      </w:r>
    </w:p>
    <w:p w14:paraId="272B9E61" w14:textId="77777777" w:rsidR="00C4624A" w:rsidRPr="002A406A" w:rsidRDefault="00C4624A" w:rsidP="00C4624A">
      <w:pPr>
        <w:pStyle w:val="Bullet1"/>
        <w:rPr>
          <w:rFonts w:eastAsiaTheme="minorEastAsia"/>
          <w:noProof/>
          <w:szCs w:val="24"/>
        </w:rPr>
      </w:pPr>
      <w:r w:rsidRPr="002A406A">
        <w:rPr>
          <w:noProof/>
        </w:rPr>
        <w:t>Contribuire a coprire il fabbisogno di finanziamenti esterni dell'Ucraina per il 2022, nel contesto di un considerevole deterioramento della bilancia dei pagamenti dovuto all'invasione non provocata e ingiustificata dell'Ucraina da parte della Russia.</w:t>
      </w:r>
    </w:p>
    <w:p w14:paraId="4F67BAEA" w14:textId="77777777" w:rsidR="00C4624A" w:rsidRPr="002A406A" w:rsidRDefault="00C4624A" w:rsidP="00C4624A">
      <w:pPr>
        <w:pStyle w:val="Bullet1"/>
        <w:rPr>
          <w:rFonts w:eastAsiaTheme="minorEastAsia"/>
          <w:noProof/>
          <w:szCs w:val="24"/>
        </w:rPr>
      </w:pPr>
      <w:r w:rsidRPr="002A406A">
        <w:rPr>
          <w:noProof/>
        </w:rPr>
        <w:t xml:space="preserve">Alleviare il fabbisogno di finanziamento di bilancio del partner in continuità con l'assistenza emergenziale già fornita. </w:t>
      </w:r>
    </w:p>
    <w:p w14:paraId="597A8E61" w14:textId="77777777" w:rsidR="00C4624A" w:rsidRPr="002A406A" w:rsidRDefault="00C4624A" w:rsidP="00C4624A">
      <w:pPr>
        <w:pStyle w:val="Bullet1"/>
        <w:rPr>
          <w:rFonts w:eastAsiaTheme="minorEastAsia"/>
          <w:noProof/>
          <w:szCs w:val="24"/>
        </w:rPr>
      </w:pPr>
      <w:r w:rsidRPr="002A406A">
        <w:rPr>
          <w:noProof/>
        </w:rPr>
        <w:t>Sostenere le riforme strutturali volte a migliorare la gestione macroeconomica complessiva, a rafforzare la governance economica e la trasparenza e a migliorare le condizioni per una crescita sostenibile.</w:t>
      </w:r>
    </w:p>
    <w:p w14:paraId="4DB5043E" w14:textId="77777777" w:rsidR="00C4624A" w:rsidRPr="002A406A" w:rsidRDefault="00C4624A" w:rsidP="00C4624A">
      <w:pPr>
        <w:pStyle w:val="Text1"/>
        <w:rPr>
          <w:rFonts w:eastAsia="Calibri"/>
          <w:noProof/>
          <w:szCs w:val="24"/>
        </w:rPr>
      </w:pPr>
    </w:p>
    <w:p w14:paraId="347092AB" w14:textId="46B0B58F" w:rsidR="00C4624A" w:rsidRPr="00195EC3" w:rsidRDefault="00E7408C" w:rsidP="00E7408C">
      <w:pPr>
        <w:pStyle w:val="ManualHeading3"/>
        <w:rPr>
          <w:noProof/>
          <w:szCs w:val="24"/>
        </w:rPr>
      </w:pPr>
      <w:bookmarkStart w:id="21" w:name="_Toc514938023"/>
      <w:bookmarkStart w:id="22" w:name="_Toc520485033"/>
      <w:r w:rsidRPr="00E7408C">
        <w:t>1.4.4.</w:t>
      </w:r>
      <w:r w:rsidRPr="00E7408C">
        <w:tab/>
      </w:r>
      <w:r w:rsidR="00C4624A" w:rsidRPr="00195EC3">
        <w:rPr>
          <w:noProof/>
        </w:rPr>
        <w:t>Indicatori di prestazione</w:t>
      </w:r>
      <w:bookmarkEnd w:id="21"/>
      <w:bookmarkEnd w:id="22"/>
    </w:p>
    <w:p w14:paraId="5DB78349" w14:textId="77777777" w:rsidR="00C4624A" w:rsidRPr="002A406A" w:rsidRDefault="00C4624A" w:rsidP="00C4624A">
      <w:pPr>
        <w:pStyle w:val="Text1"/>
        <w:rPr>
          <w:i/>
          <w:noProof/>
          <w:sz w:val="20"/>
        </w:rPr>
      </w:pPr>
      <w:r w:rsidRPr="002A406A">
        <w:rPr>
          <w:i/>
          <w:noProof/>
          <w:sz w:val="20"/>
        </w:rPr>
        <w:t>Precisare gli indicatori con cui monitorare progressi e risultati</w:t>
      </w:r>
    </w:p>
    <w:p w14:paraId="64346733" w14:textId="77777777" w:rsidR="00C4624A" w:rsidRPr="002A406A"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A406A">
        <w:rPr>
          <w:noProof/>
        </w:rPr>
        <w:t xml:space="preserve">Le autorità ucraine dovranno riferire periodicamente ai servizi della Commissione su una serie di indicatori economici e sugli obblighi di rendicontazione di cui al protocollo d'intesa. </w:t>
      </w:r>
    </w:p>
    <w:p w14:paraId="49680E02" w14:textId="77777777" w:rsidR="00C4624A" w:rsidRPr="002A406A"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A406A">
        <w:rPr>
          <w:noProof/>
        </w:rPr>
        <w:t xml:space="preserve">Nella scia della valutazione operativa dei circuiti finanziari e delle procedure amministrative ucraini, presentata a giugno 2020, i servizi della Commissione continueranno a monitorare la gestione delle finanze pubbliche. La Commissione effettuerà una seconda valutazione operativa nel corso della fase attuativa. </w:t>
      </w:r>
    </w:p>
    <w:p w14:paraId="37EE2D95" w14:textId="77777777" w:rsidR="00C4624A" w:rsidRPr="002A406A" w:rsidRDefault="00C4624A" w:rsidP="00C4624A">
      <w:pPr>
        <w:pBdr>
          <w:top w:val="single" w:sz="4" w:space="1" w:color="auto"/>
          <w:left w:val="single" w:sz="4" w:space="4" w:color="auto"/>
          <w:bottom w:val="single" w:sz="4" w:space="1" w:color="auto"/>
          <w:right w:val="single" w:sz="4" w:space="4" w:color="auto"/>
        </w:pBdr>
        <w:rPr>
          <w:rFonts w:eastAsia="Times New Roman"/>
          <w:noProof/>
        </w:rPr>
      </w:pPr>
      <w:r w:rsidRPr="002A406A">
        <w:rPr>
          <w:noProof/>
        </w:rPr>
        <w:t xml:space="preserve">La proposta di decisione prevede la presentazione al Parlamento europeo e al Consiglio di una relazione annuale sull'AMF comprensiva di una valutazione dell'attuazione dell'operazione. Entro due anni dall'erogazione dell'ultima rata è prevista una valutazione indipendente ex post dell'assistenza. </w:t>
      </w:r>
    </w:p>
    <w:p w14:paraId="47577236" w14:textId="77777777" w:rsidR="00C4624A" w:rsidRPr="002A406A" w:rsidRDefault="00C4624A" w:rsidP="00C4624A">
      <w:pPr>
        <w:rPr>
          <w:rFonts w:eastAsia="Times New Roman"/>
          <w:noProof/>
        </w:rPr>
      </w:pPr>
    </w:p>
    <w:p w14:paraId="00C56D98" w14:textId="1686A691" w:rsidR="00C4624A" w:rsidRPr="00195EC3" w:rsidRDefault="00E7408C" w:rsidP="00E7408C">
      <w:pPr>
        <w:pStyle w:val="ManualHeading2"/>
        <w:rPr>
          <w:noProof/>
          <w:szCs w:val="24"/>
        </w:rPr>
      </w:pPr>
      <w:bookmarkStart w:id="23" w:name="_Toc514938025"/>
      <w:bookmarkStart w:id="24" w:name="_Toc520485034"/>
      <w:r w:rsidRPr="00E7408C">
        <w:t>1.5.</w:t>
      </w:r>
      <w:r w:rsidRPr="00E7408C">
        <w:tab/>
      </w:r>
      <w:r w:rsidR="00C4624A" w:rsidRPr="00195EC3">
        <w:rPr>
          <w:noProof/>
        </w:rPr>
        <w:t>Motivazione della proposta/iniziativa</w:t>
      </w:r>
      <w:bookmarkEnd w:id="23"/>
      <w:bookmarkEnd w:id="24"/>
      <w:r w:rsidR="00C4624A" w:rsidRPr="00195EC3">
        <w:rPr>
          <w:noProof/>
        </w:rPr>
        <w:t xml:space="preserve"> </w:t>
      </w:r>
    </w:p>
    <w:p w14:paraId="310A09E1" w14:textId="7A2C74B8" w:rsidR="00C4624A" w:rsidRPr="002A406A" w:rsidRDefault="00E7408C" w:rsidP="00E7408C">
      <w:pPr>
        <w:pStyle w:val="ManualHeading3"/>
        <w:rPr>
          <w:noProof/>
        </w:rPr>
      </w:pPr>
      <w:bookmarkStart w:id="25" w:name="_Toc514938026"/>
      <w:bookmarkStart w:id="26" w:name="_Toc520485035"/>
      <w:r w:rsidRPr="00E7408C">
        <w:t>1.5.1.</w:t>
      </w:r>
      <w:r w:rsidRPr="00E7408C">
        <w:tab/>
      </w:r>
      <w:r w:rsidR="00C4624A" w:rsidRPr="002A406A">
        <w:rPr>
          <w:noProof/>
        </w:rPr>
        <w:t>Necessità nel breve e lungo termine, compreso un calendario dettagliato per fasi di attuazione dell'iniziativa</w:t>
      </w:r>
      <w:bookmarkEnd w:id="25"/>
      <w:bookmarkEnd w:id="26"/>
    </w:p>
    <w:p w14:paraId="6929D647" w14:textId="77777777" w:rsidR="00C4624A" w:rsidRPr="002A406A" w:rsidRDefault="00C4624A" w:rsidP="00C4624A">
      <w:pPr>
        <w:rPr>
          <w:noProof/>
        </w:rPr>
      </w:pPr>
      <w:r w:rsidRPr="002A406A">
        <w:rPr>
          <w:noProof/>
        </w:rPr>
        <w:t xml:space="preserve">L'erogazione dell'assistenza sarà subordinata al rispetto dei prerequisiti politici elencati in un protocollo d'intesa concluso tra la Commissione e le autorità ucraine. È previsto che l'assistenza sia erogata in più rate. Le rate saranno svincolate in tempi rapidi una volta approvata la presente proposta ed entrato in vigore il relativo protocollo d'intesa, e quindi messe a disposizione. </w:t>
      </w:r>
    </w:p>
    <w:p w14:paraId="050E4976" w14:textId="77777777" w:rsidR="00C4624A" w:rsidRPr="002A406A" w:rsidRDefault="00C4624A" w:rsidP="00C4624A">
      <w:pPr>
        <w:pStyle w:val="Text1"/>
        <w:ind w:left="0"/>
        <w:rPr>
          <w:noProof/>
        </w:rPr>
      </w:pPr>
      <w:r w:rsidRPr="002A406A">
        <w:rPr>
          <w:noProof/>
        </w:rPr>
        <w:t xml:space="preserve">L'assistenza sarà gestita dalla Commissione. Si applicano disposizioni specifiche, conformi al regolamento finanziario, in materia di prevenzione delle frodi e di altre irregolarità. </w:t>
      </w:r>
    </w:p>
    <w:p w14:paraId="1024DFA1" w14:textId="77777777" w:rsidR="00C4624A" w:rsidRPr="002A406A" w:rsidRDefault="00C4624A" w:rsidP="00C4624A">
      <w:pPr>
        <w:spacing w:before="0" w:after="240"/>
        <w:rPr>
          <w:rFonts w:eastAsia="Arial Unicode MS"/>
          <w:noProof/>
        </w:rPr>
      </w:pPr>
      <w:r w:rsidRPr="002A406A">
        <w:rPr>
          <w:noProof/>
        </w:rPr>
        <w:t>La Commissione e le autorità ucraine concorderanno un protocollo d'intesa per stabilire gli obblighi di rendicontazione. La Commissione collaborerà strettamente con le istituzioni finanziarie internazionali e le autorità nazionali per monitorare gli sviluppi e l'applicazione degli obblighi e delle condizioni concordati nel protocollo d'intesa.</w:t>
      </w:r>
    </w:p>
    <w:p w14:paraId="71A3D9F5" w14:textId="7966DCAB" w:rsidR="00C4624A" w:rsidRPr="002A406A" w:rsidRDefault="00E7408C" w:rsidP="00E7408C">
      <w:pPr>
        <w:pStyle w:val="ManualHeading3"/>
        <w:rPr>
          <w:noProof/>
        </w:rPr>
      </w:pPr>
      <w:bookmarkStart w:id="27" w:name="_Toc514938029"/>
      <w:bookmarkStart w:id="28" w:name="_Toc520485036"/>
      <w:r w:rsidRPr="00E7408C">
        <w:t>1.5.2.</w:t>
      </w:r>
      <w:r w:rsidRPr="00E7408C">
        <w:tab/>
      </w:r>
      <w:r w:rsidR="00C4624A" w:rsidRPr="002A406A">
        <w:rPr>
          <w:noProof/>
        </w:rPr>
        <w:t>Valore aggiunto dell'intervento dell'Unione (che può derivare da diversi fattori, ad es. un miglior coordinamento, la certezza del diritto o un'efficacia e una complementarità maggiori). Ai fini del presente punto, per "valore aggiunto dell'intervento dell'Unione" si intende il valore derivante dall'intervento dell'Unione che va ad aggiungersi al valore che avrebbero altrimenti generato gli Stati membri se avessero agito da soli.</w:t>
      </w:r>
      <w:bookmarkEnd w:id="27"/>
      <w:bookmarkEnd w:id="28"/>
    </w:p>
    <w:p w14:paraId="35ED8E3B" w14:textId="7E30D66F" w:rsidR="00C4624A" w:rsidRPr="002A406A" w:rsidRDefault="00C4624A" w:rsidP="00C4624A">
      <w:pPr>
        <w:pBdr>
          <w:top w:val="nil"/>
          <w:left w:val="nil"/>
          <w:bottom w:val="nil"/>
          <w:right w:val="nil"/>
          <w:between w:val="nil"/>
          <w:bar w:val="nil"/>
        </w:pBdr>
        <w:spacing w:before="0" w:after="240"/>
        <w:rPr>
          <w:noProof/>
        </w:rPr>
      </w:pPr>
      <w:r w:rsidRPr="002A406A">
        <w:rPr>
          <w:noProof/>
        </w:rPr>
        <w:t>La presente proposta di assistenza macrofinanziaria a favore dell'Ucraina per un importo massimo di 5</w:t>
      </w:r>
      <w:r w:rsidR="0064601D" w:rsidRPr="002A406A">
        <w:rPr>
          <w:noProof/>
        </w:rPr>
        <w:t> </w:t>
      </w:r>
      <w:r w:rsidRPr="002A406A">
        <w:rPr>
          <w:noProof/>
        </w:rPr>
        <w:t>miliardi di EUR rientra nell'obiettivo dell'UE di fornire fino a 9</w:t>
      </w:r>
      <w:r w:rsidR="0064601D" w:rsidRPr="002A406A">
        <w:rPr>
          <w:noProof/>
        </w:rPr>
        <w:t> </w:t>
      </w:r>
      <w:r w:rsidRPr="002A406A">
        <w:rPr>
          <w:noProof/>
        </w:rPr>
        <w:t xml:space="preserve">miliardi di EUR di sostegno alla liquidità a breve termine. La proposta consegue e modifica la decisione (UE) 2022/1201 relativa alla concessione di assistenza macrofinanziaria all'Ucraina per un importo di 1 miliardo di EUR in prestiti, erogato integralmente a inizio agosto 2022. La presente AMF rafforza le iniziative dell'Unione finalizzate al sostegno diretto di carattere umanitario, economico e alla difesa, e quelle volte a coordinare gli interventi multilaterali, quali la campagna </w:t>
      </w:r>
      <w:r w:rsidRPr="002A406A">
        <w:rPr>
          <w:i/>
          <w:noProof/>
        </w:rPr>
        <w:t>Stand-up for Ukraine</w:t>
      </w:r>
      <w:r w:rsidRPr="002A406A">
        <w:rPr>
          <w:noProof/>
        </w:rPr>
        <w:t>. Per sua stessa natura l'AMF è anche un catalizzatore di riforme che rafforzano la resilienza a breve termine del paese, favorendo altresì una maggiore stabilità a lungo termine. Questi esiti attesi sono di particolare rilevanza per l'Ucraina in questo momento critico.</w:t>
      </w:r>
    </w:p>
    <w:p w14:paraId="75763B95" w14:textId="77777777" w:rsidR="00C4624A" w:rsidRPr="002A406A" w:rsidRDefault="00C4624A" w:rsidP="00C4624A">
      <w:pPr>
        <w:pBdr>
          <w:top w:val="nil"/>
          <w:left w:val="nil"/>
          <w:bottom w:val="nil"/>
          <w:right w:val="nil"/>
          <w:between w:val="nil"/>
          <w:bar w:val="nil"/>
        </w:pBdr>
        <w:spacing w:before="0" w:after="240"/>
        <w:rPr>
          <w:noProof/>
        </w:rPr>
      </w:pPr>
      <w:r w:rsidRPr="002A406A">
        <w:rPr>
          <w:noProof/>
        </w:rPr>
        <w:t>In questa fase l'erogazione di ulteriore sostegno all'Ucraina sotto forma di prestiti può aiutare le autorità del paese a superare i problemi immediati e più urgenti di finanziamento derivanti dalla guerra in atto. Sostenendo gli sforzi profusi dalle autorità per mantenere un contesto macroeconomico stabile, l'AMF proposta incrementa il valore aggiunto dell'impegno complessivo dell'UE in Ucraina e migliora l'efficacia delle altre forme di assistenza finanziaria dell'UE al paese, comprese le operazioni di sostegno al bilancio e le sovvenzioni disponibili nell'ambito degli strumenti di finanziamento esterno previsti dall'attuale quadro finanziario pluriennale per il 2021-2027.</w:t>
      </w:r>
    </w:p>
    <w:p w14:paraId="53D8AE47" w14:textId="77777777" w:rsidR="00C4624A" w:rsidRPr="002A406A" w:rsidRDefault="00C4624A" w:rsidP="00C4624A">
      <w:pPr>
        <w:rPr>
          <w:noProof/>
        </w:rPr>
      </w:pPr>
      <w:r w:rsidRPr="002A406A">
        <w:rPr>
          <w:noProof/>
        </w:rPr>
        <w:t>Strumenti quali il finanziamento di progetti o l'assistenza tecnica non sarebbero né adeguati né sufficienti per conseguire i più ampi obiettivi macrofinanziari di questa AMF eccezionale. Il valore aggiunto fondamentale dell'AMF rispetto ad altri strumenti dell'UE risiede nella capacità di alleggerire rapidamente la pressione finanziaria esterna e di contribuire a mantenere nel tempo un contesto macrofinanziario stabile, anche promuovendo una situazione della bilancia dei pagamenti e del bilancio duratura e sostenibile, in un quadro adeguato di obblighi di rendicontazione. Contribuendo all'adeguatezza del contesto strategico generale, l'AMF può migliorare l'efficacia degli interventi finanziati in Ucraina da altri strumenti finanziari più mirati dell'UE.</w:t>
      </w:r>
    </w:p>
    <w:p w14:paraId="3AA2AA0B" w14:textId="410BB68B" w:rsidR="00C4624A" w:rsidRPr="00195EC3" w:rsidRDefault="00E7408C" w:rsidP="00E7408C">
      <w:pPr>
        <w:pStyle w:val="ManualHeading3"/>
        <w:rPr>
          <w:noProof/>
        </w:rPr>
      </w:pPr>
      <w:bookmarkStart w:id="29" w:name="_Toc514938030"/>
      <w:bookmarkStart w:id="30" w:name="_Toc520485037"/>
      <w:r w:rsidRPr="00E7408C">
        <w:t>1.5.3.</w:t>
      </w:r>
      <w:r w:rsidRPr="00E7408C">
        <w:tab/>
      </w:r>
      <w:r w:rsidR="00C4624A" w:rsidRPr="00195EC3">
        <w:rPr>
          <w:noProof/>
        </w:rPr>
        <w:t>Insegnamenti tratti da esperienze analoghe</w:t>
      </w:r>
      <w:bookmarkEnd w:id="29"/>
      <w:bookmarkEnd w:id="30"/>
    </w:p>
    <w:p w14:paraId="0D623015" w14:textId="77777777" w:rsidR="00C4624A" w:rsidRPr="002A406A" w:rsidRDefault="00C4624A" w:rsidP="00C4624A">
      <w:pPr>
        <w:spacing w:before="0" w:after="240"/>
        <w:rPr>
          <w:noProof/>
        </w:rPr>
      </w:pPr>
      <w:r w:rsidRPr="002A406A">
        <w:rPr>
          <w:noProof/>
        </w:rPr>
        <w:t xml:space="preserve">Le operazioni di assistenza macrofinanziaria nei paesi partner sono soggette alla valutazione ex post. Dalle passate valutazioni ex post è emerso che, in generale, le precedenti operazioni di AMF a favore dell'Ucraina sono risultate estremamente pertinenti in termini di obiettivi, dotazione finanziaria e obiettivi strategici. </w:t>
      </w:r>
    </w:p>
    <w:p w14:paraId="0ADB3F11" w14:textId="77777777" w:rsidR="00C4624A" w:rsidRPr="002A406A" w:rsidRDefault="00C4624A" w:rsidP="00C4624A">
      <w:pPr>
        <w:spacing w:before="0" w:after="240"/>
        <w:rPr>
          <w:rFonts w:eastAsia="Arial Unicode MS"/>
          <w:noProof/>
        </w:rPr>
      </w:pPr>
      <w:r w:rsidRPr="002A406A">
        <w:rPr>
          <w:noProof/>
        </w:rPr>
        <w:t>Dette operazioni si sono dimostrate fondamentali per aiutare l'Ucraina ad affrontare i problemi della bilancia dei pagamenti e ad attuare fondamentali riforme strutturali per stabilizzare l'economia e rafforzare la sostenibilità della posizione esterna. Hanno consentito economie di bilancio e benefici finanziari, e hanno funzionato da catalizzatori di ulteriore sostegno finanziario e di fiducia degli investitori. Il complesso della condizionalità dell'AMF, perfettamente in linea con il collegato programma dell'FMI, ha determinato un impulso politico, contribuendo alla mobilitazione delle autorità ucraine su riforme essenziali, specialmente in settori non contemplati dai programmi di altri donatori internazionali.</w:t>
      </w:r>
    </w:p>
    <w:p w14:paraId="180F33D0" w14:textId="7F0D6C96" w:rsidR="00C4624A" w:rsidRPr="002A406A" w:rsidRDefault="00E7408C" w:rsidP="00E7408C">
      <w:pPr>
        <w:pStyle w:val="ManualHeading3"/>
        <w:rPr>
          <w:noProof/>
        </w:rPr>
      </w:pPr>
      <w:bookmarkStart w:id="31" w:name="_Toc514938033"/>
      <w:bookmarkStart w:id="32" w:name="_Toc520485038"/>
      <w:r w:rsidRPr="00E7408C">
        <w:t>1.5.4.</w:t>
      </w:r>
      <w:r w:rsidRPr="00E7408C">
        <w:tab/>
      </w:r>
      <w:r w:rsidR="00C4624A" w:rsidRPr="002A406A">
        <w:rPr>
          <w:noProof/>
        </w:rPr>
        <w:t>Compatibilità con il quadro finanziario pluriennale ed eventuali sinergie con altri strumenti pertinenti</w:t>
      </w:r>
      <w:bookmarkEnd w:id="31"/>
      <w:bookmarkEnd w:id="32"/>
    </w:p>
    <w:p w14:paraId="1A4374BA" w14:textId="77777777" w:rsidR="00C4624A" w:rsidRPr="002A406A" w:rsidRDefault="00C4624A" w:rsidP="00C4624A">
      <w:pPr>
        <w:pStyle w:val="Text1"/>
        <w:rPr>
          <w:noProof/>
        </w:rPr>
      </w:pPr>
    </w:p>
    <w:p w14:paraId="28E1C5F5" w14:textId="77777777" w:rsidR="00C4624A" w:rsidRPr="002A406A" w:rsidRDefault="00C4624A" w:rsidP="00C4624A">
      <w:pPr>
        <w:rPr>
          <w:noProof/>
        </w:rPr>
      </w:pPr>
      <w:r w:rsidRPr="002A406A">
        <w:rPr>
          <w:noProof/>
        </w:rPr>
        <w:t xml:space="preserve">In linea di massima gli accantonamenti per l'assistenza macrofinanziaria di cui al QFP 2021-2027 sono costituiti nel fondo comune di copertura di cui all'articolo 212 del regolamento (UE, Euratom) 2018/1046 del Parlamento europeo e del Consiglio a un tasso di copertura del 9 %. </w:t>
      </w:r>
    </w:p>
    <w:p w14:paraId="78741F4B" w14:textId="29C2FFA8" w:rsidR="00C4624A" w:rsidRPr="002A406A" w:rsidRDefault="00C4624A" w:rsidP="00C4624A">
      <w:pPr>
        <w:rPr>
          <w:noProof/>
        </w:rPr>
      </w:pPr>
      <w:r w:rsidRPr="002A406A">
        <w:rPr>
          <w:noProof/>
        </w:rPr>
        <w:t>Conformemente al principio della sana gestione finanziaria e in considerazione dell'esposizione al rischio attualmente stimata, è necessario prevedere una copertura al 70 % di queste esposizioni supplementari collegate alla situazione in Ucraina. Il bilancio dell'UE provvederà una protezione dalle prime perdite per il 9 % della totalità dei 6</w:t>
      </w:r>
      <w:r w:rsidR="0064601D" w:rsidRPr="002A406A">
        <w:rPr>
          <w:noProof/>
        </w:rPr>
        <w:t> </w:t>
      </w:r>
      <w:r w:rsidRPr="002A406A">
        <w:rPr>
          <w:noProof/>
        </w:rPr>
        <w:t>miliardi di EUR,</w:t>
      </w:r>
      <w:r w:rsidRPr="002A406A">
        <w:rPr>
          <w:rStyle w:val="normaltextrun"/>
          <w:noProof/>
          <w:color w:val="000000"/>
          <w:shd w:val="clear" w:color="auto" w:fill="FFFFFF"/>
        </w:rPr>
        <w:t xml:space="preserve"> </w:t>
      </w:r>
      <w:r w:rsidRPr="002A406A">
        <w:rPr>
          <w:noProof/>
          <w:color w:val="000000"/>
        </w:rPr>
        <w:t>a cui si aggiungeranno garanzie degli Stati membri per un ulteriore 61 % del valore dei prestiti.</w:t>
      </w:r>
      <w:r w:rsidR="0064601D" w:rsidRPr="002A406A">
        <w:rPr>
          <w:rStyle w:val="normaltextrun"/>
          <w:noProof/>
          <w:color w:val="000000"/>
          <w:shd w:val="clear" w:color="auto" w:fill="FFFFFF"/>
        </w:rPr>
        <w:t> </w:t>
      </w:r>
    </w:p>
    <w:p w14:paraId="19E1718A" w14:textId="3763F2DD" w:rsidR="00C4624A" w:rsidRPr="002A406A" w:rsidRDefault="00C4624A" w:rsidP="00C4624A">
      <w:pPr>
        <w:rPr>
          <w:noProof/>
        </w:rPr>
      </w:pPr>
      <w:r w:rsidRPr="002A406A">
        <w:rPr>
          <w:noProof/>
        </w:rPr>
        <w:t>Data la difficile situazione dell'Ucraina e al fine di sostenere il paese nel suo percorso di stabilità a lungo termine, l'Unione dovrebbe avere la possibilità di coprire in via eccezionale i costi degli interessi e di rinunciare alla riscossione delle spese amministrative a carico dell'Ucraina. Nel periodo del QFP 2021-2027 il contributo in conto interessi dovrebbe essere a carico della dotazione di cui all'articolo</w:t>
      </w:r>
      <w:r w:rsidR="0064601D" w:rsidRPr="002A406A">
        <w:rPr>
          <w:noProof/>
        </w:rPr>
        <w:t> </w:t>
      </w:r>
      <w:r w:rsidRPr="002A406A">
        <w:rPr>
          <w:noProof/>
        </w:rPr>
        <w:t>6, paragrafo 2, lettera a), primo trattino, del regolamento (UE) 2021/947.</w:t>
      </w:r>
    </w:p>
    <w:p w14:paraId="78CD872F" w14:textId="3B85BAB7" w:rsidR="00C4624A" w:rsidRPr="002A406A" w:rsidRDefault="00C4624A" w:rsidP="00C4624A">
      <w:pPr>
        <w:rPr>
          <w:noProof/>
        </w:rPr>
      </w:pPr>
      <w:r w:rsidRPr="002A406A">
        <w:rPr>
          <w:noProof/>
        </w:rPr>
        <w:t>Oltre al sostegno diretto, a luglio 2022 la Commissione europea ha deciso di reindirizzare verso l'Ucraina 1,59</w:t>
      </w:r>
      <w:r w:rsidR="0064601D" w:rsidRPr="002A406A">
        <w:rPr>
          <w:noProof/>
        </w:rPr>
        <w:t> </w:t>
      </w:r>
      <w:r w:rsidRPr="002A406A">
        <w:rPr>
          <w:noProof/>
        </w:rPr>
        <w:t>miliardi di EUR di prestiti del mandato esterno della Banca europea per gli investimenti (BEI) sostenuti da garanzie del bilancio dell'UE. Un importo di 1,05</w:t>
      </w:r>
      <w:r w:rsidR="0064601D" w:rsidRPr="002A406A">
        <w:rPr>
          <w:noProof/>
        </w:rPr>
        <w:t> </w:t>
      </w:r>
      <w:r w:rsidRPr="002A406A">
        <w:rPr>
          <w:noProof/>
        </w:rPr>
        <w:t>miliardi di euro sarà erogato dalla BEI nel terzo trimestre 2022; è prevista l'erogazione di altri 536</w:t>
      </w:r>
      <w:r w:rsidR="0064601D" w:rsidRPr="002A406A">
        <w:rPr>
          <w:noProof/>
        </w:rPr>
        <w:t> </w:t>
      </w:r>
      <w:r w:rsidRPr="002A406A">
        <w:rPr>
          <w:noProof/>
        </w:rPr>
        <w:t>milioni di EUR di prestiti della BEI nel periodo 2022-2023 per contribuire a finanziare il riavvio di taluni progetti di investimento. Poiché si tratta di prestiti allo Stato ucraino (o da questo garantiti), il livello di rischio è lo stesso dei prestiti dell'AMF eccezionale. Nell'ambito degli accordi di garanzia del mandato di prestiti esterni, la BEI ha il diritto di ricorrere al bilancio dell'UE per l'intero importo delle perdite da essa sostenute su tali prestiti. Si noti quindi che a tali esposizioni dovrebbe applicarsi lo stesso approccio precauzionale e che si dovrebbero inserire congrui accantonamenti aggiuntivi nel fondo comune di copertura, in uno specifico comparto comune dedicato all'Ucraina. La presente proposta prevede pertanto di estendere il tasso di copertura del 70 % all'esposizione aggiuntiva di 1,59</w:t>
      </w:r>
      <w:r w:rsidR="0064601D" w:rsidRPr="002A406A">
        <w:rPr>
          <w:noProof/>
        </w:rPr>
        <w:t> </w:t>
      </w:r>
      <w:r w:rsidRPr="002A406A">
        <w:rPr>
          <w:noProof/>
        </w:rPr>
        <w:t xml:space="preserve">miliardi di EUR derivante da prestiti della BEI che hanno cambiato destinazione. </w:t>
      </w:r>
    </w:p>
    <w:p w14:paraId="7FC7FDEC" w14:textId="77777777" w:rsidR="00C4624A" w:rsidRPr="002A406A" w:rsidRDefault="00C4624A" w:rsidP="00C4624A">
      <w:pPr>
        <w:spacing w:before="240" w:after="240"/>
        <w:rPr>
          <w:rFonts w:eastAsia="Times New Roman"/>
          <w:i/>
          <w:iCs/>
          <w:noProof/>
          <w:szCs w:val="24"/>
        </w:rPr>
      </w:pPr>
      <w:r w:rsidRPr="002A406A">
        <w:rPr>
          <w:i/>
          <w:noProof/>
        </w:rPr>
        <w:t>Eventuali sinergie con altri strumenti pertinenti</w:t>
      </w:r>
    </w:p>
    <w:p w14:paraId="36653DA6" w14:textId="5F38CA89" w:rsidR="00C4624A" w:rsidRPr="002A406A" w:rsidRDefault="00C4624A" w:rsidP="00C4624A">
      <w:pPr>
        <w:pBdr>
          <w:top w:val="nil"/>
          <w:left w:val="nil"/>
          <w:bottom w:val="nil"/>
          <w:right w:val="nil"/>
          <w:between w:val="nil"/>
          <w:bar w:val="nil"/>
        </w:pBdr>
        <w:spacing w:before="0" w:after="240"/>
        <w:rPr>
          <w:noProof/>
        </w:rPr>
      </w:pPr>
      <w:r w:rsidRPr="002A406A">
        <w:rPr>
          <w:noProof/>
        </w:rPr>
        <w:t>L'UE è uno dei principali donatori per l'Ucraina, di cui sostiene le riforme economiche, strutturali e istituzionali, come pure la società civile. In questa fase l'erogazione di ulteriore sostegno all'Ucraina sotto forma di prestiti può aiutare le autorità del paese a superare i considerevoli problemi di finanziamento derivanti dalla guerra in atto. Sostenendo gli sforzi profusi dalle autorità per mantenere un contesto macroeconomico stabile, l'AMF proposta incrementa il valore aggiunto dell'impegno complessivo dell'UE in Ucraina e migliora l'efficacia delle altre forme di assistenza finanziaria dell'UE al paese, comprese le operazioni di sostegno al bilancio e le sovvenzioni disponibili nell'ambito degli strumenti di finanziamento esterno previsti dall'attuale quadro finanziario pluriennale per il 2021</w:t>
      </w:r>
      <w:r w:rsidR="0064601D" w:rsidRPr="002A406A">
        <w:rPr>
          <w:noProof/>
        </w:rPr>
        <w:noBreakHyphen/>
      </w:r>
      <w:r w:rsidRPr="002A406A">
        <w:rPr>
          <w:noProof/>
        </w:rPr>
        <w:t>2027. L'AMF proposta rientra inoltre nella più ampia iniziativa unionale di assistenza e ricostruzione a beneficio dell'Ucraina e costituisce parte integrante del sostegno internazionale globale a favore di tale paese</w:t>
      </w:r>
      <w:r w:rsidRPr="00195EC3">
        <w:rPr>
          <w:rStyle w:val="FootnoteReference"/>
          <w:noProof/>
          <w:lang w:eastAsia="ko-KR"/>
        </w:rPr>
        <w:footnoteReference w:id="29"/>
      </w:r>
      <w:r w:rsidRPr="002A406A">
        <w:rPr>
          <w:noProof/>
        </w:rPr>
        <w:t>.</w:t>
      </w:r>
    </w:p>
    <w:p w14:paraId="64FAC6F8" w14:textId="77777777" w:rsidR="00C4624A" w:rsidRPr="002A406A" w:rsidRDefault="00C4624A" w:rsidP="00C4624A">
      <w:pPr>
        <w:pBdr>
          <w:top w:val="nil"/>
          <w:left w:val="nil"/>
          <w:bottom w:val="nil"/>
          <w:right w:val="nil"/>
          <w:between w:val="nil"/>
          <w:bar w:val="nil"/>
        </w:pBdr>
        <w:spacing w:before="0" w:after="240"/>
        <w:rPr>
          <w:noProof/>
        </w:rPr>
      </w:pPr>
    </w:p>
    <w:p w14:paraId="03B004BE" w14:textId="7D59F4B3" w:rsidR="00C4624A" w:rsidRPr="002A406A" w:rsidRDefault="00E7408C" w:rsidP="00E7408C">
      <w:pPr>
        <w:pStyle w:val="ManualHeading3"/>
        <w:rPr>
          <w:noProof/>
        </w:rPr>
      </w:pPr>
      <w:bookmarkStart w:id="33" w:name="_Toc514938036"/>
      <w:bookmarkStart w:id="34" w:name="_Toc520485039"/>
      <w:r w:rsidRPr="00E7408C">
        <w:t>1.5.5.</w:t>
      </w:r>
      <w:r w:rsidRPr="00E7408C">
        <w:tab/>
      </w:r>
      <w:r w:rsidR="00C4624A" w:rsidRPr="002A406A">
        <w:rPr>
          <w:noProof/>
        </w:rPr>
        <w:t>Valutazione delle varie opzioni di finanziamento disponibili, comprese le possibilità di riassegnazione</w:t>
      </w:r>
      <w:bookmarkEnd w:id="33"/>
      <w:bookmarkEnd w:id="34"/>
    </w:p>
    <w:p w14:paraId="12B2AF0A" w14:textId="77777777" w:rsidR="00C4624A" w:rsidRPr="002A406A" w:rsidRDefault="00C4624A" w:rsidP="00C4624A">
      <w:pPr>
        <w:rPr>
          <w:rFonts w:eastAsia="Times New Roman"/>
          <w:noProof/>
          <w:szCs w:val="24"/>
        </w:rPr>
      </w:pPr>
      <w:r w:rsidRPr="002A406A">
        <w:rPr>
          <w:noProof/>
        </w:rPr>
        <w:t xml:space="preserve">Ricorrendo al prestito, la presente operazione di AMF aumenta l'efficacia del bilancio dell'UE mediante l'effetto leva e costituisce l'opzione più efficiente sotto il profilo dei costi. </w:t>
      </w:r>
    </w:p>
    <w:p w14:paraId="6BF1C715" w14:textId="0B3E90F6" w:rsidR="00C4624A" w:rsidRPr="002A406A" w:rsidRDefault="00C4624A" w:rsidP="00C4624A">
      <w:pPr>
        <w:rPr>
          <w:rFonts w:eastAsia="Times New Roman"/>
          <w:noProof/>
          <w:szCs w:val="24"/>
        </w:rPr>
      </w:pPr>
      <w:r w:rsidRPr="002A406A">
        <w:rPr>
          <w:noProof/>
        </w:rPr>
        <w:t xml:space="preserve">La Commissione è autorizzata a contrarre prestiti sui mercati dei capitali per conto dell'Unione europea e dell'Euratom servendosi del bilancio dell'UE come garanzia, con l'obiettivo di ottenere finanziamenti sul mercato ai migliori tassi disponibili grazie alla massima classe di merito di credito attribuita all'UE/Euratom (AAA per Fitch, Moody's e DBRS, AA per S&amp;P, in tutti i casi con prospettive stabili) e di trasferire poi a sua volta il prestito a mutuatari ammissibili nel contesto del MESF, della BdP, dell'AMF e dei progetti Euratom. Le operazioni di assunzione ed erogazione di prestiti sono condotte nella formula </w:t>
      </w:r>
      <w:r w:rsidRPr="002A406A">
        <w:rPr>
          <w:i/>
          <w:noProof/>
        </w:rPr>
        <w:t>back</w:t>
      </w:r>
      <w:r w:rsidR="0064601D" w:rsidRPr="002A406A">
        <w:rPr>
          <w:i/>
          <w:noProof/>
        </w:rPr>
        <w:noBreakHyphen/>
      </w:r>
      <w:r w:rsidRPr="002A406A">
        <w:rPr>
          <w:i/>
          <w:noProof/>
        </w:rPr>
        <w:t>to</w:t>
      </w:r>
      <w:r w:rsidR="0064601D" w:rsidRPr="002A406A">
        <w:rPr>
          <w:i/>
          <w:noProof/>
        </w:rPr>
        <w:noBreakHyphen/>
      </w:r>
      <w:r w:rsidRPr="002A406A">
        <w:rPr>
          <w:i/>
          <w:noProof/>
        </w:rPr>
        <w:t>back</w:t>
      </w:r>
      <w:r w:rsidRPr="002A406A">
        <w:rPr>
          <w:noProof/>
        </w:rPr>
        <w:t>, così che il bilancio dell'UE non assuma alcun rischio di cambio o di tasso d'interesse. L'obiettivo di ottenere fondi ai migliori tassi disponibili per l'assunzione e l'erogazione di prestiti è stato raggiunto, perché tali tassi sono in linea con quelli di istituzioni analoghe (BEI, MESF e MES).</w:t>
      </w:r>
    </w:p>
    <w:p w14:paraId="356F502A" w14:textId="77777777" w:rsidR="00C4624A" w:rsidRPr="002A406A" w:rsidRDefault="00C4624A" w:rsidP="00C4624A">
      <w:pPr>
        <w:rPr>
          <w:noProof/>
        </w:rPr>
      </w:pPr>
    </w:p>
    <w:p w14:paraId="0A632584" w14:textId="77777777" w:rsidR="00C4624A" w:rsidRPr="002A406A" w:rsidRDefault="00C4624A" w:rsidP="00C4624A">
      <w:pPr>
        <w:rPr>
          <w:rFonts w:eastAsia="Times New Roman"/>
          <w:noProof/>
          <w:szCs w:val="24"/>
        </w:rPr>
      </w:pPr>
    </w:p>
    <w:p w14:paraId="18A2ECA8" w14:textId="77777777" w:rsidR="00C4624A" w:rsidRPr="002A406A" w:rsidRDefault="00C4624A" w:rsidP="00C4624A">
      <w:pPr>
        <w:pStyle w:val="Text1"/>
        <w:rPr>
          <w:rFonts w:eastAsia="Calibri"/>
          <w:noProof/>
          <w:szCs w:val="24"/>
        </w:rPr>
      </w:pPr>
    </w:p>
    <w:p w14:paraId="3D5DA93F" w14:textId="77777777" w:rsidR="00C4624A" w:rsidRPr="002A406A" w:rsidRDefault="00C4624A" w:rsidP="00C4624A">
      <w:pPr>
        <w:pStyle w:val="Text1"/>
        <w:rPr>
          <w:noProof/>
        </w:rPr>
      </w:pPr>
    </w:p>
    <w:p w14:paraId="4D32A2EA" w14:textId="5ED06FB2" w:rsidR="00C4624A" w:rsidRPr="002A406A" w:rsidRDefault="00C4624A" w:rsidP="00E7408C">
      <w:pPr>
        <w:pStyle w:val="ManualHeading2"/>
        <w:rPr>
          <w:noProof/>
          <w:szCs w:val="24"/>
        </w:rPr>
      </w:pPr>
      <w:r w:rsidRPr="002A406A">
        <w:rPr>
          <w:noProof/>
        </w:rPr>
        <w:br w:type="page"/>
      </w:r>
      <w:bookmarkStart w:id="35" w:name="_Toc514938039"/>
      <w:bookmarkStart w:id="36" w:name="_Toc520485040"/>
      <w:r w:rsidR="00E7408C" w:rsidRPr="00E7408C">
        <w:t>1.6.</w:t>
      </w:r>
      <w:r w:rsidR="00E7408C" w:rsidRPr="00E7408C">
        <w:tab/>
      </w:r>
      <w:r w:rsidRPr="002A406A">
        <w:rPr>
          <w:noProof/>
        </w:rPr>
        <w:t>Durata e incidenza finanziaria della proposta/iniziativa</w:t>
      </w:r>
      <w:bookmarkEnd w:id="35"/>
      <w:bookmarkEnd w:id="36"/>
    </w:p>
    <w:p w14:paraId="2AA0BA5C" w14:textId="77777777" w:rsidR="00C4624A" w:rsidRPr="00195EC3" w:rsidRDefault="00C4624A" w:rsidP="00C4624A">
      <w:pPr>
        <w:pStyle w:val="Text1"/>
        <w:rPr>
          <w:noProof/>
        </w:rPr>
      </w:pPr>
      <w:r w:rsidRPr="00195EC3">
        <w:rPr>
          <w:rFonts w:ascii="Wingdings" w:hAnsi="Wingdings"/>
          <w:noProof/>
        </w:rPr>
        <w:t></w:t>
      </w:r>
      <w:r w:rsidRPr="00195EC3">
        <w:rPr>
          <w:b/>
          <w:i/>
          <w:noProof/>
        </w:rPr>
        <w:t xml:space="preserve"> </w:t>
      </w:r>
      <w:r w:rsidRPr="00195EC3">
        <w:rPr>
          <w:b/>
          <w:noProof/>
        </w:rPr>
        <w:t xml:space="preserve">durata limitata </w:t>
      </w:r>
    </w:p>
    <w:p w14:paraId="731A1C9B" w14:textId="77777777" w:rsidR="00C4624A" w:rsidRPr="002A406A" w:rsidRDefault="00C4624A" w:rsidP="00C4624A">
      <w:pPr>
        <w:pStyle w:val="ListDash2"/>
        <w:rPr>
          <w:noProof/>
        </w:rPr>
      </w:pPr>
      <w:r w:rsidRPr="00195EC3">
        <w:rPr>
          <w:rFonts w:ascii="Wingdings" w:hAnsi="Wingdings"/>
          <w:noProof/>
        </w:rPr>
        <w:t></w:t>
      </w:r>
      <w:r w:rsidRPr="002A406A">
        <w:rPr>
          <w:noProof/>
        </w:rPr>
        <w:tab/>
        <w:t xml:space="preserve">in vigore a decorrere dal [GG/MM]AAAA fino al [GG/MM]AAAA </w:t>
      </w:r>
    </w:p>
    <w:p w14:paraId="4BC8678F" w14:textId="77777777" w:rsidR="00C4624A" w:rsidRPr="002A406A" w:rsidRDefault="00C4624A" w:rsidP="00C4624A">
      <w:pPr>
        <w:pStyle w:val="ListDash2"/>
        <w:rPr>
          <w:noProof/>
        </w:rPr>
      </w:pPr>
      <w:r w:rsidRPr="00195EC3">
        <w:rPr>
          <w:rFonts w:ascii="Wingdings" w:hAnsi="Wingdings"/>
          <w:noProof/>
        </w:rPr>
        <w:t></w:t>
      </w:r>
      <w:r w:rsidRPr="002A406A">
        <w:rPr>
          <w:noProof/>
        </w:rPr>
        <w:tab/>
        <w:t xml:space="preserve">Incidenza finanziaria dal 2021 al 2027 per gli stanziamenti di impegno e dal 2022 al 2027 per gli stanziamenti di pagamento. </w:t>
      </w:r>
    </w:p>
    <w:p w14:paraId="6239BF86" w14:textId="77777777" w:rsidR="00C4624A" w:rsidRPr="00195EC3" w:rsidRDefault="00C4624A" w:rsidP="00C4624A">
      <w:pPr>
        <w:pStyle w:val="Text1"/>
        <w:rPr>
          <w:noProof/>
        </w:rPr>
      </w:pPr>
      <w:r w:rsidRPr="00195EC3">
        <w:rPr>
          <w:rFonts w:ascii="Wingdings" w:hAnsi="Wingdings"/>
          <w:noProof/>
        </w:rPr>
        <w:t></w:t>
      </w:r>
      <w:r w:rsidRPr="00195EC3">
        <w:rPr>
          <w:b/>
          <w:i/>
          <w:noProof/>
        </w:rPr>
        <w:t xml:space="preserve"> </w:t>
      </w:r>
      <w:r w:rsidRPr="00195EC3">
        <w:rPr>
          <w:b/>
          <w:noProof/>
        </w:rPr>
        <w:t>durata illimitata</w:t>
      </w:r>
    </w:p>
    <w:p w14:paraId="5C756B11" w14:textId="77777777" w:rsidR="00C4624A" w:rsidRPr="002A406A" w:rsidRDefault="00C4624A" w:rsidP="00C4624A">
      <w:pPr>
        <w:pStyle w:val="ListDash1"/>
        <w:rPr>
          <w:noProof/>
        </w:rPr>
      </w:pPr>
      <w:r w:rsidRPr="002A406A">
        <w:rPr>
          <w:noProof/>
        </w:rPr>
        <w:t>Attuazione con un periodo di avviamento dal AAAA al AAAA</w:t>
      </w:r>
    </w:p>
    <w:p w14:paraId="1F9960E4" w14:textId="77777777" w:rsidR="00C4624A" w:rsidRPr="002A406A" w:rsidRDefault="00C4624A" w:rsidP="00C4624A">
      <w:pPr>
        <w:pStyle w:val="ListDash1"/>
        <w:rPr>
          <w:noProof/>
        </w:rPr>
      </w:pPr>
      <w:r w:rsidRPr="002A406A">
        <w:rPr>
          <w:noProof/>
        </w:rPr>
        <w:t>e successivo funzionamento a pieno ritmo.</w:t>
      </w:r>
    </w:p>
    <w:p w14:paraId="5A26CC04" w14:textId="3E5BB235" w:rsidR="00C4624A" w:rsidRPr="00195EC3" w:rsidRDefault="00E7408C" w:rsidP="00E7408C">
      <w:pPr>
        <w:pStyle w:val="ManualHeading2"/>
        <w:rPr>
          <w:noProof/>
        </w:rPr>
      </w:pPr>
      <w:bookmarkStart w:id="37" w:name="_Toc514938040"/>
      <w:bookmarkStart w:id="38" w:name="_Toc520485041"/>
      <w:r w:rsidRPr="00E7408C">
        <w:t>1.7.</w:t>
      </w:r>
      <w:r w:rsidRPr="00E7408C">
        <w:tab/>
      </w:r>
      <w:r w:rsidR="00C4624A" w:rsidRPr="00195EC3">
        <w:rPr>
          <w:noProof/>
        </w:rPr>
        <w:t>Modalità di gestione previste</w:t>
      </w:r>
      <w:bookmarkEnd w:id="37"/>
      <w:bookmarkEnd w:id="38"/>
    </w:p>
    <w:p w14:paraId="1D6D9058" w14:textId="77777777" w:rsidR="00C4624A" w:rsidRPr="002A406A" w:rsidRDefault="00C4624A" w:rsidP="00C4624A">
      <w:pPr>
        <w:pStyle w:val="Text1"/>
        <w:rPr>
          <w:noProof/>
        </w:rPr>
      </w:pPr>
      <w:r w:rsidRPr="00195EC3">
        <w:rPr>
          <w:rFonts w:ascii="Wingdings" w:hAnsi="Wingdings"/>
          <w:noProof/>
        </w:rPr>
        <w:t></w:t>
      </w:r>
      <w:r w:rsidRPr="002A406A">
        <w:rPr>
          <w:i/>
          <w:noProof/>
        </w:rPr>
        <w:t xml:space="preserve"> </w:t>
      </w:r>
      <w:r w:rsidRPr="002A406A">
        <w:rPr>
          <w:b/>
          <w:noProof/>
        </w:rPr>
        <w:t>Gestione diretta</w:t>
      </w:r>
      <w:r w:rsidRPr="002A406A">
        <w:rPr>
          <w:noProof/>
        </w:rPr>
        <w:t xml:space="preserve"> a opera della Commissione</w:t>
      </w:r>
    </w:p>
    <w:p w14:paraId="0F47401C" w14:textId="250D12BF" w:rsidR="00C4624A" w:rsidRPr="002A406A" w:rsidRDefault="00C4624A" w:rsidP="00C4624A">
      <w:pPr>
        <w:pStyle w:val="ListDash2"/>
        <w:rPr>
          <w:noProof/>
        </w:rPr>
      </w:pPr>
      <w:r w:rsidRPr="00195EC3">
        <w:rPr>
          <w:rFonts w:ascii="Wingdings" w:hAnsi="Wingdings"/>
          <w:noProof/>
        </w:rPr>
        <w:t></w:t>
      </w:r>
      <w:r w:rsidRPr="002A406A">
        <w:rPr>
          <w:noProof/>
        </w:rPr>
        <w:tab/>
        <w:t>a opera dei suoi servizi, compreso il suo personale pre</w:t>
      </w:r>
      <w:r w:rsidR="0064601D" w:rsidRPr="002A406A">
        <w:rPr>
          <w:noProof/>
        </w:rPr>
        <w:t xml:space="preserve">sso le delegazioni dell'Unione </w:t>
      </w:r>
    </w:p>
    <w:p w14:paraId="3B73383B" w14:textId="77777777" w:rsidR="00C4624A" w:rsidRPr="00195EC3" w:rsidRDefault="00C4624A" w:rsidP="00C4624A">
      <w:pPr>
        <w:pStyle w:val="ListDash2"/>
        <w:rPr>
          <w:noProof/>
        </w:rPr>
      </w:pPr>
      <w:r w:rsidRPr="00195EC3">
        <w:rPr>
          <w:rFonts w:ascii="Wingdings" w:hAnsi="Wingdings"/>
          <w:noProof/>
        </w:rPr>
        <w:t></w:t>
      </w:r>
      <w:r w:rsidRPr="00195EC3">
        <w:rPr>
          <w:noProof/>
        </w:rPr>
        <w:tab/>
        <w:t xml:space="preserve">a opera delle agenzie esecutive </w:t>
      </w:r>
    </w:p>
    <w:p w14:paraId="4E4102E7" w14:textId="77777777" w:rsidR="00C4624A" w:rsidRPr="002A406A" w:rsidRDefault="00C4624A" w:rsidP="00C4624A">
      <w:pPr>
        <w:pStyle w:val="Text1"/>
        <w:rPr>
          <w:noProof/>
        </w:rPr>
      </w:pPr>
      <w:r w:rsidRPr="00195EC3">
        <w:rPr>
          <w:rFonts w:ascii="Wingdings" w:hAnsi="Wingdings"/>
          <w:noProof/>
        </w:rPr>
        <w:t></w:t>
      </w:r>
      <w:r w:rsidRPr="002A406A">
        <w:rPr>
          <w:b/>
          <w:i/>
          <w:noProof/>
        </w:rPr>
        <w:t xml:space="preserve"> </w:t>
      </w:r>
      <w:r w:rsidRPr="002A406A">
        <w:rPr>
          <w:b/>
          <w:noProof/>
        </w:rPr>
        <w:t>Gestione concorrente</w:t>
      </w:r>
      <w:r w:rsidRPr="002A406A">
        <w:rPr>
          <w:noProof/>
        </w:rPr>
        <w:t xml:space="preserve"> con gli Stati membri </w:t>
      </w:r>
    </w:p>
    <w:p w14:paraId="2F193F18" w14:textId="77777777" w:rsidR="00C4624A" w:rsidRPr="002A406A" w:rsidRDefault="00C4624A" w:rsidP="00C4624A">
      <w:pPr>
        <w:pStyle w:val="Text1"/>
        <w:rPr>
          <w:noProof/>
        </w:rPr>
      </w:pPr>
      <w:r w:rsidRPr="00195EC3">
        <w:rPr>
          <w:rFonts w:ascii="Wingdings" w:hAnsi="Wingdings"/>
          <w:noProof/>
        </w:rPr>
        <w:t></w:t>
      </w:r>
      <w:r w:rsidRPr="002A406A">
        <w:rPr>
          <w:i/>
          <w:noProof/>
        </w:rPr>
        <w:t xml:space="preserve"> </w:t>
      </w:r>
      <w:r w:rsidRPr="002A406A">
        <w:rPr>
          <w:b/>
          <w:noProof/>
        </w:rPr>
        <w:t>Gestione indiretta</w:t>
      </w:r>
      <w:r w:rsidRPr="002A406A">
        <w:rPr>
          <w:noProof/>
        </w:rPr>
        <w:t xml:space="preserve"> affidando compiti di esecuzione del bilancio:</w:t>
      </w:r>
    </w:p>
    <w:p w14:paraId="76965A20" w14:textId="77777777" w:rsidR="00C4624A" w:rsidRPr="002A406A" w:rsidRDefault="00C4624A" w:rsidP="00C4624A">
      <w:pPr>
        <w:pStyle w:val="ListDash2"/>
        <w:rPr>
          <w:noProof/>
        </w:rPr>
      </w:pPr>
      <w:r w:rsidRPr="00195EC3">
        <w:rPr>
          <w:rFonts w:ascii="Wingdings" w:hAnsi="Wingdings"/>
          <w:noProof/>
        </w:rPr>
        <w:t></w:t>
      </w:r>
      <w:r w:rsidRPr="002A406A">
        <w:rPr>
          <w:noProof/>
        </w:rPr>
        <w:t xml:space="preserve"> a paesi terzi o organismi da questi designati;</w:t>
      </w:r>
    </w:p>
    <w:p w14:paraId="010C78BD" w14:textId="77777777" w:rsidR="00C4624A" w:rsidRPr="002A406A" w:rsidRDefault="00C4624A" w:rsidP="00C4624A">
      <w:pPr>
        <w:pStyle w:val="ListDash2"/>
        <w:rPr>
          <w:noProof/>
        </w:rPr>
      </w:pPr>
      <w:r w:rsidRPr="00195EC3">
        <w:rPr>
          <w:rFonts w:ascii="Wingdings" w:hAnsi="Wingdings"/>
          <w:noProof/>
        </w:rPr>
        <w:t></w:t>
      </w:r>
      <w:r w:rsidRPr="002A406A">
        <w:rPr>
          <w:noProof/>
        </w:rPr>
        <w:t xml:space="preserve"> a organizzazioni internazionali e loro agenzie (specificare);</w:t>
      </w:r>
    </w:p>
    <w:p w14:paraId="5680888E" w14:textId="77777777" w:rsidR="00C4624A" w:rsidRPr="002A406A" w:rsidRDefault="00C4624A" w:rsidP="00C4624A">
      <w:pPr>
        <w:pStyle w:val="ListDash2"/>
        <w:rPr>
          <w:noProof/>
        </w:rPr>
      </w:pPr>
      <w:r w:rsidRPr="00195EC3">
        <w:rPr>
          <w:rFonts w:ascii="Wingdings" w:hAnsi="Wingdings"/>
          <w:noProof/>
        </w:rPr>
        <w:t></w:t>
      </w:r>
      <w:r w:rsidRPr="002A406A">
        <w:rPr>
          <w:noProof/>
        </w:rPr>
        <w:t xml:space="preserve"> alla BEI e al Fondo europeo per gli investimenti;</w:t>
      </w:r>
    </w:p>
    <w:p w14:paraId="1C039BA3" w14:textId="77777777" w:rsidR="00C4624A" w:rsidRPr="002A406A" w:rsidRDefault="00C4624A" w:rsidP="00C4624A">
      <w:pPr>
        <w:pStyle w:val="ListDash2"/>
        <w:rPr>
          <w:noProof/>
        </w:rPr>
      </w:pPr>
      <w:r w:rsidRPr="00195EC3">
        <w:rPr>
          <w:rFonts w:ascii="Wingdings" w:hAnsi="Wingdings"/>
          <w:noProof/>
        </w:rPr>
        <w:t></w:t>
      </w:r>
      <w:r w:rsidRPr="002A406A">
        <w:rPr>
          <w:noProof/>
        </w:rPr>
        <w:t xml:space="preserve"> agli organismi di cui agli articoli 70 e 71 del regolamento finanziario;</w:t>
      </w:r>
    </w:p>
    <w:p w14:paraId="5176784E" w14:textId="77777777" w:rsidR="00C4624A" w:rsidRPr="002A406A" w:rsidRDefault="00C4624A" w:rsidP="00C4624A">
      <w:pPr>
        <w:pStyle w:val="ListDash2"/>
        <w:rPr>
          <w:noProof/>
        </w:rPr>
      </w:pPr>
      <w:r w:rsidRPr="00195EC3">
        <w:rPr>
          <w:rFonts w:ascii="Wingdings" w:hAnsi="Wingdings"/>
          <w:noProof/>
        </w:rPr>
        <w:t></w:t>
      </w:r>
      <w:r w:rsidRPr="002A406A">
        <w:rPr>
          <w:noProof/>
        </w:rPr>
        <w:t xml:space="preserve"> a organismi di diritto pubblico;</w:t>
      </w:r>
    </w:p>
    <w:p w14:paraId="48F23C1A" w14:textId="77777777" w:rsidR="00C4624A" w:rsidRPr="002A406A" w:rsidRDefault="00C4624A" w:rsidP="00C4624A">
      <w:pPr>
        <w:pStyle w:val="ListDash2"/>
        <w:rPr>
          <w:noProof/>
        </w:rPr>
      </w:pPr>
      <w:r w:rsidRPr="00195EC3">
        <w:rPr>
          <w:rFonts w:ascii="Wingdings" w:hAnsi="Wingdings"/>
          <w:noProof/>
        </w:rPr>
        <w:t></w:t>
      </w:r>
      <w:r w:rsidRPr="002A406A">
        <w:rPr>
          <w:noProof/>
        </w:rPr>
        <w:t xml:space="preserve"> a organismi di diritto privato investiti di attribuzioni di servizio pubblico nella misura in cui sono dotati di sufficienti garanzie finanziarie;</w:t>
      </w:r>
    </w:p>
    <w:p w14:paraId="0FF87D47" w14:textId="77777777" w:rsidR="00C4624A" w:rsidRPr="002A406A" w:rsidRDefault="00C4624A" w:rsidP="00C4624A">
      <w:pPr>
        <w:pStyle w:val="ListDash2"/>
        <w:rPr>
          <w:noProof/>
        </w:rPr>
      </w:pPr>
      <w:r w:rsidRPr="00195EC3">
        <w:rPr>
          <w:rFonts w:ascii="Wingdings" w:hAnsi="Wingdings"/>
          <w:noProof/>
        </w:rPr>
        <w:t></w:t>
      </w:r>
      <w:r w:rsidRPr="002A406A">
        <w:rPr>
          <w:noProof/>
        </w:rPr>
        <w:t xml:space="preserve"> a organismi di diritto privato di uno Stato membro preposti all'attuazione di un partenariato pubblico-privato e che sono dotati di sufficienti garanzie finanziarie;</w:t>
      </w:r>
    </w:p>
    <w:p w14:paraId="4AEAB960" w14:textId="77777777" w:rsidR="00C4624A" w:rsidRPr="002A406A" w:rsidRDefault="00C4624A" w:rsidP="00C4624A">
      <w:pPr>
        <w:pStyle w:val="ListDash2"/>
        <w:rPr>
          <w:noProof/>
        </w:rPr>
      </w:pPr>
      <w:r w:rsidRPr="00195EC3">
        <w:rPr>
          <w:rFonts w:ascii="Wingdings" w:hAnsi="Wingdings"/>
          <w:noProof/>
        </w:rPr>
        <w:t></w:t>
      </w:r>
      <w:r w:rsidRPr="002A406A">
        <w:rPr>
          <w:noProof/>
        </w:rPr>
        <w:t xml:space="preserve"> alle persone incaricate di attuare azioni specifiche della PESC a norma del titolo V TUE e indicate nel pertinente atto di base.</w:t>
      </w:r>
    </w:p>
    <w:p w14:paraId="29D674A3" w14:textId="77777777" w:rsidR="00C4624A" w:rsidRPr="002A406A" w:rsidRDefault="00C4624A" w:rsidP="00C4624A">
      <w:pPr>
        <w:pStyle w:val="ListDash2"/>
        <w:rPr>
          <w:i/>
          <w:noProof/>
          <w:sz w:val="18"/>
          <w:u w:val="single"/>
        </w:rPr>
      </w:pPr>
      <w:r w:rsidRPr="002A406A">
        <w:rPr>
          <w:i/>
          <w:noProof/>
          <w:sz w:val="18"/>
        </w:rPr>
        <w:t>Se è indicata più di una modalità, fornire ulteriori informazioni alla voce "Osservazioni".</w:t>
      </w:r>
    </w:p>
    <w:p w14:paraId="2345661C" w14:textId="77777777" w:rsidR="00C4624A" w:rsidRPr="002A406A" w:rsidRDefault="00C4624A" w:rsidP="00C4624A">
      <w:pPr>
        <w:rPr>
          <w:noProof/>
        </w:rPr>
        <w:sectPr w:rsidR="00C4624A" w:rsidRPr="002A406A" w:rsidSect="003A691C">
          <w:pgSz w:w="11907" w:h="16840" w:code="9"/>
          <w:pgMar w:top="1134" w:right="1418" w:bottom="1134" w:left="1418" w:header="709" w:footer="709" w:gutter="0"/>
          <w:cols w:space="720"/>
          <w:docGrid w:linePitch="360"/>
        </w:sectPr>
      </w:pPr>
    </w:p>
    <w:p w14:paraId="386B124B" w14:textId="14EC0A81" w:rsidR="00C4624A" w:rsidRPr="00195EC3" w:rsidRDefault="00E7408C" w:rsidP="00E7408C">
      <w:pPr>
        <w:pStyle w:val="ManualHeading1"/>
        <w:rPr>
          <w:noProof/>
          <w:szCs w:val="24"/>
        </w:rPr>
      </w:pPr>
      <w:bookmarkStart w:id="39" w:name="_Toc514938041"/>
      <w:bookmarkStart w:id="40" w:name="_Toc520485042"/>
      <w:r w:rsidRPr="00E7408C">
        <w:t>2.</w:t>
      </w:r>
      <w:r w:rsidRPr="00E7408C">
        <w:tab/>
      </w:r>
      <w:r w:rsidR="00C4624A" w:rsidRPr="00195EC3">
        <w:rPr>
          <w:noProof/>
        </w:rPr>
        <w:t>MISURE DI GESTIONE</w:t>
      </w:r>
      <w:bookmarkEnd w:id="39"/>
      <w:bookmarkEnd w:id="40"/>
      <w:r w:rsidR="00C4624A" w:rsidRPr="00195EC3">
        <w:rPr>
          <w:noProof/>
        </w:rPr>
        <w:t xml:space="preserve"> </w:t>
      </w:r>
    </w:p>
    <w:p w14:paraId="7EA9A414" w14:textId="4433DE82" w:rsidR="00C4624A" w:rsidRPr="002A406A" w:rsidRDefault="00E7408C" w:rsidP="00E7408C">
      <w:pPr>
        <w:pStyle w:val="ManualHeading2"/>
        <w:rPr>
          <w:noProof/>
        </w:rPr>
      </w:pPr>
      <w:bookmarkStart w:id="41" w:name="_Toc514938042"/>
      <w:bookmarkStart w:id="42" w:name="_Toc520485043"/>
      <w:r w:rsidRPr="00E7408C">
        <w:t>2.1.</w:t>
      </w:r>
      <w:r w:rsidRPr="00E7408C">
        <w:tab/>
      </w:r>
      <w:r w:rsidR="00C4624A" w:rsidRPr="002A406A">
        <w:rPr>
          <w:noProof/>
        </w:rPr>
        <w:t>Disposizioni in materia di monitoraggio e di relazioni</w:t>
      </w:r>
      <w:bookmarkEnd w:id="41"/>
      <w:bookmarkEnd w:id="42"/>
      <w:r w:rsidR="00C4624A" w:rsidRPr="002A406A">
        <w:rPr>
          <w:noProof/>
        </w:rPr>
        <w:t xml:space="preserve"> </w:t>
      </w:r>
    </w:p>
    <w:p w14:paraId="4D08957E" w14:textId="77777777" w:rsidR="00C4624A" w:rsidRPr="002A406A" w:rsidRDefault="00C4624A" w:rsidP="00C4624A">
      <w:pPr>
        <w:pStyle w:val="Text1"/>
        <w:rPr>
          <w:noProof/>
          <w:sz w:val="20"/>
          <w:szCs w:val="18"/>
        </w:rPr>
      </w:pPr>
      <w:r w:rsidRPr="002A406A">
        <w:rPr>
          <w:noProof/>
          <w:sz w:val="20"/>
        </w:rPr>
        <w:t>Precisare frequenza e condizioni.</w:t>
      </w:r>
    </w:p>
    <w:p w14:paraId="5D5BD0EC" w14:textId="77777777" w:rsidR="00C4624A" w:rsidRPr="002A406A" w:rsidRDefault="00C4624A" w:rsidP="00C4624A">
      <w:pPr>
        <w:rPr>
          <w:rFonts w:eastAsia="Times New Roman"/>
          <w:noProof/>
          <w:szCs w:val="24"/>
        </w:rPr>
      </w:pPr>
      <w:r w:rsidRPr="002A406A">
        <w:rPr>
          <w:noProof/>
        </w:rPr>
        <w:t xml:space="preserve">Le azioni che saranno finanziate nell'ambito della presente decisione saranno attuate in regime di gestione diretta dalla Commissione in sede. </w:t>
      </w:r>
    </w:p>
    <w:p w14:paraId="266AD8E2" w14:textId="77777777" w:rsidR="00C4624A" w:rsidRPr="002A406A" w:rsidRDefault="00C4624A" w:rsidP="00C4624A">
      <w:pPr>
        <w:rPr>
          <w:rFonts w:eastAsia="Times New Roman"/>
          <w:noProof/>
          <w:szCs w:val="24"/>
        </w:rPr>
      </w:pPr>
      <w:r w:rsidRPr="002A406A">
        <w:rPr>
          <w:noProof/>
        </w:rPr>
        <w:t>La presente assistenza è di natura macroeconomica. Il monitoraggio dell'azione da parte dei servizi della Commissione avverrà sulla base di misure specifiche da definire in un protocollo di intesa con le autorità ucraine.</w:t>
      </w:r>
    </w:p>
    <w:p w14:paraId="6C0F2633" w14:textId="61458CB5" w:rsidR="00C4624A" w:rsidRPr="002A406A" w:rsidRDefault="00E7408C" w:rsidP="00E7408C">
      <w:pPr>
        <w:pStyle w:val="ManualHeading2"/>
        <w:rPr>
          <w:noProof/>
          <w:szCs w:val="24"/>
        </w:rPr>
      </w:pPr>
      <w:bookmarkStart w:id="43" w:name="_Toc514938045"/>
      <w:bookmarkStart w:id="44" w:name="_Toc520485044"/>
      <w:r w:rsidRPr="00E7408C">
        <w:t>2.2.</w:t>
      </w:r>
      <w:r w:rsidRPr="00E7408C">
        <w:tab/>
      </w:r>
      <w:r w:rsidR="00C4624A" w:rsidRPr="002A406A">
        <w:rPr>
          <w:noProof/>
        </w:rPr>
        <w:t>Sistema di gestione e di controllo</w:t>
      </w:r>
      <w:bookmarkEnd w:id="43"/>
      <w:bookmarkEnd w:id="44"/>
      <w:r w:rsidR="00C4624A" w:rsidRPr="002A406A">
        <w:rPr>
          <w:noProof/>
        </w:rPr>
        <w:t xml:space="preserve"> </w:t>
      </w:r>
    </w:p>
    <w:p w14:paraId="1C39530A" w14:textId="2725694E" w:rsidR="00C4624A" w:rsidRPr="002A406A" w:rsidRDefault="00E7408C" w:rsidP="00E7408C">
      <w:pPr>
        <w:pStyle w:val="ManualHeading3"/>
        <w:rPr>
          <w:noProof/>
        </w:rPr>
      </w:pPr>
      <w:bookmarkStart w:id="45" w:name="_Toc514938046"/>
      <w:bookmarkStart w:id="46" w:name="_Toc520485045"/>
      <w:r w:rsidRPr="00E7408C">
        <w:t>2.2.1.</w:t>
      </w:r>
      <w:r w:rsidRPr="00E7408C">
        <w:tab/>
      </w:r>
      <w:r w:rsidR="00C4624A" w:rsidRPr="002A406A">
        <w:rPr>
          <w:noProof/>
        </w:rPr>
        <w:t>Giustificazione della o delle modalità di gestione, del meccanismo o dei meccanismi di attuazione del finanziamento, delle modalità di pagamento e della strategia di controllo proposti</w:t>
      </w:r>
      <w:bookmarkEnd w:id="45"/>
      <w:bookmarkEnd w:id="46"/>
    </w:p>
    <w:p w14:paraId="5E33584F" w14:textId="77777777" w:rsidR="00C4624A" w:rsidRPr="002A406A" w:rsidRDefault="00C4624A" w:rsidP="00C4624A">
      <w:pPr>
        <w:rPr>
          <w:rFonts w:eastAsia="Times New Roman"/>
          <w:noProof/>
          <w:szCs w:val="24"/>
        </w:rPr>
      </w:pPr>
      <w:r w:rsidRPr="002A406A">
        <w:rPr>
          <w:noProof/>
        </w:rPr>
        <w:t xml:space="preserve">Le azioni che saranno finanziate nell'ambito della presente decisione saranno attuate in regime di gestione diretta dalla Commissione in sede. </w:t>
      </w:r>
    </w:p>
    <w:p w14:paraId="72CFB8F2" w14:textId="77777777" w:rsidR="00C4624A" w:rsidRPr="002A406A" w:rsidRDefault="00C4624A" w:rsidP="00C4624A">
      <w:pPr>
        <w:rPr>
          <w:rFonts w:eastAsia="Times New Roman"/>
          <w:noProof/>
          <w:szCs w:val="24"/>
        </w:rPr>
      </w:pPr>
      <w:r w:rsidRPr="002A406A">
        <w:rPr>
          <w:noProof/>
        </w:rPr>
        <w:t>Le erogazioni dell'AMF sono subordinate all'esito positivo dei riesami e al rispetto delle condizioni politiche preliminari collegate all'operazione. Il rispetto di tali condizioni è monitorato attentamente dalla Commissione.</w:t>
      </w:r>
    </w:p>
    <w:p w14:paraId="25F70B7C" w14:textId="3D70B03A" w:rsidR="00C4624A" w:rsidRPr="002A406A" w:rsidRDefault="00E7408C" w:rsidP="00E7408C">
      <w:pPr>
        <w:pStyle w:val="ManualHeading3"/>
        <w:rPr>
          <w:noProof/>
          <w:szCs w:val="24"/>
        </w:rPr>
      </w:pPr>
      <w:bookmarkStart w:id="47" w:name="_Toc514938047"/>
      <w:bookmarkStart w:id="48" w:name="_Toc520485046"/>
      <w:r w:rsidRPr="00E7408C">
        <w:t>2.2.2.</w:t>
      </w:r>
      <w:r w:rsidRPr="00E7408C">
        <w:tab/>
      </w:r>
      <w:r w:rsidR="00C4624A" w:rsidRPr="002A406A">
        <w:rPr>
          <w:noProof/>
        </w:rPr>
        <w:t>Informazioni concernenti i rischi individuati e il sistema o i sistemi di controllo interno per ridurli</w:t>
      </w:r>
      <w:bookmarkEnd w:id="47"/>
      <w:bookmarkEnd w:id="48"/>
    </w:p>
    <w:p w14:paraId="1180595C" w14:textId="77777777" w:rsidR="00C4624A" w:rsidRPr="002A406A" w:rsidRDefault="00C4624A" w:rsidP="00C4624A">
      <w:pPr>
        <w:pBdr>
          <w:top w:val="single" w:sz="4" w:space="1" w:color="auto"/>
          <w:left w:val="single" w:sz="4" w:space="4" w:color="auto"/>
          <w:bottom w:val="single" w:sz="4" w:space="1" w:color="auto"/>
          <w:right w:val="single" w:sz="4" w:space="4" w:color="auto"/>
        </w:pBdr>
        <w:rPr>
          <w:rFonts w:eastAsia="Times New Roman"/>
          <w:i/>
          <w:iCs/>
          <w:noProof/>
          <w:szCs w:val="24"/>
        </w:rPr>
      </w:pPr>
      <w:r w:rsidRPr="002A406A">
        <w:rPr>
          <w:i/>
          <w:noProof/>
        </w:rPr>
        <w:t xml:space="preserve"> Rischi individuati</w:t>
      </w:r>
    </w:p>
    <w:p w14:paraId="03F0D293" w14:textId="77777777" w:rsidR="00C4624A" w:rsidRPr="002A406A"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A406A">
        <w:rPr>
          <w:noProof/>
        </w:rPr>
        <w:t xml:space="preserve">L'operazione di AMF proposta presenta rischi politici, fiduciari e strategici. </w:t>
      </w:r>
    </w:p>
    <w:p w14:paraId="48CB1510" w14:textId="77777777" w:rsidR="00C4624A" w:rsidRPr="002A406A"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A406A">
        <w:rPr>
          <w:noProof/>
        </w:rPr>
        <w:t xml:space="preserve">Un rischio fondamentale per l'operazione deriva dal proseguimento della guerra causata dall'invasione non provocata e ingiustificata dell'Ucraina da parte della Russia, che potrebbe avere un ulteriore impatto negativo sulla stabilità macroeconomica dell'Ucraina, influenzando l'erogazione e/o il rimborso dell'AMF proposta. </w:t>
      </w:r>
    </w:p>
    <w:p w14:paraId="31F3E17A" w14:textId="77777777" w:rsidR="00C4624A" w:rsidRPr="002A406A"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A406A">
        <w:rPr>
          <w:noProof/>
        </w:rPr>
        <w:t>Vi è il rischio che l'AMF possa essere usata in modo fraudolento. Poiché l'AMF non è destinata a spese specifiche (contrariamente, ad esempio, al finanziamento di progetti), tale rischio dipende da fattori quali la qualità generale dei sistemi di gestione presso la Banca nazionale dell'Ucraina e il ministero delle Finanze, le procedure amministrative e le funzioni di controllo e vigilanza, la sicurezza dei sistemi informatici e l'adeguatezza delle capacità di audit interno ed esterno.</w:t>
      </w:r>
    </w:p>
    <w:p w14:paraId="741DD6EA" w14:textId="77777777" w:rsidR="00C4624A" w:rsidRPr="002A406A"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A406A">
        <w:rPr>
          <w:noProof/>
        </w:rPr>
        <w:t>Un terzo rischio deriva dalla possibilità che l'Ucraina non riesca ad assolvere gli obblighi finanziari nei confronti dell'UE relativi al prestito di AMF proposto (rischio di default o rischio di credito), a causa, per esempio, di un ulteriore notevole deterioramento della bilancia dei pagamenti e della situazione di bilancio del partner.</w:t>
      </w:r>
    </w:p>
    <w:p w14:paraId="37CAC7CB" w14:textId="77777777" w:rsidR="00C4624A" w:rsidRPr="002A406A" w:rsidRDefault="00C4624A" w:rsidP="00C4624A">
      <w:pPr>
        <w:pBdr>
          <w:top w:val="single" w:sz="4" w:space="1" w:color="auto"/>
          <w:left w:val="single" w:sz="4" w:space="4" w:color="auto"/>
          <w:bottom w:val="single" w:sz="4" w:space="1" w:color="auto"/>
          <w:right w:val="single" w:sz="4" w:space="4" w:color="auto"/>
        </w:pBdr>
        <w:rPr>
          <w:rFonts w:eastAsia="Times New Roman"/>
          <w:i/>
          <w:iCs/>
          <w:noProof/>
          <w:szCs w:val="24"/>
        </w:rPr>
      </w:pPr>
      <w:r w:rsidRPr="002A406A">
        <w:rPr>
          <w:i/>
          <w:noProof/>
        </w:rPr>
        <w:t>Sistemi di controllo interno</w:t>
      </w:r>
    </w:p>
    <w:p w14:paraId="795F8917" w14:textId="248B5ECD" w:rsidR="00C4624A" w:rsidRPr="002A406A"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A406A">
        <w:rPr>
          <w:noProof/>
        </w:rPr>
        <w:t>L'assistenza macrofinanziaria sarà oggetto di procedure di verifica, controllo e audit, effettuate sotto la responsabilità della Commissione, anche tramite l'Ufficio europeo per la lotta antifrode (OLAF), e dalla Corte dei conti europea, come previsto dall'articolo</w:t>
      </w:r>
      <w:r w:rsidR="0064601D" w:rsidRPr="002A406A">
        <w:rPr>
          <w:noProof/>
        </w:rPr>
        <w:t> </w:t>
      </w:r>
      <w:r w:rsidRPr="002A406A">
        <w:rPr>
          <w:noProof/>
        </w:rPr>
        <w:t>129 del regolamento finanziario.</w:t>
      </w:r>
    </w:p>
    <w:p w14:paraId="611B2918" w14:textId="1B8E31F7" w:rsidR="00C4624A" w:rsidRPr="002A406A"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A406A">
        <w:rPr>
          <w:noProof/>
        </w:rPr>
        <w:t>Nel corso dell'attuazione la Commissione controllerà periodicamente le dichiarazioni del partner. Il pagamento è soggetto 1) al monitoraggio del personale della DG ECFIN e 2)</w:t>
      </w:r>
      <w:r w:rsidR="0064601D" w:rsidRPr="002A406A">
        <w:rPr>
          <w:noProof/>
        </w:rPr>
        <w:t> </w:t>
      </w:r>
      <w:r w:rsidRPr="002A406A">
        <w:rPr>
          <w:noProof/>
        </w:rPr>
        <w:t>alla</w:t>
      </w:r>
      <w:r w:rsidR="0064601D" w:rsidRPr="002A406A">
        <w:rPr>
          <w:noProof/>
        </w:rPr>
        <w:t> </w:t>
      </w:r>
      <w:r w:rsidRPr="002A406A">
        <w:rPr>
          <w:noProof/>
        </w:rPr>
        <w:t>normale procedura di controllo prevista dal circuito finanziario (modello 2) in uso alla DG ECFIN. Le erogazioni relative alle operazioni di AMF possono essere soggette a verifiche ex post (documentali e/o in loco) supplementari e indipendenti da parte dei membri del gruppo di controllo ex post della DG. Tali verifiche possono essere anche avviate su richiesta dell'ordinatore sottodelegato competente. Se necessario (tale eventualità non si è finora materializzata) si può procedere all'interruzione e alla sospensione dei pagamenti, alle rettifiche finanziarie (attuate dalla Commissione) e ai recuperi previsti esplicitamente negli accordi di finanziamento con i partner.</w:t>
      </w:r>
    </w:p>
    <w:p w14:paraId="6A0473BB" w14:textId="50FE0E20" w:rsidR="00C4624A" w:rsidRPr="002A406A" w:rsidRDefault="00E7408C" w:rsidP="00E7408C">
      <w:pPr>
        <w:pStyle w:val="ManualHeading3"/>
        <w:rPr>
          <w:noProof/>
        </w:rPr>
      </w:pPr>
      <w:bookmarkStart w:id="49" w:name="_Toc514938048"/>
      <w:bookmarkStart w:id="50" w:name="_Toc520485047"/>
      <w:r w:rsidRPr="00E7408C">
        <w:t>2.2.3.</w:t>
      </w:r>
      <w:r w:rsidRPr="00E7408C">
        <w:tab/>
      </w:r>
      <w:r w:rsidR="00C4624A" w:rsidRPr="002A406A">
        <w:rPr>
          <w:noProof/>
        </w:rPr>
        <w:t>Stima e giustificazione del rapporto costo/efficacia dei controlli (rapporto "costi del controllo ÷ valore dei fondi gestiti") e valutazione dei livelli di rischio di errore previsti (al pagamento e alla chiusura)</w:t>
      </w:r>
      <w:bookmarkEnd w:id="49"/>
      <w:bookmarkEnd w:id="50"/>
      <w:r w:rsidR="00C4624A" w:rsidRPr="002A406A">
        <w:rPr>
          <w:noProof/>
        </w:rPr>
        <w:t xml:space="preserve"> </w:t>
      </w:r>
    </w:p>
    <w:p w14:paraId="47D8A9FF" w14:textId="6969C20F" w:rsidR="00C4624A" w:rsidRPr="002A406A" w:rsidRDefault="00C4624A" w:rsidP="00C4624A">
      <w:pPr>
        <w:pBdr>
          <w:top w:val="single" w:sz="4" w:space="1" w:color="auto"/>
          <w:left w:val="single" w:sz="4" w:space="4" w:color="auto"/>
          <w:bottom w:val="single" w:sz="4" w:space="1" w:color="auto"/>
          <w:right w:val="single" w:sz="4" w:space="4" w:color="auto"/>
        </w:pBdr>
        <w:rPr>
          <w:rFonts w:eastAsia="Times New Roman"/>
          <w:noProof/>
          <w:szCs w:val="24"/>
        </w:rPr>
      </w:pPr>
      <w:r w:rsidRPr="002A406A">
        <w:rPr>
          <w:noProof/>
        </w:rPr>
        <w:t xml:space="preserve">Finora i sistemi di controllo in vigore hanno garantito un tasso di errore effettivo dello 0 % per i pagamenti AMF. Non vi sono casi noti di frode, corruzione o attività illecite. </w:t>
      </w:r>
      <w:r w:rsidR="0064601D" w:rsidRPr="002A406A">
        <w:rPr>
          <w:noProof/>
        </w:rPr>
        <w:br/>
      </w:r>
      <w:r w:rsidRPr="002A406A">
        <w:rPr>
          <w:noProof/>
        </w:rPr>
        <w:t>Le operazioni di AMF hanno una logica di intervento chiara, che consente alla Commissione di valutarne l'impatto. I controlli consentono la conferma dell'affidabilità e del conseguimento degli obiettivi e delle priorità strategici.</w:t>
      </w:r>
    </w:p>
    <w:p w14:paraId="5DFE660A" w14:textId="576B7897" w:rsidR="00C4624A" w:rsidRPr="002A406A" w:rsidRDefault="00E7408C" w:rsidP="00E7408C">
      <w:pPr>
        <w:pStyle w:val="ManualHeading2"/>
        <w:rPr>
          <w:noProof/>
          <w:szCs w:val="24"/>
        </w:rPr>
      </w:pPr>
      <w:bookmarkStart w:id="51" w:name="_Toc514938049"/>
      <w:bookmarkStart w:id="52" w:name="_Toc520485048"/>
      <w:r w:rsidRPr="00E7408C">
        <w:t>2.3.</w:t>
      </w:r>
      <w:r w:rsidRPr="00E7408C">
        <w:tab/>
      </w:r>
      <w:r w:rsidR="00C4624A" w:rsidRPr="002A406A">
        <w:rPr>
          <w:noProof/>
        </w:rPr>
        <w:t>Misure di prevenzione delle frodi e delle irregolarità</w:t>
      </w:r>
      <w:bookmarkEnd w:id="51"/>
      <w:bookmarkEnd w:id="52"/>
      <w:r w:rsidR="00C4624A" w:rsidRPr="002A406A">
        <w:rPr>
          <w:noProof/>
        </w:rPr>
        <w:t xml:space="preserve"> </w:t>
      </w:r>
    </w:p>
    <w:p w14:paraId="039D75A3" w14:textId="77777777" w:rsidR="00C4624A" w:rsidRPr="002A406A" w:rsidRDefault="00C4624A" w:rsidP="00C4624A">
      <w:pPr>
        <w:pStyle w:val="Text1"/>
        <w:rPr>
          <w:noProof/>
          <w:sz w:val="20"/>
          <w:szCs w:val="18"/>
        </w:rPr>
      </w:pPr>
      <w:r w:rsidRPr="002A406A">
        <w:rPr>
          <w:noProof/>
          <w:sz w:val="20"/>
        </w:rPr>
        <w:t>Precisare le misure di prevenzione e tutela in vigore o previste, ad esempio strategia antifrode.</w:t>
      </w:r>
    </w:p>
    <w:p w14:paraId="4AB6A630" w14:textId="77777777" w:rsidR="00C4624A" w:rsidRPr="002A406A" w:rsidRDefault="00C4624A" w:rsidP="00C4624A">
      <w:pPr>
        <w:rPr>
          <w:rFonts w:eastAsia="Times New Roman"/>
          <w:noProof/>
          <w:szCs w:val="24"/>
        </w:rPr>
      </w:pPr>
      <w:r w:rsidRPr="002A406A">
        <w:rPr>
          <w:noProof/>
        </w:rPr>
        <w:t xml:space="preserve">Per ridurre il rischio di uso fraudolento, sono state e saranno adottate diverse misure. </w:t>
      </w:r>
    </w:p>
    <w:p w14:paraId="5C124D36" w14:textId="5985F9EC" w:rsidR="00C4624A" w:rsidRPr="002A406A" w:rsidRDefault="00C4624A" w:rsidP="00C4624A">
      <w:pPr>
        <w:rPr>
          <w:rFonts w:eastAsia="Times New Roman"/>
          <w:noProof/>
          <w:szCs w:val="24"/>
        </w:rPr>
      </w:pPr>
      <w:r w:rsidRPr="002A406A">
        <w:rPr>
          <w:noProof/>
        </w:rPr>
        <w:t xml:space="preserve">In primo luogo, l'accordo di prestito prevede una serie di disposizioni in materia di accertamenti, prevenzione delle frodi, audit e recupero dei fondi in caso di frode o corruzione. Si prevede inoltre che all'assistenza sarà collegata una serie di obblighi di rendicontazione, al fine di rafforzare la trasparenza e la responsabilità in relazione all'utilizzo dei fondi. </w:t>
      </w:r>
      <w:r w:rsidR="0064601D" w:rsidRPr="002A406A">
        <w:rPr>
          <w:noProof/>
        </w:rPr>
        <w:br/>
      </w:r>
      <w:r w:rsidRPr="002A406A">
        <w:rPr>
          <w:noProof/>
        </w:rPr>
        <w:t xml:space="preserve">In più l'assistenza è versata su un conto ad hoc presso la Banca nazionale d'Ucraina. </w:t>
      </w:r>
    </w:p>
    <w:p w14:paraId="4528FF49" w14:textId="77777777" w:rsidR="00C4624A" w:rsidRPr="002A406A" w:rsidRDefault="00C4624A" w:rsidP="00C4624A">
      <w:pPr>
        <w:rPr>
          <w:rFonts w:eastAsia="Times New Roman"/>
          <w:noProof/>
          <w:szCs w:val="24"/>
        </w:rPr>
      </w:pPr>
      <w:r w:rsidRPr="002A406A">
        <w:rPr>
          <w:noProof/>
        </w:rPr>
        <w:t xml:space="preserve">Conformemente alle disposizioni del regolamento finanziario, i servizi della Commissione eseguiranno una valutazione operativa dei circuiti finanziari e amministrativi dell'Ucraina per accertarsi che le procedure di gestione dell'assistenza finanziaria, compresa l'AMF, forniscano garanzie adeguate. La valutazione precedente è stata effettuata nel giugno 2020 e riguarda in particolare gli aspetti seguenti: preparazione ed esecuzione del bilancio, controllo finanziario interno nel settore pubblico, audit interno ed esterno, appalti pubblici, gestione della liquidità e del debito pubblico e indipendenza della banca centrale. La Commissione effettuerà una seconda valutazione operativa nel corso dell'attuazione dell'operazione di AMF eccezionale proposta. </w:t>
      </w:r>
    </w:p>
    <w:p w14:paraId="50D67839" w14:textId="0A56F78B" w:rsidR="00C4624A" w:rsidRPr="002A406A" w:rsidRDefault="00C4624A" w:rsidP="00C4624A">
      <w:pPr>
        <w:rPr>
          <w:rFonts w:eastAsia="Times New Roman"/>
          <w:noProof/>
          <w:szCs w:val="24"/>
        </w:rPr>
      </w:pPr>
      <w:r w:rsidRPr="002A406A">
        <w:rPr>
          <w:noProof/>
        </w:rPr>
        <w:t>Infine l'assistenza sarà oggetto di procedure di verifica, controllo e audit, effettuate sotto la responsabilità della Commissione, anche tramite l'Ufficio europeo per la lotta antifrode (OLAF), e dalla Corte dei conti europea, come previsto dall'articolo</w:t>
      </w:r>
      <w:r w:rsidR="0064601D" w:rsidRPr="002A406A">
        <w:rPr>
          <w:noProof/>
        </w:rPr>
        <w:t> </w:t>
      </w:r>
      <w:r w:rsidRPr="002A406A">
        <w:rPr>
          <w:noProof/>
        </w:rPr>
        <w:t>129 del regolamento finanziario.</w:t>
      </w:r>
    </w:p>
    <w:p w14:paraId="4ECF0157" w14:textId="77777777" w:rsidR="00C4624A" w:rsidRPr="002A406A" w:rsidRDefault="00C4624A" w:rsidP="00C4624A">
      <w:pPr>
        <w:rPr>
          <w:rFonts w:eastAsia="Calibri"/>
          <w:noProof/>
          <w:szCs w:val="24"/>
        </w:rPr>
        <w:sectPr w:rsidR="00C4624A" w:rsidRPr="002A406A" w:rsidSect="003A691C">
          <w:pgSz w:w="11907" w:h="16840" w:code="9"/>
          <w:pgMar w:top="1134" w:right="1418" w:bottom="1134" w:left="1418" w:header="709" w:footer="709" w:gutter="0"/>
          <w:cols w:space="708"/>
          <w:docGrid w:linePitch="360"/>
        </w:sectPr>
      </w:pPr>
    </w:p>
    <w:p w14:paraId="76735040" w14:textId="5436DA8F" w:rsidR="00C4624A" w:rsidRPr="002A406A" w:rsidRDefault="00E7408C" w:rsidP="00E7408C">
      <w:pPr>
        <w:pStyle w:val="ManualHeading1"/>
        <w:rPr>
          <w:noProof/>
          <w:szCs w:val="24"/>
        </w:rPr>
      </w:pPr>
      <w:bookmarkStart w:id="53" w:name="_Toc514938050"/>
      <w:bookmarkStart w:id="54" w:name="_Toc520485049"/>
      <w:r w:rsidRPr="00E7408C">
        <w:t>3.</w:t>
      </w:r>
      <w:r w:rsidRPr="00E7408C">
        <w:tab/>
      </w:r>
      <w:r w:rsidR="00C4624A" w:rsidRPr="002A406A">
        <w:rPr>
          <w:noProof/>
        </w:rPr>
        <w:t>INCIDENZA FINANZIARIA PREVISTA DELLA PROPOSTA/INIZIATIVA</w:t>
      </w:r>
      <w:bookmarkEnd w:id="53"/>
      <w:bookmarkEnd w:id="54"/>
      <w:r w:rsidR="00C4624A" w:rsidRPr="002A406A">
        <w:rPr>
          <w:noProof/>
        </w:rPr>
        <w:t xml:space="preserve"> </w:t>
      </w:r>
    </w:p>
    <w:p w14:paraId="40DAABCC" w14:textId="07C60EEA" w:rsidR="00C4624A" w:rsidRPr="002A406A" w:rsidRDefault="00E7408C" w:rsidP="00E7408C">
      <w:pPr>
        <w:pStyle w:val="ManualHeading2"/>
        <w:rPr>
          <w:noProof/>
        </w:rPr>
      </w:pPr>
      <w:bookmarkStart w:id="55" w:name="_Toc514938051"/>
      <w:bookmarkStart w:id="56" w:name="_Toc520485050"/>
      <w:r w:rsidRPr="00E7408C">
        <w:t>3.1.</w:t>
      </w:r>
      <w:r w:rsidRPr="00E7408C">
        <w:tab/>
      </w:r>
      <w:r w:rsidR="00C4624A" w:rsidRPr="002A406A">
        <w:rPr>
          <w:noProof/>
        </w:rPr>
        <w:t>Rubrica/rubriche del quadro finanziario pluriennale e linea/linee di bilancio di spesa interessate</w:t>
      </w:r>
      <w:bookmarkEnd w:id="55"/>
      <w:bookmarkEnd w:id="56"/>
      <w:r w:rsidR="00C4624A" w:rsidRPr="002A406A">
        <w:rPr>
          <w:noProof/>
        </w:rPr>
        <w:t xml:space="preserve"> </w:t>
      </w:r>
    </w:p>
    <w:p w14:paraId="1FFD9764" w14:textId="77777777" w:rsidR="00C4624A" w:rsidRPr="00195EC3" w:rsidRDefault="00C4624A" w:rsidP="00C4624A">
      <w:pPr>
        <w:pStyle w:val="ListBullet1"/>
        <w:rPr>
          <w:noProof/>
        </w:rPr>
      </w:pPr>
      <w:r w:rsidRPr="00195EC3">
        <w:rPr>
          <w:noProof/>
        </w:rPr>
        <w:t xml:space="preserve">Linee di bilancio esistenti </w:t>
      </w:r>
    </w:p>
    <w:p w14:paraId="5EA5887B" w14:textId="77777777" w:rsidR="00C4624A" w:rsidRPr="002A406A" w:rsidRDefault="00C4624A" w:rsidP="00C4624A">
      <w:pPr>
        <w:pStyle w:val="Text1"/>
        <w:rPr>
          <w:i/>
          <w:noProof/>
        </w:rPr>
      </w:pPr>
      <w:r w:rsidRPr="002A406A">
        <w:rPr>
          <w:i/>
          <w:noProof/>
          <w:u w:val="single"/>
        </w:rPr>
        <w:t>Secondo l'ordine</w:t>
      </w:r>
      <w:r w:rsidRPr="002A406A">
        <w:rPr>
          <w:i/>
          <w:noProof/>
        </w:rPr>
        <w:t xml:space="preserve"> delle rubriche del quadro finanziario pluriennale e delle linee di bilancio</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4624A" w:rsidRPr="00195EC3" w14:paraId="702EA39D" w14:textId="77777777" w:rsidTr="00461AA0">
        <w:tc>
          <w:tcPr>
            <w:tcW w:w="1080" w:type="dxa"/>
            <w:vMerge w:val="restart"/>
            <w:vAlign w:val="center"/>
          </w:tcPr>
          <w:p w14:paraId="0F71B685" w14:textId="77777777" w:rsidR="00C4624A" w:rsidRPr="002A406A" w:rsidRDefault="00C4624A" w:rsidP="00461AA0">
            <w:pPr>
              <w:spacing w:before="60" w:after="60"/>
              <w:jc w:val="center"/>
              <w:rPr>
                <w:noProof/>
              </w:rPr>
            </w:pPr>
            <w:r w:rsidRPr="002A406A">
              <w:rPr>
                <w:noProof/>
                <w:sz w:val="18"/>
              </w:rPr>
              <w:t>Rubrica del quadro finanziario pluriennale</w:t>
            </w:r>
          </w:p>
        </w:tc>
        <w:tc>
          <w:tcPr>
            <w:tcW w:w="3960" w:type="dxa"/>
            <w:vAlign w:val="center"/>
          </w:tcPr>
          <w:p w14:paraId="1873CC02" w14:textId="77777777" w:rsidR="00C4624A" w:rsidRPr="00195EC3" w:rsidRDefault="00C4624A" w:rsidP="00461AA0">
            <w:pPr>
              <w:spacing w:before="60" w:after="60"/>
              <w:jc w:val="center"/>
              <w:rPr>
                <w:noProof/>
              </w:rPr>
            </w:pPr>
            <w:r w:rsidRPr="00195EC3">
              <w:rPr>
                <w:noProof/>
                <w:sz w:val="20"/>
              </w:rPr>
              <w:t>Linea di bilancio</w:t>
            </w:r>
          </w:p>
        </w:tc>
        <w:tc>
          <w:tcPr>
            <w:tcW w:w="1080" w:type="dxa"/>
            <w:vAlign w:val="center"/>
          </w:tcPr>
          <w:p w14:paraId="2D662B57" w14:textId="77777777" w:rsidR="00C4624A" w:rsidRPr="00195EC3" w:rsidRDefault="00C4624A" w:rsidP="00461AA0">
            <w:pPr>
              <w:spacing w:before="60" w:after="60"/>
              <w:jc w:val="center"/>
              <w:rPr>
                <w:noProof/>
              </w:rPr>
            </w:pPr>
            <w:r w:rsidRPr="00195EC3">
              <w:rPr>
                <w:noProof/>
                <w:sz w:val="18"/>
              </w:rPr>
              <w:t>Tipo di spesa</w:t>
            </w:r>
          </w:p>
        </w:tc>
        <w:tc>
          <w:tcPr>
            <w:tcW w:w="4440" w:type="dxa"/>
            <w:gridSpan w:val="4"/>
            <w:vAlign w:val="center"/>
          </w:tcPr>
          <w:p w14:paraId="43996E70" w14:textId="77777777" w:rsidR="00C4624A" w:rsidRPr="00195EC3" w:rsidRDefault="00C4624A" w:rsidP="00461AA0">
            <w:pPr>
              <w:spacing w:before="60" w:after="60"/>
              <w:jc w:val="center"/>
              <w:rPr>
                <w:noProof/>
              </w:rPr>
            </w:pPr>
            <w:r w:rsidRPr="00195EC3">
              <w:rPr>
                <w:noProof/>
                <w:sz w:val="20"/>
              </w:rPr>
              <w:t xml:space="preserve">Partecipazione </w:t>
            </w:r>
          </w:p>
        </w:tc>
      </w:tr>
      <w:tr w:rsidR="00C4624A" w:rsidRPr="002A406A" w14:paraId="4B373C66" w14:textId="77777777" w:rsidTr="00461AA0">
        <w:tc>
          <w:tcPr>
            <w:tcW w:w="1080" w:type="dxa"/>
            <w:vMerge/>
            <w:vAlign w:val="center"/>
          </w:tcPr>
          <w:p w14:paraId="4847B193" w14:textId="77777777" w:rsidR="00C4624A" w:rsidRPr="00195EC3" w:rsidRDefault="00C4624A" w:rsidP="00461AA0">
            <w:pPr>
              <w:jc w:val="center"/>
              <w:rPr>
                <w:noProof/>
              </w:rPr>
            </w:pPr>
          </w:p>
        </w:tc>
        <w:tc>
          <w:tcPr>
            <w:tcW w:w="3960" w:type="dxa"/>
            <w:vAlign w:val="center"/>
          </w:tcPr>
          <w:p w14:paraId="017431D8" w14:textId="77777777" w:rsidR="00C4624A" w:rsidRPr="00195EC3" w:rsidRDefault="00C4624A" w:rsidP="00461AA0">
            <w:pPr>
              <w:rPr>
                <w:noProof/>
              </w:rPr>
            </w:pPr>
            <w:r w:rsidRPr="00195EC3">
              <w:rPr>
                <w:noProof/>
                <w:sz w:val="20"/>
              </w:rPr>
              <w:t xml:space="preserve">Numero </w:t>
            </w:r>
          </w:p>
        </w:tc>
        <w:tc>
          <w:tcPr>
            <w:tcW w:w="1080" w:type="dxa"/>
            <w:vAlign w:val="center"/>
          </w:tcPr>
          <w:p w14:paraId="61A8CBFC" w14:textId="77777777" w:rsidR="00C4624A" w:rsidRPr="00195EC3" w:rsidRDefault="00C4624A" w:rsidP="00461AA0">
            <w:pPr>
              <w:jc w:val="center"/>
              <w:rPr>
                <w:noProof/>
              </w:rPr>
            </w:pPr>
            <w:r w:rsidRPr="00195EC3">
              <w:rPr>
                <w:noProof/>
                <w:sz w:val="18"/>
              </w:rPr>
              <w:t>Diss./Non diss.</w:t>
            </w:r>
            <w:r w:rsidRPr="00195EC3">
              <w:rPr>
                <w:rStyle w:val="FootnoteReference"/>
                <w:noProof/>
                <w:sz w:val="18"/>
                <w:szCs w:val="18"/>
              </w:rPr>
              <w:footnoteReference w:id="30"/>
            </w:r>
          </w:p>
        </w:tc>
        <w:tc>
          <w:tcPr>
            <w:tcW w:w="956" w:type="dxa"/>
            <w:vAlign w:val="center"/>
          </w:tcPr>
          <w:p w14:paraId="23A67C4F" w14:textId="77777777" w:rsidR="00C4624A" w:rsidRPr="00195EC3" w:rsidRDefault="00C4624A" w:rsidP="00461AA0">
            <w:pPr>
              <w:jc w:val="center"/>
              <w:rPr>
                <w:noProof/>
              </w:rPr>
            </w:pPr>
            <w:r w:rsidRPr="00195EC3">
              <w:rPr>
                <w:noProof/>
                <w:sz w:val="18"/>
              </w:rPr>
              <w:t>di paesi EFTA</w:t>
            </w:r>
            <w:r w:rsidRPr="00195EC3">
              <w:rPr>
                <w:rStyle w:val="FootnoteReference"/>
                <w:noProof/>
                <w:sz w:val="18"/>
                <w:szCs w:val="18"/>
              </w:rPr>
              <w:footnoteReference w:id="31"/>
            </w:r>
          </w:p>
          <w:p w14:paraId="44FBA802" w14:textId="77777777" w:rsidR="00C4624A" w:rsidRPr="00195EC3" w:rsidRDefault="00C4624A" w:rsidP="00461AA0">
            <w:pPr>
              <w:spacing w:before="0" w:after="0"/>
              <w:jc w:val="center"/>
              <w:rPr>
                <w:b/>
                <w:noProof/>
                <w:sz w:val="18"/>
              </w:rPr>
            </w:pPr>
          </w:p>
        </w:tc>
        <w:tc>
          <w:tcPr>
            <w:tcW w:w="1080" w:type="dxa"/>
            <w:vAlign w:val="center"/>
          </w:tcPr>
          <w:p w14:paraId="05692F3E" w14:textId="77777777" w:rsidR="00C4624A" w:rsidRPr="00195EC3" w:rsidRDefault="00C4624A" w:rsidP="00461AA0">
            <w:pPr>
              <w:jc w:val="center"/>
              <w:rPr>
                <w:noProof/>
              </w:rPr>
            </w:pPr>
            <w:r w:rsidRPr="00195EC3">
              <w:rPr>
                <w:noProof/>
                <w:sz w:val="18"/>
              </w:rPr>
              <w:t>di paesi candidati</w:t>
            </w:r>
            <w:r w:rsidRPr="00195EC3">
              <w:rPr>
                <w:rStyle w:val="FootnoteReference"/>
                <w:noProof/>
                <w:sz w:val="18"/>
                <w:szCs w:val="18"/>
              </w:rPr>
              <w:footnoteReference w:id="32"/>
            </w:r>
          </w:p>
          <w:p w14:paraId="2F46212F" w14:textId="77777777" w:rsidR="00C4624A" w:rsidRPr="00195EC3" w:rsidRDefault="00C4624A" w:rsidP="00461AA0">
            <w:pPr>
              <w:spacing w:before="0" w:after="0"/>
              <w:jc w:val="center"/>
              <w:rPr>
                <w:noProof/>
                <w:sz w:val="18"/>
              </w:rPr>
            </w:pPr>
          </w:p>
        </w:tc>
        <w:tc>
          <w:tcPr>
            <w:tcW w:w="956" w:type="dxa"/>
            <w:vAlign w:val="center"/>
          </w:tcPr>
          <w:p w14:paraId="3073E2BD" w14:textId="77777777" w:rsidR="00C4624A" w:rsidRPr="00195EC3" w:rsidRDefault="00C4624A" w:rsidP="00461AA0">
            <w:pPr>
              <w:jc w:val="center"/>
              <w:rPr>
                <w:noProof/>
                <w:sz w:val="18"/>
              </w:rPr>
            </w:pPr>
            <w:r w:rsidRPr="00195EC3">
              <w:rPr>
                <w:noProof/>
                <w:sz w:val="18"/>
              </w:rPr>
              <w:t>di paesi terzi</w:t>
            </w:r>
          </w:p>
        </w:tc>
        <w:tc>
          <w:tcPr>
            <w:tcW w:w="1448" w:type="dxa"/>
            <w:vAlign w:val="center"/>
          </w:tcPr>
          <w:p w14:paraId="68CE3E41" w14:textId="77777777" w:rsidR="00C4624A" w:rsidRPr="002A406A" w:rsidRDefault="00C4624A" w:rsidP="00461AA0">
            <w:pPr>
              <w:jc w:val="center"/>
              <w:rPr>
                <w:noProof/>
              </w:rPr>
            </w:pPr>
            <w:r w:rsidRPr="002A406A">
              <w:rPr>
                <w:noProof/>
                <w:sz w:val="16"/>
              </w:rPr>
              <w:t xml:space="preserve">ai sensi dell'articolo 21, paragrafo 2, lettera b), del regolamento finanziario </w:t>
            </w:r>
          </w:p>
        </w:tc>
      </w:tr>
      <w:tr w:rsidR="00C4624A" w:rsidRPr="00195EC3" w14:paraId="53C0E4E1" w14:textId="77777777" w:rsidTr="00461AA0">
        <w:tc>
          <w:tcPr>
            <w:tcW w:w="1080" w:type="dxa"/>
            <w:vAlign w:val="center"/>
          </w:tcPr>
          <w:p w14:paraId="2114E767" w14:textId="77777777" w:rsidR="00C4624A" w:rsidRPr="00195EC3" w:rsidRDefault="00C4624A" w:rsidP="00461AA0">
            <w:pPr>
              <w:jc w:val="center"/>
              <w:rPr>
                <w:noProof/>
              </w:rPr>
            </w:pPr>
            <w:r w:rsidRPr="00195EC3">
              <w:rPr>
                <w:noProof/>
              </w:rPr>
              <w:t>6</w:t>
            </w:r>
          </w:p>
        </w:tc>
        <w:tc>
          <w:tcPr>
            <w:tcW w:w="3960" w:type="dxa"/>
            <w:vAlign w:val="center"/>
          </w:tcPr>
          <w:p w14:paraId="39FE25CC" w14:textId="77777777" w:rsidR="00C4624A" w:rsidRPr="00195EC3" w:rsidRDefault="00C4624A" w:rsidP="00461AA0">
            <w:pPr>
              <w:spacing w:after="60"/>
              <w:rPr>
                <w:noProof/>
              </w:rPr>
            </w:pPr>
            <w:r w:rsidRPr="00195EC3">
              <w:rPr>
                <w:noProof/>
              </w:rPr>
              <w:t>14 02 01 11 "Vicinato orientale"</w:t>
            </w:r>
          </w:p>
        </w:tc>
        <w:tc>
          <w:tcPr>
            <w:tcW w:w="1080" w:type="dxa"/>
            <w:vAlign w:val="center"/>
          </w:tcPr>
          <w:p w14:paraId="65FCD29B" w14:textId="77777777" w:rsidR="00C4624A" w:rsidRPr="00195EC3" w:rsidRDefault="00C4624A" w:rsidP="00461AA0">
            <w:pPr>
              <w:jc w:val="center"/>
              <w:rPr>
                <w:noProof/>
                <w:color w:val="0000FF"/>
              </w:rPr>
            </w:pPr>
            <w:r w:rsidRPr="00195EC3">
              <w:rPr>
                <w:noProof/>
                <w:sz w:val="22"/>
              </w:rPr>
              <w:t>Diss.</w:t>
            </w:r>
          </w:p>
        </w:tc>
        <w:tc>
          <w:tcPr>
            <w:tcW w:w="956" w:type="dxa"/>
            <w:vAlign w:val="center"/>
          </w:tcPr>
          <w:p w14:paraId="2F2879CC" w14:textId="77777777" w:rsidR="00C4624A" w:rsidRPr="00195EC3" w:rsidRDefault="00C4624A" w:rsidP="00461AA0">
            <w:pPr>
              <w:jc w:val="center"/>
              <w:rPr>
                <w:noProof/>
                <w:sz w:val="20"/>
                <w:szCs w:val="20"/>
              </w:rPr>
            </w:pPr>
            <w:r w:rsidRPr="00195EC3">
              <w:rPr>
                <w:noProof/>
                <w:sz w:val="20"/>
              </w:rPr>
              <w:t>NO</w:t>
            </w:r>
          </w:p>
        </w:tc>
        <w:tc>
          <w:tcPr>
            <w:tcW w:w="1080" w:type="dxa"/>
            <w:vAlign w:val="center"/>
          </w:tcPr>
          <w:p w14:paraId="3ED559C1" w14:textId="77777777" w:rsidR="00C4624A" w:rsidRPr="00195EC3" w:rsidRDefault="00C4624A" w:rsidP="00461AA0">
            <w:pPr>
              <w:jc w:val="center"/>
              <w:rPr>
                <w:noProof/>
                <w:sz w:val="20"/>
                <w:szCs w:val="20"/>
              </w:rPr>
            </w:pPr>
            <w:r w:rsidRPr="00195EC3">
              <w:rPr>
                <w:noProof/>
                <w:sz w:val="20"/>
              </w:rPr>
              <w:t>NO</w:t>
            </w:r>
          </w:p>
        </w:tc>
        <w:tc>
          <w:tcPr>
            <w:tcW w:w="956" w:type="dxa"/>
            <w:vAlign w:val="center"/>
          </w:tcPr>
          <w:p w14:paraId="19E1285E" w14:textId="77777777" w:rsidR="00C4624A" w:rsidRPr="00195EC3" w:rsidRDefault="00C4624A" w:rsidP="00461AA0">
            <w:pPr>
              <w:jc w:val="center"/>
              <w:rPr>
                <w:noProof/>
                <w:sz w:val="20"/>
                <w:szCs w:val="20"/>
              </w:rPr>
            </w:pPr>
            <w:r w:rsidRPr="00195EC3">
              <w:rPr>
                <w:noProof/>
                <w:sz w:val="20"/>
              </w:rPr>
              <w:t>NO</w:t>
            </w:r>
          </w:p>
        </w:tc>
        <w:tc>
          <w:tcPr>
            <w:tcW w:w="1448" w:type="dxa"/>
            <w:vAlign w:val="center"/>
          </w:tcPr>
          <w:p w14:paraId="6DD65D29" w14:textId="77777777" w:rsidR="00C4624A" w:rsidRPr="00195EC3" w:rsidRDefault="00C4624A" w:rsidP="00461AA0">
            <w:pPr>
              <w:jc w:val="center"/>
              <w:rPr>
                <w:noProof/>
                <w:sz w:val="20"/>
                <w:szCs w:val="20"/>
              </w:rPr>
            </w:pPr>
            <w:r w:rsidRPr="00195EC3">
              <w:rPr>
                <w:noProof/>
                <w:sz w:val="20"/>
              </w:rPr>
              <w:t>NO</w:t>
            </w:r>
          </w:p>
        </w:tc>
      </w:tr>
      <w:tr w:rsidR="00C4624A" w:rsidRPr="00195EC3" w14:paraId="7C59F0C1" w14:textId="77777777" w:rsidTr="00461AA0">
        <w:tc>
          <w:tcPr>
            <w:tcW w:w="1080" w:type="dxa"/>
            <w:vAlign w:val="center"/>
          </w:tcPr>
          <w:p w14:paraId="2A1976AA" w14:textId="77777777" w:rsidR="00C4624A" w:rsidRPr="00195EC3" w:rsidRDefault="00C4624A" w:rsidP="00461AA0">
            <w:pPr>
              <w:jc w:val="center"/>
              <w:rPr>
                <w:noProof/>
              </w:rPr>
            </w:pPr>
            <w:r w:rsidRPr="00195EC3">
              <w:rPr>
                <w:noProof/>
              </w:rPr>
              <w:t>6</w:t>
            </w:r>
          </w:p>
        </w:tc>
        <w:tc>
          <w:tcPr>
            <w:tcW w:w="3960" w:type="dxa"/>
            <w:vAlign w:val="center"/>
          </w:tcPr>
          <w:p w14:paraId="2DEA12F4" w14:textId="77777777" w:rsidR="00C4624A" w:rsidRPr="00195EC3" w:rsidRDefault="00C4624A" w:rsidP="00461AA0">
            <w:pPr>
              <w:spacing w:after="60"/>
              <w:rPr>
                <w:noProof/>
              </w:rPr>
            </w:pPr>
            <w:r w:rsidRPr="00195EC3">
              <w:rPr>
                <w:noProof/>
              </w:rPr>
              <w:t>14 02 01 70 "NDICI-Europa globale – Dotazione del fondo comune di copertura"</w:t>
            </w:r>
          </w:p>
        </w:tc>
        <w:tc>
          <w:tcPr>
            <w:tcW w:w="1080" w:type="dxa"/>
            <w:vAlign w:val="center"/>
          </w:tcPr>
          <w:p w14:paraId="07E5E127" w14:textId="77777777" w:rsidR="00C4624A" w:rsidRPr="00195EC3" w:rsidRDefault="00C4624A" w:rsidP="00461AA0">
            <w:pPr>
              <w:jc w:val="center"/>
              <w:rPr>
                <w:noProof/>
                <w:color w:val="0000FF"/>
              </w:rPr>
            </w:pPr>
            <w:r w:rsidRPr="00195EC3">
              <w:rPr>
                <w:noProof/>
                <w:sz w:val="22"/>
              </w:rPr>
              <w:t>Diss.</w:t>
            </w:r>
          </w:p>
        </w:tc>
        <w:tc>
          <w:tcPr>
            <w:tcW w:w="956" w:type="dxa"/>
            <w:vAlign w:val="center"/>
          </w:tcPr>
          <w:p w14:paraId="18FB45B9" w14:textId="77777777" w:rsidR="00C4624A" w:rsidRPr="00195EC3" w:rsidRDefault="00C4624A" w:rsidP="00461AA0">
            <w:pPr>
              <w:jc w:val="center"/>
              <w:rPr>
                <w:noProof/>
                <w:sz w:val="20"/>
                <w:szCs w:val="20"/>
              </w:rPr>
            </w:pPr>
            <w:r w:rsidRPr="00195EC3">
              <w:rPr>
                <w:noProof/>
                <w:sz w:val="20"/>
              </w:rPr>
              <w:t>NO</w:t>
            </w:r>
          </w:p>
        </w:tc>
        <w:tc>
          <w:tcPr>
            <w:tcW w:w="1080" w:type="dxa"/>
            <w:vAlign w:val="center"/>
          </w:tcPr>
          <w:p w14:paraId="7AAE98A7" w14:textId="77777777" w:rsidR="00C4624A" w:rsidRPr="00195EC3" w:rsidRDefault="00C4624A" w:rsidP="00461AA0">
            <w:pPr>
              <w:jc w:val="center"/>
              <w:rPr>
                <w:noProof/>
                <w:sz w:val="20"/>
                <w:szCs w:val="20"/>
              </w:rPr>
            </w:pPr>
            <w:r w:rsidRPr="00195EC3">
              <w:rPr>
                <w:noProof/>
                <w:sz w:val="20"/>
              </w:rPr>
              <w:t>NO</w:t>
            </w:r>
          </w:p>
        </w:tc>
        <w:tc>
          <w:tcPr>
            <w:tcW w:w="956" w:type="dxa"/>
            <w:vAlign w:val="center"/>
          </w:tcPr>
          <w:p w14:paraId="172345B1" w14:textId="77777777" w:rsidR="00C4624A" w:rsidRPr="00195EC3" w:rsidRDefault="00C4624A" w:rsidP="00461AA0">
            <w:pPr>
              <w:jc w:val="center"/>
              <w:rPr>
                <w:noProof/>
                <w:sz w:val="20"/>
                <w:szCs w:val="20"/>
              </w:rPr>
            </w:pPr>
            <w:r w:rsidRPr="00195EC3">
              <w:rPr>
                <w:noProof/>
                <w:sz w:val="20"/>
              </w:rPr>
              <w:t>NO</w:t>
            </w:r>
          </w:p>
        </w:tc>
        <w:tc>
          <w:tcPr>
            <w:tcW w:w="1448" w:type="dxa"/>
            <w:vAlign w:val="center"/>
          </w:tcPr>
          <w:p w14:paraId="3F355711" w14:textId="77777777" w:rsidR="00C4624A" w:rsidRPr="00195EC3" w:rsidRDefault="00C4624A" w:rsidP="00461AA0">
            <w:pPr>
              <w:jc w:val="center"/>
              <w:rPr>
                <w:noProof/>
                <w:sz w:val="20"/>
                <w:szCs w:val="20"/>
              </w:rPr>
            </w:pPr>
            <w:r w:rsidRPr="00195EC3">
              <w:rPr>
                <w:noProof/>
                <w:sz w:val="20"/>
              </w:rPr>
              <w:t>NO</w:t>
            </w:r>
          </w:p>
        </w:tc>
      </w:tr>
    </w:tbl>
    <w:p w14:paraId="21760431" w14:textId="77777777" w:rsidR="00C4624A" w:rsidRPr="00195EC3" w:rsidRDefault="00C4624A" w:rsidP="00C4624A">
      <w:pPr>
        <w:pStyle w:val="ListBullet1"/>
        <w:rPr>
          <w:noProof/>
        </w:rPr>
      </w:pPr>
      <w:r w:rsidRPr="00195EC3">
        <w:rPr>
          <w:noProof/>
        </w:rPr>
        <w:t>Nuove linee di bilancio di cui è chiesta la creazione - Non pertinente</w:t>
      </w:r>
    </w:p>
    <w:p w14:paraId="478B8AD1" w14:textId="77777777" w:rsidR="00C4624A" w:rsidRPr="00195EC3" w:rsidRDefault="00C4624A" w:rsidP="00C4624A">
      <w:pPr>
        <w:rPr>
          <w:noProof/>
        </w:rPr>
        <w:sectPr w:rsidR="00C4624A" w:rsidRPr="00195EC3" w:rsidSect="003A691C">
          <w:pgSz w:w="11907" w:h="16840" w:code="1"/>
          <w:pgMar w:top="1134" w:right="1418" w:bottom="1134" w:left="1418" w:header="709" w:footer="709" w:gutter="0"/>
          <w:cols w:space="708"/>
          <w:docGrid w:linePitch="360"/>
        </w:sectPr>
      </w:pPr>
    </w:p>
    <w:p w14:paraId="4F59448C" w14:textId="06E7DAEB" w:rsidR="00C4624A" w:rsidRPr="00195EC3" w:rsidRDefault="00E7408C" w:rsidP="00E7408C">
      <w:pPr>
        <w:pStyle w:val="ManualHeading2"/>
        <w:rPr>
          <w:noProof/>
          <w:szCs w:val="24"/>
        </w:rPr>
      </w:pPr>
      <w:bookmarkStart w:id="57" w:name="_Toc514938052"/>
      <w:bookmarkStart w:id="58" w:name="_Toc520485051"/>
      <w:r w:rsidRPr="00E7408C">
        <w:t>3.2.</w:t>
      </w:r>
      <w:r w:rsidRPr="00E7408C">
        <w:tab/>
      </w:r>
      <w:r w:rsidR="00C4624A" w:rsidRPr="00195EC3">
        <w:rPr>
          <w:noProof/>
        </w:rPr>
        <w:t>Incidenza finanziaria prevista della proposta sugli stanziamenti</w:t>
      </w:r>
      <w:bookmarkEnd w:id="57"/>
      <w:bookmarkEnd w:id="58"/>
      <w:r w:rsidR="00C4624A" w:rsidRPr="00195EC3">
        <w:rPr>
          <w:noProof/>
        </w:rPr>
        <w:t xml:space="preserve"> </w:t>
      </w:r>
    </w:p>
    <w:p w14:paraId="2EA799C9" w14:textId="4F9AF64D" w:rsidR="00C4624A" w:rsidRPr="00195EC3" w:rsidRDefault="00E7408C" w:rsidP="00E7408C">
      <w:pPr>
        <w:pStyle w:val="ManualHeading3"/>
        <w:rPr>
          <w:noProof/>
        </w:rPr>
      </w:pPr>
      <w:bookmarkStart w:id="59" w:name="_Toc514938053"/>
      <w:bookmarkStart w:id="60" w:name="_Toc520485052"/>
      <w:r w:rsidRPr="00E7408C">
        <w:t>3.2.1.</w:t>
      </w:r>
      <w:r w:rsidRPr="00E7408C">
        <w:tab/>
      </w:r>
      <w:r w:rsidR="00C4624A" w:rsidRPr="00195EC3">
        <w:rPr>
          <w:noProof/>
        </w:rPr>
        <w:t>Sintesi dell'incidenza prevista sugli stanziamenti operativi</w:t>
      </w:r>
      <w:bookmarkEnd w:id="59"/>
      <w:bookmarkEnd w:id="60"/>
      <w:r w:rsidR="00C4624A" w:rsidRPr="00195EC3">
        <w:rPr>
          <w:noProof/>
        </w:rPr>
        <w:t xml:space="preserve"> </w:t>
      </w:r>
    </w:p>
    <w:p w14:paraId="6EC36F36" w14:textId="77777777" w:rsidR="00C4624A" w:rsidRPr="00195EC3" w:rsidRDefault="00C4624A" w:rsidP="00C4624A">
      <w:pPr>
        <w:pStyle w:val="ListDash1"/>
        <w:rPr>
          <w:noProof/>
        </w:rPr>
      </w:pPr>
      <w:r w:rsidRPr="00195EC3">
        <w:rPr>
          <w:rFonts w:ascii="Wingdings" w:hAnsi="Wingdings"/>
          <w:noProof/>
        </w:rPr>
        <w:t></w:t>
      </w:r>
      <w:r w:rsidRPr="00195EC3">
        <w:rPr>
          <w:noProof/>
        </w:rPr>
        <w:tab/>
        <w:t xml:space="preserve">La proposta/iniziativa non comporta l'utilizzo di stanziamenti operativi. </w:t>
      </w:r>
    </w:p>
    <w:p w14:paraId="5A8E577D" w14:textId="77777777" w:rsidR="00C4624A" w:rsidRPr="00195EC3" w:rsidRDefault="00C4624A" w:rsidP="00C4624A">
      <w:pPr>
        <w:pStyle w:val="ListDash1"/>
        <w:rPr>
          <w:noProof/>
        </w:rPr>
      </w:pPr>
      <w:r w:rsidRPr="00195EC3">
        <w:rPr>
          <w:rFonts w:ascii="Wingdings" w:hAnsi="Wingdings"/>
          <w:noProof/>
        </w:rPr>
        <w:t></w:t>
      </w:r>
      <w:r w:rsidRPr="00195EC3">
        <w:rPr>
          <w:noProof/>
        </w:rPr>
        <w:tab/>
        <w:t>La proposta/iniziativa comporta l'utilizzo di stanziamenti operativi, come spiegato di seguito:</w:t>
      </w:r>
    </w:p>
    <w:p w14:paraId="21BF2D67" w14:textId="77777777" w:rsidR="00C4624A" w:rsidRPr="00195EC3" w:rsidRDefault="00C4624A" w:rsidP="00C4624A">
      <w:pPr>
        <w:jc w:val="right"/>
        <w:rPr>
          <w:noProof/>
          <w:sz w:val="18"/>
          <w:szCs w:val="18"/>
        </w:rPr>
      </w:pPr>
      <w:r w:rsidRPr="00195EC3">
        <w:rPr>
          <w:noProof/>
          <w:sz w:val="18"/>
        </w:rPr>
        <w:t>Mio EUR (al terzo decimale)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4624A" w:rsidRPr="00195EC3" w14:paraId="45F47AED" w14:textId="77777777" w:rsidTr="00461AA0">
        <w:trPr>
          <w:jc w:val="center"/>
        </w:trPr>
        <w:tc>
          <w:tcPr>
            <w:tcW w:w="4744" w:type="dxa"/>
            <w:shd w:val="thinDiagStripe" w:color="C0C0C0" w:fill="auto"/>
            <w:vAlign w:val="center"/>
          </w:tcPr>
          <w:p w14:paraId="3E3D9DD6" w14:textId="77777777" w:rsidR="00C4624A" w:rsidRPr="00195EC3" w:rsidRDefault="00C4624A" w:rsidP="00461AA0">
            <w:pPr>
              <w:spacing w:before="60" w:after="60"/>
              <w:jc w:val="center"/>
              <w:rPr>
                <w:b/>
                <w:noProof/>
              </w:rPr>
            </w:pPr>
            <w:r w:rsidRPr="00195EC3">
              <w:rPr>
                <w:b/>
                <w:noProof/>
                <w:sz w:val="22"/>
              </w:rPr>
              <w:t xml:space="preserve">Rubrica del quadro finanziario pluriennale </w:t>
            </w:r>
          </w:p>
        </w:tc>
        <w:tc>
          <w:tcPr>
            <w:tcW w:w="1080" w:type="dxa"/>
            <w:vAlign w:val="center"/>
          </w:tcPr>
          <w:p w14:paraId="5CDCF747" w14:textId="77777777" w:rsidR="00C4624A" w:rsidRPr="00195EC3" w:rsidRDefault="00C4624A" w:rsidP="00461AA0">
            <w:pPr>
              <w:spacing w:before="60" w:after="60"/>
              <w:jc w:val="center"/>
              <w:rPr>
                <w:noProof/>
              </w:rPr>
            </w:pPr>
            <w:r w:rsidRPr="00195EC3">
              <w:rPr>
                <w:noProof/>
                <w:sz w:val="22"/>
              </w:rPr>
              <w:t>6</w:t>
            </w:r>
          </w:p>
        </w:tc>
        <w:tc>
          <w:tcPr>
            <w:tcW w:w="7817" w:type="dxa"/>
            <w:vAlign w:val="center"/>
          </w:tcPr>
          <w:p w14:paraId="24074526" w14:textId="77777777" w:rsidR="00C4624A" w:rsidRPr="00195EC3" w:rsidRDefault="00C4624A" w:rsidP="00461AA0">
            <w:pPr>
              <w:spacing w:before="60" w:after="60"/>
              <w:rPr>
                <w:noProof/>
              </w:rPr>
            </w:pPr>
            <w:r w:rsidRPr="00195EC3">
              <w:rPr>
                <w:b/>
                <w:noProof/>
                <w:sz w:val="22"/>
              </w:rPr>
              <w:t xml:space="preserve">                           Rubrica 6 - "Vicinato e resto del mondo"</w:t>
            </w:r>
            <w:r w:rsidRPr="00195EC3">
              <w:rPr>
                <w:noProof/>
                <w:color w:val="202124"/>
                <w:shd w:val="clear" w:color="auto" w:fill="FFFFFF"/>
              </w:rPr>
              <w:t xml:space="preserve"> </w:t>
            </w:r>
          </w:p>
        </w:tc>
      </w:tr>
    </w:tbl>
    <w:p w14:paraId="4F1CB1CF" w14:textId="77777777" w:rsidR="00C4624A" w:rsidRPr="00195EC3" w:rsidRDefault="00C4624A" w:rsidP="00C4624A">
      <w:pPr>
        <w:rPr>
          <w:noProof/>
          <w:sz w:val="16"/>
        </w:rPr>
      </w:pPr>
    </w:p>
    <w:tbl>
      <w:tblPr>
        <w:tblW w:w="149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54"/>
        <w:gridCol w:w="868"/>
        <w:gridCol w:w="868"/>
        <w:gridCol w:w="868"/>
        <w:gridCol w:w="930"/>
        <w:gridCol w:w="996"/>
        <w:gridCol w:w="992"/>
        <w:gridCol w:w="992"/>
        <w:gridCol w:w="2410"/>
      </w:tblGrid>
      <w:tr w:rsidR="00C4624A" w:rsidRPr="00195EC3" w14:paraId="78419076" w14:textId="77777777" w:rsidTr="00461AA0">
        <w:tc>
          <w:tcPr>
            <w:tcW w:w="3960" w:type="dxa"/>
            <w:vAlign w:val="center"/>
          </w:tcPr>
          <w:p w14:paraId="1ADE38A1" w14:textId="77777777" w:rsidR="00C4624A" w:rsidRPr="00195EC3" w:rsidRDefault="00C4624A" w:rsidP="00461AA0">
            <w:pPr>
              <w:jc w:val="center"/>
              <w:rPr>
                <w:noProof/>
              </w:rPr>
            </w:pPr>
            <w:r w:rsidRPr="00195EC3">
              <w:rPr>
                <w:noProof/>
                <w:sz w:val="22"/>
              </w:rPr>
              <w:t>DG: NEAR</w:t>
            </w:r>
          </w:p>
        </w:tc>
        <w:tc>
          <w:tcPr>
            <w:tcW w:w="1362" w:type="dxa"/>
          </w:tcPr>
          <w:p w14:paraId="5A2F3794" w14:textId="77777777" w:rsidR="00C4624A" w:rsidRPr="00195EC3" w:rsidRDefault="00C4624A" w:rsidP="00461AA0">
            <w:pPr>
              <w:rPr>
                <w:noProof/>
                <w:sz w:val="20"/>
              </w:rPr>
            </w:pPr>
          </w:p>
        </w:tc>
        <w:tc>
          <w:tcPr>
            <w:tcW w:w="732" w:type="dxa"/>
            <w:gridSpan w:val="2"/>
          </w:tcPr>
          <w:p w14:paraId="6074005B" w14:textId="77777777" w:rsidR="00C4624A" w:rsidRPr="00195EC3" w:rsidRDefault="00C4624A" w:rsidP="00461AA0">
            <w:pPr>
              <w:jc w:val="center"/>
              <w:rPr>
                <w:noProof/>
                <w:sz w:val="20"/>
              </w:rPr>
            </w:pPr>
          </w:p>
        </w:tc>
        <w:tc>
          <w:tcPr>
            <w:tcW w:w="868" w:type="dxa"/>
          </w:tcPr>
          <w:p w14:paraId="5D3E89DC" w14:textId="77777777" w:rsidR="00C4624A" w:rsidRPr="00195EC3" w:rsidRDefault="00C4624A" w:rsidP="00461AA0">
            <w:pPr>
              <w:jc w:val="center"/>
              <w:rPr>
                <w:noProof/>
                <w:sz w:val="20"/>
                <w:szCs w:val="20"/>
              </w:rPr>
            </w:pPr>
            <w:r w:rsidRPr="00195EC3">
              <w:rPr>
                <w:noProof/>
                <w:sz w:val="20"/>
              </w:rPr>
              <w:t>Anno</w:t>
            </w:r>
          </w:p>
          <w:p w14:paraId="433B9EDA" w14:textId="77777777" w:rsidR="00C4624A" w:rsidRPr="00195EC3" w:rsidRDefault="00C4624A" w:rsidP="00461AA0">
            <w:pPr>
              <w:jc w:val="center"/>
              <w:rPr>
                <w:noProof/>
                <w:sz w:val="20"/>
                <w:szCs w:val="20"/>
              </w:rPr>
            </w:pPr>
            <w:r w:rsidRPr="00195EC3">
              <w:rPr>
                <w:b/>
                <w:noProof/>
                <w:sz w:val="20"/>
              </w:rPr>
              <w:t>2021</w:t>
            </w:r>
          </w:p>
        </w:tc>
        <w:tc>
          <w:tcPr>
            <w:tcW w:w="868" w:type="dxa"/>
            <w:vAlign w:val="center"/>
          </w:tcPr>
          <w:p w14:paraId="6149FA8B" w14:textId="77777777" w:rsidR="00C4624A" w:rsidRPr="00195EC3" w:rsidRDefault="00C4624A" w:rsidP="00461AA0">
            <w:pPr>
              <w:jc w:val="center"/>
              <w:rPr>
                <w:noProof/>
                <w:sz w:val="20"/>
                <w:szCs w:val="20"/>
              </w:rPr>
            </w:pPr>
            <w:r w:rsidRPr="00195EC3">
              <w:rPr>
                <w:noProof/>
                <w:sz w:val="20"/>
              </w:rPr>
              <w:t>Anno</w:t>
            </w:r>
          </w:p>
          <w:p w14:paraId="6E1D8F2B" w14:textId="77777777" w:rsidR="00C4624A" w:rsidRPr="00195EC3" w:rsidRDefault="00C4624A" w:rsidP="00461AA0">
            <w:pPr>
              <w:jc w:val="center"/>
              <w:rPr>
                <w:noProof/>
                <w:sz w:val="20"/>
              </w:rPr>
            </w:pPr>
            <w:r w:rsidRPr="00195EC3">
              <w:rPr>
                <w:b/>
                <w:noProof/>
                <w:sz w:val="20"/>
              </w:rPr>
              <w:t>2022</w:t>
            </w:r>
          </w:p>
        </w:tc>
        <w:tc>
          <w:tcPr>
            <w:tcW w:w="868" w:type="dxa"/>
            <w:vAlign w:val="center"/>
          </w:tcPr>
          <w:p w14:paraId="7F0A5B4E" w14:textId="77777777" w:rsidR="00C4624A" w:rsidRPr="00195EC3" w:rsidRDefault="00C4624A" w:rsidP="00461AA0">
            <w:pPr>
              <w:jc w:val="center"/>
              <w:rPr>
                <w:noProof/>
                <w:sz w:val="20"/>
              </w:rPr>
            </w:pPr>
            <w:r w:rsidRPr="00195EC3">
              <w:rPr>
                <w:noProof/>
                <w:sz w:val="20"/>
              </w:rPr>
              <w:t>Anno</w:t>
            </w:r>
          </w:p>
          <w:p w14:paraId="4B5DB4C0" w14:textId="77777777" w:rsidR="00C4624A" w:rsidRPr="00195EC3" w:rsidRDefault="00C4624A" w:rsidP="00461AA0">
            <w:pPr>
              <w:jc w:val="center"/>
              <w:rPr>
                <w:noProof/>
                <w:sz w:val="20"/>
              </w:rPr>
            </w:pPr>
            <w:r w:rsidRPr="00195EC3">
              <w:rPr>
                <w:b/>
                <w:noProof/>
                <w:sz w:val="20"/>
              </w:rPr>
              <w:t>2023</w:t>
            </w:r>
          </w:p>
        </w:tc>
        <w:tc>
          <w:tcPr>
            <w:tcW w:w="930" w:type="dxa"/>
            <w:vAlign w:val="center"/>
          </w:tcPr>
          <w:p w14:paraId="64EBF580" w14:textId="77777777" w:rsidR="00C4624A" w:rsidRPr="00195EC3" w:rsidRDefault="00C4624A" w:rsidP="00461AA0">
            <w:pPr>
              <w:jc w:val="center"/>
              <w:rPr>
                <w:noProof/>
                <w:sz w:val="20"/>
              </w:rPr>
            </w:pPr>
            <w:r w:rsidRPr="00195EC3">
              <w:rPr>
                <w:noProof/>
                <w:sz w:val="20"/>
              </w:rPr>
              <w:t>Anno</w:t>
            </w:r>
          </w:p>
          <w:p w14:paraId="4B3621D7" w14:textId="77777777" w:rsidR="00C4624A" w:rsidRPr="00195EC3" w:rsidRDefault="00C4624A" w:rsidP="00461AA0">
            <w:pPr>
              <w:jc w:val="center"/>
              <w:rPr>
                <w:noProof/>
                <w:sz w:val="20"/>
              </w:rPr>
            </w:pPr>
            <w:r w:rsidRPr="00195EC3">
              <w:rPr>
                <w:b/>
                <w:noProof/>
                <w:sz w:val="20"/>
              </w:rPr>
              <w:t>2024</w:t>
            </w:r>
          </w:p>
        </w:tc>
        <w:tc>
          <w:tcPr>
            <w:tcW w:w="996" w:type="dxa"/>
            <w:vAlign w:val="center"/>
          </w:tcPr>
          <w:p w14:paraId="76BD15FC" w14:textId="77777777" w:rsidR="00C4624A" w:rsidRPr="00195EC3" w:rsidRDefault="00C4624A" w:rsidP="00461AA0">
            <w:pPr>
              <w:jc w:val="center"/>
              <w:rPr>
                <w:noProof/>
                <w:sz w:val="20"/>
              </w:rPr>
            </w:pPr>
            <w:r w:rsidRPr="00195EC3">
              <w:rPr>
                <w:noProof/>
                <w:sz w:val="20"/>
              </w:rPr>
              <w:t>Anno</w:t>
            </w:r>
          </w:p>
          <w:p w14:paraId="4F015F6E" w14:textId="77777777" w:rsidR="00C4624A" w:rsidRPr="00195EC3" w:rsidRDefault="00C4624A" w:rsidP="00461AA0">
            <w:pPr>
              <w:jc w:val="center"/>
              <w:rPr>
                <w:noProof/>
                <w:sz w:val="20"/>
              </w:rPr>
            </w:pPr>
            <w:r w:rsidRPr="00195EC3">
              <w:rPr>
                <w:b/>
                <w:noProof/>
                <w:sz w:val="20"/>
              </w:rPr>
              <w:t>2025</w:t>
            </w:r>
          </w:p>
        </w:tc>
        <w:tc>
          <w:tcPr>
            <w:tcW w:w="992" w:type="dxa"/>
          </w:tcPr>
          <w:p w14:paraId="02B6D49C" w14:textId="77777777" w:rsidR="00C4624A" w:rsidRPr="00195EC3" w:rsidRDefault="00C4624A" w:rsidP="00461AA0">
            <w:pPr>
              <w:jc w:val="center"/>
              <w:rPr>
                <w:noProof/>
                <w:sz w:val="20"/>
              </w:rPr>
            </w:pPr>
            <w:r w:rsidRPr="00195EC3">
              <w:rPr>
                <w:noProof/>
                <w:sz w:val="20"/>
              </w:rPr>
              <w:t>Anno</w:t>
            </w:r>
          </w:p>
          <w:p w14:paraId="3B070963" w14:textId="77777777" w:rsidR="00C4624A" w:rsidRPr="00195EC3" w:rsidRDefault="00C4624A" w:rsidP="00461AA0">
            <w:pPr>
              <w:jc w:val="center"/>
              <w:rPr>
                <w:noProof/>
                <w:sz w:val="18"/>
              </w:rPr>
            </w:pPr>
            <w:r w:rsidRPr="00195EC3">
              <w:rPr>
                <w:b/>
                <w:noProof/>
                <w:sz w:val="20"/>
              </w:rPr>
              <w:t>2026</w:t>
            </w:r>
          </w:p>
        </w:tc>
        <w:tc>
          <w:tcPr>
            <w:tcW w:w="992" w:type="dxa"/>
          </w:tcPr>
          <w:p w14:paraId="17FFF4F5" w14:textId="77777777" w:rsidR="00C4624A" w:rsidRPr="00195EC3" w:rsidRDefault="00C4624A" w:rsidP="00461AA0">
            <w:pPr>
              <w:jc w:val="center"/>
              <w:rPr>
                <w:noProof/>
                <w:sz w:val="20"/>
              </w:rPr>
            </w:pPr>
            <w:r w:rsidRPr="00195EC3">
              <w:rPr>
                <w:noProof/>
                <w:sz w:val="20"/>
              </w:rPr>
              <w:t>Anno</w:t>
            </w:r>
          </w:p>
          <w:p w14:paraId="51652B40" w14:textId="77777777" w:rsidR="00C4624A" w:rsidRPr="00195EC3" w:rsidRDefault="00C4624A" w:rsidP="00461AA0">
            <w:pPr>
              <w:jc w:val="center"/>
              <w:rPr>
                <w:noProof/>
                <w:sz w:val="18"/>
              </w:rPr>
            </w:pPr>
            <w:r w:rsidRPr="00195EC3">
              <w:rPr>
                <w:b/>
                <w:noProof/>
                <w:sz w:val="20"/>
              </w:rPr>
              <w:t>2027</w:t>
            </w:r>
          </w:p>
        </w:tc>
        <w:tc>
          <w:tcPr>
            <w:tcW w:w="2410" w:type="dxa"/>
            <w:vAlign w:val="center"/>
          </w:tcPr>
          <w:p w14:paraId="313924B2" w14:textId="77777777" w:rsidR="00C4624A" w:rsidRPr="00195EC3" w:rsidRDefault="00C4624A" w:rsidP="00461AA0">
            <w:pPr>
              <w:jc w:val="center"/>
              <w:rPr>
                <w:noProof/>
                <w:sz w:val="20"/>
              </w:rPr>
            </w:pPr>
            <w:r w:rsidRPr="00195EC3">
              <w:rPr>
                <w:b/>
                <w:noProof/>
                <w:sz w:val="20"/>
              </w:rPr>
              <w:t>TOTALE</w:t>
            </w:r>
          </w:p>
        </w:tc>
      </w:tr>
      <w:tr w:rsidR="00C4624A" w:rsidRPr="00195EC3" w14:paraId="63EB85EC" w14:textId="77777777" w:rsidTr="00461AA0">
        <w:trPr>
          <w:trHeight w:val="213"/>
        </w:trPr>
        <w:tc>
          <w:tcPr>
            <w:tcW w:w="6054" w:type="dxa"/>
            <w:gridSpan w:val="4"/>
            <w:shd w:val="clear" w:color="auto" w:fill="EEECE1" w:themeFill="background2"/>
            <w:vAlign w:val="center"/>
          </w:tcPr>
          <w:p w14:paraId="064FE9DE" w14:textId="77777777" w:rsidR="00C4624A" w:rsidRPr="00195EC3" w:rsidRDefault="00C4624A" w:rsidP="00461AA0">
            <w:pPr>
              <w:spacing w:before="20" w:after="20"/>
              <w:rPr>
                <w:noProof/>
                <w:sz w:val="21"/>
                <w:szCs w:val="21"/>
              </w:rPr>
            </w:pPr>
            <w:r w:rsidRPr="00195EC3">
              <w:rPr>
                <w:noProof/>
                <w:sz w:val="21"/>
              </w:rPr>
              <w:t>□ Stanziamenti operativi AMF I</w:t>
            </w:r>
            <w:r w:rsidRPr="00195EC3">
              <w:rPr>
                <w:rStyle w:val="FootnoteReference"/>
                <w:rFonts w:eastAsia="Times New Roman"/>
                <w:noProof/>
                <w:sz w:val="21"/>
                <w:szCs w:val="21"/>
              </w:rPr>
              <w:footnoteReference w:id="33"/>
            </w:r>
          </w:p>
        </w:tc>
        <w:tc>
          <w:tcPr>
            <w:tcW w:w="868" w:type="dxa"/>
            <w:shd w:val="clear" w:color="auto" w:fill="EEECE1" w:themeFill="background2"/>
          </w:tcPr>
          <w:p w14:paraId="42CBABCF" w14:textId="77777777" w:rsidR="00C4624A" w:rsidRPr="00195EC3" w:rsidRDefault="00C4624A" w:rsidP="00461AA0">
            <w:pPr>
              <w:rPr>
                <w:noProof/>
                <w:sz w:val="20"/>
                <w:szCs w:val="20"/>
              </w:rPr>
            </w:pPr>
          </w:p>
        </w:tc>
        <w:tc>
          <w:tcPr>
            <w:tcW w:w="868" w:type="dxa"/>
            <w:shd w:val="clear" w:color="auto" w:fill="EEECE1" w:themeFill="background2"/>
            <w:vAlign w:val="center"/>
          </w:tcPr>
          <w:p w14:paraId="1A8B0CF4" w14:textId="77777777" w:rsidR="00C4624A" w:rsidRPr="00195EC3" w:rsidRDefault="00C4624A" w:rsidP="00461AA0">
            <w:pPr>
              <w:rPr>
                <w:noProof/>
                <w:sz w:val="20"/>
              </w:rPr>
            </w:pPr>
          </w:p>
        </w:tc>
        <w:tc>
          <w:tcPr>
            <w:tcW w:w="868" w:type="dxa"/>
            <w:shd w:val="clear" w:color="auto" w:fill="EEECE1" w:themeFill="background2"/>
            <w:vAlign w:val="center"/>
          </w:tcPr>
          <w:p w14:paraId="637C9D91" w14:textId="77777777" w:rsidR="00C4624A" w:rsidRPr="00195EC3" w:rsidRDefault="00C4624A" w:rsidP="00461AA0">
            <w:pPr>
              <w:rPr>
                <w:noProof/>
                <w:sz w:val="20"/>
              </w:rPr>
            </w:pPr>
          </w:p>
        </w:tc>
        <w:tc>
          <w:tcPr>
            <w:tcW w:w="930" w:type="dxa"/>
            <w:shd w:val="clear" w:color="auto" w:fill="EEECE1" w:themeFill="background2"/>
            <w:vAlign w:val="center"/>
          </w:tcPr>
          <w:p w14:paraId="3EB5B4F8" w14:textId="77777777" w:rsidR="00C4624A" w:rsidRPr="00195EC3" w:rsidRDefault="00C4624A" w:rsidP="00461AA0">
            <w:pPr>
              <w:rPr>
                <w:noProof/>
                <w:sz w:val="20"/>
              </w:rPr>
            </w:pPr>
          </w:p>
        </w:tc>
        <w:tc>
          <w:tcPr>
            <w:tcW w:w="996" w:type="dxa"/>
            <w:shd w:val="clear" w:color="auto" w:fill="EEECE1" w:themeFill="background2"/>
            <w:vAlign w:val="center"/>
          </w:tcPr>
          <w:p w14:paraId="5BEC5A25" w14:textId="77777777" w:rsidR="00C4624A" w:rsidRPr="00195EC3" w:rsidRDefault="00C4624A" w:rsidP="00461AA0">
            <w:pPr>
              <w:rPr>
                <w:noProof/>
                <w:sz w:val="20"/>
              </w:rPr>
            </w:pPr>
          </w:p>
        </w:tc>
        <w:tc>
          <w:tcPr>
            <w:tcW w:w="992" w:type="dxa"/>
            <w:shd w:val="clear" w:color="auto" w:fill="EEECE1" w:themeFill="background2"/>
          </w:tcPr>
          <w:p w14:paraId="154B254C" w14:textId="77777777" w:rsidR="00C4624A" w:rsidRPr="00195EC3" w:rsidRDefault="00C4624A" w:rsidP="00461AA0">
            <w:pPr>
              <w:rPr>
                <w:noProof/>
                <w:sz w:val="20"/>
              </w:rPr>
            </w:pPr>
          </w:p>
        </w:tc>
        <w:tc>
          <w:tcPr>
            <w:tcW w:w="992" w:type="dxa"/>
            <w:shd w:val="clear" w:color="auto" w:fill="EEECE1" w:themeFill="background2"/>
          </w:tcPr>
          <w:p w14:paraId="7EE27EA4" w14:textId="77777777" w:rsidR="00C4624A" w:rsidRPr="00195EC3" w:rsidRDefault="00C4624A" w:rsidP="00461AA0">
            <w:pPr>
              <w:rPr>
                <w:noProof/>
                <w:sz w:val="20"/>
              </w:rPr>
            </w:pPr>
          </w:p>
        </w:tc>
        <w:tc>
          <w:tcPr>
            <w:tcW w:w="2410" w:type="dxa"/>
            <w:shd w:val="clear" w:color="auto" w:fill="EEECE1" w:themeFill="background2"/>
          </w:tcPr>
          <w:p w14:paraId="522155F5" w14:textId="77777777" w:rsidR="00C4624A" w:rsidRPr="00195EC3" w:rsidRDefault="00C4624A" w:rsidP="00461AA0">
            <w:pPr>
              <w:rPr>
                <w:noProof/>
                <w:sz w:val="20"/>
              </w:rPr>
            </w:pPr>
          </w:p>
        </w:tc>
      </w:tr>
      <w:tr w:rsidR="00C4624A" w:rsidRPr="00195EC3" w14:paraId="71F1EBC3" w14:textId="77777777" w:rsidTr="00461AA0">
        <w:trPr>
          <w:trHeight w:val="694"/>
        </w:trPr>
        <w:tc>
          <w:tcPr>
            <w:tcW w:w="3960" w:type="dxa"/>
            <w:vMerge w:val="restart"/>
            <w:vAlign w:val="center"/>
          </w:tcPr>
          <w:p w14:paraId="5D7D9A7B" w14:textId="77777777" w:rsidR="00C4624A" w:rsidRPr="00195EC3" w:rsidRDefault="00C4624A" w:rsidP="00461AA0">
            <w:pPr>
              <w:rPr>
                <w:rFonts w:eastAsia="Times New Roman"/>
                <w:noProof/>
                <w:sz w:val="18"/>
                <w:szCs w:val="18"/>
              </w:rPr>
            </w:pPr>
            <w:r w:rsidRPr="00195EC3">
              <w:rPr>
                <w:noProof/>
                <w:sz w:val="18"/>
              </w:rPr>
              <w:t>Linea di bilancio</w:t>
            </w:r>
            <w:r w:rsidRPr="00195EC3">
              <w:rPr>
                <w:rStyle w:val="FootnoteReference"/>
                <w:rFonts w:eastAsiaTheme="minorEastAsia"/>
                <w:b/>
                <w:bCs/>
                <w:noProof/>
                <w:sz w:val="18"/>
                <w:szCs w:val="18"/>
              </w:rPr>
              <w:footnoteReference w:id="34"/>
            </w:r>
            <w:r w:rsidRPr="00195EC3">
              <w:rPr>
                <w:noProof/>
                <w:sz w:val="18"/>
              </w:rPr>
              <w:t xml:space="preserve"> </w:t>
            </w:r>
          </w:p>
          <w:p w14:paraId="369C422B" w14:textId="77777777" w:rsidR="00C4624A" w:rsidRPr="00195EC3" w:rsidRDefault="00C4624A" w:rsidP="00461AA0">
            <w:pPr>
              <w:rPr>
                <w:noProof/>
              </w:rPr>
            </w:pPr>
            <w:r w:rsidRPr="00195EC3">
              <w:rPr>
                <w:noProof/>
                <w:sz w:val="18"/>
              </w:rPr>
              <w:t>14 02 01 11 "Vicinato orientale"</w:t>
            </w:r>
            <w:r w:rsidRPr="00195EC3">
              <w:rPr>
                <w:rStyle w:val="FootnoteReference"/>
                <w:noProof/>
                <w:sz w:val="20"/>
              </w:rPr>
              <w:t xml:space="preserve"> </w:t>
            </w:r>
            <w:r w:rsidRPr="00195EC3">
              <w:rPr>
                <w:rStyle w:val="FootnoteReference"/>
                <w:noProof/>
                <w:sz w:val="20"/>
                <w:szCs w:val="20"/>
              </w:rPr>
              <w:footnoteReference w:id="35"/>
            </w:r>
          </w:p>
        </w:tc>
        <w:tc>
          <w:tcPr>
            <w:tcW w:w="1440" w:type="dxa"/>
            <w:gridSpan w:val="2"/>
            <w:vAlign w:val="center"/>
          </w:tcPr>
          <w:p w14:paraId="23A32B2A" w14:textId="77777777" w:rsidR="00C4624A" w:rsidRPr="00195EC3" w:rsidRDefault="00C4624A" w:rsidP="00461AA0">
            <w:pPr>
              <w:spacing w:before="20" w:after="20"/>
              <w:rPr>
                <w:noProof/>
                <w:sz w:val="18"/>
                <w:szCs w:val="18"/>
              </w:rPr>
            </w:pPr>
            <w:r w:rsidRPr="00195EC3">
              <w:rPr>
                <w:noProof/>
                <w:sz w:val="18"/>
              </w:rPr>
              <w:t>Impegni</w:t>
            </w:r>
          </w:p>
        </w:tc>
        <w:tc>
          <w:tcPr>
            <w:tcW w:w="654" w:type="dxa"/>
            <w:vAlign w:val="center"/>
          </w:tcPr>
          <w:p w14:paraId="45BB9EEF" w14:textId="77777777" w:rsidR="00C4624A" w:rsidRPr="00195EC3" w:rsidRDefault="00C4624A" w:rsidP="00461AA0">
            <w:pPr>
              <w:spacing w:before="20" w:after="20"/>
              <w:jc w:val="center"/>
              <w:rPr>
                <w:noProof/>
                <w:sz w:val="16"/>
                <w:szCs w:val="16"/>
              </w:rPr>
            </w:pPr>
            <w:r w:rsidRPr="00195EC3">
              <w:rPr>
                <w:noProof/>
                <w:sz w:val="16"/>
              </w:rPr>
              <w:t>a)</w:t>
            </w:r>
          </w:p>
        </w:tc>
        <w:tc>
          <w:tcPr>
            <w:tcW w:w="868" w:type="dxa"/>
          </w:tcPr>
          <w:p w14:paraId="49CD04E6" w14:textId="77777777" w:rsidR="00C4624A" w:rsidRPr="00195EC3" w:rsidRDefault="00C4624A" w:rsidP="00461AA0">
            <w:pPr>
              <w:spacing w:before="20" w:after="20"/>
              <w:jc w:val="right"/>
              <w:rPr>
                <w:noProof/>
                <w:sz w:val="20"/>
                <w:szCs w:val="20"/>
              </w:rPr>
            </w:pPr>
          </w:p>
        </w:tc>
        <w:tc>
          <w:tcPr>
            <w:tcW w:w="868" w:type="dxa"/>
            <w:vAlign w:val="center"/>
          </w:tcPr>
          <w:p w14:paraId="5941CFBC" w14:textId="77777777" w:rsidR="00C4624A" w:rsidRPr="00195EC3" w:rsidRDefault="00C4624A" w:rsidP="00461AA0">
            <w:pPr>
              <w:spacing w:before="20" w:after="20"/>
              <w:jc w:val="right"/>
              <w:rPr>
                <w:noProof/>
                <w:sz w:val="20"/>
                <w:szCs w:val="20"/>
              </w:rPr>
            </w:pPr>
          </w:p>
        </w:tc>
        <w:tc>
          <w:tcPr>
            <w:tcW w:w="868" w:type="dxa"/>
            <w:vAlign w:val="center"/>
          </w:tcPr>
          <w:p w14:paraId="4CCB3384" w14:textId="77777777" w:rsidR="00C4624A" w:rsidRPr="00195EC3" w:rsidRDefault="00C4624A" w:rsidP="00461AA0">
            <w:pPr>
              <w:spacing w:before="20" w:after="20"/>
              <w:jc w:val="right"/>
              <w:rPr>
                <w:noProof/>
                <w:sz w:val="20"/>
                <w:szCs w:val="20"/>
              </w:rPr>
            </w:pPr>
            <w:r w:rsidRPr="00195EC3">
              <w:rPr>
                <w:noProof/>
                <w:sz w:val="20"/>
              </w:rPr>
              <w:t>20,0</w:t>
            </w:r>
          </w:p>
          <w:p w14:paraId="2A842F16" w14:textId="77777777" w:rsidR="00C4624A" w:rsidRPr="00195EC3" w:rsidRDefault="00C4624A" w:rsidP="00461AA0">
            <w:pPr>
              <w:spacing w:before="20" w:after="20"/>
              <w:jc w:val="right"/>
              <w:rPr>
                <w:noProof/>
                <w:sz w:val="20"/>
                <w:szCs w:val="20"/>
              </w:rPr>
            </w:pPr>
          </w:p>
        </w:tc>
        <w:tc>
          <w:tcPr>
            <w:tcW w:w="930" w:type="dxa"/>
            <w:vAlign w:val="center"/>
          </w:tcPr>
          <w:p w14:paraId="2C0F3A8E" w14:textId="77777777" w:rsidR="00C4624A" w:rsidRPr="00195EC3" w:rsidRDefault="00C4624A" w:rsidP="00461AA0">
            <w:pPr>
              <w:spacing w:before="20" w:after="20"/>
              <w:jc w:val="right"/>
              <w:rPr>
                <w:noProof/>
                <w:sz w:val="20"/>
                <w:szCs w:val="20"/>
              </w:rPr>
            </w:pPr>
            <w:r w:rsidRPr="00195EC3">
              <w:rPr>
                <w:noProof/>
                <w:sz w:val="20"/>
              </w:rPr>
              <w:t>20,0</w:t>
            </w:r>
          </w:p>
          <w:p w14:paraId="5F463213" w14:textId="77777777" w:rsidR="00C4624A" w:rsidRPr="00195EC3" w:rsidRDefault="00C4624A" w:rsidP="00461AA0">
            <w:pPr>
              <w:spacing w:before="20" w:after="20"/>
              <w:jc w:val="right"/>
              <w:rPr>
                <w:noProof/>
                <w:sz w:val="20"/>
                <w:szCs w:val="20"/>
              </w:rPr>
            </w:pPr>
          </w:p>
        </w:tc>
        <w:tc>
          <w:tcPr>
            <w:tcW w:w="996" w:type="dxa"/>
            <w:vAlign w:val="center"/>
          </w:tcPr>
          <w:p w14:paraId="22FBF099" w14:textId="77777777" w:rsidR="00C4624A" w:rsidRPr="00195EC3" w:rsidRDefault="00C4624A" w:rsidP="00461AA0">
            <w:pPr>
              <w:spacing w:before="20" w:after="20"/>
              <w:jc w:val="right"/>
              <w:rPr>
                <w:noProof/>
                <w:sz w:val="20"/>
                <w:szCs w:val="20"/>
              </w:rPr>
            </w:pPr>
            <w:r w:rsidRPr="00195EC3">
              <w:rPr>
                <w:noProof/>
                <w:sz w:val="20"/>
              </w:rPr>
              <w:t>20,0</w:t>
            </w:r>
          </w:p>
          <w:p w14:paraId="3649F46D" w14:textId="77777777" w:rsidR="00C4624A" w:rsidRPr="00195EC3" w:rsidRDefault="00C4624A" w:rsidP="00461AA0">
            <w:pPr>
              <w:spacing w:before="20" w:after="20"/>
              <w:jc w:val="right"/>
              <w:rPr>
                <w:noProof/>
                <w:sz w:val="20"/>
                <w:szCs w:val="20"/>
              </w:rPr>
            </w:pPr>
          </w:p>
        </w:tc>
        <w:tc>
          <w:tcPr>
            <w:tcW w:w="992" w:type="dxa"/>
          </w:tcPr>
          <w:p w14:paraId="4E32C114" w14:textId="77777777" w:rsidR="00C4624A" w:rsidRPr="00195EC3" w:rsidRDefault="00C4624A" w:rsidP="00461AA0">
            <w:pPr>
              <w:spacing w:before="20" w:after="20"/>
              <w:jc w:val="right"/>
              <w:rPr>
                <w:noProof/>
                <w:sz w:val="20"/>
                <w:szCs w:val="20"/>
              </w:rPr>
            </w:pPr>
            <w:r w:rsidRPr="00195EC3">
              <w:rPr>
                <w:noProof/>
                <w:sz w:val="20"/>
              </w:rPr>
              <w:t>20,0</w:t>
            </w:r>
          </w:p>
          <w:p w14:paraId="0C26010C" w14:textId="77777777" w:rsidR="00C4624A" w:rsidRPr="00195EC3" w:rsidRDefault="00C4624A" w:rsidP="00461AA0">
            <w:pPr>
              <w:spacing w:before="20" w:after="20"/>
              <w:jc w:val="right"/>
              <w:rPr>
                <w:noProof/>
                <w:sz w:val="20"/>
                <w:szCs w:val="20"/>
              </w:rPr>
            </w:pPr>
          </w:p>
        </w:tc>
        <w:tc>
          <w:tcPr>
            <w:tcW w:w="992" w:type="dxa"/>
          </w:tcPr>
          <w:p w14:paraId="2902E89A" w14:textId="77777777" w:rsidR="00C4624A" w:rsidRPr="00195EC3" w:rsidRDefault="00C4624A" w:rsidP="00461AA0">
            <w:pPr>
              <w:spacing w:before="20" w:after="20"/>
              <w:jc w:val="right"/>
              <w:rPr>
                <w:noProof/>
                <w:sz w:val="20"/>
                <w:szCs w:val="20"/>
              </w:rPr>
            </w:pPr>
            <w:r w:rsidRPr="00195EC3">
              <w:rPr>
                <w:noProof/>
                <w:sz w:val="20"/>
              </w:rPr>
              <w:t>20,0</w:t>
            </w:r>
          </w:p>
          <w:p w14:paraId="6FA21B1B" w14:textId="77777777" w:rsidR="00C4624A" w:rsidRPr="00195EC3" w:rsidRDefault="00C4624A" w:rsidP="00461AA0">
            <w:pPr>
              <w:spacing w:before="20" w:after="20"/>
              <w:jc w:val="right"/>
              <w:rPr>
                <w:noProof/>
                <w:sz w:val="20"/>
                <w:szCs w:val="20"/>
              </w:rPr>
            </w:pPr>
          </w:p>
        </w:tc>
        <w:tc>
          <w:tcPr>
            <w:tcW w:w="2410" w:type="dxa"/>
            <w:vAlign w:val="center"/>
          </w:tcPr>
          <w:p w14:paraId="38F6DFBB" w14:textId="77777777" w:rsidR="00C4624A" w:rsidRPr="00195EC3" w:rsidRDefault="00C4624A" w:rsidP="00461AA0">
            <w:pPr>
              <w:spacing w:before="20" w:after="20"/>
              <w:jc w:val="right"/>
              <w:rPr>
                <w:b/>
                <w:bCs/>
                <w:noProof/>
                <w:sz w:val="20"/>
                <w:szCs w:val="20"/>
              </w:rPr>
            </w:pPr>
            <w:r w:rsidRPr="00195EC3">
              <w:rPr>
                <w:b/>
                <w:noProof/>
                <w:sz w:val="20"/>
              </w:rPr>
              <w:t>100,0</w:t>
            </w:r>
          </w:p>
        </w:tc>
      </w:tr>
      <w:tr w:rsidR="00C4624A" w:rsidRPr="00195EC3" w14:paraId="1D4DE793" w14:textId="77777777" w:rsidTr="00461AA0">
        <w:trPr>
          <w:trHeight w:val="638"/>
        </w:trPr>
        <w:tc>
          <w:tcPr>
            <w:tcW w:w="3960" w:type="dxa"/>
            <w:vMerge/>
          </w:tcPr>
          <w:p w14:paraId="68EE8815" w14:textId="77777777" w:rsidR="00C4624A" w:rsidRPr="00195EC3" w:rsidRDefault="00C4624A" w:rsidP="00461AA0">
            <w:pPr>
              <w:jc w:val="center"/>
              <w:rPr>
                <w:noProof/>
                <w:sz w:val="20"/>
              </w:rPr>
            </w:pPr>
          </w:p>
        </w:tc>
        <w:tc>
          <w:tcPr>
            <w:tcW w:w="1440" w:type="dxa"/>
            <w:gridSpan w:val="2"/>
            <w:vAlign w:val="center"/>
          </w:tcPr>
          <w:p w14:paraId="21E76B5E" w14:textId="77777777" w:rsidR="00C4624A" w:rsidRPr="00195EC3" w:rsidRDefault="00C4624A" w:rsidP="00461AA0">
            <w:pPr>
              <w:spacing w:before="20" w:after="20"/>
              <w:rPr>
                <w:noProof/>
                <w:sz w:val="18"/>
                <w:szCs w:val="18"/>
              </w:rPr>
            </w:pPr>
            <w:r w:rsidRPr="00195EC3">
              <w:rPr>
                <w:noProof/>
                <w:sz w:val="18"/>
              </w:rPr>
              <w:t>Pagamenti</w:t>
            </w:r>
          </w:p>
        </w:tc>
        <w:tc>
          <w:tcPr>
            <w:tcW w:w="654" w:type="dxa"/>
            <w:vAlign w:val="center"/>
          </w:tcPr>
          <w:p w14:paraId="460EB18A" w14:textId="77777777" w:rsidR="00C4624A" w:rsidRPr="00195EC3" w:rsidRDefault="00C4624A" w:rsidP="00461AA0">
            <w:pPr>
              <w:spacing w:before="20" w:after="20"/>
              <w:jc w:val="center"/>
              <w:rPr>
                <w:noProof/>
                <w:sz w:val="16"/>
                <w:szCs w:val="16"/>
              </w:rPr>
            </w:pPr>
            <w:r w:rsidRPr="00195EC3">
              <w:rPr>
                <w:noProof/>
                <w:sz w:val="16"/>
              </w:rPr>
              <w:t>b)</w:t>
            </w:r>
          </w:p>
        </w:tc>
        <w:tc>
          <w:tcPr>
            <w:tcW w:w="868" w:type="dxa"/>
          </w:tcPr>
          <w:p w14:paraId="3CBDE468" w14:textId="77777777" w:rsidR="00C4624A" w:rsidRPr="00195EC3" w:rsidRDefault="00C4624A" w:rsidP="00461AA0">
            <w:pPr>
              <w:spacing w:before="20" w:after="20"/>
              <w:jc w:val="right"/>
              <w:rPr>
                <w:noProof/>
                <w:sz w:val="20"/>
                <w:szCs w:val="20"/>
              </w:rPr>
            </w:pPr>
          </w:p>
        </w:tc>
        <w:tc>
          <w:tcPr>
            <w:tcW w:w="868" w:type="dxa"/>
            <w:vAlign w:val="center"/>
          </w:tcPr>
          <w:p w14:paraId="5BF04B7D" w14:textId="77777777" w:rsidR="00C4624A" w:rsidRPr="00195EC3" w:rsidRDefault="00C4624A" w:rsidP="00461AA0">
            <w:pPr>
              <w:spacing w:before="20" w:after="20"/>
              <w:jc w:val="right"/>
              <w:rPr>
                <w:noProof/>
                <w:sz w:val="20"/>
                <w:szCs w:val="20"/>
              </w:rPr>
            </w:pPr>
          </w:p>
        </w:tc>
        <w:tc>
          <w:tcPr>
            <w:tcW w:w="868" w:type="dxa"/>
            <w:vAlign w:val="center"/>
          </w:tcPr>
          <w:p w14:paraId="2C8CCEDB" w14:textId="77777777" w:rsidR="00C4624A" w:rsidRPr="00195EC3" w:rsidRDefault="00C4624A" w:rsidP="00461AA0">
            <w:pPr>
              <w:spacing w:before="20" w:after="20"/>
              <w:jc w:val="right"/>
              <w:rPr>
                <w:noProof/>
                <w:sz w:val="20"/>
                <w:szCs w:val="20"/>
              </w:rPr>
            </w:pPr>
            <w:r w:rsidRPr="00195EC3">
              <w:rPr>
                <w:noProof/>
                <w:sz w:val="20"/>
              </w:rPr>
              <w:t>20,0</w:t>
            </w:r>
          </w:p>
          <w:p w14:paraId="30E8763C" w14:textId="77777777" w:rsidR="00C4624A" w:rsidRPr="00195EC3" w:rsidRDefault="00C4624A" w:rsidP="00461AA0">
            <w:pPr>
              <w:spacing w:before="20" w:after="20"/>
              <w:jc w:val="right"/>
              <w:rPr>
                <w:noProof/>
                <w:sz w:val="20"/>
                <w:szCs w:val="20"/>
              </w:rPr>
            </w:pPr>
          </w:p>
        </w:tc>
        <w:tc>
          <w:tcPr>
            <w:tcW w:w="930" w:type="dxa"/>
            <w:vAlign w:val="center"/>
          </w:tcPr>
          <w:p w14:paraId="610CAAFF" w14:textId="77777777" w:rsidR="00C4624A" w:rsidRPr="00195EC3" w:rsidRDefault="00C4624A" w:rsidP="00461AA0">
            <w:pPr>
              <w:spacing w:before="20" w:after="20"/>
              <w:jc w:val="right"/>
              <w:rPr>
                <w:noProof/>
                <w:sz w:val="20"/>
                <w:szCs w:val="20"/>
              </w:rPr>
            </w:pPr>
            <w:r w:rsidRPr="00195EC3">
              <w:rPr>
                <w:noProof/>
                <w:sz w:val="20"/>
              </w:rPr>
              <w:t>20,0</w:t>
            </w:r>
          </w:p>
          <w:p w14:paraId="3E08D240" w14:textId="77777777" w:rsidR="00C4624A" w:rsidRPr="00195EC3" w:rsidRDefault="00C4624A" w:rsidP="00461AA0">
            <w:pPr>
              <w:spacing w:before="20" w:after="20"/>
              <w:jc w:val="right"/>
              <w:rPr>
                <w:noProof/>
                <w:sz w:val="20"/>
                <w:szCs w:val="20"/>
              </w:rPr>
            </w:pPr>
          </w:p>
        </w:tc>
        <w:tc>
          <w:tcPr>
            <w:tcW w:w="996" w:type="dxa"/>
            <w:vAlign w:val="center"/>
          </w:tcPr>
          <w:p w14:paraId="7376C461" w14:textId="77777777" w:rsidR="00C4624A" w:rsidRPr="00195EC3" w:rsidRDefault="00C4624A" w:rsidP="00461AA0">
            <w:pPr>
              <w:spacing w:before="20" w:after="20"/>
              <w:jc w:val="right"/>
              <w:rPr>
                <w:noProof/>
                <w:sz w:val="20"/>
                <w:szCs w:val="20"/>
              </w:rPr>
            </w:pPr>
            <w:r w:rsidRPr="00195EC3">
              <w:rPr>
                <w:noProof/>
                <w:sz w:val="20"/>
              </w:rPr>
              <w:t>20,0</w:t>
            </w:r>
          </w:p>
          <w:p w14:paraId="2E58A2FE" w14:textId="77777777" w:rsidR="00C4624A" w:rsidRPr="00195EC3" w:rsidRDefault="00C4624A" w:rsidP="00461AA0">
            <w:pPr>
              <w:spacing w:before="20" w:after="20"/>
              <w:jc w:val="right"/>
              <w:rPr>
                <w:noProof/>
                <w:sz w:val="20"/>
                <w:szCs w:val="20"/>
              </w:rPr>
            </w:pPr>
          </w:p>
        </w:tc>
        <w:tc>
          <w:tcPr>
            <w:tcW w:w="992" w:type="dxa"/>
            <w:vAlign w:val="center"/>
          </w:tcPr>
          <w:p w14:paraId="1971B787" w14:textId="77777777" w:rsidR="00C4624A" w:rsidRPr="00195EC3" w:rsidRDefault="00C4624A" w:rsidP="00461AA0">
            <w:pPr>
              <w:spacing w:before="20" w:after="20"/>
              <w:jc w:val="right"/>
              <w:rPr>
                <w:noProof/>
                <w:sz w:val="20"/>
                <w:szCs w:val="20"/>
              </w:rPr>
            </w:pPr>
            <w:r w:rsidRPr="00195EC3">
              <w:rPr>
                <w:noProof/>
                <w:sz w:val="20"/>
              </w:rPr>
              <w:t>20,0</w:t>
            </w:r>
          </w:p>
          <w:p w14:paraId="3A9A73EF" w14:textId="77777777" w:rsidR="00C4624A" w:rsidRPr="00195EC3" w:rsidRDefault="00C4624A" w:rsidP="00461AA0">
            <w:pPr>
              <w:spacing w:before="20" w:after="20"/>
              <w:rPr>
                <w:noProof/>
                <w:sz w:val="20"/>
                <w:szCs w:val="20"/>
              </w:rPr>
            </w:pPr>
          </w:p>
        </w:tc>
        <w:tc>
          <w:tcPr>
            <w:tcW w:w="992" w:type="dxa"/>
            <w:vAlign w:val="center"/>
          </w:tcPr>
          <w:p w14:paraId="525E7303" w14:textId="77777777" w:rsidR="00C4624A" w:rsidRPr="00195EC3" w:rsidRDefault="00C4624A" w:rsidP="00461AA0">
            <w:pPr>
              <w:spacing w:before="20" w:after="20"/>
              <w:jc w:val="right"/>
              <w:rPr>
                <w:noProof/>
                <w:sz w:val="20"/>
                <w:szCs w:val="20"/>
              </w:rPr>
            </w:pPr>
            <w:r w:rsidRPr="00195EC3">
              <w:rPr>
                <w:noProof/>
                <w:sz w:val="20"/>
              </w:rPr>
              <w:t>20,0</w:t>
            </w:r>
          </w:p>
          <w:p w14:paraId="0C6F161B" w14:textId="77777777" w:rsidR="00C4624A" w:rsidRPr="00195EC3" w:rsidRDefault="00C4624A" w:rsidP="00461AA0">
            <w:pPr>
              <w:spacing w:before="20" w:after="20"/>
              <w:jc w:val="right"/>
              <w:rPr>
                <w:noProof/>
                <w:sz w:val="20"/>
                <w:szCs w:val="20"/>
              </w:rPr>
            </w:pPr>
          </w:p>
        </w:tc>
        <w:tc>
          <w:tcPr>
            <w:tcW w:w="2410" w:type="dxa"/>
            <w:vAlign w:val="center"/>
          </w:tcPr>
          <w:p w14:paraId="1CAFBF63" w14:textId="77777777" w:rsidR="00C4624A" w:rsidRPr="00195EC3" w:rsidRDefault="00C4624A" w:rsidP="00461AA0">
            <w:pPr>
              <w:spacing w:before="20" w:after="20"/>
              <w:jc w:val="right"/>
              <w:rPr>
                <w:b/>
                <w:bCs/>
                <w:noProof/>
                <w:sz w:val="20"/>
                <w:szCs w:val="20"/>
              </w:rPr>
            </w:pPr>
            <w:r w:rsidRPr="00195EC3">
              <w:rPr>
                <w:b/>
                <w:noProof/>
                <w:sz w:val="20"/>
              </w:rPr>
              <w:t>100,0</w:t>
            </w:r>
          </w:p>
        </w:tc>
      </w:tr>
      <w:tr w:rsidR="00C4624A" w:rsidRPr="00195EC3" w14:paraId="7D00BBB3" w14:textId="77777777" w:rsidTr="00461AA0">
        <w:trPr>
          <w:trHeight w:val="638"/>
        </w:trPr>
        <w:tc>
          <w:tcPr>
            <w:tcW w:w="14978" w:type="dxa"/>
            <w:gridSpan w:val="12"/>
            <w:vAlign w:val="center"/>
          </w:tcPr>
          <w:p w14:paraId="50B9A521" w14:textId="77777777" w:rsidR="00C4624A" w:rsidRPr="00195EC3" w:rsidRDefault="00C4624A" w:rsidP="00461AA0">
            <w:pPr>
              <w:spacing w:before="20" w:after="20"/>
              <w:rPr>
                <w:rFonts w:eastAsia="Wingdings"/>
                <w:noProof/>
                <w:sz w:val="21"/>
                <w:szCs w:val="21"/>
              </w:rPr>
            </w:pPr>
            <w:r w:rsidRPr="00195EC3">
              <w:rPr>
                <w:noProof/>
                <w:sz w:val="21"/>
              </w:rPr>
              <w:t>□ Stanziamenti operativi AMF II</w:t>
            </w:r>
          </w:p>
        </w:tc>
      </w:tr>
      <w:tr w:rsidR="00C4624A" w:rsidRPr="00195EC3" w14:paraId="12D5B4C6" w14:textId="77777777" w:rsidTr="00461AA0">
        <w:trPr>
          <w:trHeight w:val="638"/>
        </w:trPr>
        <w:tc>
          <w:tcPr>
            <w:tcW w:w="3960" w:type="dxa"/>
            <w:vMerge w:val="restart"/>
            <w:vAlign w:val="center"/>
          </w:tcPr>
          <w:p w14:paraId="202DC4A1" w14:textId="77777777" w:rsidR="00C4624A" w:rsidRPr="00195EC3" w:rsidRDefault="00C4624A" w:rsidP="00461AA0">
            <w:pPr>
              <w:rPr>
                <w:rFonts w:eastAsia="Times New Roman"/>
                <w:noProof/>
                <w:sz w:val="18"/>
                <w:szCs w:val="18"/>
              </w:rPr>
            </w:pPr>
            <w:r w:rsidRPr="00195EC3">
              <w:rPr>
                <w:noProof/>
                <w:sz w:val="18"/>
              </w:rPr>
              <w:t xml:space="preserve">Linea di bilancio </w:t>
            </w:r>
          </w:p>
          <w:p w14:paraId="16DD1F0B" w14:textId="77777777" w:rsidR="00C4624A" w:rsidRPr="00195EC3" w:rsidRDefault="00C4624A" w:rsidP="00461AA0">
            <w:pPr>
              <w:rPr>
                <w:rFonts w:eastAsia="Calibri"/>
                <w:noProof/>
                <w:szCs w:val="24"/>
              </w:rPr>
            </w:pPr>
            <w:r w:rsidRPr="00195EC3">
              <w:rPr>
                <w:noProof/>
                <w:sz w:val="18"/>
              </w:rPr>
              <w:t>14 02 01 11 "Vicinato orientale"</w:t>
            </w:r>
            <w:r w:rsidRPr="00195EC3">
              <w:rPr>
                <w:noProof/>
                <w:color w:val="000000" w:themeColor="text1"/>
                <w:sz w:val="16"/>
              </w:rPr>
              <w:t xml:space="preserve"> </w:t>
            </w:r>
            <w:r w:rsidRPr="00195EC3">
              <w:rPr>
                <w:rStyle w:val="FootnoteReference"/>
                <w:b/>
                <w:bCs/>
                <w:noProof/>
                <w:color w:val="000000"/>
                <w:sz w:val="16"/>
                <w:szCs w:val="16"/>
              </w:rPr>
              <w:footnoteReference w:id="36"/>
            </w:r>
          </w:p>
        </w:tc>
        <w:tc>
          <w:tcPr>
            <w:tcW w:w="1440" w:type="dxa"/>
            <w:gridSpan w:val="2"/>
            <w:vAlign w:val="center"/>
          </w:tcPr>
          <w:p w14:paraId="3BFCB892" w14:textId="77777777" w:rsidR="00C4624A" w:rsidRPr="00195EC3" w:rsidRDefault="00C4624A" w:rsidP="00461AA0">
            <w:pPr>
              <w:rPr>
                <w:rFonts w:eastAsia="Calibri"/>
                <w:noProof/>
                <w:sz w:val="18"/>
                <w:szCs w:val="18"/>
              </w:rPr>
            </w:pPr>
            <w:r w:rsidRPr="00195EC3">
              <w:rPr>
                <w:noProof/>
                <w:sz w:val="18"/>
              </w:rPr>
              <w:t>Impegni</w:t>
            </w:r>
          </w:p>
        </w:tc>
        <w:tc>
          <w:tcPr>
            <w:tcW w:w="654" w:type="dxa"/>
            <w:vAlign w:val="center"/>
          </w:tcPr>
          <w:p w14:paraId="69418F21" w14:textId="77777777" w:rsidR="00C4624A" w:rsidRPr="00195EC3" w:rsidRDefault="00C4624A" w:rsidP="00461AA0">
            <w:pPr>
              <w:jc w:val="center"/>
              <w:rPr>
                <w:rFonts w:eastAsia="Times New Roman"/>
                <w:noProof/>
                <w:sz w:val="16"/>
                <w:szCs w:val="16"/>
              </w:rPr>
            </w:pPr>
            <w:r w:rsidRPr="00195EC3">
              <w:rPr>
                <w:noProof/>
                <w:sz w:val="16"/>
              </w:rPr>
              <w:t>a)</w:t>
            </w:r>
          </w:p>
        </w:tc>
        <w:tc>
          <w:tcPr>
            <w:tcW w:w="868" w:type="dxa"/>
          </w:tcPr>
          <w:p w14:paraId="131CD9E1" w14:textId="77777777" w:rsidR="00C4624A" w:rsidRPr="00195EC3" w:rsidRDefault="00C4624A" w:rsidP="00461AA0">
            <w:pPr>
              <w:jc w:val="right"/>
              <w:rPr>
                <w:rFonts w:eastAsia="Calibri"/>
                <w:noProof/>
                <w:sz w:val="20"/>
                <w:szCs w:val="20"/>
              </w:rPr>
            </w:pPr>
          </w:p>
        </w:tc>
        <w:tc>
          <w:tcPr>
            <w:tcW w:w="868" w:type="dxa"/>
            <w:vAlign w:val="center"/>
          </w:tcPr>
          <w:p w14:paraId="54DF4E00" w14:textId="77777777" w:rsidR="00C4624A" w:rsidRPr="00195EC3" w:rsidRDefault="00C4624A" w:rsidP="00461AA0">
            <w:pPr>
              <w:jc w:val="right"/>
              <w:rPr>
                <w:rFonts w:eastAsia="Calibri"/>
                <w:noProof/>
                <w:sz w:val="20"/>
                <w:szCs w:val="20"/>
              </w:rPr>
            </w:pPr>
          </w:p>
        </w:tc>
        <w:tc>
          <w:tcPr>
            <w:tcW w:w="868" w:type="dxa"/>
            <w:vAlign w:val="center"/>
          </w:tcPr>
          <w:p w14:paraId="15C037DC" w14:textId="77777777" w:rsidR="00C4624A" w:rsidRPr="00195EC3" w:rsidRDefault="00C4624A" w:rsidP="00461AA0">
            <w:pPr>
              <w:jc w:val="right"/>
              <w:rPr>
                <w:rFonts w:eastAsia="Calibri"/>
                <w:noProof/>
                <w:sz w:val="20"/>
                <w:szCs w:val="20"/>
              </w:rPr>
            </w:pPr>
            <w:r w:rsidRPr="00195EC3">
              <w:rPr>
                <w:noProof/>
                <w:sz w:val="20"/>
              </w:rPr>
              <w:t>150,0</w:t>
            </w:r>
          </w:p>
        </w:tc>
        <w:tc>
          <w:tcPr>
            <w:tcW w:w="930" w:type="dxa"/>
            <w:vAlign w:val="center"/>
          </w:tcPr>
          <w:p w14:paraId="0A2BAEF1" w14:textId="77777777" w:rsidR="00C4624A" w:rsidRPr="00195EC3" w:rsidRDefault="00C4624A" w:rsidP="00461AA0">
            <w:pPr>
              <w:jc w:val="right"/>
              <w:rPr>
                <w:rFonts w:eastAsia="Calibri"/>
                <w:noProof/>
                <w:sz w:val="20"/>
                <w:szCs w:val="20"/>
              </w:rPr>
            </w:pPr>
            <w:r w:rsidRPr="00195EC3">
              <w:rPr>
                <w:noProof/>
                <w:sz w:val="20"/>
              </w:rPr>
              <w:t>150,0</w:t>
            </w:r>
          </w:p>
        </w:tc>
        <w:tc>
          <w:tcPr>
            <w:tcW w:w="996" w:type="dxa"/>
            <w:vAlign w:val="center"/>
          </w:tcPr>
          <w:p w14:paraId="48E319FC" w14:textId="77777777" w:rsidR="00C4624A" w:rsidRPr="00195EC3" w:rsidRDefault="00C4624A" w:rsidP="00461AA0">
            <w:pPr>
              <w:jc w:val="right"/>
              <w:rPr>
                <w:rFonts w:eastAsia="Calibri"/>
                <w:noProof/>
                <w:sz w:val="20"/>
                <w:szCs w:val="20"/>
              </w:rPr>
            </w:pPr>
            <w:r w:rsidRPr="00195EC3">
              <w:rPr>
                <w:noProof/>
                <w:sz w:val="20"/>
              </w:rPr>
              <w:t>150,0</w:t>
            </w:r>
          </w:p>
        </w:tc>
        <w:tc>
          <w:tcPr>
            <w:tcW w:w="992" w:type="dxa"/>
            <w:vAlign w:val="center"/>
          </w:tcPr>
          <w:p w14:paraId="4B68A87F" w14:textId="77777777" w:rsidR="00C4624A" w:rsidRPr="00195EC3" w:rsidRDefault="00C4624A" w:rsidP="00461AA0">
            <w:pPr>
              <w:jc w:val="right"/>
              <w:rPr>
                <w:rFonts w:eastAsia="Calibri"/>
                <w:noProof/>
                <w:sz w:val="20"/>
                <w:szCs w:val="20"/>
              </w:rPr>
            </w:pPr>
            <w:r w:rsidRPr="00195EC3">
              <w:rPr>
                <w:noProof/>
                <w:sz w:val="20"/>
              </w:rPr>
              <w:t>150,0</w:t>
            </w:r>
          </w:p>
        </w:tc>
        <w:tc>
          <w:tcPr>
            <w:tcW w:w="992" w:type="dxa"/>
            <w:vAlign w:val="center"/>
          </w:tcPr>
          <w:p w14:paraId="0914E2B6" w14:textId="77777777" w:rsidR="00C4624A" w:rsidRPr="00195EC3" w:rsidRDefault="00C4624A" w:rsidP="00461AA0">
            <w:pPr>
              <w:jc w:val="right"/>
              <w:rPr>
                <w:rFonts w:eastAsia="Calibri"/>
                <w:noProof/>
                <w:sz w:val="20"/>
                <w:szCs w:val="20"/>
              </w:rPr>
            </w:pPr>
            <w:r w:rsidRPr="00195EC3">
              <w:rPr>
                <w:noProof/>
                <w:sz w:val="20"/>
              </w:rPr>
              <w:t>150,0</w:t>
            </w:r>
          </w:p>
        </w:tc>
        <w:tc>
          <w:tcPr>
            <w:tcW w:w="2410" w:type="dxa"/>
            <w:vAlign w:val="center"/>
          </w:tcPr>
          <w:p w14:paraId="014A1A0A" w14:textId="77777777" w:rsidR="00C4624A" w:rsidRPr="00195EC3" w:rsidRDefault="00C4624A" w:rsidP="00461AA0">
            <w:pPr>
              <w:jc w:val="right"/>
              <w:rPr>
                <w:rFonts w:eastAsia="Calibri"/>
                <w:b/>
                <w:noProof/>
                <w:sz w:val="20"/>
                <w:szCs w:val="20"/>
              </w:rPr>
            </w:pPr>
            <w:r w:rsidRPr="00195EC3">
              <w:rPr>
                <w:b/>
                <w:noProof/>
                <w:sz w:val="20"/>
              </w:rPr>
              <w:t>750,0</w:t>
            </w:r>
          </w:p>
        </w:tc>
      </w:tr>
      <w:tr w:rsidR="00C4624A" w:rsidRPr="00195EC3" w14:paraId="533EA8C0" w14:textId="77777777" w:rsidTr="00461AA0">
        <w:trPr>
          <w:trHeight w:val="638"/>
        </w:trPr>
        <w:tc>
          <w:tcPr>
            <w:tcW w:w="3960" w:type="dxa"/>
            <w:vMerge/>
            <w:vAlign w:val="center"/>
          </w:tcPr>
          <w:p w14:paraId="2B84B9D1" w14:textId="77777777" w:rsidR="00C4624A" w:rsidRPr="00195EC3" w:rsidRDefault="00C4624A" w:rsidP="00461AA0">
            <w:pPr>
              <w:rPr>
                <w:noProof/>
              </w:rPr>
            </w:pPr>
          </w:p>
        </w:tc>
        <w:tc>
          <w:tcPr>
            <w:tcW w:w="1440" w:type="dxa"/>
            <w:gridSpan w:val="2"/>
            <w:vAlign w:val="center"/>
          </w:tcPr>
          <w:p w14:paraId="1DD95A83" w14:textId="77777777" w:rsidR="00C4624A" w:rsidRPr="00195EC3" w:rsidRDefault="00C4624A" w:rsidP="00461AA0">
            <w:pPr>
              <w:rPr>
                <w:rFonts w:eastAsia="Calibri"/>
                <w:noProof/>
                <w:sz w:val="18"/>
                <w:szCs w:val="18"/>
              </w:rPr>
            </w:pPr>
            <w:r w:rsidRPr="00195EC3">
              <w:rPr>
                <w:noProof/>
                <w:sz w:val="18"/>
              </w:rPr>
              <w:t>Pagamenti</w:t>
            </w:r>
          </w:p>
        </w:tc>
        <w:tc>
          <w:tcPr>
            <w:tcW w:w="654" w:type="dxa"/>
            <w:vAlign w:val="center"/>
          </w:tcPr>
          <w:p w14:paraId="36720BAD" w14:textId="77777777" w:rsidR="00C4624A" w:rsidRPr="00195EC3" w:rsidRDefault="00C4624A" w:rsidP="00461AA0">
            <w:pPr>
              <w:jc w:val="center"/>
              <w:rPr>
                <w:rFonts w:eastAsia="Times New Roman"/>
                <w:noProof/>
                <w:sz w:val="16"/>
                <w:szCs w:val="16"/>
              </w:rPr>
            </w:pPr>
            <w:r w:rsidRPr="00195EC3">
              <w:rPr>
                <w:noProof/>
                <w:sz w:val="16"/>
              </w:rPr>
              <w:t>b)</w:t>
            </w:r>
          </w:p>
        </w:tc>
        <w:tc>
          <w:tcPr>
            <w:tcW w:w="868" w:type="dxa"/>
          </w:tcPr>
          <w:p w14:paraId="5036B0E5" w14:textId="77777777" w:rsidR="00C4624A" w:rsidRPr="00195EC3" w:rsidRDefault="00C4624A" w:rsidP="00461AA0">
            <w:pPr>
              <w:jc w:val="right"/>
              <w:rPr>
                <w:rFonts w:eastAsia="Calibri"/>
                <w:noProof/>
                <w:sz w:val="20"/>
                <w:szCs w:val="20"/>
              </w:rPr>
            </w:pPr>
          </w:p>
        </w:tc>
        <w:tc>
          <w:tcPr>
            <w:tcW w:w="868" w:type="dxa"/>
            <w:vAlign w:val="center"/>
          </w:tcPr>
          <w:p w14:paraId="5D2D1675" w14:textId="77777777" w:rsidR="00C4624A" w:rsidRPr="00195EC3" w:rsidRDefault="00C4624A" w:rsidP="00461AA0">
            <w:pPr>
              <w:jc w:val="right"/>
              <w:rPr>
                <w:rFonts w:eastAsia="Calibri"/>
                <w:noProof/>
                <w:sz w:val="20"/>
                <w:szCs w:val="20"/>
              </w:rPr>
            </w:pPr>
          </w:p>
        </w:tc>
        <w:tc>
          <w:tcPr>
            <w:tcW w:w="868" w:type="dxa"/>
            <w:vAlign w:val="center"/>
          </w:tcPr>
          <w:p w14:paraId="25C37B78" w14:textId="77777777" w:rsidR="00C4624A" w:rsidRPr="00195EC3" w:rsidRDefault="00C4624A" w:rsidP="00461AA0">
            <w:pPr>
              <w:jc w:val="right"/>
              <w:rPr>
                <w:rFonts w:eastAsia="Calibri"/>
                <w:noProof/>
                <w:sz w:val="20"/>
                <w:szCs w:val="20"/>
              </w:rPr>
            </w:pPr>
            <w:r w:rsidRPr="00195EC3">
              <w:rPr>
                <w:noProof/>
                <w:sz w:val="20"/>
              </w:rPr>
              <w:t>150,0</w:t>
            </w:r>
          </w:p>
        </w:tc>
        <w:tc>
          <w:tcPr>
            <w:tcW w:w="930" w:type="dxa"/>
            <w:vAlign w:val="center"/>
          </w:tcPr>
          <w:p w14:paraId="576472D3" w14:textId="77777777" w:rsidR="00C4624A" w:rsidRPr="00195EC3" w:rsidRDefault="00C4624A" w:rsidP="00461AA0">
            <w:pPr>
              <w:jc w:val="right"/>
              <w:rPr>
                <w:rFonts w:eastAsia="Calibri"/>
                <w:noProof/>
                <w:sz w:val="20"/>
                <w:szCs w:val="20"/>
              </w:rPr>
            </w:pPr>
            <w:r w:rsidRPr="00195EC3">
              <w:rPr>
                <w:noProof/>
                <w:sz w:val="20"/>
              </w:rPr>
              <w:t>150,0</w:t>
            </w:r>
          </w:p>
        </w:tc>
        <w:tc>
          <w:tcPr>
            <w:tcW w:w="996" w:type="dxa"/>
            <w:vAlign w:val="center"/>
          </w:tcPr>
          <w:p w14:paraId="4395E663" w14:textId="77777777" w:rsidR="00C4624A" w:rsidRPr="00195EC3" w:rsidRDefault="00C4624A" w:rsidP="00461AA0">
            <w:pPr>
              <w:jc w:val="right"/>
              <w:rPr>
                <w:rFonts w:eastAsia="Calibri"/>
                <w:noProof/>
                <w:sz w:val="20"/>
                <w:szCs w:val="20"/>
              </w:rPr>
            </w:pPr>
            <w:r w:rsidRPr="00195EC3">
              <w:rPr>
                <w:noProof/>
                <w:sz w:val="20"/>
              </w:rPr>
              <w:t>150,0</w:t>
            </w:r>
          </w:p>
        </w:tc>
        <w:tc>
          <w:tcPr>
            <w:tcW w:w="992" w:type="dxa"/>
            <w:vAlign w:val="center"/>
          </w:tcPr>
          <w:p w14:paraId="68B446B8" w14:textId="77777777" w:rsidR="00C4624A" w:rsidRPr="00195EC3" w:rsidRDefault="00C4624A" w:rsidP="00461AA0">
            <w:pPr>
              <w:jc w:val="right"/>
              <w:rPr>
                <w:rFonts w:eastAsia="Calibri"/>
                <w:noProof/>
                <w:sz w:val="20"/>
                <w:szCs w:val="20"/>
              </w:rPr>
            </w:pPr>
            <w:r w:rsidRPr="00195EC3">
              <w:rPr>
                <w:noProof/>
                <w:sz w:val="20"/>
              </w:rPr>
              <w:t>150,0</w:t>
            </w:r>
          </w:p>
        </w:tc>
        <w:tc>
          <w:tcPr>
            <w:tcW w:w="992" w:type="dxa"/>
            <w:vAlign w:val="center"/>
          </w:tcPr>
          <w:p w14:paraId="6709EA1E" w14:textId="77777777" w:rsidR="00C4624A" w:rsidRPr="00195EC3" w:rsidRDefault="00C4624A" w:rsidP="00461AA0">
            <w:pPr>
              <w:jc w:val="right"/>
              <w:rPr>
                <w:rFonts w:eastAsia="Calibri"/>
                <w:noProof/>
                <w:sz w:val="20"/>
                <w:szCs w:val="20"/>
              </w:rPr>
            </w:pPr>
            <w:r w:rsidRPr="00195EC3">
              <w:rPr>
                <w:noProof/>
                <w:sz w:val="20"/>
              </w:rPr>
              <w:t>150,0</w:t>
            </w:r>
          </w:p>
        </w:tc>
        <w:tc>
          <w:tcPr>
            <w:tcW w:w="2410" w:type="dxa"/>
            <w:vAlign w:val="center"/>
          </w:tcPr>
          <w:p w14:paraId="0267629C" w14:textId="77777777" w:rsidR="00C4624A" w:rsidRPr="00195EC3" w:rsidRDefault="00C4624A" w:rsidP="00461AA0">
            <w:pPr>
              <w:jc w:val="right"/>
              <w:rPr>
                <w:rFonts w:eastAsia="Calibri"/>
                <w:b/>
                <w:noProof/>
                <w:sz w:val="20"/>
                <w:szCs w:val="20"/>
              </w:rPr>
            </w:pPr>
            <w:r w:rsidRPr="00195EC3">
              <w:rPr>
                <w:b/>
                <w:noProof/>
                <w:sz w:val="20"/>
              </w:rPr>
              <w:t>750,0</w:t>
            </w:r>
          </w:p>
        </w:tc>
      </w:tr>
      <w:tr w:rsidR="00C4624A" w:rsidRPr="00195EC3" w14:paraId="2129A596" w14:textId="77777777" w:rsidTr="00461AA0">
        <w:trPr>
          <w:trHeight w:val="638"/>
        </w:trPr>
        <w:tc>
          <w:tcPr>
            <w:tcW w:w="14978" w:type="dxa"/>
            <w:gridSpan w:val="12"/>
            <w:vAlign w:val="center"/>
          </w:tcPr>
          <w:p w14:paraId="25DCC2CB" w14:textId="77777777" w:rsidR="00C4624A" w:rsidRPr="00195EC3" w:rsidRDefault="00C4624A" w:rsidP="00461AA0">
            <w:pPr>
              <w:rPr>
                <w:rFonts w:eastAsia="Times New Roman"/>
                <w:noProof/>
                <w:sz w:val="20"/>
                <w:szCs w:val="20"/>
              </w:rPr>
            </w:pPr>
            <w:r w:rsidRPr="00195EC3">
              <w:rPr>
                <w:noProof/>
                <w:sz w:val="20"/>
              </w:rPr>
              <w:t>□ Copertura per 1,586 miliardi di EUR di esborsi di prestiti BEI nell'ambito del mandato di prestito esteso</w:t>
            </w:r>
          </w:p>
        </w:tc>
      </w:tr>
      <w:tr w:rsidR="00C4624A" w:rsidRPr="00195EC3" w14:paraId="354B2A8B" w14:textId="77777777" w:rsidTr="00461AA0">
        <w:trPr>
          <w:trHeight w:val="638"/>
        </w:trPr>
        <w:tc>
          <w:tcPr>
            <w:tcW w:w="3960" w:type="dxa"/>
            <w:vMerge w:val="restart"/>
            <w:vAlign w:val="center"/>
          </w:tcPr>
          <w:p w14:paraId="55C23C0A" w14:textId="77777777" w:rsidR="00C4624A" w:rsidRPr="00195EC3" w:rsidRDefault="00C4624A" w:rsidP="00461AA0">
            <w:pPr>
              <w:rPr>
                <w:rFonts w:eastAsia="Times New Roman"/>
                <w:noProof/>
                <w:sz w:val="18"/>
                <w:szCs w:val="18"/>
              </w:rPr>
            </w:pPr>
            <w:r w:rsidRPr="00195EC3">
              <w:rPr>
                <w:noProof/>
                <w:sz w:val="18"/>
              </w:rPr>
              <w:t xml:space="preserve">Linea di bilancio </w:t>
            </w:r>
          </w:p>
          <w:p w14:paraId="17862F97" w14:textId="77777777" w:rsidR="00C4624A" w:rsidRPr="00195EC3" w:rsidRDefault="00C4624A" w:rsidP="00461AA0">
            <w:pPr>
              <w:rPr>
                <w:rFonts w:eastAsia="Times New Roman"/>
                <w:noProof/>
                <w:sz w:val="18"/>
                <w:szCs w:val="18"/>
              </w:rPr>
            </w:pPr>
            <w:r w:rsidRPr="00195EC3">
              <w:rPr>
                <w:noProof/>
                <w:sz w:val="18"/>
              </w:rPr>
              <w:t>14 02 01 70. 05 "NDICI – Dotazione del fondo comune di copertura" (per il 9 %)</w:t>
            </w:r>
          </w:p>
        </w:tc>
        <w:tc>
          <w:tcPr>
            <w:tcW w:w="1440" w:type="dxa"/>
            <w:gridSpan w:val="2"/>
            <w:vAlign w:val="center"/>
          </w:tcPr>
          <w:p w14:paraId="11DC732C" w14:textId="77777777" w:rsidR="00C4624A" w:rsidRPr="00195EC3" w:rsidRDefault="00C4624A" w:rsidP="00461AA0">
            <w:pPr>
              <w:rPr>
                <w:rFonts w:eastAsia="Calibri"/>
                <w:noProof/>
                <w:sz w:val="16"/>
                <w:szCs w:val="16"/>
              </w:rPr>
            </w:pPr>
            <w:r w:rsidRPr="00195EC3">
              <w:rPr>
                <w:noProof/>
                <w:sz w:val="16"/>
              </w:rPr>
              <w:t>Impegni</w:t>
            </w:r>
          </w:p>
        </w:tc>
        <w:tc>
          <w:tcPr>
            <w:tcW w:w="654" w:type="dxa"/>
            <w:vAlign w:val="center"/>
          </w:tcPr>
          <w:p w14:paraId="513B251E" w14:textId="77777777" w:rsidR="00C4624A" w:rsidRPr="00195EC3" w:rsidRDefault="00C4624A" w:rsidP="00461AA0">
            <w:pPr>
              <w:jc w:val="center"/>
              <w:rPr>
                <w:rFonts w:eastAsia="Times New Roman"/>
                <w:noProof/>
                <w:sz w:val="16"/>
                <w:szCs w:val="16"/>
              </w:rPr>
            </w:pPr>
            <w:r w:rsidRPr="00195EC3">
              <w:rPr>
                <w:noProof/>
                <w:sz w:val="16"/>
              </w:rPr>
              <w:t>a)</w:t>
            </w:r>
          </w:p>
        </w:tc>
        <w:tc>
          <w:tcPr>
            <w:tcW w:w="868" w:type="dxa"/>
          </w:tcPr>
          <w:p w14:paraId="650BCA56" w14:textId="77777777" w:rsidR="00C4624A" w:rsidRPr="00195EC3" w:rsidRDefault="00C4624A" w:rsidP="00461AA0">
            <w:pPr>
              <w:jc w:val="right"/>
              <w:rPr>
                <w:rFonts w:eastAsia="Calibri"/>
                <w:noProof/>
                <w:sz w:val="20"/>
                <w:szCs w:val="20"/>
              </w:rPr>
            </w:pPr>
          </w:p>
        </w:tc>
        <w:tc>
          <w:tcPr>
            <w:tcW w:w="868" w:type="dxa"/>
            <w:vAlign w:val="center"/>
          </w:tcPr>
          <w:p w14:paraId="105E284D" w14:textId="77777777" w:rsidR="00C4624A" w:rsidRPr="00195EC3" w:rsidRDefault="00C4624A" w:rsidP="00461AA0">
            <w:pPr>
              <w:jc w:val="right"/>
              <w:rPr>
                <w:rFonts w:eastAsia="Calibri"/>
                <w:noProof/>
                <w:sz w:val="20"/>
                <w:szCs w:val="20"/>
              </w:rPr>
            </w:pPr>
          </w:p>
        </w:tc>
        <w:tc>
          <w:tcPr>
            <w:tcW w:w="868" w:type="dxa"/>
            <w:vAlign w:val="center"/>
          </w:tcPr>
          <w:p w14:paraId="073CCA66" w14:textId="77777777" w:rsidR="00C4624A" w:rsidRPr="00195EC3" w:rsidRDefault="00C4624A" w:rsidP="00461AA0">
            <w:pPr>
              <w:jc w:val="right"/>
              <w:rPr>
                <w:rFonts w:eastAsia="Calibri"/>
                <w:noProof/>
                <w:sz w:val="20"/>
                <w:szCs w:val="20"/>
              </w:rPr>
            </w:pPr>
          </w:p>
        </w:tc>
        <w:tc>
          <w:tcPr>
            <w:tcW w:w="930" w:type="dxa"/>
            <w:vAlign w:val="center"/>
          </w:tcPr>
          <w:p w14:paraId="422D55EA" w14:textId="77777777" w:rsidR="00C4624A" w:rsidRPr="00195EC3" w:rsidRDefault="00C4624A" w:rsidP="00461AA0">
            <w:pPr>
              <w:jc w:val="right"/>
              <w:rPr>
                <w:rFonts w:eastAsia="Calibri"/>
                <w:noProof/>
                <w:sz w:val="20"/>
                <w:szCs w:val="20"/>
              </w:rPr>
            </w:pPr>
          </w:p>
        </w:tc>
        <w:tc>
          <w:tcPr>
            <w:tcW w:w="996" w:type="dxa"/>
            <w:vAlign w:val="center"/>
          </w:tcPr>
          <w:p w14:paraId="6045C7F3" w14:textId="77777777" w:rsidR="00C4624A" w:rsidRPr="00195EC3" w:rsidRDefault="00C4624A" w:rsidP="00461AA0">
            <w:pPr>
              <w:jc w:val="right"/>
              <w:rPr>
                <w:rFonts w:eastAsia="Calibri"/>
                <w:noProof/>
                <w:sz w:val="20"/>
                <w:szCs w:val="20"/>
              </w:rPr>
            </w:pPr>
            <w:r w:rsidRPr="00195EC3">
              <w:rPr>
                <w:noProof/>
                <w:sz w:val="20"/>
              </w:rPr>
              <w:t>47,58</w:t>
            </w:r>
          </w:p>
        </w:tc>
        <w:tc>
          <w:tcPr>
            <w:tcW w:w="992" w:type="dxa"/>
            <w:vAlign w:val="center"/>
          </w:tcPr>
          <w:p w14:paraId="70149C3A" w14:textId="77777777" w:rsidR="00C4624A" w:rsidRPr="00195EC3" w:rsidRDefault="00C4624A" w:rsidP="00461AA0">
            <w:pPr>
              <w:jc w:val="right"/>
              <w:rPr>
                <w:rFonts w:eastAsia="Calibri"/>
                <w:noProof/>
                <w:sz w:val="20"/>
                <w:szCs w:val="20"/>
              </w:rPr>
            </w:pPr>
            <w:r w:rsidRPr="00195EC3">
              <w:rPr>
                <w:noProof/>
                <w:sz w:val="20"/>
              </w:rPr>
              <w:t>47,58</w:t>
            </w:r>
          </w:p>
        </w:tc>
        <w:tc>
          <w:tcPr>
            <w:tcW w:w="992" w:type="dxa"/>
            <w:vAlign w:val="center"/>
          </w:tcPr>
          <w:p w14:paraId="61BA4CF0" w14:textId="77777777" w:rsidR="00C4624A" w:rsidRPr="00195EC3" w:rsidRDefault="00C4624A" w:rsidP="00461AA0">
            <w:pPr>
              <w:jc w:val="right"/>
              <w:rPr>
                <w:rFonts w:eastAsia="Calibri"/>
                <w:noProof/>
                <w:sz w:val="20"/>
                <w:szCs w:val="20"/>
              </w:rPr>
            </w:pPr>
            <w:r w:rsidRPr="00195EC3">
              <w:rPr>
                <w:noProof/>
                <w:sz w:val="20"/>
              </w:rPr>
              <w:t>47,58</w:t>
            </w:r>
          </w:p>
        </w:tc>
        <w:tc>
          <w:tcPr>
            <w:tcW w:w="2410" w:type="dxa"/>
            <w:vAlign w:val="center"/>
          </w:tcPr>
          <w:p w14:paraId="4326745F" w14:textId="77777777" w:rsidR="00C4624A" w:rsidRPr="00195EC3" w:rsidRDefault="00C4624A" w:rsidP="00461AA0">
            <w:pPr>
              <w:jc w:val="right"/>
              <w:rPr>
                <w:rFonts w:eastAsia="Calibri"/>
                <w:b/>
                <w:noProof/>
                <w:sz w:val="20"/>
                <w:szCs w:val="20"/>
              </w:rPr>
            </w:pPr>
            <w:r w:rsidRPr="00195EC3">
              <w:rPr>
                <w:b/>
                <w:noProof/>
                <w:sz w:val="20"/>
              </w:rPr>
              <w:t>142,74</w:t>
            </w:r>
          </w:p>
        </w:tc>
      </w:tr>
      <w:tr w:rsidR="00C4624A" w:rsidRPr="00195EC3" w14:paraId="5810E637" w14:textId="77777777" w:rsidTr="00461AA0">
        <w:trPr>
          <w:trHeight w:val="638"/>
        </w:trPr>
        <w:tc>
          <w:tcPr>
            <w:tcW w:w="3960" w:type="dxa"/>
            <w:vMerge/>
            <w:vAlign w:val="center"/>
          </w:tcPr>
          <w:p w14:paraId="1FABDBA8" w14:textId="77777777" w:rsidR="00C4624A" w:rsidRPr="00195EC3" w:rsidRDefault="00C4624A" w:rsidP="00461AA0">
            <w:pPr>
              <w:rPr>
                <w:noProof/>
              </w:rPr>
            </w:pPr>
          </w:p>
        </w:tc>
        <w:tc>
          <w:tcPr>
            <w:tcW w:w="1440" w:type="dxa"/>
            <w:gridSpan w:val="2"/>
            <w:vAlign w:val="center"/>
          </w:tcPr>
          <w:p w14:paraId="1F16889C" w14:textId="77777777" w:rsidR="00C4624A" w:rsidRPr="00195EC3" w:rsidRDefault="00C4624A" w:rsidP="00461AA0">
            <w:pPr>
              <w:rPr>
                <w:rFonts w:eastAsia="Calibri"/>
                <w:noProof/>
                <w:sz w:val="16"/>
                <w:szCs w:val="16"/>
              </w:rPr>
            </w:pPr>
            <w:r w:rsidRPr="00195EC3">
              <w:rPr>
                <w:noProof/>
                <w:sz w:val="16"/>
              </w:rPr>
              <w:t>Pagamenti</w:t>
            </w:r>
          </w:p>
        </w:tc>
        <w:tc>
          <w:tcPr>
            <w:tcW w:w="654" w:type="dxa"/>
            <w:vAlign w:val="center"/>
          </w:tcPr>
          <w:p w14:paraId="3E839493" w14:textId="77777777" w:rsidR="00C4624A" w:rsidRPr="00195EC3" w:rsidRDefault="00C4624A" w:rsidP="00461AA0">
            <w:pPr>
              <w:jc w:val="center"/>
              <w:rPr>
                <w:rFonts w:eastAsia="Times New Roman"/>
                <w:noProof/>
                <w:sz w:val="16"/>
                <w:szCs w:val="16"/>
              </w:rPr>
            </w:pPr>
            <w:r w:rsidRPr="00195EC3">
              <w:rPr>
                <w:noProof/>
                <w:sz w:val="16"/>
              </w:rPr>
              <w:t>b)</w:t>
            </w:r>
          </w:p>
        </w:tc>
        <w:tc>
          <w:tcPr>
            <w:tcW w:w="868" w:type="dxa"/>
          </w:tcPr>
          <w:p w14:paraId="58E7A551" w14:textId="77777777" w:rsidR="00C4624A" w:rsidRPr="00195EC3" w:rsidRDefault="00C4624A" w:rsidP="00461AA0">
            <w:pPr>
              <w:jc w:val="right"/>
              <w:rPr>
                <w:rFonts w:eastAsia="Calibri"/>
                <w:noProof/>
                <w:sz w:val="20"/>
                <w:szCs w:val="20"/>
              </w:rPr>
            </w:pPr>
          </w:p>
        </w:tc>
        <w:tc>
          <w:tcPr>
            <w:tcW w:w="868" w:type="dxa"/>
            <w:vAlign w:val="center"/>
          </w:tcPr>
          <w:p w14:paraId="49BDED11" w14:textId="77777777" w:rsidR="00C4624A" w:rsidRPr="00195EC3" w:rsidRDefault="00C4624A" w:rsidP="00461AA0">
            <w:pPr>
              <w:jc w:val="right"/>
              <w:rPr>
                <w:rFonts w:eastAsia="Calibri"/>
                <w:noProof/>
                <w:sz w:val="20"/>
                <w:szCs w:val="20"/>
              </w:rPr>
            </w:pPr>
          </w:p>
        </w:tc>
        <w:tc>
          <w:tcPr>
            <w:tcW w:w="868" w:type="dxa"/>
            <w:vAlign w:val="center"/>
          </w:tcPr>
          <w:p w14:paraId="163C7A72" w14:textId="77777777" w:rsidR="00C4624A" w:rsidRPr="00195EC3" w:rsidRDefault="00C4624A" w:rsidP="00461AA0">
            <w:pPr>
              <w:jc w:val="right"/>
              <w:rPr>
                <w:rFonts w:eastAsia="Calibri"/>
                <w:noProof/>
                <w:sz w:val="20"/>
                <w:szCs w:val="20"/>
              </w:rPr>
            </w:pPr>
          </w:p>
        </w:tc>
        <w:tc>
          <w:tcPr>
            <w:tcW w:w="930" w:type="dxa"/>
            <w:vAlign w:val="center"/>
          </w:tcPr>
          <w:p w14:paraId="29323604" w14:textId="77777777" w:rsidR="00C4624A" w:rsidRPr="00195EC3" w:rsidRDefault="00C4624A" w:rsidP="00461AA0">
            <w:pPr>
              <w:jc w:val="right"/>
              <w:rPr>
                <w:rFonts w:eastAsia="Calibri"/>
                <w:noProof/>
                <w:sz w:val="20"/>
                <w:szCs w:val="20"/>
              </w:rPr>
            </w:pPr>
          </w:p>
        </w:tc>
        <w:tc>
          <w:tcPr>
            <w:tcW w:w="996" w:type="dxa"/>
            <w:vAlign w:val="center"/>
          </w:tcPr>
          <w:p w14:paraId="064EFFB0" w14:textId="77777777" w:rsidR="00C4624A" w:rsidRPr="00195EC3" w:rsidRDefault="00C4624A" w:rsidP="00461AA0">
            <w:pPr>
              <w:jc w:val="right"/>
              <w:rPr>
                <w:rFonts w:eastAsia="Calibri"/>
                <w:noProof/>
                <w:sz w:val="20"/>
                <w:szCs w:val="20"/>
              </w:rPr>
            </w:pPr>
            <w:r w:rsidRPr="00195EC3">
              <w:rPr>
                <w:noProof/>
                <w:sz w:val="20"/>
              </w:rPr>
              <w:t>47,58</w:t>
            </w:r>
          </w:p>
        </w:tc>
        <w:tc>
          <w:tcPr>
            <w:tcW w:w="992" w:type="dxa"/>
            <w:vAlign w:val="center"/>
          </w:tcPr>
          <w:p w14:paraId="1FB3BA50" w14:textId="77777777" w:rsidR="00C4624A" w:rsidRPr="00195EC3" w:rsidRDefault="00C4624A" w:rsidP="00461AA0">
            <w:pPr>
              <w:jc w:val="right"/>
              <w:rPr>
                <w:rFonts w:eastAsia="Calibri"/>
                <w:noProof/>
                <w:sz w:val="20"/>
                <w:szCs w:val="20"/>
              </w:rPr>
            </w:pPr>
            <w:r w:rsidRPr="00195EC3">
              <w:rPr>
                <w:noProof/>
                <w:sz w:val="20"/>
              </w:rPr>
              <w:t>47,58</w:t>
            </w:r>
          </w:p>
        </w:tc>
        <w:tc>
          <w:tcPr>
            <w:tcW w:w="992" w:type="dxa"/>
            <w:vAlign w:val="center"/>
          </w:tcPr>
          <w:p w14:paraId="4CFF4B74" w14:textId="77777777" w:rsidR="00C4624A" w:rsidRPr="00195EC3" w:rsidRDefault="00C4624A" w:rsidP="00461AA0">
            <w:pPr>
              <w:jc w:val="right"/>
              <w:rPr>
                <w:rFonts w:eastAsia="Calibri"/>
                <w:noProof/>
                <w:sz w:val="20"/>
                <w:szCs w:val="20"/>
              </w:rPr>
            </w:pPr>
            <w:r w:rsidRPr="00195EC3">
              <w:rPr>
                <w:noProof/>
                <w:sz w:val="20"/>
              </w:rPr>
              <w:t>47,58</w:t>
            </w:r>
          </w:p>
        </w:tc>
        <w:tc>
          <w:tcPr>
            <w:tcW w:w="2410" w:type="dxa"/>
            <w:vAlign w:val="center"/>
          </w:tcPr>
          <w:p w14:paraId="78FE8A69" w14:textId="77777777" w:rsidR="00C4624A" w:rsidRPr="00195EC3" w:rsidRDefault="00C4624A" w:rsidP="00461AA0">
            <w:pPr>
              <w:jc w:val="right"/>
              <w:rPr>
                <w:rFonts w:eastAsia="Calibri"/>
                <w:b/>
                <w:noProof/>
                <w:sz w:val="20"/>
                <w:szCs w:val="20"/>
              </w:rPr>
            </w:pPr>
            <w:r w:rsidRPr="00195EC3">
              <w:rPr>
                <w:b/>
                <w:noProof/>
                <w:sz w:val="20"/>
              </w:rPr>
              <w:t>142,74</w:t>
            </w:r>
          </w:p>
        </w:tc>
      </w:tr>
      <w:tr w:rsidR="00C4624A" w:rsidRPr="00195EC3" w14:paraId="424E0A44" w14:textId="77777777" w:rsidTr="00461AA0">
        <w:trPr>
          <w:trHeight w:val="638"/>
        </w:trPr>
        <w:tc>
          <w:tcPr>
            <w:tcW w:w="3960" w:type="dxa"/>
            <w:vMerge w:val="restart"/>
            <w:vAlign w:val="center"/>
          </w:tcPr>
          <w:p w14:paraId="1B5CA06D" w14:textId="77777777" w:rsidR="00C4624A" w:rsidRPr="00195EC3" w:rsidRDefault="00C4624A" w:rsidP="00461AA0">
            <w:pPr>
              <w:rPr>
                <w:rFonts w:eastAsia="Times New Roman"/>
                <w:noProof/>
                <w:sz w:val="18"/>
                <w:szCs w:val="18"/>
              </w:rPr>
            </w:pPr>
            <w:r w:rsidRPr="00195EC3">
              <w:rPr>
                <w:noProof/>
                <w:sz w:val="18"/>
              </w:rPr>
              <w:t>Linea di bilancio</w:t>
            </w:r>
          </w:p>
          <w:p w14:paraId="4B834446" w14:textId="77777777" w:rsidR="00C4624A" w:rsidRPr="00195EC3" w:rsidRDefault="00C4624A" w:rsidP="00461AA0">
            <w:pPr>
              <w:rPr>
                <w:rFonts w:eastAsia="Calibri"/>
                <w:noProof/>
                <w:szCs w:val="24"/>
              </w:rPr>
            </w:pPr>
            <w:r w:rsidRPr="00195EC3">
              <w:rPr>
                <w:noProof/>
                <w:sz w:val="18"/>
              </w:rPr>
              <w:t>14 02 01 70. 05 "NDICI – Dotazione del fondo comune di copertura"</w:t>
            </w:r>
            <w:r w:rsidRPr="00195EC3">
              <w:rPr>
                <w:rStyle w:val="FootnoteReference"/>
                <w:noProof/>
                <w:sz w:val="20"/>
              </w:rPr>
              <w:t xml:space="preserve"> </w:t>
            </w:r>
            <w:r w:rsidRPr="00195EC3">
              <w:rPr>
                <w:rStyle w:val="FootnoteReference"/>
                <w:noProof/>
                <w:sz w:val="20"/>
                <w:szCs w:val="20"/>
              </w:rPr>
              <w:footnoteReference w:id="37"/>
            </w:r>
            <w:r w:rsidRPr="00195EC3">
              <w:rPr>
                <w:noProof/>
                <w:sz w:val="20"/>
              </w:rPr>
              <w:t xml:space="preserve"> </w:t>
            </w:r>
            <w:r w:rsidRPr="00195EC3">
              <w:rPr>
                <w:noProof/>
                <w:sz w:val="18"/>
              </w:rPr>
              <w:t>(per il 61 %)</w:t>
            </w:r>
          </w:p>
        </w:tc>
        <w:tc>
          <w:tcPr>
            <w:tcW w:w="1440" w:type="dxa"/>
            <w:gridSpan w:val="2"/>
            <w:vAlign w:val="center"/>
          </w:tcPr>
          <w:p w14:paraId="05DF00A2" w14:textId="77777777" w:rsidR="00C4624A" w:rsidRPr="00195EC3" w:rsidRDefault="00C4624A" w:rsidP="00461AA0">
            <w:pPr>
              <w:rPr>
                <w:rFonts w:eastAsia="Calibri"/>
                <w:noProof/>
                <w:sz w:val="16"/>
                <w:szCs w:val="16"/>
              </w:rPr>
            </w:pPr>
            <w:r w:rsidRPr="00195EC3">
              <w:rPr>
                <w:noProof/>
                <w:sz w:val="16"/>
              </w:rPr>
              <w:t>Impegni</w:t>
            </w:r>
          </w:p>
        </w:tc>
        <w:tc>
          <w:tcPr>
            <w:tcW w:w="654" w:type="dxa"/>
            <w:vAlign w:val="center"/>
          </w:tcPr>
          <w:p w14:paraId="5727FA1A" w14:textId="77777777" w:rsidR="00C4624A" w:rsidRPr="00195EC3" w:rsidRDefault="00C4624A" w:rsidP="00461AA0">
            <w:pPr>
              <w:jc w:val="center"/>
              <w:rPr>
                <w:rFonts w:eastAsia="Times New Roman"/>
                <w:noProof/>
                <w:sz w:val="16"/>
                <w:szCs w:val="16"/>
              </w:rPr>
            </w:pPr>
            <w:r w:rsidRPr="00195EC3">
              <w:rPr>
                <w:noProof/>
                <w:sz w:val="16"/>
              </w:rPr>
              <w:t>a)</w:t>
            </w:r>
          </w:p>
        </w:tc>
        <w:tc>
          <w:tcPr>
            <w:tcW w:w="868" w:type="dxa"/>
          </w:tcPr>
          <w:p w14:paraId="33B29A94" w14:textId="77777777" w:rsidR="00C4624A" w:rsidRPr="00195EC3" w:rsidRDefault="00C4624A" w:rsidP="00461AA0">
            <w:pPr>
              <w:jc w:val="right"/>
              <w:rPr>
                <w:rFonts w:eastAsia="Calibri"/>
                <w:noProof/>
                <w:sz w:val="20"/>
                <w:szCs w:val="20"/>
              </w:rPr>
            </w:pPr>
          </w:p>
        </w:tc>
        <w:tc>
          <w:tcPr>
            <w:tcW w:w="868" w:type="dxa"/>
            <w:vAlign w:val="center"/>
          </w:tcPr>
          <w:p w14:paraId="65E0DF27" w14:textId="77777777" w:rsidR="00C4624A" w:rsidRPr="00195EC3" w:rsidRDefault="00C4624A" w:rsidP="00461AA0">
            <w:pPr>
              <w:jc w:val="right"/>
              <w:rPr>
                <w:rFonts w:eastAsia="Calibri"/>
                <w:noProof/>
                <w:sz w:val="20"/>
                <w:szCs w:val="20"/>
              </w:rPr>
            </w:pPr>
          </w:p>
        </w:tc>
        <w:tc>
          <w:tcPr>
            <w:tcW w:w="868" w:type="dxa"/>
            <w:vAlign w:val="center"/>
          </w:tcPr>
          <w:p w14:paraId="7EDDCEA1" w14:textId="77777777" w:rsidR="00C4624A" w:rsidRPr="00195EC3" w:rsidRDefault="00C4624A" w:rsidP="00461AA0">
            <w:pPr>
              <w:jc w:val="right"/>
              <w:rPr>
                <w:rFonts w:eastAsia="Calibri"/>
                <w:noProof/>
                <w:sz w:val="20"/>
                <w:szCs w:val="20"/>
              </w:rPr>
            </w:pPr>
          </w:p>
        </w:tc>
        <w:tc>
          <w:tcPr>
            <w:tcW w:w="930" w:type="dxa"/>
            <w:vAlign w:val="center"/>
          </w:tcPr>
          <w:p w14:paraId="1E4CF32C" w14:textId="77777777" w:rsidR="00C4624A" w:rsidRPr="00195EC3" w:rsidRDefault="00C4624A" w:rsidP="00461AA0">
            <w:pPr>
              <w:jc w:val="right"/>
              <w:rPr>
                <w:rFonts w:eastAsia="Calibri"/>
                <w:noProof/>
                <w:sz w:val="20"/>
                <w:szCs w:val="20"/>
              </w:rPr>
            </w:pPr>
          </w:p>
        </w:tc>
        <w:tc>
          <w:tcPr>
            <w:tcW w:w="996" w:type="dxa"/>
            <w:vAlign w:val="center"/>
          </w:tcPr>
          <w:p w14:paraId="09199C0E" w14:textId="77777777" w:rsidR="00C4624A" w:rsidRPr="00195EC3" w:rsidRDefault="00C4624A" w:rsidP="00461AA0">
            <w:pPr>
              <w:jc w:val="right"/>
              <w:rPr>
                <w:rFonts w:eastAsia="Calibri"/>
                <w:noProof/>
                <w:sz w:val="20"/>
                <w:szCs w:val="20"/>
              </w:rPr>
            </w:pPr>
            <w:r w:rsidRPr="00195EC3">
              <w:rPr>
                <w:noProof/>
                <w:sz w:val="20"/>
              </w:rPr>
              <w:t>322,48</w:t>
            </w:r>
          </w:p>
        </w:tc>
        <w:tc>
          <w:tcPr>
            <w:tcW w:w="992" w:type="dxa"/>
            <w:vAlign w:val="center"/>
          </w:tcPr>
          <w:p w14:paraId="368479FC" w14:textId="77777777" w:rsidR="00C4624A" w:rsidRPr="00195EC3" w:rsidRDefault="00C4624A" w:rsidP="00461AA0">
            <w:pPr>
              <w:jc w:val="right"/>
              <w:rPr>
                <w:rFonts w:eastAsia="Calibri"/>
                <w:noProof/>
                <w:sz w:val="20"/>
                <w:szCs w:val="20"/>
              </w:rPr>
            </w:pPr>
            <w:r w:rsidRPr="00195EC3">
              <w:rPr>
                <w:noProof/>
                <w:sz w:val="20"/>
              </w:rPr>
              <w:t>322,48</w:t>
            </w:r>
          </w:p>
        </w:tc>
        <w:tc>
          <w:tcPr>
            <w:tcW w:w="992" w:type="dxa"/>
            <w:vAlign w:val="center"/>
          </w:tcPr>
          <w:p w14:paraId="13489B88" w14:textId="77777777" w:rsidR="00C4624A" w:rsidRPr="00195EC3" w:rsidRDefault="00C4624A" w:rsidP="00461AA0">
            <w:pPr>
              <w:jc w:val="right"/>
              <w:rPr>
                <w:rFonts w:eastAsia="Calibri"/>
                <w:noProof/>
                <w:sz w:val="20"/>
                <w:szCs w:val="20"/>
              </w:rPr>
            </w:pPr>
            <w:r w:rsidRPr="00195EC3">
              <w:rPr>
                <w:noProof/>
                <w:sz w:val="20"/>
              </w:rPr>
              <w:t>322,48</w:t>
            </w:r>
          </w:p>
        </w:tc>
        <w:tc>
          <w:tcPr>
            <w:tcW w:w="2410" w:type="dxa"/>
            <w:vAlign w:val="center"/>
          </w:tcPr>
          <w:p w14:paraId="638361DB" w14:textId="77777777" w:rsidR="00C4624A" w:rsidRPr="00195EC3" w:rsidRDefault="00C4624A" w:rsidP="00461AA0">
            <w:pPr>
              <w:jc w:val="right"/>
              <w:rPr>
                <w:rFonts w:eastAsia="Calibri"/>
                <w:b/>
                <w:bCs/>
                <w:noProof/>
                <w:sz w:val="20"/>
                <w:szCs w:val="20"/>
              </w:rPr>
            </w:pPr>
            <w:r w:rsidRPr="00195EC3">
              <w:rPr>
                <w:b/>
                <w:noProof/>
                <w:sz w:val="20"/>
              </w:rPr>
              <w:t>967,46</w:t>
            </w:r>
          </w:p>
        </w:tc>
      </w:tr>
      <w:tr w:rsidR="00C4624A" w:rsidRPr="00195EC3" w14:paraId="264A5336" w14:textId="77777777" w:rsidTr="00461AA0">
        <w:trPr>
          <w:trHeight w:val="638"/>
        </w:trPr>
        <w:tc>
          <w:tcPr>
            <w:tcW w:w="3960" w:type="dxa"/>
            <w:vMerge/>
            <w:vAlign w:val="center"/>
          </w:tcPr>
          <w:p w14:paraId="46ECA845" w14:textId="77777777" w:rsidR="00C4624A" w:rsidRPr="00195EC3" w:rsidRDefault="00C4624A" w:rsidP="00461AA0">
            <w:pPr>
              <w:rPr>
                <w:noProof/>
              </w:rPr>
            </w:pPr>
          </w:p>
        </w:tc>
        <w:tc>
          <w:tcPr>
            <w:tcW w:w="1440" w:type="dxa"/>
            <w:gridSpan w:val="2"/>
            <w:vAlign w:val="center"/>
          </w:tcPr>
          <w:p w14:paraId="0000498B" w14:textId="77777777" w:rsidR="00C4624A" w:rsidRPr="00195EC3" w:rsidRDefault="00C4624A" w:rsidP="00461AA0">
            <w:pPr>
              <w:rPr>
                <w:rFonts w:eastAsia="Calibri"/>
                <w:noProof/>
                <w:sz w:val="16"/>
                <w:szCs w:val="16"/>
              </w:rPr>
            </w:pPr>
            <w:r w:rsidRPr="00195EC3">
              <w:rPr>
                <w:noProof/>
                <w:sz w:val="16"/>
              </w:rPr>
              <w:t>Pagamenti</w:t>
            </w:r>
          </w:p>
        </w:tc>
        <w:tc>
          <w:tcPr>
            <w:tcW w:w="654" w:type="dxa"/>
            <w:vAlign w:val="center"/>
          </w:tcPr>
          <w:p w14:paraId="2612113F" w14:textId="77777777" w:rsidR="00C4624A" w:rsidRPr="00195EC3" w:rsidRDefault="00C4624A" w:rsidP="00461AA0">
            <w:pPr>
              <w:jc w:val="center"/>
              <w:rPr>
                <w:rFonts w:eastAsia="Times New Roman"/>
                <w:noProof/>
                <w:sz w:val="16"/>
                <w:szCs w:val="16"/>
              </w:rPr>
            </w:pPr>
            <w:r w:rsidRPr="00195EC3">
              <w:rPr>
                <w:noProof/>
                <w:sz w:val="16"/>
              </w:rPr>
              <w:t>b)</w:t>
            </w:r>
          </w:p>
        </w:tc>
        <w:tc>
          <w:tcPr>
            <w:tcW w:w="868" w:type="dxa"/>
          </w:tcPr>
          <w:p w14:paraId="1E2C56C3" w14:textId="77777777" w:rsidR="00C4624A" w:rsidRPr="00195EC3" w:rsidRDefault="00C4624A" w:rsidP="00461AA0">
            <w:pPr>
              <w:jc w:val="right"/>
              <w:rPr>
                <w:rFonts w:eastAsia="Calibri"/>
                <w:noProof/>
                <w:sz w:val="20"/>
                <w:szCs w:val="20"/>
              </w:rPr>
            </w:pPr>
          </w:p>
        </w:tc>
        <w:tc>
          <w:tcPr>
            <w:tcW w:w="868" w:type="dxa"/>
            <w:vAlign w:val="center"/>
          </w:tcPr>
          <w:p w14:paraId="260932EF" w14:textId="77777777" w:rsidR="00C4624A" w:rsidRPr="00195EC3" w:rsidRDefault="00C4624A" w:rsidP="00461AA0">
            <w:pPr>
              <w:jc w:val="right"/>
              <w:rPr>
                <w:rFonts w:eastAsia="Calibri"/>
                <w:noProof/>
                <w:sz w:val="20"/>
                <w:szCs w:val="20"/>
              </w:rPr>
            </w:pPr>
          </w:p>
        </w:tc>
        <w:tc>
          <w:tcPr>
            <w:tcW w:w="868" w:type="dxa"/>
            <w:vAlign w:val="center"/>
          </w:tcPr>
          <w:p w14:paraId="49F3C83A" w14:textId="77777777" w:rsidR="00C4624A" w:rsidRPr="00195EC3" w:rsidRDefault="00C4624A" w:rsidP="00461AA0">
            <w:pPr>
              <w:jc w:val="right"/>
              <w:rPr>
                <w:rFonts w:eastAsia="Calibri"/>
                <w:noProof/>
                <w:sz w:val="20"/>
                <w:szCs w:val="20"/>
              </w:rPr>
            </w:pPr>
          </w:p>
        </w:tc>
        <w:tc>
          <w:tcPr>
            <w:tcW w:w="930" w:type="dxa"/>
            <w:vAlign w:val="center"/>
          </w:tcPr>
          <w:p w14:paraId="285524E6" w14:textId="77777777" w:rsidR="00C4624A" w:rsidRPr="00195EC3" w:rsidRDefault="00C4624A" w:rsidP="00461AA0">
            <w:pPr>
              <w:jc w:val="right"/>
              <w:rPr>
                <w:rFonts w:eastAsia="Calibri"/>
                <w:noProof/>
                <w:sz w:val="20"/>
                <w:szCs w:val="20"/>
              </w:rPr>
            </w:pPr>
          </w:p>
        </w:tc>
        <w:tc>
          <w:tcPr>
            <w:tcW w:w="996" w:type="dxa"/>
            <w:vAlign w:val="center"/>
          </w:tcPr>
          <w:p w14:paraId="65755E80" w14:textId="77777777" w:rsidR="00C4624A" w:rsidRPr="00195EC3" w:rsidRDefault="00C4624A" w:rsidP="00461AA0">
            <w:pPr>
              <w:jc w:val="right"/>
              <w:rPr>
                <w:rFonts w:eastAsia="Calibri"/>
                <w:noProof/>
                <w:sz w:val="20"/>
                <w:szCs w:val="20"/>
              </w:rPr>
            </w:pPr>
            <w:r w:rsidRPr="00195EC3">
              <w:rPr>
                <w:noProof/>
                <w:sz w:val="20"/>
              </w:rPr>
              <w:t>322,48</w:t>
            </w:r>
          </w:p>
        </w:tc>
        <w:tc>
          <w:tcPr>
            <w:tcW w:w="992" w:type="dxa"/>
            <w:vAlign w:val="center"/>
          </w:tcPr>
          <w:p w14:paraId="62B73142" w14:textId="77777777" w:rsidR="00C4624A" w:rsidRPr="00195EC3" w:rsidRDefault="00C4624A" w:rsidP="00461AA0">
            <w:pPr>
              <w:jc w:val="right"/>
              <w:rPr>
                <w:rFonts w:eastAsia="Calibri"/>
                <w:noProof/>
                <w:sz w:val="20"/>
                <w:szCs w:val="20"/>
              </w:rPr>
            </w:pPr>
            <w:r w:rsidRPr="00195EC3">
              <w:rPr>
                <w:noProof/>
                <w:sz w:val="20"/>
              </w:rPr>
              <w:t>322,48</w:t>
            </w:r>
          </w:p>
        </w:tc>
        <w:tc>
          <w:tcPr>
            <w:tcW w:w="992" w:type="dxa"/>
            <w:vAlign w:val="center"/>
          </w:tcPr>
          <w:p w14:paraId="28E9AC3C" w14:textId="77777777" w:rsidR="00C4624A" w:rsidRPr="00195EC3" w:rsidRDefault="00C4624A" w:rsidP="00461AA0">
            <w:pPr>
              <w:jc w:val="right"/>
              <w:rPr>
                <w:rFonts w:eastAsia="Calibri"/>
                <w:noProof/>
                <w:sz w:val="20"/>
                <w:szCs w:val="20"/>
              </w:rPr>
            </w:pPr>
            <w:r w:rsidRPr="00195EC3">
              <w:rPr>
                <w:noProof/>
                <w:sz w:val="20"/>
              </w:rPr>
              <w:t>322,48</w:t>
            </w:r>
          </w:p>
        </w:tc>
        <w:tc>
          <w:tcPr>
            <w:tcW w:w="2410" w:type="dxa"/>
            <w:vAlign w:val="center"/>
          </w:tcPr>
          <w:p w14:paraId="27814BEC" w14:textId="77777777" w:rsidR="00C4624A" w:rsidRPr="00195EC3" w:rsidRDefault="00C4624A" w:rsidP="00461AA0">
            <w:pPr>
              <w:jc w:val="right"/>
              <w:rPr>
                <w:rFonts w:eastAsia="Calibri"/>
                <w:b/>
                <w:bCs/>
                <w:noProof/>
                <w:sz w:val="20"/>
                <w:szCs w:val="20"/>
              </w:rPr>
            </w:pPr>
            <w:r w:rsidRPr="00195EC3">
              <w:rPr>
                <w:b/>
                <w:noProof/>
                <w:sz w:val="20"/>
              </w:rPr>
              <w:t>967,46</w:t>
            </w:r>
          </w:p>
        </w:tc>
      </w:tr>
      <w:tr w:rsidR="00C4624A" w:rsidRPr="00195EC3" w14:paraId="53F1B1A3" w14:textId="77777777" w:rsidTr="00461AA0">
        <w:trPr>
          <w:trHeight w:val="638"/>
        </w:trPr>
        <w:tc>
          <w:tcPr>
            <w:tcW w:w="3960" w:type="dxa"/>
            <w:vMerge w:val="restart"/>
            <w:vAlign w:val="center"/>
          </w:tcPr>
          <w:p w14:paraId="0C66F41F" w14:textId="78792425" w:rsidR="00C4624A" w:rsidRPr="00195EC3" w:rsidRDefault="00C4624A" w:rsidP="00461AA0">
            <w:pPr>
              <w:jc w:val="center"/>
              <w:rPr>
                <w:b/>
                <w:bCs/>
                <w:noProof/>
              </w:rPr>
            </w:pPr>
            <w:r w:rsidRPr="00195EC3">
              <w:rPr>
                <w:b/>
                <w:noProof/>
                <w:sz w:val="22"/>
              </w:rPr>
              <w:t>TOTALE degli stanziamenti per la DG</w:t>
            </w:r>
            <w:r w:rsidR="0064601D">
              <w:rPr>
                <w:b/>
                <w:noProof/>
                <w:sz w:val="22"/>
              </w:rPr>
              <w:t> </w:t>
            </w:r>
            <w:r w:rsidRPr="00195EC3">
              <w:rPr>
                <w:b/>
                <w:noProof/>
                <w:sz w:val="22"/>
              </w:rPr>
              <w:t>NEAR</w:t>
            </w:r>
          </w:p>
          <w:p w14:paraId="64AFF0E6" w14:textId="77777777" w:rsidR="00C4624A" w:rsidRPr="00195EC3" w:rsidRDefault="00C4624A" w:rsidP="00461AA0">
            <w:pPr>
              <w:rPr>
                <w:rFonts w:eastAsia="Calibri"/>
                <w:b/>
                <w:bCs/>
                <w:noProof/>
                <w:szCs w:val="24"/>
              </w:rPr>
            </w:pPr>
          </w:p>
        </w:tc>
        <w:tc>
          <w:tcPr>
            <w:tcW w:w="1440" w:type="dxa"/>
            <w:gridSpan w:val="2"/>
            <w:vAlign w:val="center"/>
          </w:tcPr>
          <w:p w14:paraId="4CB984C4" w14:textId="77777777" w:rsidR="00C4624A" w:rsidRPr="00195EC3" w:rsidRDefault="00C4624A" w:rsidP="00461AA0">
            <w:pPr>
              <w:rPr>
                <w:rFonts w:eastAsia="Times New Roman"/>
                <w:noProof/>
                <w:sz w:val="16"/>
                <w:szCs w:val="16"/>
              </w:rPr>
            </w:pPr>
            <w:r w:rsidRPr="00195EC3">
              <w:rPr>
                <w:noProof/>
                <w:sz w:val="16"/>
              </w:rPr>
              <w:t>Impegni</w:t>
            </w:r>
          </w:p>
        </w:tc>
        <w:tc>
          <w:tcPr>
            <w:tcW w:w="654" w:type="dxa"/>
            <w:vAlign w:val="center"/>
          </w:tcPr>
          <w:p w14:paraId="04272B8C" w14:textId="77777777" w:rsidR="00C4624A" w:rsidRPr="00195EC3" w:rsidRDefault="00C4624A" w:rsidP="00461AA0">
            <w:pPr>
              <w:jc w:val="center"/>
              <w:rPr>
                <w:rFonts w:eastAsia="Times New Roman"/>
                <w:noProof/>
                <w:sz w:val="16"/>
                <w:szCs w:val="16"/>
              </w:rPr>
            </w:pPr>
            <w:r w:rsidRPr="00195EC3">
              <w:rPr>
                <w:noProof/>
                <w:sz w:val="16"/>
              </w:rPr>
              <w:t>Totale a)</w:t>
            </w:r>
          </w:p>
        </w:tc>
        <w:tc>
          <w:tcPr>
            <w:tcW w:w="868" w:type="dxa"/>
          </w:tcPr>
          <w:p w14:paraId="6DBE5341" w14:textId="77777777" w:rsidR="00C4624A" w:rsidRPr="00195EC3" w:rsidRDefault="00C4624A" w:rsidP="00461AA0">
            <w:pPr>
              <w:jc w:val="right"/>
              <w:rPr>
                <w:rFonts w:eastAsia="Times New Roman"/>
                <w:noProof/>
                <w:sz w:val="20"/>
                <w:szCs w:val="20"/>
              </w:rPr>
            </w:pPr>
          </w:p>
        </w:tc>
        <w:tc>
          <w:tcPr>
            <w:tcW w:w="868" w:type="dxa"/>
            <w:vAlign w:val="center"/>
          </w:tcPr>
          <w:p w14:paraId="398CC3B3" w14:textId="77777777" w:rsidR="00C4624A" w:rsidRPr="00195EC3" w:rsidRDefault="00C4624A" w:rsidP="00461AA0">
            <w:pPr>
              <w:jc w:val="right"/>
              <w:rPr>
                <w:rFonts w:eastAsia="Times New Roman"/>
                <w:noProof/>
                <w:sz w:val="20"/>
                <w:szCs w:val="20"/>
              </w:rPr>
            </w:pPr>
          </w:p>
        </w:tc>
        <w:tc>
          <w:tcPr>
            <w:tcW w:w="868" w:type="dxa"/>
            <w:vAlign w:val="center"/>
          </w:tcPr>
          <w:p w14:paraId="683C70D5" w14:textId="77777777" w:rsidR="00C4624A" w:rsidRPr="00195EC3" w:rsidRDefault="00C4624A" w:rsidP="00461AA0">
            <w:pPr>
              <w:jc w:val="right"/>
              <w:rPr>
                <w:rFonts w:eastAsia="Times New Roman"/>
                <w:b/>
                <w:bCs/>
                <w:noProof/>
                <w:sz w:val="20"/>
                <w:szCs w:val="20"/>
              </w:rPr>
            </w:pPr>
            <w:r w:rsidRPr="00195EC3">
              <w:rPr>
                <w:b/>
                <w:noProof/>
                <w:sz w:val="20"/>
              </w:rPr>
              <w:t>170,0</w:t>
            </w:r>
          </w:p>
        </w:tc>
        <w:tc>
          <w:tcPr>
            <w:tcW w:w="930" w:type="dxa"/>
            <w:vAlign w:val="center"/>
          </w:tcPr>
          <w:p w14:paraId="71C18E2B" w14:textId="77777777" w:rsidR="00C4624A" w:rsidRPr="00195EC3" w:rsidRDefault="00C4624A" w:rsidP="00461AA0">
            <w:pPr>
              <w:jc w:val="right"/>
              <w:rPr>
                <w:rFonts w:eastAsia="Times New Roman"/>
                <w:b/>
                <w:bCs/>
                <w:noProof/>
                <w:sz w:val="20"/>
                <w:szCs w:val="20"/>
              </w:rPr>
            </w:pPr>
            <w:r w:rsidRPr="00195EC3">
              <w:rPr>
                <w:b/>
                <w:noProof/>
                <w:sz w:val="20"/>
              </w:rPr>
              <w:t>170,0</w:t>
            </w:r>
          </w:p>
        </w:tc>
        <w:tc>
          <w:tcPr>
            <w:tcW w:w="996" w:type="dxa"/>
            <w:vAlign w:val="center"/>
          </w:tcPr>
          <w:p w14:paraId="2977EBF4" w14:textId="77777777" w:rsidR="00C4624A" w:rsidRPr="00195EC3" w:rsidRDefault="00C4624A" w:rsidP="00461AA0">
            <w:pPr>
              <w:jc w:val="right"/>
              <w:rPr>
                <w:rFonts w:eastAsia="Times New Roman"/>
                <w:b/>
                <w:bCs/>
                <w:noProof/>
                <w:sz w:val="20"/>
                <w:szCs w:val="20"/>
              </w:rPr>
            </w:pPr>
            <w:r w:rsidRPr="00195EC3">
              <w:rPr>
                <w:b/>
                <w:noProof/>
                <w:sz w:val="20"/>
              </w:rPr>
              <w:t>540,06</w:t>
            </w:r>
          </w:p>
        </w:tc>
        <w:tc>
          <w:tcPr>
            <w:tcW w:w="992" w:type="dxa"/>
            <w:vAlign w:val="center"/>
          </w:tcPr>
          <w:p w14:paraId="78A3AB81" w14:textId="77777777" w:rsidR="00C4624A" w:rsidRPr="00195EC3" w:rsidRDefault="00C4624A" w:rsidP="00461AA0">
            <w:pPr>
              <w:jc w:val="right"/>
              <w:rPr>
                <w:rFonts w:eastAsia="Times New Roman"/>
                <w:b/>
                <w:bCs/>
                <w:noProof/>
                <w:sz w:val="20"/>
                <w:szCs w:val="20"/>
              </w:rPr>
            </w:pPr>
            <w:r w:rsidRPr="00195EC3">
              <w:rPr>
                <w:b/>
                <w:noProof/>
                <w:sz w:val="20"/>
              </w:rPr>
              <w:t>540,06</w:t>
            </w:r>
          </w:p>
        </w:tc>
        <w:tc>
          <w:tcPr>
            <w:tcW w:w="992" w:type="dxa"/>
            <w:vAlign w:val="center"/>
          </w:tcPr>
          <w:p w14:paraId="39F77916" w14:textId="77777777" w:rsidR="00C4624A" w:rsidRPr="00195EC3" w:rsidRDefault="00C4624A" w:rsidP="00461AA0">
            <w:pPr>
              <w:jc w:val="right"/>
              <w:rPr>
                <w:rFonts w:eastAsia="Times New Roman"/>
                <w:b/>
                <w:bCs/>
                <w:noProof/>
                <w:sz w:val="20"/>
                <w:szCs w:val="20"/>
              </w:rPr>
            </w:pPr>
            <w:r w:rsidRPr="00195EC3">
              <w:rPr>
                <w:b/>
                <w:noProof/>
                <w:sz w:val="20"/>
              </w:rPr>
              <w:t>540,06</w:t>
            </w:r>
          </w:p>
        </w:tc>
        <w:tc>
          <w:tcPr>
            <w:tcW w:w="2410" w:type="dxa"/>
            <w:vAlign w:val="center"/>
          </w:tcPr>
          <w:p w14:paraId="65ED1955" w14:textId="77777777" w:rsidR="00C4624A" w:rsidRPr="00195EC3" w:rsidRDefault="00C4624A" w:rsidP="00461AA0">
            <w:pPr>
              <w:jc w:val="right"/>
              <w:rPr>
                <w:rFonts w:eastAsia="Times New Roman"/>
                <w:b/>
                <w:bCs/>
                <w:noProof/>
                <w:sz w:val="20"/>
                <w:szCs w:val="20"/>
              </w:rPr>
            </w:pPr>
            <w:r w:rsidRPr="00195EC3">
              <w:rPr>
                <w:b/>
                <w:noProof/>
                <w:sz w:val="20"/>
              </w:rPr>
              <w:t>1 960,2</w:t>
            </w:r>
          </w:p>
        </w:tc>
      </w:tr>
      <w:tr w:rsidR="00C4624A" w:rsidRPr="00195EC3" w14:paraId="53D5796E" w14:textId="77777777" w:rsidTr="00461AA0">
        <w:trPr>
          <w:trHeight w:val="638"/>
        </w:trPr>
        <w:tc>
          <w:tcPr>
            <w:tcW w:w="3960" w:type="dxa"/>
            <w:vMerge/>
            <w:vAlign w:val="center"/>
          </w:tcPr>
          <w:p w14:paraId="7A38994C" w14:textId="77777777" w:rsidR="00C4624A" w:rsidRPr="00195EC3" w:rsidRDefault="00C4624A" w:rsidP="00461AA0">
            <w:pPr>
              <w:rPr>
                <w:noProof/>
              </w:rPr>
            </w:pPr>
          </w:p>
        </w:tc>
        <w:tc>
          <w:tcPr>
            <w:tcW w:w="1440" w:type="dxa"/>
            <w:gridSpan w:val="2"/>
            <w:vAlign w:val="center"/>
          </w:tcPr>
          <w:p w14:paraId="685DE5B4" w14:textId="77777777" w:rsidR="00C4624A" w:rsidRPr="00195EC3" w:rsidRDefault="00C4624A" w:rsidP="00461AA0">
            <w:pPr>
              <w:rPr>
                <w:rFonts w:eastAsia="Times New Roman"/>
                <w:noProof/>
                <w:sz w:val="16"/>
                <w:szCs w:val="16"/>
              </w:rPr>
            </w:pPr>
            <w:r w:rsidRPr="00195EC3">
              <w:rPr>
                <w:noProof/>
                <w:sz w:val="16"/>
              </w:rPr>
              <w:t>Pagamenti</w:t>
            </w:r>
          </w:p>
        </w:tc>
        <w:tc>
          <w:tcPr>
            <w:tcW w:w="654" w:type="dxa"/>
            <w:vAlign w:val="center"/>
          </w:tcPr>
          <w:p w14:paraId="75421636" w14:textId="77777777" w:rsidR="00C4624A" w:rsidRPr="00195EC3" w:rsidRDefault="00C4624A" w:rsidP="00461AA0">
            <w:pPr>
              <w:jc w:val="center"/>
              <w:rPr>
                <w:rFonts w:eastAsia="Times New Roman"/>
                <w:noProof/>
                <w:sz w:val="16"/>
                <w:szCs w:val="16"/>
              </w:rPr>
            </w:pPr>
            <w:r w:rsidRPr="00195EC3">
              <w:rPr>
                <w:noProof/>
                <w:sz w:val="16"/>
              </w:rPr>
              <w:t>Totale b)</w:t>
            </w:r>
          </w:p>
        </w:tc>
        <w:tc>
          <w:tcPr>
            <w:tcW w:w="868" w:type="dxa"/>
          </w:tcPr>
          <w:p w14:paraId="035AFE12" w14:textId="77777777" w:rsidR="00C4624A" w:rsidRPr="00195EC3" w:rsidRDefault="00C4624A" w:rsidP="00461AA0">
            <w:pPr>
              <w:jc w:val="right"/>
              <w:rPr>
                <w:rFonts w:eastAsia="Times New Roman"/>
                <w:noProof/>
                <w:sz w:val="20"/>
                <w:szCs w:val="20"/>
              </w:rPr>
            </w:pPr>
          </w:p>
        </w:tc>
        <w:tc>
          <w:tcPr>
            <w:tcW w:w="868" w:type="dxa"/>
            <w:vAlign w:val="center"/>
          </w:tcPr>
          <w:p w14:paraId="54D1B41B" w14:textId="77777777" w:rsidR="00C4624A" w:rsidRPr="00195EC3" w:rsidRDefault="00C4624A" w:rsidP="00461AA0">
            <w:pPr>
              <w:jc w:val="right"/>
              <w:rPr>
                <w:rFonts w:eastAsia="Times New Roman"/>
                <w:noProof/>
                <w:sz w:val="20"/>
                <w:szCs w:val="20"/>
              </w:rPr>
            </w:pPr>
          </w:p>
        </w:tc>
        <w:tc>
          <w:tcPr>
            <w:tcW w:w="868" w:type="dxa"/>
            <w:vAlign w:val="center"/>
          </w:tcPr>
          <w:p w14:paraId="0BF75929" w14:textId="77777777" w:rsidR="00C4624A" w:rsidRPr="00195EC3" w:rsidRDefault="00C4624A" w:rsidP="00461AA0">
            <w:pPr>
              <w:jc w:val="right"/>
              <w:rPr>
                <w:rFonts w:eastAsia="Times New Roman"/>
                <w:b/>
                <w:bCs/>
                <w:noProof/>
                <w:sz w:val="20"/>
                <w:szCs w:val="20"/>
              </w:rPr>
            </w:pPr>
            <w:r w:rsidRPr="00195EC3">
              <w:rPr>
                <w:b/>
                <w:noProof/>
                <w:sz w:val="20"/>
              </w:rPr>
              <w:t>170,0</w:t>
            </w:r>
          </w:p>
        </w:tc>
        <w:tc>
          <w:tcPr>
            <w:tcW w:w="930" w:type="dxa"/>
            <w:vAlign w:val="center"/>
          </w:tcPr>
          <w:p w14:paraId="2B243C35" w14:textId="77777777" w:rsidR="00C4624A" w:rsidRPr="00195EC3" w:rsidRDefault="00C4624A" w:rsidP="00461AA0">
            <w:pPr>
              <w:jc w:val="right"/>
              <w:rPr>
                <w:rFonts w:eastAsia="Times New Roman"/>
                <w:b/>
                <w:bCs/>
                <w:noProof/>
                <w:sz w:val="20"/>
                <w:szCs w:val="20"/>
              </w:rPr>
            </w:pPr>
            <w:r w:rsidRPr="00195EC3">
              <w:rPr>
                <w:b/>
                <w:noProof/>
                <w:sz w:val="20"/>
              </w:rPr>
              <w:t>170,0</w:t>
            </w:r>
          </w:p>
        </w:tc>
        <w:tc>
          <w:tcPr>
            <w:tcW w:w="996" w:type="dxa"/>
            <w:vAlign w:val="center"/>
          </w:tcPr>
          <w:p w14:paraId="28268D94" w14:textId="77777777" w:rsidR="00C4624A" w:rsidRPr="00195EC3" w:rsidRDefault="00C4624A" w:rsidP="00461AA0">
            <w:pPr>
              <w:jc w:val="right"/>
              <w:rPr>
                <w:rFonts w:eastAsia="Times New Roman"/>
                <w:b/>
                <w:bCs/>
                <w:noProof/>
                <w:sz w:val="20"/>
                <w:szCs w:val="20"/>
              </w:rPr>
            </w:pPr>
            <w:r w:rsidRPr="00195EC3">
              <w:rPr>
                <w:b/>
                <w:noProof/>
                <w:sz w:val="20"/>
              </w:rPr>
              <w:t>540,06</w:t>
            </w:r>
          </w:p>
        </w:tc>
        <w:tc>
          <w:tcPr>
            <w:tcW w:w="992" w:type="dxa"/>
            <w:vAlign w:val="center"/>
          </w:tcPr>
          <w:p w14:paraId="6A1235D0" w14:textId="77777777" w:rsidR="00C4624A" w:rsidRPr="00195EC3" w:rsidRDefault="00C4624A" w:rsidP="00461AA0">
            <w:pPr>
              <w:jc w:val="right"/>
              <w:rPr>
                <w:rFonts w:eastAsia="Times New Roman"/>
                <w:b/>
                <w:bCs/>
                <w:noProof/>
                <w:sz w:val="20"/>
                <w:szCs w:val="20"/>
              </w:rPr>
            </w:pPr>
            <w:r w:rsidRPr="00195EC3">
              <w:rPr>
                <w:b/>
                <w:noProof/>
                <w:sz w:val="20"/>
              </w:rPr>
              <w:t>540,06</w:t>
            </w:r>
          </w:p>
        </w:tc>
        <w:tc>
          <w:tcPr>
            <w:tcW w:w="992" w:type="dxa"/>
            <w:vAlign w:val="center"/>
          </w:tcPr>
          <w:p w14:paraId="57A75E9A" w14:textId="77777777" w:rsidR="00C4624A" w:rsidRPr="00195EC3" w:rsidRDefault="00C4624A" w:rsidP="00461AA0">
            <w:pPr>
              <w:jc w:val="right"/>
              <w:rPr>
                <w:rFonts w:eastAsia="Times New Roman"/>
                <w:b/>
                <w:bCs/>
                <w:noProof/>
                <w:sz w:val="20"/>
                <w:szCs w:val="20"/>
              </w:rPr>
            </w:pPr>
            <w:r w:rsidRPr="00195EC3">
              <w:rPr>
                <w:b/>
                <w:noProof/>
                <w:sz w:val="20"/>
              </w:rPr>
              <w:t>540,06</w:t>
            </w:r>
          </w:p>
        </w:tc>
        <w:tc>
          <w:tcPr>
            <w:tcW w:w="2410" w:type="dxa"/>
            <w:vAlign w:val="center"/>
          </w:tcPr>
          <w:p w14:paraId="4AE52551" w14:textId="77777777" w:rsidR="00C4624A" w:rsidRPr="00195EC3" w:rsidRDefault="00C4624A" w:rsidP="00461AA0">
            <w:pPr>
              <w:jc w:val="right"/>
              <w:rPr>
                <w:rFonts w:eastAsia="Calibri"/>
                <w:noProof/>
                <w:sz w:val="20"/>
                <w:szCs w:val="20"/>
              </w:rPr>
            </w:pPr>
            <w:r w:rsidRPr="00195EC3">
              <w:rPr>
                <w:b/>
                <w:noProof/>
                <w:sz w:val="20"/>
              </w:rPr>
              <w:t>1 960,2</w:t>
            </w:r>
          </w:p>
        </w:tc>
      </w:tr>
      <w:tr w:rsidR="00C4624A" w:rsidRPr="00195EC3" w14:paraId="0287F5FA" w14:textId="77777777" w:rsidTr="00461AA0">
        <w:trPr>
          <w:trHeight w:val="638"/>
        </w:trPr>
        <w:tc>
          <w:tcPr>
            <w:tcW w:w="14978" w:type="dxa"/>
            <w:gridSpan w:val="12"/>
            <w:vAlign w:val="center"/>
          </w:tcPr>
          <w:p w14:paraId="3FA0451B" w14:textId="77777777" w:rsidR="00C4624A" w:rsidRPr="00195EC3" w:rsidRDefault="00C4624A" w:rsidP="00461AA0">
            <w:pPr>
              <w:rPr>
                <w:rFonts w:eastAsia="Calibri"/>
                <w:noProof/>
                <w:szCs w:val="24"/>
              </w:rPr>
            </w:pPr>
          </w:p>
        </w:tc>
      </w:tr>
      <w:tr w:rsidR="00C4624A" w:rsidRPr="00195EC3" w14:paraId="0B50A043" w14:textId="77777777" w:rsidTr="00461AA0">
        <w:tc>
          <w:tcPr>
            <w:tcW w:w="3960" w:type="dxa"/>
            <w:vAlign w:val="center"/>
          </w:tcPr>
          <w:p w14:paraId="34F43124" w14:textId="77777777" w:rsidR="00C4624A" w:rsidRPr="00195EC3" w:rsidRDefault="00C4624A" w:rsidP="00461AA0">
            <w:pPr>
              <w:jc w:val="center"/>
              <w:rPr>
                <w:noProof/>
              </w:rPr>
            </w:pPr>
            <w:r w:rsidRPr="00195EC3">
              <w:rPr>
                <w:noProof/>
                <w:sz w:val="22"/>
              </w:rPr>
              <w:t>DG: ECFIN</w:t>
            </w:r>
          </w:p>
        </w:tc>
        <w:tc>
          <w:tcPr>
            <w:tcW w:w="1362" w:type="dxa"/>
          </w:tcPr>
          <w:p w14:paraId="170E0A33" w14:textId="77777777" w:rsidR="00C4624A" w:rsidRPr="00195EC3" w:rsidRDefault="00C4624A" w:rsidP="00461AA0">
            <w:pPr>
              <w:rPr>
                <w:noProof/>
                <w:sz w:val="20"/>
                <w:szCs w:val="20"/>
              </w:rPr>
            </w:pPr>
          </w:p>
        </w:tc>
        <w:tc>
          <w:tcPr>
            <w:tcW w:w="732" w:type="dxa"/>
            <w:gridSpan w:val="2"/>
          </w:tcPr>
          <w:p w14:paraId="10AA0206" w14:textId="77777777" w:rsidR="00C4624A" w:rsidRPr="00195EC3" w:rsidRDefault="00C4624A" w:rsidP="00461AA0">
            <w:pPr>
              <w:jc w:val="center"/>
              <w:rPr>
                <w:noProof/>
                <w:sz w:val="20"/>
                <w:szCs w:val="20"/>
              </w:rPr>
            </w:pPr>
          </w:p>
        </w:tc>
        <w:tc>
          <w:tcPr>
            <w:tcW w:w="868" w:type="dxa"/>
          </w:tcPr>
          <w:p w14:paraId="651C5C32" w14:textId="77777777" w:rsidR="00C4624A" w:rsidRPr="00195EC3" w:rsidRDefault="00C4624A" w:rsidP="00461AA0">
            <w:pPr>
              <w:jc w:val="center"/>
              <w:rPr>
                <w:noProof/>
                <w:sz w:val="20"/>
                <w:szCs w:val="20"/>
              </w:rPr>
            </w:pPr>
            <w:r w:rsidRPr="00195EC3">
              <w:rPr>
                <w:noProof/>
                <w:sz w:val="20"/>
              </w:rPr>
              <w:t>Anno</w:t>
            </w:r>
          </w:p>
          <w:p w14:paraId="0C09D6F7" w14:textId="77777777" w:rsidR="00C4624A" w:rsidRPr="00195EC3" w:rsidRDefault="00C4624A" w:rsidP="00461AA0">
            <w:pPr>
              <w:jc w:val="center"/>
              <w:rPr>
                <w:noProof/>
                <w:sz w:val="20"/>
                <w:szCs w:val="20"/>
              </w:rPr>
            </w:pPr>
            <w:r w:rsidRPr="00195EC3">
              <w:rPr>
                <w:b/>
                <w:noProof/>
                <w:sz w:val="20"/>
              </w:rPr>
              <w:t>2021</w:t>
            </w:r>
          </w:p>
        </w:tc>
        <w:tc>
          <w:tcPr>
            <w:tcW w:w="868" w:type="dxa"/>
            <w:vAlign w:val="center"/>
          </w:tcPr>
          <w:p w14:paraId="70886B50" w14:textId="77777777" w:rsidR="00C4624A" w:rsidRPr="00195EC3" w:rsidRDefault="00C4624A" w:rsidP="00461AA0">
            <w:pPr>
              <w:jc w:val="center"/>
              <w:rPr>
                <w:noProof/>
                <w:sz w:val="20"/>
                <w:szCs w:val="20"/>
              </w:rPr>
            </w:pPr>
            <w:r w:rsidRPr="00195EC3">
              <w:rPr>
                <w:noProof/>
                <w:sz w:val="20"/>
              </w:rPr>
              <w:t>Anno</w:t>
            </w:r>
          </w:p>
          <w:p w14:paraId="3C89D4FF" w14:textId="77777777" w:rsidR="00C4624A" w:rsidRPr="00195EC3" w:rsidRDefault="00C4624A" w:rsidP="00461AA0">
            <w:pPr>
              <w:jc w:val="center"/>
              <w:rPr>
                <w:noProof/>
                <w:sz w:val="20"/>
                <w:szCs w:val="20"/>
              </w:rPr>
            </w:pPr>
            <w:r w:rsidRPr="00195EC3">
              <w:rPr>
                <w:b/>
                <w:noProof/>
                <w:sz w:val="20"/>
              </w:rPr>
              <w:t>2022</w:t>
            </w:r>
          </w:p>
        </w:tc>
        <w:tc>
          <w:tcPr>
            <w:tcW w:w="868" w:type="dxa"/>
            <w:vAlign w:val="center"/>
          </w:tcPr>
          <w:p w14:paraId="0EBD1B13" w14:textId="77777777" w:rsidR="00C4624A" w:rsidRPr="00195EC3" w:rsidRDefault="00C4624A" w:rsidP="00461AA0">
            <w:pPr>
              <w:jc w:val="center"/>
              <w:rPr>
                <w:noProof/>
                <w:sz w:val="20"/>
                <w:szCs w:val="20"/>
              </w:rPr>
            </w:pPr>
            <w:r w:rsidRPr="00195EC3">
              <w:rPr>
                <w:noProof/>
                <w:sz w:val="20"/>
              </w:rPr>
              <w:t>Anno</w:t>
            </w:r>
          </w:p>
          <w:p w14:paraId="07C4529D" w14:textId="77777777" w:rsidR="00C4624A" w:rsidRPr="00195EC3" w:rsidRDefault="00C4624A" w:rsidP="00461AA0">
            <w:pPr>
              <w:jc w:val="center"/>
              <w:rPr>
                <w:noProof/>
                <w:sz w:val="20"/>
                <w:szCs w:val="20"/>
              </w:rPr>
            </w:pPr>
            <w:r w:rsidRPr="00195EC3">
              <w:rPr>
                <w:b/>
                <w:noProof/>
                <w:sz w:val="20"/>
              </w:rPr>
              <w:t>2023</w:t>
            </w:r>
          </w:p>
        </w:tc>
        <w:tc>
          <w:tcPr>
            <w:tcW w:w="930" w:type="dxa"/>
            <w:vAlign w:val="center"/>
          </w:tcPr>
          <w:p w14:paraId="11A2190B" w14:textId="77777777" w:rsidR="00C4624A" w:rsidRPr="00195EC3" w:rsidRDefault="00C4624A" w:rsidP="00461AA0">
            <w:pPr>
              <w:jc w:val="center"/>
              <w:rPr>
                <w:noProof/>
                <w:sz w:val="20"/>
                <w:szCs w:val="20"/>
              </w:rPr>
            </w:pPr>
            <w:r w:rsidRPr="00195EC3">
              <w:rPr>
                <w:noProof/>
                <w:sz w:val="20"/>
              </w:rPr>
              <w:t>Anno</w:t>
            </w:r>
          </w:p>
          <w:p w14:paraId="12A783D4" w14:textId="77777777" w:rsidR="00C4624A" w:rsidRPr="00195EC3" w:rsidRDefault="00C4624A" w:rsidP="00461AA0">
            <w:pPr>
              <w:jc w:val="center"/>
              <w:rPr>
                <w:noProof/>
                <w:sz w:val="20"/>
                <w:szCs w:val="20"/>
              </w:rPr>
            </w:pPr>
            <w:r w:rsidRPr="00195EC3">
              <w:rPr>
                <w:b/>
                <w:noProof/>
                <w:sz w:val="20"/>
              </w:rPr>
              <w:t>2024</w:t>
            </w:r>
          </w:p>
        </w:tc>
        <w:tc>
          <w:tcPr>
            <w:tcW w:w="996" w:type="dxa"/>
            <w:vAlign w:val="center"/>
          </w:tcPr>
          <w:p w14:paraId="3F7924C5" w14:textId="77777777" w:rsidR="00C4624A" w:rsidRPr="00195EC3" w:rsidRDefault="00C4624A" w:rsidP="00461AA0">
            <w:pPr>
              <w:jc w:val="center"/>
              <w:rPr>
                <w:noProof/>
                <w:sz w:val="20"/>
                <w:szCs w:val="20"/>
              </w:rPr>
            </w:pPr>
            <w:r w:rsidRPr="00195EC3">
              <w:rPr>
                <w:noProof/>
                <w:sz w:val="20"/>
              </w:rPr>
              <w:t>Anno</w:t>
            </w:r>
          </w:p>
          <w:p w14:paraId="258481B8" w14:textId="77777777" w:rsidR="00C4624A" w:rsidRPr="00195EC3" w:rsidRDefault="00C4624A" w:rsidP="00461AA0">
            <w:pPr>
              <w:jc w:val="center"/>
              <w:rPr>
                <w:noProof/>
                <w:sz w:val="20"/>
                <w:szCs w:val="20"/>
              </w:rPr>
            </w:pPr>
            <w:r w:rsidRPr="00195EC3">
              <w:rPr>
                <w:b/>
                <w:noProof/>
                <w:sz w:val="20"/>
              </w:rPr>
              <w:t>2025</w:t>
            </w:r>
          </w:p>
        </w:tc>
        <w:tc>
          <w:tcPr>
            <w:tcW w:w="992" w:type="dxa"/>
          </w:tcPr>
          <w:p w14:paraId="677135C0" w14:textId="77777777" w:rsidR="00C4624A" w:rsidRPr="00195EC3" w:rsidRDefault="00C4624A" w:rsidP="00461AA0">
            <w:pPr>
              <w:jc w:val="center"/>
              <w:rPr>
                <w:noProof/>
                <w:sz w:val="20"/>
                <w:szCs w:val="20"/>
              </w:rPr>
            </w:pPr>
            <w:r w:rsidRPr="00195EC3">
              <w:rPr>
                <w:noProof/>
                <w:sz w:val="20"/>
              </w:rPr>
              <w:t>Anno</w:t>
            </w:r>
          </w:p>
          <w:p w14:paraId="7D27F2A5" w14:textId="77777777" w:rsidR="00C4624A" w:rsidRPr="00195EC3" w:rsidRDefault="00C4624A" w:rsidP="00461AA0">
            <w:pPr>
              <w:jc w:val="center"/>
              <w:rPr>
                <w:noProof/>
                <w:sz w:val="18"/>
                <w:szCs w:val="18"/>
              </w:rPr>
            </w:pPr>
            <w:r w:rsidRPr="00195EC3">
              <w:rPr>
                <w:b/>
                <w:noProof/>
                <w:sz w:val="20"/>
              </w:rPr>
              <w:t>2026</w:t>
            </w:r>
          </w:p>
        </w:tc>
        <w:tc>
          <w:tcPr>
            <w:tcW w:w="992" w:type="dxa"/>
          </w:tcPr>
          <w:p w14:paraId="0094935D" w14:textId="77777777" w:rsidR="00C4624A" w:rsidRPr="00195EC3" w:rsidRDefault="00C4624A" w:rsidP="00461AA0">
            <w:pPr>
              <w:jc w:val="center"/>
              <w:rPr>
                <w:noProof/>
                <w:sz w:val="20"/>
                <w:szCs w:val="20"/>
              </w:rPr>
            </w:pPr>
            <w:r w:rsidRPr="00195EC3">
              <w:rPr>
                <w:noProof/>
                <w:sz w:val="20"/>
              </w:rPr>
              <w:t>Anno</w:t>
            </w:r>
          </w:p>
          <w:p w14:paraId="5EE60E28" w14:textId="77777777" w:rsidR="00C4624A" w:rsidRPr="00195EC3" w:rsidRDefault="00C4624A" w:rsidP="00461AA0">
            <w:pPr>
              <w:jc w:val="center"/>
              <w:rPr>
                <w:noProof/>
                <w:sz w:val="18"/>
                <w:szCs w:val="18"/>
              </w:rPr>
            </w:pPr>
            <w:r w:rsidRPr="00195EC3">
              <w:rPr>
                <w:b/>
                <w:noProof/>
                <w:sz w:val="20"/>
              </w:rPr>
              <w:t>2027</w:t>
            </w:r>
          </w:p>
        </w:tc>
        <w:tc>
          <w:tcPr>
            <w:tcW w:w="2410" w:type="dxa"/>
            <w:vAlign w:val="center"/>
          </w:tcPr>
          <w:p w14:paraId="3AB9F74A" w14:textId="77777777" w:rsidR="00C4624A" w:rsidRPr="00195EC3" w:rsidRDefault="00C4624A" w:rsidP="00461AA0">
            <w:pPr>
              <w:jc w:val="center"/>
              <w:rPr>
                <w:noProof/>
                <w:sz w:val="20"/>
                <w:szCs w:val="20"/>
              </w:rPr>
            </w:pPr>
            <w:r w:rsidRPr="00195EC3">
              <w:rPr>
                <w:b/>
                <w:noProof/>
                <w:sz w:val="20"/>
              </w:rPr>
              <w:t>TOTALE</w:t>
            </w:r>
          </w:p>
        </w:tc>
      </w:tr>
      <w:tr w:rsidR="00C4624A" w:rsidRPr="00195EC3" w14:paraId="1AE4ACDC" w14:textId="77777777" w:rsidTr="00461AA0">
        <w:tc>
          <w:tcPr>
            <w:tcW w:w="14978" w:type="dxa"/>
            <w:gridSpan w:val="12"/>
            <w:vAlign w:val="center"/>
          </w:tcPr>
          <w:p w14:paraId="2F20DDAB" w14:textId="05FD0258" w:rsidR="00C4624A" w:rsidRPr="00195EC3" w:rsidRDefault="0064601D" w:rsidP="00461AA0">
            <w:pPr>
              <w:jc w:val="left"/>
              <w:rPr>
                <w:rFonts w:eastAsia="Times New Roman"/>
                <w:noProof/>
                <w:sz w:val="21"/>
                <w:szCs w:val="21"/>
              </w:rPr>
            </w:pPr>
            <w:r>
              <w:rPr>
                <w:noProof/>
                <w:sz w:val="21"/>
              </w:rPr>
              <w:t xml:space="preserve">□ </w:t>
            </w:r>
            <w:r w:rsidR="00C4624A" w:rsidRPr="00195EC3">
              <w:rPr>
                <w:noProof/>
                <w:sz w:val="21"/>
              </w:rPr>
              <w:t>AMF I</w:t>
            </w:r>
            <w:r w:rsidR="00C4624A" w:rsidRPr="00195EC3">
              <w:rPr>
                <w:noProof/>
                <w:sz w:val="21"/>
                <w:vertAlign w:val="superscript"/>
              </w:rPr>
              <w:t>8</w:t>
            </w:r>
          </w:p>
        </w:tc>
      </w:tr>
      <w:tr w:rsidR="00C4624A" w:rsidRPr="00195EC3" w14:paraId="6965F4E7" w14:textId="77777777" w:rsidTr="00461AA0">
        <w:trPr>
          <w:trHeight w:val="277"/>
        </w:trPr>
        <w:tc>
          <w:tcPr>
            <w:tcW w:w="3960" w:type="dxa"/>
            <w:vAlign w:val="center"/>
          </w:tcPr>
          <w:p w14:paraId="51C82F30" w14:textId="77777777" w:rsidR="00C4624A" w:rsidRPr="00195EC3" w:rsidRDefault="00C4624A" w:rsidP="00461AA0">
            <w:pPr>
              <w:rPr>
                <w:rFonts w:eastAsia="Times New Roman"/>
                <w:noProof/>
                <w:sz w:val="18"/>
                <w:szCs w:val="18"/>
              </w:rPr>
            </w:pPr>
            <w:r w:rsidRPr="00195EC3">
              <w:rPr>
                <w:noProof/>
                <w:sz w:val="18"/>
              </w:rPr>
              <w:t>Linea di bilancio</w:t>
            </w:r>
          </w:p>
          <w:p w14:paraId="07C73848" w14:textId="77777777" w:rsidR="00C4624A" w:rsidRPr="00195EC3" w:rsidRDefault="00C4624A" w:rsidP="00461AA0">
            <w:pPr>
              <w:jc w:val="left"/>
              <w:rPr>
                <w:rFonts w:eastAsia="Times New Roman"/>
                <w:noProof/>
                <w:sz w:val="18"/>
                <w:szCs w:val="18"/>
              </w:rPr>
            </w:pPr>
            <w:r w:rsidRPr="00195EC3">
              <w:rPr>
                <w:noProof/>
                <w:sz w:val="18"/>
              </w:rPr>
              <w:t>14 02 01 70. 06 "NDICI – Dotazione del fondo comune di copertura"</w:t>
            </w:r>
            <w:r w:rsidRPr="00195EC3">
              <w:rPr>
                <w:rStyle w:val="FootnoteReference"/>
                <w:noProof/>
                <w:sz w:val="18"/>
              </w:rPr>
              <w:t xml:space="preserve"> </w:t>
            </w:r>
            <w:r w:rsidRPr="00195EC3">
              <w:rPr>
                <w:rStyle w:val="FootnoteReference"/>
                <w:rFonts w:eastAsia="Times New Roman"/>
                <w:noProof/>
                <w:sz w:val="18"/>
                <w:szCs w:val="18"/>
              </w:rPr>
              <w:footnoteReference w:id="38"/>
            </w:r>
          </w:p>
        </w:tc>
        <w:tc>
          <w:tcPr>
            <w:tcW w:w="1440" w:type="dxa"/>
            <w:gridSpan w:val="2"/>
            <w:vAlign w:val="center"/>
          </w:tcPr>
          <w:p w14:paraId="00C6CE98" w14:textId="77777777" w:rsidR="00C4624A" w:rsidRPr="00195EC3" w:rsidRDefault="00C4624A" w:rsidP="00461AA0">
            <w:pPr>
              <w:spacing w:before="20" w:after="20"/>
              <w:rPr>
                <w:rFonts w:eastAsia="Times New Roman"/>
                <w:noProof/>
                <w:sz w:val="18"/>
                <w:szCs w:val="18"/>
              </w:rPr>
            </w:pPr>
            <w:r w:rsidRPr="00195EC3">
              <w:rPr>
                <w:noProof/>
                <w:sz w:val="18"/>
              </w:rPr>
              <w:t>Impegni</w:t>
            </w:r>
          </w:p>
        </w:tc>
        <w:tc>
          <w:tcPr>
            <w:tcW w:w="654" w:type="dxa"/>
            <w:vAlign w:val="center"/>
          </w:tcPr>
          <w:p w14:paraId="65F045AE" w14:textId="77777777" w:rsidR="00C4624A" w:rsidRPr="00195EC3" w:rsidRDefault="00C4624A" w:rsidP="00461AA0">
            <w:pPr>
              <w:spacing w:before="20" w:after="20"/>
              <w:jc w:val="center"/>
              <w:rPr>
                <w:noProof/>
                <w:sz w:val="14"/>
                <w:szCs w:val="14"/>
              </w:rPr>
            </w:pPr>
            <w:r w:rsidRPr="00195EC3">
              <w:rPr>
                <w:noProof/>
                <w:sz w:val="14"/>
              </w:rPr>
              <w:t>c)</w:t>
            </w:r>
          </w:p>
        </w:tc>
        <w:tc>
          <w:tcPr>
            <w:tcW w:w="868" w:type="dxa"/>
          </w:tcPr>
          <w:p w14:paraId="4DAE0159" w14:textId="77777777" w:rsidR="00C4624A" w:rsidRPr="00195EC3" w:rsidRDefault="00C4624A" w:rsidP="00461AA0">
            <w:pPr>
              <w:spacing w:before="20" w:after="20"/>
              <w:jc w:val="right"/>
              <w:rPr>
                <w:rFonts w:eastAsia="Times New Roman"/>
                <w:noProof/>
                <w:sz w:val="20"/>
                <w:szCs w:val="20"/>
              </w:rPr>
            </w:pPr>
          </w:p>
          <w:p w14:paraId="2776902C" w14:textId="77777777" w:rsidR="00C4624A" w:rsidRPr="00195EC3" w:rsidRDefault="00C4624A" w:rsidP="00461AA0">
            <w:pPr>
              <w:spacing w:before="20" w:after="20"/>
              <w:jc w:val="right"/>
              <w:rPr>
                <w:rFonts w:eastAsia="Times New Roman"/>
                <w:noProof/>
                <w:sz w:val="20"/>
                <w:szCs w:val="20"/>
              </w:rPr>
            </w:pPr>
          </w:p>
          <w:p w14:paraId="0A859D7D" w14:textId="77777777" w:rsidR="00C4624A" w:rsidRPr="00195EC3" w:rsidRDefault="00C4624A" w:rsidP="00461AA0">
            <w:pPr>
              <w:spacing w:before="20" w:after="20"/>
              <w:jc w:val="right"/>
              <w:rPr>
                <w:rFonts w:eastAsia="Times New Roman"/>
                <w:noProof/>
                <w:sz w:val="20"/>
                <w:szCs w:val="20"/>
              </w:rPr>
            </w:pPr>
            <w:r w:rsidRPr="00195EC3">
              <w:rPr>
                <w:noProof/>
                <w:sz w:val="20"/>
              </w:rPr>
              <w:t>27,3</w:t>
            </w:r>
          </w:p>
        </w:tc>
        <w:tc>
          <w:tcPr>
            <w:tcW w:w="868" w:type="dxa"/>
            <w:vAlign w:val="center"/>
          </w:tcPr>
          <w:p w14:paraId="42F76C0C" w14:textId="77777777" w:rsidR="00C4624A" w:rsidRPr="00195EC3" w:rsidRDefault="00C4624A" w:rsidP="00461AA0">
            <w:pPr>
              <w:spacing w:before="20" w:after="20"/>
              <w:jc w:val="right"/>
              <w:rPr>
                <w:rFonts w:eastAsia="Times New Roman"/>
                <w:noProof/>
                <w:sz w:val="20"/>
                <w:szCs w:val="20"/>
              </w:rPr>
            </w:pPr>
          </w:p>
          <w:p w14:paraId="28F8E592" w14:textId="77777777" w:rsidR="00C4624A" w:rsidRPr="00195EC3" w:rsidRDefault="00C4624A" w:rsidP="00461AA0">
            <w:pPr>
              <w:spacing w:before="20" w:after="20"/>
              <w:jc w:val="right"/>
              <w:rPr>
                <w:rFonts w:eastAsia="Times New Roman"/>
                <w:noProof/>
                <w:sz w:val="20"/>
                <w:szCs w:val="20"/>
              </w:rPr>
            </w:pPr>
            <w:r w:rsidRPr="00195EC3">
              <w:rPr>
                <w:noProof/>
                <w:sz w:val="20"/>
              </w:rPr>
              <w:t>62,7</w:t>
            </w:r>
          </w:p>
        </w:tc>
        <w:tc>
          <w:tcPr>
            <w:tcW w:w="868" w:type="dxa"/>
            <w:vAlign w:val="center"/>
          </w:tcPr>
          <w:p w14:paraId="6F8BEA60" w14:textId="77777777" w:rsidR="00C4624A" w:rsidRPr="00195EC3" w:rsidRDefault="00C4624A" w:rsidP="00461AA0">
            <w:pPr>
              <w:spacing w:before="20" w:after="20"/>
              <w:jc w:val="right"/>
              <w:rPr>
                <w:rFonts w:eastAsia="Times New Roman"/>
                <w:noProof/>
                <w:sz w:val="20"/>
                <w:szCs w:val="20"/>
              </w:rPr>
            </w:pPr>
          </w:p>
        </w:tc>
        <w:tc>
          <w:tcPr>
            <w:tcW w:w="930" w:type="dxa"/>
            <w:vAlign w:val="center"/>
          </w:tcPr>
          <w:p w14:paraId="65AB6AFF" w14:textId="77777777" w:rsidR="00C4624A" w:rsidRPr="00195EC3" w:rsidRDefault="00C4624A" w:rsidP="00461AA0">
            <w:pPr>
              <w:spacing w:before="20" w:after="20"/>
              <w:jc w:val="right"/>
              <w:rPr>
                <w:rFonts w:eastAsia="Times New Roman"/>
                <w:noProof/>
                <w:sz w:val="20"/>
                <w:szCs w:val="20"/>
              </w:rPr>
            </w:pPr>
          </w:p>
        </w:tc>
        <w:tc>
          <w:tcPr>
            <w:tcW w:w="996" w:type="dxa"/>
            <w:vAlign w:val="center"/>
          </w:tcPr>
          <w:p w14:paraId="7C3497DE" w14:textId="77777777" w:rsidR="00C4624A" w:rsidRPr="00195EC3" w:rsidRDefault="00C4624A" w:rsidP="00461AA0">
            <w:pPr>
              <w:spacing w:before="20" w:after="20"/>
              <w:jc w:val="right"/>
              <w:rPr>
                <w:rFonts w:eastAsia="Times New Roman"/>
                <w:noProof/>
                <w:sz w:val="20"/>
                <w:szCs w:val="20"/>
              </w:rPr>
            </w:pPr>
          </w:p>
        </w:tc>
        <w:tc>
          <w:tcPr>
            <w:tcW w:w="992" w:type="dxa"/>
          </w:tcPr>
          <w:p w14:paraId="08B31AAF" w14:textId="77777777" w:rsidR="00C4624A" w:rsidRPr="00195EC3" w:rsidRDefault="00C4624A" w:rsidP="00461AA0">
            <w:pPr>
              <w:spacing w:before="20" w:after="20"/>
              <w:jc w:val="right"/>
              <w:rPr>
                <w:rFonts w:eastAsia="Times New Roman"/>
                <w:noProof/>
                <w:sz w:val="20"/>
                <w:szCs w:val="20"/>
              </w:rPr>
            </w:pPr>
          </w:p>
          <w:p w14:paraId="5A1368F0" w14:textId="77777777" w:rsidR="00C4624A" w:rsidRPr="00195EC3" w:rsidRDefault="00C4624A" w:rsidP="00461AA0">
            <w:pPr>
              <w:spacing w:before="20" w:after="20"/>
              <w:jc w:val="right"/>
              <w:rPr>
                <w:rFonts w:eastAsia="Times New Roman"/>
                <w:noProof/>
                <w:sz w:val="20"/>
                <w:szCs w:val="20"/>
              </w:rPr>
            </w:pPr>
          </w:p>
          <w:p w14:paraId="35ADB653" w14:textId="77777777" w:rsidR="00C4624A" w:rsidRPr="00195EC3" w:rsidRDefault="00C4624A" w:rsidP="00461AA0">
            <w:pPr>
              <w:spacing w:before="20" w:after="20"/>
              <w:jc w:val="right"/>
              <w:rPr>
                <w:rFonts w:eastAsia="Times New Roman"/>
                <w:noProof/>
                <w:sz w:val="20"/>
                <w:szCs w:val="20"/>
              </w:rPr>
            </w:pPr>
          </w:p>
        </w:tc>
        <w:tc>
          <w:tcPr>
            <w:tcW w:w="992" w:type="dxa"/>
          </w:tcPr>
          <w:p w14:paraId="643860A6" w14:textId="77777777" w:rsidR="00C4624A" w:rsidRPr="00195EC3" w:rsidRDefault="00C4624A" w:rsidP="00461AA0">
            <w:pPr>
              <w:spacing w:before="20" w:after="20"/>
              <w:jc w:val="right"/>
              <w:rPr>
                <w:rFonts w:eastAsia="Times New Roman"/>
                <w:noProof/>
                <w:sz w:val="20"/>
                <w:szCs w:val="20"/>
              </w:rPr>
            </w:pPr>
          </w:p>
          <w:p w14:paraId="61E0999E" w14:textId="77777777" w:rsidR="00C4624A" w:rsidRPr="00195EC3" w:rsidRDefault="00C4624A" w:rsidP="00461AA0">
            <w:pPr>
              <w:spacing w:before="20" w:after="20"/>
              <w:jc w:val="right"/>
              <w:rPr>
                <w:rFonts w:eastAsia="Times New Roman"/>
                <w:noProof/>
                <w:sz w:val="20"/>
                <w:szCs w:val="20"/>
              </w:rPr>
            </w:pPr>
          </w:p>
          <w:p w14:paraId="00723006" w14:textId="77777777" w:rsidR="00C4624A" w:rsidRPr="00195EC3" w:rsidRDefault="00C4624A" w:rsidP="00461AA0">
            <w:pPr>
              <w:spacing w:before="20" w:after="20"/>
              <w:jc w:val="right"/>
              <w:rPr>
                <w:rFonts w:eastAsia="Times New Roman"/>
                <w:noProof/>
                <w:sz w:val="20"/>
                <w:szCs w:val="20"/>
              </w:rPr>
            </w:pPr>
          </w:p>
        </w:tc>
        <w:tc>
          <w:tcPr>
            <w:tcW w:w="2410" w:type="dxa"/>
            <w:vAlign w:val="center"/>
          </w:tcPr>
          <w:p w14:paraId="37A8FFB1" w14:textId="77777777" w:rsidR="00C4624A" w:rsidRPr="00195EC3" w:rsidRDefault="00C4624A" w:rsidP="00461AA0">
            <w:pPr>
              <w:spacing w:before="20" w:after="20"/>
              <w:jc w:val="right"/>
              <w:rPr>
                <w:rFonts w:eastAsia="Times New Roman"/>
                <w:noProof/>
                <w:sz w:val="20"/>
                <w:szCs w:val="20"/>
              </w:rPr>
            </w:pPr>
            <w:r w:rsidRPr="00195EC3">
              <w:rPr>
                <w:b/>
                <w:noProof/>
                <w:sz w:val="20"/>
              </w:rPr>
              <w:t>90,0</w:t>
            </w:r>
          </w:p>
        </w:tc>
      </w:tr>
      <w:tr w:rsidR="00C4624A" w:rsidRPr="00195EC3" w14:paraId="257FFFAB" w14:textId="77777777" w:rsidTr="00461AA0">
        <w:trPr>
          <w:trHeight w:val="774"/>
        </w:trPr>
        <w:tc>
          <w:tcPr>
            <w:tcW w:w="3960" w:type="dxa"/>
          </w:tcPr>
          <w:p w14:paraId="077131CA" w14:textId="77777777" w:rsidR="00C4624A" w:rsidRPr="00195EC3" w:rsidRDefault="00C4624A" w:rsidP="00461AA0">
            <w:pPr>
              <w:jc w:val="left"/>
              <w:rPr>
                <w:rFonts w:eastAsia="Times New Roman"/>
                <w:noProof/>
                <w:sz w:val="18"/>
                <w:szCs w:val="18"/>
              </w:rPr>
            </w:pPr>
          </w:p>
        </w:tc>
        <w:tc>
          <w:tcPr>
            <w:tcW w:w="1440" w:type="dxa"/>
            <w:gridSpan w:val="2"/>
            <w:vAlign w:val="center"/>
          </w:tcPr>
          <w:p w14:paraId="1C8FCD21" w14:textId="77777777" w:rsidR="00C4624A" w:rsidRPr="00195EC3" w:rsidRDefault="00C4624A" w:rsidP="00461AA0">
            <w:pPr>
              <w:spacing w:before="20" w:after="20"/>
              <w:rPr>
                <w:rFonts w:eastAsia="Times New Roman"/>
                <w:noProof/>
                <w:sz w:val="18"/>
                <w:szCs w:val="18"/>
              </w:rPr>
            </w:pPr>
            <w:r w:rsidRPr="00195EC3">
              <w:rPr>
                <w:noProof/>
                <w:sz w:val="18"/>
              </w:rPr>
              <w:t>Pagamenti</w:t>
            </w:r>
          </w:p>
        </w:tc>
        <w:tc>
          <w:tcPr>
            <w:tcW w:w="654" w:type="dxa"/>
            <w:vAlign w:val="center"/>
          </w:tcPr>
          <w:p w14:paraId="53BD2E0C" w14:textId="77777777" w:rsidR="00C4624A" w:rsidRPr="00195EC3" w:rsidRDefault="00C4624A" w:rsidP="00461AA0">
            <w:pPr>
              <w:spacing w:before="20" w:after="20"/>
              <w:jc w:val="center"/>
              <w:rPr>
                <w:noProof/>
                <w:sz w:val="14"/>
                <w:szCs w:val="14"/>
              </w:rPr>
            </w:pPr>
            <w:r w:rsidRPr="00195EC3">
              <w:rPr>
                <w:noProof/>
                <w:sz w:val="14"/>
              </w:rPr>
              <w:t>d)</w:t>
            </w:r>
          </w:p>
        </w:tc>
        <w:tc>
          <w:tcPr>
            <w:tcW w:w="868" w:type="dxa"/>
          </w:tcPr>
          <w:p w14:paraId="1B9C7201" w14:textId="77777777" w:rsidR="00C4624A" w:rsidRPr="00195EC3" w:rsidRDefault="00C4624A" w:rsidP="00461AA0">
            <w:pPr>
              <w:spacing w:before="20" w:after="20"/>
              <w:jc w:val="right"/>
              <w:rPr>
                <w:rFonts w:eastAsia="Times New Roman"/>
                <w:noProof/>
                <w:sz w:val="20"/>
                <w:szCs w:val="20"/>
              </w:rPr>
            </w:pPr>
          </w:p>
        </w:tc>
        <w:tc>
          <w:tcPr>
            <w:tcW w:w="868" w:type="dxa"/>
            <w:vAlign w:val="center"/>
          </w:tcPr>
          <w:p w14:paraId="5BCE5C90" w14:textId="77777777" w:rsidR="00C4624A" w:rsidRPr="00195EC3" w:rsidRDefault="00C4624A" w:rsidP="00461AA0">
            <w:pPr>
              <w:spacing w:before="20" w:after="20"/>
              <w:jc w:val="right"/>
              <w:rPr>
                <w:rFonts w:eastAsia="Times New Roman"/>
                <w:noProof/>
                <w:sz w:val="20"/>
                <w:szCs w:val="20"/>
              </w:rPr>
            </w:pPr>
          </w:p>
        </w:tc>
        <w:tc>
          <w:tcPr>
            <w:tcW w:w="868" w:type="dxa"/>
            <w:vAlign w:val="center"/>
          </w:tcPr>
          <w:p w14:paraId="16C1F61A" w14:textId="77777777" w:rsidR="00C4624A" w:rsidRPr="00195EC3" w:rsidRDefault="00C4624A" w:rsidP="00461AA0">
            <w:pPr>
              <w:spacing w:before="20" w:after="20"/>
              <w:jc w:val="right"/>
              <w:rPr>
                <w:rFonts w:eastAsia="Times New Roman"/>
                <w:noProof/>
                <w:sz w:val="20"/>
                <w:szCs w:val="20"/>
              </w:rPr>
            </w:pPr>
          </w:p>
        </w:tc>
        <w:tc>
          <w:tcPr>
            <w:tcW w:w="930" w:type="dxa"/>
            <w:vAlign w:val="center"/>
          </w:tcPr>
          <w:p w14:paraId="2A0B0B9A" w14:textId="77777777" w:rsidR="00C4624A" w:rsidRPr="00195EC3" w:rsidRDefault="00C4624A" w:rsidP="00461AA0">
            <w:pPr>
              <w:spacing w:before="20" w:after="20"/>
              <w:jc w:val="right"/>
              <w:rPr>
                <w:rFonts w:eastAsia="Times New Roman"/>
                <w:noProof/>
                <w:sz w:val="20"/>
                <w:szCs w:val="20"/>
              </w:rPr>
            </w:pPr>
            <w:r w:rsidRPr="00195EC3">
              <w:rPr>
                <w:noProof/>
                <w:sz w:val="20"/>
              </w:rPr>
              <w:t xml:space="preserve"> 81,2</w:t>
            </w:r>
          </w:p>
        </w:tc>
        <w:tc>
          <w:tcPr>
            <w:tcW w:w="996" w:type="dxa"/>
            <w:vAlign w:val="center"/>
          </w:tcPr>
          <w:p w14:paraId="04C8E9B7" w14:textId="77777777" w:rsidR="00C4624A" w:rsidRPr="00195EC3" w:rsidRDefault="00C4624A" w:rsidP="00461AA0">
            <w:pPr>
              <w:spacing w:before="20" w:after="20"/>
              <w:jc w:val="right"/>
              <w:rPr>
                <w:rFonts w:eastAsia="Times New Roman"/>
                <w:noProof/>
                <w:sz w:val="20"/>
                <w:szCs w:val="20"/>
              </w:rPr>
            </w:pPr>
            <w:r w:rsidRPr="00195EC3">
              <w:rPr>
                <w:noProof/>
                <w:sz w:val="20"/>
              </w:rPr>
              <w:t xml:space="preserve"> 8,8</w:t>
            </w:r>
          </w:p>
        </w:tc>
        <w:tc>
          <w:tcPr>
            <w:tcW w:w="992" w:type="dxa"/>
            <w:vAlign w:val="center"/>
          </w:tcPr>
          <w:p w14:paraId="2ABAD1FF" w14:textId="77777777" w:rsidR="00C4624A" w:rsidRPr="00195EC3" w:rsidRDefault="00C4624A" w:rsidP="00461AA0">
            <w:pPr>
              <w:spacing w:before="20" w:after="20"/>
              <w:rPr>
                <w:rFonts w:eastAsia="Times New Roman"/>
                <w:noProof/>
                <w:sz w:val="20"/>
                <w:szCs w:val="20"/>
              </w:rPr>
            </w:pPr>
            <w:r w:rsidRPr="00195EC3">
              <w:rPr>
                <w:noProof/>
                <w:sz w:val="20"/>
              </w:rPr>
              <w:t xml:space="preserve"> </w:t>
            </w:r>
          </w:p>
        </w:tc>
        <w:tc>
          <w:tcPr>
            <w:tcW w:w="992" w:type="dxa"/>
            <w:vAlign w:val="center"/>
          </w:tcPr>
          <w:p w14:paraId="5C16E62C" w14:textId="77777777" w:rsidR="00C4624A" w:rsidRPr="00195EC3" w:rsidRDefault="00C4624A" w:rsidP="00461AA0">
            <w:pPr>
              <w:spacing w:before="20" w:after="20"/>
              <w:jc w:val="right"/>
              <w:rPr>
                <w:rFonts w:eastAsia="Times New Roman"/>
                <w:noProof/>
                <w:sz w:val="20"/>
                <w:szCs w:val="20"/>
              </w:rPr>
            </w:pPr>
            <w:r w:rsidRPr="00195EC3">
              <w:rPr>
                <w:noProof/>
                <w:sz w:val="20"/>
              </w:rPr>
              <w:t xml:space="preserve"> </w:t>
            </w:r>
          </w:p>
        </w:tc>
        <w:tc>
          <w:tcPr>
            <w:tcW w:w="2410" w:type="dxa"/>
            <w:vAlign w:val="center"/>
          </w:tcPr>
          <w:p w14:paraId="75890B36" w14:textId="77777777" w:rsidR="00C4624A" w:rsidRPr="00195EC3" w:rsidRDefault="00C4624A" w:rsidP="00461AA0">
            <w:pPr>
              <w:spacing w:before="20" w:after="20"/>
              <w:jc w:val="right"/>
              <w:rPr>
                <w:rFonts w:eastAsia="Times New Roman"/>
                <w:noProof/>
                <w:sz w:val="20"/>
                <w:szCs w:val="20"/>
              </w:rPr>
            </w:pPr>
            <w:r w:rsidRPr="00195EC3">
              <w:rPr>
                <w:b/>
                <w:noProof/>
                <w:sz w:val="20"/>
              </w:rPr>
              <w:t>90,0</w:t>
            </w:r>
          </w:p>
        </w:tc>
      </w:tr>
      <w:tr w:rsidR="00C4624A" w:rsidRPr="00195EC3" w14:paraId="5DF57148" w14:textId="77777777" w:rsidTr="00461AA0">
        <w:trPr>
          <w:trHeight w:val="774"/>
        </w:trPr>
        <w:tc>
          <w:tcPr>
            <w:tcW w:w="14978" w:type="dxa"/>
            <w:gridSpan w:val="12"/>
          </w:tcPr>
          <w:p w14:paraId="3A801013" w14:textId="77777777" w:rsidR="00C4624A" w:rsidRPr="00195EC3" w:rsidRDefault="00C4624A" w:rsidP="00461AA0">
            <w:pPr>
              <w:jc w:val="left"/>
              <w:rPr>
                <w:rFonts w:eastAsia="Times New Roman"/>
                <w:noProof/>
                <w:sz w:val="20"/>
                <w:szCs w:val="20"/>
              </w:rPr>
            </w:pPr>
            <w:r w:rsidRPr="00195EC3">
              <w:rPr>
                <w:noProof/>
                <w:sz w:val="20"/>
              </w:rPr>
              <w:t>□ AMF II</w:t>
            </w:r>
          </w:p>
        </w:tc>
      </w:tr>
      <w:tr w:rsidR="00C4624A" w:rsidRPr="00195EC3" w14:paraId="0C576811" w14:textId="77777777" w:rsidTr="00461AA0">
        <w:trPr>
          <w:trHeight w:val="774"/>
        </w:trPr>
        <w:tc>
          <w:tcPr>
            <w:tcW w:w="3960" w:type="dxa"/>
            <w:vMerge w:val="restart"/>
          </w:tcPr>
          <w:p w14:paraId="2C07C2D4" w14:textId="77777777" w:rsidR="00C4624A" w:rsidRPr="00195EC3" w:rsidRDefault="00C4624A" w:rsidP="00461AA0">
            <w:pPr>
              <w:rPr>
                <w:rFonts w:eastAsia="Times New Roman"/>
                <w:noProof/>
                <w:sz w:val="18"/>
                <w:szCs w:val="18"/>
              </w:rPr>
            </w:pPr>
            <w:r w:rsidRPr="00195EC3">
              <w:rPr>
                <w:noProof/>
                <w:sz w:val="18"/>
              </w:rPr>
              <w:t xml:space="preserve">Linea di bilancio </w:t>
            </w:r>
          </w:p>
          <w:p w14:paraId="40CA1987" w14:textId="77777777" w:rsidR="00C4624A" w:rsidRPr="00195EC3" w:rsidRDefault="00C4624A" w:rsidP="00461AA0">
            <w:pPr>
              <w:rPr>
                <w:rFonts w:eastAsia="Times New Roman"/>
                <w:noProof/>
                <w:sz w:val="18"/>
                <w:szCs w:val="18"/>
              </w:rPr>
            </w:pPr>
            <w:r w:rsidRPr="00195EC3">
              <w:rPr>
                <w:noProof/>
                <w:sz w:val="18"/>
              </w:rPr>
              <w:t>14 02 01 70. 06 "NDICI – Dotazione del fondo comune di copertura"</w:t>
            </w:r>
            <w:r w:rsidRPr="00195EC3">
              <w:rPr>
                <w:rStyle w:val="FootnoteReference"/>
                <w:noProof/>
                <w:sz w:val="18"/>
              </w:rPr>
              <w:t xml:space="preserve"> </w:t>
            </w:r>
            <w:r w:rsidRPr="00195EC3">
              <w:rPr>
                <w:rStyle w:val="FootnoteReference"/>
                <w:rFonts w:eastAsia="Times New Roman"/>
                <w:noProof/>
                <w:sz w:val="18"/>
                <w:szCs w:val="18"/>
              </w:rPr>
              <w:footnoteReference w:id="39"/>
            </w:r>
          </w:p>
        </w:tc>
        <w:tc>
          <w:tcPr>
            <w:tcW w:w="1440" w:type="dxa"/>
            <w:gridSpan w:val="2"/>
            <w:vAlign w:val="center"/>
          </w:tcPr>
          <w:p w14:paraId="24423A12" w14:textId="77777777" w:rsidR="00C4624A" w:rsidRPr="00195EC3" w:rsidRDefault="00C4624A" w:rsidP="00461AA0">
            <w:pPr>
              <w:jc w:val="left"/>
              <w:rPr>
                <w:rFonts w:eastAsia="Times New Roman"/>
                <w:noProof/>
                <w:sz w:val="18"/>
                <w:szCs w:val="18"/>
              </w:rPr>
            </w:pPr>
            <w:r w:rsidRPr="00195EC3">
              <w:rPr>
                <w:noProof/>
                <w:sz w:val="18"/>
              </w:rPr>
              <w:t>Impegni</w:t>
            </w:r>
          </w:p>
        </w:tc>
        <w:tc>
          <w:tcPr>
            <w:tcW w:w="654" w:type="dxa"/>
            <w:vAlign w:val="center"/>
          </w:tcPr>
          <w:p w14:paraId="1BBA78D7" w14:textId="77777777" w:rsidR="00C4624A" w:rsidRPr="00195EC3" w:rsidRDefault="00C4624A" w:rsidP="00461AA0">
            <w:pPr>
              <w:jc w:val="center"/>
              <w:rPr>
                <w:rFonts w:eastAsia="Calibri"/>
                <w:noProof/>
                <w:sz w:val="16"/>
                <w:szCs w:val="16"/>
              </w:rPr>
            </w:pPr>
            <w:r w:rsidRPr="00195EC3">
              <w:rPr>
                <w:noProof/>
                <w:sz w:val="16"/>
              </w:rPr>
              <w:t>c)</w:t>
            </w:r>
          </w:p>
        </w:tc>
        <w:tc>
          <w:tcPr>
            <w:tcW w:w="868" w:type="dxa"/>
          </w:tcPr>
          <w:p w14:paraId="5BBAA1B3" w14:textId="77777777" w:rsidR="00C4624A" w:rsidRPr="00195EC3" w:rsidRDefault="00C4624A" w:rsidP="00461AA0">
            <w:pPr>
              <w:jc w:val="right"/>
              <w:rPr>
                <w:rFonts w:eastAsia="Times New Roman"/>
                <w:noProof/>
                <w:sz w:val="20"/>
                <w:szCs w:val="20"/>
              </w:rPr>
            </w:pPr>
          </w:p>
        </w:tc>
        <w:tc>
          <w:tcPr>
            <w:tcW w:w="868" w:type="dxa"/>
            <w:vAlign w:val="center"/>
          </w:tcPr>
          <w:p w14:paraId="21DA48D0" w14:textId="77777777" w:rsidR="00C4624A" w:rsidRPr="00195EC3" w:rsidRDefault="00C4624A" w:rsidP="00461AA0">
            <w:pPr>
              <w:jc w:val="right"/>
              <w:rPr>
                <w:rFonts w:eastAsia="Times New Roman"/>
                <w:noProof/>
                <w:sz w:val="20"/>
                <w:szCs w:val="20"/>
              </w:rPr>
            </w:pPr>
            <w:r w:rsidRPr="00195EC3">
              <w:rPr>
                <w:noProof/>
                <w:sz w:val="20"/>
              </w:rPr>
              <w:t>62,4</w:t>
            </w:r>
          </w:p>
        </w:tc>
        <w:tc>
          <w:tcPr>
            <w:tcW w:w="868" w:type="dxa"/>
            <w:vAlign w:val="center"/>
          </w:tcPr>
          <w:p w14:paraId="4E2825E8" w14:textId="77777777" w:rsidR="00C4624A" w:rsidRPr="00195EC3" w:rsidRDefault="00C4624A" w:rsidP="00461AA0">
            <w:pPr>
              <w:jc w:val="right"/>
              <w:rPr>
                <w:rFonts w:eastAsia="Times New Roman"/>
                <w:noProof/>
                <w:sz w:val="20"/>
                <w:szCs w:val="20"/>
              </w:rPr>
            </w:pPr>
            <w:r w:rsidRPr="00195EC3">
              <w:rPr>
                <w:noProof/>
                <w:sz w:val="20"/>
              </w:rPr>
              <w:t>162,6</w:t>
            </w:r>
          </w:p>
        </w:tc>
        <w:tc>
          <w:tcPr>
            <w:tcW w:w="930" w:type="dxa"/>
            <w:vAlign w:val="center"/>
          </w:tcPr>
          <w:p w14:paraId="75432705" w14:textId="77777777" w:rsidR="00C4624A" w:rsidRPr="00195EC3" w:rsidRDefault="00C4624A" w:rsidP="00461AA0">
            <w:pPr>
              <w:jc w:val="right"/>
              <w:rPr>
                <w:rFonts w:eastAsia="Times New Roman"/>
                <w:noProof/>
                <w:sz w:val="20"/>
                <w:szCs w:val="20"/>
              </w:rPr>
            </w:pPr>
            <w:r w:rsidRPr="00195EC3">
              <w:rPr>
                <w:noProof/>
                <w:sz w:val="20"/>
              </w:rPr>
              <w:t>32,5</w:t>
            </w:r>
          </w:p>
        </w:tc>
        <w:tc>
          <w:tcPr>
            <w:tcW w:w="996" w:type="dxa"/>
            <w:vAlign w:val="center"/>
          </w:tcPr>
          <w:p w14:paraId="2C3CE0AE" w14:textId="77777777" w:rsidR="00C4624A" w:rsidRPr="00195EC3" w:rsidRDefault="00C4624A" w:rsidP="00461AA0">
            <w:pPr>
              <w:jc w:val="right"/>
              <w:rPr>
                <w:rFonts w:eastAsia="Times New Roman"/>
                <w:noProof/>
                <w:sz w:val="20"/>
                <w:szCs w:val="20"/>
              </w:rPr>
            </w:pPr>
            <w:r w:rsidRPr="00195EC3">
              <w:rPr>
                <w:noProof/>
                <w:sz w:val="20"/>
              </w:rPr>
              <w:t>143,4</w:t>
            </w:r>
          </w:p>
        </w:tc>
        <w:tc>
          <w:tcPr>
            <w:tcW w:w="992" w:type="dxa"/>
            <w:vAlign w:val="center"/>
          </w:tcPr>
          <w:p w14:paraId="36844269" w14:textId="77777777" w:rsidR="00C4624A" w:rsidRPr="00195EC3" w:rsidRDefault="00C4624A" w:rsidP="00461AA0">
            <w:pPr>
              <w:rPr>
                <w:rFonts w:eastAsia="Times New Roman"/>
                <w:noProof/>
                <w:sz w:val="20"/>
                <w:szCs w:val="20"/>
              </w:rPr>
            </w:pPr>
            <w:r w:rsidRPr="00195EC3">
              <w:rPr>
                <w:noProof/>
                <w:sz w:val="20"/>
              </w:rPr>
              <w:t>49,1</w:t>
            </w:r>
          </w:p>
        </w:tc>
        <w:tc>
          <w:tcPr>
            <w:tcW w:w="992" w:type="dxa"/>
            <w:vAlign w:val="center"/>
          </w:tcPr>
          <w:p w14:paraId="0AF48FC3" w14:textId="77777777" w:rsidR="00C4624A" w:rsidRPr="00195EC3" w:rsidRDefault="00C4624A" w:rsidP="00461AA0">
            <w:pPr>
              <w:jc w:val="right"/>
              <w:rPr>
                <w:rFonts w:eastAsia="Times New Roman"/>
                <w:noProof/>
                <w:sz w:val="20"/>
                <w:szCs w:val="20"/>
              </w:rPr>
            </w:pPr>
          </w:p>
        </w:tc>
        <w:tc>
          <w:tcPr>
            <w:tcW w:w="2410" w:type="dxa"/>
            <w:vAlign w:val="center"/>
          </w:tcPr>
          <w:p w14:paraId="633BE89B" w14:textId="77777777" w:rsidR="00C4624A" w:rsidRPr="00195EC3" w:rsidRDefault="00C4624A" w:rsidP="00461AA0">
            <w:pPr>
              <w:jc w:val="right"/>
              <w:rPr>
                <w:rFonts w:eastAsia="Times New Roman"/>
                <w:b/>
                <w:noProof/>
                <w:sz w:val="20"/>
                <w:szCs w:val="20"/>
              </w:rPr>
            </w:pPr>
            <w:r w:rsidRPr="00195EC3">
              <w:rPr>
                <w:b/>
                <w:noProof/>
                <w:sz w:val="20"/>
              </w:rPr>
              <w:t>450,0</w:t>
            </w:r>
          </w:p>
        </w:tc>
      </w:tr>
      <w:tr w:rsidR="00C4624A" w:rsidRPr="00195EC3" w14:paraId="15A5D64E" w14:textId="77777777" w:rsidTr="00461AA0">
        <w:trPr>
          <w:trHeight w:val="774"/>
        </w:trPr>
        <w:tc>
          <w:tcPr>
            <w:tcW w:w="3960" w:type="dxa"/>
            <w:vMerge/>
          </w:tcPr>
          <w:p w14:paraId="103FFAEB" w14:textId="77777777" w:rsidR="00C4624A" w:rsidRPr="00195EC3" w:rsidRDefault="00C4624A" w:rsidP="00461AA0">
            <w:pPr>
              <w:rPr>
                <w:noProof/>
              </w:rPr>
            </w:pPr>
          </w:p>
        </w:tc>
        <w:tc>
          <w:tcPr>
            <w:tcW w:w="1440" w:type="dxa"/>
            <w:gridSpan w:val="2"/>
            <w:vAlign w:val="center"/>
          </w:tcPr>
          <w:p w14:paraId="0189B954" w14:textId="77777777" w:rsidR="00C4624A" w:rsidRPr="00195EC3" w:rsidRDefault="00C4624A" w:rsidP="00461AA0">
            <w:pPr>
              <w:jc w:val="left"/>
              <w:rPr>
                <w:rFonts w:eastAsia="Times New Roman"/>
                <w:noProof/>
                <w:sz w:val="18"/>
                <w:szCs w:val="18"/>
              </w:rPr>
            </w:pPr>
            <w:r w:rsidRPr="00195EC3">
              <w:rPr>
                <w:noProof/>
                <w:sz w:val="18"/>
              </w:rPr>
              <w:t>Pagamenti</w:t>
            </w:r>
          </w:p>
        </w:tc>
        <w:tc>
          <w:tcPr>
            <w:tcW w:w="654" w:type="dxa"/>
            <w:vAlign w:val="center"/>
          </w:tcPr>
          <w:p w14:paraId="1B978896" w14:textId="77777777" w:rsidR="00C4624A" w:rsidRPr="00195EC3" w:rsidRDefault="00C4624A" w:rsidP="00461AA0">
            <w:pPr>
              <w:jc w:val="center"/>
              <w:rPr>
                <w:rFonts w:eastAsia="Calibri"/>
                <w:noProof/>
                <w:sz w:val="16"/>
                <w:szCs w:val="16"/>
              </w:rPr>
            </w:pPr>
            <w:r w:rsidRPr="00195EC3">
              <w:rPr>
                <w:noProof/>
                <w:sz w:val="16"/>
              </w:rPr>
              <w:t>d)</w:t>
            </w:r>
          </w:p>
        </w:tc>
        <w:tc>
          <w:tcPr>
            <w:tcW w:w="868" w:type="dxa"/>
          </w:tcPr>
          <w:p w14:paraId="1F5F9765" w14:textId="77777777" w:rsidR="00C4624A" w:rsidRPr="00195EC3" w:rsidRDefault="00C4624A" w:rsidP="00461AA0">
            <w:pPr>
              <w:jc w:val="right"/>
              <w:rPr>
                <w:rFonts w:eastAsia="Times New Roman"/>
                <w:noProof/>
                <w:sz w:val="20"/>
                <w:szCs w:val="20"/>
              </w:rPr>
            </w:pPr>
          </w:p>
        </w:tc>
        <w:tc>
          <w:tcPr>
            <w:tcW w:w="868" w:type="dxa"/>
            <w:vAlign w:val="center"/>
          </w:tcPr>
          <w:p w14:paraId="313FC5D0" w14:textId="77777777" w:rsidR="00C4624A" w:rsidRPr="00195EC3" w:rsidRDefault="00C4624A" w:rsidP="00461AA0">
            <w:pPr>
              <w:jc w:val="right"/>
              <w:rPr>
                <w:rFonts w:eastAsia="Times New Roman"/>
                <w:noProof/>
                <w:sz w:val="20"/>
                <w:szCs w:val="20"/>
              </w:rPr>
            </w:pPr>
          </w:p>
        </w:tc>
        <w:tc>
          <w:tcPr>
            <w:tcW w:w="868" w:type="dxa"/>
            <w:vAlign w:val="center"/>
          </w:tcPr>
          <w:p w14:paraId="76947CA9" w14:textId="77777777" w:rsidR="00C4624A" w:rsidRPr="00195EC3" w:rsidRDefault="00C4624A" w:rsidP="00461AA0">
            <w:pPr>
              <w:jc w:val="right"/>
              <w:rPr>
                <w:rFonts w:eastAsia="Times New Roman"/>
                <w:noProof/>
                <w:sz w:val="20"/>
                <w:szCs w:val="20"/>
              </w:rPr>
            </w:pPr>
          </w:p>
        </w:tc>
        <w:tc>
          <w:tcPr>
            <w:tcW w:w="930" w:type="dxa"/>
            <w:vAlign w:val="center"/>
          </w:tcPr>
          <w:p w14:paraId="397F5B84" w14:textId="77777777" w:rsidR="00C4624A" w:rsidRPr="00195EC3" w:rsidRDefault="00C4624A" w:rsidP="00461AA0">
            <w:pPr>
              <w:jc w:val="right"/>
              <w:rPr>
                <w:rFonts w:eastAsia="Times New Roman"/>
                <w:noProof/>
                <w:sz w:val="20"/>
                <w:szCs w:val="20"/>
              </w:rPr>
            </w:pPr>
          </w:p>
        </w:tc>
        <w:tc>
          <w:tcPr>
            <w:tcW w:w="996" w:type="dxa"/>
            <w:vAlign w:val="center"/>
          </w:tcPr>
          <w:p w14:paraId="65E6996A" w14:textId="77777777" w:rsidR="00C4624A" w:rsidRPr="00195EC3" w:rsidRDefault="00C4624A" w:rsidP="00461AA0">
            <w:pPr>
              <w:jc w:val="right"/>
              <w:rPr>
                <w:rFonts w:eastAsia="Times New Roman"/>
                <w:noProof/>
                <w:sz w:val="20"/>
                <w:szCs w:val="20"/>
              </w:rPr>
            </w:pPr>
            <w:r w:rsidRPr="00195EC3">
              <w:rPr>
                <w:noProof/>
                <w:sz w:val="20"/>
              </w:rPr>
              <w:t>91,2</w:t>
            </w:r>
          </w:p>
        </w:tc>
        <w:tc>
          <w:tcPr>
            <w:tcW w:w="992" w:type="dxa"/>
            <w:vAlign w:val="center"/>
          </w:tcPr>
          <w:p w14:paraId="5A9855C4" w14:textId="77777777" w:rsidR="00C4624A" w:rsidRPr="00195EC3" w:rsidRDefault="00C4624A" w:rsidP="00461AA0">
            <w:pPr>
              <w:rPr>
                <w:rFonts w:eastAsia="Times New Roman"/>
                <w:noProof/>
                <w:sz w:val="20"/>
                <w:szCs w:val="20"/>
              </w:rPr>
            </w:pPr>
            <w:r w:rsidRPr="00195EC3">
              <w:rPr>
                <w:noProof/>
                <w:sz w:val="20"/>
              </w:rPr>
              <w:t>300,0</w:t>
            </w:r>
          </w:p>
        </w:tc>
        <w:tc>
          <w:tcPr>
            <w:tcW w:w="992" w:type="dxa"/>
            <w:vAlign w:val="center"/>
          </w:tcPr>
          <w:p w14:paraId="211F2D60" w14:textId="77777777" w:rsidR="00C4624A" w:rsidRPr="00195EC3" w:rsidRDefault="00C4624A" w:rsidP="00461AA0">
            <w:pPr>
              <w:jc w:val="right"/>
              <w:rPr>
                <w:rFonts w:eastAsia="Times New Roman"/>
                <w:noProof/>
                <w:sz w:val="20"/>
                <w:szCs w:val="20"/>
              </w:rPr>
            </w:pPr>
            <w:r w:rsidRPr="00195EC3">
              <w:rPr>
                <w:noProof/>
                <w:sz w:val="20"/>
              </w:rPr>
              <w:t>58,8</w:t>
            </w:r>
          </w:p>
        </w:tc>
        <w:tc>
          <w:tcPr>
            <w:tcW w:w="2410" w:type="dxa"/>
            <w:vAlign w:val="center"/>
          </w:tcPr>
          <w:p w14:paraId="441C884D" w14:textId="77777777" w:rsidR="00C4624A" w:rsidRPr="00195EC3" w:rsidRDefault="00C4624A" w:rsidP="00461AA0">
            <w:pPr>
              <w:jc w:val="right"/>
              <w:rPr>
                <w:rFonts w:eastAsia="Times New Roman"/>
                <w:b/>
                <w:noProof/>
                <w:sz w:val="20"/>
                <w:szCs w:val="20"/>
              </w:rPr>
            </w:pPr>
            <w:r w:rsidRPr="00195EC3">
              <w:rPr>
                <w:b/>
                <w:noProof/>
                <w:sz w:val="20"/>
              </w:rPr>
              <w:t>450,0</w:t>
            </w:r>
          </w:p>
        </w:tc>
      </w:tr>
      <w:tr w:rsidR="00C4624A" w:rsidRPr="00195EC3" w14:paraId="03A62B2C" w14:textId="77777777" w:rsidTr="00461AA0">
        <w:trPr>
          <w:trHeight w:val="231"/>
        </w:trPr>
        <w:tc>
          <w:tcPr>
            <w:tcW w:w="6054" w:type="dxa"/>
            <w:gridSpan w:val="4"/>
            <w:vAlign w:val="center"/>
          </w:tcPr>
          <w:p w14:paraId="161B2A22" w14:textId="77777777" w:rsidR="00C4624A" w:rsidRPr="00195EC3" w:rsidRDefault="00C4624A" w:rsidP="00461AA0">
            <w:pPr>
              <w:spacing w:before="20" w:after="20"/>
              <w:rPr>
                <w:noProof/>
              </w:rPr>
            </w:pPr>
            <w:r w:rsidRPr="00195EC3">
              <w:rPr>
                <w:noProof/>
                <w:sz w:val="20"/>
              </w:rPr>
              <w:t>□ Stanziamenti amministrativi finanziati dalla dotazione di programmi specifici</w:t>
            </w:r>
            <w:r w:rsidRPr="00195EC3">
              <w:rPr>
                <w:rStyle w:val="FootnoteReference"/>
                <w:b/>
                <w:bCs/>
                <w:noProof/>
                <w:sz w:val="20"/>
                <w:szCs w:val="20"/>
              </w:rPr>
              <w:footnoteReference w:id="40"/>
            </w:r>
            <w:r w:rsidRPr="00195EC3">
              <w:rPr>
                <w:noProof/>
                <w:sz w:val="21"/>
              </w:rPr>
              <w:t xml:space="preserve"> </w:t>
            </w:r>
          </w:p>
          <w:p w14:paraId="2B2C0BE1" w14:textId="77777777" w:rsidR="00C4624A" w:rsidRPr="00195EC3" w:rsidRDefault="00C4624A" w:rsidP="00461AA0">
            <w:pPr>
              <w:spacing w:before="0" w:after="0"/>
              <w:rPr>
                <w:noProof/>
              </w:rPr>
            </w:pPr>
          </w:p>
        </w:tc>
        <w:tc>
          <w:tcPr>
            <w:tcW w:w="8924" w:type="dxa"/>
            <w:gridSpan w:val="8"/>
          </w:tcPr>
          <w:p w14:paraId="53D0930D" w14:textId="77777777" w:rsidR="00C4624A" w:rsidRPr="00195EC3" w:rsidRDefault="00C4624A" w:rsidP="00461AA0">
            <w:pPr>
              <w:rPr>
                <w:rFonts w:eastAsia="Times New Roman"/>
                <w:b/>
                <w:noProof/>
                <w:sz w:val="20"/>
                <w:szCs w:val="20"/>
              </w:rPr>
            </w:pPr>
          </w:p>
        </w:tc>
      </w:tr>
      <w:tr w:rsidR="00C4624A" w:rsidRPr="00195EC3" w14:paraId="5DDD48EF" w14:textId="77777777" w:rsidTr="00461AA0">
        <w:trPr>
          <w:trHeight w:val="319"/>
        </w:trPr>
        <w:tc>
          <w:tcPr>
            <w:tcW w:w="3960" w:type="dxa"/>
            <w:vMerge w:val="restart"/>
            <w:vAlign w:val="center"/>
          </w:tcPr>
          <w:p w14:paraId="18D2FB79" w14:textId="77777777" w:rsidR="00C4624A" w:rsidRPr="00195EC3" w:rsidRDefault="00C4624A" w:rsidP="00461AA0">
            <w:pPr>
              <w:rPr>
                <w:rFonts w:eastAsia="Times New Roman"/>
                <w:noProof/>
                <w:sz w:val="18"/>
                <w:szCs w:val="18"/>
              </w:rPr>
            </w:pPr>
            <w:r w:rsidRPr="00195EC3">
              <w:rPr>
                <w:noProof/>
                <w:sz w:val="18"/>
              </w:rPr>
              <w:t>Linea di bilancio</w:t>
            </w:r>
          </w:p>
          <w:p w14:paraId="7106052E" w14:textId="77777777" w:rsidR="00C4624A" w:rsidRPr="00195EC3" w:rsidRDefault="00C4624A" w:rsidP="00461AA0">
            <w:pPr>
              <w:rPr>
                <w:rFonts w:eastAsia="Times New Roman"/>
                <w:noProof/>
                <w:sz w:val="18"/>
                <w:szCs w:val="18"/>
              </w:rPr>
            </w:pPr>
            <w:r w:rsidRPr="00195EC3">
              <w:rPr>
                <w:noProof/>
                <w:sz w:val="18"/>
              </w:rPr>
              <w:t>14 20 03. 01 "AMF – Sovvenzioni"</w:t>
            </w:r>
          </w:p>
        </w:tc>
        <w:tc>
          <w:tcPr>
            <w:tcW w:w="1440" w:type="dxa"/>
            <w:gridSpan w:val="2"/>
            <w:vAlign w:val="center"/>
          </w:tcPr>
          <w:p w14:paraId="0F01A6B5" w14:textId="77777777" w:rsidR="00C4624A" w:rsidRPr="00195EC3" w:rsidRDefault="00C4624A" w:rsidP="00461AA0">
            <w:pPr>
              <w:spacing w:before="40" w:after="40"/>
              <w:jc w:val="left"/>
              <w:rPr>
                <w:noProof/>
                <w:sz w:val="18"/>
                <w:szCs w:val="18"/>
              </w:rPr>
            </w:pPr>
            <w:r w:rsidRPr="00195EC3">
              <w:rPr>
                <w:noProof/>
                <w:sz w:val="18"/>
              </w:rPr>
              <w:t xml:space="preserve">Impegni </w:t>
            </w:r>
          </w:p>
        </w:tc>
        <w:tc>
          <w:tcPr>
            <w:tcW w:w="654" w:type="dxa"/>
            <w:vAlign w:val="center"/>
          </w:tcPr>
          <w:p w14:paraId="4D651DEF" w14:textId="77777777" w:rsidR="00C4624A" w:rsidRPr="00195EC3" w:rsidRDefault="00C4624A" w:rsidP="00461AA0">
            <w:pPr>
              <w:spacing w:before="40" w:after="40"/>
              <w:jc w:val="center"/>
              <w:rPr>
                <w:noProof/>
                <w:sz w:val="14"/>
                <w:szCs w:val="14"/>
              </w:rPr>
            </w:pPr>
            <w:r w:rsidRPr="00195EC3">
              <w:rPr>
                <w:noProof/>
                <w:sz w:val="14"/>
              </w:rPr>
              <w:t>c)</w:t>
            </w:r>
          </w:p>
        </w:tc>
        <w:tc>
          <w:tcPr>
            <w:tcW w:w="868" w:type="dxa"/>
          </w:tcPr>
          <w:p w14:paraId="3B3A2BCC" w14:textId="77777777" w:rsidR="00C4624A" w:rsidRPr="00195EC3" w:rsidRDefault="00C4624A" w:rsidP="00461AA0">
            <w:pPr>
              <w:spacing w:before="40" w:after="40"/>
              <w:jc w:val="right"/>
              <w:rPr>
                <w:rFonts w:eastAsia="Times New Roman"/>
                <w:b/>
                <w:noProof/>
                <w:sz w:val="20"/>
                <w:szCs w:val="20"/>
              </w:rPr>
            </w:pPr>
          </w:p>
        </w:tc>
        <w:tc>
          <w:tcPr>
            <w:tcW w:w="868" w:type="dxa"/>
            <w:vAlign w:val="center"/>
          </w:tcPr>
          <w:p w14:paraId="41AF0002" w14:textId="77777777" w:rsidR="00C4624A" w:rsidRPr="00195EC3" w:rsidRDefault="00C4624A" w:rsidP="00461AA0">
            <w:pPr>
              <w:spacing w:before="40" w:after="40"/>
              <w:jc w:val="right"/>
              <w:rPr>
                <w:rFonts w:eastAsia="Times New Roman"/>
                <w:noProof/>
                <w:sz w:val="20"/>
                <w:szCs w:val="20"/>
              </w:rPr>
            </w:pPr>
            <w:r w:rsidRPr="00195EC3">
              <w:rPr>
                <w:noProof/>
                <w:sz w:val="20"/>
              </w:rPr>
              <w:t>0,15</w:t>
            </w:r>
          </w:p>
        </w:tc>
        <w:tc>
          <w:tcPr>
            <w:tcW w:w="868" w:type="dxa"/>
            <w:vAlign w:val="center"/>
          </w:tcPr>
          <w:p w14:paraId="71A030D4" w14:textId="77777777" w:rsidR="00C4624A" w:rsidRPr="00195EC3" w:rsidRDefault="00C4624A" w:rsidP="00461AA0">
            <w:pPr>
              <w:spacing w:before="40" w:after="40"/>
              <w:jc w:val="right"/>
              <w:rPr>
                <w:rFonts w:eastAsia="Times New Roman"/>
                <w:noProof/>
                <w:sz w:val="20"/>
                <w:szCs w:val="20"/>
              </w:rPr>
            </w:pPr>
          </w:p>
        </w:tc>
        <w:tc>
          <w:tcPr>
            <w:tcW w:w="930" w:type="dxa"/>
            <w:vAlign w:val="center"/>
          </w:tcPr>
          <w:p w14:paraId="297E28A2" w14:textId="77777777" w:rsidR="00C4624A" w:rsidRPr="00195EC3" w:rsidRDefault="00C4624A" w:rsidP="00461AA0">
            <w:pPr>
              <w:spacing w:before="40" w:after="40"/>
              <w:jc w:val="right"/>
              <w:rPr>
                <w:rFonts w:eastAsia="Times New Roman"/>
                <w:noProof/>
                <w:sz w:val="20"/>
                <w:szCs w:val="20"/>
              </w:rPr>
            </w:pPr>
          </w:p>
        </w:tc>
        <w:tc>
          <w:tcPr>
            <w:tcW w:w="996" w:type="dxa"/>
            <w:vAlign w:val="center"/>
          </w:tcPr>
          <w:p w14:paraId="67E98CD1" w14:textId="77777777" w:rsidR="00C4624A" w:rsidRPr="00195EC3" w:rsidRDefault="00C4624A" w:rsidP="00461AA0">
            <w:pPr>
              <w:spacing w:before="40" w:after="40"/>
              <w:jc w:val="right"/>
              <w:rPr>
                <w:rFonts w:eastAsia="Times New Roman"/>
                <w:noProof/>
                <w:sz w:val="20"/>
                <w:szCs w:val="20"/>
              </w:rPr>
            </w:pPr>
            <w:r w:rsidRPr="00195EC3">
              <w:rPr>
                <w:noProof/>
                <w:sz w:val="20"/>
              </w:rPr>
              <w:t>0,15</w:t>
            </w:r>
          </w:p>
        </w:tc>
        <w:tc>
          <w:tcPr>
            <w:tcW w:w="992" w:type="dxa"/>
          </w:tcPr>
          <w:p w14:paraId="05CC1016" w14:textId="77777777" w:rsidR="00C4624A" w:rsidRPr="00195EC3" w:rsidRDefault="00C4624A" w:rsidP="00461AA0">
            <w:pPr>
              <w:spacing w:before="40" w:after="40"/>
              <w:jc w:val="right"/>
              <w:rPr>
                <w:rFonts w:eastAsia="Times New Roman"/>
                <w:b/>
                <w:noProof/>
                <w:sz w:val="20"/>
                <w:szCs w:val="20"/>
              </w:rPr>
            </w:pPr>
          </w:p>
        </w:tc>
        <w:tc>
          <w:tcPr>
            <w:tcW w:w="992" w:type="dxa"/>
          </w:tcPr>
          <w:p w14:paraId="0091CD86" w14:textId="77777777" w:rsidR="00C4624A" w:rsidRPr="00195EC3" w:rsidRDefault="00C4624A" w:rsidP="00461AA0">
            <w:pPr>
              <w:spacing w:before="40" w:after="40"/>
              <w:jc w:val="right"/>
              <w:rPr>
                <w:rFonts w:eastAsia="Times New Roman"/>
                <w:b/>
                <w:noProof/>
                <w:sz w:val="20"/>
                <w:szCs w:val="20"/>
              </w:rPr>
            </w:pPr>
          </w:p>
        </w:tc>
        <w:tc>
          <w:tcPr>
            <w:tcW w:w="2410" w:type="dxa"/>
            <w:vAlign w:val="center"/>
          </w:tcPr>
          <w:p w14:paraId="748643A0" w14:textId="77777777" w:rsidR="00C4624A" w:rsidRPr="00195EC3" w:rsidRDefault="00C4624A" w:rsidP="00461AA0">
            <w:pPr>
              <w:spacing w:before="40" w:after="40"/>
              <w:jc w:val="right"/>
              <w:rPr>
                <w:rFonts w:eastAsia="Times New Roman"/>
                <w:b/>
                <w:bCs/>
                <w:noProof/>
                <w:sz w:val="20"/>
                <w:szCs w:val="20"/>
              </w:rPr>
            </w:pPr>
            <w:r w:rsidRPr="00195EC3">
              <w:rPr>
                <w:b/>
                <w:noProof/>
                <w:sz w:val="20"/>
              </w:rPr>
              <w:t>0,3</w:t>
            </w:r>
          </w:p>
        </w:tc>
      </w:tr>
      <w:tr w:rsidR="00C4624A" w:rsidRPr="00195EC3" w14:paraId="23EBBED2" w14:textId="77777777" w:rsidTr="00461AA0">
        <w:trPr>
          <w:trHeight w:val="319"/>
        </w:trPr>
        <w:tc>
          <w:tcPr>
            <w:tcW w:w="3960" w:type="dxa"/>
            <w:vMerge/>
            <w:vAlign w:val="center"/>
          </w:tcPr>
          <w:p w14:paraId="0D43EF4A" w14:textId="77777777" w:rsidR="00C4624A" w:rsidRPr="00195EC3" w:rsidRDefault="00C4624A" w:rsidP="00461AA0">
            <w:pPr>
              <w:rPr>
                <w:noProof/>
                <w:sz w:val="20"/>
                <w:szCs w:val="20"/>
              </w:rPr>
            </w:pPr>
          </w:p>
        </w:tc>
        <w:tc>
          <w:tcPr>
            <w:tcW w:w="1440" w:type="dxa"/>
            <w:gridSpan w:val="2"/>
            <w:vAlign w:val="center"/>
          </w:tcPr>
          <w:p w14:paraId="023FA408" w14:textId="77777777" w:rsidR="00C4624A" w:rsidRPr="00195EC3" w:rsidRDefault="00C4624A" w:rsidP="00461AA0">
            <w:pPr>
              <w:jc w:val="left"/>
              <w:rPr>
                <w:noProof/>
                <w:sz w:val="18"/>
                <w:szCs w:val="18"/>
              </w:rPr>
            </w:pPr>
            <w:r w:rsidRPr="00195EC3">
              <w:rPr>
                <w:noProof/>
                <w:sz w:val="18"/>
              </w:rPr>
              <w:t>Pagamenti</w:t>
            </w:r>
          </w:p>
        </w:tc>
        <w:tc>
          <w:tcPr>
            <w:tcW w:w="654" w:type="dxa"/>
            <w:vAlign w:val="center"/>
          </w:tcPr>
          <w:p w14:paraId="5E847895" w14:textId="77777777" w:rsidR="00C4624A" w:rsidRPr="00195EC3" w:rsidRDefault="00C4624A" w:rsidP="00461AA0">
            <w:pPr>
              <w:jc w:val="center"/>
              <w:rPr>
                <w:noProof/>
                <w:sz w:val="14"/>
                <w:szCs w:val="14"/>
              </w:rPr>
            </w:pPr>
            <w:r w:rsidRPr="00195EC3">
              <w:rPr>
                <w:noProof/>
                <w:sz w:val="14"/>
              </w:rPr>
              <w:t>d)</w:t>
            </w:r>
          </w:p>
        </w:tc>
        <w:tc>
          <w:tcPr>
            <w:tcW w:w="868" w:type="dxa"/>
          </w:tcPr>
          <w:p w14:paraId="1B12D662" w14:textId="77777777" w:rsidR="00C4624A" w:rsidRPr="00195EC3" w:rsidRDefault="00C4624A" w:rsidP="00461AA0">
            <w:pPr>
              <w:jc w:val="right"/>
              <w:rPr>
                <w:rFonts w:eastAsia="Times New Roman"/>
                <w:b/>
                <w:noProof/>
                <w:sz w:val="20"/>
                <w:szCs w:val="20"/>
              </w:rPr>
            </w:pPr>
          </w:p>
        </w:tc>
        <w:tc>
          <w:tcPr>
            <w:tcW w:w="868" w:type="dxa"/>
            <w:vAlign w:val="center"/>
          </w:tcPr>
          <w:p w14:paraId="3CB72772" w14:textId="77777777" w:rsidR="00C4624A" w:rsidRPr="00195EC3" w:rsidRDefault="00C4624A" w:rsidP="00461AA0">
            <w:pPr>
              <w:jc w:val="right"/>
              <w:rPr>
                <w:rFonts w:eastAsia="Times New Roman"/>
                <w:noProof/>
                <w:sz w:val="20"/>
                <w:szCs w:val="20"/>
              </w:rPr>
            </w:pPr>
            <w:r w:rsidRPr="00195EC3">
              <w:rPr>
                <w:noProof/>
                <w:sz w:val="20"/>
              </w:rPr>
              <w:t>0,15</w:t>
            </w:r>
          </w:p>
        </w:tc>
        <w:tc>
          <w:tcPr>
            <w:tcW w:w="868" w:type="dxa"/>
            <w:vAlign w:val="center"/>
          </w:tcPr>
          <w:p w14:paraId="597122F2" w14:textId="77777777" w:rsidR="00C4624A" w:rsidRPr="00195EC3" w:rsidRDefault="00C4624A" w:rsidP="00461AA0">
            <w:pPr>
              <w:jc w:val="right"/>
              <w:rPr>
                <w:rFonts w:eastAsia="Times New Roman"/>
                <w:noProof/>
                <w:sz w:val="20"/>
                <w:szCs w:val="20"/>
              </w:rPr>
            </w:pPr>
          </w:p>
        </w:tc>
        <w:tc>
          <w:tcPr>
            <w:tcW w:w="930" w:type="dxa"/>
            <w:vAlign w:val="center"/>
          </w:tcPr>
          <w:p w14:paraId="64567248" w14:textId="77777777" w:rsidR="00C4624A" w:rsidRPr="00195EC3" w:rsidRDefault="00C4624A" w:rsidP="00461AA0">
            <w:pPr>
              <w:jc w:val="right"/>
              <w:rPr>
                <w:rFonts w:eastAsia="Times New Roman"/>
                <w:noProof/>
                <w:sz w:val="20"/>
                <w:szCs w:val="20"/>
              </w:rPr>
            </w:pPr>
          </w:p>
        </w:tc>
        <w:tc>
          <w:tcPr>
            <w:tcW w:w="996" w:type="dxa"/>
            <w:vAlign w:val="center"/>
          </w:tcPr>
          <w:p w14:paraId="636B2239" w14:textId="77777777" w:rsidR="00C4624A" w:rsidRPr="00195EC3" w:rsidRDefault="00C4624A" w:rsidP="00461AA0">
            <w:pPr>
              <w:spacing w:before="40" w:after="40"/>
              <w:jc w:val="right"/>
              <w:rPr>
                <w:rFonts w:eastAsia="Times New Roman"/>
                <w:noProof/>
                <w:sz w:val="20"/>
                <w:szCs w:val="20"/>
              </w:rPr>
            </w:pPr>
          </w:p>
          <w:p w14:paraId="200CDE65" w14:textId="77777777" w:rsidR="00C4624A" w:rsidRPr="00195EC3" w:rsidRDefault="00C4624A" w:rsidP="00461AA0">
            <w:pPr>
              <w:spacing w:before="40" w:after="40"/>
              <w:jc w:val="right"/>
              <w:rPr>
                <w:rFonts w:eastAsia="Times New Roman"/>
                <w:noProof/>
                <w:sz w:val="20"/>
                <w:szCs w:val="20"/>
              </w:rPr>
            </w:pPr>
            <w:r w:rsidRPr="00195EC3">
              <w:rPr>
                <w:noProof/>
                <w:sz w:val="20"/>
              </w:rPr>
              <w:t>0,15</w:t>
            </w:r>
          </w:p>
        </w:tc>
        <w:tc>
          <w:tcPr>
            <w:tcW w:w="992" w:type="dxa"/>
          </w:tcPr>
          <w:p w14:paraId="28BC7B92" w14:textId="77777777" w:rsidR="00C4624A" w:rsidRPr="00195EC3" w:rsidRDefault="00C4624A" w:rsidP="00461AA0">
            <w:pPr>
              <w:jc w:val="right"/>
              <w:rPr>
                <w:rFonts w:eastAsia="Times New Roman"/>
                <w:b/>
                <w:noProof/>
                <w:sz w:val="20"/>
                <w:szCs w:val="20"/>
              </w:rPr>
            </w:pPr>
          </w:p>
        </w:tc>
        <w:tc>
          <w:tcPr>
            <w:tcW w:w="992" w:type="dxa"/>
          </w:tcPr>
          <w:p w14:paraId="61DD5053" w14:textId="77777777" w:rsidR="00C4624A" w:rsidRPr="00195EC3" w:rsidRDefault="00C4624A" w:rsidP="00461AA0">
            <w:pPr>
              <w:jc w:val="right"/>
              <w:rPr>
                <w:rFonts w:eastAsia="Times New Roman"/>
                <w:b/>
                <w:noProof/>
                <w:sz w:val="20"/>
                <w:szCs w:val="20"/>
              </w:rPr>
            </w:pPr>
          </w:p>
        </w:tc>
        <w:tc>
          <w:tcPr>
            <w:tcW w:w="2410" w:type="dxa"/>
            <w:vAlign w:val="center"/>
          </w:tcPr>
          <w:p w14:paraId="025F7A84" w14:textId="77777777" w:rsidR="00C4624A" w:rsidRPr="00195EC3" w:rsidRDefault="00C4624A" w:rsidP="00461AA0">
            <w:pPr>
              <w:jc w:val="right"/>
              <w:rPr>
                <w:rFonts w:eastAsia="Times New Roman"/>
                <w:b/>
                <w:bCs/>
                <w:noProof/>
                <w:sz w:val="20"/>
                <w:szCs w:val="20"/>
              </w:rPr>
            </w:pPr>
            <w:r w:rsidRPr="00195EC3">
              <w:rPr>
                <w:b/>
                <w:noProof/>
                <w:sz w:val="20"/>
              </w:rPr>
              <w:t>0,3</w:t>
            </w:r>
          </w:p>
        </w:tc>
      </w:tr>
      <w:tr w:rsidR="00C4624A" w:rsidRPr="00195EC3" w14:paraId="4FF4CD66" w14:textId="77777777" w:rsidTr="00461AA0">
        <w:tc>
          <w:tcPr>
            <w:tcW w:w="3960" w:type="dxa"/>
            <w:vMerge w:val="restart"/>
            <w:vAlign w:val="center"/>
          </w:tcPr>
          <w:p w14:paraId="26043FDB" w14:textId="2E1B81D9" w:rsidR="00C4624A" w:rsidRPr="00195EC3" w:rsidRDefault="00C4624A" w:rsidP="0064601D">
            <w:pPr>
              <w:jc w:val="center"/>
              <w:rPr>
                <w:b/>
                <w:bCs/>
                <w:noProof/>
              </w:rPr>
            </w:pPr>
            <w:r w:rsidRPr="00195EC3">
              <w:rPr>
                <w:b/>
                <w:noProof/>
                <w:sz w:val="22"/>
              </w:rPr>
              <w:t>TOTALE degli stanziamenti per la DG</w:t>
            </w:r>
            <w:r w:rsidR="0064601D">
              <w:rPr>
                <w:b/>
                <w:noProof/>
                <w:sz w:val="22"/>
              </w:rPr>
              <w:t> </w:t>
            </w:r>
            <w:r w:rsidRPr="00195EC3">
              <w:rPr>
                <w:b/>
                <w:noProof/>
                <w:sz w:val="22"/>
              </w:rPr>
              <w:t>ECFIN</w:t>
            </w:r>
          </w:p>
        </w:tc>
        <w:tc>
          <w:tcPr>
            <w:tcW w:w="1440" w:type="dxa"/>
            <w:gridSpan w:val="2"/>
            <w:vAlign w:val="center"/>
          </w:tcPr>
          <w:p w14:paraId="0C127C91" w14:textId="77777777" w:rsidR="00C4624A" w:rsidRPr="00195EC3" w:rsidRDefault="00C4624A" w:rsidP="00461AA0">
            <w:pPr>
              <w:rPr>
                <w:noProof/>
                <w:sz w:val="18"/>
                <w:szCs w:val="18"/>
              </w:rPr>
            </w:pPr>
            <w:r w:rsidRPr="00195EC3">
              <w:rPr>
                <w:noProof/>
                <w:sz w:val="18"/>
              </w:rPr>
              <w:t>Impegni</w:t>
            </w:r>
          </w:p>
        </w:tc>
        <w:tc>
          <w:tcPr>
            <w:tcW w:w="654" w:type="dxa"/>
            <w:vAlign w:val="center"/>
          </w:tcPr>
          <w:p w14:paraId="3C418F82" w14:textId="77777777" w:rsidR="00C4624A" w:rsidRPr="00195EC3" w:rsidRDefault="00C4624A" w:rsidP="00461AA0">
            <w:pPr>
              <w:jc w:val="center"/>
              <w:rPr>
                <w:rFonts w:eastAsia="Calibri"/>
                <w:noProof/>
                <w:szCs w:val="24"/>
              </w:rPr>
            </w:pPr>
            <w:r w:rsidRPr="00195EC3">
              <w:rPr>
                <w:noProof/>
                <w:sz w:val="14"/>
              </w:rPr>
              <w:t>Totale c)</w:t>
            </w:r>
          </w:p>
        </w:tc>
        <w:tc>
          <w:tcPr>
            <w:tcW w:w="868" w:type="dxa"/>
          </w:tcPr>
          <w:p w14:paraId="3A2B36FC" w14:textId="77777777" w:rsidR="00C4624A" w:rsidRPr="00195EC3" w:rsidRDefault="00C4624A" w:rsidP="00461AA0">
            <w:pPr>
              <w:spacing w:before="20" w:after="20"/>
              <w:jc w:val="right"/>
              <w:rPr>
                <w:rFonts w:eastAsia="Times New Roman"/>
                <w:b/>
                <w:noProof/>
                <w:sz w:val="20"/>
                <w:szCs w:val="20"/>
              </w:rPr>
            </w:pPr>
          </w:p>
          <w:p w14:paraId="26E92356" w14:textId="77777777" w:rsidR="00C4624A" w:rsidRPr="00195EC3" w:rsidRDefault="00C4624A" w:rsidP="00461AA0">
            <w:pPr>
              <w:spacing w:before="20" w:after="20"/>
              <w:jc w:val="right"/>
              <w:rPr>
                <w:rFonts w:eastAsia="Times New Roman"/>
                <w:b/>
                <w:bCs/>
                <w:noProof/>
                <w:sz w:val="20"/>
                <w:szCs w:val="20"/>
              </w:rPr>
            </w:pPr>
            <w:r w:rsidRPr="00195EC3">
              <w:rPr>
                <w:b/>
                <w:noProof/>
                <w:sz w:val="20"/>
              </w:rPr>
              <w:t>27,3</w:t>
            </w:r>
          </w:p>
          <w:p w14:paraId="58FD6026" w14:textId="77777777" w:rsidR="00C4624A" w:rsidRPr="00195EC3" w:rsidRDefault="00C4624A" w:rsidP="00461AA0">
            <w:pPr>
              <w:spacing w:before="20" w:after="20"/>
              <w:jc w:val="right"/>
              <w:rPr>
                <w:rFonts w:eastAsia="Times New Roman"/>
                <w:b/>
                <w:noProof/>
                <w:sz w:val="20"/>
                <w:szCs w:val="20"/>
              </w:rPr>
            </w:pPr>
          </w:p>
        </w:tc>
        <w:tc>
          <w:tcPr>
            <w:tcW w:w="868" w:type="dxa"/>
            <w:vAlign w:val="center"/>
          </w:tcPr>
          <w:p w14:paraId="0B5E7DB4" w14:textId="77777777" w:rsidR="00C4624A" w:rsidRPr="00195EC3" w:rsidRDefault="00C4624A" w:rsidP="00461AA0">
            <w:pPr>
              <w:spacing w:before="20" w:after="20"/>
              <w:jc w:val="right"/>
              <w:rPr>
                <w:rFonts w:eastAsia="Times New Roman"/>
                <w:b/>
                <w:bCs/>
                <w:noProof/>
                <w:sz w:val="20"/>
                <w:szCs w:val="20"/>
              </w:rPr>
            </w:pPr>
            <w:r w:rsidRPr="00195EC3">
              <w:rPr>
                <w:b/>
                <w:noProof/>
                <w:sz w:val="20"/>
              </w:rPr>
              <w:t>125,2</w:t>
            </w:r>
          </w:p>
        </w:tc>
        <w:tc>
          <w:tcPr>
            <w:tcW w:w="868" w:type="dxa"/>
            <w:vAlign w:val="center"/>
          </w:tcPr>
          <w:p w14:paraId="43092B72" w14:textId="77777777" w:rsidR="00C4624A" w:rsidRPr="00195EC3" w:rsidRDefault="00C4624A" w:rsidP="00461AA0">
            <w:pPr>
              <w:spacing w:before="20" w:after="20"/>
              <w:jc w:val="right"/>
              <w:rPr>
                <w:rFonts w:eastAsia="Times New Roman"/>
                <w:b/>
                <w:noProof/>
                <w:sz w:val="20"/>
                <w:szCs w:val="20"/>
              </w:rPr>
            </w:pPr>
            <w:r w:rsidRPr="00195EC3">
              <w:rPr>
                <w:b/>
                <w:noProof/>
                <w:sz w:val="20"/>
              </w:rPr>
              <w:t>162,6</w:t>
            </w:r>
          </w:p>
        </w:tc>
        <w:tc>
          <w:tcPr>
            <w:tcW w:w="930" w:type="dxa"/>
            <w:vAlign w:val="center"/>
          </w:tcPr>
          <w:p w14:paraId="51D49213" w14:textId="77777777" w:rsidR="00C4624A" w:rsidRPr="00195EC3" w:rsidRDefault="00C4624A" w:rsidP="00461AA0">
            <w:pPr>
              <w:spacing w:before="20" w:after="20"/>
              <w:jc w:val="right"/>
              <w:rPr>
                <w:rFonts w:eastAsia="Times New Roman"/>
                <w:b/>
                <w:noProof/>
                <w:sz w:val="20"/>
                <w:szCs w:val="20"/>
              </w:rPr>
            </w:pPr>
            <w:r w:rsidRPr="00195EC3">
              <w:rPr>
                <w:b/>
                <w:noProof/>
                <w:sz w:val="20"/>
              </w:rPr>
              <w:t>32,5</w:t>
            </w:r>
          </w:p>
        </w:tc>
        <w:tc>
          <w:tcPr>
            <w:tcW w:w="996" w:type="dxa"/>
            <w:vAlign w:val="center"/>
          </w:tcPr>
          <w:p w14:paraId="62F4BEB0" w14:textId="77777777" w:rsidR="00C4624A" w:rsidRPr="00195EC3" w:rsidRDefault="00C4624A" w:rsidP="00461AA0">
            <w:pPr>
              <w:spacing w:before="20" w:after="20"/>
              <w:jc w:val="right"/>
              <w:rPr>
                <w:rFonts w:eastAsia="Times New Roman"/>
                <w:b/>
                <w:noProof/>
                <w:sz w:val="20"/>
                <w:szCs w:val="20"/>
              </w:rPr>
            </w:pPr>
            <w:r w:rsidRPr="00195EC3">
              <w:rPr>
                <w:b/>
                <w:noProof/>
                <w:sz w:val="20"/>
              </w:rPr>
              <w:t>143,55</w:t>
            </w:r>
          </w:p>
        </w:tc>
        <w:tc>
          <w:tcPr>
            <w:tcW w:w="992" w:type="dxa"/>
          </w:tcPr>
          <w:p w14:paraId="62445355" w14:textId="77777777" w:rsidR="00C4624A" w:rsidRPr="00195EC3" w:rsidRDefault="00C4624A" w:rsidP="00461AA0">
            <w:pPr>
              <w:spacing w:before="20" w:after="20"/>
              <w:jc w:val="right"/>
              <w:rPr>
                <w:rFonts w:eastAsia="Times New Roman"/>
                <w:b/>
                <w:noProof/>
                <w:sz w:val="20"/>
                <w:szCs w:val="20"/>
              </w:rPr>
            </w:pPr>
          </w:p>
          <w:p w14:paraId="723DC535" w14:textId="77777777" w:rsidR="00C4624A" w:rsidRPr="00195EC3" w:rsidRDefault="00C4624A" w:rsidP="00461AA0">
            <w:pPr>
              <w:spacing w:before="20" w:after="20"/>
              <w:jc w:val="right"/>
              <w:rPr>
                <w:rFonts w:eastAsia="Times New Roman"/>
                <w:b/>
                <w:bCs/>
                <w:noProof/>
                <w:sz w:val="20"/>
                <w:szCs w:val="20"/>
              </w:rPr>
            </w:pPr>
            <w:r w:rsidRPr="00195EC3">
              <w:rPr>
                <w:b/>
                <w:noProof/>
                <w:sz w:val="20"/>
              </w:rPr>
              <w:t>49,1</w:t>
            </w:r>
          </w:p>
          <w:p w14:paraId="46C38095" w14:textId="77777777" w:rsidR="00C4624A" w:rsidRPr="00195EC3" w:rsidRDefault="00C4624A" w:rsidP="00461AA0">
            <w:pPr>
              <w:spacing w:before="20" w:after="20"/>
              <w:jc w:val="right"/>
              <w:rPr>
                <w:rFonts w:eastAsia="Times New Roman"/>
                <w:b/>
                <w:noProof/>
                <w:sz w:val="20"/>
                <w:szCs w:val="20"/>
              </w:rPr>
            </w:pPr>
          </w:p>
        </w:tc>
        <w:tc>
          <w:tcPr>
            <w:tcW w:w="992" w:type="dxa"/>
          </w:tcPr>
          <w:p w14:paraId="5528B78F" w14:textId="77777777" w:rsidR="00C4624A" w:rsidRPr="00195EC3" w:rsidRDefault="00C4624A" w:rsidP="00461AA0">
            <w:pPr>
              <w:spacing w:before="20" w:after="20"/>
              <w:jc w:val="right"/>
              <w:rPr>
                <w:rFonts w:eastAsia="Times New Roman"/>
                <w:b/>
                <w:noProof/>
                <w:sz w:val="20"/>
                <w:szCs w:val="20"/>
              </w:rPr>
            </w:pPr>
          </w:p>
          <w:p w14:paraId="1616C437" w14:textId="77777777" w:rsidR="00C4624A" w:rsidRPr="00195EC3" w:rsidRDefault="00C4624A" w:rsidP="00461AA0">
            <w:pPr>
              <w:spacing w:before="20" w:after="20"/>
              <w:jc w:val="right"/>
              <w:rPr>
                <w:rFonts w:eastAsia="Times New Roman"/>
                <w:b/>
                <w:noProof/>
                <w:sz w:val="20"/>
                <w:szCs w:val="20"/>
              </w:rPr>
            </w:pPr>
          </w:p>
        </w:tc>
        <w:tc>
          <w:tcPr>
            <w:tcW w:w="2410" w:type="dxa"/>
          </w:tcPr>
          <w:p w14:paraId="02722E9A" w14:textId="77777777" w:rsidR="00C4624A" w:rsidRPr="00195EC3" w:rsidRDefault="00C4624A" w:rsidP="00461AA0">
            <w:pPr>
              <w:spacing w:before="20" w:after="20"/>
              <w:jc w:val="right"/>
              <w:rPr>
                <w:rFonts w:eastAsia="Times New Roman"/>
                <w:b/>
                <w:noProof/>
                <w:sz w:val="20"/>
                <w:szCs w:val="20"/>
              </w:rPr>
            </w:pPr>
          </w:p>
          <w:p w14:paraId="71727B65" w14:textId="77777777" w:rsidR="00C4624A" w:rsidRPr="00195EC3" w:rsidRDefault="00C4624A" w:rsidP="00461AA0">
            <w:pPr>
              <w:spacing w:before="20" w:after="20"/>
              <w:jc w:val="right"/>
              <w:rPr>
                <w:rFonts w:eastAsia="Times New Roman"/>
                <w:b/>
                <w:bCs/>
                <w:noProof/>
                <w:sz w:val="20"/>
                <w:szCs w:val="20"/>
              </w:rPr>
            </w:pPr>
            <w:r w:rsidRPr="00195EC3">
              <w:rPr>
                <w:b/>
                <w:noProof/>
                <w:sz w:val="20"/>
              </w:rPr>
              <w:t>540,3</w:t>
            </w:r>
          </w:p>
        </w:tc>
      </w:tr>
      <w:tr w:rsidR="00C4624A" w:rsidRPr="00195EC3" w14:paraId="22D1F6D4" w14:textId="77777777" w:rsidTr="00461AA0">
        <w:tc>
          <w:tcPr>
            <w:tcW w:w="3960" w:type="dxa"/>
            <w:vMerge/>
          </w:tcPr>
          <w:p w14:paraId="7D78AE9F" w14:textId="77777777" w:rsidR="00C4624A" w:rsidRPr="00195EC3" w:rsidRDefault="00C4624A" w:rsidP="00461AA0">
            <w:pPr>
              <w:rPr>
                <w:noProof/>
                <w:sz w:val="20"/>
              </w:rPr>
            </w:pPr>
          </w:p>
        </w:tc>
        <w:tc>
          <w:tcPr>
            <w:tcW w:w="1440" w:type="dxa"/>
            <w:gridSpan w:val="2"/>
            <w:vAlign w:val="center"/>
          </w:tcPr>
          <w:p w14:paraId="19D01189" w14:textId="77777777" w:rsidR="00C4624A" w:rsidRPr="00195EC3" w:rsidRDefault="00C4624A" w:rsidP="00461AA0">
            <w:pPr>
              <w:rPr>
                <w:noProof/>
                <w:sz w:val="18"/>
                <w:szCs w:val="18"/>
              </w:rPr>
            </w:pPr>
            <w:r w:rsidRPr="00195EC3">
              <w:rPr>
                <w:noProof/>
                <w:sz w:val="18"/>
              </w:rPr>
              <w:t>Pagamenti</w:t>
            </w:r>
          </w:p>
        </w:tc>
        <w:tc>
          <w:tcPr>
            <w:tcW w:w="654" w:type="dxa"/>
            <w:vAlign w:val="center"/>
          </w:tcPr>
          <w:p w14:paraId="5E3D6D57" w14:textId="77777777" w:rsidR="00C4624A" w:rsidRPr="00195EC3" w:rsidRDefault="00C4624A" w:rsidP="00461AA0">
            <w:pPr>
              <w:jc w:val="center"/>
              <w:rPr>
                <w:rFonts w:eastAsia="Calibri"/>
                <w:noProof/>
                <w:szCs w:val="24"/>
              </w:rPr>
            </w:pPr>
            <w:r w:rsidRPr="00195EC3">
              <w:rPr>
                <w:noProof/>
                <w:sz w:val="14"/>
              </w:rPr>
              <w:t>Totale d)</w:t>
            </w:r>
          </w:p>
        </w:tc>
        <w:tc>
          <w:tcPr>
            <w:tcW w:w="868" w:type="dxa"/>
          </w:tcPr>
          <w:p w14:paraId="759881C3" w14:textId="77777777" w:rsidR="00C4624A" w:rsidRPr="00195EC3" w:rsidRDefault="00C4624A" w:rsidP="00461AA0">
            <w:pPr>
              <w:spacing w:before="20" w:after="20"/>
              <w:jc w:val="right"/>
              <w:rPr>
                <w:rFonts w:eastAsia="Times New Roman"/>
                <w:b/>
                <w:noProof/>
                <w:sz w:val="20"/>
                <w:szCs w:val="20"/>
              </w:rPr>
            </w:pPr>
          </w:p>
        </w:tc>
        <w:tc>
          <w:tcPr>
            <w:tcW w:w="868" w:type="dxa"/>
            <w:vAlign w:val="center"/>
          </w:tcPr>
          <w:p w14:paraId="76B709E7" w14:textId="77777777" w:rsidR="00C4624A" w:rsidRPr="00195EC3" w:rsidRDefault="00C4624A" w:rsidP="00461AA0">
            <w:pPr>
              <w:spacing w:before="20" w:after="20"/>
              <w:jc w:val="right"/>
              <w:rPr>
                <w:rFonts w:eastAsia="Times New Roman"/>
                <w:b/>
                <w:bCs/>
                <w:noProof/>
                <w:sz w:val="20"/>
                <w:szCs w:val="20"/>
              </w:rPr>
            </w:pPr>
            <w:r w:rsidRPr="00195EC3">
              <w:rPr>
                <w:b/>
                <w:noProof/>
                <w:sz w:val="20"/>
              </w:rPr>
              <w:t>0,15</w:t>
            </w:r>
          </w:p>
        </w:tc>
        <w:tc>
          <w:tcPr>
            <w:tcW w:w="868" w:type="dxa"/>
            <w:vAlign w:val="center"/>
          </w:tcPr>
          <w:p w14:paraId="6703CAB1" w14:textId="77777777" w:rsidR="00C4624A" w:rsidRPr="00195EC3" w:rsidRDefault="00C4624A" w:rsidP="00461AA0">
            <w:pPr>
              <w:spacing w:before="20" w:after="20"/>
              <w:jc w:val="right"/>
              <w:rPr>
                <w:rFonts w:eastAsia="Times New Roman"/>
                <w:b/>
                <w:noProof/>
                <w:sz w:val="20"/>
                <w:szCs w:val="20"/>
              </w:rPr>
            </w:pPr>
          </w:p>
        </w:tc>
        <w:tc>
          <w:tcPr>
            <w:tcW w:w="930" w:type="dxa"/>
            <w:vAlign w:val="center"/>
          </w:tcPr>
          <w:p w14:paraId="1783D82C" w14:textId="77777777" w:rsidR="00C4624A" w:rsidRPr="00195EC3" w:rsidRDefault="00C4624A" w:rsidP="00461AA0">
            <w:pPr>
              <w:spacing w:before="20" w:after="20"/>
              <w:jc w:val="right"/>
              <w:rPr>
                <w:rFonts w:eastAsia="Times New Roman"/>
                <w:b/>
                <w:noProof/>
                <w:sz w:val="20"/>
                <w:szCs w:val="20"/>
              </w:rPr>
            </w:pPr>
            <w:r w:rsidRPr="00195EC3">
              <w:rPr>
                <w:b/>
                <w:noProof/>
                <w:sz w:val="20"/>
              </w:rPr>
              <w:t xml:space="preserve"> 81,2</w:t>
            </w:r>
          </w:p>
        </w:tc>
        <w:tc>
          <w:tcPr>
            <w:tcW w:w="996" w:type="dxa"/>
            <w:vAlign w:val="center"/>
          </w:tcPr>
          <w:p w14:paraId="3808CABB" w14:textId="77777777" w:rsidR="00C4624A" w:rsidRPr="00195EC3" w:rsidRDefault="00C4624A" w:rsidP="00461AA0">
            <w:pPr>
              <w:spacing w:before="20" w:after="20"/>
              <w:jc w:val="right"/>
              <w:rPr>
                <w:rFonts w:eastAsia="Times New Roman"/>
                <w:b/>
                <w:noProof/>
                <w:sz w:val="20"/>
                <w:szCs w:val="20"/>
              </w:rPr>
            </w:pPr>
            <w:r w:rsidRPr="00195EC3">
              <w:rPr>
                <w:b/>
                <w:noProof/>
                <w:sz w:val="20"/>
              </w:rPr>
              <w:t xml:space="preserve"> 100,15</w:t>
            </w:r>
          </w:p>
        </w:tc>
        <w:tc>
          <w:tcPr>
            <w:tcW w:w="992" w:type="dxa"/>
            <w:vAlign w:val="center"/>
          </w:tcPr>
          <w:p w14:paraId="44562AFF" w14:textId="77777777" w:rsidR="00C4624A" w:rsidRPr="00195EC3" w:rsidRDefault="00C4624A" w:rsidP="00461AA0">
            <w:pPr>
              <w:spacing w:before="20" w:after="20"/>
              <w:jc w:val="right"/>
              <w:rPr>
                <w:rFonts w:eastAsia="Times New Roman"/>
                <w:b/>
                <w:noProof/>
                <w:sz w:val="20"/>
                <w:szCs w:val="20"/>
              </w:rPr>
            </w:pPr>
            <w:r w:rsidRPr="00195EC3">
              <w:rPr>
                <w:b/>
                <w:noProof/>
                <w:sz w:val="20"/>
              </w:rPr>
              <w:t xml:space="preserve"> 300,0</w:t>
            </w:r>
          </w:p>
        </w:tc>
        <w:tc>
          <w:tcPr>
            <w:tcW w:w="992" w:type="dxa"/>
            <w:vAlign w:val="center"/>
          </w:tcPr>
          <w:p w14:paraId="38BC41EB" w14:textId="77777777" w:rsidR="00C4624A" w:rsidRPr="00195EC3" w:rsidRDefault="00C4624A" w:rsidP="00461AA0">
            <w:pPr>
              <w:spacing w:before="20" w:after="20"/>
              <w:jc w:val="right"/>
              <w:rPr>
                <w:rFonts w:eastAsia="Times New Roman"/>
                <w:b/>
                <w:noProof/>
                <w:sz w:val="20"/>
                <w:szCs w:val="20"/>
              </w:rPr>
            </w:pPr>
            <w:r w:rsidRPr="00195EC3">
              <w:rPr>
                <w:b/>
                <w:noProof/>
                <w:sz w:val="20"/>
              </w:rPr>
              <w:t>58,8</w:t>
            </w:r>
          </w:p>
        </w:tc>
        <w:tc>
          <w:tcPr>
            <w:tcW w:w="2410" w:type="dxa"/>
            <w:vAlign w:val="center"/>
          </w:tcPr>
          <w:p w14:paraId="2939A093" w14:textId="77777777" w:rsidR="00C4624A" w:rsidRPr="00195EC3" w:rsidRDefault="00C4624A" w:rsidP="00461AA0">
            <w:pPr>
              <w:spacing w:before="20" w:after="20"/>
              <w:jc w:val="right"/>
              <w:rPr>
                <w:rFonts w:eastAsia="Times New Roman"/>
                <w:b/>
                <w:bCs/>
                <w:noProof/>
                <w:sz w:val="20"/>
                <w:szCs w:val="20"/>
              </w:rPr>
            </w:pPr>
            <w:r w:rsidRPr="00195EC3">
              <w:rPr>
                <w:b/>
                <w:noProof/>
                <w:sz w:val="20"/>
              </w:rPr>
              <w:t>540,3</w:t>
            </w:r>
          </w:p>
        </w:tc>
      </w:tr>
    </w:tbl>
    <w:p w14:paraId="6BF6EB2B" w14:textId="77777777" w:rsidR="00C4624A" w:rsidRPr="00195EC3" w:rsidRDefault="00C4624A" w:rsidP="00C4624A">
      <w:pPr>
        <w:rPr>
          <w:noProof/>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55"/>
        <w:gridCol w:w="822"/>
        <w:gridCol w:w="851"/>
        <w:gridCol w:w="992"/>
        <w:gridCol w:w="992"/>
        <w:gridCol w:w="993"/>
        <w:gridCol w:w="992"/>
        <w:gridCol w:w="2410"/>
      </w:tblGrid>
      <w:tr w:rsidR="00C4624A" w:rsidRPr="00195EC3" w14:paraId="437212A2" w14:textId="77777777" w:rsidTr="00461AA0">
        <w:tc>
          <w:tcPr>
            <w:tcW w:w="3960" w:type="dxa"/>
            <w:vMerge w:val="restart"/>
            <w:shd w:val="clear" w:color="auto" w:fill="auto"/>
            <w:vAlign w:val="center"/>
          </w:tcPr>
          <w:p w14:paraId="7AA8CDC0" w14:textId="77777777" w:rsidR="00C4624A" w:rsidRPr="00195EC3" w:rsidRDefault="00C4624A" w:rsidP="00461AA0">
            <w:pPr>
              <w:jc w:val="center"/>
              <w:rPr>
                <w:b/>
                <w:bCs/>
                <w:noProof/>
              </w:rPr>
            </w:pPr>
            <w:r w:rsidRPr="00195EC3">
              <w:rPr>
                <w:b/>
                <w:noProof/>
                <w:sz w:val="22"/>
              </w:rPr>
              <w:t>TOTALE stanziamenti per la RUBRICA 6</w:t>
            </w:r>
            <w:r w:rsidRPr="00195EC3">
              <w:rPr>
                <w:noProof/>
                <w:sz w:val="22"/>
              </w:rPr>
              <w:t xml:space="preserve"> del quadro finanziario pluriennale</w:t>
            </w:r>
          </w:p>
        </w:tc>
        <w:tc>
          <w:tcPr>
            <w:tcW w:w="1440" w:type="dxa"/>
            <w:vAlign w:val="center"/>
          </w:tcPr>
          <w:p w14:paraId="38EA25C7" w14:textId="77777777" w:rsidR="00C4624A" w:rsidRPr="00195EC3" w:rsidRDefault="00C4624A" w:rsidP="00461AA0">
            <w:pPr>
              <w:rPr>
                <w:noProof/>
                <w:sz w:val="18"/>
                <w:szCs w:val="18"/>
              </w:rPr>
            </w:pPr>
            <w:r w:rsidRPr="00195EC3">
              <w:rPr>
                <w:noProof/>
                <w:sz w:val="18"/>
              </w:rPr>
              <w:t>Impegni</w:t>
            </w:r>
          </w:p>
        </w:tc>
        <w:tc>
          <w:tcPr>
            <w:tcW w:w="654" w:type="dxa"/>
            <w:vAlign w:val="center"/>
          </w:tcPr>
          <w:p w14:paraId="09B813D8" w14:textId="77777777" w:rsidR="00C4624A" w:rsidRPr="00195EC3" w:rsidRDefault="00C4624A" w:rsidP="00461AA0">
            <w:pPr>
              <w:jc w:val="center"/>
              <w:rPr>
                <w:rFonts w:eastAsia="Calibri"/>
                <w:noProof/>
                <w:szCs w:val="24"/>
              </w:rPr>
            </w:pPr>
            <w:r w:rsidRPr="00195EC3">
              <w:rPr>
                <w:noProof/>
                <w:sz w:val="14"/>
              </w:rPr>
              <w:t>= a+c</w:t>
            </w:r>
          </w:p>
        </w:tc>
        <w:tc>
          <w:tcPr>
            <w:tcW w:w="855" w:type="dxa"/>
          </w:tcPr>
          <w:p w14:paraId="75DE030F" w14:textId="77777777" w:rsidR="00C4624A" w:rsidRPr="00195EC3" w:rsidRDefault="00C4624A" w:rsidP="00461AA0">
            <w:pPr>
              <w:spacing w:before="0" w:after="160" w:line="259" w:lineRule="auto"/>
              <w:jc w:val="right"/>
              <w:rPr>
                <w:b/>
                <w:noProof/>
                <w:sz w:val="20"/>
                <w:szCs w:val="20"/>
              </w:rPr>
            </w:pPr>
            <w:r w:rsidRPr="00195EC3">
              <w:rPr>
                <w:b/>
                <w:noProof/>
                <w:sz w:val="20"/>
              </w:rPr>
              <w:t>27,3</w:t>
            </w:r>
          </w:p>
        </w:tc>
        <w:tc>
          <w:tcPr>
            <w:tcW w:w="822" w:type="dxa"/>
            <w:vAlign w:val="center"/>
          </w:tcPr>
          <w:p w14:paraId="61283C20" w14:textId="77777777" w:rsidR="00C4624A" w:rsidRPr="00195EC3" w:rsidRDefault="00C4624A" w:rsidP="00461AA0">
            <w:pPr>
              <w:spacing w:before="0" w:after="160" w:line="259" w:lineRule="auto"/>
              <w:jc w:val="right"/>
              <w:rPr>
                <w:b/>
                <w:bCs/>
                <w:noProof/>
                <w:sz w:val="20"/>
                <w:szCs w:val="20"/>
              </w:rPr>
            </w:pPr>
            <w:r w:rsidRPr="00195EC3">
              <w:rPr>
                <w:b/>
                <w:noProof/>
                <w:sz w:val="20"/>
              </w:rPr>
              <w:t>125,2</w:t>
            </w:r>
          </w:p>
        </w:tc>
        <w:tc>
          <w:tcPr>
            <w:tcW w:w="851" w:type="dxa"/>
            <w:vAlign w:val="center"/>
          </w:tcPr>
          <w:p w14:paraId="5F978432" w14:textId="77777777" w:rsidR="00C4624A" w:rsidRPr="00195EC3" w:rsidRDefault="00C4624A" w:rsidP="00461AA0">
            <w:pPr>
              <w:spacing w:before="0" w:after="160" w:line="259" w:lineRule="auto"/>
              <w:jc w:val="right"/>
              <w:rPr>
                <w:b/>
                <w:bCs/>
                <w:noProof/>
                <w:sz w:val="20"/>
                <w:szCs w:val="20"/>
              </w:rPr>
            </w:pPr>
            <w:r w:rsidRPr="00195EC3">
              <w:rPr>
                <w:b/>
                <w:noProof/>
                <w:sz w:val="20"/>
              </w:rPr>
              <w:t>332,6</w:t>
            </w:r>
          </w:p>
          <w:p w14:paraId="52B75392" w14:textId="77777777" w:rsidR="00C4624A" w:rsidRPr="00195EC3" w:rsidRDefault="00C4624A" w:rsidP="00461AA0">
            <w:pPr>
              <w:spacing w:before="0" w:after="160" w:line="259" w:lineRule="auto"/>
              <w:jc w:val="right"/>
              <w:rPr>
                <w:b/>
                <w:noProof/>
                <w:sz w:val="20"/>
                <w:szCs w:val="20"/>
              </w:rPr>
            </w:pPr>
          </w:p>
        </w:tc>
        <w:tc>
          <w:tcPr>
            <w:tcW w:w="992" w:type="dxa"/>
            <w:vAlign w:val="center"/>
          </w:tcPr>
          <w:p w14:paraId="5E0DE6F9" w14:textId="77777777" w:rsidR="00C4624A" w:rsidRPr="00195EC3" w:rsidRDefault="00C4624A" w:rsidP="00461AA0">
            <w:pPr>
              <w:spacing w:before="0" w:after="160" w:line="259" w:lineRule="auto"/>
              <w:jc w:val="right"/>
              <w:rPr>
                <w:b/>
                <w:bCs/>
                <w:noProof/>
                <w:sz w:val="20"/>
                <w:szCs w:val="20"/>
              </w:rPr>
            </w:pPr>
            <w:r w:rsidRPr="00195EC3">
              <w:rPr>
                <w:b/>
                <w:noProof/>
                <w:sz w:val="20"/>
              </w:rPr>
              <w:t>202,5</w:t>
            </w:r>
          </w:p>
          <w:p w14:paraId="5662BD9D" w14:textId="77777777" w:rsidR="00C4624A" w:rsidRPr="00195EC3" w:rsidRDefault="00C4624A" w:rsidP="00461AA0">
            <w:pPr>
              <w:spacing w:before="0" w:after="160" w:line="259" w:lineRule="auto"/>
              <w:jc w:val="right"/>
              <w:rPr>
                <w:b/>
                <w:noProof/>
                <w:sz w:val="20"/>
                <w:szCs w:val="20"/>
              </w:rPr>
            </w:pPr>
          </w:p>
        </w:tc>
        <w:tc>
          <w:tcPr>
            <w:tcW w:w="992" w:type="dxa"/>
            <w:vAlign w:val="center"/>
          </w:tcPr>
          <w:p w14:paraId="2511241A" w14:textId="77777777" w:rsidR="00C4624A" w:rsidRPr="00195EC3" w:rsidRDefault="00C4624A" w:rsidP="00461AA0">
            <w:pPr>
              <w:spacing w:before="0" w:after="160" w:line="259" w:lineRule="auto"/>
              <w:jc w:val="right"/>
              <w:rPr>
                <w:b/>
                <w:bCs/>
                <w:noProof/>
                <w:sz w:val="20"/>
                <w:szCs w:val="20"/>
              </w:rPr>
            </w:pPr>
            <w:r w:rsidRPr="00195EC3">
              <w:rPr>
                <w:b/>
                <w:noProof/>
                <w:sz w:val="20"/>
              </w:rPr>
              <w:t>683,6</w:t>
            </w:r>
          </w:p>
          <w:p w14:paraId="1DA2BAC9" w14:textId="77777777" w:rsidR="00C4624A" w:rsidRPr="00195EC3" w:rsidRDefault="00C4624A" w:rsidP="00461AA0">
            <w:pPr>
              <w:spacing w:before="0" w:after="160" w:line="259" w:lineRule="auto"/>
              <w:jc w:val="right"/>
              <w:rPr>
                <w:b/>
                <w:noProof/>
                <w:sz w:val="20"/>
                <w:szCs w:val="20"/>
              </w:rPr>
            </w:pPr>
          </w:p>
        </w:tc>
        <w:tc>
          <w:tcPr>
            <w:tcW w:w="993" w:type="dxa"/>
          </w:tcPr>
          <w:p w14:paraId="06E4737C" w14:textId="77777777" w:rsidR="00C4624A" w:rsidRPr="00195EC3" w:rsidRDefault="00C4624A" w:rsidP="00461AA0">
            <w:pPr>
              <w:spacing w:before="0" w:after="160" w:line="259" w:lineRule="auto"/>
              <w:jc w:val="right"/>
              <w:rPr>
                <w:b/>
                <w:noProof/>
                <w:sz w:val="20"/>
                <w:szCs w:val="20"/>
              </w:rPr>
            </w:pPr>
            <w:r w:rsidRPr="00195EC3">
              <w:rPr>
                <w:b/>
                <w:noProof/>
                <w:sz w:val="20"/>
              </w:rPr>
              <w:t>589,19</w:t>
            </w:r>
          </w:p>
        </w:tc>
        <w:tc>
          <w:tcPr>
            <w:tcW w:w="992" w:type="dxa"/>
          </w:tcPr>
          <w:p w14:paraId="052F13F3" w14:textId="77777777" w:rsidR="00C4624A" w:rsidRPr="00195EC3" w:rsidRDefault="00C4624A" w:rsidP="00461AA0">
            <w:pPr>
              <w:spacing w:before="0" w:after="160" w:line="259" w:lineRule="auto"/>
              <w:jc w:val="right"/>
              <w:rPr>
                <w:b/>
                <w:bCs/>
                <w:noProof/>
                <w:sz w:val="20"/>
                <w:szCs w:val="20"/>
              </w:rPr>
            </w:pPr>
            <w:r w:rsidRPr="00195EC3">
              <w:rPr>
                <w:b/>
                <w:noProof/>
                <w:sz w:val="20"/>
              </w:rPr>
              <w:t>540,06</w:t>
            </w:r>
          </w:p>
        </w:tc>
        <w:tc>
          <w:tcPr>
            <w:tcW w:w="2410" w:type="dxa"/>
            <w:vAlign w:val="center"/>
          </w:tcPr>
          <w:p w14:paraId="7A1CF1B8" w14:textId="77777777" w:rsidR="00C4624A" w:rsidRPr="00195EC3" w:rsidRDefault="00C4624A" w:rsidP="00461AA0">
            <w:pPr>
              <w:spacing w:before="0" w:after="160" w:line="259" w:lineRule="auto"/>
              <w:jc w:val="right"/>
              <w:rPr>
                <w:b/>
                <w:bCs/>
                <w:noProof/>
                <w:sz w:val="20"/>
                <w:szCs w:val="20"/>
              </w:rPr>
            </w:pPr>
            <w:r w:rsidRPr="00195EC3">
              <w:rPr>
                <w:b/>
                <w:noProof/>
                <w:sz w:val="20"/>
              </w:rPr>
              <w:t>2 500,5</w:t>
            </w:r>
          </w:p>
        </w:tc>
      </w:tr>
      <w:tr w:rsidR="00C4624A" w:rsidRPr="00195EC3" w14:paraId="3E360A5A" w14:textId="77777777" w:rsidTr="00461AA0">
        <w:tc>
          <w:tcPr>
            <w:tcW w:w="3960" w:type="dxa"/>
            <w:vMerge/>
          </w:tcPr>
          <w:p w14:paraId="0A41B52F" w14:textId="77777777" w:rsidR="00C4624A" w:rsidRPr="00195EC3" w:rsidRDefault="00C4624A" w:rsidP="00461AA0">
            <w:pPr>
              <w:rPr>
                <w:noProof/>
                <w:sz w:val="20"/>
              </w:rPr>
            </w:pPr>
          </w:p>
        </w:tc>
        <w:tc>
          <w:tcPr>
            <w:tcW w:w="1440" w:type="dxa"/>
            <w:vAlign w:val="center"/>
          </w:tcPr>
          <w:p w14:paraId="15D087DF" w14:textId="77777777" w:rsidR="00C4624A" w:rsidRPr="00195EC3" w:rsidRDefault="00C4624A" w:rsidP="00461AA0">
            <w:pPr>
              <w:rPr>
                <w:noProof/>
                <w:sz w:val="18"/>
                <w:szCs w:val="18"/>
              </w:rPr>
            </w:pPr>
            <w:r w:rsidRPr="00195EC3">
              <w:rPr>
                <w:noProof/>
                <w:sz w:val="18"/>
              </w:rPr>
              <w:t>Pagamenti</w:t>
            </w:r>
          </w:p>
        </w:tc>
        <w:tc>
          <w:tcPr>
            <w:tcW w:w="654" w:type="dxa"/>
            <w:vAlign w:val="center"/>
          </w:tcPr>
          <w:p w14:paraId="7BF92789" w14:textId="77777777" w:rsidR="00C4624A" w:rsidRPr="00195EC3" w:rsidRDefault="00C4624A" w:rsidP="00461AA0">
            <w:pPr>
              <w:jc w:val="center"/>
              <w:rPr>
                <w:noProof/>
                <w:sz w:val="14"/>
                <w:szCs w:val="14"/>
              </w:rPr>
            </w:pPr>
            <w:r w:rsidRPr="00195EC3">
              <w:rPr>
                <w:noProof/>
                <w:sz w:val="14"/>
              </w:rPr>
              <w:t>= b+d</w:t>
            </w:r>
          </w:p>
        </w:tc>
        <w:tc>
          <w:tcPr>
            <w:tcW w:w="855" w:type="dxa"/>
          </w:tcPr>
          <w:p w14:paraId="206EB572" w14:textId="77777777" w:rsidR="00C4624A" w:rsidRPr="00195EC3" w:rsidRDefault="00C4624A" w:rsidP="00461AA0">
            <w:pPr>
              <w:spacing w:before="0" w:after="160" w:line="259" w:lineRule="auto"/>
              <w:jc w:val="right"/>
              <w:rPr>
                <w:b/>
                <w:noProof/>
                <w:sz w:val="20"/>
                <w:szCs w:val="20"/>
              </w:rPr>
            </w:pPr>
          </w:p>
        </w:tc>
        <w:tc>
          <w:tcPr>
            <w:tcW w:w="822" w:type="dxa"/>
            <w:vAlign w:val="center"/>
          </w:tcPr>
          <w:p w14:paraId="5233A7DC" w14:textId="77777777" w:rsidR="00C4624A" w:rsidRPr="00195EC3" w:rsidRDefault="00C4624A" w:rsidP="00461AA0">
            <w:pPr>
              <w:spacing w:before="0" w:after="160" w:line="259" w:lineRule="auto"/>
              <w:jc w:val="right"/>
              <w:rPr>
                <w:b/>
                <w:bCs/>
                <w:noProof/>
                <w:sz w:val="20"/>
                <w:szCs w:val="20"/>
              </w:rPr>
            </w:pPr>
            <w:r w:rsidRPr="00195EC3">
              <w:rPr>
                <w:b/>
                <w:noProof/>
                <w:sz w:val="20"/>
              </w:rPr>
              <w:t>0,15</w:t>
            </w:r>
          </w:p>
        </w:tc>
        <w:tc>
          <w:tcPr>
            <w:tcW w:w="851" w:type="dxa"/>
            <w:vAlign w:val="center"/>
          </w:tcPr>
          <w:p w14:paraId="22BB8DC6" w14:textId="77777777" w:rsidR="00C4624A" w:rsidRPr="00195EC3" w:rsidRDefault="00C4624A" w:rsidP="00461AA0">
            <w:pPr>
              <w:spacing w:before="0" w:after="160" w:line="259" w:lineRule="auto"/>
              <w:jc w:val="right"/>
              <w:rPr>
                <w:b/>
                <w:noProof/>
                <w:sz w:val="20"/>
                <w:szCs w:val="20"/>
              </w:rPr>
            </w:pPr>
            <w:r w:rsidRPr="00195EC3">
              <w:rPr>
                <w:b/>
                <w:noProof/>
                <w:sz w:val="20"/>
              </w:rPr>
              <w:t>170,0</w:t>
            </w:r>
          </w:p>
        </w:tc>
        <w:tc>
          <w:tcPr>
            <w:tcW w:w="992" w:type="dxa"/>
            <w:vAlign w:val="center"/>
          </w:tcPr>
          <w:p w14:paraId="103A9928" w14:textId="77777777" w:rsidR="00C4624A" w:rsidRPr="00195EC3" w:rsidRDefault="00C4624A" w:rsidP="00461AA0">
            <w:pPr>
              <w:spacing w:before="0" w:after="160" w:line="259" w:lineRule="auto"/>
              <w:jc w:val="right"/>
              <w:rPr>
                <w:b/>
                <w:noProof/>
                <w:sz w:val="20"/>
                <w:szCs w:val="20"/>
              </w:rPr>
            </w:pPr>
            <w:r w:rsidRPr="00195EC3">
              <w:rPr>
                <w:b/>
                <w:noProof/>
                <w:sz w:val="20"/>
              </w:rPr>
              <w:t>251,2</w:t>
            </w:r>
          </w:p>
        </w:tc>
        <w:tc>
          <w:tcPr>
            <w:tcW w:w="992" w:type="dxa"/>
            <w:vAlign w:val="center"/>
          </w:tcPr>
          <w:p w14:paraId="33125E29" w14:textId="77777777" w:rsidR="00C4624A" w:rsidRPr="00195EC3" w:rsidRDefault="00C4624A" w:rsidP="00461AA0">
            <w:pPr>
              <w:spacing w:before="0" w:after="160" w:line="259" w:lineRule="auto"/>
              <w:jc w:val="right"/>
              <w:rPr>
                <w:b/>
                <w:noProof/>
                <w:sz w:val="20"/>
                <w:szCs w:val="20"/>
              </w:rPr>
            </w:pPr>
            <w:r w:rsidRPr="00195EC3">
              <w:rPr>
                <w:b/>
                <w:noProof/>
                <w:sz w:val="20"/>
              </w:rPr>
              <w:t>640,22</w:t>
            </w:r>
          </w:p>
        </w:tc>
        <w:tc>
          <w:tcPr>
            <w:tcW w:w="993" w:type="dxa"/>
            <w:vAlign w:val="center"/>
          </w:tcPr>
          <w:p w14:paraId="62B3216F" w14:textId="77777777" w:rsidR="00C4624A" w:rsidRPr="00195EC3" w:rsidRDefault="00C4624A" w:rsidP="00461AA0">
            <w:pPr>
              <w:spacing w:before="0" w:after="160" w:line="259" w:lineRule="auto"/>
              <w:jc w:val="right"/>
              <w:rPr>
                <w:b/>
                <w:noProof/>
                <w:sz w:val="20"/>
                <w:szCs w:val="20"/>
              </w:rPr>
            </w:pPr>
            <w:r w:rsidRPr="00195EC3">
              <w:rPr>
                <w:b/>
                <w:noProof/>
                <w:sz w:val="20"/>
              </w:rPr>
              <w:t>840,06</w:t>
            </w:r>
          </w:p>
        </w:tc>
        <w:tc>
          <w:tcPr>
            <w:tcW w:w="992" w:type="dxa"/>
            <w:vAlign w:val="center"/>
          </w:tcPr>
          <w:p w14:paraId="0D1697AA" w14:textId="77777777" w:rsidR="00C4624A" w:rsidRPr="00195EC3" w:rsidRDefault="00C4624A" w:rsidP="00461AA0">
            <w:pPr>
              <w:spacing w:before="0" w:after="160" w:line="259" w:lineRule="auto"/>
              <w:jc w:val="right"/>
              <w:rPr>
                <w:b/>
                <w:bCs/>
                <w:noProof/>
                <w:sz w:val="20"/>
                <w:szCs w:val="20"/>
              </w:rPr>
            </w:pPr>
            <w:r w:rsidRPr="00195EC3">
              <w:rPr>
                <w:b/>
                <w:noProof/>
                <w:sz w:val="20"/>
              </w:rPr>
              <w:t>598,87</w:t>
            </w:r>
          </w:p>
        </w:tc>
        <w:tc>
          <w:tcPr>
            <w:tcW w:w="2410" w:type="dxa"/>
            <w:vAlign w:val="center"/>
          </w:tcPr>
          <w:p w14:paraId="36C4FD4B" w14:textId="77777777" w:rsidR="00C4624A" w:rsidRPr="00195EC3" w:rsidRDefault="00C4624A" w:rsidP="00461AA0">
            <w:pPr>
              <w:spacing w:before="0" w:after="160" w:line="259" w:lineRule="auto"/>
              <w:jc w:val="right"/>
              <w:rPr>
                <w:b/>
                <w:bCs/>
                <w:noProof/>
                <w:sz w:val="20"/>
                <w:szCs w:val="20"/>
              </w:rPr>
            </w:pPr>
            <w:r w:rsidRPr="00195EC3">
              <w:rPr>
                <w:b/>
                <w:noProof/>
                <w:sz w:val="20"/>
              </w:rPr>
              <w:t>2 500,5</w:t>
            </w:r>
          </w:p>
        </w:tc>
      </w:tr>
    </w:tbl>
    <w:p w14:paraId="3A37EBF2" w14:textId="77777777" w:rsidR="00C4624A" w:rsidRPr="00195EC3" w:rsidRDefault="00C4624A" w:rsidP="00C4624A">
      <w:pPr>
        <w:rPr>
          <w:noProof/>
        </w:rPr>
      </w:pPr>
    </w:p>
    <w:p w14:paraId="0E63872C" w14:textId="77777777" w:rsidR="00C4624A" w:rsidRPr="00195EC3" w:rsidRDefault="00C4624A" w:rsidP="00C4624A">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4624A" w:rsidRPr="00195EC3" w14:paraId="10B3BF8F" w14:textId="77777777" w:rsidTr="00461AA0">
        <w:trPr>
          <w:jc w:val="center"/>
        </w:trPr>
        <w:tc>
          <w:tcPr>
            <w:tcW w:w="4744" w:type="dxa"/>
            <w:shd w:val="clear" w:color="auto" w:fill="auto"/>
            <w:vAlign w:val="center"/>
          </w:tcPr>
          <w:p w14:paraId="1B4557D0" w14:textId="77777777" w:rsidR="00C4624A" w:rsidRPr="00195EC3" w:rsidRDefault="00C4624A" w:rsidP="00461AA0">
            <w:pPr>
              <w:spacing w:before="60" w:after="60"/>
              <w:jc w:val="center"/>
              <w:rPr>
                <w:b/>
                <w:bCs/>
                <w:noProof/>
              </w:rPr>
            </w:pPr>
            <w:r w:rsidRPr="00195EC3">
              <w:rPr>
                <w:noProof/>
              </w:rPr>
              <w:br w:type="page"/>
            </w:r>
            <w:r w:rsidRPr="00195EC3">
              <w:rPr>
                <w:b/>
                <w:noProof/>
                <w:sz w:val="22"/>
              </w:rPr>
              <w:t xml:space="preserve">Rubrica del quadro finanziario pluriennale </w:t>
            </w:r>
          </w:p>
        </w:tc>
        <w:tc>
          <w:tcPr>
            <w:tcW w:w="1080" w:type="dxa"/>
            <w:shd w:val="clear" w:color="auto" w:fill="auto"/>
            <w:vAlign w:val="center"/>
          </w:tcPr>
          <w:p w14:paraId="4E467C36" w14:textId="77777777" w:rsidR="00C4624A" w:rsidRPr="00195EC3" w:rsidRDefault="00C4624A" w:rsidP="00461AA0">
            <w:pPr>
              <w:spacing w:before="60" w:after="60"/>
              <w:jc w:val="center"/>
              <w:rPr>
                <w:noProof/>
              </w:rPr>
            </w:pPr>
            <w:r w:rsidRPr="00195EC3">
              <w:rPr>
                <w:b/>
                <w:noProof/>
                <w:sz w:val="22"/>
              </w:rPr>
              <w:t>7</w:t>
            </w:r>
          </w:p>
        </w:tc>
        <w:tc>
          <w:tcPr>
            <w:tcW w:w="7817" w:type="dxa"/>
            <w:vAlign w:val="center"/>
          </w:tcPr>
          <w:p w14:paraId="0117FF8F" w14:textId="77777777" w:rsidR="00C4624A" w:rsidRPr="00195EC3" w:rsidRDefault="00C4624A" w:rsidP="00461AA0">
            <w:pPr>
              <w:spacing w:before="60" w:after="60"/>
              <w:rPr>
                <w:noProof/>
              </w:rPr>
            </w:pPr>
            <w:r w:rsidRPr="00195EC3">
              <w:rPr>
                <w:noProof/>
                <w:sz w:val="22"/>
              </w:rPr>
              <w:t>"Spese amministrative"</w:t>
            </w:r>
          </w:p>
        </w:tc>
      </w:tr>
    </w:tbl>
    <w:p w14:paraId="5AC883AD" w14:textId="1A8AF326" w:rsidR="00C4624A" w:rsidRPr="00195EC3" w:rsidRDefault="00C4624A" w:rsidP="00C4624A">
      <w:pPr>
        <w:jc w:val="left"/>
        <w:rPr>
          <w:noProof/>
          <w:sz w:val="20"/>
          <w:szCs w:val="20"/>
        </w:rPr>
      </w:pPr>
      <w:r w:rsidRPr="00195EC3">
        <w:rPr>
          <w:noProof/>
        </w:rPr>
        <w:t>Sezione da compilare utilizzando i "dati di bilancio di natura amministrativa" che saranno introdotti nell'allegato della scheda finanziaria legislativa (allegato V delle norme interne), caricato su DECIDE a fini di consultazione interservizi.</w:t>
      </w:r>
    </w:p>
    <w:p w14:paraId="59706810" w14:textId="77777777" w:rsidR="00C4624A" w:rsidRPr="00195EC3" w:rsidRDefault="00C4624A" w:rsidP="00C4624A">
      <w:pPr>
        <w:jc w:val="right"/>
        <w:rPr>
          <w:noProof/>
          <w:sz w:val="20"/>
          <w:szCs w:val="20"/>
        </w:rPr>
      </w:pPr>
      <w:r w:rsidRPr="00195EC3">
        <w:rPr>
          <w:noProof/>
          <w:sz w:val="20"/>
        </w:rPr>
        <w:t>Mio EUR (al terzo decimale)</w:t>
      </w:r>
    </w:p>
    <w:tbl>
      <w:tblPr>
        <w:tblW w:w="142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5"/>
        <w:gridCol w:w="1009"/>
        <w:gridCol w:w="805"/>
        <w:gridCol w:w="622"/>
        <w:gridCol w:w="1009"/>
        <w:gridCol w:w="1009"/>
        <w:gridCol w:w="1009"/>
        <w:gridCol w:w="1009"/>
        <w:gridCol w:w="1009"/>
        <w:gridCol w:w="1009"/>
        <w:gridCol w:w="15"/>
        <w:gridCol w:w="1153"/>
      </w:tblGrid>
      <w:tr w:rsidR="00C4624A" w:rsidRPr="00195EC3" w14:paraId="123586E9" w14:textId="77777777" w:rsidTr="00461AA0">
        <w:trPr>
          <w:trHeight w:val="673"/>
        </w:trPr>
        <w:tc>
          <w:tcPr>
            <w:tcW w:w="4605" w:type="dxa"/>
            <w:tcBorders>
              <w:top w:val="nil"/>
              <w:left w:val="nil"/>
              <w:right w:val="nil"/>
            </w:tcBorders>
            <w:vAlign w:val="center"/>
          </w:tcPr>
          <w:p w14:paraId="485518A9" w14:textId="77777777" w:rsidR="00C4624A" w:rsidRPr="00195EC3" w:rsidRDefault="00C4624A" w:rsidP="00461AA0">
            <w:pPr>
              <w:jc w:val="center"/>
              <w:rPr>
                <w:noProof/>
              </w:rPr>
            </w:pPr>
          </w:p>
        </w:tc>
        <w:tc>
          <w:tcPr>
            <w:tcW w:w="1814" w:type="dxa"/>
            <w:gridSpan w:val="2"/>
            <w:tcBorders>
              <w:top w:val="nil"/>
              <w:left w:val="nil"/>
              <w:right w:val="nil"/>
            </w:tcBorders>
          </w:tcPr>
          <w:p w14:paraId="039FE5FD" w14:textId="77777777" w:rsidR="00C4624A" w:rsidRPr="00195EC3" w:rsidRDefault="00C4624A" w:rsidP="00461AA0">
            <w:pPr>
              <w:rPr>
                <w:noProof/>
                <w:sz w:val="20"/>
                <w:szCs w:val="20"/>
              </w:rPr>
            </w:pPr>
          </w:p>
        </w:tc>
        <w:tc>
          <w:tcPr>
            <w:tcW w:w="621" w:type="dxa"/>
            <w:tcBorders>
              <w:top w:val="nil"/>
              <w:left w:val="nil"/>
            </w:tcBorders>
          </w:tcPr>
          <w:p w14:paraId="2846BF2D" w14:textId="77777777" w:rsidR="00C4624A" w:rsidRPr="00195EC3" w:rsidRDefault="00C4624A" w:rsidP="00461AA0">
            <w:pPr>
              <w:jc w:val="center"/>
              <w:rPr>
                <w:noProof/>
                <w:sz w:val="20"/>
                <w:szCs w:val="20"/>
              </w:rPr>
            </w:pPr>
          </w:p>
        </w:tc>
        <w:tc>
          <w:tcPr>
            <w:tcW w:w="1009" w:type="dxa"/>
            <w:vAlign w:val="center"/>
          </w:tcPr>
          <w:p w14:paraId="3D20F7E4" w14:textId="77777777" w:rsidR="00C4624A" w:rsidRPr="00195EC3" w:rsidRDefault="00C4624A" w:rsidP="00461AA0">
            <w:pPr>
              <w:jc w:val="center"/>
              <w:rPr>
                <w:noProof/>
                <w:sz w:val="20"/>
                <w:szCs w:val="20"/>
              </w:rPr>
            </w:pPr>
            <w:r w:rsidRPr="00195EC3">
              <w:rPr>
                <w:noProof/>
                <w:sz w:val="20"/>
              </w:rPr>
              <w:t>Anno</w:t>
            </w:r>
          </w:p>
          <w:p w14:paraId="34D2B7CD" w14:textId="77777777" w:rsidR="00C4624A" w:rsidRPr="00195EC3" w:rsidRDefault="00C4624A" w:rsidP="00461AA0">
            <w:pPr>
              <w:jc w:val="center"/>
              <w:rPr>
                <w:noProof/>
                <w:sz w:val="20"/>
                <w:szCs w:val="20"/>
              </w:rPr>
            </w:pPr>
            <w:r w:rsidRPr="00195EC3">
              <w:rPr>
                <w:b/>
                <w:noProof/>
                <w:sz w:val="20"/>
              </w:rPr>
              <w:t>2022</w:t>
            </w:r>
          </w:p>
        </w:tc>
        <w:tc>
          <w:tcPr>
            <w:tcW w:w="1009" w:type="dxa"/>
          </w:tcPr>
          <w:p w14:paraId="12E20260" w14:textId="77777777" w:rsidR="00C4624A" w:rsidRPr="00195EC3" w:rsidRDefault="00C4624A" w:rsidP="00461AA0">
            <w:pPr>
              <w:jc w:val="center"/>
              <w:rPr>
                <w:noProof/>
                <w:sz w:val="20"/>
                <w:szCs w:val="20"/>
              </w:rPr>
            </w:pPr>
            <w:r w:rsidRPr="00195EC3">
              <w:rPr>
                <w:noProof/>
                <w:sz w:val="20"/>
              </w:rPr>
              <w:t>Anno</w:t>
            </w:r>
          </w:p>
          <w:p w14:paraId="0381DA9F" w14:textId="77777777" w:rsidR="00C4624A" w:rsidRPr="00195EC3" w:rsidRDefault="00C4624A" w:rsidP="00461AA0">
            <w:pPr>
              <w:jc w:val="center"/>
              <w:rPr>
                <w:noProof/>
                <w:sz w:val="20"/>
                <w:szCs w:val="20"/>
              </w:rPr>
            </w:pPr>
            <w:r w:rsidRPr="00195EC3">
              <w:rPr>
                <w:b/>
                <w:noProof/>
                <w:sz w:val="20"/>
              </w:rPr>
              <w:t>2023</w:t>
            </w:r>
          </w:p>
        </w:tc>
        <w:tc>
          <w:tcPr>
            <w:tcW w:w="1009" w:type="dxa"/>
          </w:tcPr>
          <w:p w14:paraId="27ACACA7" w14:textId="77777777" w:rsidR="00C4624A" w:rsidRPr="00195EC3" w:rsidRDefault="00C4624A" w:rsidP="00461AA0">
            <w:pPr>
              <w:jc w:val="center"/>
              <w:rPr>
                <w:noProof/>
                <w:sz w:val="20"/>
                <w:szCs w:val="20"/>
              </w:rPr>
            </w:pPr>
            <w:r w:rsidRPr="00195EC3">
              <w:rPr>
                <w:noProof/>
                <w:sz w:val="20"/>
              </w:rPr>
              <w:t>Anno</w:t>
            </w:r>
          </w:p>
          <w:p w14:paraId="26684090" w14:textId="77777777" w:rsidR="00C4624A" w:rsidRPr="00195EC3" w:rsidRDefault="00C4624A" w:rsidP="00461AA0">
            <w:pPr>
              <w:jc w:val="center"/>
              <w:rPr>
                <w:noProof/>
                <w:sz w:val="20"/>
                <w:szCs w:val="20"/>
              </w:rPr>
            </w:pPr>
            <w:r w:rsidRPr="00195EC3">
              <w:rPr>
                <w:b/>
                <w:noProof/>
                <w:sz w:val="20"/>
              </w:rPr>
              <w:t>2024</w:t>
            </w:r>
          </w:p>
        </w:tc>
        <w:tc>
          <w:tcPr>
            <w:tcW w:w="1009" w:type="dxa"/>
          </w:tcPr>
          <w:p w14:paraId="08818924" w14:textId="77777777" w:rsidR="00C4624A" w:rsidRPr="00195EC3" w:rsidRDefault="00C4624A" w:rsidP="00461AA0">
            <w:pPr>
              <w:jc w:val="center"/>
              <w:rPr>
                <w:noProof/>
                <w:sz w:val="20"/>
                <w:szCs w:val="20"/>
              </w:rPr>
            </w:pPr>
            <w:r w:rsidRPr="00195EC3">
              <w:rPr>
                <w:noProof/>
                <w:sz w:val="20"/>
              </w:rPr>
              <w:t>Anno</w:t>
            </w:r>
          </w:p>
          <w:p w14:paraId="6C76DFB9" w14:textId="77777777" w:rsidR="00C4624A" w:rsidRPr="00195EC3" w:rsidRDefault="00C4624A" w:rsidP="00461AA0">
            <w:pPr>
              <w:jc w:val="center"/>
              <w:rPr>
                <w:noProof/>
                <w:sz w:val="20"/>
                <w:szCs w:val="20"/>
              </w:rPr>
            </w:pPr>
            <w:r w:rsidRPr="00195EC3">
              <w:rPr>
                <w:b/>
                <w:noProof/>
                <w:sz w:val="20"/>
              </w:rPr>
              <w:t>2025</w:t>
            </w:r>
          </w:p>
        </w:tc>
        <w:tc>
          <w:tcPr>
            <w:tcW w:w="1009" w:type="dxa"/>
          </w:tcPr>
          <w:p w14:paraId="2771BE82" w14:textId="77777777" w:rsidR="00C4624A" w:rsidRPr="00195EC3" w:rsidRDefault="00C4624A" w:rsidP="00461AA0">
            <w:pPr>
              <w:jc w:val="center"/>
              <w:rPr>
                <w:noProof/>
                <w:sz w:val="20"/>
                <w:szCs w:val="20"/>
              </w:rPr>
            </w:pPr>
            <w:r w:rsidRPr="00195EC3">
              <w:rPr>
                <w:noProof/>
                <w:sz w:val="20"/>
              </w:rPr>
              <w:t>Anno</w:t>
            </w:r>
          </w:p>
          <w:p w14:paraId="51A65645" w14:textId="77777777" w:rsidR="00C4624A" w:rsidRPr="00195EC3" w:rsidRDefault="00C4624A" w:rsidP="00461AA0">
            <w:pPr>
              <w:jc w:val="center"/>
              <w:rPr>
                <w:noProof/>
                <w:sz w:val="20"/>
                <w:szCs w:val="20"/>
              </w:rPr>
            </w:pPr>
            <w:r w:rsidRPr="00195EC3">
              <w:rPr>
                <w:b/>
                <w:noProof/>
                <w:sz w:val="20"/>
              </w:rPr>
              <w:t>2026</w:t>
            </w:r>
          </w:p>
        </w:tc>
        <w:tc>
          <w:tcPr>
            <w:tcW w:w="1024" w:type="dxa"/>
            <w:gridSpan w:val="2"/>
          </w:tcPr>
          <w:p w14:paraId="7548751F" w14:textId="77777777" w:rsidR="00C4624A" w:rsidRPr="00195EC3" w:rsidRDefault="00C4624A" w:rsidP="00461AA0">
            <w:pPr>
              <w:jc w:val="center"/>
              <w:rPr>
                <w:noProof/>
                <w:sz w:val="20"/>
                <w:szCs w:val="20"/>
              </w:rPr>
            </w:pPr>
            <w:r w:rsidRPr="00195EC3">
              <w:rPr>
                <w:noProof/>
                <w:sz w:val="20"/>
              </w:rPr>
              <w:t>Anno</w:t>
            </w:r>
          </w:p>
          <w:p w14:paraId="77C22137" w14:textId="77777777" w:rsidR="00C4624A" w:rsidRPr="00195EC3" w:rsidRDefault="00C4624A" w:rsidP="00461AA0">
            <w:pPr>
              <w:jc w:val="center"/>
              <w:rPr>
                <w:b/>
                <w:bCs/>
                <w:noProof/>
                <w:sz w:val="18"/>
                <w:szCs w:val="18"/>
              </w:rPr>
            </w:pPr>
            <w:r w:rsidRPr="00195EC3">
              <w:rPr>
                <w:b/>
                <w:noProof/>
                <w:sz w:val="20"/>
              </w:rPr>
              <w:t>2027</w:t>
            </w:r>
          </w:p>
        </w:tc>
        <w:tc>
          <w:tcPr>
            <w:tcW w:w="1153" w:type="dxa"/>
            <w:vAlign w:val="center"/>
          </w:tcPr>
          <w:p w14:paraId="6D813E07" w14:textId="77777777" w:rsidR="00C4624A" w:rsidRPr="00195EC3" w:rsidRDefault="00C4624A" w:rsidP="00461AA0">
            <w:pPr>
              <w:jc w:val="center"/>
              <w:rPr>
                <w:b/>
                <w:bCs/>
                <w:noProof/>
                <w:sz w:val="20"/>
                <w:szCs w:val="20"/>
              </w:rPr>
            </w:pPr>
            <w:r w:rsidRPr="00195EC3">
              <w:rPr>
                <w:b/>
                <w:noProof/>
                <w:sz w:val="20"/>
              </w:rPr>
              <w:t>TOTALE</w:t>
            </w:r>
          </w:p>
        </w:tc>
      </w:tr>
      <w:tr w:rsidR="00C4624A" w:rsidRPr="00195EC3" w14:paraId="58783B2F" w14:textId="77777777" w:rsidTr="00461AA0">
        <w:trPr>
          <w:gridAfter w:val="10"/>
          <w:wAfter w:w="8649" w:type="dxa"/>
          <w:trHeight w:val="376"/>
        </w:trPr>
        <w:tc>
          <w:tcPr>
            <w:tcW w:w="4605" w:type="dxa"/>
            <w:tcBorders>
              <w:right w:val="nil"/>
            </w:tcBorders>
            <w:vAlign w:val="center"/>
          </w:tcPr>
          <w:p w14:paraId="2A854F92" w14:textId="77777777" w:rsidR="00C4624A" w:rsidRPr="00195EC3" w:rsidRDefault="00C4624A" w:rsidP="00461AA0">
            <w:pPr>
              <w:spacing w:before="60" w:after="60"/>
              <w:jc w:val="center"/>
              <w:rPr>
                <w:noProof/>
              </w:rPr>
            </w:pPr>
            <w:r w:rsidRPr="00195EC3">
              <w:rPr>
                <w:noProof/>
                <w:sz w:val="22"/>
              </w:rPr>
              <w:t>DG: ECFIN</w:t>
            </w:r>
          </w:p>
        </w:tc>
        <w:tc>
          <w:tcPr>
            <w:tcW w:w="1009" w:type="dxa"/>
            <w:tcBorders>
              <w:top w:val="nil"/>
              <w:left w:val="nil"/>
              <w:bottom w:val="nil"/>
              <w:right w:val="nil"/>
            </w:tcBorders>
          </w:tcPr>
          <w:p w14:paraId="574A4CFC" w14:textId="77777777" w:rsidR="00C4624A" w:rsidRPr="00195EC3" w:rsidRDefault="00C4624A" w:rsidP="00461AA0">
            <w:pPr>
              <w:spacing w:before="60" w:after="60"/>
              <w:jc w:val="center"/>
              <w:rPr>
                <w:noProof/>
                <w:sz w:val="22"/>
              </w:rPr>
            </w:pPr>
          </w:p>
        </w:tc>
      </w:tr>
      <w:tr w:rsidR="00C4624A" w:rsidRPr="00195EC3" w14:paraId="20E057B9" w14:textId="77777777" w:rsidTr="00461AA0">
        <w:trPr>
          <w:trHeight w:val="310"/>
        </w:trPr>
        <w:tc>
          <w:tcPr>
            <w:tcW w:w="7041" w:type="dxa"/>
            <w:gridSpan w:val="4"/>
            <w:vAlign w:val="center"/>
          </w:tcPr>
          <w:p w14:paraId="17835989" w14:textId="77777777" w:rsidR="00C4624A" w:rsidRPr="00195EC3" w:rsidRDefault="00C4624A" w:rsidP="00461AA0">
            <w:pPr>
              <w:spacing w:before="20" w:after="20"/>
              <w:rPr>
                <w:noProof/>
              </w:rPr>
            </w:pPr>
            <w:r w:rsidRPr="00195EC3">
              <w:rPr>
                <w:noProof/>
                <w:sz w:val="22"/>
              </w:rPr>
              <w:t xml:space="preserve">□ Risorse umane </w:t>
            </w:r>
          </w:p>
        </w:tc>
        <w:tc>
          <w:tcPr>
            <w:tcW w:w="1009" w:type="dxa"/>
            <w:vAlign w:val="center"/>
          </w:tcPr>
          <w:p w14:paraId="250E9FFB" w14:textId="77777777" w:rsidR="00C4624A" w:rsidRPr="00195EC3" w:rsidRDefault="00C4624A" w:rsidP="00461AA0">
            <w:pPr>
              <w:spacing w:before="20" w:after="20"/>
              <w:jc w:val="right"/>
              <w:rPr>
                <w:noProof/>
                <w:sz w:val="20"/>
                <w:szCs w:val="20"/>
              </w:rPr>
            </w:pPr>
            <w:r w:rsidRPr="00195EC3">
              <w:rPr>
                <w:noProof/>
                <w:sz w:val="16"/>
              </w:rPr>
              <w:t>0,848</w:t>
            </w:r>
          </w:p>
        </w:tc>
        <w:tc>
          <w:tcPr>
            <w:tcW w:w="1009" w:type="dxa"/>
            <w:vAlign w:val="center"/>
          </w:tcPr>
          <w:p w14:paraId="3D1C3767" w14:textId="77777777" w:rsidR="00C4624A" w:rsidRPr="00195EC3" w:rsidRDefault="00C4624A" w:rsidP="00461AA0">
            <w:pPr>
              <w:spacing w:before="20" w:after="20"/>
              <w:jc w:val="right"/>
              <w:rPr>
                <w:noProof/>
                <w:sz w:val="20"/>
                <w:szCs w:val="20"/>
              </w:rPr>
            </w:pPr>
            <w:r w:rsidRPr="00195EC3">
              <w:rPr>
                <w:noProof/>
                <w:sz w:val="16"/>
              </w:rPr>
              <w:t>0,424</w:t>
            </w:r>
          </w:p>
        </w:tc>
        <w:tc>
          <w:tcPr>
            <w:tcW w:w="1009" w:type="dxa"/>
            <w:vAlign w:val="center"/>
          </w:tcPr>
          <w:p w14:paraId="7E862E60" w14:textId="77777777" w:rsidR="00C4624A" w:rsidRPr="00195EC3" w:rsidRDefault="00C4624A" w:rsidP="00461AA0">
            <w:pPr>
              <w:spacing w:before="20" w:after="20"/>
              <w:jc w:val="right"/>
              <w:rPr>
                <w:noProof/>
                <w:sz w:val="20"/>
                <w:szCs w:val="20"/>
              </w:rPr>
            </w:pPr>
            <w:r w:rsidRPr="00195EC3">
              <w:rPr>
                <w:noProof/>
                <w:sz w:val="16"/>
              </w:rPr>
              <w:t>0,424</w:t>
            </w:r>
          </w:p>
        </w:tc>
        <w:tc>
          <w:tcPr>
            <w:tcW w:w="1009" w:type="dxa"/>
            <w:vAlign w:val="center"/>
          </w:tcPr>
          <w:p w14:paraId="7CAE0F68" w14:textId="77777777" w:rsidR="00C4624A" w:rsidRPr="00195EC3" w:rsidRDefault="00C4624A" w:rsidP="00461AA0">
            <w:pPr>
              <w:spacing w:before="20" w:after="20"/>
              <w:jc w:val="right"/>
              <w:rPr>
                <w:noProof/>
                <w:sz w:val="20"/>
                <w:szCs w:val="20"/>
              </w:rPr>
            </w:pPr>
            <w:r w:rsidRPr="00195EC3">
              <w:rPr>
                <w:noProof/>
                <w:sz w:val="16"/>
              </w:rPr>
              <w:t>0,072</w:t>
            </w:r>
          </w:p>
        </w:tc>
        <w:tc>
          <w:tcPr>
            <w:tcW w:w="1009" w:type="dxa"/>
            <w:vAlign w:val="center"/>
          </w:tcPr>
          <w:p w14:paraId="3C9216C5" w14:textId="77777777" w:rsidR="00C4624A" w:rsidRPr="00195EC3" w:rsidRDefault="00C4624A" w:rsidP="00461AA0">
            <w:pPr>
              <w:spacing w:before="20" w:after="20"/>
              <w:jc w:val="right"/>
              <w:rPr>
                <w:noProof/>
                <w:sz w:val="20"/>
                <w:szCs w:val="20"/>
              </w:rPr>
            </w:pPr>
            <w:r w:rsidRPr="00195EC3">
              <w:rPr>
                <w:noProof/>
                <w:sz w:val="16"/>
              </w:rPr>
              <w:t>0,072</w:t>
            </w:r>
          </w:p>
        </w:tc>
        <w:tc>
          <w:tcPr>
            <w:tcW w:w="1009" w:type="dxa"/>
            <w:vAlign w:val="center"/>
          </w:tcPr>
          <w:p w14:paraId="4B80657F" w14:textId="77777777" w:rsidR="00C4624A" w:rsidRPr="00195EC3" w:rsidRDefault="00C4624A" w:rsidP="00461AA0">
            <w:pPr>
              <w:spacing w:before="20" w:after="20"/>
              <w:jc w:val="right"/>
              <w:rPr>
                <w:noProof/>
                <w:sz w:val="20"/>
                <w:szCs w:val="20"/>
              </w:rPr>
            </w:pPr>
            <w:r w:rsidRPr="00195EC3">
              <w:rPr>
                <w:noProof/>
                <w:sz w:val="16"/>
              </w:rPr>
              <w:t>0,072</w:t>
            </w:r>
          </w:p>
        </w:tc>
        <w:tc>
          <w:tcPr>
            <w:tcW w:w="1168" w:type="dxa"/>
            <w:gridSpan w:val="2"/>
            <w:vAlign w:val="center"/>
          </w:tcPr>
          <w:p w14:paraId="17C2A27D" w14:textId="77777777" w:rsidR="00C4624A" w:rsidRPr="00195EC3" w:rsidRDefault="00C4624A" w:rsidP="00461AA0">
            <w:pPr>
              <w:spacing w:before="20" w:after="20"/>
              <w:jc w:val="right"/>
              <w:rPr>
                <w:noProof/>
                <w:sz w:val="20"/>
                <w:szCs w:val="20"/>
              </w:rPr>
            </w:pPr>
            <w:r w:rsidRPr="00195EC3">
              <w:rPr>
                <w:b/>
                <w:noProof/>
                <w:sz w:val="16"/>
              </w:rPr>
              <w:t>1,912</w:t>
            </w:r>
          </w:p>
        </w:tc>
      </w:tr>
      <w:tr w:rsidR="00C4624A" w:rsidRPr="00195EC3" w14:paraId="008AB105" w14:textId="77777777" w:rsidTr="00461AA0">
        <w:trPr>
          <w:trHeight w:val="347"/>
        </w:trPr>
        <w:tc>
          <w:tcPr>
            <w:tcW w:w="7041" w:type="dxa"/>
            <w:gridSpan w:val="4"/>
            <w:vAlign w:val="center"/>
          </w:tcPr>
          <w:p w14:paraId="59922487" w14:textId="77777777" w:rsidR="00C4624A" w:rsidRPr="00195EC3" w:rsidRDefault="00C4624A" w:rsidP="00461AA0">
            <w:pPr>
              <w:spacing w:before="20" w:after="20"/>
              <w:rPr>
                <w:noProof/>
              </w:rPr>
            </w:pPr>
            <w:r w:rsidRPr="00195EC3">
              <w:rPr>
                <w:noProof/>
                <w:sz w:val="22"/>
              </w:rPr>
              <w:t xml:space="preserve">□ Altre spese amministrative </w:t>
            </w:r>
          </w:p>
        </w:tc>
        <w:tc>
          <w:tcPr>
            <w:tcW w:w="1009" w:type="dxa"/>
            <w:vAlign w:val="center"/>
          </w:tcPr>
          <w:p w14:paraId="56904474" w14:textId="77777777" w:rsidR="00C4624A" w:rsidRPr="00195EC3" w:rsidRDefault="00C4624A" w:rsidP="00461AA0">
            <w:pPr>
              <w:spacing w:before="20" w:after="20"/>
              <w:jc w:val="right"/>
              <w:rPr>
                <w:b/>
                <w:bCs/>
                <w:noProof/>
                <w:sz w:val="20"/>
                <w:szCs w:val="20"/>
              </w:rPr>
            </w:pPr>
            <w:r w:rsidRPr="00195EC3">
              <w:rPr>
                <w:noProof/>
                <w:sz w:val="16"/>
              </w:rPr>
              <w:t>-</w:t>
            </w:r>
          </w:p>
        </w:tc>
        <w:tc>
          <w:tcPr>
            <w:tcW w:w="1009" w:type="dxa"/>
            <w:vAlign w:val="center"/>
          </w:tcPr>
          <w:p w14:paraId="779F082E" w14:textId="77777777" w:rsidR="00C4624A" w:rsidRPr="00195EC3" w:rsidRDefault="00C4624A" w:rsidP="00461AA0">
            <w:pPr>
              <w:spacing w:before="20" w:after="20"/>
              <w:jc w:val="right"/>
              <w:rPr>
                <w:b/>
                <w:bCs/>
                <w:noProof/>
                <w:sz w:val="20"/>
                <w:szCs w:val="20"/>
              </w:rPr>
            </w:pPr>
            <w:r w:rsidRPr="00195EC3">
              <w:rPr>
                <w:noProof/>
                <w:sz w:val="16"/>
              </w:rPr>
              <w:t>0,06</w:t>
            </w:r>
          </w:p>
        </w:tc>
        <w:tc>
          <w:tcPr>
            <w:tcW w:w="1009" w:type="dxa"/>
            <w:vAlign w:val="center"/>
          </w:tcPr>
          <w:p w14:paraId="2B09B816" w14:textId="77777777" w:rsidR="00C4624A" w:rsidRPr="00195EC3" w:rsidRDefault="00C4624A" w:rsidP="00461AA0">
            <w:pPr>
              <w:spacing w:before="20" w:after="20"/>
              <w:jc w:val="right"/>
              <w:rPr>
                <w:b/>
                <w:bCs/>
                <w:noProof/>
                <w:sz w:val="20"/>
                <w:szCs w:val="20"/>
              </w:rPr>
            </w:pPr>
            <w:r w:rsidRPr="00195EC3">
              <w:rPr>
                <w:noProof/>
                <w:sz w:val="16"/>
              </w:rPr>
              <w:t>-</w:t>
            </w:r>
          </w:p>
        </w:tc>
        <w:tc>
          <w:tcPr>
            <w:tcW w:w="1009" w:type="dxa"/>
            <w:vAlign w:val="center"/>
          </w:tcPr>
          <w:p w14:paraId="2EE7E2B5" w14:textId="77777777" w:rsidR="00C4624A" w:rsidRPr="00195EC3" w:rsidRDefault="00C4624A" w:rsidP="00461AA0">
            <w:pPr>
              <w:spacing w:before="20" w:after="20"/>
              <w:jc w:val="right"/>
              <w:rPr>
                <w:b/>
                <w:bCs/>
                <w:noProof/>
                <w:sz w:val="20"/>
                <w:szCs w:val="20"/>
              </w:rPr>
            </w:pPr>
            <w:r w:rsidRPr="00195EC3">
              <w:rPr>
                <w:noProof/>
                <w:sz w:val="16"/>
              </w:rPr>
              <w:t>-</w:t>
            </w:r>
          </w:p>
        </w:tc>
        <w:tc>
          <w:tcPr>
            <w:tcW w:w="1009" w:type="dxa"/>
            <w:vAlign w:val="center"/>
          </w:tcPr>
          <w:p w14:paraId="10F114DF" w14:textId="77777777" w:rsidR="00C4624A" w:rsidRPr="00195EC3" w:rsidRDefault="00C4624A" w:rsidP="00461AA0">
            <w:pPr>
              <w:spacing w:before="20" w:after="20"/>
              <w:jc w:val="right"/>
              <w:rPr>
                <w:b/>
                <w:bCs/>
                <w:noProof/>
                <w:sz w:val="20"/>
                <w:szCs w:val="20"/>
              </w:rPr>
            </w:pPr>
            <w:r w:rsidRPr="00195EC3">
              <w:rPr>
                <w:noProof/>
                <w:sz w:val="16"/>
              </w:rPr>
              <w:t>-</w:t>
            </w:r>
          </w:p>
        </w:tc>
        <w:tc>
          <w:tcPr>
            <w:tcW w:w="1009" w:type="dxa"/>
            <w:vAlign w:val="center"/>
          </w:tcPr>
          <w:p w14:paraId="0BBA5DB2" w14:textId="77777777" w:rsidR="00C4624A" w:rsidRPr="00195EC3" w:rsidRDefault="00C4624A" w:rsidP="00461AA0">
            <w:pPr>
              <w:spacing w:before="20" w:after="20"/>
              <w:jc w:val="right"/>
              <w:rPr>
                <w:b/>
                <w:bCs/>
                <w:noProof/>
                <w:sz w:val="20"/>
                <w:szCs w:val="20"/>
              </w:rPr>
            </w:pPr>
            <w:r w:rsidRPr="00195EC3">
              <w:rPr>
                <w:noProof/>
                <w:sz w:val="16"/>
              </w:rPr>
              <w:t>-</w:t>
            </w:r>
          </w:p>
        </w:tc>
        <w:tc>
          <w:tcPr>
            <w:tcW w:w="1168" w:type="dxa"/>
            <w:gridSpan w:val="2"/>
            <w:vAlign w:val="center"/>
          </w:tcPr>
          <w:p w14:paraId="07A92F5D" w14:textId="77777777" w:rsidR="00C4624A" w:rsidRPr="00195EC3" w:rsidRDefault="00C4624A" w:rsidP="00461AA0">
            <w:pPr>
              <w:spacing w:before="20" w:after="20"/>
              <w:jc w:val="right"/>
              <w:rPr>
                <w:b/>
                <w:bCs/>
                <w:noProof/>
                <w:sz w:val="20"/>
                <w:szCs w:val="20"/>
              </w:rPr>
            </w:pPr>
            <w:r w:rsidRPr="00195EC3">
              <w:rPr>
                <w:noProof/>
                <w:sz w:val="16"/>
              </w:rPr>
              <w:t>0,06</w:t>
            </w:r>
          </w:p>
        </w:tc>
      </w:tr>
      <w:tr w:rsidR="00C4624A" w:rsidRPr="00195EC3" w14:paraId="01AB67DE" w14:textId="77777777" w:rsidTr="00461AA0">
        <w:trPr>
          <w:trHeight w:val="455"/>
        </w:trPr>
        <w:tc>
          <w:tcPr>
            <w:tcW w:w="4605" w:type="dxa"/>
            <w:vAlign w:val="center"/>
          </w:tcPr>
          <w:p w14:paraId="63B5C310" w14:textId="77777777" w:rsidR="00C4624A" w:rsidRPr="00195EC3" w:rsidRDefault="00C4624A" w:rsidP="00461AA0">
            <w:pPr>
              <w:jc w:val="center"/>
              <w:rPr>
                <w:b/>
                <w:bCs/>
                <w:noProof/>
              </w:rPr>
            </w:pPr>
            <w:r w:rsidRPr="00195EC3">
              <w:rPr>
                <w:b/>
                <w:noProof/>
                <w:sz w:val="22"/>
              </w:rPr>
              <w:t>TOTALE DG ECFIN</w:t>
            </w:r>
          </w:p>
        </w:tc>
        <w:tc>
          <w:tcPr>
            <w:tcW w:w="2435" w:type="dxa"/>
            <w:gridSpan w:val="3"/>
            <w:vAlign w:val="center"/>
          </w:tcPr>
          <w:p w14:paraId="4F092A22" w14:textId="77777777" w:rsidR="00C4624A" w:rsidRPr="00195EC3" w:rsidRDefault="00C4624A" w:rsidP="00461AA0">
            <w:pPr>
              <w:rPr>
                <w:noProof/>
                <w:sz w:val="14"/>
                <w:szCs w:val="14"/>
              </w:rPr>
            </w:pPr>
            <w:r w:rsidRPr="00195EC3">
              <w:rPr>
                <w:noProof/>
                <w:sz w:val="18"/>
              </w:rPr>
              <w:t xml:space="preserve">Stanziamenti </w:t>
            </w:r>
          </w:p>
        </w:tc>
        <w:tc>
          <w:tcPr>
            <w:tcW w:w="1009" w:type="dxa"/>
            <w:vAlign w:val="center"/>
          </w:tcPr>
          <w:p w14:paraId="2DA2402E" w14:textId="77777777" w:rsidR="00C4624A" w:rsidRPr="00195EC3" w:rsidRDefault="00C4624A" w:rsidP="00461AA0">
            <w:pPr>
              <w:spacing w:before="60" w:after="60"/>
              <w:jc w:val="right"/>
              <w:rPr>
                <w:noProof/>
                <w:sz w:val="20"/>
                <w:szCs w:val="20"/>
              </w:rPr>
            </w:pPr>
            <w:r w:rsidRPr="00195EC3">
              <w:rPr>
                <w:noProof/>
                <w:sz w:val="16"/>
              </w:rPr>
              <w:t>0,848</w:t>
            </w:r>
          </w:p>
        </w:tc>
        <w:tc>
          <w:tcPr>
            <w:tcW w:w="1009" w:type="dxa"/>
            <w:vAlign w:val="center"/>
          </w:tcPr>
          <w:p w14:paraId="4484F8C8" w14:textId="77777777" w:rsidR="00C4624A" w:rsidRPr="00195EC3" w:rsidRDefault="00C4624A" w:rsidP="00461AA0">
            <w:pPr>
              <w:spacing w:before="20" w:after="20"/>
              <w:jc w:val="right"/>
              <w:rPr>
                <w:noProof/>
                <w:sz w:val="20"/>
                <w:szCs w:val="20"/>
              </w:rPr>
            </w:pPr>
            <w:r w:rsidRPr="00195EC3">
              <w:rPr>
                <w:noProof/>
                <w:sz w:val="16"/>
              </w:rPr>
              <w:t>0,484</w:t>
            </w:r>
          </w:p>
        </w:tc>
        <w:tc>
          <w:tcPr>
            <w:tcW w:w="1009" w:type="dxa"/>
            <w:vAlign w:val="center"/>
          </w:tcPr>
          <w:p w14:paraId="3C48E2DA" w14:textId="77777777" w:rsidR="00C4624A" w:rsidRPr="00195EC3" w:rsidRDefault="00C4624A" w:rsidP="00461AA0">
            <w:pPr>
              <w:spacing w:before="20" w:after="20"/>
              <w:jc w:val="right"/>
              <w:rPr>
                <w:noProof/>
                <w:sz w:val="20"/>
                <w:szCs w:val="20"/>
              </w:rPr>
            </w:pPr>
            <w:r w:rsidRPr="00195EC3">
              <w:rPr>
                <w:noProof/>
                <w:sz w:val="16"/>
              </w:rPr>
              <w:t>0,424</w:t>
            </w:r>
          </w:p>
        </w:tc>
        <w:tc>
          <w:tcPr>
            <w:tcW w:w="1009" w:type="dxa"/>
            <w:vAlign w:val="center"/>
          </w:tcPr>
          <w:p w14:paraId="5333A900" w14:textId="77777777" w:rsidR="00C4624A" w:rsidRPr="00195EC3" w:rsidRDefault="00C4624A" w:rsidP="00461AA0">
            <w:pPr>
              <w:spacing w:before="20" w:after="20"/>
              <w:jc w:val="right"/>
              <w:rPr>
                <w:noProof/>
                <w:sz w:val="20"/>
                <w:szCs w:val="20"/>
              </w:rPr>
            </w:pPr>
            <w:r w:rsidRPr="00195EC3">
              <w:rPr>
                <w:noProof/>
                <w:sz w:val="16"/>
              </w:rPr>
              <w:t>0,072</w:t>
            </w:r>
          </w:p>
        </w:tc>
        <w:tc>
          <w:tcPr>
            <w:tcW w:w="1009" w:type="dxa"/>
            <w:vAlign w:val="center"/>
          </w:tcPr>
          <w:p w14:paraId="7FE73CBD" w14:textId="77777777" w:rsidR="00C4624A" w:rsidRPr="00195EC3" w:rsidRDefault="00C4624A" w:rsidP="00461AA0">
            <w:pPr>
              <w:spacing w:before="20" w:after="20"/>
              <w:jc w:val="right"/>
              <w:rPr>
                <w:noProof/>
                <w:sz w:val="20"/>
                <w:szCs w:val="20"/>
              </w:rPr>
            </w:pPr>
            <w:r w:rsidRPr="00195EC3">
              <w:rPr>
                <w:noProof/>
                <w:sz w:val="16"/>
              </w:rPr>
              <w:t>0,072</w:t>
            </w:r>
          </w:p>
        </w:tc>
        <w:tc>
          <w:tcPr>
            <w:tcW w:w="1009" w:type="dxa"/>
            <w:vAlign w:val="center"/>
          </w:tcPr>
          <w:p w14:paraId="65121366" w14:textId="77777777" w:rsidR="00C4624A" w:rsidRPr="00195EC3" w:rsidRDefault="00C4624A" w:rsidP="00461AA0">
            <w:pPr>
              <w:spacing w:before="20" w:after="20"/>
              <w:jc w:val="right"/>
              <w:rPr>
                <w:noProof/>
                <w:sz w:val="20"/>
                <w:szCs w:val="20"/>
              </w:rPr>
            </w:pPr>
            <w:r w:rsidRPr="00195EC3">
              <w:rPr>
                <w:noProof/>
                <w:sz w:val="16"/>
              </w:rPr>
              <w:t>0,072</w:t>
            </w:r>
          </w:p>
        </w:tc>
        <w:tc>
          <w:tcPr>
            <w:tcW w:w="1168" w:type="dxa"/>
            <w:gridSpan w:val="2"/>
            <w:vAlign w:val="center"/>
          </w:tcPr>
          <w:p w14:paraId="017F09E6" w14:textId="77777777" w:rsidR="00C4624A" w:rsidRPr="00195EC3" w:rsidRDefault="00C4624A" w:rsidP="00461AA0">
            <w:pPr>
              <w:spacing w:before="20" w:after="20"/>
              <w:jc w:val="right"/>
              <w:rPr>
                <w:noProof/>
                <w:sz w:val="20"/>
                <w:szCs w:val="20"/>
              </w:rPr>
            </w:pPr>
            <w:r w:rsidRPr="00195EC3">
              <w:rPr>
                <w:b/>
                <w:noProof/>
                <w:sz w:val="16"/>
              </w:rPr>
              <w:t>1,972</w:t>
            </w:r>
          </w:p>
        </w:tc>
      </w:tr>
    </w:tbl>
    <w:p w14:paraId="27BC62AD" w14:textId="77777777" w:rsidR="00C4624A" w:rsidRPr="00195EC3" w:rsidRDefault="00C4624A" w:rsidP="00C4624A">
      <w:pPr>
        <w:rPr>
          <w:noProof/>
        </w:rPr>
      </w:pPr>
    </w:p>
    <w:tbl>
      <w:tblPr>
        <w:tblW w:w="144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5"/>
        <w:gridCol w:w="2435"/>
        <w:gridCol w:w="1009"/>
        <w:gridCol w:w="1009"/>
        <w:gridCol w:w="1009"/>
        <w:gridCol w:w="1009"/>
        <w:gridCol w:w="1009"/>
        <w:gridCol w:w="1009"/>
        <w:gridCol w:w="1342"/>
      </w:tblGrid>
      <w:tr w:rsidR="00C4624A" w:rsidRPr="00195EC3" w14:paraId="38C88FE5" w14:textId="77777777" w:rsidTr="00461AA0">
        <w:trPr>
          <w:trHeight w:val="1038"/>
        </w:trPr>
        <w:tc>
          <w:tcPr>
            <w:tcW w:w="4605" w:type="dxa"/>
            <w:shd w:val="clear" w:color="auto" w:fill="auto"/>
            <w:vAlign w:val="center"/>
          </w:tcPr>
          <w:p w14:paraId="01226093" w14:textId="77777777" w:rsidR="00C4624A" w:rsidRPr="00195EC3" w:rsidRDefault="00C4624A" w:rsidP="00461AA0">
            <w:pPr>
              <w:jc w:val="center"/>
              <w:rPr>
                <w:b/>
                <w:bCs/>
                <w:noProof/>
                <w:sz w:val="22"/>
              </w:rPr>
            </w:pPr>
            <w:r w:rsidRPr="00195EC3">
              <w:rPr>
                <w:b/>
                <w:noProof/>
                <w:sz w:val="22"/>
              </w:rPr>
              <w:t>TOTALE stanziamenti</w:t>
            </w:r>
          </w:p>
          <w:p w14:paraId="1EDFAACD" w14:textId="77777777" w:rsidR="00C4624A" w:rsidRPr="00195EC3" w:rsidRDefault="00C4624A" w:rsidP="00461AA0">
            <w:pPr>
              <w:jc w:val="center"/>
              <w:rPr>
                <w:b/>
                <w:bCs/>
                <w:noProof/>
                <w:sz w:val="22"/>
              </w:rPr>
            </w:pPr>
            <w:r w:rsidRPr="00195EC3">
              <w:rPr>
                <w:b/>
                <w:noProof/>
                <w:sz w:val="22"/>
              </w:rPr>
              <w:t>per la RUBRICA 7</w:t>
            </w:r>
          </w:p>
          <w:p w14:paraId="05A84FEF" w14:textId="77777777" w:rsidR="00C4624A" w:rsidRPr="00195EC3" w:rsidRDefault="00C4624A" w:rsidP="00461AA0">
            <w:pPr>
              <w:jc w:val="center"/>
              <w:rPr>
                <w:b/>
                <w:bCs/>
                <w:noProof/>
              </w:rPr>
            </w:pPr>
            <w:r w:rsidRPr="00195EC3">
              <w:rPr>
                <w:noProof/>
                <w:sz w:val="22"/>
              </w:rPr>
              <w:t>del quadro finanziario pluriennale</w:t>
            </w:r>
            <w:r w:rsidRPr="00195EC3">
              <w:rPr>
                <w:b/>
                <w:noProof/>
                <w:sz w:val="22"/>
              </w:rPr>
              <w:t xml:space="preserve"> </w:t>
            </w:r>
          </w:p>
        </w:tc>
        <w:tc>
          <w:tcPr>
            <w:tcW w:w="2435" w:type="dxa"/>
            <w:vAlign w:val="center"/>
          </w:tcPr>
          <w:p w14:paraId="250F35CE" w14:textId="77777777" w:rsidR="00C4624A" w:rsidRPr="00195EC3" w:rsidRDefault="00C4624A" w:rsidP="00461AA0">
            <w:pPr>
              <w:spacing w:before="40" w:after="40"/>
              <w:rPr>
                <w:noProof/>
              </w:rPr>
            </w:pPr>
            <w:r w:rsidRPr="00195EC3">
              <w:rPr>
                <w:noProof/>
                <w:sz w:val="18"/>
              </w:rPr>
              <w:t>(Totale impegni = Totale pagamenti)</w:t>
            </w:r>
          </w:p>
        </w:tc>
        <w:tc>
          <w:tcPr>
            <w:tcW w:w="1009" w:type="dxa"/>
            <w:vAlign w:val="center"/>
          </w:tcPr>
          <w:p w14:paraId="538FD93B" w14:textId="77777777" w:rsidR="00C4624A" w:rsidRPr="00195EC3" w:rsidRDefault="00C4624A" w:rsidP="00461AA0">
            <w:pPr>
              <w:spacing w:before="20" w:after="20"/>
              <w:jc w:val="right"/>
              <w:rPr>
                <w:noProof/>
                <w:sz w:val="20"/>
                <w:szCs w:val="20"/>
              </w:rPr>
            </w:pPr>
            <w:r w:rsidRPr="00195EC3">
              <w:rPr>
                <w:noProof/>
                <w:sz w:val="16"/>
              </w:rPr>
              <w:t>0,848</w:t>
            </w:r>
          </w:p>
        </w:tc>
        <w:tc>
          <w:tcPr>
            <w:tcW w:w="1009" w:type="dxa"/>
            <w:vAlign w:val="center"/>
          </w:tcPr>
          <w:p w14:paraId="508D8B84" w14:textId="77777777" w:rsidR="00C4624A" w:rsidRPr="00195EC3" w:rsidRDefault="00C4624A" w:rsidP="00461AA0">
            <w:pPr>
              <w:spacing w:before="20" w:after="20"/>
              <w:jc w:val="right"/>
              <w:rPr>
                <w:noProof/>
                <w:sz w:val="20"/>
                <w:szCs w:val="20"/>
              </w:rPr>
            </w:pPr>
            <w:r w:rsidRPr="00195EC3">
              <w:rPr>
                <w:noProof/>
                <w:sz w:val="16"/>
              </w:rPr>
              <w:t>0,484</w:t>
            </w:r>
          </w:p>
        </w:tc>
        <w:tc>
          <w:tcPr>
            <w:tcW w:w="1009" w:type="dxa"/>
            <w:vAlign w:val="center"/>
          </w:tcPr>
          <w:p w14:paraId="612E340C" w14:textId="77777777" w:rsidR="00C4624A" w:rsidRPr="00195EC3" w:rsidRDefault="00C4624A" w:rsidP="00461AA0">
            <w:pPr>
              <w:spacing w:before="20" w:after="20"/>
              <w:jc w:val="right"/>
              <w:rPr>
                <w:noProof/>
                <w:sz w:val="20"/>
                <w:szCs w:val="20"/>
              </w:rPr>
            </w:pPr>
            <w:r w:rsidRPr="00195EC3">
              <w:rPr>
                <w:noProof/>
                <w:sz w:val="16"/>
              </w:rPr>
              <w:t>0,424</w:t>
            </w:r>
          </w:p>
        </w:tc>
        <w:tc>
          <w:tcPr>
            <w:tcW w:w="1009" w:type="dxa"/>
            <w:vAlign w:val="center"/>
          </w:tcPr>
          <w:p w14:paraId="448F9C2E" w14:textId="77777777" w:rsidR="00C4624A" w:rsidRPr="00195EC3" w:rsidRDefault="00C4624A" w:rsidP="00461AA0">
            <w:pPr>
              <w:spacing w:before="20" w:after="20"/>
              <w:jc w:val="right"/>
              <w:rPr>
                <w:noProof/>
                <w:sz w:val="20"/>
                <w:szCs w:val="20"/>
              </w:rPr>
            </w:pPr>
            <w:r w:rsidRPr="00195EC3">
              <w:rPr>
                <w:noProof/>
                <w:sz w:val="16"/>
              </w:rPr>
              <w:t>0,072</w:t>
            </w:r>
          </w:p>
        </w:tc>
        <w:tc>
          <w:tcPr>
            <w:tcW w:w="1009" w:type="dxa"/>
            <w:vAlign w:val="center"/>
          </w:tcPr>
          <w:p w14:paraId="54677929" w14:textId="77777777" w:rsidR="00C4624A" w:rsidRPr="00195EC3" w:rsidRDefault="00C4624A" w:rsidP="00461AA0">
            <w:pPr>
              <w:spacing w:before="20" w:after="20"/>
              <w:jc w:val="right"/>
              <w:rPr>
                <w:noProof/>
                <w:sz w:val="20"/>
                <w:szCs w:val="20"/>
              </w:rPr>
            </w:pPr>
            <w:r w:rsidRPr="00195EC3">
              <w:rPr>
                <w:noProof/>
                <w:sz w:val="16"/>
              </w:rPr>
              <w:t>0,072</w:t>
            </w:r>
          </w:p>
        </w:tc>
        <w:tc>
          <w:tcPr>
            <w:tcW w:w="1009" w:type="dxa"/>
            <w:vAlign w:val="center"/>
          </w:tcPr>
          <w:p w14:paraId="209FFBAE" w14:textId="77777777" w:rsidR="00C4624A" w:rsidRPr="00195EC3" w:rsidRDefault="00C4624A" w:rsidP="00461AA0">
            <w:pPr>
              <w:spacing w:before="20" w:after="20"/>
              <w:jc w:val="right"/>
              <w:rPr>
                <w:noProof/>
                <w:sz w:val="20"/>
                <w:szCs w:val="20"/>
              </w:rPr>
            </w:pPr>
            <w:r w:rsidRPr="00195EC3">
              <w:rPr>
                <w:noProof/>
                <w:sz w:val="16"/>
              </w:rPr>
              <w:t>0,072</w:t>
            </w:r>
          </w:p>
        </w:tc>
        <w:tc>
          <w:tcPr>
            <w:tcW w:w="1342" w:type="dxa"/>
            <w:vAlign w:val="center"/>
          </w:tcPr>
          <w:p w14:paraId="3486F743" w14:textId="77777777" w:rsidR="00C4624A" w:rsidRPr="00195EC3" w:rsidRDefault="00C4624A" w:rsidP="00461AA0">
            <w:pPr>
              <w:spacing w:before="20" w:after="20"/>
              <w:jc w:val="right"/>
              <w:rPr>
                <w:b/>
                <w:bCs/>
                <w:noProof/>
                <w:sz w:val="20"/>
                <w:szCs w:val="20"/>
              </w:rPr>
            </w:pPr>
            <w:r w:rsidRPr="00195EC3">
              <w:rPr>
                <w:b/>
                <w:noProof/>
                <w:sz w:val="16"/>
              </w:rPr>
              <w:t>1,972</w:t>
            </w:r>
          </w:p>
        </w:tc>
      </w:tr>
    </w:tbl>
    <w:p w14:paraId="014513C5" w14:textId="77777777" w:rsidR="00C4624A" w:rsidRPr="00195EC3" w:rsidRDefault="00C4624A" w:rsidP="00C4624A">
      <w:pPr>
        <w:jc w:val="right"/>
        <w:rPr>
          <w:noProof/>
          <w:sz w:val="20"/>
          <w:szCs w:val="20"/>
        </w:rPr>
      </w:pPr>
      <w:r w:rsidRPr="00195EC3">
        <w:rPr>
          <w:noProof/>
          <w:sz w:val="20"/>
        </w:rPr>
        <w:t>Mio EUR (al terzo decimale)</w:t>
      </w:r>
    </w:p>
    <w:tbl>
      <w:tblPr>
        <w:tblW w:w="143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678"/>
        <w:gridCol w:w="345"/>
        <w:gridCol w:w="805"/>
        <w:gridCol w:w="935"/>
        <w:gridCol w:w="935"/>
        <w:gridCol w:w="935"/>
        <w:gridCol w:w="935"/>
        <w:gridCol w:w="935"/>
        <w:gridCol w:w="935"/>
        <w:gridCol w:w="135"/>
        <w:gridCol w:w="1532"/>
      </w:tblGrid>
      <w:tr w:rsidR="00C4624A" w:rsidRPr="00195EC3" w14:paraId="394ABFEE" w14:textId="77777777" w:rsidTr="00461AA0">
        <w:trPr>
          <w:trHeight w:val="844"/>
        </w:trPr>
        <w:tc>
          <w:tcPr>
            <w:tcW w:w="4265" w:type="dxa"/>
            <w:tcBorders>
              <w:top w:val="nil"/>
              <w:left w:val="nil"/>
              <w:right w:val="nil"/>
            </w:tcBorders>
            <w:vAlign w:val="center"/>
          </w:tcPr>
          <w:p w14:paraId="52141C4C" w14:textId="77777777" w:rsidR="00C4624A" w:rsidRPr="00195EC3" w:rsidRDefault="00C4624A" w:rsidP="00461AA0">
            <w:pPr>
              <w:jc w:val="center"/>
              <w:rPr>
                <w:noProof/>
              </w:rPr>
            </w:pPr>
          </w:p>
        </w:tc>
        <w:tc>
          <w:tcPr>
            <w:tcW w:w="1678" w:type="dxa"/>
            <w:tcBorders>
              <w:top w:val="nil"/>
              <w:left w:val="nil"/>
              <w:right w:val="nil"/>
            </w:tcBorders>
          </w:tcPr>
          <w:p w14:paraId="688E5E22" w14:textId="77777777" w:rsidR="00C4624A" w:rsidRPr="00195EC3" w:rsidRDefault="00C4624A" w:rsidP="00461AA0">
            <w:pPr>
              <w:rPr>
                <w:noProof/>
                <w:sz w:val="20"/>
                <w:szCs w:val="20"/>
              </w:rPr>
            </w:pPr>
          </w:p>
        </w:tc>
        <w:tc>
          <w:tcPr>
            <w:tcW w:w="345" w:type="dxa"/>
            <w:tcBorders>
              <w:top w:val="nil"/>
              <w:left w:val="nil"/>
            </w:tcBorders>
          </w:tcPr>
          <w:p w14:paraId="38BE3171" w14:textId="77777777" w:rsidR="00C4624A" w:rsidRPr="00195EC3" w:rsidRDefault="00C4624A" w:rsidP="00461AA0">
            <w:pPr>
              <w:jc w:val="center"/>
              <w:rPr>
                <w:noProof/>
                <w:sz w:val="20"/>
                <w:szCs w:val="20"/>
              </w:rPr>
            </w:pPr>
          </w:p>
        </w:tc>
        <w:tc>
          <w:tcPr>
            <w:tcW w:w="805" w:type="dxa"/>
            <w:tcBorders>
              <w:top w:val="nil"/>
              <w:left w:val="nil"/>
            </w:tcBorders>
          </w:tcPr>
          <w:p w14:paraId="737B95E3" w14:textId="77777777" w:rsidR="00C4624A" w:rsidRPr="00195EC3" w:rsidRDefault="00C4624A" w:rsidP="00461AA0">
            <w:pPr>
              <w:jc w:val="center"/>
              <w:rPr>
                <w:noProof/>
                <w:sz w:val="20"/>
                <w:szCs w:val="20"/>
              </w:rPr>
            </w:pPr>
            <w:r w:rsidRPr="00195EC3">
              <w:rPr>
                <w:noProof/>
                <w:sz w:val="20"/>
              </w:rPr>
              <w:t>Anno</w:t>
            </w:r>
          </w:p>
          <w:p w14:paraId="67321D7F" w14:textId="77777777" w:rsidR="00C4624A" w:rsidRPr="00195EC3" w:rsidRDefault="00C4624A" w:rsidP="00461AA0">
            <w:pPr>
              <w:jc w:val="center"/>
              <w:rPr>
                <w:noProof/>
                <w:sz w:val="20"/>
                <w:szCs w:val="20"/>
              </w:rPr>
            </w:pPr>
            <w:r w:rsidRPr="00195EC3">
              <w:rPr>
                <w:noProof/>
                <w:sz w:val="20"/>
              </w:rPr>
              <w:t>2021</w:t>
            </w:r>
          </w:p>
        </w:tc>
        <w:tc>
          <w:tcPr>
            <w:tcW w:w="935" w:type="dxa"/>
            <w:vAlign w:val="center"/>
          </w:tcPr>
          <w:p w14:paraId="08A2910B" w14:textId="77777777" w:rsidR="00C4624A" w:rsidRPr="00195EC3" w:rsidRDefault="00C4624A" w:rsidP="00461AA0">
            <w:pPr>
              <w:jc w:val="center"/>
              <w:rPr>
                <w:noProof/>
                <w:sz w:val="20"/>
                <w:szCs w:val="20"/>
              </w:rPr>
            </w:pPr>
            <w:r w:rsidRPr="00195EC3">
              <w:rPr>
                <w:noProof/>
                <w:sz w:val="20"/>
              </w:rPr>
              <w:t>Anno</w:t>
            </w:r>
          </w:p>
          <w:p w14:paraId="5FA308CB" w14:textId="77777777" w:rsidR="00C4624A" w:rsidRPr="00195EC3" w:rsidRDefault="00C4624A" w:rsidP="00461AA0">
            <w:pPr>
              <w:jc w:val="center"/>
              <w:rPr>
                <w:noProof/>
                <w:sz w:val="20"/>
                <w:szCs w:val="20"/>
              </w:rPr>
            </w:pPr>
            <w:r w:rsidRPr="00195EC3">
              <w:rPr>
                <w:noProof/>
                <w:sz w:val="20"/>
              </w:rPr>
              <w:t>2022</w:t>
            </w:r>
          </w:p>
        </w:tc>
        <w:tc>
          <w:tcPr>
            <w:tcW w:w="935" w:type="dxa"/>
          </w:tcPr>
          <w:p w14:paraId="0C953DA0" w14:textId="77777777" w:rsidR="00C4624A" w:rsidRPr="00195EC3" w:rsidRDefault="00C4624A" w:rsidP="00461AA0">
            <w:pPr>
              <w:jc w:val="center"/>
              <w:rPr>
                <w:noProof/>
                <w:sz w:val="20"/>
                <w:szCs w:val="20"/>
              </w:rPr>
            </w:pPr>
            <w:r w:rsidRPr="00195EC3">
              <w:rPr>
                <w:noProof/>
                <w:sz w:val="20"/>
              </w:rPr>
              <w:t>Anno</w:t>
            </w:r>
          </w:p>
          <w:p w14:paraId="5469C97D" w14:textId="77777777" w:rsidR="00C4624A" w:rsidRPr="00195EC3" w:rsidRDefault="00C4624A" w:rsidP="00461AA0">
            <w:pPr>
              <w:jc w:val="center"/>
              <w:rPr>
                <w:noProof/>
                <w:sz w:val="20"/>
                <w:szCs w:val="20"/>
              </w:rPr>
            </w:pPr>
            <w:r w:rsidRPr="00195EC3">
              <w:rPr>
                <w:noProof/>
                <w:sz w:val="20"/>
              </w:rPr>
              <w:t>2023</w:t>
            </w:r>
          </w:p>
        </w:tc>
        <w:tc>
          <w:tcPr>
            <w:tcW w:w="935" w:type="dxa"/>
          </w:tcPr>
          <w:p w14:paraId="79639A3F" w14:textId="77777777" w:rsidR="00C4624A" w:rsidRPr="00195EC3" w:rsidRDefault="00C4624A" w:rsidP="00461AA0">
            <w:pPr>
              <w:jc w:val="center"/>
              <w:rPr>
                <w:noProof/>
                <w:sz w:val="20"/>
                <w:szCs w:val="20"/>
              </w:rPr>
            </w:pPr>
            <w:r w:rsidRPr="00195EC3">
              <w:rPr>
                <w:noProof/>
                <w:sz w:val="20"/>
              </w:rPr>
              <w:t>Anno</w:t>
            </w:r>
          </w:p>
          <w:p w14:paraId="7D215AEB" w14:textId="77777777" w:rsidR="00C4624A" w:rsidRPr="00195EC3" w:rsidRDefault="00C4624A" w:rsidP="00461AA0">
            <w:pPr>
              <w:jc w:val="center"/>
              <w:rPr>
                <w:noProof/>
                <w:sz w:val="20"/>
                <w:szCs w:val="20"/>
              </w:rPr>
            </w:pPr>
            <w:r w:rsidRPr="00195EC3">
              <w:rPr>
                <w:noProof/>
                <w:sz w:val="20"/>
              </w:rPr>
              <w:t>2024</w:t>
            </w:r>
          </w:p>
        </w:tc>
        <w:tc>
          <w:tcPr>
            <w:tcW w:w="935" w:type="dxa"/>
          </w:tcPr>
          <w:p w14:paraId="03A9E947" w14:textId="77777777" w:rsidR="00C4624A" w:rsidRPr="00195EC3" w:rsidRDefault="00C4624A" w:rsidP="00461AA0">
            <w:pPr>
              <w:jc w:val="center"/>
              <w:rPr>
                <w:noProof/>
                <w:sz w:val="20"/>
                <w:szCs w:val="20"/>
              </w:rPr>
            </w:pPr>
            <w:r w:rsidRPr="00195EC3">
              <w:rPr>
                <w:noProof/>
                <w:sz w:val="20"/>
              </w:rPr>
              <w:t>Anno</w:t>
            </w:r>
          </w:p>
          <w:p w14:paraId="2866FEAB" w14:textId="77777777" w:rsidR="00C4624A" w:rsidRPr="00195EC3" w:rsidRDefault="00C4624A" w:rsidP="00461AA0">
            <w:pPr>
              <w:jc w:val="center"/>
              <w:rPr>
                <w:noProof/>
                <w:sz w:val="20"/>
                <w:szCs w:val="20"/>
              </w:rPr>
            </w:pPr>
            <w:r w:rsidRPr="00195EC3">
              <w:rPr>
                <w:noProof/>
                <w:sz w:val="20"/>
              </w:rPr>
              <w:t>2025</w:t>
            </w:r>
          </w:p>
        </w:tc>
        <w:tc>
          <w:tcPr>
            <w:tcW w:w="935" w:type="dxa"/>
          </w:tcPr>
          <w:p w14:paraId="1244B09A" w14:textId="77777777" w:rsidR="00C4624A" w:rsidRPr="00195EC3" w:rsidRDefault="00C4624A" w:rsidP="00461AA0">
            <w:pPr>
              <w:jc w:val="center"/>
              <w:rPr>
                <w:noProof/>
                <w:sz w:val="20"/>
                <w:szCs w:val="20"/>
              </w:rPr>
            </w:pPr>
            <w:r w:rsidRPr="00195EC3">
              <w:rPr>
                <w:noProof/>
                <w:sz w:val="20"/>
              </w:rPr>
              <w:t>Anno</w:t>
            </w:r>
          </w:p>
          <w:p w14:paraId="7037CC8C" w14:textId="77777777" w:rsidR="00C4624A" w:rsidRPr="00195EC3" w:rsidRDefault="00C4624A" w:rsidP="00461AA0">
            <w:pPr>
              <w:jc w:val="center"/>
              <w:rPr>
                <w:noProof/>
                <w:sz w:val="20"/>
                <w:szCs w:val="20"/>
              </w:rPr>
            </w:pPr>
            <w:r w:rsidRPr="00195EC3">
              <w:rPr>
                <w:noProof/>
                <w:sz w:val="20"/>
              </w:rPr>
              <w:t>2026</w:t>
            </w:r>
          </w:p>
        </w:tc>
        <w:tc>
          <w:tcPr>
            <w:tcW w:w="1070" w:type="dxa"/>
            <w:gridSpan w:val="2"/>
          </w:tcPr>
          <w:p w14:paraId="27AF1770" w14:textId="77777777" w:rsidR="00C4624A" w:rsidRPr="00195EC3" w:rsidRDefault="00C4624A" w:rsidP="00461AA0">
            <w:pPr>
              <w:jc w:val="center"/>
              <w:rPr>
                <w:noProof/>
                <w:sz w:val="20"/>
                <w:szCs w:val="20"/>
              </w:rPr>
            </w:pPr>
            <w:r w:rsidRPr="00195EC3">
              <w:rPr>
                <w:noProof/>
                <w:sz w:val="20"/>
              </w:rPr>
              <w:t>Anno</w:t>
            </w:r>
          </w:p>
          <w:p w14:paraId="0322F1D7" w14:textId="77777777" w:rsidR="00C4624A" w:rsidRPr="00195EC3" w:rsidRDefault="00C4624A" w:rsidP="00461AA0">
            <w:pPr>
              <w:jc w:val="center"/>
              <w:rPr>
                <w:b/>
                <w:bCs/>
                <w:noProof/>
                <w:sz w:val="18"/>
                <w:szCs w:val="18"/>
              </w:rPr>
            </w:pPr>
            <w:r w:rsidRPr="00195EC3">
              <w:rPr>
                <w:noProof/>
                <w:sz w:val="20"/>
              </w:rPr>
              <w:t>2027</w:t>
            </w:r>
          </w:p>
        </w:tc>
        <w:tc>
          <w:tcPr>
            <w:tcW w:w="1532" w:type="dxa"/>
            <w:vAlign w:val="center"/>
          </w:tcPr>
          <w:p w14:paraId="6EA489E3" w14:textId="77777777" w:rsidR="00C4624A" w:rsidRPr="00195EC3" w:rsidRDefault="00C4624A" w:rsidP="00461AA0">
            <w:pPr>
              <w:jc w:val="center"/>
              <w:rPr>
                <w:b/>
                <w:bCs/>
                <w:noProof/>
                <w:sz w:val="20"/>
                <w:szCs w:val="20"/>
              </w:rPr>
            </w:pPr>
            <w:r w:rsidRPr="00195EC3">
              <w:rPr>
                <w:b/>
                <w:noProof/>
                <w:sz w:val="20"/>
              </w:rPr>
              <w:t>TOTALE</w:t>
            </w:r>
          </w:p>
        </w:tc>
      </w:tr>
      <w:tr w:rsidR="00C4624A" w:rsidRPr="00195EC3" w14:paraId="69DE9A71" w14:textId="77777777" w:rsidTr="00461AA0">
        <w:trPr>
          <w:trHeight w:val="546"/>
        </w:trPr>
        <w:tc>
          <w:tcPr>
            <w:tcW w:w="4265" w:type="dxa"/>
            <w:vMerge w:val="restart"/>
            <w:shd w:val="clear" w:color="auto" w:fill="C0C0C0"/>
            <w:vAlign w:val="center"/>
          </w:tcPr>
          <w:p w14:paraId="03B1DE9D" w14:textId="77777777" w:rsidR="00C4624A" w:rsidRPr="00195EC3" w:rsidRDefault="00C4624A" w:rsidP="00461AA0">
            <w:pPr>
              <w:jc w:val="center"/>
              <w:rPr>
                <w:b/>
                <w:bCs/>
                <w:noProof/>
              </w:rPr>
            </w:pPr>
            <w:r w:rsidRPr="00195EC3">
              <w:rPr>
                <w:b/>
                <w:noProof/>
                <w:sz w:val="22"/>
              </w:rPr>
              <w:t>TOTALE stanziamenti per le RUBRICHE da 1 a 7</w:t>
            </w:r>
            <w:r w:rsidRPr="00195EC3">
              <w:rPr>
                <w:noProof/>
                <w:sz w:val="22"/>
              </w:rPr>
              <w:t xml:space="preserve"> del quadro finanziario pluriennale</w:t>
            </w:r>
            <w:r w:rsidRPr="00195EC3">
              <w:rPr>
                <w:b/>
                <w:noProof/>
                <w:sz w:val="22"/>
              </w:rPr>
              <w:t xml:space="preserve"> </w:t>
            </w:r>
          </w:p>
        </w:tc>
        <w:tc>
          <w:tcPr>
            <w:tcW w:w="2023" w:type="dxa"/>
            <w:gridSpan w:val="2"/>
            <w:vAlign w:val="center"/>
          </w:tcPr>
          <w:p w14:paraId="59B5D5A5" w14:textId="77777777" w:rsidR="00C4624A" w:rsidRPr="00195EC3" w:rsidRDefault="00C4624A" w:rsidP="00461AA0">
            <w:pPr>
              <w:rPr>
                <w:noProof/>
                <w:sz w:val="14"/>
                <w:szCs w:val="14"/>
              </w:rPr>
            </w:pPr>
            <w:r w:rsidRPr="00195EC3">
              <w:rPr>
                <w:noProof/>
                <w:sz w:val="18"/>
              </w:rPr>
              <w:t>Impegni</w:t>
            </w:r>
          </w:p>
        </w:tc>
        <w:tc>
          <w:tcPr>
            <w:tcW w:w="805" w:type="dxa"/>
            <w:vAlign w:val="center"/>
          </w:tcPr>
          <w:p w14:paraId="2FD20604" w14:textId="77777777" w:rsidR="00C4624A" w:rsidRPr="00195EC3" w:rsidRDefault="00C4624A" w:rsidP="00461AA0">
            <w:pPr>
              <w:rPr>
                <w:noProof/>
                <w:sz w:val="18"/>
                <w:szCs w:val="18"/>
              </w:rPr>
            </w:pPr>
            <w:r w:rsidRPr="00195EC3">
              <w:rPr>
                <w:noProof/>
                <w:sz w:val="18"/>
              </w:rPr>
              <w:t>27,3</w:t>
            </w:r>
          </w:p>
        </w:tc>
        <w:tc>
          <w:tcPr>
            <w:tcW w:w="935" w:type="dxa"/>
            <w:vAlign w:val="center"/>
          </w:tcPr>
          <w:p w14:paraId="273D9096" w14:textId="77777777" w:rsidR="00C4624A" w:rsidRPr="00195EC3" w:rsidRDefault="00C4624A" w:rsidP="00461AA0">
            <w:pPr>
              <w:spacing w:before="60" w:after="60"/>
              <w:jc w:val="right"/>
              <w:rPr>
                <w:noProof/>
                <w:sz w:val="20"/>
                <w:szCs w:val="20"/>
              </w:rPr>
            </w:pPr>
            <w:r w:rsidRPr="00195EC3">
              <w:rPr>
                <w:noProof/>
                <w:sz w:val="20"/>
              </w:rPr>
              <w:t>126,098</w:t>
            </w:r>
          </w:p>
        </w:tc>
        <w:tc>
          <w:tcPr>
            <w:tcW w:w="935" w:type="dxa"/>
            <w:vAlign w:val="center"/>
          </w:tcPr>
          <w:p w14:paraId="7FE088C1" w14:textId="77777777" w:rsidR="00C4624A" w:rsidRPr="00195EC3" w:rsidRDefault="00C4624A" w:rsidP="00461AA0">
            <w:pPr>
              <w:spacing w:before="60" w:after="60"/>
              <w:jc w:val="right"/>
              <w:rPr>
                <w:noProof/>
                <w:sz w:val="20"/>
                <w:szCs w:val="20"/>
              </w:rPr>
            </w:pPr>
            <w:r w:rsidRPr="00195EC3">
              <w:rPr>
                <w:noProof/>
                <w:sz w:val="20"/>
              </w:rPr>
              <w:t>333,084</w:t>
            </w:r>
          </w:p>
        </w:tc>
        <w:tc>
          <w:tcPr>
            <w:tcW w:w="935" w:type="dxa"/>
            <w:vAlign w:val="center"/>
          </w:tcPr>
          <w:p w14:paraId="63EB5224" w14:textId="77777777" w:rsidR="00C4624A" w:rsidRPr="00195EC3" w:rsidRDefault="00C4624A" w:rsidP="00461AA0">
            <w:pPr>
              <w:spacing w:before="60" w:after="60"/>
              <w:jc w:val="right"/>
              <w:rPr>
                <w:noProof/>
                <w:sz w:val="20"/>
                <w:szCs w:val="20"/>
              </w:rPr>
            </w:pPr>
            <w:r w:rsidRPr="00195EC3">
              <w:rPr>
                <w:noProof/>
                <w:sz w:val="20"/>
              </w:rPr>
              <w:t>202,924</w:t>
            </w:r>
          </w:p>
        </w:tc>
        <w:tc>
          <w:tcPr>
            <w:tcW w:w="935" w:type="dxa"/>
          </w:tcPr>
          <w:p w14:paraId="55BB1CFF" w14:textId="77777777" w:rsidR="00C4624A" w:rsidRPr="00195EC3" w:rsidRDefault="00C4624A" w:rsidP="00461AA0">
            <w:pPr>
              <w:spacing w:before="60" w:after="60"/>
              <w:rPr>
                <w:noProof/>
                <w:sz w:val="20"/>
                <w:szCs w:val="20"/>
              </w:rPr>
            </w:pPr>
            <w:r w:rsidRPr="00195EC3">
              <w:rPr>
                <w:noProof/>
                <w:sz w:val="20"/>
              </w:rPr>
              <w:t>683,672</w:t>
            </w:r>
          </w:p>
        </w:tc>
        <w:tc>
          <w:tcPr>
            <w:tcW w:w="935" w:type="dxa"/>
            <w:vAlign w:val="center"/>
          </w:tcPr>
          <w:p w14:paraId="06544E63" w14:textId="77777777" w:rsidR="00C4624A" w:rsidRPr="00195EC3" w:rsidRDefault="00C4624A" w:rsidP="00461AA0">
            <w:pPr>
              <w:spacing w:before="60" w:after="60"/>
              <w:jc w:val="right"/>
              <w:rPr>
                <w:noProof/>
                <w:sz w:val="20"/>
                <w:szCs w:val="20"/>
              </w:rPr>
            </w:pPr>
            <w:r w:rsidRPr="00195EC3">
              <w:rPr>
                <w:noProof/>
                <w:sz w:val="20"/>
              </w:rPr>
              <w:t>589,262</w:t>
            </w:r>
          </w:p>
        </w:tc>
        <w:tc>
          <w:tcPr>
            <w:tcW w:w="935" w:type="dxa"/>
            <w:vAlign w:val="center"/>
          </w:tcPr>
          <w:p w14:paraId="6B4FE715" w14:textId="77777777" w:rsidR="00C4624A" w:rsidRPr="00195EC3" w:rsidRDefault="00C4624A" w:rsidP="00461AA0">
            <w:pPr>
              <w:spacing w:before="60" w:after="60"/>
              <w:jc w:val="right"/>
              <w:rPr>
                <w:noProof/>
                <w:sz w:val="20"/>
                <w:szCs w:val="20"/>
              </w:rPr>
            </w:pPr>
            <w:r w:rsidRPr="00195EC3">
              <w:rPr>
                <w:noProof/>
                <w:sz w:val="20"/>
              </w:rPr>
              <w:t>540,132</w:t>
            </w:r>
          </w:p>
        </w:tc>
        <w:tc>
          <w:tcPr>
            <w:tcW w:w="1667" w:type="dxa"/>
            <w:gridSpan w:val="2"/>
            <w:vAlign w:val="center"/>
          </w:tcPr>
          <w:p w14:paraId="7360F687" w14:textId="77777777" w:rsidR="00C4624A" w:rsidRPr="00195EC3" w:rsidRDefault="00C4624A" w:rsidP="00461AA0">
            <w:pPr>
              <w:spacing w:before="60" w:after="60"/>
              <w:jc w:val="right"/>
              <w:rPr>
                <w:noProof/>
                <w:sz w:val="20"/>
                <w:szCs w:val="20"/>
              </w:rPr>
            </w:pPr>
            <w:r w:rsidRPr="00195EC3">
              <w:rPr>
                <w:noProof/>
                <w:sz w:val="20"/>
              </w:rPr>
              <w:t>2502,472</w:t>
            </w:r>
          </w:p>
        </w:tc>
      </w:tr>
      <w:tr w:rsidR="00C4624A" w:rsidRPr="00195EC3" w14:paraId="45672D0F" w14:textId="77777777" w:rsidTr="00461AA0">
        <w:trPr>
          <w:trHeight w:val="670"/>
        </w:trPr>
        <w:tc>
          <w:tcPr>
            <w:tcW w:w="4265" w:type="dxa"/>
            <w:vMerge/>
          </w:tcPr>
          <w:p w14:paraId="1BD7D591" w14:textId="77777777" w:rsidR="00C4624A" w:rsidRPr="00195EC3" w:rsidRDefault="00C4624A" w:rsidP="00461AA0">
            <w:pPr>
              <w:rPr>
                <w:noProof/>
                <w:sz w:val="20"/>
              </w:rPr>
            </w:pPr>
          </w:p>
        </w:tc>
        <w:tc>
          <w:tcPr>
            <w:tcW w:w="2023" w:type="dxa"/>
            <w:gridSpan w:val="2"/>
            <w:vAlign w:val="center"/>
          </w:tcPr>
          <w:p w14:paraId="4228E076" w14:textId="77777777" w:rsidR="00C4624A" w:rsidRPr="00195EC3" w:rsidRDefault="00C4624A" w:rsidP="00461AA0">
            <w:pPr>
              <w:rPr>
                <w:noProof/>
                <w:sz w:val="14"/>
                <w:szCs w:val="14"/>
              </w:rPr>
            </w:pPr>
            <w:r w:rsidRPr="00195EC3">
              <w:rPr>
                <w:noProof/>
                <w:sz w:val="18"/>
              </w:rPr>
              <w:t>Pagamenti</w:t>
            </w:r>
          </w:p>
        </w:tc>
        <w:tc>
          <w:tcPr>
            <w:tcW w:w="805" w:type="dxa"/>
            <w:vAlign w:val="center"/>
          </w:tcPr>
          <w:p w14:paraId="3537DEF7" w14:textId="77777777" w:rsidR="00C4624A" w:rsidRPr="00195EC3" w:rsidRDefault="00C4624A" w:rsidP="00461AA0">
            <w:pPr>
              <w:rPr>
                <w:noProof/>
                <w:sz w:val="18"/>
                <w:szCs w:val="18"/>
              </w:rPr>
            </w:pPr>
          </w:p>
        </w:tc>
        <w:tc>
          <w:tcPr>
            <w:tcW w:w="935" w:type="dxa"/>
            <w:vAlign w:val="center"/>
          </w:tcPr>
          <w:p w14:paraId="3B718A3D" w14:textId="77777777" w:rsidR="00C4624A" w:rsidRPr="00195EC3" w:rsidRDefault="00C4624A" w:rsidP="00461AA0">
            <w:pPr>
              <w:spacing w:before="60" w:after="60"/>
              <w:jc w:val="right"/>
              <w:rPr>
                <w:noProof/>
                <w:sz w:val="20"/>
                <w:szCs w:val="20"/>
              </w:rPr>
            </w:pPr>
            <w:r w:rsidRPr="00195EC3">
              <w:rPr>
                <w:noProof/>
                <w:sz w:val="20"/>
              </w:rPr>
              <w:t>0,998</w:t>
            </w:r>
          </w:p>
        </w:tc>
        <w:tc>
          <w:tcPr>
            <w:tcW w:w="935" w:type="dxa"/>
            <w:vAlign w:val="center"/>
          </w:tcPr>
          <w:p w14:paraId="0DD11E34" w14:textId="77777777" w:rsidR="00C4624A" w:rsidRPr="00195EC3" w:rsidRDefault="00C4624A" w:rsidP="00461AA0">
            <w:pPr>
              <w:spacing w:before="60" w:after="60"/>
              <w:jc w:val="right"/>
              <w:rPr>
                <w:noProof/>
                <w:sz w:val="20"/>
                <w:szCs w:val="20"/>
              </w:rPr>
            </w:pPr>
            <w:r w:rsidRPr="00195EC3">
              <w:rPr>
                <w:noProof/>
                <w:sz w:val="20"/>
              </w:rPr>
              <w:t>170,484</w:t>
            </w:r>
          </w:p>
        </w:tc>
        <w:tc>
          <w:tcPr>
            <w:tcW w:w="935" w:type="dxa"/>
            <w:vAlign w:val="center"/>
          </w:tcPr>
          <w:p w14:paraId="2A8074C7" w14:textId="77777777" w:rsidR="00C4624A" w:rsidRPr="00195EC3" w:rsidRDefault="00C4624A" w:rsidP="00461AA0">
            <w:pPr>
              <w:spacing w:before="60" w:after="60"/>
              <w:jc w:val="right"/>
              <w:rPr>
                <w:noProof/>
                <w:sz w:val="20"/>
                <w:szCs w:val="20"/>
              </w:rPr>
            </w:pPr>
            <w:r w:rsidRPr="00195EC3">
              <w:rPr>
                <w:noProof/>
                <w:sz w:val="20"/>
              </w:rPr>
              <w:t>251,624</w:t>
            </w:r>
          </w:p>
        </w:tc>
        <w:tc>
          <w:tcPr>
            <w:tcW w:w="935" w:type="dxa"/>
            <w:vAlign w:val="center"/>
          </w:tcPr>
          <w:p w14:paraId="1D0CBF80" w14:textId="77777777" w:rsidR="00C4624A" w:rsidRPr="00195EC3" w:rsidRDefault="00C4624A" w:rsidP="00461AA0">
            <w:pPr>
              <w:spacing w:before="60" w:after="60"/>
              <w:jc w:val="right"/>
              <w:rPr>
                <w:noProof/>
                <w:sz w:val="20"/>
                <w:szCs w:val="20"/>
              </w:rPr>
            </w:pPr>
            <w:r w:rsidRPr="00195EC3">
              <w:rPr>
                <w:noProof/>
                <w:sz w:val="20"/>
              </w:rPr>
              <w:t>640,292</w:t>
            </w:r>
          </w:p>
        </w:tc>
        <w:tc>
          <w:tcPr>
            <w:tcW w:w="935" w:type="dxa"/>
            <w:vAlign w:val="center"/>
          </w:tcPr>
          <w:p w14:paraId="0D1B56BD" w14:textId="77777777" w:rsidR="00C4624A" w:rsidRPr="00195EC3" w:rsidRDefault="00C4624A" w:rsidP="00461AA0">
            <w:pPr>
              <w:spacing w:before="60" w:after="60"/>
              <w:jc w:val="right"/>
              <w:rPr>
                <w:noProof/>
                <w:sz w:val="20"/>
                <w:szCs w:val="20"/>
              </w:rPr>
            </w:pPr>
            <w:r w:rsidRPr="00195EC3">
              <w:rPr>
                <w:noProof/>
                <w:sz w:val="20"/>
              </w:rPr>
              <w:t>840,132</w:t>
            </w:r>
          </w:p>
        </w:tc>
        <w:tc>
          <w:tcPr>
            <w:tcW w:w="935" w:type="dxa"/>
            <w:vAlign w:val="center"/>
          </w:tcPr>
          <w:p w14:paraId="6CDB3DD7" w14:textId="77777777" w:rsidR="00C4624A" w:rsidRPr="00195EC3" w:rsidRDefault="00C4624A" w:rsidP="00461AA0">
            <w:pPr>
              <w:spacing w:before="60" w:after="60"/>
              <w:jc w:val="right"/>
              <w:rPr>
                <w:noProof/>
                <w:sz w:val="20"/>
                <w:szCs w:val="20"/>
              </w:rPr>
            </w:pPr>
            <w:r w:rsidRPr="00195EC3">
              <w:rPr>
                <w:noProof/>
                <w:sz w:val="20"/>
              </w:rPr>
              <w:t>598,942</w:t>
            </w:r>
          </w:p>
        </w:tc>
        <w:tc>
          <w:tcPr>
            <w:tcW w:w="1667" w:type="dxa"/>
            <w:gridSpan w:val="2"/>
            <w:vAlign w:val="center"/>
          </w:tcPr>
          <w:p w14:paraId="31E04F40" w14:textId="77777777" w:rsidR="00C4624A" w:rsidRPr="00195EC3" w:rsidRDefault="00C4624A" w:rsidP="00461AA0">
            <w:pPr>
              <w:spacing w:before="60" w:after="60"/>
              <w:jc w:val="right"/>
              <w:rPr>
                <w:noProof/>
                <w:sz w:val="20"/>
                <w:szCs w:val="20"/>
              </w:rPr>
            </w:pPr>
          </w:p>
          <w:p w14:paraId="054D24B1" w14:textId="77777777" w:rsidR="00C4624A" w:rsidRPr="00195EC3" w:rsidRDefault="00C4624A" w:rsidP="00461AA0">
            <w:pPr>
              <w:spacing w:before="60" w:after="60"/>
              <w:jc w:val="right"/>
              <w:rPr>
                <w:noProof/>
                <w:sz w:val="20"/>
                <w:szCs w:val="20"/>
              </w:rPr>
            </w:pPr>
            <w:r w:rsidRPr="00195EC3">
              <w:rPr>
                <w:noProof/>
                <w:sz w:val="20"/>
              </w:rPr>
              <w:t>2502,472</w:t>
            </w:r>
          </w:p>
          <w:p w14:paraId="7B8556FD" w14:textId="77777777" w:rsidR="00C4624A" w:rsidRPr="00195EC3" w:rsidRDefault="00C4624A" w:rsidP="00461AA0">
            <w:pPr>
              <w:spacing w:before="60" w:after="60"/>
              <w:jc w:val="right"/>
              <w:rPr>
                <w:noProof/>
                <w:sz w:val="20"/>
                <w:szCs w:val="20"/>
              </w:rPr>
            </w:pPr>
          </w:p>
        </w:tc>
      </w:tr>
    </w:tbl>
    <w:p w14:paraId="223869C0" w14:textId="77777777" w:rsidR="00C4624A" w:rsidRPr="00195EC3" w:rsidRDefault="00C4624A" w:rsidP="00C4624A">
      <w:pPr>
        <w:rPr>
          <w:noProof/>
        </w:rPr>
      </w:pPr>
    </w:p>
    <w:p w14:paraId="693DA14C" w14:textId="77777777" w:rsidR="00C4624A" w:rsidRPr="00195EC3" w:rsidRDefault="00C4624A" w:rsidP="00C4624A">
      <w:pPr>
        <w:rPr>
          <w:noProof/>
        </w:rPr>
      </w:pPr>
    </w:p>
    <w:p w14:paraId="7C61C370" w14:textId="77777777" w:rsidR="00C4624A" w:rsidRPr="00195EC3" w:rsidRDefault="00C4624A" w:rsidP="00C4624A">
      <w:pPr>
        <w:rPr>
          <w:noProof/>
        </w:rPr>
      </w:pPr>
    </w:p>
    <w:p w14:paraId="4D938FEE" w14:textId="3D06F969" w:rsidR="00C4624A" w:rsidRPr="00195EC3" w:rsidRDefault="00E7408C" w:rsidP="00E7408C">
      <w:pPr>
        <w:pStyle w:val="ManualHeading3"/>
        <w:rPr>
          <w:noProof/>
          <w:szCs w:val="24"/>
        </w:rPr>
      </w:pPr>
      <w:bookmarkStart w:id="61" w:name="_Toc514938054"/>
      <w:bookmarkStart w:id="62" w:name="_Toc520485053"/>
      <w:r w:rsidRPr="00E7408C">
        <w:t>3.2.2.</w:t>
      </w:r>
      <w:r w:rsidRPr="00E7408C">
        <w:tab/>
      </w:r>
      <w:r w:rsidR="00C4624A" w:rsidRPr="00195EC3">
        <w:rPr>
          <w:noProof/>
        </w:rPr>
        <w:t>Risultati previsti finanziati con gli stanziamenti operativi</w:t>
      </w:r>
      <w:bookmarkEnd w:id="61"/>
      <w:bookmarkEnd w:id="62"/>
      <w:r w:rsidR="00C4624A" w:rsidRPr="00195EC3">
        <w:rPr>
          <w:noProof/>
        </w:rPr>
        <w:t xml:space="preserve"> </w:t>
      </w:r>
    </w:p>
    <w:p w14:paraId="31057B33" w14:textId="77777777" w:rsidR="00C4624A" w:rsidRPr="00195EC3" w:rsidRDefault="00C4624A" w:rsidP="00C4624A">
      <w:pPr>
        <w:jc w:val="right"/>
        <w:rPr>
          <w:noProof/>
          <w:sz w:val="20"/>
        </w:rPr>
      </w:pPr>
      <w:r w:rsidRPr="00195EC3">
        <w:rPr>
          <w:noProof/>
          <w:sz w:val="20"/>
        </w:rPr>
        <w:t>Stanziamenti di impegno in Mio EUR (al terzo decimale)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1266"/>
        <w:gridCol w:w="659"/>
        <w:gridCol w:w="616"/>
        <w:gridCol w:w="644"/>
        <w:gridCol w:w="720"/>
        <w:gridCol w:w="54"/>
        <w:gridCol w:w="666"/>
        <w:gridCol w:w="720"/>
        <w:gridCol w:w="31"/>
        <w:gridCol w:w="869"/>
        <w:gridCol w:w="691"/>
        <w:gridCol w:w="569"/>
        <w:gridCol w:w="706"/>
        <w:gridCol w:w="567"/>
        <w:gridCol w:w="567"/>
        <w:gridCol w:w="142"/>
        <w:gridCol w:w="425"/>
        <w:gridCol w:w="709"/>
        <w:gridCol w:w="142"/>
        <w:gridCol w:w="522"/>
        <w:gridCol w:w="900"/>
      </w:tblGrid>
      <w:tr w:rsidR="00C4624A" w:rsidRPr="00195EC3" w14:paraId="26764440" w14:textId="77777777" w:rsidTr="00461AA0">
        <w:trPr>
          <w:jc w:val="center"/>
        </w:trPr>
        <w:tc>
          <w:tcPr>
            <w:tcW w:w="1423" w:type="dxa"/>
            <w:vMerge w:val="restart"/>
            <w:vAlign w:val="center"/>
          </w:tcPr>
          <w:p w14:paraId="3A540FEC" w14:textId="77777777" w:rsidR="00C4624A" w:rsidRPr="00195EC3" w:rsidRDefault="00C4624A" w:rsidP="00461AA0">
            <w:pPr>
              <w:ind w:right="-29"/>
              <w:jc w:val="center"/>
              <w:rPr>
                <w:b/>
                <w:noProof/>
                <w:sz w:val="18"/>
                <w:szCs w:val="18"/>
              </w:rPr>
            </w:pPr>
            <w:r w:rsidRPr="00195EC3">
              <w:rPr>
                <w:b/>
                <w:noProof/>
                <w:sz w:val="18"/>
              </w:rPr>
              <w:t xml:space="preserve">Specificare gli obiettivi e i risultati </w:t>
            </w:r>
          </w:p>
          <w:p w14:paraId="45F393A5" w14:textId="77777777" w:rsidR="00C4624A" w:rsidRPr="00195EC3" w:rsidRDefault="00C4624A" w:rsidP="00461AA0">
            <w:pPr>
              <w:ind w:right="-29"/>
              <w:jc w:val="center"/>
              <w:rPr>
                <w:b/>
                <w:noProof/>
                <w:sz w:val="18"/>
                <w:szCs w:val="18"/>
              </w:rPr>
            </w:pPr>
          </w:p>
          <w:p w14:paraId="2C7402A6" w14:textId="77777777" w:rsidR="00C4624A" w:rsidRPr="00195EC3" w:rsidRDefault="00C4624A" w:rsidP="00461AA0">
            <w:pPr>
              <w:ind w:right="-29"/>
              <w:jc w:val="center"/>
              <w:rPr>
                <w:noProof/>
                <w:sz w:val="18"/>
                <w:szCs w:val="18"/>
              </w:rPr>
            </w:pPr>
            <w:r w:rsidRPr="00195EC3">
              <w:rPr>
                <w:rFonts w:ascii="Wingdings" w:hAnsi="Wingdings"/>
                <w:noProof/>
              </w:rPr>
              <w:t></w:t>
            </w:r>
          </w:p>
        </w:tc>
        <w:tc>
          <w:tcPr>
            <w:tcW w:w="1266" w:type="dxa"/>
            <w:vAlign w:val="center"/>
          </w:tcPr>
          <w:p w14:paraId="79966EBF" w14:textId="77777777" w:rsidR="00C4624A" w:rsidRPr="00195EC3" w:rsidRDefault="00C4624A" w:rsidP="00461AA0">
            <w:pPr>
              <w:ind w:right="-29"/>
              <w:jc w:val="center"/>
              <w:rPr>
                <w:noProof/>
                <w:sz w:val="18"/>
                <w:szCs w:val="18"/>
              </w:rPr>
            </w:pPr>
          </w:p>
        </w:tc>
        <w:tc>
          <w:tcPr>
            <w:tcW w:w="1275" w:type="dxa"/>
            <w:gridSpan w:val="2"/>
            <w:vAlign w:val="center"/>
          </w:tcPr>
          <w:p w14:paraId="1B238A6D" w14:textId="77777777" w:rsidR="00C4624A" w:rsidRPr="00195EC3" w:rsidRDefault="00C4624A" w:rsidP="00461AA0">
            <w:pPr>
              <w:ind w:right="-29"/>
              <w:jc w:val="center"/>
              <w:rPr>
                <w:noProof/>
                <w:sz w:val="18"/>
                <w:szCs w:val="18"/>
              </w:rPr>
            </w:pPr>
            <w:r w:rsidRPr="00195EC3">
              <w:rPr>
                <w:noProof/>
                <w:sz w:val="18"/>
              </w:rPr>
              <w:t>Anno 2021</w:t>
            </w:r>
          </w:p>
        </w:tc>
        <w:tc>
          <w:tcPr>
            <w:tcW w:w="1418" w:type="dxa"/>
            <w:gridSpan w:val="3"/>
            <w:tcBorders>
              <w:left w:val="nil"/>
            </w:tcBorders>
            <w:vAlign w:val="center"/>
          </w:tcPr>
          <w:p w14:paraId="3D8246F2" w14:textId="77777777" w:rsidR="00C4624A" w:rsidRPr="00195EC3" w:rsidRDefault="00C4624A" w:rsidP="00461AA0">
            <w:pPr>
              <w:ind w:right="-29"/>
              <w:jc w:val="center"/>
              <w:rPr>
                <w:noProof/>
                <w:sz w:val="18"/>
                <w:szCs w:val="18"/>
              </w:rPr>
            </w:pPr>
            <w:r w:rsidRPr="00195EC3">
              <w:rPr>
                <w:noProof/>
                <w:sz w:val="18"/>
              </w:rPr>
              <w:t>Anno 2022</w:t>
            </w:r>
          </w:p>
        </w:tc>
        <w:tc>
          <w:tcPr>
            <w:tcW w:w="1417" w:type="dxa"/>
            <w:gridSpan w:val="3"/>
            <w:vAlign w:val="center"/>
          </w:tcPr>
          <w:p w14:paraId="49E89977" w14:textId="77777777" w:rsidR="00C4624A" w:rsidRPr="00195EC3" w:rsidRDefault="00C4624A" w:rsidP="00461AA0">
            <w:pPr>
              <w:ind w:right="-29"/>
              <w:jc w:val="center"/>
              <w:rPr>
                <w:noProof/>
                <w:sz w:val="18"/>
                <w:szCs w:val="18"/>
              </w:rPr>
            </w:pPr>
            <w:r w:rsidRPr="00195EC3">
              <w:rPr>
                <w:noProof/>
                <w:sz w:val="18"/>
              </w:rPr>
              <w:t>Anno 2023</w:t>
            </w:r>
          </w:p>
        </w:tc>
        <w:tc>
          <w:tcPr>
            <w:tcW w:w="1560" w:type="dxa"/>
            <w:gridSpan w:val="2"/>
            <w:vAlign w:val="center"/>
          </w:tcPr>
          <w:p w14:paraId="7B54451D" w14:textId="77777777" w:rsidR="00C4624A" w:rsidRPr="00195EC3" w:rsidRDefault="00C4624A" w:rsidP="00461AA0">
            <w:pPr>
              <w:ind w:right="-29"/>
              <w:jc w:val="center"/>
              <w:rPr>
                <w:noProof/>
                <w:sz w:val="18"/>
                <w:szCs w:val="18"/>
              </w:rPr>
            </w:pPr>
            <w:r w:rsidRPr="00195EC3">
              <w:rPr>
                <w:noProof/>
                <w:sz w:val="18"/>
              </w:rPr>
              <w:t>Anno 2024</w:t>
            </w:r>
          </w:p>
        </w:tc>
        <w:tc>
          <w:tcPr>
            <w:tcW w:w="1275" w:type="dxa"/>
            <w:gridSpan w:val="2"/>
          </w:tcPr>
          <w:p w14:paraId="6AEC7666" w14:textId="77777777" w:rsidR="00C4624A" w:rsidRPr="00195EC3" w:rsidRDefault="00C4624A" w:rsidP="00461AA0">
            <w:pPr>
              <w:ind w:right="-29"/>
              <w:jc w:val="center"/>
              <w:rPr>
                <w:noProof/>
                <w:sz w:val="18"/>
              </w:rPr>
            </w:pPr>
            <w:r w:rsidRPr="00195EC3">
              <w:rPr>
                <w:noProof/>
                <w:sz w:val="18"/>
              </w:rPr>
              <w:t>Anno 2025</w:t>
            </w:r>
          </w:p>
        </w:tc>
        <w:tc>
          <w:tcPr>
            <w:tcW w:w="1134" w:type="dxa"/>
            <w:gridSpan w:val="2"/>
          </w:tcPr>
          <w:p w14:paraId="0C87137B" w14:textId="77777777" w:rsidR="00C4624A" w:rsidRPr="00195EC3" w:rsidRDefault="00C4624A" w:rsidP="00461AA0">
            <w:pPr>
              <w:ind w:right="-29"/>
              <w:jc w:val="center"/>
              <w:rPr>
                <w:noProof/>
                <w:sz w:val="18"/>
              </w:rPr>
            </w:pPr>
            <w:r w:rsidRPr="00195EC3">
              <w:rPr>
                <w:noProof/>
                <w:sz w:val="18"/>
              </w:rPr>
              <w:t>Anno 2026</w:t>
            </w:r>
          </w:p>
        </w:tc>
        <w:tc>
          <w:tcPr>
            <w:tcW w:w="1276" w:type="dxa"/>
            <w:gridSpan w:val="3"/>
            <w:vAlign w:val="center"/>
          </w:tcPr>
          <w:p w14:paraId="350302DE" w14:textId="77777777" w:rsidR="00C4624A" w:rsidRPr="00195EC3" w:rsidRDefault="00C4624A" w:rsidP="00461AA0">
            <w:pPr>
              <w:ind w:right="-29"/>
              <w:jc w:val="center"/>
              <w:rPr>
                <w:noProof/>
                <w:sz w:val="18"/>
                <w:szCs w:val="18"/>
              </w:rPr>
            </w:pPr>
            <w:r w:rsidRPr="00195EC3">
              <w:rPr>
                <w:noProof/>
                <w:sz w:val="18"/>
              </w:rPr>
              <w:t>Anno 2027</w:t>
            </w:r>
          </w:p>
        </w:tc>
        <w:tc>
          <w:tcPr>
            <w:tcW w:w="1564" w:type="dxa"/>
            <w:gridSpan w:val="3"/>
            <w:tcBorders>
              <w:left w:val="nil"/>
              <w:bottom w:val="nil"/>
            </w:tcBorders>
            <w:vAlign w:val="center"/>
          </w:tcPr>
          <w:p w14:paraId="4F91C66E" w14:textId="77777777" w:rsidR="00C4624A" w:rsidRPr="00195EC3" w:rsidRDefault="00C4624A" w:rsidP="00461AA0">
            <w:pPr>
              <w:ind w:right="-29"/>
              <w:jc w:val="center"/>
              <w:rPr>
                <w:noProof/>
                <w:sz w:val="18"/>
                <w:szCs w:val="18"/>
              </w:rPr>
            </w:pPr>
            <w:r w:rsidRPr="00195EC3">
              <w:rPr>
                <w:b/>
                <w:noProof/>
                <w:sz w:val="18"/>
              </w:rPr>
              <w:t>TOTALE</w:t>
            </w:r>
          </w:p>
        </w:tc>
      </w:tr>
      <w:tr w:rsidR="00C4624A" w:rsidRPr="00195EC3" w14:paraId="0D3597D3" w14:textId="77777777" w:rsidTr="00461AA0">
        <w:trPr>
          <w:jc w:val="center"/>
        </w:trPr>
        <w:tc>
          <w:tcPr>
            <w:tcW w:w="1423" w:type="dxa"/>
            <w:vMerge/>
            <w:vAlign w:val="center"/>
          </w:tcPr>
          <w:p w14:paraId="2225205F" w14:textId="77777777" w:rsidR="00C4624A" w:rsidRPr="00195EC3" w:rsidRDefault="00C4624A" w:rsidP="00461AA0">
            <w:pPr>
              <w:ind w:right="-29"/>
              <w:jc w:val="center"/>
              <w:rPr>
                <w:noProof/>
                <w:sz w:val="18"/>
                <w:szCs w:val="18"/>
              </w:rPr>
            </w:pPr>
          </w:p>
        </w:tc>
        <w:tc>
          <w:tcPr>
            <w:tcW w:w="12185" w:type="dxa"/>
            <w:gridSpan w:val="21"/>
            <w:vAlign w:val="center"/>
          </w:tcPr>
          <w:p w14:paraId="05579D2E" w14:textId="77777777" w:rsidR="00C4624A" w:rsidRPr="00195EC3" w:rsidRDefault="00C4624A" w:rsidP="00461AA0">
            <w:pPr>
              <w:spacing w:before="60" w:after="60"/>
              <w:ind w:right="-29"/>
              <w:jc w:val="center"/>
              <w:rPr>
                <w:noProof/>
                <w:sz w:val="18"/>
                <w:szCs w:val="18"/>
              </w:rPr>
            </w:pPr>
            <w:r w:rsidRPr="00195EC3">
              <w:rPr>
                <w:b/>
                <w:noProof/>
                <w:sz w:val="18"/>
              </w:rPr>
              <w:t>RISULTATI</w:t>
            </w:r>
          </w:p>
        </w:tc>
      </w:tr>
      <w:tr w:rsidR="00C4624A" w:rsidRPr="00195EC3" w14:paraId="19168D76" w14:textId="77777777" w:rsidTr="00461AA0">
        <w:trPr>
          <w:cantSplit/>
          <w:trHeight w:val="1134"/>
          <w:jc w:val="center"/>
        </w:trPr>
        <w:tc>
          <w:tcPr>
            <w:tcW w:w="1423" w:type="dxa"/>
            <w:vMerge/>
            <w:vAlign w:val="center"/>
          </w:tcPr>
          <w:p w14:paraId="5C0E3046" w14:textId="77777777" w:rsidR="00C4624A" w:rsidRPr="00195EC3" w:rsidRDefault="00C4624A" w:rsidP="00461AA0">
            <w:pPr>
              <w:rPr>
                <w:noProof/>
                <w:sz w:val="18"/>
                <w:szCs w:val="18"/>
              </w:rPr>
            </w:pPr>
          </w:p>
        </w:tc>
        <w:tc>
          <w:tcPr>
            <w:tcW w:w="1266" w:type="dxa"/>
            <w:vAlign w:val="center"/>
          </w:tcPr>
          <w:p w14:paraId="275ED73B" w14:textId="77777777" w:rsidR="00C4624A" w:rsidRPr="00195EC3" w:rsidRDefault="00C4624A" w:rsidP="00461AA0">
            <w:pPr>
              <w:jc w:val="center"/>
              <w:rPr>
                <w:noProof/>
                <w:sz w:val="18"/>
                <w:szCs w:val="18"/>
              </w:rPr>
            </w:pPr>
            <w:r w:rsidRPr="00195EC3">
              <w:rPr>
                <w:noProof/>
                <w:sz w:val="18"/>
              </w:rPr>
              <w:t>Tipo</w:t>
            </w:r>
            <w:r w:rsidRPr="00195EC3">
              <w:rPr>
                <w:rStyle w:val="FootnoteReference"/>
                <w:noProof/>
                <w:sz w:val="18"/>
                <w:szCs w:val="18"/>
              </w:rPr>
              <w:footnoteReference w:id="41"/>
            </w:r>
          </w:p>
          <w:p w14:paraId="7C73B830" w14:textId="77777777" w:rsidR="00C4624A" w:rsidRPr="00195EC3" w:rsidRDefault="00C4624A" w:rsidP="00461AA0">
            <w:pPr>
              <w:jc w:val="center"/>
              <w:rPr>
                <w:noProof/>
                <w:sz w:val="18"/>
                <w:szCs w:val="18"/>
              </w:rPr>
            </w:pPr>
          </w:p>
        </w:tc>
        <w:tc>
          <w:tcPr>
            <w:tcW w:w="659" w:type="dxa"/>
            <w:tcBorders>
              <w:left w:val="nil"/>
              <w:right w:val="dashSmallGap" w:sz="4" w:space="0" w:color="auto"/>
            </w:tcBorders>
            <w:shd w:val="clear" w:color="auto" w:fill="auto"/>
            <w:textDirection w:val="btLr"/>
            <w:vAlign w:val="center"/>
          </w:tcPr>
          <w:p w14:paraId="7E6E0DC2" w14:textId="77777777" w:rsidR="00C4624A" w:rsidRPr="00195EC3" w:rsidRDefault="00C4624A" w:rsidP="00461AA0">
            <w:pPr>
              <w:ind w:left="113" w:right="113"/>
              <w:jc w:val="center"/>
              <w:rPr>
                <w:noProof/>
                <w:sz w:val="18"/>
                <w:szCs w:val="18"/>
              </w:rPr>
            </w:pPr>
            <w:r w:rsidRPr="00195EC3">
              <w:rPr>
                <w:noProof/>
                <w:sz w:val="18"/>
              </w:rPr>
              <w:t>N.</w:t>
            </w:r>
          </w:p>
        </w:tc>
        <w:tc>
          <w:tcPr>
            <w:tcW w:w="616" w:type="dxa"/>
            <w:tcBorders>
              <w:left w:val="dashSmallGap" w:sz="4" w:space="0" w:color="auto"/>
            </w:tcBorders>
            <w:shd w:val="clear" w:color="auto" w:fill="auto"/>
            <w:vAlign w:val="center"/>
          </w:tcPr>
          <w:p w14:paraId="5F12C349" w14:textId="77777777" w:rsidR="00C4624A" w:rsidRPr="00195EC3" w:rsidRDefault="00C4624A" w:rsidP="00461AA0">
            <w:pPr>
              <w:jc w:val="center"/>
              <w:rPr>
                <w:noProof/>
                <w:sz w:val="18"/>
                <w:szCs w:val="18"/>
              </w:rPr>
            </w:pPr>
            <w:r w:rsidRPr="00195EC3">
              <w:rPr>
                <w:noProof/>
                <w:sz w:val="18"/>
              </w:rPr>
              <w:t>Costo</w:t>
            </w:r>
          </w:p>
        </w:tc>
        <w:tc>
          <w:tcPr>
            <w:tcW w:w="644" w:type="dxa"/>
            <w:tcBorders>
              <w:right w:val="dashSmallGap" w:sz="4" w:space="0" w:color="auto"/>
            </w:tcBorders>
            <w:shd w:val="clear" w:color="auto" w:fill="auto"/>
            <w:textDirection w:val="btLr"/>
            <w:vAlign w:val="center"/>
          </w:tcPr>
          <w:p w14:paraId="6DDAB271" w14:textId="77777777" w:rsidR="00C4624A" w:rsidRPr="00195EC3" w:rsidRDefault="00C4624A" w:rsidP="00461AA0">
            <w:pPr>
              <w:ind w:left="113" w:right="113"/>
              <w:jc w:val="center"/>
              <w:rPr>
                <w:noProof/>
                <w:sz w:val="18"/>
                <w:szCs w:val="18"/>
              </w:rPr>
            </w:pPr>
            <w:r w:rsidRPr="00195EC3">
              <w:rPr>
                <w:noProof/>
                <w:sz w:val="18"/>
              </w:rPr>
              <w:t>N.</w:t>
            </w:r>
          </w:p>
        </w:tc>
        <w:tc>
          <w:tcPr>
            <w:tcW w:w="720" w:type="dxa"/>
            <w:tcBorders>
              <w:left w:val="dashSmallGap" w:sz="4" w:space="0" w:color="auto"/>
            </w:tcBorders>
            <w:shd w:val="clear" w:color="auto" w:fill="auto"/>
            <w:vAlign w:val="center"/>
          </w:tcPr>
          <w:p w14:paraId="79FC7A9B" w14:textId="77777777" w:rsidR="00C4624A" w:rsidRPr="00195EC3" w:rsidRDefault="00C4624A" w:rsidP="00461AA0">
            <w:pPr>
              <w:jc w:val="center"/>
              <w:rPr>
                <w:noProof/>
                <w:sz w:val="18"/>
                <w:szCs w:val="18"/>
              </w:rPr>
            </w:pPr>
            <w:r w:rsidRPr="00195EC3">
              <w:rPr>
                <w:noProof/>
                <w:sz w:val="18"/>
              </w:rPr>
              <w:t>Costo</w:t>
            </w:r>
          </w:p>
        </w:tc>
        <w:tc>
          <w:tcPr>
            <w:tcW w:w="720" w:type="dxa"/>
            <w:gridSpan w:val="2"/>
            <w:tcBorders>
              <w:right w:val="dashSmallGap" w:sz="4" w:space="0" w:color="auto"/>
            </w:tcBorders>
            <w:shd w:val="clear" w:color="auto" w:fill="auto"/>
            <w:textDirection w:val="btLr"/>
            <w:vAlign w:val="center"/>
          </w:tcPr>
          <w:p w14:paraId="65F87954" w14:textId="77777777" w:rsidR="00C4624A" w:rsidRPr="00195EC3" w:rsidRDefault="00C4624A" w:rsidP="00461AA0">
            <w:pPr>
              <w:ind w:left="113" w:right="113"/>
              <w:jc w:val="center"/>
              <w:rPr>
                <w:noProof/>
                <w:sz w:val="18"/>
                <w:szCs w:val="18"/>
              </w:rPr>
            </w:pPr>
            <w:r w:rsidRPr="00195EC3">
              <w:rPr>
                <w:noProof/>
                <w:sz w:val="18"/>
              </w:rPr>
              <w:t>N.</w:t>
            </w:r>
          </w:p>
        </w:tc>
        <w:tc>
          <w:tcPr>
            <w:tcW w:w="720" w:type="dxa"/>
            <w:tcBorders>
              <w:left w:val="dashSmallGap" w:sz="4" w:space="0" w:color="auto"/>
            </w:tcBorders>
            <w:shd w:val="clear" w:color="auto" w:fill="auto"/>
            <w:vAlign w:val="center"/>
          </w:tcPr>
          <w:p w14:paraId="08537073" w14:textId="77777777" w:rsidR="00C4624A" w:rsidRPr="00195EC3" w:rsidRDefault="00C4624A" w:rsidP="00461AA0">
            <w:pPr>
              <w:jc w:val="center"/>
              <w:rPr>
                <w:noProof/>
                <w:sz w:val="18"/>
                <w:szCs w:val="18"/>
              </w:rPr>
            </w:pPr>
            <w:r w:rsidRPr="00195EC3">
              <w:rPr>
                <w:noProof/>
                <w:sz w:val="18"/>
              </w:rPr>
              <w:t>Costo</w:t>
            </w:r>
          </w:p>
        </w:tc>
        <w:tc>
          <w:tcPr>
            <w:tcW w:w="900" w:type="dxa"/>
            <w:gridSpan w:val="2"/>
            <w:tcBorders>
              <w:right w:val="dashSmallGap" w:sz="4" w:space="0" w:color="auto"/>
            </w:tcBorders>
            <w:shd w:val="clear" w:color="auto" w:fill="auto"/>
            <w:textDirection w:val="btLr"/>
            <w:vAlign w:val="center"/>
          </w:tcPr>
          <w:p w14:paraId="040D9298" w14:textId="77777777" w:rsidR="00C4624A" w:rsidRPr="00195EC3" w:rsidRDefault="00C4624A" w:rsidP="00461AA0">
            <w:pPr>
              <w:ind w:left="113" w:right="113"/>
              <w:jc w:val="center"/>
              <w:rPr>
                <w:noProof/>
                <w:sz w:val="18"/>
                <w:szCs w:val="18"/>
              </w:rPr>
            </w:pPr>
            <w:r w:rsidRPr="00195EC3">
              <w:rPr>
                <w:noProof/>
                <w:sz w:val="18"/>
              </w:rPr>
              <w:t>N.</w:t>
            </w:r>
          </w:p>
        </w:tc>
        <w:tc>
          <w:tcPr>
            <w:tcW w:w="691" w:type="dxa"/>
            <w:tcBorders>
              <w:left w:val="dashSmallGap" w:sz="4" w:space="0" w:color="auto"/>
            </w:tcBorders>
            <w:shd w:val="clear" w:color="auto" w:fill="auto"/>
            <w:vAlign w:val="center"/>
          </w:tcPr>
          <w:p w14:paraId="17BD8825" w14:textId="77777777" w:rsidR="00C4624A" w:rsidRPr="00195EC3" w:rsidRDefault="00C4624A" w:rsidP="00461AA0">
            <w:pPr>
              <w:jc w:val="center"/>
              <w:rPr>
                <w:noProof/>
                <w:sz w:val="18"/>
                <w:szCs w:val="18"/>
              </w:rPr>
            </w:pPr>
            <w:r w:rsidRPr="00195EC3">
              <w:rPr>
                <w:noProof/>
                <w:sz w:val="18"/>
              </w:rPr>
              <w:t>Costo</w:t>
            </w:r>
          </w:p>
        </w:tc>
        <w:tc>
          <w:tcPr>
            <w:tcW w:w="569" w:type="dxa"/>
            <w:tcBorders>
              <w:right w:val="dashSmallGap" w:sz="4" w:space="0" w:color="auto"/>
            </w:tcBorders>
            <w:shd w:val="clear" w:color="auto" w:fill="auto"/>
            <w:textDirection w:val="btLr"/>
            <w:vAlign w:val="center"/>
          </w:tcPr>
          <w:p w14:paraId="5D1CAC63" w14:textId="77777777" w:rsidR="00C4624A" w:rsidRPr="00195EC3" w:rsidRDefault="00C4624A" w:rsidP="00461AA0">
            <w:pPr>
              <w:ind w:left="113" w:right="113"/>
              <w:jc w:val="center"/>
              <w:rPr>
                <w:noProof/>
                <w:sz w:val="18"/>
                <w:szCs w:val="18"/>
              </w:rPr>
            </w:pPr>
            <w:r w:rsidRPr="00195EC3">
              <w:rPr>
                <w:noProof/>
                <w:sz w:val="18"/>
              </w:rPr>
              <w:t>N.</w:t>
            </w:r>
          </w:p>
        </w:tc>
        <w:tc>
          <w:tcPr>
            <w:tcW w:w="706" w:type="dxa"/>
            <w:tcBorders>
              <w:left w:val="dashSmallGap" w:sz="4" w:space="0" w:color="auto"/>
            </w:tcBorders>
            <w:shd w:val="clear" w:color="auto" w:fill="auto"/>
            <w:vAlign w:val="center"/>
          </w:tcPr>
          <w:p w14:paraId="300E2D9A" w14:textId="77777777" w:rsidR="00C4624A" w:rsidRPr="00195EC3" w:rsidRDefault="00C4624A" w:rsidP="00461AA0">
            <w:pPr>
              <w:jc w:val="center"/>
              <w:rPr>
                <w:noProof/>
                <w:sz w:val="18"/>
                <w:szCs w:val="18"/>
              </w:rPr>
            </w:pPr>
            <w:r w:rsidRPr="00195EC3">
              <w:rPr>
                <w:noProof/>
                <w:sz w:val="18"/>
              </w:rPr>
              <w:t>Costo</w:t>
            </w:r>
          </w:p>
        </w:tc>
        <w:tc>
          <w:tcPr>
            <w:tcW w:w="567" w:type="dxa"/>
            <w:tcBorders>
              <w:right w:val="dashSmallGap" w:sz="4" w:space="0" w:color="auto"/>
            </w:tcBorders>
            <w:shd w:val="clear" w:color="auto" w:fill="auto"/>
            <w:textDirection w:val="btLr"/>
            <w:vAlign w:val="center"/>
          </w:tcPr>
          <w:p w14:paraId="2AF84C68" w14:textId="77777777" w:rsidR="00C4624A" w:rsidRPr="00195EC3" w:rsidRDefault="00C4624A" w:rsidP="00461AA0">
            <w:pPr>
              <w:ind w:left="113" w:right="113"/>
              <w:jc w:val="center"/>
              <w:rPr>
                <w:noProof/>
                <w:sz w:val="18"/>
                <w:szCs w:val="18"/>
              </w:rPr>
            </w:pPr>
            <w:r w:rsidRPr="00195EC3">
              <w:rPr>
                <w:noProof/>
                <w:sz w:val="18"/>
              </w:rPr>
              <w:t>N.</w:t>
            </w:r>
          </w:p>
        </w:tc>
        <w:tc>
          <w:tcPr>
            <w:tcW w:w="709" w:type="dxa"/>
            <w:gridSpan w:val="2"/>
            <w:tcBorders>
              <w:left w:val="dashSmallGap" w:sz="4" w:space="0" w:color="auto"/>
            </w:tcBorders>
            <w:shd w:val="clear" w:color="auto" w:fill="auto"/>
            <w:vAlign w:val="center"/>
          </w:tcPr>
          <w:p w14:paraId="1297F4FF" w14:textId="77777777" w:rsidR="00C4624A" w:rsidRPr="00195EC3" w:rsidRDefault="00C4624A" w:rsidP="00461AA0">
            <w:pPr>
              <w:jc w:val="center"/>
              <w:rPr>
                <w:noProof/>
                <w:sz w:val="18"/>
                <w:szCs w:val="18"/>
              </w:rPr>
            </w:pPr>
            <w:r w:rsidRPr="00195EC3">
              <w:rPr>
                <w:noProof/>
                <w:sz w:val="18"/>
              </w:rPr>
              <w:t>Costo</w:t>
            </w:r>
          </w:p>
        </w:tc>
        <w:tc>
          <w:tcPr>
            <w:tcW w:w="425" w:type="dxa"/>
            <w:tcBorders>
              <w:right w:val="dashSmallGap" w:sz="4" w:space="0" w:color="auto"/>
            </w:tcBorders>
            <w:shd w:val="clear" w:color="auto" w:fill="auto"/>
            <w:textDirection w:val="btLr"/>
            <w:vAlign w:val="center"/>
          </w:tcPr>
          <w:p w14:paraId="6A9E8B7D" w14:textId="77777777" w:rsidR="00C4624A" w:rsidRPr="00195EC3" w:rsidRDefault="00C4624A" w:rsidP="00461AA0">
            <w:pPr>
              <w:ind w:left="113" w:right="113"/>
              <w:jc w:val="center"/>
              <w:rPr>
                <w:noProof/>
                <w:sz w:val="18"/>
                <w:szCs w:val="18"/>
              </w:rPr>
            </w:pPr>
            <w:r w:rsidRPr="00195EC3">
              <w:rPr>
                <w:noProof/>
                <w:sz w:val="18"/>
              </w:rPr>
              <w:t>N.</w:t>
            </w:r>
          </w:p>
        </w:tc>
        <w:tc>
          <w:tcPr>
            <w:tcW w:w="851" w:type="dxa"/>
            <w:gridSpan w:val="2"/>
            <w:tcBorders>
              <w:left w:val="dashSmallGap" w:sz="4" w:space="0" w:color="auto"/>
            </w:tcBorders>
            <w:shd w:val="clear" w:color="auto" w:fill="auto"/>
            <w:vAlign w:val="center"/>
          </w:tcPr>
          <w:p w14:paraId="5F5A24BB" w14:textId="77777777" w:rsidR="00C4624A" w:rsidRPr="00195EC3" w:rsidRDefault="00C4624A" w:rsidP="00461AA0">
            <w:pPr>
              <w:jc w:val="center"/>
              <w:rPr>
                <w:noProof/>
                <w:sz w:val="18"/>
                <w:szCs w:val="18"/>
              </w:rPr>
            </w:pPr>
            <w:r w:rsidRPr="00195EC3">
              <w:rPr>
                <w:noProof/>
                <w:sz w:val="18"/>
              </w:rPr>
              <w:t>Costo</w:t>
            </w:r>
          </w:p>
        </w:tc>
        <w:tc>
          <w:tcPr>
            <w:tcW w:w="522" w:type="dxa"/>
            <w:tcBorders>
              <w:right w:val="dashSmallGap" w:sz="4" w:space="0" w:color="auto"/>
            </w:tcBorders>
            <w:shd w:val="clear" w:color="auto" w:fill="auto"/>
            <w:vAlign w:val="center"/>
          </w:tcPr>
          <w:p w14:paraId="20401079" w14:textId="77777777" w:rsidR="00C4624A" w:rsidRPr="00195EC3" w:rsidRDefault="00C4624A" w:rsidP="00461AA0">
            <w:pPr>
              <w:jc w:val="center"/>
              <w:rPr>
                <w:noProof/>
                <w:sz w:val="18"/>
                <w:szCs w:val="18"/>
              </w:rPr>
            </w:pPr>
            <w:r w:rsidRPr="00195EC3">
              <w:rPr>
                <w:noProof/>
                <w:sz w:val="18"/>
              </w:rPr>
              <w:t>N. totale</w:t>
            </w:r>
          </w:p>
        </w:tc>
        <w:tc>
          <w:tcPr>
            <w:tcW w:w="900" w:type="dxa"/>
            <w:tcBorders>
              <w:left w:val="dashSmallGap" w:sz="4" w:space="0" w:color="auto"/>
            </w:tcBorders>
            <w:shd w:val="clear" w:color="auto" w:fill="auto"/>
            <w:vAlign w:val="center"/>
          </w:tcPr>
          <w:p w14:paraId="54C4B312" w14:textId="77777777" w:rsidR="00C4624A" w:rsidRPr="00195EC3" w:rsidRDefault="00C4624A" w:rsidP="00461AA0">
            <w:pPr>
              <w:jc w:val="center"/>
              <w:rPr>
                <w:noProof/>
                <w:sz w:val="18"/>
                <w:szCs w:val="18"/>
              </w:rPr>
            </w:pPr>
            <w:r w:rsidRPr="00195EC3">
              <w:rPr>
                <w:noProof/>
                <w:sz w:val="18"/>
              </w:rPr>
              <w:t>Costo totale</w:t>
            </w:r>
          </w:p>
        </w:tc>
      </w:tr>
      <w:tr w:rsidR="00C4624A" w:rsidRPr="00195EC3" w14:paraId="3843B85D" w14:textId="77777777" w:rsidTr="00461AA0">
        <w:trPr>
          <w:jc w:val="center"/>
        </w:trPr>
        <w:tc>
          <w:tcPr>
            <w:tcW w:w="2689" w:type="dxa"/>
            <w:gridSpan w:val="2"/>
            <w:vAlign w:val="center"/>
          </w:tcPr>
          <w:p w14:paraId="113DAC21" w14:textId="77777777" w:rsidR="00C4624A" w:rsidRPr="00195EC3" w:rsidRDefault="00C4624A" w:rsidP="00461AA0">
            <w:pPr>
              <w:spacing w:before="60" w:after="60"/>
              <w:ind w:right="-29"/>
              <w:jc w:val="center"/>
              <w:rPr>
                <w:noProof/>
                <w:sz w:val="18"/>
                <w:szCs w:val="18"/>
              </w:rPr>
            </w:pPr>
            <w:r w:rsidRPr="00195EC3">
              <w:rPr>
                <w:noProof/>
                <w:sz w:val="18"/>
              </w:rPr>
              <w:t>OBIETTIVO SPECIFICO 1</w:t>
            </w:r>
            <w:r w:rsidRPr="00195EC3">
              <w:rPr>
                <w:rStyle w:val="FootnoteReference"/>
                <w:noProof/>
                <w:sz w:val="18"/>
                <w:szCs w:val="18"/>
              </w:rPr>
              <w:footnoteReference w:id="42"/>
            </w:r>
            <w:r w:rsidRPr="00195EC3">
              <w:rPr>
                <w:noProof/>
                <w:sz w:val="18"/>
              </w:rPr>
              <w:t>...</w:t>
            </w:r>
          </w:p>
        </w:tc>
        <w:tc>
          <w:tcPr>
            <w:tcW w:w="659" w:type="dxa"/>
            <w:tcBorders>
              <w:top w:val="nil"/>
              <w:left w:val="nil"/>
              <w:bottom w:val="nil"/>
              <w:right w:val="nil"/>
            </w:tcBorders>
          </w:tcPr>
          <w:p w14:paraId="060133AD" w14:textId="77777777" w:rsidR="00C4624A" w:rsidRPr="00195EC3" w:rsidRDefault="00C4624A" w:rsidP="00461AA0">
            <w:pPr>
              <w:spacing w:before="60" w:after="60"/>
              <w:ind w:right="-29"/>
              <w:jc w:val="center"/>
              <w:rPr>
                <w:noProof/>
                <w:sz w:val="18"/>
                <w:szCs w:val="18"/>
              </w:rPr>
            </w:pPr>
          </w:p>
        </w:tc>
        <w:tc>
          <w:tcPr>
            <w:tcW w:w="616" w:type="dxa"/>
            <w:tcBorders>
              <w:top w:val="nil"/>
              <w:left w:val="nil"/>
              <w:bottom w:val="nil"/>
              <w:right w:val="nil"/>
            </w:tcBorders>
          </w:tcPr>
          <w:p w14:paraId="77282479" w14:textId="77777777" w:rsidR="00C4624A" w:rsidRPr="00195EC3" w:rsidRDefault="00C4624A" w:rsidP="00461AA0">
            <w:pPr>
              <w:spacing w:before="60" w:after="60"/>
              <w:ind w:right="-29"/>
              <w:jc w:val="center"/>
              <w:rPr>
                <w:noProof/>
                <w:sz w:val="18"/>
                <w:szCs w:val="18"/>
              </w:rPr>
            </w:pPr>
          </w:p>
        </w:tc>
        <w:tc>
          <w:tcPr>
            <w:tcW w:w="644" w:type="dxa"/>
            <w:tcBorders>
              <w:top w:val="nil"/>
              <w:left w:val="nil"/>
              <w:bottom w:val="nil"/>
              <w:right w:val="nil"/>
            </w:tcBorders>
          </w:tcPr>
          <w:p w14:paraId="5A0C31BD" w14:textId="77777777" w:rsidR="00C4624A" w:rsidRPr="00195EC3" w:rsidRDefault="00C4624A" w:rsidP="00461AA0">
            <w:pPr>
              <w:spacing w:before="60" w:after="60"/>
              <w:ind w:right="-29"/>
              <w:jc w:val="center"/>
              <w:rPr>
                <w:noProof/>
                <w:sz w:val="18"/>
                <w:szCs w:val="18"/>
              </w:rPr>
            </w:pPr>
          </w:p>
        </w:tc>
        <w:tc>
          <w:tcPr>
            <w:tcW w:w="720" w:type="dxa"/>
            <w:tcBorders>
              <w:top w:val="nil"/>
              <w:left w:val="nil"/>
              <w:bottom w:val="nil"/>
              <w:right w:val="nil"/>
            </w:tcBorders>
          </w:tcPr>
          <w:p w14:paraId="20DCFC33" w14:textId="77777777" w:rsidR="00C4624A" w:rsidRPr="00195EC3" w:rsidRDefault="00C4624A" w:rsidP="00461AA0">
            <w:pPr>
              <w:spacing w:before="60" w:after="60"/>
              <w:ind w:right="-29"/>
              <w:jc w:val="center"/>
              <w:rPr>
                <w:noProof/>
                <w:sz w:val="18"/>
                <w:szCs w:val="18"/>
              </w:rPr>
            </w:pPr>
          </w:p>
        </w:tc>
        <w:tc>
          <w:tcPr>
            <w:tcW w:w="720" w:type="dxa"/>
            <w:gridSpan w:val="2"/>
            <w:tcBorders>
              <w:top w:val="nil"/>
              <w:left w:val="nil"/>
              <w:bottom w:val="nil"/>
              <w:right w:val="nil"/>
            </w:tcBorders>
          </w:tcPr>
          <w:p w14:paraId="58C3F084" w14:textId="77777777" w:rsidR="00C4624A" w:rsidRPr="00195EC3" w:rsidRDefault="00C4624A" w:rsidP="00461AA0">
            <w:pPr>
              <w:spacing w:before="60" w:after="60"/>
              <w:ind w:right="-29"/>
              <w:jc w:val="center"/>
              <w:rPr>
                <w:noProof/>
                <w:sz w:val="18"/>
                <w:szCs w:val="18"/>
              </w:rPr>
            </w:pPr>
          </w:p>
        </w:tc>
        <w:tc>
          <w:tcPr>
            <w:tcW w:w="720" w:type="dxa"/>
            <w:tcBorders>
              <w:top w:val="nil"/>
              <w:left w:val="nil"/>
              <w:bottom w:val="nil"/>
              <w:right w:val="nil"/>
            </w:tcBorders>
          </w:tcPr>
          <w:p w14:paraId="6FEED66F" w14:textId="77777777" w:rsidR="00C4624A" w:rsidRPr="00195EC3" w:rsidRDefault="00C4624A" w:rsidP="00461AA0">
            <w:pPr>
              <w:spacing w:before="60" w:after="60"/>
              <w:ind w:right="-29"/>
              <w:jc w:val="center"/>
              <w:rPr>
                <w:noProof/>
                <w:sz w:val="18"/>
                <w:szCs w:val="18"/>
              </w:rPr>
            </w:pPr>
          </w:p>
        </w:tc>
        <w:tc>
          <w:tcPr>
            <w:tcW w:w="900" w:type="dxa"/>
            <w:gridSpan w:val="2"/>
            <w:tcBorders>
              <w:top w:val="nil"/>
              <w:left w:val="nil"/>
              <w:bottom w:val="nil"/>
              <w:right w:val="nil"/>
            </w:tcBorders>
          </w:tcPr>
          <w:p w14:paraId="38A56267" w14:textId="77777777" w:rsidR="00C4624A" w:rsidRPr="00195EC3" w:rsidRDefault="00C4624A" w:rsidP="00461AA0">
            <w:pPr>
              <w:spacing w:before="60" w:after="60"/>
              <w:ind w:right="-29"/>
              <w:jc w:val="center"/>
              <w:rPr>
                <w:noProof/>
                <w:sz w:val="18"/>
                <w:szCs w:val="18"/>
              </w:rPr>
            </w:pPr>
          </w:p>
        </w:tc>
        <w:tc>
          <w:tcPr>
            <w:tcW w:w="691" w:type="dxa"/>
            <w:tcBorders>
              <w:top w:val="nil"/>
              <w:left w:val="nil"/>
              <w:bottom w:val="nil"/>
              <w:right w:val="nil"/>
            </w:tcBorders>
          </w:tcPr>
          <w:p w14:paraId="3BBCC97B" w14:textId="77777777" w:rsidR="00C4624A" w:rsidRPr="00195EC3" w:rsidRDefault="00C4624A" w:rsidP="00461AA0">
            <w:pPr>
              <w:spacing w:before="60" w:after="60"/>
              <w:ind w:right="-29"/>
              <w:jc w:val="center"/>
              <w:rPr>
                <w:noProof/>
                <w:sz w:val="18"/>
                <w:szCs w:val="18"/>
              </w:rPr>
            </w:pPr>
          </w:p>
        </w:tc>
        <w:tc>
          <w:tcPr>
            <w:tcW w:w="569" w:type="dxa"/>
            <w:tcBorders>
              <w:top w:val="nil"/>
              <w:left w:val="nil"/>
              <w:bottom w:val="nil"/>
              <w:right w:val="nil"/>
            </w:tcBorders>
          </w:tcPr>
          <w:p w14:paraId="548A5923" w14:textId="77777777" w:rsidR="00C4624A" w:rsidRPr="00195EC3" w:rsidRDefault="00C4624A" w:rsidP="00461AA0">
            <w:pPr>
              <w:spacing w:before="60" w:after="60"/>
              <w:ind w:right="-29"/>
              <w:jc w:val="center"/>
              <w:rPr>
                <w:noProof/>
                <w:sz w:val="18"/>
                <w:szCs w:val="18"/>
              </w:rPr>
            </w:pPr>
          </w:p>
        </w:tc>
        <w:tc>
          <w:tcPr>
            <w:tcW w:w="706" w:type="dxa"/>
            <w:tcBorders>
              <w:top w:val="nil"/>
              <w:left w:val="nil"/>
              <w:bottom w:val="nil"/>
              <w:right w:val="nil"/>
            </w:tcBorders>
          </w:tcPr>
          <w:p w14:paraId="5A8A6B4E" w14:textId="77777777" w:rsidR="00C4624A" w:rsidRPr="00195EC3" w:rsidRDefault="00C4624A" w:rsidP="00461AA0">
            <w:pPr>
              <w:spacing w:before="60" w:after="60"/>
              <w:ind w:right="-29"/>
              <w:jc w:val="center"/>
              <w:rPr>
                <w:noProof/>
                <w:sz w:val="18"/>
                <w:szCs w:val="18"/>
              </w:rPr>
            </w:pPr>
          </w:p>
        </w:tc>
        <w:tc>
          <w:tcPr>
            <w:tcW w:w="567" w:type="dxa"/>
            <w:tcBorders>
              <w:top w:val="nil"/>
              <w:left w:val="nil"/>
              <w:bottom w:val="nil"/>
              <w:right w:val="nil"/>
            </w:tcBorders>
          </w:tcPr>
          <w:p w14:paraId="0B437624" w14:textId="77777777" w:rsidR="00C4624A" w:rsidRPr="00195EC3" w:rsidRDefault="00C4624A" w:rsidP="00461AA0">
            <w:pPr>
              <w:spacing w:before="60" w:after="60"/>
              <w:ind w:right="-29"/>
              <w:jc w:val="center"/>
              <w:rPr>
                <w:noProof/>
                <w:sz w:val="18"/>
                <w:szCs w:val="18"/>
              </w:rPr>
            </w:pPr>
          </w:p>
        </w:tc>
        <w:tc>
          <w:tcPr>
            <w:tcW w:w="709" w:type="dxa"/>
            <w:gridSpan w:val="2"/>
            <w:tcBorders>
              <w:top w:val="nil"/>
              <w:left w:val="nil"/>
              <w:bottom w:val="nil"/>
              <w:right w:val="nil"/>
            </w:tcBorders>
          </w:tcPr>
          <w:p w14:paraId="3617FEA6" w14:textId="77777777" w:rsidR="00C4624A" w:rsidRPr="00195EC3" w:rsidRDefault="00C4624A" w:rsidP="00461AA0">
            <w:pPr>
              <w:spacing w:before="60" w:after="60"/>
              <w:ind w:right="-29"/>
              <w:jc w:val="center"/>
              <w:rPr>
                <w:noProof/>
                <w:sz w:val="18"/>
                <w:szCs w:val="18"/>
              </w:rPr>
            </w:pPr>
          </w:p>
        </w:tc>
        <w:tc>
          <w:tcPr>
            <w:tcW w:w="425" w:type="dxa"/>
            <w:tcBorders>
              <w:top w:val="nil"/>
              <w:left w:val="nil"/>
              <w:bottom w:val="nil"/>
              <w:right w:val="nil"/>
            </w:tcBorders>
          </w:tcPr>
          <w:p w14:paraId="5190E94A" w14:textId="77777777" w:rsidR="00C4624A" w:rsidRPr="00195EC3" w:rsidRDefault="00C4624A" w:rsidP="00461AA0">
            <w:pPr>
              <w:spacing w:before="60" w:after="60"/>
              <w:ind w:right="-29"/>
              <w:jc w:val="center"/>
              <w:rPr>
                <w:noProof/>
                <w:sz w:val="18"/>
                <w:szCs w:val="18"/>
              </w:rPr>
            </w:pPr>
          </w:p>
        </w:tc>
        <w:tc>
          <w:tcPr>
            <w:tcW w:w="851" w:type="dxa"/>
            <w:gridSpan w:val="2"/>
            <w:tcBorders>
              <w:top w:val="nil"/>
              <w:left w:val="nil"/>
              <w:bottom w:val="nil"/>
              <w:right w:val="nil"/>
            </w:tcBorders>
          </w:tcPr>
          <w:p w14:paraId="3F52A48F" w14:textId="77777777" w:rsidR="00C4624A" w:rsidRPr="00195EC3" w:rsidRDefault="00C4624A" w:rsidP="00461AA0">
            <w:pPr>
              <w:spacing w:before="60" w:after="60"/>
              <w:ind w:right="-29"/>
              <w:jc w:val="center"/>
              <w:rPr>
                <w:noProof/>
                <w:sz w:val="18"/>
                <w:szCs w:val="18"/>
              </w:rPr>
            </w:pPr>
          </w:p>
        </w:tc>
        <w:tc>
          <w:tcPr>
            <w:tcW w:w="522" w:type="dxa"/>
            <w:tcBorders>
              <w:top w:val="nil"/>
              <w:left w:val="nil"/>
              <w:bottom w:val="nil"/>
              <w:right w:val="nil"/>
            </w:tcBorders>
          </w:tcPr>
          <w:p w14:paraId="607FD245" w14:textId="77777777" w:rsidR="00C4624A" w:rsidRPr="00195EC3" w:rsidRDefault="00C4624A" w:rsidP="00461AA0">
            <w:pPr>
              <w:spacing w:before="60" w:after="60"/>
              <w:ind w:right="-29"/>
              <w:jc w:val="center"/>
              <w:rPr>
                <w:noProof/>
                <w:sz w:val="18"/>
                <w:szCs w:val="18"/>
              </w:rPr>
            </w:pPr>
          </w:p>
        </w:tc>
        <w:tc>
          <w:tcPr>
            <w:tcW w:w="900" w:type="dxa"/>
            <w:tcBorders>
              <w:top w:val="nil"/>
              <w:left w:val="nil"/>
              <w:bottom w:val="nil"/>
              <w:right w:val="nil"/>
            </w:tcBorders>
          </w:tcPr>
          <w:p w14:paraId="22B2967B" w14:textId="77777777" w:rsidR="00C4624A" w:rsidRPr="00195EC3" w:rsidRDefault="00C4624A" w:rsidP="00461AA0">
            <w:pPr>
              <w:spacing w:before="60" w:after="60"/>
              <w:ind w:right="-29"/>
              <w:jc w:val="center"/>
              <w:rPr>
                <w:noProof/>
                <w:sz w:val="18"/>
                <w:szCs w:val="18"/>
              </w:rPr>
            </w:pPr>
          </w:p>
        </w:tc>
      </w:tr>
      <w:tr w:rsidR="00C4624A" w:rsidRPr="00195EC3" w14:paraId="6C7FC6D9" w14:textId="77777777" w:rsidTr="00461AA0">
        <w:trPr>
          <w:trHeight w:val="990"/>
          <w:jc w:val="center"/>
        </w:trPr>
        <w:tc>
          <w:tcPr>
            <w:tcW w:w="1423" w:type="dxa"/>
          </w:tcPr>
          <w:p w14:paraId="19048CCC" w14:textId="77777777" w:rsidR="00C4624A" w:rsidRPr="00195EC3" w:rsidRDefault="00C4624A" w:rsidP="00461AA0">
            <w:pPr>
              <w:ind w:right="-29"/>
              <w:jc w:val="center"/>
              <w:rPr>
                <w:noProof/>
                <w:sz w:val="18"/>
                <w:szCs w:val="18"/>
              </w:rPr>
            </w:pPr>
            <w:r w:rsidRPr="00195EC3">
              <w:rPr>
                <w:noProof/>
                <w:sz w:val="18"/>
              </w:rPr>
              <w:t>- Risultato</w:t>
            </w:r>
          </w:p>
        </w:tc>
        <w:tc>
          <w:tcPr>
            <w:tcW w:w="1266" w:type="dxa"/>
            <w:vAlign w:val="center"/>
          </w:tcPr>
          <w:p w14:paraId="5E9A2CBF" w14:textId="77777777" w:rsidR="00C4624A" w:rsidRPr="00195EC3" w:rsidRDefault="00C4624A" w:rsidP="00461AA0">
            <w:pPr>
              <w:ind w:right="-29"/>
              <w:jc w:val="center"/>
              <w:rPr>
                <w:noProof/>
                <w:sz w:val="18"/>
                <w:szCs w:val="18"/>
              </w:rPr>
            </w:pPr>
            <w:r w:rsidRPr="00195EC3">
              <w:rPr>
                <w:noProof/>
                <w:sz w:val="20"/>
              </w:rPr>
              <w:t>Erogazione di sovvenzioni</w:t>
            </w:r>
          </w:p>
        </w:tc>
        <w:tc>
          <w:tcPr>
            <w:tcW w:w="659" w:type="dxa"/>
            <w:tcBorders>
              <w:right w:val="dashSmallGap" w:sz="4" w:space="0" w:color="auto"/>
            </w:tcBorders>
          </w:tcPr>
          <w:p w14:paraId="5BB395E5" w14:textId="77777777" w:rsidR="00C4624A" w:rsidRPr="00195EC3" w:rsidRDefault="00C4624A" w:rsidP="00461AA0">
            <w:pPr>
              <w:ind w:right="-29"/>
              <w:jc w:val="center"/>
              <w:rPr>
                <w:noProof/>
                <w:sz w:val="18"/>
                <w:szCs w:val="18"/>
              </w:rPr>
            </w:pPr>
          </w:p>
        </w:tc>
        <w:tc>
          <w:tcPr>
            <w:tcW w:w="616" w:type="dxa"/>
            <w:tcBorders>
              <w:left w:val="dashSmallGap" w:sz="4" w:space="0" w:color="auto"/>
            </w:tcBorders>
          </w:tcPr>
          <w:p w14:paraId="138A4B5C" w14:textId="77777777" w:rsidR="00C4624A" w:rsidRPr="00195EC3" w:rsidRDefault="00C4624A" w:rsidP="00461AA0">
            <w:pPr>
              <w:ind w:right="-29"/>
              <w:jc w:val="center"/>
              <w:rPr>
                <w:noProof/>
                <w:sz w:val="18"/>
                <w:szCs w:val="18"/>
              </w:rPr>
            </w:pPr>
          </w:p>
        </w:tc>
        <w:tc>
          <w:tcPr>
            <w:tcW w:w="644" w:type="dxa"/>
            <w:tcBorders>
              <w:right w:val="dashSmallGap" w:sz="4" w:space="0" w:color="auto"/>
            </w:tcBorders>
          </w:tcPr>
          <w:p w14:paraId="3B79C1BE" w14:textId="77777777" w:rsidR="00C4624A" w:rsidRPr="00195EC3" w:rsidRDefault="00C4624A" w:rsidP="00461AA0">
            <w:pPr>
              <w:ind w:right="-29"/>
              <w:jc w:val="center"/>
              <w:rPr>
                <w:noProof/>
                <w:sz w:val="18"/>
                <w:szCs w:val="18"/>
              </w:rPr>
            </w:pPr>
          </w:p>
        </w:tc>
        <w:tc>
          <w:tcPr>
            <w:tcW w:w="720" w:type="dxa"/>
            <w:tcBorders>
              <w:left w:val="dashSmallGap" w:sz="4" w:space="0" w:color="auto"/>
            </w:tcBorders>
          </w:tcPr>
          <w:p w14:paraId="490A6E24" w14:textId="77777777" w:rsidR="00C4624A" w:rsidRPr="00195EC3" w:rsidRDefault="00C4624A" w:rsidP="00461AA0">
            <w:pPr>
              <w:ind w:right="-29"/>
              <w:jc w:val="center"/>
              <w:rPr>
                <w:noProof/>
                <w:sz w:val="18"/>
                <w:szCs w:val="18"/>
              </w:rPr>
            </w:pPr>
          </w:p>
        </w:tc>
        <w:tc>
          <w:tcPr>
            <w:tcW w:w="720" w:type="dxa"/>
            <w:gridSpan w:val="2"/>
            <w:tcBorders>
              <w:right w:val="dashSmallGap" w:sz="4" w:space="0" w:color="auto"/>
            </w:tcBorders>
          </w:tcPr>
          <w:p w14:paraId="303025EF" w14:textId="77777777" w:rsidR="00C4624A" w:rsidRPr="00195EC3" w:rsidRDefault="00C4624A" w:rsidP="00461AA0">
            <w:pPr>
              <w:ind w:right="-29"/>
              <w:jc w:val="center"/>
              <w:rPr>
                <w:noProof/>
                <w:sz w:val="18"/>
                <w:szCs w:val="18"/>
              </w:rPr>
            </w:pPr>
          </w:p>
        </w:tc>
        <w:tc>
          <w:tcPr>
            <w:tcW w:w="720" w:type="dxa"/>
            <w:tcBorders>
              <w:left w:val="dashSmallGap" w:sz="4" w:space="0" w:color="auto"/>
            </w:tcBorders>
          </w:tcPr>
          <w:p w14:paraId="422C06E9" w14:textId="77777777" w:rsidR="00C4624A" w:rsidRPr="00195EC3" w:rsidRDefault="00C4624A" w:rsidP="00461AA0">
            <w:pPr>
              <w:ind w:right="-29"/>
              <w:jc w:val="center"/>
              <w:rPr>
                <w:noProof/>
                <w:sz w:val="18"/>
                <w:szCs w:val="18"/>
              </w:rPr>
            </w:pPr>
            <w:r w:rsidRPr="00195EC3">
              <w:rPr>
                <w:noProof/>
                <w:sz w:val="18"/>
              </w:rPr>
              <w:t>170,0</w:t>
            </w:r>
          </w:p>
        </w:tc>
        <w:tc>
          <w:tcPr>
            <w:tcW w:w="900" w:type="dxa"/>
            <w:gridSpan w:val="2"/>
            <w:tcBorders>
              <w:right w:val="dashSmallGap" w:sz="4" w:space="0" w:color="auto"/>
            </w:tcBorders>
          </w:tcPr>
          <w:p w14:paraId="2E11DE41" w14:textId="77777777" w:rsidR="00C4624A" w:rsidRPr="00195EC3" w:rsidRDefault="00C4624A" w:rsidP="00461AA0">
            <w:pPr>
              <w:ind w:right="-29"/>
              <w:jc w:val="center"/>
              <w:rPr>
                <w:noProof/>
                <w:sz w:val="18"/>
                <w:szCs w:val="18"/>
              </w:rPr>
            </w:pPr>
          </w:p>
        </w:tc>
        <w:tc>
          <w:tcPr>
            <w:tcW w:w="691" w:type="dxa"/>
            <w:tcBorders>
              <w:left w:val="dashSmallGap" w:sz="4" w:space="0" w:color="auto"/>
            </w:tcBorders>
          </w:tcPr>
          <w:p w14:paraId="7E8833A2" w14:textId="77777777" w:rsidR="00C4624A" w:rsidRPr="00195EC3" w:rsidRDefault="00C4624A" w:rsidP="00461AA0">
            <w:pPr>
              <w:ind w:right="-29"/>
              <w:jc w:val="center"/>
              <w:rPr>
                <w:noProof/>
                <w:sz w:val="18"/>
                <w:szCs w:val="18"/>
              </w:rPr>
            </w:pPr>
            <w:r w:rsidRPr="00195EC3">
              <w:rPr>
                <w:noProof/>
                <w:sz w:val="18"/>
              </w:rPr>
              <w:t>170,0</w:t>
            </w:r>
          </w:p>
        </w:tc>
        <w:tc>
          <w:tcPr>
            <w:tcW w:w="569" w:type="dxa"/>
            <w:tcBorders>
              <w:right w:val="dashSmallGap" w:sz="4" w:space="0" w:color="auto"/>
            </w:tcBorders>
          </w:tcPr>
          <w:p w14:paraId="4A31CDC1" w14:textId="77777777" w:rsidR="00C4624A" w:rsidRPr="00195EC3" w:rsidRDefault="00C4624A" w:rsidP="00461AA0">
            <w:pPr>
              <w:ind w:right="-29"/>
              <w:jc w:val="center"/>
              <w:rPr>
                <w:noProof/>
                <w:sz w:val="18"/>
                <w:szCs w:val="18"/>
              </w:rPr>
            </w:pPr>
          </w:p>
        </w:tc>
        <w:tc>
          <w:tcPr>
            <w:tcW w:w="706" w:type="dxa"/>
            <w:tcBorders>
              <w:left w:val="dashSmallGap" w:sz="4" w:space="0" w:color="auto"/>
            </w:tcBorders>
          </w:tcPr>
          <w:p w14:paraId="73AF4159" w14:textId="77777777" w:rsidR="00C4624A" w:rsidRPr="00195EC3" w:rsidRDefault="00C4624A" w:rsidP="00461AA0">
            <w:pPr>
              <w:ind w:right="-29"/>
              <w:jc w:val="center"/>
              <w:rPr>
                <w:noProof/>
                <w:sz w:val="18"/>
                <w:szCs w:val="18"/>
              </w:rPr>
            </w:pPr>
            <w:r w:rsidRPr="00195EC3">
              <w:rPr>
                <w:noProof/>
                <w:sz w:val="18"/>
              </w:rPr>
              <w:t>170,0</w:t>
            </w:r>
          </w:p>
        </w:tc>
        <w:tc>
          <w:tcPr>
            <w:tcW w:w="567" w:type="dxa"/>
            <w:tcBorders>
              <w:right w:val="dashSmallGap" w:sz="4" w:space="0" w:color="auto"/>
            </w:tcBorders>
          </w:tcPr>
          <w:p w14:paraId="256AE42D" w14:textId="77777777" w:rsidR="00C4624A" w:rsidRPr="00195EC3" w:rsidRDefault="00C4624A" w:rsidP="00461AA0">
            <w:pPr>
              <w:ind w:right="-29"/>
              <w:jc w:val="center"/>
              <w:rPr>
                <w:noProof/>
                <w:sz w:val="18"/>
                <w:szCs w:val="18"/>
              </w:rPr>
            </w:pPr>
          </w:p>
        </w:tc>
        <w:tc>
          <w:tcPr>
            <w:tcW w:w="709" w:type="dxa"/>
            <w:gridSpan w:val="2"/>
            <w:tcBorders>
              <w:left w:val="dashSmallGap" w:sz="4" w:space="0" w:color="auto"/>
            </w:tcBorders>
          </w:tcPr>
          <w:p w14:paraId="10C05B1B" w14:textId="77777777" w:rsidR="00C4624A" w:rsidRPr="00195EC3" w:rsidRDefault="00C4624A" w:rsidP="00461AA0">
            <w:pPr>
              <w:ind w:right="-29"/>
              <w:jc w:val="center"/>
              <w:rPr>
                <w:noProof/>
                <w:sz w:val="18"/>
                <w:szCs w:val="18"/>
              </w:rPr>
            </w:pPr>
            <w:r w:rsidRPr="00195EC3">
              <w:rPr>
                <w:noProof/>
                <w:sz w:val="18"/>
              </w:rPr>
              <w:t>170,0</w:t>
            </w:r>
          </w:p>
        </w:tc>
        <w:tc>
          <w:tcPr>
            <w:tcW w:w="425" w:type="dxa"/>
            <w:tcBorders>
              <w:right w:val="dashSmallGap" w:sz="4" w:space="0" w:color="auto"/>
            </w:tcBorders>
          </w:tcPr>
          <w:p w14:paraId="3E73DC99" w14:textId="77777777" w:rsidR="00C4624A" w:rsidRPr="00195EC3" w:rsidRDefault="00C4624A" w:rsidP="00461AA0">
            <w:pPr>
              <w:ind w:right="-29"/>
              <w:jc w:val="center"/>
              <w:rPr>
                <w:noProof/>
                <w:sz w:val="18"/>
                <w:szCs w:val="18"/>
              </w:rPr>
            </w:pPr>
          </w:p>
        </w:tc>
        <w:tc>
          <w:tcPr>
            <w:tcW w:w="851" w:type="dxa"/>
            <w:gridSpan w:val="2"/>
            <w:tcBorders>
              <w:left w:val="dashSmallGap" w:sz="4" w:space="0" w:color="auto"/>
            </w:tcBorders>
          </w:tcPr>
          <w:p w14:paraId="7DE29F7D" w14:textId="77777777" w:rsidR="00C4624A" w:rsidRPr="00195EC3" w:rsidRDefault="00C4624A" w:rsidP="00461AA0">
            <w:pPr>
              <w:ind w:right="-29"/>
              <w:jc w:val="center"/>
              <w:rPr>
                <w:noProof/>
                <w:sz w:val="18"/>
                <w:szCs w:val="18"/>
              </w:rPr>
            </w:pPr>
            <w:r w:rsidRPr="00195EC3">
              <w:rPr>
                <w:noProof/>
                <w:sz w:val="18"/>
              </w:rPr>
              <w:t>170,0</w:t>
            </w:r>
          </w:p>
        </w:tc>
        <w:tc>
          <w:tcPr>
            <w:tcW w:w="522" w:type="dxa"/>
          </w:tcPr>
          <w:p w14:paraId="7A0D6A4E" w14:textId="77777777" w:rsidR="00C4624A" w:rsidRPr="00195EC3" w:rsidRDefault="00C4624A" w:rsidP="00461AA0">
            <w:pPr>
              <w:ind w:right="-29"/>
              <w:jc w:val="center"/>
              <w:rPr>
                <w:noProof/>
                <w:sz w:val="18"/>
                <w:szCs w:val="18"/>
              </w:rPr>
            </w:pPr>
          </w:p>
        </w:tc>
        <w:tc>
          <w:tcPr>
            <w:tcW w:w="900" w:type="dxa"/>
          </w:tcPr>
          <w:p w14:paraId="6FB421C0" w14:textId="77777777" w:rsidR="00C4624A" w:rsidRPr="00195EC3" w:rsidRDefault="00C4624A" w:rsidP="00461AA0">
            <w:pPr>
              <w:ind w:right="-29"/>
              <w:jc w:val="center"/>
              <w:rPr>
                <w:noProof/>
                <w:sz w:val="18"/>
                <w:szCs w:val="18"/>
              </w:rPr>
            </w:pPr>
            <w:r w:rsidRPr="00195EC3">
              <w:rPr>
                <w:noProof/>
                <w:sz w:val="18"/>
              </w:rPr>
              <w:t>850</w:t>
            </w:r>
          </w:p>
        </w:tc>
      </w:tr>
      <w:tr w:rsidR="00C4624A" w:rsidRPr="00195EC3" w14:paraId="20CA79FA" w14:textId="77777777" w:rsidTr="00461AA0">
        <w:trPr>
          <w:trHeight w:hRule="exact" w:val="848"/>
          <w:jc w:val="center"/>
        </w:trPr>
        <w:tc>
          <w:tcPr>
            <w:tcW w:w="1423" w:type="dxa"/>
          </w:tcPr>
          <w:p w14:paraId="7CFC55A9" w14:textId="77777777" w:rsidR="00C4624A" w:rsidRPr="00195EC3" w:rsidRDefault="00C4624A" w:rsidP="00461AA0">
            <w:pPr>
              <w:ind w:right="-29"/>
              <w:jc w:val="center"/>
              <w:rPr>
                <w:noProof/>
                <w:sz w:val="18"/>
                <w:szCs w:val="18"/>
              </w:rPr>
            </w:pPr>
            <w:r w:rsidRPr="00195EC3">
              <w:rPr>
                <w:noProof/>
                <w:sz w:val="18"/>
              </w:rPr>
              <w:t>- Risultato</w:t>
            </w:r>
          </w:p>
        </w:tc>
        <w:tc>
          <w:tcPr>
            <w:tcW w:w="1266" w:type="dxa"/>
            <w:vAlign w:val="center"/>
          </w:tcPr>
          <w:p w14:paraId="776F24B6" w14:textId="77777777" w:rsidR="00C4624A" w:rsidRPr="00195EC3" w:rsidRDefault="00C4624A" w:rsidP="00461AA0">
            <w:pPr>
              <w:ind w:right="-29"/>
              <w:jc w:val="center"/>
              <w:rPr>
                <w:noProof/>
                <w:sz w:val="18"/>
                <w:szCs w:val="18"/>
              </w:rPr>
            </w:pPr>
            <w:r w:rsidRPr="00195EC3">
              <w:rPr>
                <w:noProof/>
                <w:sz w:val="20"/>
              </w:rPr>
              <w:t>Copertura della garanzia per le azioni esterne</w:t>
            </w:r>
          </w:p>
        </w:tc>
        <w:tc>
          <w:tcPr>
            <w:tcW w:w="659" w:type="dxa"/>
            <w:tcBorders>
              <w:right w:val="dashSmallGap" w:sz="4" w:space="0" w:color="auto"/>
            </w:tcBorders>
          </w:tcPr>
          <w:p w14:paraId="7DE03EBE" w14:textId="77777777" w:rsidR="00C4624A" w:rsidRPr="00195EC3" w:rsidRDefault="00C4624A" w:rsidP="00461AA0">
            <w:pPr>
              <w:ind w:right="-29"/>
              <w:jc w:val="center"/>
              <w:rPr>
                <w:noProof/>
                <w:sz w:val="18"/>
                <w:szCs w:val="18"/>
              </w:rPr>
            </w:pPr>
          </w:p>
        </w:tc>
        <w:tc>
          <w:tcPr>
            <w:tcW w:w="616" w:type="dxa"/>
            <w:tcBorders>
              <w:left w:val="dashSmallGap" w:sz="4" w:space="0" w:color="auto"/>
            </w:tcBorders>
          </w:tcPr>
          <w:p w14:paraId="1ED3FD21" w14:textId="77777777" w:rsidR="00C4624A" w:rsidRPr="00195EC3" w:rsidRDefault="00C4624A" w:rsidP="00461AA0">
            <w:pPr>
              <w:ind w:right="-29"/>
              <w:jc w:val="center"/>
              <w:rPr>
                <w:noProof/>
                <w:sz w:val="18"/>
                <w:szCs w:val="18"/>
              </w:rPr>
            </w:pPr>
            <w:r w:rsidRPr="00195EC3">
              <w:rPr>
                <w:noProof/>
                <w:sz w:val="18"/>
              </w:rPr>
              <w:t>27,3</w:t>
            </w:r>
          </w:p>
        </w:tc>
        <w:tc>
          <w:tcPr>
            <w:tcW w:w="644" w:type="dxa"/>
            <w:tcBorders>
              <w:right w:val="dashSmallGap" w:sz="4" w:space="0" w:color="auto"/>
            </w:tcBorders>
          </w:tcPr>
          <w:p w14:paraId="45A2A970" w14:textId="77777777" w:rsidR="00C4624A" w:rsidRPr="00195EC3" w:rsidRDefault="00C4624A" w:rsidP="00461AA0">
            <w:pPr>
              <w:ind w:right="-29"/>
              <w:jc w:val="center"/>
              <w:rPr>
                <w:noProof/>
                <w:sz w:val="18"/>
                <w:szCs w:val="18"/>
              </w:rPr>
            </w:pPr>
          </w:p>
        </w:tc>
        <w:tc>
          <w:tcPr>
            <w:tcW w:w="720" w:type="dxa"/>
            <w:tcBorders>
              <w:left w:val="dashSmallGap" w:sz="4" w:space="0" w:color="auto"/>
            </w:tcBorders>
          </w:tcPr>
          <w:p w14:paraId="0C4B0E59" w14:textId="0FD46A7A" w:rsidR="00C4624A" w:rsidRPr="00195EC3" w:rsidRDefault="00C4624A" w:rsidP="00461AA0">
            <w:pPr>
              <w:ind w:right="-29"/>
              <w:jc w:val="center"/>
              <w:rPr>
                <w:noProof/>
                <w:sz w:val="18"/>
                <w:szCs w:val="18"/>
              </w:rPr>
            </w:pPr>
            <w:r w:rsidRPr="00195EC3">
              <w:rPr>
                <w:noProof/>
                <w:sz w:val="18"/>
              </w:rPr>
              <w:t>125,2</w:t>
            </w:r>
          </w:p>
        </w:tc>
        <w:tc>
          <w:tcPr>
            <w:tcW w:w="720" w:type="dxa"/>
            <w:gridSpan w:val="2"/>
            <w:tcBorders>
              <w:right w:val="dashSmallGap" w:sz="4" w:space="0" w:color="auto"/>
            </w:tcBorders>
          </w:tcPr>
          <w:p w14:paraId="36722BF2" w14:textId="77777777" w:rsidR="00C4624A" w:rsidRPr="00195EC3" w:rsidRDefault="00C4624A" w:rsidP="00461AA0">
            <w:pPr>
              <w:ind w:right="-29"/>
              <w:jc w:val="center"/>
              <w:rPr>
                <w:noProof/>
                <w:sz w:val="18"/>
                <w:szCs w:val="18"/>
              </w:rPr>
            </w:pPr>
          </w:p>
        </w:tc>
        <w:tc>
          <w:tcPr>
            <w:tcW w:w="720" w:type="dxa"/>
            <w:tcBorders>
              <w:left w:val="dashSmallGap" w:sz="4" w:space="0" w:color="auto"/>
            </w:tcBorders>
          </w:tcPr>
          <w:p w14:paraId="550CC4EB" w14:textId="77777777" w:rsidR="00C4624A" w:rsidRPr="00195EC3" w:rsidRDefault="00C4624A" w:rsidP="00461AA0">
            <w:pPr>
              <w:ind w:right="-29"/>
              <w:jc w:val="center"/>
              <w:rPr>
                <w:noProof/>
                <w:sz w:val="18"/>
                <w:szCs w:val="18"/>
              </w:rPr>
            </w:pPr>
            <w:r w:rsidRPr="00195EC3">
              <w:rPr>
                <w:noProof/>
                <w:sz w:val="18"/>
              </w:rPr>
              <w:t>162,6</w:t>
            </w:r>
          </w:p>
        </w:tc>
        <w:tc>
          <w:tcPr>
            <w:tcW w:w="900" w:type="dxa"/>
            <w:gridSpan w:val="2"/>
            <w:tcBorders>
              <w:right w:val="dashSmallGap" w:sz="4" w:space="0" w:color="auto"/>
            </w:tcBorders>
          </w:tcPr>
          <w:p w14:paraId="65EB5BB0" w14:textId="77777777" w:rsidR="00C4624A" w:rsidRPr="00195EC3" w:rsidRDefault="00C4624A" w:rsidP="00461AA0">
            <w:pPr>
              <w:ind w:right="-29"/>
              <w:jc w:val="center"/>
              <w:rPr>
                <w:noProof/>
                <w:sz w:val="18"/>
                <w:szCs w:val="18"/>
              </w:rPr>
            </w:pPr>
          </w:p>
        </w:tc>
        <w:tc>
          <w:tcPr>
            <w:tcW w:w="691" w:type="dxa"/>
            <w:tcBorders>
              <w:left w:val="dashSmallGap" w:sz="4" w:space="0" w:color="auto"/>
            </w:tcBorders>
          </w:tcPr>
          <w:p w14:paraId="1129537F" w14:textId="77777777" w:rsidR="00C4624A" w:rsidRPr="00195EC3" w:rsidRDefault="00C4624A" w:rsidP="00461AA0">
            <w:pPr>
              <w:ind w:right="-29"/>
              <w:jc w:val="center"/>
              <w:rPr>
                <w:noProof/>
                <w:sz w:val="18"/>
                <w:szCs w:val="18"/>
              </w:rPr>
            </w:pPr>
            <w:r w:rsidRPr="00195EC3">
              <w:rPr>
                <w:noProof/>
                <w:sz w:val="18"/>
              </w:rPr>
              <w:t>32,5</w:t>
            </w:r>
          </w:p>
        </w:tc>
        <w:tc>
          <w:tcPr>
            <w:tcW w:w="569" w:type="dxa"/>
            <w:tcBorders>
              <w:right w:val="dashSmallGap" w:sz="4" w:space="0" w:color="auto"/>
            </w:tcBorders>
          </w:tcPr>
          <w:p w14:paraId="7974D978" w14:textId="77777777" w:rsidR="00C4624A" w:rsidRPr="00195EC3" w:rsidRDefault="00C4624A" w:rsidP="00461AA0">
            <w:pPr>
              <w:ind w:right="-29"/>
              <w:jc w:val="center"/>
              <w:rPr>
                <w:noProof/>
                <w:sz w:val="18"/>
                <w:szCs w:val="18"/>
              </w:rPr>
            </w:pPr>
          </w:p>
        </w:tc>
        <w:tc>
          <w:tcPr>
            <w:tcW w:w="706" w:type="dxa"/>
            <w:tcBorders>
              <w:left w:val="dashSmallGap" w:sz="4" w:space="0" w:color="auto"/>
            </w:tcBorders>
          </w:tcPr>
          <w:p w14:paraId="12C7C27D" w14:textId="77777777" w:rsidR="00C4624A" w:rsidRPr="00195EC3" w:rsidRDefault="00C4624A" w:rsidP="00461AA0">
            <w:pPr>
              <w:ind w:right="-29"/>
              <w:jc w:val="center"/>
              <w:rPr>
                <w:noProof/>
                <w:sz w:val="18"/>
                <w:szCs w:val="18"/>
              </w:rPr>
            </w:pPr>
            <w:r w:rsidRPr="00195EC3">
              <w:rPr>
                <w:noProof/>
                <w:sz w:val="18"/>
              </w:rPr>
              <w:t>513,46</w:t>
            </w:r>
          </w:p>
        </w:tc>
        <w:tc>
          <w:tcPr>
            <w:tcW w:w="567" w:type="dxa"/>
            <w:tcBorders>
              <w:right w:val="dashSmallGap" w:sz="4" w:space="0" w:color="auto"/>
            </w:tcBorders>
          </w:tcPr>
          <w:p w14:paraId="147CEC7C" w14:textId="77777777" w:rsidR="00C4624A" w:rsidRPr="00195EC3" w:rsidRDefault="00C4624A" w:rsidP="00461AA0">
            <w:pPr>
              <w:ind w:right="-29"/>
              <w:jc w:val="center"/>
              <w:rPr>
                <w:noProof/>
                <w:sz w:val="18"/>
                <w:szCs w:val="18"/>
              </w:rPr>
            </w:pPr>
          </w:p>
        </w:tc>
        <w:tc>
          <w:tcPr>
            <w:tcW w:w="709" w:type="dxa"/>
            <w:gridSpan w:val="2"/>
            <w:tcBorders>
              <w:left w:val="dashSmallGap" w:sz="4" w:space="0" w:color="auto"/>
            </w:tcBorders>
          </w:tcPr>
          <w:p w14:paraId="178917EF" w14:textId="77777777" w:rsidR="00C4624A" w:rsidRPr="00195EC3" w:rsidRDefault="00C4624A" w:rsidP="00461AA0">
            <w:pPr>
              <w:ind w:right="-29"/>
              <w:jc w:val="center"/>
              <w:rPr>
                <w:noProof/>
                <w:sz w:val="18"/>
                <w:szCs w:val="18"/>
              </w:rPr>
            </w:pPr>
            <w:r w:rsidRPr="00195EC3">
              <w:rPr>
                <w:noProof/>
                <w:sz w:val="18"/>
              </w:rPr>
              <w:t>419,16</w:t>
            </w:r>
          </w:p>
        </w:tc>
        <w:tc>
          <w:tcPr>
            <w:tcW w:w="425" w:type="dxa"/>
            <w:tcBorders>
              <w:right w:val="dashSmallGap" w:sz="4" w:space="0" w:color="auto"/>
            </w:tcBorders>
          </w:tcPr>
          <w:p w14:paraId="0167D8DC" w14:textId="77777777" w:rsidR="00C4624A" w:rsidRPr="00195EC3" w:rsidRDefault="00C4624A" w:rsidP="00461AA0">
            <w:pPr>
              <w:ind w:right="-29"/>
              <w:jc w:val="center"/>
              <w:rPr>
                <w:noProof/>
                <w:sz w:val="18"/>
                <w:szCs w:val="18"/>
              </w:rPr>
            </w:pPr>
          </w:p>
        </w:tc>
        <w:tc>
          <w:tcPr>
            <w:tcW w:w="851" w:type="dxa"/>
            <w:gridSpan w:val="2"/>
            <w:tcBorders>
              <w:left w:val="dashSmallGap" w:sz="4" w:space="0" w:color="auto"/>
            </w:tcBorders>
          </w:tcPr>
          <w:p w14:paraId="07F729C5" w14:textId="77777777" w:rsidR="00C4624A" w:rsidRPr="00195EC3" w:rsidRDefault="00C4624A" w:rsidP="00461AA0">
            <w:pPr>
              <w:ind w:right="-29"/>
              <w:jc w:val="center"/>
              <w:rPr>
                <w:noProof/>
                <w:sz w:val="18"/>
                <w:szCs w:val="18"/>
              </w:rPr>
            </w:pPr>
            <w:r w:rsidRPr="00195EC3">
              <w:rPr>
                <w:noProof/>
                <w:sz w:val="18"/>
              </w:rPr>
              <w:t>370,06</w:t>
            </w:r>
          </w:p>
        </w:tc>
        <w:tc>
          <w:tcPr>
            <w:tcW w:w="522" w:type="dxa"/>
          </w:tcPr>
          <w:p w14:paraId="300A26BC" w14:textId="77777777" w:rsidR="00C4624A" w:rsidRPr="00195EC3" w:rsidRDefault="00C4624A" w:rsidP="00461AA0">
            <w:pPr>
              <w:ind w:right="-29"/>
              <w:jc w:val="center"/>
              <w:rPr>
                <w:noProof/>
                <w:sz w:val="18"/>
                <w:szCs w:val="18"/>
              </w:rPr>
            </w:pPr>
          </w:p>
        </w:tc>
        <w:tc>
          <w:tcPr>
            <w:tcW w:w="900" w:type="dxa"/>
          </w:tcPr>
          <w:p w14:paraId="107CDA2C" w14:textId="77777777" w:rsidR="00C4624A" w:rsidRPr="00195EC3" w:rsidRDefault="00C4624A" w:rsidP="00461AA0">
            <w:pPr>
              <w:ind w:right="-29"/>
              <w:jc w:val="center"/>
              <w:rPr>
                <w:noProof/>
                <w:sz w:val="18"/>
                <w:szCs w:val="18"/>
              </w:rPr>
            </w:pPr>
            <w:r w:rsidRPr="00195EC3">
              <w:rPr>
                <w:noProof/>
                <w:sz w:val="18"/>
              </w:rPr>
              <w:t>1 650,2</w:t>
            </w:r>
          </w:p>
        </w:tc>
      </w:tr>
      <w:tr w:rsidR="00C4624A" w:rsidRPr="00195EC3" w14:paraId="5313ED2F" w14:textId="77777777" w:rsidTr="00461AA0">
        <w:trPr>
          <w:trHeight w:hRule="exact" w:val="848"/>
          <w:jc w:val="center"/>
        </w:trPr>
        <w:tc>
          <w:tcPr>
            <w:tcW w:w="1423" w:type="dxa"/>
          </w:tcPr>
          <w:p w14:paraId="12B63F8E" w14:textId="77777777" w:rsidR="00C4624A" w:rsidRPr="00195EC3" w:rsidRDefault="00C4624A" w:rsidP="00461AA0">
            <w:pPr>
              <w:ind w:right="-29"/>
              <w:jc w:val="center"/>
              <w:rPr>
                <w:noProof/>
                <w:sz w:val="18"/>
                <w:szCs w:val="18"/>
              </w:rPr>
            </w:pPr>
            <w:r w:rsidRPr="00195EC3">
              <w:rPr>
                <w:noProof/>
                <w:sz w:val="18"/>
              </w:rPr>
              <w:t>- Risultato</w:t>
            </w:r>
          </w:p>
        </w:tc>
        <w:tc>
          <w:tcPr>
            <w:tcW w:w="1266" w:type="dxa"/>
            <w:vAlign w:val="center"/>
          </w:tcPr>
          <w:p w14:paraId="74B0F09B" w14:textId="77777777" w:rsidR="00C4624A" w:rsidRPr="00195EC3" w:rsidRDefault="00C4624A" w:rsidP="00461AA0">
            <w:pPr>
              <w:ind w:right="-29"/>
              <w:jc w:val="center"/>
              <w:rPr>
                <w:noProof/>
                <w:sz w:val="20"/>
                <w:szCs w:val="20"/>
              </w:rPr>
            </w:pPr>
            <w:r w:rsidRPr="00195EC3">
              <w:rPr>
                <w:noProof/>
                <w:sz w:val="20"/>
              </w:rPr>
              <w:t>Valutazione operativa</w:t>
            </w:r>
          </w:p>
        </w:tc>
        <w:tc>
          <w:tcPr>
            <w:tcW w:w="659" w:type="dxa"/>
            <w:tcBorders>
              <w:right w:val="dashSmallGap" w:sz="4" w:space="0" w:color="auto"/>
            </w:tcBorders>
          </w:tcPr>
          <w:p w14:paraId="430B4D7A" w14:textId="77777777" w:rsidR="00C4624A" w:rsidRPr="00195EC3" w:rsidRDefault="00C4624A" w:rsidP="00461AA0">
            <w:pPr>
              <w:ind w:right="-29"/>
              <w:jc w:val="center"/>
              <w:rPr>
                <w:noProof/>
                <w:sz w:val="18"/>
                <w:szCs w:val="18"/>
              </w:rPr>
            </w:pPr>
          </w:p>
        </w:tc>
        <w:tc>
          <w:tcPr>
            <w:tcW w:w="616" w:type="dxa"/>
            <w:tcBorders>
              <w:left w:val="dashSmallGap" w:sz="4" w:space="0" w:color="auto"/>
            </w:tcBorders>
          </w:tcPr>
          <w:p w14:paraId="23A8176A" w14:textId="77777777" w:rsidR="00C4624A" w:rsidRPr="00195EC3" w:rsidRDefault="00C4624A" w:rsidP="00461AA0">
            <w:pPr>
              <w:ind w:right="-29"/>
              <w:jc w:val="center"/>
              <w:rPr>
                <w:noProof/>
                <w:sz w:val="18"/>
                <w:szCs w:val="18"/>
              </w:rPr>
            </w:pPr>
          </w:p>
        </w:tc>
        <w:tc>
          <w:tcPr>
            <w:tcW w:w="644" w:type="dxa"/>
            <w:tcBorders>
              <w:right w:val="dashSmallGap" w:sz="4" w:space="0" w:color="auto"/>
            </w:tcBorders>
          </w:tcPr>
          <w:p w14:paraId="02970C09" w14:textId="77777777" w:rsidR="00C4624A" w:rsidRPr="00195EC3" w:rsidRDefault="00C4624A" w:rsidP="00461AA0">
            <w:pPr>
              <w:ind w:right="-29"/>
              <w:jc w:val="center"/>
              <w:rPr>
                <w:noProof/>
                <w:sz w:val="18"/>
                <w:szCs w:val="18"/>
              </w:rPr>
            </w:pPr>
            <w:r w:rsidRPr="00195EC3">
              <w:rPr>
                <w:noProof/>
                <w:sz w:val="18"/>
              </w:rPr>
              <w:t>1</w:t>
            </w:r>
          </w:p>
        </w:tc>
        <w:tc>
          <w:tcPr>
            <w:tcW w:w="720" w:type="dxa"/>
            <w:tcBorders>
              <w:left w:val="dashSmallGap" w:sz="4" w:space="0" w:color="auto"/>
            </w:tcBorders>
          </w:tcPr>
          <w:p w14:paraId="77B57687" w14:textId="77777777" w:rsidR="00C4624A" w:rsidRPr="00195EC3" w:rsidRDefault="00C4624A" w:rsidP="00461AA0">
            <w:pPr>
              <w:ind w:right="-29"/>
              <w:jc w:val="center"/>
              <w:rPr>
                <w:noProof/>
                <w:sz w:val="18"/>
                <w:szCs w:val="18"/>
              </w:rPr>
            </w:pPr>
            <w:r w:rsidRPr="00195EC3">
              <w:rPr>
                <w:noProof/>
                <w:sz w:val="18"/>
              </w:rPr>
              <w:t>0,15</w:t>
            </w:r>
          </w:p>
        </w:tc>
        <w:tc>
          <w:tcPr>
            <w:tcW w:w="720" w:type="dxa"/>
            <w:gridSpan w:val="2"/>
            <w:tcBorders>
              <w:right w:val="dashSmallGap" w:sz="4" w:space="0" w:color="auto"/>
            </w:tcBorders>
          </w:tcPr>
          <w:p w14:paraId="07912145" w14:textId="77777777" w:rsidR="00C4624A" w:rsidRPr="00195EC3" w:rsidRDefault="00C4624A" w:rsidP="00461AA0">
            <w:pPr>
              <w:ind w:right="-29"/>
              <w:jc w:val="center"/>
              <w:rPr>
                <w:noProof/>
                <w:sz w:val="18"/>
                <w:szCs w:val="18"/>
              </w:rPr>
            </w:pPr>
          </w:p>
        </w:tc>
        <w:tc>
          <w:tcPr>
            <w:tcW w:w="720" w:type="dxa"/>
            <w:tcBorders>
              <w:left w:val="dashSmallGap" w:sz="4" w:space="0" w:color="auto"/>
            </w:tcBorders>
          </w:tcPr>
          <w:p w14:paraId="65B600CC" w14:textId="77777777" w:rsidR="00C4624A" w:rsidRPr="00195EC3" w:rsidRDefault="00C4624A" w:rsidP="00461AA0">
            <w:pPr>
              <w:ind w:right="-29"/>
              <w:jc w:val="center"/>
              <w:rPr>
                <w:noProof/>
                <w:sz w:val="18"/>
                <w:szCs w:val="18"/>
              </w:rPr>
            </w:pPr>
          </w:p>
        </w:tc>
        <w:tc>
          <w:tcPr>
            <w:tcW w:w="900" w:type="dxa"/>
            <w:gridSpan w:val="2"/>
            <w:tcBorders>
              <w:right w:val="dashSmallGap" w:sz="4" w:space="0" w:color="auto"/>
            </w:tcBorders>
          </w:tcPr>
          <w:p w14:paraId="12497CCF" w14:textId="77777777" w:rsidR="00C4624A" w:rsidRPr="00195EC3" w:rsidRDefault="00C4624A" w:rsidP="00461AA0">
            <w:pPr>
              <w:ind w:right="-29"/>
              <w:jc w:val="center"/>
              <w:rPr>
                <w:noProof/>
                <w:sz w:val="18"/>
                <w:szCs w:val="18"/>
              </w:rPr>
            </w:pPr>
          </w:p>
        </w:tc>
        <w:tc>
          <w:tcPr>
            <w:tcW w:w="691" w:type="dxa"/>
            <w:tcBorders>
              <w:left w:val="dashSmallGap" w:sz="4" w:space="0" w:color="auto"/>
            </w:tcBorders>
          </w:tcPr>
          <w:p w14:paraId="2845DDDA" w14:textId="77777777" w:rsidR="00C4624A" w:rsidRPr="00195EC3" w:rsidRDefault="00C4624A" w:rsidP="00461AA0">
            <w:pPr>
              <w:ind w:right="-29"/>
              <w:jc w:val="center"/>
              <w:rPr>
                <w:noProof/>
                <w:sz w:val="18"/>
                <w:szCs w:val="18"/>
              </w:rPr>
            </w:pPr>
          </w:p>
        </w:tc>
        <w:tc>
          <w:tcPr>
            <w:tcW w:w="569" w:type="dxa"/>
            <w:tcBorders>
              <w:right w:val="dashSmallGap" w:sz="4" w:space="0" w:color="auto"/>
            </w:tcBorders>
          </w:tcPr>
          <w:p w14:paraId="1B5CC712" w14:textId="77777777" w:rsidR="00C4624A" w:rsidRPr="00195EC3" w:rsidRDefault="00C4624A" w:rsidP="00461AA0">
            <w:pPr>
              <w:ind w:right="-29"/>
              <w:jc w:val="center"/>
              <w:rPr>
                <w:noProof/>
                <w:sz w:val="18"/>
                <w:szCs w:val="18"/>
              </w:rPr>
            </w:pPr>
          </w:p>
        </w:tc>
        <w:tc>
          <w:tcPr>
            <w:tcW w:w="706" w:type="dxa"/>
            <w:tcBorders>
              <w:left w:val="dashSmallGap" w:sz="4" w:space="0" w:color="auto"/>
            </w:tcBorders>
          </w:tcPr>
          <w:p w14:paraId="514DACF8" w14:textId="77777777" w:rsidR="00C4624A" w:rsidRPr="00195EC3" w:rsidRDefault="00C4624A" w:rsidP="00461AA0">
            <w:pPr>
              <w:ind w:right="-29"/>
              <w:jc w:val="center"/>
              <w:rPr>
                <w:noProof/>
                <w:sz w:val="18"/>
                <w:szCs w:val="18"/>
              </w:rPr>
            </w:pPr>
          </w:p>
        </w:tc>
        <w:tc>
          <w:tcPr>
            <w:tcW w:w="567" w:type="dxa"/>
            <w:tcBorders>
              <w:right w:val="dashSmallGap" w:sz="4" w:space="0" w:color="auto"/>
            </w:tcBorders>
          </w:tcPr>
          <w:p w14:paraId="2BF17F1C" w14:textId="77777777" w:rsidR="00C4624A" w:rsidRPr="00195EC3" w:rsidRDefault="00C4624A" w:rsidP="00461AA0">
            <w:pPr>
              <w:ind w:right="-29"/>
              <w:jc w:val="center"/>
              <w:rPr>
                <w:noProof/>
                <w:sz w:val="18"/>
                <w:szCs w:val="18"/>
              </w:rPr>
            </w:pPr>
          </w:p>
        </w:tc>
        <w:tc>
          <w:tcPr>
            <w:tcW w:w="709" w:type="dxa"/>
            <w:gridSpan w:val="2"/>
            <w:tcBorders>
              <w:left w:val="dashSmallGap" w:sz="4" w:space="0" w:color="auto"/>
            </w:tcBorders>
          </w:tcPr>
          <w:p w14:paraId="6AA626EB" w14:textId="77777777" w:rsidR="00C4624A" w:rsidRPr="00195EC3" w:rsidRDefault="00C4624A" w:rsidP="00461AA0">
            <w:pPr>
              <w:ind w:right="-29"/>
              <w:jc w:val="center"/>
              <w:rPr>
                <w:noProof/>
                <w:sz w:val="18"/>
                <w:szCs w:val="18"/>
              </w:rPr>
            </w:pPr>
          </w:p>
        </w:tc>
        <w:tc>
          <w:tcPr>
            <w:tcW w:w="425" w:type="dxa"/>
            <w:tcBorders>
              <w:right w:val="dashSmallGap" w:sz="4" w:space="0" w:color="auto"/>
            </w:tcBorders>
          </w:tcPr>
          <w:p w14:paraId="032FE5BC" w14:textId="77777777" w:rsidR="00C4624A" w:rsidRPr="00195EC3" w:rsidRDefault="00C4624A" w:rsidP="00461AA0">
            <w:pPr>
              <w:ind w:right="-29"/>
              <w:jc w:val="center"/>
              <w:rPr>
                <w:noProof/>
                <w:sz w:val="18"/>
                <w:szCs w:val="18"/>
              </w:rPr>
            </w:pPr>
          </w:p>
        </w:tc>
        <w:tc>
          <w:tcPr>
            <w:tcW w:w="851" w:type="dxa"/>
            <w:gridSpan w:val="2"/>
            <w:tcBorders>
              <w:left w:val="dashSmallGap" w:sz="4" w:space="0" w:color="auto"/>
            </w:tcBorders>
          </w:tcPr>
          <w:p w14:paraId="5F8D0109" w14:textId="77777777" w:rsidR="00C4624A" w:rsidRPr="00195EC3" w:rsidRDefault="00C4624A" w:rsidP="00461AA0">
            <w:pPr>
              <w:ind w:right="-29"/>
              <w:jc w:val="center"/>
              <w:rPr>
                <w:noProof/>
                <w:sz w:val="18"/>
                <w:szCs w:val="18"/>
              </w:rPr>
            </w:pPr>
          </w:p>
        </w:tc>
        <w:tc>
          <w:tcPr>
            <w:tcW w:w="522" w:type="dxa"/>
          </w:tcPr>
          <w:p w14:paraId="3F6DA8C3" w14:textId="77777777" w:rsidR="00C4624A" w:rsidRPr="00195EC3" w:rsidRDefault="00C4624A" w:rsidP="00461AA0">
            <w:pPr>
              <w:ind w:right="-29"/>
              <w:jc w:val="center"/>
              <w:rPr>
                <w:noProof/>
                <w:sz w:val="18"/>
                <w:szCs w:val="18"/>
              </w:rPr>
            </w:pPr>
            <w:r w:rsidRPr="00195EC3">
              <w:rPr>
                <w:noProof/>
                <w:sz w:val="18"/>
              </w:rPr>
              <w:t>1</w:t>
            </w:r>
          </w:p>
        </w:tc>
        <w:tc>
          <w:tcPr>
            <w:tcW w:w="900" w:type="dxa"/>
          </w:tcPr>
          <w:p w14:paraId="6CF0204C" w14:textId="77777777" w:rsidR="00C4624A" w:rsidRPr="00195EC3" w:rsidRDefault="00C4624A" w:rsidP="00461AA0">
            <w:pPr>
              <w:ind w:right="-29"/>
              <w:jc w:val="center"/>
              <w:rPr>
                <w:noProof/>
                <w:sz w:val="18"/>
                <w:szCs w:val="18"/>
              </w:rPr>
            </w:pPr>
            <w:r w:rsidRPr="00195EC3">
              <w:rPr>
                <w:noProof/>
                <w:sz w:val="18"/>
              </w:rPr>
              <w:t>0,15</w:t>
            </w:r>
          </w:p>
        </w:tc>
      </w:tr>
      <w:tr w:rsidR="00C4624A" w:rsidRPr="00195EC3" w14:paraId="35E71CFB" w14:textId="77777777" w:rsidTr="00461AA0">
        <w:trPr>
          <w:trHeight w:hRule="exact" w:val="861"/>
          <w:jc w:val="center"/>
        </w:trPr>
        <w:tc>
          <w:tcPr>
            <w:tcW w:w="1423" w:type="dxa"/>
          </w:tcPr>
          <w:p w14:paraId="3E7EFB5E" w14:textId="77777777" w:rsidR="00C4624A" w:rsidRPr="00195EC3" w:rsidRDefault="00C4624A" w:rsidP="00461AA0">
            <w:pPr>
              <w:ind w:right="-29"/>
              <w:jc w:val="center"/>
              <w:rPr>
                <w:noProof/>
                <w:sz w:val="18"/>
                <w:szCs w:val="18"/>
              </w:rPr>
            </w:pPr>
            <w:r w:rsidRPr="00195EC3">
              <w:rPr>
                <w:noProof/>
                <w:sz w:val="18"/>
              </w:rPr>
              <w:t>- Risultato</w:t>
            </w:r>
          </w:p>
        </w:tc>
        <w:tc>
          <w:tcPr>
            <w:tcW w:w="1266" w:type="dxa"/>
            <w:vAlign w:val="center"/>
          </w:tcPr>
          <w:p w14:paraId="287E1014" w14:textId="77777777" w:rsidR="00C4624A" w:rsidRPr="00195EC3" w:rsidRDefault="00C4624A" w:rsidP="00461AA0">
            <w:pPr>
              <w:ind w:right="-29"/>
              <w:jc w:val="center"/>
              <w:rPr>
                <w:noProof/>
                <w:sz w:val="18"/>
                <w:szCs w:val="18"/>
              </w:rPr>
            </w:pPr>
            <w:r w:rsidRPr="00195EC3">
              <w:rPr>
                <w:noProof/>
                <w:sz w:val="20"/>
              </w:rPr>
              <w:t>Valutazione ex post</w:t>
            </w:r>
          </w:p>
        </w:tc>
        <w:tc>
          <w:tcPr>
            <w:tcW w:w="659" w:type="dxa"/>
          </w:tcPr>
          <w:p w14:paraId="073B9B52" w14:textId="77777777" w:rsidR="00C4624A" w:rsidRPr="00195EC3" w:rsidRDefault="00C4624A" w:rsidP="00461AA0">
            <w:pPr>
              <w:ind w:right="-29"/>
              <w:jc w:val="center"/>
              <w:rPr>
                <w:noProof/>
                <w:sz w:val="18"/>
                <w:szCs w:val="18"/>
              </w:rPr>
            </w:pPr>
          </w:p>
        </w:tc>
        <w:tc>
          <w:tcPr>
            <w:tcW w:w="616" w:type="dxa"/>
          </w:tcPr>
          <w:p w14:paraId="14C25A48" w14:textId="77777777" w:rsidR="00C4624A" w:rsidRPr="00195EC3" w:rsidRDefault="00C4624A" w:rsidP="00461AA0">
            <w:pPr>
              <w:ind w:right="-29"/>
              <w:jc w:val="center"/>
              <w:rPr>
                <w:noProof/>
                <w:sz w:val="18"/>
                <w:szCs w:val="18"/>
              </w:rPr>
            </w:pPr>
          </w:p>
        </w:tc>
        <w:tc>
          <w:tcPr>
            <w:tcW w:w="644" w:type="dxa"/>
          </w:tcPr>
          <w:p w14:paraId="7F0E2630" w14:textId="77777777" w:rsidR="00C4624A" w:rsidRPr="00195EC3" w:rsidRDefault="00C4624A" w:rsidP="00461AA0">
            <w:pPr>
              <w:ind w:right="-29"/>
              <w:jc w:val="center"/>
              <w:rPr>
                <w:noProof/>
                <w:sz w:val="18"/>
                <w:szCs w:val="18"/>
              </w:rPr>
            </w:pPr>
          </w:p>
        </w:tc>
        <w:tc>
          <w:tcPr>
            <w:tcW w:w="720" w:type="dxa"/>
          </w:tcPr>
          <w:p w14:paraId="5CDBFBD1" w14:textId="77777777" w:rsidR="00C4624A" w:rsidRPr="00195EC3" w:rsidRDefault="00C4624A" w:rsidP="00461AA0">
            <w:pPr>
              <w:ind w:right="-29"/>
              <w:jc w:val="center"/>
              <w:rPr>
                <w:noProof/>
                <w:sz w:val="18"/>
                <w:szCs w:val="18"/>
              </w:rPr>
            </w:pPr>
          </w:p>
        </w:tc>
        <w:tc>
          <w:tcPr>
            <w:tcW w:w="720" w:type="dxa"/>
            <w:gridSpan w:val="2"/>
          </w:tcPr>
          <w:p w14:paraId="7E586ED8" w14:textId="77777777" w:rsidR="00C4624A" w:rsidRPr="00195EC3" w:rsidRDefault="00C4624A" w:rsidP="00461AA0">
            <w:pPr>
              <w:ind w:right="-29"/>
              <w:jc w:val="center"/>
              <w:rPr>
                <w:noProof/>
                <w:sz w:val="18"/>
                <w:szCs w:val="18"/>
              </w:rPr>
            </w:pPr>
          </w:p>
        </w:tc>
        <w:tc>
          <w:tcPr>
            <w:tcW w:w="720" w:type="dxa"/>
          </w:tcPr>
          <w:p w14:paraId="21A14038" w14:textId="77777777" w:rsidR="00C4624A" w:rsidRPr="00195EC3" w:rsidRDefault="00C4624A" w:rsidP="00461AA0">
            <w:pPr>
              <w:ind w:right="-29"/>
              <w:jc w:val="center"/>
              <w:rPr>
                <w:noProof/>
                <w:sz w:val="18"/>
                <w:szCs w:val="18"/>
              </w:rPr>
            </w:pPr>
          </w:p>
        </w:tc>
        <w:tc>
          <w:tcPr>
            <w:tcW w:w="900" w:type="dxa"/>
            <w:gridSpan w:val="2"/>
          </w:tcPr>
          <w:p w14:paraId="42295F9D" w14:textId="77777777" w:rsidR="00C4624A" w:rsidRPr="00195EC3" w:rsidRDefault="00C4624A" w:rsidP="00461AA0">
            <w:pPr>
              <w:ind w:right="-29"/>
              <w:jc w:val="center"/>
              <w:rPr>
                <w:noProof/>
                <w:sz w:val="18"/>
                <w:szCs w:val="18"/>
              </w:rPr>
            </w:pPr>
            <w:r w:rsidRPr="00195EC3">
              <w:rPr>
                <w:noProof/>
                <w:sz w:val="18"/>
              </w:rPr>
              <w:t>1</w:t>
            </w:r>
          </w:p>
        </w:tc>
        <w:tc>
          <w:tcPr>
            <w:tcW w:w="691" w:type="dxa"/>
          </w:tcPr>
          <w:p w14:paraId="4845D783" w14:textId="77777777" w:rsidR="00C4624A" w:rsidRPr="00195EC3" w:rsidRDefault="00C4624A" w:rsidP="00461AA0">
            <w:pPr>
              <w:ind w:right="-29"/>
              <w:jc w:val="center"/>
              <w:rPr>
                <w:noProof/>
                <w:sz w:val="18"/>
                <w:szCs w:val="18"/>
              </w:rPr>
            </w:pPr>
            <w:r w:rsidRPr="00195EC3">
              <w:rPr>
                <w:noProof/>
                <w:sz w:val="18"/>
              </w:rPr>
              <w:t>0,15</w:t>
            </w:r>
          </w:p>
        </w:tc>
        <w:tc>
          <w:tcPr>
            <w:tcW w:w="569" w:type="dxa"/>
          </w:tcPr>
          <w:p w14:paraId="3A698F63" w14:textId="77777777" w:rsidR="00C4624A" w:rsidRPr="00195EC3" w:rsidRDefault="00C4624A" w:rsidP="00461AA0">
            <w:pPr>
              <w:ind w:right="-29"/>
              <w:jc w:val="center"/>
              <w:rPr>
                <w:noProof/>
                <w:sz w:val="18"/>
                <w:szCs w:val="18"/>
              </w:rPr>
            </w:pPr>
          </w:p>
        </w:tc>
        <w:tc>
          <w:tcPr>
            <w:tcW w:w="706" w:type="dxa"/>
          </w:tcPr>
          <w:p w14:paraId="7EAE97C9" w14:textId="77777777" w:rsidR="00C4624A" w:rsidRPr="00195EC3" w:rsidRDefault="00C4624A" w:rsidP="00461AA0">
            <w:pPr>
              <w:ind w:right="-29"/>
              <w:jc w:val="center"/>
              <w:rPr>
                <w:noProof/>
                <w:sz w:val="18"/>
                <w:szCs w:val="18"/>
              </w:rPr>
            </w:pPr>
          </w:p>
        </w:tc>
        <w:tc>
          <w:tcPr>
            <w:tcW w:w="567" w:type="dxa"/>
          </w:tcPr>
          <w:p w14:paraId="0B01FD86" w14:textId="77777777" w:rsidR="00C4624A" w:rsidRPr="00195EC3" w:rsidRDefault="00C4624A" w:rsidP="00461AA0">
            <w:pPr>
              <w:ind w:right="-29"/>
              <w:jc w:val="center"/>
              <w:rPr>
                <w:noProof/>
                <w:sz w:val="18"/>
                <w:szCs w:val="18"/>
              </w:rPr>
            </w:pPr>
          </w:p>
        </w:tc>
        <w:tc>
          <w:tcPr>
            <w:tcW w:w="709" w:type="dxa"/>
            <w:gridSpan w:val="2"/>
          </w:tcPr>
          <w:p w14:paraId="6667A8C3" w14:textId="77777777" w:rsidR="00C4624A" w:rsidRPr="00195EC3" w:rsidRDefault="00C4624A" w:rsidP="00461AA0">
            <w:pPr>
              <w:ind w:right="-29"/>
              <w:jc w:val="center"/>
              <w:rPr>
                <w:noProof/>
                <w:sz w:val="18"/>
                <w:szCs w:val="18"/>
              </w:rPr>
            </w:pPr>
          </w:p>
        </w:tc>
        <w:tc>
          <w:tcPr>
            <w:tcW w:w="425" w:type="dxa"/>
          </w:tcPr>
          <w:p w14:paraId="31C22BB0" w14:textId="77777777" w:rsidR="00C4624A" w:rsidRPr="00195EC3" w:rsidRDefault="00C4624A" w:rsidP="00461AA0">
            <w:pPr>
              <w:ind w:right="-29"/>
              <w:jc w:val="center"/>
              <w:rPr>
                <w:noProof/>
                <w:sz w:val="18"/>
                <w:szCs w:val="18"/>
              </w:rPr>
            </w:pPr>
          </w:p>
        </w:tc>
        <w:tc>
          <w:tcPr>
            <w:tcW w:w="851" w:type="dxa"/>
            <w:gridSpan w:val="2"/>
          </w:tcPr>
          <w:p w14:paraId="0112D988" w14:textId="77777777" w:rsidR="00C4624A" w:rsidRPr="00195EC3" w:rsidRDefault="00C4624A" w:rsidP="00461AA0">
            <w:pPr>
              <w:ind w:right="-29"/>
              <w:jc w:val="center"/>
              <w:rPr>
                <w:noProof/>
                <w:sz w:val="18"/>
                <w:szCs w:val="18"/>
              </w:rPr>
            </w:pPr>
          </w:p>
        </w:tc>
        <w:tc>
          <w:tcPr>
            <w:tcW w:w="522" w:type="dxa"/>
          </w:tcPr>
          <w:p w14:paraId="4B2FDAAC" w14:textId="77777777" w:rsidR="00C4624A" w:rsidRPr="00195EC3" w:rsidRDefault="00C4624A" w:rsidP="00461AA0">
            <w:pPr>
              <w:ind w:right="-29"/>
              <w:jc w:val="center"/>
              <w:rPr>
                <w:noProof/>
                <w:sz w:val="18"/>
                <w:szCs w:val="18"/>
              </w:rPr>
            </w:pPr>
            <w:r w:rsidRPr="00195EC3">
              <w:rPr>
                <w:noProof/>
                <w:sz w:val="18"/>
              </w:rPr>
              <w:t>1</w:t>
            </w:r>
          </w:p>
        </w:tc>
        <w:tc>
          <w:tcPr>
            <w:tcW w:w="900" w:type="dxa"/>
          </w:tcPr>
          <w:p w14:paraId="05E4CF08" w14:textId="77777777" w:rsidR="00C4624A" w:rsidRPr="00195EC3" w:rsidRDefault="00C4624A" w:rsidP="00461AA0">
            <w:pPr>
              <w:ind w:right="-29"/>
              <w:jc w:val="center"/>
              <w:rPr>
                <w:noProof/>
                <w:sz w:val="18"/>
                <w:szCs w:val="18"/>
              </w:rPr>
            </w:pPr>
            <w:r w:rsidRPr="00195EC3">
              <w:rPr>
                <w:noProof/>
                <w:sz w:val="18"/>
              </w:rPr>
              <w:t>0,15</w:t>
            </w:r>
          </w:p>
        </w:tc>
      </w:tr>
      <w:tr w:rsidR="00C4624A" w:rsidRPr="00195EC3" w14:paraId="26140CE9" w14:textId="77777777" w:rsidTr="00461AA0">
        <w:trPr>
          <w:jc w:val="center"/>
        </w:trPr>
        <w:tc>
          <w:tcPr>
            <w:tcW w:w="2689" w:type="dxa"/>
            <w:gridSpan w:val="2"/>
            <w:tcBorders>
              <w:top w:val="single" w:sz="12" w:space="0" w:color="auto"/>
              <w:left w:val="single" w:sz="12" w:space="0" w:color="auto"/>
              <w:bottom w:val="single" w:sz="12" w:space="0" w:color="auto"/>
            </w:tcBorders>
            <w:vAlign w:val="center"/>
          </w:tcPr>
          <w:p w14:paraId="7E4F9010" w14:textId="77777777" w:rsidR="00C4624A" w:rsidRPr="00195EC3" w:rsidRDefault="00C4624A" w:rsidP="00461AA0">
            <w:pPr>
              <w:ind w:right="-29"/>
              <w:jc w:val="center"/>
              <w:rPr>
                <w:noProof/>
                <w:sz w:val="18"/>
                <w:szCs w:val="18"/>
              </w:rPr>
            </w:pPr>
            <w:r w:rsidRPr="00195EC3">
              <w:rPr>
                <w:b/>
                <w:noProof/>
                <w:sz w:val="18"/>
              </w:rPr>
              <w:t>TOTALE</w:t>
            </w:r>
          </w:p>
        </w:tc>
        <w:tc>
          <w:tcPr>
            <w:tcW w:w="659" w:type="dxa"/>
            <w:tcBorders>
              <w:top w:val="single" w:sz="12" w:space="0" w:color="auto"/>
              <w:bottom w:val="single" w:sz="12" w:space="0" w:color="auto"/>
            </w:tcBorders>
          </w:tcPr>
          <w:p w14:paraId="4D56AF92" w14:textId="77777777" w:rsidR="00C4624A" w:rsidRPr="00195EC3" w:rsidRDefault="00C4624A" w:rsidP="00461AA0">
            <w:pPr>
              <w:spacing w:before="180" w:after="180"/>
              <w:ind w:right="-29"/>
              <w:jc w:val="center"/>
              <w:rPr>
                <w:noProof/>
                <w:sz w:val="18"/>
                <w:szCs w:val="18"/>
              </w:rPr>
            </w:pPr>
          </w:p>
        </w:tc>
        <w:tc>
          <w:tcPr>
            <w:tcW w:w="616" w:type="dxa"/>
            <w:tcBorders>
              <w:top w:val="single" w:sz="12" w:space="0" w:color="auto"/>
              <w:bottom w:val="single" w:sz="12" w:space="0" w:color="auto"/>
            </w:tcBorders>
          </w:tcPr>
          <w:p w14:paraId="119A5453" w14:textId="77777777" w:rsidR="00C4624A" w:rsidRPr="00195EC3" w:rsidRDefault="00C4624A" w:rsidP="00461AA0">
            <w:pPr>
              <w:spacing w:before="180" w:after="180"/>
              <w:ind w:right="-29"/>
              <w:jc w:val="center"/>
              <w:rPr>
                <w:b/>
                <w:bCs/>
                <w:noProof/>
                <w:sz w:val="18"/>
                <w:szCs w:val="18"/>
              </w:rPr>
            </w:pPr>
            <w:r w:rsidRPr="00195EC3">
              <w:rPr>
                <w:b/>
                <w:noProof/>
                <w:sz w:val="18"/>
              </w:rPr>
              <w:t>27,3</w:t>
            </w:r>
          </w:p>
        </w:tc>
        <w:tc>
          <w:tcPr>
            <w:tcW w:w="644" w:type="dxa"/>
            <w:tcBorders>
              <w:top w:val="single" w:sz="12" w:space="0" w:color="auto"/>
              <w:bottom w:val="single" w:sz="12" w:space="0" w:color="auto"/>
            </w:tcBorders>
          </w:tcPr>
          <w:p w14:paraId="68A1B749" w14:textId="77777777" w:rsidR="00C4624A" w:rsidRPr="00195EC3" w:rsidRDefault="00C4624A" w:rsidP="00461AA0">
            <w:pPr>
              <w:spacing w:before="180" w:after="180"/>
              <w:ind w:right="-29"/>
              <w:jc w:val="center"/>
              <w:rPr>
                <w:b/>
                <w:bCs/>
                <w:noProof/>
                <w:sz w:val="18"/>
                <w:szCs w:val="18"/>
              </w:rPr>
            </w:pPr>
            <w:r w:rsidRPr="00195EC3">
              <w:rPr>
                <w:b/>
                <w:noProof/>
                <w:sz w:val="18"/>
              </w:rPr>
              <w:t>1</w:t>
            </w:r>
          </w:p>
        </w:tc>
        <w:tc>
          <w:tcPr>
            <w:tcW w:w="720" w:type="dxa"/>
            <w:tcBorders>
              <w:top w:val="single" w:sz="12" w:space="0" w:color="auto"/>
              <w:bottom w:val="single" w:sz="12" w:space="0" w:color="auto"/>
            </w:tcBorders>
          </w:tcPr>
          <w:p w14:paraId="1F016222" w14:textId="77777777" w:rsidR="00C4624A" w:rsidRPr="00195EC3" w:rsidRDefault="00C4624A" w:rsidP="00461AA0">
            <w:pPr>
              <w:spacing w:before="180" w:after="180"/>
              <w:ind w:right="-29"/>
              <w:jc w:val="center"/>
              <w:rPr>
                <w:b/>
                <w:bCs/>
                <w:noProof/>
                <w:sz w:val="18"/>
                <w:szCs w:val="18"/>
              </w:rPr>
            </w:pPr>
            <w:r w:rsidRPr="00195EC3">
              <w:rPr>
                <w:b/>
                <w:noProof/>
                <w:sz w:val="18"/>
              </w:rPr>
              <w:t>125,2</w:t>
            </w:r>
          </w:p>
        </w:tc>
        <w:tc>
          <w:tcPr>
            <w:tcW w:w="720" w:type="dxa"/>
            <w:gridSpan w:val="2"/>
            <w:tcBorders>
              <w:top w:val="single" w:sz="12" w:space="0" w:color="auto"/>
              <w:bottom w:val="single" w:sz="12" w:space="0" w:color="auto"/>
            </w:tcBorders>
          </w:tcPr>
          <w:p w14:paraId="131E7A70" w14:textId="77777777" w:rsidR="00C4624A" w:rsidRPr="00195EC3" w:rsidRDefault="00C4624A" w:rsidP="00461AA0">
            <w:pPr>
              <w:spacing w:before="180" w:after="180"/>
              <w:ind w:right="-29"/>
              <w:jc w:val="center"/>
              <w:rPr>
                <w:b/>
                <w:bCs/>
                <w:noProof/>
                <w:sz w:val="18"/>
                <w:szCs w:val="18"/>
              </w:rPr>
            </w:pPr>
          </w:p>
        </w:tc>
        <w:tc>
          <w:tcPr>
            <w:tcW w:w="720" w:type="dxa"/>
            <w:tcBorders>
              <w:top w:val="single" w:sz="12" w:space="0" w:color="auto"/>
              <w:bottom w:val="single" w:sz="12" w:space="0" w:color="auto"/>
            </w:tcBorders>
          </w:tcPr>
          <w:p w14:paraId="134BC420" w14:textId="77777777" w:rsidR="00C4624A" w:rsidRPr="00195EC3" w:rsidRDefault="00C4624A" w:rsidP="00461AA0">
            <w:pPr>
              <w:spacing w:before="180" w:after="180"/>
              <w:ind w:right="-29"/>
              <w:jc w:val="center"/>
              <w:rPr>
                <w:b/>
                <w:bCs/>
                <w:noProof/>
                <w:sz w:val="18"/>
                <w:szCs w:val="18"/>
              </w:rPr>
            </w:pPr>
            <w:r w:rsidRPr="00195EC3">
              <w:rPr>
                <w:b/>
                <w:noProof/>
                <w:sz w:val="18"/>
              </w:rPr>
              <w:t>332,6</w:t>
            </w:r>
          </w:p>
        </w:tc>
        <w:tc>
          <w:tcPr>
            <w:tcW w:w="900" w:type="dxa"/>
            <w:gridSpan w:val="2"/>
            <w:tcBorders>
              <w:top w:val="single" w:sz="12" w:space="0" w:color="auto"/>
              <w:bottom w:val="single" w:sz="12" w:space="0" w:color="auto"/>
            </w:tcBorders>
          </w:tcPr>
          <w:p w14:paraId="5CAFC442" w14:textId="77777777" w:rsidR="00C4624A" w:rsidRPr="00195EC3" w:rsidRDefault="00C4624A" w:rsidP="00461AA0">
            <w:pPr>
              <w:spacing w:before="180" w:after="180"/>
              <w:ind w:right="-29"/>
              <w:jc w:val="center"/>
              <w:rPr>
                <w:b/>
                <w:bCs/>
                <w:noProof/>
                <w:sz w:val="18"/>
                <w:szCs w:val="18"/>
              </w:rPr>
            </w:pPr>
            <w:r w:rsidRPr="00195EC3">
              <w:rPr>
                <w:noProof/>
                <w:sz w:val="18"/>
              </w:rPr>
              <w:t>1</w:t>
            </w:r>
          </w:p>
        </w:tc>
        <w:tc>
          <w:tcPr>
            <w:tcW w:w="691" w:type="dxa"/>
            <w:tcBorders>
              <w:top w:val="single" w:sz="12" w:space="0" w:color="auto"/>
              <w:bottom w:val="single" w:sz="12" w:space="0" w:color="auto"/>
            </w:tcBorders>
          </w:tcPr>
          <w:p w14:paraId="5E090080" w14:textId="77777777" w:rsidR="00C4624A" w:rsidRPr="00195EC3" w:rsidRDefault="00C4624A" w:rsidP="00461AA0">
            <w:pPr>
              <w:spacing w:before="180" w:after="180"/>
              <w:ind w:right="-29"/>
              <w:jc w:val="center"/>
              <w:rPr>
                <w:b/>
                <w:bCs/>
                <w:noProof/>
                <w:sz w:val="18"/>
                <w:szCs w:val="18"/>
              </w:rPr>
            </w:pPr>
            <w:r w:rsidRPr="00195EC3">
              <w:rPr>
                <w:b/>
                <w:noProof/>
                <w:sz w:val="18"/>
              </w:rPr>
              <w:t>202,65</w:t>
            </w:r>
          </w:p>
        </w:tc>
        <w:tc>
          <w:tcPr>
            <w:tcW w:w="569" w:type="dxa"/>
            <w:tcBorders>
              <w:top w:val="single" w:sz="12" w:space="0" w:color="auto"/>
              <w:bottom w:val="single" w:sz="12" w:space="0" w:color="auto"/>
            </w:tcBorders>
          </w:tcPr>
          <w:p w14:paraId="1A651741" w14:textId="77777777" w:rsidR="00C4624A" w:rsidRPr="00195EC3" w:rsidRDefault="00C4624A" w:rsidP="00461AA0">
            <w:pPr>
              <w:spacing w:before="180" w:after="180"/>
              <w:ind w:right="-29"/>
              <w:jc w:val="center"/>
              <w:rPr>
                <w:b/>
                <w:bCs/>
                <w:noProof/>
                <w:sz w:val="18"/>
                <w:szCs w:val="18"/>
              </w:rPr>
            </w:pPr>
          </w:p>
        </w:tc>
        <w:tc>
          <w:tcPr>
            <w:tcW w:w="706" w:type="dxa"/>
            <w:tcBorders>
              <w:top w:val="single" w:sz="12" w:space="0" w:color="auto"/>
              <w:bottom w:val="single" w:sz="12" w:space="0" w:color="auto"/>
            </w:tcBorders>
          </w:tcPr>
          <w:p w14:paraId="3339C98B" w14:textId="77777777" w:rsidR="00C4624A" w:rsidRPr="00195EC3" w:rsidRDefault="00C4624A" w:rsidP="00461AA0">
            <w:pPr>
              <w:spacing w:before="180" w:after="180"/>
              <w:ind w:right="-29"/>
              <w:jc w:val="center"/>
              <w:rPr>
                <w:b/>
                <w:bCs/>
                <w:noProof/>
                <w:sz w:val="18"/>
                <w:szCs w:val="18"/>
              </w:rPr>
            </w:pPr>
            <w:r w:rsidRPr="00195EC3">
              <w:rPr>
                <w:b/>
                <w:noProof/>
                <w:sz w:val="18"/>
              </w:rPr>
              <w:t>683,46</w:t>
            </w:r>
          </w:p>
        </w:tc>
        <w:tc>
          <w:tcPr>
            <w:tcW w:w="567" w:type="dxa"/>
            <w:tcBorders>
              <w:top w:val="single" w:sz="12" w:space="0" w:color="auto"/>
              <w:bottom w:val="single" w:sz="12" w:space="0" w:color="auto"/>
            </w:tcBorders>
          </w:tcPr>
          <w:p w14:paraId="4AF5A46D" w14:textId="77777777" w:rsidR="00C4624A" w:rsidRPr="00195EC3" w:rsidRDefault="00C4624A" w:rsidP="00461AA0">
            <w:pPr>
              <w:spacing w:before="180" w:after="180"/>
              <w:ind w:right="-29"/>
              <w:jc w:val="center"/>
              <w:rPr>
                <w:b/>
                <w:bCs/>
                <w:noProof/>
                <w:sz w:val="18"/>
                <w:szCs w:val="18"/>
              </w:rPr>
            </w:pPr>
          </w:p>
        </w:tc>
        <w:tc>
          <w:tcPr>
            <w:tcW w:w="709" w:type="dxa"/>
            <w:gridSpan w:val="2"/>
            <w:tcBorders>
              <w:top w:val="single" w:sz="12" w:space="0" w:color="auto"/>
              <w:bottom w:val="single" w:sz="12" w:space="0" w:color="auto"/>
            </w:tcBorders>
          </w:tcPr>
          <w:p w14:paraId="4CB1B5A6" w14:textId="77777777" w:rsidR="00C4624A" w:rsidRPr="00195EC3" w:rsidRDefault="00C4624A" w:rsidP="00461AA0">
            <w:pPr>
              <w:spacing w:before="180" w:after="180"/>
              <w:ind w:right="-29"/>
              <w:jc w:val="center"/>
              <w:rPr>
                <w:b/>
                <w:bCs/>
                <w:noProof/>
                <w:sz w:val="18"/>
                <w:szCs w:val="18"/>
              </w:rPr>
            </w:pPr>
            <w:r w:rsidRPr="00195EC3">
              <w:rPr>
                <w:b/>
                <w:noProof/>
                <w:sz w:val="18"/>
              </w:rPr>
              <w:t>589,16</w:t>
            </w:r>
          </w:p>
        </w:tc>
        <w:tc>
          <w:tcPr>
            <w:tcW w:w="425" w:type="dxa"/>
            <w:tcBorders>
              <w:top w:val="single" w:sz="12" w:space="0" w:color="auto"/>
              <w:bottom w:val="single" w:sz="12" w:space="0" w:color="auto"/>
            </w:tcBorders>
          </w:tcPr>
          <w:p w14:paraId="58928927" w14:textId="77777777" w:rsidR="00C4624A" w:rsidRPr="00195EC3" w:rsidRDefault="00C4624A" w:rsidP="00461AA0">
            <w:pPr>
              <w:spacing w:before="180" w:after="180"/>
              <w:ind w:right="-29"/>
              <w:jc w:val="center"/>
              <w:rPr>
                <w:b/>
                <w:bCs/>
                <w:noProof/>
                <w:sz w:val="18"/>
                <w:szCs w:val="18"/>
              </w:rPr>
            </w:pPr>
          </w:p>
        </w:tc>
        <w:tc>
          <w:tcPr>
            <w:tcW w:w="851" w:type="dxa"/>
            <w:gridSpan w:val="2"/>
            <w:tcBorders>
              <w:top w:val="single" w:sz="12" w:space="0" w:color="auto"/>
              <w:bottom w:val="single" w:sz="12" w:space="0" w:color="auto"/>
            </w:tcBorders>
          </w:tcPr>
          <w:p w14:paraId="08A493EF" w14:textId="77777777" w:rsidR="00C4624A" w:rsidRPr="00195EC3" w:rsidRDefault="00C4624A" w:rsidP="00461AA0">
            <w:pPr>
              <w:spacing w:before="180" w:after="180"/>
              <w:ind w:right="-29"/>
              <w:jc w:val="center"/>
              <w:rPr>
                <w:b/>
                <w:bCs/>
                <w:noProof/>
                <w:sz w:val="18"/>
                <w:szCs w:val="18"/>
              </w:rPr>
            </w:pPr>
            <w:r w:rsidRPr="00195EC3">
              <w:rPr>
                <w:b/>
                <w:noProof/>
                <w:sz w:val="18"/>
              </w:rPr>
              <w:t>540,06</w:t>
            </w:r>
          </w:p>
        </w:tc>
        <w:tc>
          <w:tcPr>
            <w:tcW w:w="522" w:type="dxa"/>
            <w:tcBorders>
              <w:top w:val="single" w:sz="12" w:space="0" w:color="auto"/>
              <w:bottom w:val="single" w:sz="12" w:space="0" w:color="auto"/>
            </w:tcBorders>
          </w:tcPr>
          <w:p w14:paraId="2CCBE77B" w14:textId="77777777" w:rsidR="00C4624A" w:rsidRPr="00195EC3" w:rsidRDefault="00C4624A" w:rsidP="00461AA0">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257C213E" w14:textId="77777777" w:rsidR="00C4624A" w:rsidRPr="00195EC3" w:rsidRDefault="00C4624A" w:rsidP="00461AA0">
            <w:pPr>
              <w:spacing w:before="180" w:after="180"/>
              <w:ind w:right="-29"/>
              <w:jc w:val="center"/>
              <w:rPr>
                <w:b/>
                <w:bCs/>
                <w:noProof/>
                <w:sz w:val="18"/>
                <w:szCs w:val="18"/>
              </w:rPr>
            </w:pPr>
            <w:r w:rsidRPr="00195EC3">
              <w:rPr>
                <w:b/>
                <w:noProof/>
                <w:sz w:val="18"/>
              </w:rPr>
              <w:t>2 500,5</w:t>
            </w:r>
          </w:p>
        </w:tc>
      </w:tr>
    </w:tbl>
    <w:p w14:paraId="6A4001C3" w14:textId="77777777" w:rsidR="00C4624A" w:rsidRPr="00195EC3" w:rsidRDefault="00C4624A" w:rsidP="00C4624A">
      <w:pPr>
        <w:rPr>
          <w:noProof/>
        </w:rPr>
        <w:sectPr w:rsidR="00C4624A" w:rsidRPr="00195EC3" w:rsidSect="003A691C">
          <w:headerReference w:type="default" r:id="rId15"/>
          <w:footerReference w:type="default" r:id="rId16"/>
          <w:headerReference w:type="first" r:id="rId17"/>
          <w:footerReference w:type="first" r:id="rId18"/>
          <w:pgSz w:w="16840" w:h="11907" w:orient="landscape" w:code="9"/>
          <w:pgMar w:top="1134" w:right="1418" w:bottom="567" w:left="1418" w:header="709" w:footer="709" w:gutter="0"/>
          <w:cols w:space="708"/>
          <w:docGrid w:linePitch="360"/>
        </w:sectPr>
      </w:pPr>
    </w:p>
    <w:p w14:paraId="34907BBE" w14:textId="169714D5" w:rsidR="00C4624A" w:rsidRPr="00195EC3" w:rsidRDefault="00E7408C" w:rsidP="00E7408C">
      <w:pPr>
        <w:pStyle w:val="ManualHeading3"/>
        <w:rPr>
          <w:noProof/>
          <w:szCs w:val="24"/>
        </w:rPr>
      </w:pPr>
      <w:bookmarkStart w:id="63" w:name="_Toc514938055"/>
      <w:bookmarkStart w:id="64" w:name="_Toc520485054"/>
      <w:r w:rsidRPr="00E7408C">
        <w:t>3.2.3.</w:t>
      </w:r>
      <w:r w:rsidRPr="00E7408C">
        <w:tab/>
      </w:r>
      <w:r w:rsidR="00C4624A" w:rsidRPr="00195EC3">
        <w:rPr>
          <w:noProof/>
        </w:rPr>
        <w:t>Sintesi dell'incidenza prevista sugli stanziamenti amministrativi</w:t>
      </w:r>
      <w:bookmarkEnd w:id="63"/>
      <w:bookmarkEnd w:id="64"/>
      <w:r w:rsidR="00C4624A" w:rsidRPr="00195EC3">
        <w:rPr>
          <w:noProof/>
        </w:rPr>
        <w:t xml:space="preserve"> </w:t>
      </w:r>
    </w:p>
    <w:p w14:paraId="25E80310" w14:textId="77777777" w:rsidR="00C4624A" w:rsidRPr="00195EC3" w:rsidRDefault="00C4624A" w:rsidP="00C4624A">
      <w:pPr>
        <w:pStyle w:val="ListDash1"/>
        <w:rPr>
          <w:noProof/>
        </w:rPr>
      </w:pPr>
      <w:r w:rsidRPr="00195EC3">
        <w:rPr>
          <w:noProof/>
        </w:rPr>
        <w:t>X La proposta/iniziativa comporta l'utilizzo di stanziamenti amministrativi, come spiegato di seguito:</w:t>
      </w:r>
    </w:p>
    <w:p w14:paraId="50CA4AE3" w14:textId="77777777" w:rsidR="00C4624A" w:rsidRPr="00195EC3" w:rsidRDefault="00C4624A" w:rsidP="00C4624A">
      <w:pPr>
        <w:jc w:val="right"/>
        <w:rPr>
          <w:noProof/>
          <w:sz w:val="20"/>
        </w:rPr>
      </w:pPr>
      <w:r w:rsidRPr="00195EC3">
        <w:rPr>
          <w:noProof/>
          <w:sz w:val="20"/>
        </w:rPr>
        <w:t>Mio EUR (al terzo decimale)</w:t>
      </w:r>
    </w:p>
    <w:tbl>
      <w:tblPr>
        <w:tblW w:w="950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3"/>
        <w:gridCol w:w="992"/>
        <w:gridCol w:w="1134"/>
      </w:tblGrid>
      <w:tr w:rsidR="00C4624A" w:rsidRPr="00195EC3" w14:paraId="7464B419" w14:textId="77777777" w:rsidTr="00461AA0">
        <w:trPr>
          <w:trHeight w:val="585"/>
        </w:trPr>
        <w:tc>
          <w:tcPr>
            <w:tcW w:w="1980" w:type="dxa"/>
          </w:tcPr>
          <w:p w14:paraId="7BA7CAA4" w14:textId="77777777" w:rsidR="00C4624A" w:rsidRPr="00195EC3" w:rsidRDefault="00C4624A" w:rsidP="00461AA0">
            <w:pPr>
              <w:spacing w:before="60" w:after="60" w:line="200" w:lineRule="exact"/>
              <w:rPr>
                <w:noProof/>
                <w:sz w:val="16"/>
                <w:szCs w:val="16"/>
              </w:rPr>
            </w:pPr>
          </w:p>
        </w:tc>
        <w:tc>
          <w:tcPr>
            <w:tcW w:w="1080" w:type="dxa"/>
            <w:vAlign w:val="center"/>
          </w:tcPr>
          <w:p w14:paraId="6F15F029" w14:textId="77777777" w:rsidR="00C4624A" w:rsidRPr="00195EC3" w:rsidRDefault="00C4624A" w:rsidP="00461AA0">
            <w:pPr>
              <w:spacing w:before="60" w:after="60" w:line="200" w:lineRule="exact"/>
              <w:jc w:val="center"/>
              <w:rPr>
                <w:noProof/>
                <w:sz w:val="16"/>
                <w:szCs w:val="16"/>
              </w:rPr>
            </w:pPr>
            <w:r w:rsidRPr="00195EC3">
              <w:rPr>
                <w:noProof/>
                <w:sz w:val="16"/>
              </w:rPr>
              <w:t>Anno 2022</w:t>
            </w:r>
          </w:p>
        </w:tc>
        <w:tc>
          <w:tcPr>
            <w:tcW w:w="1080" w:type="dxa"/>
            <w:vAlign w:val="center"/>
          </w:tcPr>
          <w:p w14:paraId="37AB3507" w14:textId="77777777" w:rsidR="00C4624A" w:rsidRPr="00195EC3" w:rsidRDefault="00C4624A" w:rsidP="00461AA0">
            <w:pPr>
              <w:spacing w:before="60" w:after="60" w:line="200" w:lineRule="exact"/>
              <w:jc w:val="center"/>
              <w:rPr>
                <w:noProof/>
                <w:sz w:val="16"/>
                <w:szCs w:val="16"/>
              </w:rPr>
            </w:pPr>
            <w:r w:rsidRPr="00195EC3">
              <w:rPr>
                <w:noProof/>
                <w:sz w:val="16"/>
              </w:rPr>
              <w:t>Anno 2023</w:t>
            </w:r>
          </w:p>
        </w:tc>
        <w:tc>
          <w:tcPr>
            <w:tcW w:w="1080" w:type="dxa"/>
            <w:vAlign w:val="center"/>
          </w:tcPr>
          <w:p w14:paraId="3E1E292E" w14:textId="77777777" w:rsidR="00C4624A" w:rsidRPr="00195EC3" w:rsidRDefault="00C4624A" w:rsidP="00461AA0">
            <w:pPr>
              <w:spacing w:before="60" w:after="60" w:line="200" w:lineRule="exact"/>
              <w:jc w:val="center"/>
              <w:rPr>
                <w:noProof/>
                <w:sz w:val="16"/>
                <w:szCs w:val="16"/>
              </w:rPr>
            </w:pPr>
            <w:r w:rsidRPr="00195EC3">
              <w:rPr>
                <w:noProof/>
                <w:sz w:val="16"/>
              </w:rPr>
              <w:t>Anno 2024</w:t>
            </w:r>
          </w:p>
        </w:tc>
        <w:tc>
          <w:tcPr>
            <w:tcW w:w="1080" w:type="dxa"/>
            <w:vAlign w:val="center"/>
          </w:tcPr>
          <w:p w14:paraId="261EA92C" w14:textId="77777777" w:rsidR="00C4624A" w:rsidRPr="00195EC3" w:rsidRDefault="00C4624A" w:rsidP="00461AA0">
            <w:pPr>
              <w:spacing w:before="60" w:after="60" w:line="200" w:lineRule="exact"/>
              <w:jc w:val="center"/>
              <w:rPr>
                <w:noProof/>
                <w:sz w:val="16"/>
                <w:szCs w:val="16"/>
              </w:rPr>
            </w:pPr>
            <w:r w:rsidRPr="00195EC3">
              <w:rPr>
                <w:noProof/>
                <w:sz w:val="16"/>
              </w:rPr>
              <w:t>Anno 2025</w:t>
            </w:r>
          </w:p>
        </w:tc>
        <w:tc>
          <w:tcPr>
            <w:tcW w:w="1083" w:type="dxa"/>
            <w:vAlign w:val="center"/>
          </w:tcPr>
          <w:p w14:paraId="014CC033" w14:textId="77777777" w:rsidR="00C4624A" w:rsidRPr="00195EC3" w:rsidRDefault="00C4624A" w:rsidP="00461AA0">
            <w:pPr>
              <w:spacing w:line="200" w:lineRule="exact"/>
              <w:jc w:val="center"/>
              <w:rPr>
                <w:noProof/>
                <w:sz w:val="16"/>
              </w:rPr>
            </w:pPr>
            <w:r w:rsidRPr="00195EC3">
              <w:rPr>
                <w:noProof/>
                <w:sz w:val="16"/>
              </w:rPr>
              <w:t>Anno 2026</w:t>
            </w:r>
          </w:p>
        </w:tc>
        <w:tc>
          <w:tcPr>
            <w:tcW w:w="992" w:type="dxa"/>
            <w:vAlign w:val="center"/>
          </w:tcPr>
          <w:p w14:paraId="78761561" w14:textId="77777777" w:rsidR="00C4624A" w:rsidRPr="00195EC3" w:rsidRDefault="00C4624A" w:rsidP="00461AA0">
            <w:pPr>
              <w:spacing w:line="200" w:lineRule="exact"/>
              <w:jc w:val="center"/>
              <w:rPr>
                <w:noProof/>
                <w:sz w:val="16"/>
                <w:szCs w:val="16"/>
              </w:rPr>
            </w:pPr>
            <w:r w:rsidRPr="00195EC3">
              <w:rPr>
                <w:noProof/>
                <w:sz w:val="16"/>
              </w:rPr>
              <w:t>Anno 2027</w:t>
            </w:r>
          </w:p>
        </w:tc>
        <w:tc>
          <w:tcPr>
            <w:tcW w:w="1134" w:type="dxa"/>
            <w:vAlign w:val="center"/>
          </w:tcPr>
          <w:p w14:paraId="651F1490" w14:textId="77777777" w:rsidR="00C4624A" w:rsidRPr="00195EC3" w:rsidRDefault="00C4624A" w:rsidP="00461AA0">
            <w:pPr>
              <w:spacing w:before="60" w:after="60" w:line="200" w:lineRule="exact"/>
              <w:jc w:val="center"/>
              <w:rPr>
                <w:b/>
                <w:noProof/>
                <w:sz w:val="16"/>
                <w:szCs w:val="16"/>
              </w:rPr>
            </w:pPr>
            <w:r w:rsidRPr="00195EC3">
              <w:rPr>
                <w:b/>
                <w:noProof/>
                <w:sz w:val="16"/>
              </w:rPr>
              <w:t>TOTALE</w:t>
            </w:r>
          </w:p>
        </w:tc>
      </w:tr>
    </w:tbl>
    <w:p w14:paraId="565E107A" w14:textId="77777777" w:rsidR="00C4624A" w:rsidRPr="00195EC3" w:rsidRDefault="00C4624A" w:rsidP="00C4624A">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C4624A" w:rsidRPr="00195EC3" w14:paraId="5C238E1F" w14:textId="77777777" w:rsidTr="00461AA0">
        <w:trPr>
          <w:trHeight w:val="585"/>
        </w:trPr>
        <w:tc>
          <w:tcPr>
            <w:tcW w:w="1980" w:type="dxa"/>
            <w:shd w:val="clear" w:color="auto" w:fill="CCCCCC"/>
            <w:vAlign w:val="center"/>
          </w:tcPr>
          <w:p w14:paraId="71AAF9A6" w14:textId="77777777" w:rsidR="00C4624A" w:rsidRPr="00195EC3" w:rsidRDefault="00C4624A" w:rsidP="00461AA0">
            <w:pPr>
              <w:spacing w:before="60" w:after="60" w:line="200" w:lineRule="exact"/>
              <w:jc w:val="center"/>
              <w:rPr>
                <w:b/>
                <w:bCs/>
                <w:noProof/>
                <w:sz w:val="16"/>
                <w:szCs w:val="16"/>
              </w:rPr>
            </w:pPr>
            <w:r w:rsidRPr="00195EC3">
              <w:rPr>
                <w:b/>
                <w:noProof/>
                <w:sz w:val="16"/>
              </w:rPr>
              <w:t>RUBRICA 7</w:t>
            </w:r>
          </w:p>
          <w:p w14:paraId="473853A2" w14:textId="77777777" w:rsidR="00C4624A" w:rsidRPr="00195EC3" w:rsidRDefault="00C4624A" w:rsidP="00461AA0">
            <w:pPr>
              <w:spacing w:before="60" w:after="60" w:line="200" w:lineRule="exact"/>
              <w:jc w:val="center"/>
              <w:rPr>
                <w:b/>
                <w:bCs/>
                <w:noProof/>
                <w:sz w:val="16"/>
                <w:szCs w:val="16"/>
              </w:rPr>
            </w:pPr>
            <w:r w:rsidRPr="00195EC3">
              <w:rPr>
                <w:b/>
                <w:noProof/>
                <w:sz w:val="16"/>
              </w:rPr>
              <w:t>del quadro finanziario pluriennale</w:t>
            </w:r>
          </w:p>
        </w:tc>
        <w:tc>
          <w:tcPr>
            <w:tcW w:w="1080" w:type="dxa"/>
            <w:vAlign w:val="center"/>
          </w:tcPr>
          <w:p w14:paraId="56ED5148"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6954126B"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595375DA"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71DD0402"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46EFBC6F"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761CC3F7"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4896CC2C" w14:textId="77777777" w:rsidR="00C4624A" w:rsidRPr="00195EC3" w:rsidRDefault="00C4624A" w:rsidP="00461AA0">
            <w:pPr>
              <w:spacing w:before="60" w:after="60" w:line="200" w:lineRule="exact"/>
              <w:jc w:val="right"/>
              <w:rPr>
                <w:b/>
                <w:bCs/>
                <w:noProof/>
                <w:sz w:val="16"/>
                <w:szCs w:val="16"/>
              </w:rPr>
            </w:pPr>
          </w:p>
        </w:tc>
      </w:tr>
      <w:tr w:rsidR="00C4624A" w:rsidRPr="00195EC3" w14:paraId="48700E9B" w14:textId="77777777" w:rsidTr="00461AA0">
        <w:trPr>
          <w:trHeight w:val="585"/>
        </w:trPr>
        <w:tc>
          <w:tcPr>
            <w:tcW w:w="1980" w:type="dxa"/>
            <w:vAlign w:val="center"/>
          </w:tcPr>
          <w:p w14:paraId="5B1028CE" w14:textId="77777777" w:rsidR="00C4624A" w:rsidRPr="00195EC3" w:rsidRDefault="00C4624A" w:rsidP="00461AA0">
            <w:pPr>
              <w:spacing w:before="60" w:after="60" w:line="200" w:lineRule="exact"/>
              <w:ind w:left="72"/>
              <w:jc w:val="left"/>
              <w:rPr>
                <w:noProof/>
                <w:sz w:val="16"/>
                <w:szCs w:val="16"/>
              </w:rPr>
            </w:pPr>
            <w:r w:rsidRPr="00195EC3">
              <w:rPr>
                <w:noProof/>
                <w:sz w:val="16"/>
              </w:rPr>
              <w:t xml:space="preserve">Risorse umane </w:t>
            </w:r>
          </w:p>
        </w:tc>
        <w:tc>
          <w:tcPr>
            <w:tcW w:w="1080" w:type="dxa"/>
            <w:vAlign w:val="center"/>
          </w:tcPr>
          <w:p w14:paraId="15FA561B" w14:textId="77777777" w:rsidR="00C4624A" w:rsidRPr="00195EC3" w:rsidRDefault="00C4624A" w:rsidP="00461AA0">
            <w:pPr>
              <w:spacing w:before="60" w:after="60" w:line="200" w:lineRule="exact"/>
              <w:jc w:val="right"/>
              <w:rPr>
                <w:noProof/>
                <w:sz w:val="16"/>
                <w:szCs w:val="16"/>
              </w:rPr>
            </w:pPr>
            <w:r w:rsidRPr="00195EC3">
              <w:rPr>
                <w:noProof/>
                <w:sz w:val="16"/>
              </w:rPr>
              <w:t>0,848</w:t>
            </w:r>
          </w:p>
        </w:tc>
        <w:tc>
          <w:tcPr>
            <w:tcW w:w="1080" w:type="dxa"/>
            <w:vAlign w:val="center"/>
          </w:tcPr>
          <w:p w14:paraId="3FC61988" w14:textId="77777777" w:rsidR="00C4624A" w:rsidRPr="00195EC3" w:rsidRDefault="00C4624A" w:rsidP="00461AA0">
            <w:pPr>
              <w:spacing w:before="60" w:after="60" w:line="200" w:lineRule="exact"/>
              <w:jc w:val="right"/>
              <w:rPr>
                <w:noProof/>
                <w:sz w:val="16"/>
                <w:szCs w:val="16"/>
              </w:rPr>
            </w:pPr>
            <w:r w:rsidRPr="00195EC3">
              <w:rPr>
                <w:noProof/>
                <w:sz w:val="16"/>
              </w:rPr>
              <w:t>0,424</w:t>
            </w:r>
          </w:p>
        </w:tc>
        <w:tc>
          <w:tcPr>
            <w:tcW w:w="1080" w:type="dxa"/>
            <w:vAlign w:val="center"/>
          </w:tcPr>
          <w:p w14:paraId="2DCE5A70" w14:textId="77777777" w:rsidR="00C4624A" w:rsidRPr="00195EC3" w:rsidRDefault="00C4624A" w:rsidP="00461AA0">
            <w:pPr>
              <w:spacing w:before="60" w:after="60" w:line="200" w:lineRule="exact"/>
              <w:jc w:val="right"/>
              <w:rPr>
                <w:noProof/>
                <w:sz w:val="16"/>
                <w:szCs w:val="16"/>
              </w:rPr>
            </w:pPr>
            <w:r w:rsidRPr="00195EC3">
              <w:rPr>
                <w:noProof/>
                <w:sz w:val="16"/>
              </w:rPr>
              <w:t>0,424</w:t>
            </w:r>
          </w:p>
        </w:tc>
        <w:tc>
          <w:tcPr>
            <w:tcW w:w="1080" w:type="dxa"/>
            <w:vAlign w:val="center"/>
          </w:tcPr>
          <w:p w14:paraId="607040F8" w14:textId="77777777" w:rsidR="00C4624A" w:rsidRPr="00195EC3" w:rsidRDefault="00C4624A" w:rsidP="00461AA0">
            <w:pPr>
              <w:spacing w:before="60" w:after="60" w:line="200" w:lineRule="exact"/>
              <w:jc w:val="right"/>
              <w:rPr>
                <w:noProof/>
                <w:sz w:val="16"/>
                <w:szCs w:val="16"/>
              </w:rPr>
            </w:pPr>
            <w:r w:rsidRPr="00195EC3">
              <w:rPr>
                <w:noProof/>
                <w:sz w:val="16"/>
              </w:rPr>
              <w:t>0,072</w:t>
            </w:r>
          </w:p>
        </w:tc>
        <w:tc>
          <w:tcPr>
            <w:tcW w:w="1080" w:type="dxa"/>
            <w:vAlign w:val="center"/>
          </w:tcPr>
          <w:p w14:paraId="4D795278" w14:textId="77777777" w:rsidR="00C4624A" w:rsidRPr="00195EC3" w:rsidRDefault="00C4624A" w:rsidP="00461AA0">
            <w:pPr>
              <w:spacing w:before="60" w:after="60" w:line="200" w:lineRule="exact"/>
              <w:jc w:val="right"/>
              <w:rPr>
                <w:noProof/>
                <w:sz w:val="16"/>
                <w:szCs w:val="16"/>
              </w:rPr>
            </w:pPr>
            <w:r w:rsidRPr="00195EC3">
              <w:rPr>
                <w:noProof/>
                <w:sz w:val="16"/>
              </w:rPr>
              <w:t>0,072</w:t>
            </w:r>
          </w:p>
        </w:tc>
        <w:tc>
          <w:tcPr>
            <w:tcW w:w="1080" w:type="dxa"/>
            <w:vAlign w:val="center"/>
          </w:tcPr>
          <w:p w14:paraId="425DA068" w14:textId="77777777" w:rsidR="00C4624A" w:rsidRPr="00195EC3" w:rsidRDefault="00C4624A" w:rsidP="00461AA0">
            <w:pPr>
              <w:spacing w:before="60" w:after="60" w:line="200" w:lineRule="exact"/>
              <w:jc w:val="right"/>
              <w:rPr>
                <w:noProof/>
                <w:sz w:val="16"/>
                <w:szCs w:val="16"/>
              </w:rPr>
            </w:pPr>
            <w:r w:rsidRPr="00195EC3">
              <w:rPr>
                <w:noProof/>
                <w:sz w:val="16"/>
              </w:rPr>
              <w:t>0,072</w:t>
            </w:r>
          </w:p>
        </w:tc>
        <w:tc>
          <w:tcPr>
            <w:tcW w:w="1080" w:type="dxa"/>
            <w:vAlign w:val="center"/>
          </w:tcPr>
          <w:p w14:paraId="1CDF9551" w14:textId="77777777" w:rsidR="00C4624A" w:rsidRPr="00195EC3" w:rsidRDefault="00C4624A" w:rsidP="00461AA0">
            <w:pPr>
              <w:spacing w:before="60" w:after="60" w:line="200" w:lineRule="exact"/>
              <w:jc w:val="right"/>
              <w:rPr>
                <w:b/>
                <w:bCs/>
                <w:noProof/>
                <w:sz w:val="16"/>
                <w:szCs w:val="16"/>
              </w:rPr>
            </w:pPr>
            <w:r w:rsidRPr="00195EC3">
              <w:rPr>
                <w:b/>
                <w:noProof/>
                <w:sz w:val="16"/>
              </w:rPr>
              <w:t>1,912</w:t>
            </w:r>
          </w:p>
        </w:tc>
      </w:tr>
      <w:tr w:rsidR="00C4624A" w:rsidRPr="00195EC3" w14:paraId="7C4F8C84" w14:textId="77777777" w:rsidTr="00461AA0">
        <w:trPr>
          <w:trHeight w:val="585"/>
        </w:trPr>
        <w:tc>
          <w:tcPr>
            <w:tcW w:w="1980" w:type="dxa"/>
            <w:vAlign w:val="center"/>
          </w:tcPr>
          <w:p w14:paraId="0DED2368" w14:textId="77777777" w:rsidR="00C4624A" w:rsidRPr="00195EC3" w:rsidRDefault="00C4624A" w:rsidP="00461AA0">
            <w:pPr>
              <w:spacing w:before="60" w:after="60" w:line="200" w:lineRule="exact"/>
              <w:ind w:left="72"/>
              <w:jc w:val="left"/>
              <w:rPr>
                <w:noProof/>
                <w:sz w:val="16"/>
                <w:szCs w:val="16"/>
              </w:rPr>
            </w:pPr>
            <w:r w:rsidRPr="00195EC3">
              <w:rPr>
                <w:noProof/>
                <w:sz w:val="16"/>
              </w:rPr>
              <w:t xml:space="preserve">Altre spese amministrative </w:t>
            </w:r>
          </w:p>
        </w:tc>
        <w:tc>
          <w:tcPr>
            <w:tcW w:w="1080" w:type="dxa"/>
            <w:vAlign w:val="center"/>
          </w:tcPr>
          <w:p w14:paraId="5D74111D" w14:textId="77777777" w:rsidR="00C4624A" w:rsidRPr="00195EC3" w:rsidRDefault="00C4624A" w:rsidP="00461AA0">
            <w:pPr>
              <w:spacing w:before="60" w:after="60" w:line="200" w:lineRule="exact"/>
              <w:jc w:val="right"/>
              <w:rPr>
                <w:noProof/>
                <w:sz w:val="16"/>
                <w:szCs w:val="16"/>
              </w:rPr>
            </w:pPr>
            <w:r w:rsidRPr="00195EC3">
              <w:rPr>
                <w:noProof/>
                <w:sz w:val="16"/>
              </w:rPr>
              <w:t>-</w:t>
            </w:r>
          </w:p>
        </w:tc>
        <w:tc>
          <w:tcPr>
            <w:tcW w:w="1080" w:type="dxa"/>
            <w:vAlign w:val="center"/>
          </w:tcPr>
          <w:p w14:paraId="48C1788D" w14:textId="77777777" w:rsidR="00C4624A" w:rsidRPr="00195EC3" w:rsidRDefault="00C4624A" w:rsidP="00461AA0">
            <w:pPr>
              <w:spacing w:before="60" w:after="60" w:line="200" w:lineRule="exact"/>
              <w:jc w:val="right"/>
              <w:rPr>
                <w:noProof/>
                <w:sz w:val="16"/>
                <w:szCs w:val="16"/>
              </w:rPr>
            </w:pPr>
            <w:r w:rsidRPr="00195EC3">
              <w:rPr>
                <w:noProof/>
                <w:sz w:val="16"/>
              </w:rPr>
              <w:t>0,06</w:t>
            </w:r>
          </w:p>
        </w:tc>
        <w:tc>
          <w:tcPr>
            <w:tcW w:w="1080" w:type="dxa"/>
            <w:vAlign w:val="center"/>
          </w:tcPr>
          <w:p w14:paraId="413A8C18" w14:textId="77777777" w:rsidR="00C4624A" w:rsidRPr="00195EC3" w:rsidRDefault="00C4624A" w:rsidP="00461AA0">
            <w:pPr>
              <w:spacing w:before="60" w:after="60" w:line="200" w:lineRule="exact"/>
              <w:jc w:val="right"/>
              <w:rPr>
                <w:noProof/>
                <w:sz w:val="16"/>
                <w:szCs w:val="16"/>
              </w:rPr>
            </w:pPr>
            <w:r w:rsidRPr="00195EC3">
              <w:rPr>
                <w:noProof/>
                <w:sz w:val="16"/>
              </w:rPr>
              <w:t>-</w:t>
            </w:r>
          </w:p>
        </w:tc>
        <w:tc>
          <w:tcPr>
            <w:tcW w:w="1080" w:type="dxa"/>
            <w:vAlign w:val="center"/>
          </w:tcPr>
          <w:p w14:paraId="7E1D4A82" w14:textId="77777777" w:rsidR="00C4624A" w:rsidRPr="00195EC3" w:rsidRDefault="00C4624A" w:rsidP="00461AA0">
            <w:pPr>
              <w:spacing w:before="60" w:after="60" w:line="200" w:lineRule="exact"/>
              <w:jc w:val="right"/>
              <w:rPr>
                <w:noProof/>
                <w:sz w:val="16"/>
                <w:szCs w:val="16"/>
              </w:rPr>
            </w:pPr>
            <w:r w:rsidRPr="00195EC3">
              <w:rPr>
                <w:noProof/>
                <w:sz w:val="16"/>
              </w:rPr>
              <w:t>-</w:t>
            </w:r>
          </w:p>
        </w:tc>
        <w:tc>
          <w:tcPr>
            <w:tcW w:w="1080" w:type="dxa"/>
            <w:vAlign w:val="center"/>
          </w:tcPr>
          <w:p w14:paraId="44C05C9B" w14:textId="77777777" w:rsidR="00C4624A" w:rsidRPr="00195EC3" w:rsidRDefault="00C4624A" w:rsidP="00461AA0">
            <w:pPr>
              <w:spacing w:before="60" w:after="60" w:line="200" w:lineRule="exact"/>
              <w:jc w:val="right"/>
              <w:rPr>
                <w:noProof/>
                <w:sz w:val="16"/>
                <w:szCs w:val="16"/>
              </w:rPr>
            </w:pPr>
            <w:r w:rsidRPr="00195EC3">
              <w:rPr>
                <w:noProof/>
                <w:sz w:val="16"/>
              </w:rPr>
              <w:t>-</w:t>
            </w:r>
          </w:p>
        </w:tc>
        <w:tc>
          <w:tcPr>
            <w:tcW w:w="1080" w:type="dxa"/>
            <w:vAlign w:val="center"/>
          </w:tcPr>
          <w:p w14:paraId="22AD780F" w14:textId="77777777" w:rsidR="00C4624A" w:rsidRPr="00195EC3" w:rsidRDefault="00C4624A" w:rsidP="00461AA0">
            <w:pPr>
              <w:spacing w:before="60" w:after="60" w:line="200" w:lineRule="exact"/>
              <w:jc w:val="right"/>
              <w:rPr>
                <w:noProof/>
                <w:sz w:val="16"/>
                <w:szCs w:val="16"/>
              </w:rPr>
            </w:pPr>
            <w:r w:rsidRPr="00195EC3">
              <w:rPr>
                <w:noProof/>
                <w:sz w:val="16"/>
              </w:rPr>
              <w:t>-</w:t>
            </w:r>
          </w:p>
        </w:tc>
        <w:tc>
          <w:tcPr>
            <w:tcW w:w="1080" w:type="dxa"/>
            <w:vAlign w:val="center"/>
          </w:tcPr>
          <w:p w14:paraId="73E39171" w14:textId="77777777" w:rsidR="00C4624A" w:rsidRPr="00195EC3" w:rsidRDefault="00C4624A" w:rsidP="00461AA0">
            <w:pPr>
              <w:spacing w:before="60" w:after="60" w:line="200" w:lineRule="exact"/>
              <w:jc w:val="right"/>
              <w:rPr>
                <w:b/>
                <w:bCs/>
                <w:noProof/>
                <w:sz w:val="16"/>
                <w:szCs w:val="16"/>
              </w:rPr>
            </w:pPr>
            <w:r w:rsidRPr="00195EC3">
              <w:rPr>
                <w:noProof/>
                <w:sz w:val="16"/>
              </w:rPr>
              <w:t>0,06</w:t>
            </w:r>
          </w:p>
        </w:tc>
      </w:tr>
      <w:tr w:rsidR="00C4624A" w:rsidRPr="00195EC3" w14:paraId="3C4DC37B" w14:textId="77777777" w:rsidTr="00461AA0">
        <w:trPr>
          <w:trHeight w:val="585"/>
        </w:trPr>
        <w:tc>
          <w:tcPr>
            <w:tcW w:w="1980" w:type="dxa"/>
            <w:shd w:val="clear" w:color="auto" w:fill="CCCCCC"/>
            <w:vAlign w:val="center"/>
          </w:tcPr>
          <w:p w14:paraId="12CE9686" w14:textId="77777777" w:rsidR="00C4624A" w:rsidRPr="00195EC3" w:rsidRDefault="00C4624A" w:rsidP="00461AA0">
            <w:pPr>
              <w:spacing w:before="60" w:after="60" w:line="200" w:lineRule="exact"/>
              <w:jc w:val="center"/>
              <w:rPr>
                <w:b/>
                <w:bCs/>
                <w:noProof/>
                <w:sz w:val="16"/>
                <w:szCs w:val="16"/>
              </w:rPr>
            </w:pPr>
            <w:r w:rsidRPr="00195EC3">
              <w:rPr>
                <w:b/>
                <w:noProof/>
                <w:sz w:val="16"/>
              </w:rPr>
              <w:t>Totale parziale RUBRICA 7</w:t>
            </w:r>
          </w:p>
          <w:p w14:paraId="1A713BD1" w14:textId="77777777" w:rsidR="00C4624A" w:rsidRPr="00195EC3" w:rsidRDefault="00C4624A" w:rsidP="00461AA0">
            <w:pPr>
              <w:spacing w:before="60" w:after="60" w:line="200" w:lineRule="exact"/>
              <w:jc w:val="center"/>
              <w:rPr>
                <w:b/>
                <w:bCs/>
                <w:noProof/>
                <w:sz w:val="16"/>
                <w:szCs w:val="16"/>
              </w:rPr>
            </w:pPr>
            <w:r w:rsidRPr="00195EC3">
              <w:rPr>
                <w:b/>
                <w:noProof/>
                <w:sz w:val="16"/>
              </w:rPr>
              <w:t xml:space="preserve">del quadro finanziario pluriennale </w:t>
            </w:r>
          </w:p>
        </w:tc>
        <w:tc>
          <w:tcPr>
            <w:tcW w:w="1080" w:type="dxa"/>
            <w:vAlign w:val="center"/>
          </w:tcPr>
          <w:p w14:paraId="0510900E" w14:textId="77777777" w:rsidR="00C4624A" w:rsidRPr="00195EC3" w:rsidRDefault="00C4624A" w:rsidP="00461AA0">
            <w:pPr>
              <w:spacing w:before="60" w:after="60" w:line="200" w:lineRule="exact"/>
              <w:jc w:val="right"/>
              <w:rPr>
                <w:noProof/>
                <w:sz w:val="16"/>
                <w:szCs w:val="16"/>
              </w:rPr>
            </w:pPr>
            <w:r w:rsidRPr="00195EC3">
              <w:rPr>
                <w:noProof/>
                <w:sz w:val="16"/>
              </w:rPr>
              <w:t>0,848</w:t>
            </w:r>
          </w:p>
        </w:tc>
        <w:tc>
          <w:tcPr>
            <w:tcW w:w="1080" w:type="dxa"/>
            <w:vAlign w:val="center"/>
          </w:tcPr>
          <w:p w14:paraId="6773155E" w14:textId="77777777" w:rsidR="00C4624A" w:rsidRPr="00195EC3" w:rsidRDefault="00C4624A" w:rsidP="00461AA0">
            <w:pPr>
              <w:spacing w:before="60" w:after="60" w:line="200" w:lineRule="exact"/>
              <w:jc w:val="right"/>
              <w:rPr>
                <w:noProof/>
                <w:sz w:val="16"/>
                <w:szCs w:val="16"/>
              </w:rPr>
            </w:pPr>
            <w:r w:rsidRPr="00195EC3">
              <w:rPr>
                <w:noProof/>
                <w:sz w:val="16"/>
              </w:rPr>
              <w:t>0,484</w:t>
            </w:r>
          </w:p>
        </w:tc>
        <w:tc>
          <w:tcPr>
            <w:tcW w:w="1080" w:type="dxa"/>
            <w:vAlign w:val="center"/>
          </w:tcPr>
          <w:p w14:paraId="45079E66" w14:textId="77777777" w:rsidR="00C4624A" w:rsidRPr="00195EC3" w:rsidRDefault="00C4624A" w:rsidP="00461AA0">
            <w:pPr>
              <w:spacing w:before="60" w:after="60" w:line="200" w:lineRule="exact"/>
              <w:jc w:val="right"/>
              <w:rPr>
                <w:noProof/>
                <w:sz w:val="16"/>
                <w:szCs w:val="16"/>
              </w:rPr>
            </w:pPr>
            <w:r w:rsidRPr="00195EC3">
              <w:rPr>
                <w:noProof/>
                <w:sz w:val="16"/>
              </w:rPr>
              <w:t>0,424</w:t>
            </w:r>
          </w:p>
        </w:tc>
        <w:tc>
          <w:tcPr>
            <w:tcW w:w="1080" w:type="dxa"/>
            <w:vAlign w:val="center"/>
          </w:tcPr>
          <w:p w14:paraId="5054946F" w14:textId="77777777" w:rsidR="00C4624A" w:rsidRPr="00195EC3" w:rsidRDefault="00C4624A" w:rsidP="00461AA0">
            <w:pPr>
              <w:spacing w:before="60" w:after="60" w:line="200" w:lineRule="exact"/>
              <w:jc w:val="right"/>
              <w:rPr>
                <w:noProof/>
                <w:sz w:val="16"/>
                <w:szCs w:val="16"/>
              </w:rPr>
            </w:pPr>
            <w:r w:rsidRPr="00195EC3">
              <w:rPr>
                <w:noProof/>
                <w:sz w:val="16"/>
              </w:rPr>
              <w:t>0,072</w:t>
            </w:r>
          </w:p>
        </w:tc>
        <w:tc>
          <w:tcPr>
            <w:tcW w:w="1080" w:type="dxa"/>
            <w:vAlign w:val="center"/>
          </w:tcPr>
          <w:p w14:paraId="57CF36F2" w14:textId="77777777" w:rsidR="00C4624A" w:rsidRPr="00195EC3" w:rsidRDefault="00C4624A" w:rsidP="00461AA0">
            <w:pPr>
              <w:spacing w:before="60" w:after="60" w:line="200" w:lineRule="exact"/>
              <w:jc w:val="right"/>
              <w:rPr>
                <w:noProof/>
                <w:sz w:val="16"/>
                <w:szCs w:val="16"/>
              </w:rPr>
            </w:pPr>
            <w:r w:rsidRPr="00195EC3">
              <w:rPr>
                <w:noProof/>
                <w:sz w:val="16"/>
              </w:rPr>
              <w:t>0,072</w:t>
            </w:r>
          </w:p>
        </w:tc>
        <w:tc>
          <w:tcPr>
            <w:tcW w:w="1080" w:type="dxa"/>
            <w:vAlign w:val="center"/>
          </w:tcPr>
          <w:p w14:paraId="437BCCD6" w14:textId="77777777" w:rsidR="00C4624A" w:rsidRPr="00195EC3" w:rsidRDefault="00C4624A" w:rsidP="00461AA0">
            <w:pPr>
              <w:spacing w:before="60" w:after="60" w:line="200" w:lineRule="exact"/>
              <w:jc w:val="right"/>
              <w:rPr>
                <w:noProof/>
                <w:sz w:val="16"/>
                <w:szCs w:val="16"/>
              </w:rPr>
            </w:pPr>
            <w:r w:rsidRPr="00195EC3">
              <w:rPr>
                <w:noProof/>
                <w:sz w:val="16"/>
              </w:rPr>
              <w:t>0,072</w:t>
            </w:r>
          </w:p>
        </w:tc>
        <w:tc>
          <w:tcPr>
            <w:tcW w:w="1080" w:type="dxa"/>
            <w:vAlign w:val="center"/>
          </w:tcPr>
          <w:p w14:paraId="7F6E0F4C" w14:textId="77777777" w:rsidR="00C4624A" w:rsidRPr="00195EC3" w:rsidRDefault="00C4624A" w:rsidP="00461AA0">
            <w:pPr>
              <w:spacing w:before="60" w:after="60" w:line="200" w:lineRule="exact"/>
              <w:jc w:val="right"/>
              <w:rPr>
                <w:b/>
                <w:bCs/>
                <w:noProof/>
                <w:sz w:val="16"/>
                <w:szCs w:val="16"/>
              </w:rPr>
            </w:pPr>
            <w:r w:rsidRPr="00195EC3">
              <w:rPr>
                <w:b/>
                <w:noProof/>
                <w:sz w:val="16"/>
              </w:rPr>
              <w:t>1,972</w:t>
            </w:r>
          </w:p>
        </w:tc>
      </w:tr>
    </w:tbl>
    <w:p w14:paraId="0E511CAE" w14:textId="77777777" w:rsidR="00C4624A" w:rsidRPr="00195EC3" w:rsidRDefault="00C4624A" w:rsidP="00C4624A">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C4624A" w:rsidRPr="00195EC3" w14:paraId="0ADB61AA" w14:textId="77777777" w:rsidTr="00461AA0">
        <w:trPr>
          <w:trHeight w:val="585"/>
        </w:trPr>
        <w:tc>
          <w:tcPr>
            <w:tcW w:w="1980" w:type="dxa"/>
            <w:shd w:val="clear" w:color="auto" w:fill="CCCCCC"/>
            <w:vAlign w:val="center"/>
          </w:tcPr>
          <w:p w14:paraId="58C5EE44" w14:textId="77777777" w:rsidR="00C4624A" w:rsidRPr="00195EC3" w:rsidRDefault="00C4624A" w:rsidP="00461AA0">
            <w:pPr>
              <w:spacing w:before="60" w:after="60" w:line="200" w:lineRule="exact"/>
              <w:jc w:val="center"/>
              <w:rPr>
                <w:b/>
                <w:bCs/>
                <w:noProof/>
                <w:sz w:val="16"/>
                <w:szCs w:val="16"/>
              </w:rPr>
            </w:pPr>
            <w:r w:rsidRPr="00195EC3">
              <w:rPr>
                <w:b/>
                <w:noProof/>
                <w:sz w:val="16"/>
              </w:rPr>
              <w:t>Esclusa la RUBRICA 7</w:t>
            </w:r>
            <w:r w:rsidRPr="00195EC3">
              <w:rPr>
                <w:rStyle w:val="FootnoteReference"/>
                <w:b/>
                <w:bCs/>
                <w:noProof/>
                <w:sz w:val="16"/>
                <w:szCs w:val="16"/>
              </w:rPr>
              <w:footnoteReference w:id="43"/>
            </w:r>
            <w:r w:rsidRPr="00195EC3">
              <w:rPr>
                <w:b/>
                <w:noProof/>
                <w:sz w:val="16"/>
              </w:rPr>
              <w:t xml:space="preserve"> </w:t>
            </w:r>
          </w:p>
          <w:p w14:paraId="3C52833D" w14:textId="77777777" w:rsidR="00C4624A" w:rsidRPr="00195EC3" w:rsidRDefault="00C4624A" w:rsidP="00461AA0">
            <w:pPr>
              <w:spacing w:before="60" w:after="60" w:line="200" w:lineRule="exact"/>
              <w:jc w:val="center"/>
              <w:rPr>
                <w:noProof/>
                <w:sz w:val="16"/>
                <w:szCs w:val="16"/>
              </w:rPr>
            </w:pPr>
            <w:r w:rsidRPr="00195EC3">
              <w:rPr>
                <w:b/>
                <w:noProof/>
                <w:sz w:val="16"/>
              </w:rPr>
              <w:t xml:space="preserve">del quadro finanziario pluriennale </w:t>
            </w:r>
          </w:p>
          <w:p w14:paraId="4481A183" w14:textId="77777777" w:rsidR="00C4624A" w:rsidRPr="00195EC3" w:rsidRDefault="00C4624A" w:rsidP="00461AA0">
            <w:pPr>
              <w:spacing w:before="0" w:after="0" w:line="200" w:lineRule="exact"/>
              <w:jc w:val="center"/>
              <w:rPr>
                <w:b/>
                <w:bCs/>
                <w:noProof/>
                <w:sz w:val="16"/>
                <w:szCs w:val="16"/>
              </w:rPr>
            </w:pPr>
          </w:p>
        </w:tc>
        <w:tc>
          <w:tcPr>
            <w:tcW w:w="1080" w:type="dxa"/>
            <w:vAlign w:val="center"/>
          </w:tcPr>
          <w:p w14:paraId="3C1DFD13"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65829D9D"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5EE57676"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23FE7252"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73748B61"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5913EF0A"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6CC63490" w14:textId="77777777" w:rsidR="00C4624A" w:rsidRPr="00195EC3" w:rsidRDefault="00C4624A" w:rsidP="00461AA0">
            <w:pPr>
              <w:spacing w:before="60" w:after="60" w:line="200" w:lineRule="exact"/>
              <w:jc w:val="right"/>
              <w:rPr>
                <w:b/>
                <w:bCs/>
                <w:noProof/>
                <w:sz w:val="16"/>
                <w:szCs w:val="16"/>
              </w:rPr>
            </w:pPr>
          </w:p>
        </w:tc>
      </w:tr>
      <w:tr w:rsidR="00C4624A" w:rsidRPr="00195EC3" w14:paraId="341F4A8D" w14:textId="77777777" w:rsidTr="00461AA0">
        <w:trPr>
          <w:trHeight w:val="585"/>
        </w:trPr>
        <w:tc>
          <w:tcPr>
            <w:tcW w:w="1980" w:type="dxa"/>
            <w:vAlign w:val="center"/>
          </w:tcPr>
          <w:p w14:paraId="1D3E7939" w14:textId="77777777" w:rsidR="00C4624A" w:rsidRPr="00195EC3" w:rsidRDefault="00C4624A" w:rsidP="00461AA0">
            <w:pPr>
              <w:spacing w:before="60" w:after="60" w:line="200" w:lineRule="exact"/>
              <w:ind w:left="72"/>
              <w:jc w:val="left"/>
              <w:rPr>
                <w:noProof/>
                <w:sz w:val="16"/>
                <w:szCs w:val="16"/>
              </w:rPr>
            </w:pPr>
            <w:r w:rsidRPr="00195EC3">
              <w:rPr>
                <w:noProof/>
                <w:sz w:val="16"/>
              </w:rPr>
              <w:t xml:space="preserve">Risorse umane </w:t>
            </w:r>
          </w:p>
        </w:tc>
        <w:tc>
          <w:tcPr>
            <w:tcW w:w="1080" w:type="dxa"/>
            <w:vAlign w:val="center"/>
          </w:tcPr>
          <w:p w14:paraId="00BD379C"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760AFC1D"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1E76D754"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502F7B05"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488F4FEC"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3CF9FA29"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5CFEC02C" w14:textId="77777777" w:rsidR="00C4624A" w:rsidRPr="00195EC3" w:rsidRDefault="00C4624A" w:rsidP="00461AA0">
            <w:pPr>
              <w:spacing w:before="60" w:after="60" w:line="200" w:lineRule="exact"/>
              <w:jc w:val="right"/>
              <w:rPr>
                <w:b/>
                <w:noProof/>
                <w:sz w:val="16"/>
                <w:szCs w:val="16"/>
              </w:rPr>
            </w:pPr>
          </w:p>
        </w:tc>
      </w:tr>
      <w:tr w:rsidR="00C4624A" w:rsidRPr="00195EC3" w14:paraId="64365CF5" w14:textId="77777777" w:rsidTr="00461AA0">
        <w:trPr>
          <w:trHeight w:val="585"/>
        </w:trPr>
        <w:tc>
          <w:tcPr>
            <w:tcW w:w="1980" w:type="dxa"/>
            <w:vAlign w:val="center"/>
          </w:tcPr>
          <w:p w14:paraId="2F7BD2A6" w14:textId="77777777" w:rsidR="00C4624A" w:rsidRPr="00195EC3" w:rsidRDefault="00C4624A" w:rsidP="00461AA0">
            <w:pPr>
              <w:spacing w:before="60" w:after="60" w:line="200" w:lineRule="exact"/>
              <w:ind w:left="72"/>
              <w:jc w:val="left"/>
              <w:rPr>
                <w:noProof/>
                <w:sz w:val="16"/>
                <w:szCs w:val="16"/>
              </w:rPr>
            </w:pPr>
            <w:r w:rsidRPr="00195EC3">
              <w:rPr>
                <w:noProof/>
                <w:sz w:val="16"/>
              </w:rPr>
              <w:t>Altre spese amministrative</w:t>
            </w:r>
          </w:p>
        </w:tc>
        <w:tc>
          <w:tcPr>
            <w:tcW w:w="1080" w:type="dxa"/>
            <w:vAlign w:val="center"/>
          </w:tcPr>
          <w:p w14:paraId="3C4CF276"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6EFE6FA2"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320D80BB"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4B10488B"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4ABBE8B1"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25DAB33B"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521AAB9C" w14:textId="77777777" w:rsidR="00C4624A" w:rsidRPr="00195EC3" w:rsidRDefault="00C4624A" w:rsidP="00461AA0">
            <w:pPr>
              <w:spacing w:before="60" w:after="60" w:line="200" w:lineRule="exact"/>
              <w:jc w:val="right"/>
              <w:rPr>
                <w:b/>
                <w:noProof/>
                <w:sz w:val="16"/>
                <w:szCs w:val="16"/>
              </w:rPr>
            </w:pPr>
          </w:p>
        </w:tc>
      </w:tr>
      <w:tr w:rsidR="00C4624A" w:rsidRPr="00195EC3" w14:paraId="792D8F82" w14:textId="77777777" w:rsidTr="00461AA0">
        <w:trPr>
          <w:trHeight w:val="585"/>
        </w:trPr>
        <w:tc>
          <w:tcPr>
            <w:tcW w:w="1980" w:type="dxa"/>
            <w:shd w:val="clear" w:color="auto" w:fill="CCCCCC"/>
            <w:vAlign w:val="center"/>
          </w:tcPr>
          <w:p w14:paraId="14990251" w14:textId="77777777" w:rsidR="00C4624A" w:rsidRPr="00195EC3" w:rsidRDefault="00C4624A" w:rsidP="00461AA0">
            <w:pPr>
              <w:spacing w:before="60" w:after="60" w:line="200" w:lineRule="exact"/>
              <w:jc w:val="center"/>
              <w:rPr>
                <w:b/>
                <w:noProof/>
                <w:sz w:val="16"/>
                <w:szCs w:val="16"/>
              </w:rPr>
            </w:pPr>
            <w:r w:rsidRPr="00195EC3">
              <w:rPr>
                <w:b/>
                <w:noProof/>
                <w:sz w:val="16"/>
              </w:rPr>
              <w:t xml:space="preserve">Totale parziale esclusa la RUBRICA 7 del quadro finanziario pluriennale </w:t>
            </w:r>
          </w:p>
        </w:tc>
        <w:tc>
          <w:tcPr>
            <w:tcW w:w="1080" w:type="dxa"/>
            <w:vAlign w:val="center"/>
          </w:tcPr>
          <w:p w14:paraId="4CFA92B3"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43DABC7C"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397DCA9F"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29D30CFB"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20A5BD25"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1156049E" w14:textId="77777777" w:rsidR="00C4624A" w:rsidRPr="00195EC3" w:rsidRDefault="00C4624A" w:rsidP="00461AA0">
            <w:pPr>
              <w:spacing w:before="60" w:after="60" w:line="200" w:lineRule="exact"/>
              <w:jc w:val="right"/>
              <w:rPr>
                <w:noProof/>
                <w:sz w:val="16"/>
                <w:szCs w:val="16"/>
              </w:rPr>
            </w:pPr>
          </w:p>
        </w:tc>
        <w:tc>
          <w:tcPr>
            <w:tcW w:w="1080" w:type="dxa"/>
            <w:vAlign w:val="center"/>
          </w:tcPr>
          <w:p w14:paraId="2BFBE283" w14:textId="77777777" w:rsidR="00C4624A" w:rsidRPr="00195EC3" w:rsidRDefault="00C4624A" w:rsidP="00461AA0">
            <w:pPr>
              <w:spacing w:before="60" w:after="60" w:line="200" w:lineRule="exact"/>
              <w:jc w:val="right"/>
              <w:rPr>
                <w:b/>
                <w:noProof/>
                <w:sz w:val="16"/>
                <w:szCs w:val="16"/>
              </w:rPr>
            </w:pPr>
          </w:p>
        </w:tc>
      </w:tr>
    </w:tbl>
    <w:p w14:paraId="63E758D9" w14:textId="77777777" w:rsidR="00C4624A" w:rsidRPr="00195EC3" w:rsidRDefault="00C4624A" w:rsidP="00C4624A">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rsidR="00C4624A" w:rsidRPr="00195EC3" w14:paraId="30016D45" w14:textId="77777777" w:rsidTr="00461AA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3D4868F4" w14:textId="77777777" w:rsidR="00C4624A" w:rsidRPr="00195EC3" w:rsidRDefault="00C4624A" w:rsidP="00461AA0">
            <w:pPr>
              <w:spacing w:before="60" w:after="60" w:line="200" w:lineRule="exact"/>
              <w:jc w:val="center"/>
              <w:rPr>
                <w:noProof/>
                <w:sz w:val="16"/>
                <w:szCs w:val="16"/>
              </w:rPr>
            </w:pPr>
            <w:r w:rsidRPr="00195EC3">
              <w:rPr>
                <w:b/>
                <w:noProof/>
                <w:sz w:val="16"/>
              </w:rPr>
              <w:t>TOTALE</w:t>
            </w:r>
          </w:p>
        </w:tc>
        <w:tc>
          <w:tcPr>
            <w:tcW w:w="1080" w:type="dxa"/>
            <w:tcBorders>
              <w:top w:val="single" w:sz="12" w:space="0" w:color="auto"/>
              <w:left w:val="single" w:sz="2" w:space="0" w:color="auto"/>
              <w:bottom w:val="single" w:sz="12" w:space="0" w:color="auto"/>
              <w:right w:val="single" w:sz="2" w:space="0" w:color="auto"/>
            </w:tcBorders>
            <w:vAlign w:val="center"/>
          </w:tcPr>
          <w:p w14:paraId="1DEF369A" w14:textId="77777777" w:rsidR="00C4624A" w:rsidRPr="00195EC3" w:rsidRDefault="00C4624A" w:rsidP="00461AA0">
            <w:pPr>
              <w:spacing w:before="60" w:after="60" w:line="200" w:lineRule="exact"/>
              <w:jc w:val="right"/>
              <w:rPr>
                <w:b/>
                <w:bCs/>
                <w:noProof/>
                <w:sz w:val="16"/>
                <w:szCs w:val="16"/>
              </w:rPr>
            </w:pPr>
            <w:r w:rsidRPr="00195EC3">
              <w:rPr>
                <w:noProof/>
                <w:sz w:val="16"/>
              </w:rPr>
              <w:t>0,848</w:t>
            </w:r>
          </w:p>
        </w:tc>
        <w:tc>
          <w:tcPr>
            <w:tcW w:w="1080" w:type="dxa"/>
            <w:tcBorders>
              <w:top w:val="single" w:sz="12" w:space="0" w:color="auto"/>
              <w:left w:val="single" w:sz="2" w:space="0" w:color="auto"/>
              <w:bottom w:val="single" w:sz="12" w:space="0" w:color="auto"/>
              <w:right w:val="single" w:sz="2" w:space="0" w:color="auto"/>
            </w:tcBorders>
            <w:vAlign w:val="center"/>
          </w:tcPr>
          <w:p w14:paraId="7D0E833D" w14:textId="77777777" w:rsidR="00C4624A" w:rsidRPr="00195EC3" w:rsidRDefault="00C4624A" w:rsidP="00461AA0">
            <w:pPr>
              <w:spacing w:before="60" w:after="60" w:line="200" w:lineRule="exact"/>
              <w:jc w:val="right"/>
              <w:rPr>
                <w:b/>
                <w:bCs/>
                <w:noProof/>
                <w:sz w:val="16"/>
                <w:szCs w:val="16"/>
              </w:rPr>
            </w:pPr>
            <w:r w:rsidRPr="00195EC3">
              <w:rPr>
                <w:noProof/>
                <w:sz w:val="16"/>
              </w:rPr>
              <w:t>0,484</w:t>
            </w:r>
          </w:p>
        </w:tc>
        <w:tc>
          <w:tcPr>
            <w:tcW w:w="1080" w:type="dxa"/>
            <w:tcBorders>
              <w:top w:val="single" w:sz="12" w:space="0" w:color="auto"/>
              <w:left w:val="single" w:sz="2" w:space="0" w:color="auto"/>
              <w:bottom w:val="single" w:sz="12" w:space="0" w:color="auto"/>
              <w:right w:val="single" w:sz="2" w:space="0" w:color="auto"/>
            </w:tcBorders>
            <w:vAlign w:val="center"/>
          </w:tcPr>
          <w:p w14:paraId="30CDBE70" w14:textId="77777777" w:rsidR="00C4624A" w:rsidRPr="00195EC3" w:rsidRDefault="00C4624A" w:rsidP="00461AA0">
            <w:pPr>
              <w:spacing w:before="60" w:after="60" w:line="200" w:lineRule="exact"/>
              <w:jc w:val="right"/>
              <w:rPr>
                <w:b/>
                <w:bCs/>
                <w:noProof/>
                <w:sz w:val="16"/>
                <w:szCs w:val="16"/>
              </w:rPr>
            </w:pPr>
            <w:r w:rsidRPr="00195EC3">
              <w:rPr>
                <w:noProof/>
                <w:sz w:val="16"/>
              </w:rPr>
              <w:t>0,424</w:t>
            </w:r>
          </w:p>
        </w:tc>
        <w:tc>
          <w:tcPr>
            <w:tcW w:w="1080" w:type="dxa"/>
            <w:tcBorders>
              <w:top w:val="single" w:sz="12" w:space="0" w:color="auto"/>
              <w:left w:val="single" w:sz="2" w:space="0" w:color="auto"/>
              <w:bottom w:val="single" w:sz="12" w:space="0" w:color="auto"/>
              <w:right w:val="single" w:sz="2" w:space="0" w:color="auto"/>
            </w:tcBorders>
            <w:vAlign w:val="center"/>
          </w:tcPr>
          <w:p w14:paraId="600F8B27" w14:textId="77777777" w:rsidR="00C4624A" w:rsidRPr="00195EC3" w:rsidRDefault="00C4624A" w:rsidP="00461AA0">
            <w:pPr>
              <w:spacing w:before="60" w:after="60" w:line="200" w:lineRule="exact"/>
              <w:jc w:val="right"/>
              <w:rPr>
                <w:b/>
                <w:bCs/>
                <w:noProof/>
                <w:sz w:val="16"/>
                <w:szCs w:val="16"/>
              </w:rPr>
            </w:pPr>
            <w:r w:rsidRPr="00195EC3">
              <w:rPr>
                <w:noProof/>
                <w:sz w:val="16"/>
              </w:rPr>
              <w:t>0,072</w:t>
            </w:r>
          </w:p>
        </w:tc>
        <w:tc>
          <w:tcPr>
            <w:tcW w:w="1080" w:type="dxa"/>
            <w:tcBorders>
              <w:top w:val="single" w:sz="12" w:space="0" w:color="auto"/>
              <w:left w:val="single" w:sz="2" w:space="0" w:color="auto"/>
              <w:bottom w:val="single" w:sz="12" w:space="0" w:color="auto"/>
              <w:right w:val="single" w:sz="2" w:space="0" w:color="auto"/>
            </w:tcBorders>
            <w:vAlign w:val="center"/>
          </w:tcPr>
          <w:p w14:paraId="4F5A4769" w14:textId="77777777" w:rsidR="00C4624A" w:rsidRPr="00195EC3" w:rsidRDefault="00C4624A" w:rsidP="00461AA0">
            <w:pPr>
              <w:spacing w:before="60" w:after="60" w:line="200" w:lineRule="exact"/>
              <w:jc w:val="right"/>
              <w:rPr>
                <w:b/>
                <w:bCs/>
                <w:noProof/>
                <w:sz w:val="16"/>
                <w:szCs w:val="16"/>
              </w:rPr>
            </w:pPr>
            <w:r w:rsidRPr="00195EC3">
              <w:rPr>
                <w:noProof/>
                <w:sz w:val="16"/>
              </w:rPr>
              <w:t>0,072</w:t>
            </w:r>
          </w:p>
        </w:tc>
        <w:tc>
          <w:tcPr>
            <w:tcW w:w="1080" w:type="dxa"/>
            <w:tcBorders>
              <w:top w:val="single" w:sz="12" w:space="0" w:color="auto"/>
              <w:left w:val="single" w:sz="2" w:space="0" w:color="auto"/>
              <w:bottom w:val="single" w:sz="12" w:space="0" w:color="auto"/>
              <w:right w:val="single" w:sz="2" w:space="0" w:color="auto"/>
            </w:tcBorders>
            <w:vAlign w:val="center"/>
          </w:tcPr>
          <w:p w14:paraId="557264BB" w14:textId="77777777" w:rsidR="00C4624A" w:rsidRPr="00195EC3" w:rsidRDefault="00C4624A" w:rsidP="00461AA0">
            <w:pPr>
              <w:spacing w:before="60" w:after="60" w:line="200" w:lineRule="exact"/>
              <w:jc w:val="right"/>
              <w:rPr>
                <w:b/>
                <w:bCs/>
                <w:noProof/>
                <w:sz w:val="16"/>
                <w:szCs w:val="16"/>
              </w:rPr>
            </w:pPr>
            <w:r w:rsidRPr="00195EC3">
              <w:rPr>
                <w:noProof/>
                <w:sz w:val="16"/>
              </w:rPr>
              <w:t>0,072</w:t>
            </w:r>
          </w:p>
        </w:tc>
        <w:tc>
          <w:tcPr>
            <w:tcW w:w="1080" w:type="dxa"/>
            <w:tcBorders>
              <w:top w:val="single" w:sz="12" w:space="0" w:color="auto"/>
              <w:left w:val="single" w:sz="2" w:space="0" w:color="auto"/>
              <w:bottom w:val="single" w:sz="12" w:space="0" w:color="auto"/>
              <w:right w:val="single" w:sz="2" w:space="0" w:color="auto"/>
            </w:tcBorders>
            <w:vAlign w:val="center"/>
          </w:tcPr>
          <w:p w14:paraId="208F2EC1" w14:textId="77777777" w:rsidR="00C4624A" w:rsidRPr="00195EC3" w:rsidRDefault="00C4624A" w:rsidP="00461AA0">
            <w:pPr>
              <w:spacing w:before="60" w:after="60" w:line="200" w:lineRule="exact"/>
              <w:jc w:val="right"/>
              <w:rPr>
                <w:b/>
                <w:bCs/>
                <w:noProof/>
                <w:sz w:val="16"/>
                <w:szCs w:val="16"/>
              </w:rPr>
            </w:pPr>
            <w:r w:rsidRPr="00195EC3">
              <w:rPr>
                <w:b/>
                <w:noProof/>
                <w:sz w:val="16"/>
              </w:rPr>
              <w:t>1,972</w:t>
            </w:r>
          </w:p>
        </w:tc>
      </w:tr>
    </w:tbl>
    <w:p w14:paraId="41C9AAA9" w14:textId="77777777" w:rsidR="00C4624A" w:rsidRPr="00195EC3" w:rsidRDefault="00C4624A" w:rsidP="00C4624A">
      <w:pPr>
        <w:rPr>
          <w:noProof/>
          <w:sz w:val="18"/>
        </w:rPr>
      </w:pPr>
      <w:r w:rsidRPr="00195EC3">
        <w:rPr>
          <w:noProof/>
          <w:sz w:val="18"/>
        </w:rPr>
        <w:t>Il fabbisogno di stanziamenti relativi alle risorse umane e alle altre spese amministrative è coperto dagli stanziamenti della DG già assegnati alla gestione dell'azione e/o riassegnati all'interno della stessa DG, integrati dall'eventuale dotazione supplementare concessa alla DG responsabile nell'ambito della procedura annuale di assegnazione, tenendo conto dei vincoli di bilancio.</w:t>
      </w:r>
    </w:p>
    <w:p w14:paraId="70A4F0E1" w14:textId="77777777" w:rsidR="00C4624A" w:rsidRPr="00195EC3" w:rsidRDefault="00C4624A" w:rsidP="00C4624A">
      <w:pPr>
        <w:rPr>
          <w:noProof/>
          <w:sz w:val="18"/>
        </w:rPr>
        <w:sectPr w:rsidR="00C4624A" w:rsidRPr="00195EC3" w:rsidSect="003A691C">
          <w:headerReference w:type="default" r:id="rId19"/>
          <w:footerReference w:type="default" r:id="rId20"/>
          <w:headerReference w:type="first" r:id="rId21"/>
          <w:footerReference w:type="first" r:id="rId22"/>
          <w:pgSz w:w="11907" w:h="16840"/>
          <w:pgMar w:top="1134" w:right="1418" w:bottom="1134" w:left="1418" w:header="709" w:footer="709" w:gutter="0"/>
          <w:cols w:space="708"/>
          <w:docGrid w:linePitch="360"/>
        </w:sectPr>
      </w:pPr>
    </w:p>
    <w:p w14:paraId="02B9DFA1" w14:textId="40BFBBDE" w:rsidR="00C4624A" w:rsidRPr="00195EC3" w:rsidRDefault="00E7408C" w:rsidP="00E7408C">
      <w:pPr>
        <w:pStyle w:val="ManualHeading4"/>
        <w:rPr>
          <w:noProof/>
          <w:szCs w:val="24"/>
        </w:rPr>
      </w:pPr>
      <w:r w:rsidRPr="00E7408C">
        <w:t>3.2.3.1.</w:t>
      </w:r>
      <w:r w:rsidRPr="00E7408C">
        <w:tab/>
      </w:r>
      <w:r w:rsidR="00C4624A" w:rsidRPr="00195EC3">
        <w:rPr>
          <w:noProof/>
        </w:rPr>
        <w:t xml:space="preserve">Fabbisogno previsto di risorse umane </w:t>
      </w:r>
    </w:p>
    <w:p w14:paraId="2FC4C894" w14:textId="77777777" w:rsidR="00C4624A" w:rsidRPr="00195EC3" w:rsidRDefault="00C4624A" w:rsidP="00C4624A">
      <w:pPr>
        <w:pStyle w:val="ListDash1"/>
        <w:rPr>
          <w:noProof/>
        </w:rPr>
      </w:pPr>
      <w:r w:rsidRPr="00195EC3">
        <w:rPr>
          <w:rFonts w:ascii="Wingdings" w:hAnsi="Wingdings"/>
          <w:noProof/>
        </w:rPr>
        <w:t></w:t>
      </w:r>
      <w:r w:rsidRPr="00195EC3">
        <w:rPr>
          <w:noProof/>
        </w:rPr>
        <w:t xml:space="preserve"> La proposta/iniziativa comporta l'utilizzo di risorse umane, come spiegato di seguito:</w:t>
      </w:r>
    </w:p>
    <w:p w14:paraId="2B4FAC3D" w14:textId="77777777" w:rsidR="00C4624A" w:rsidRPr="00195EC3" w:rsidRDefault="00C4624A" w:rsidP="00C4624A">
      <w:pPr>
        <w:spacing w:after="60"/>
        <w:jc w:val="right"/>
        <w:rPr>
          <w:i/>
          <w:noProof/>
          <w:sz w:val="20"/>
        </w:rPr>
      </w:pPr>
      <w:r w:rsidRPr="00195EC3">
        <w:rPr>
          <w:i/>
          <w:noProof/>
          <w:sz w:val="20"/>
        </w:rPr>
        <w:t>Stima da esprimere in equivalenti a tempo pieno</w:t>
      </w:r>
    </w:p>
    <w:tbl>
      <w:tblPr>
        <w:tblW w:w="103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178"/>
        <w:gridCol w:w="15"/>
        <w:gridCol w:w="183"/>
        <w:gridCol w:w="1995"/>
        <w:gridCol w:w="383"/>
        <w:gridCol w:w="731"/>
        <w:gridCol w:w="731"/>
        <w:gridCol w:w="731"/>
        <w:gridCol w:w="731"/>
        <w:gridCol w:w="785"/>
        <w:gridCol w:w="850"/>
        <w:gridCol w:w="993"/>
      </w:tblGrid>
      <w:tr w:rsidR="00C4624A" w:rsidRPr="00195EC3" w14:paraId="50F8BDE6" w14:textId="77777777" w:rsidTr="00461AA0">
        <w:trPr>
          <w:gridBefore w:val="1"/>
          <w:wBefore w:w="15" w:type="dxa"/>
          <w:trHeight w:val="289"/>
          <w:jc w:val="center"/>
        </w:trPr>
        <w:tc>
          <w:tcPr>
            <w:tcW w:w="4754" w:type="dxa"/>
            <w:gridSpan w:val="5"/>
            <w:shd w:val="clear" w:color="auto" w:fill="auto"/>
          </w:tcPr>
          <w:p w14:paraId="2A8F5BCE" w14:textId="77777777" w:rsidR="00C4624A" w:rsidRPr="00195EC3" w:rsidRDefault="00C4624A" w:rsidP="00461AA0">
            <w:pPr>
              <w:pStyle w:val="Text1"/>
              <w:spacing w:before="40" w:after="40"/>
              <w:ind w:left="0"/>
              <w:jc w:val="center"/>
              <w:rPr>
                <w:i/>
                <w:noProof/>
                <w:sz w:val="16"/>
                <w:szCs w:val="16"/>
              </w:rPr>
            </w:pPr>
          </w:p>
        </w:tc>
        <w:tc>
          <w:tcPr>
            <w:tcW w:w="731" w:type="dxa"/>
            <w:shd w:val="clear" w:color="auto" w:fill="auto"/>
            <w:vAlign w:val="center"/>
          </w:tcPr>
          <w:p w14:paraId="58C1B7CA" w14:textId="77777777" w:rsidR="00C4624A" w:rsidRPr="00195EC3" w:rsidRDefault="00C4624A" w:rsidP="00461AA0">
            <w:pPr>
              <w:spacing w:before="20" w:after="20"/>
              <w:jc w:val="center"/>
              <w:rPr>
                <w:noProof/>
                <w:sz w:val="16"/>
                <w:szCs w:val="16"/>
              </w:rPr>
            </w:pPr>
            <w:r w:rsidRPr="00195EC3">
              <w:rPr>
                <w:noProof/>
                <w:sz w:val="16"/>
              </w:rPr>
              <w:t>Anno</w:t>
            </w:r>
            <w:r w:rsidRPr="00195EC3">
              <w:rPr>
                <w:noProof/>
                <w:sz w:val="22"/>
              </w:rPr>
              <w:t xml:space="preserve"> 2022</w:t>
            </w:r>
          </w:p>
        </w:tc>
        <w:tc>
          <w:tcPr>
            <w:tcW w:w="731" w:type="dxa"/>
            <w:shd w:val="clear" w:color="auto" w:fill="auto"/>
            <w:vAlign w:val="center"/>
          </w:tcPr>
          <w:p w14:paraId="1AB4A4F0" w14:textId="77777777" w:rsidR="00C4624A" w:rsidRPr="00195EC3" w:rsidRDefault="00C4624A" w:rsidP="00461AA0">
            <w:pPr>
              <w:spacing w:before="20" w:after="20"/>
              <w:jc w:val="center"/>
              <w:rPr>
                <w:noProof/>
                <w:sz w:val="16"/>
                <w:szCs w:val="16"/>
              </w:rPr>
            </w:pPr>
            <w:r w:rsidRPr="00195EC3">
              <w:rPr>
                <w:noProof/>
                <w:sz w:val="16"/>
              </w:rPr>
              <w:t>Anno</w:t>
            </w:r>
            <w:r w:rsidRPr="00195EC3">
              <w:rPr>
                <w:noProof/>
                <w:sz w:val="22"/>
              </w:rPr>
              <w:t xml:space="preserve"> 2023</w:t>
            </w:r>
          </w:p>
        </w:tc>
        <w:tc>
          <w:tcPr>
            <w:tcW w:w="731" w:type="dxa"/>
            <w:shd w:val="clear" w:color="auto" w:fill="auto"/>
            <w:vAlign w:val="center"/>
          </w:tcPr>
          <w:p w14:paraId="1F285BE3" w14:textId="77777777" w:rsidR="00C4624A" w:rsidRPr="00195EC3" w:rsidRDefault="00C4624A" w:rsidP="00461AA0">
            <w:pPr>
              <w:spacing w:before="20" w:after="20"/>
              <w:jc w:val="center"/>
              <w:rPr>
                <w:noProof/>
                <w:sz w:val="16"/>
                <w:szCs w:val="16"/>
              </w:rPr>
            </w:pPr>
            <w:r w:rsidRPr="00195EC3">
              <w:rPr>
                <w:noProof/>
                <w:sz w:val="16"/>
              </w:rPr>
              <w:t>Anno</w:t>
            </w:r>
            <w:r w:rsidRPr="00195EC3">
              <w:rPr>
                <w:noProof/>
                <w:sz w:val="22"/>
              </w:rPr>
              <w:t xml:space="preserve"> 2024</w:t>
            </w:r>
          </w:p>
        </w:tc>
        <w:tc>
          <w:tcPr>
            <w:tcW w:w="731" w:type="dxa"/>
            <w:shd w:val="clear" w:color="auto" w:fill="auto"/>
            <w:vAlign w:val="center"/>
          </w:tcPr>
          <w:p w14:paraId="6A59DEFE" w14:textId="77777777" w:rsidR="00C4624A" w:rsidRPr="00195EC3" w:rsidRDefault="00C4624A" w:rsidP="00461AA0">
            <w:pPr>
              <w:spacing w:before="20" w:after="20"/>
              <w:jc w:val="center"/>
              <w:rPr>
                <w:noProof/>
                <w:sz w:val="16"/>
                <w:szCs w:val="16"/>
              </w:rPr>
            </w:pPr>
            <w:r w:rsidRPr="00195EC3">
              <w:rPr>
                <w:noProof/>
                <w:sz w:val="16"/>
              </w:rPr>
              <w:t>Anno</w:t>
            </w:r>
            <w:r w:rsidRPr="00195EC3">
              <w:rPr>
                <w:noProof/>
                <w:sz w:val="22"/>
              </w:rPr>
              <w:t xml:space="preserve"> 2025</w:t>
            </w:r>
          </w:p>
        </w:tc>
        <w:tc>
          <w:tcPr>
            <w:tcW w:w="785" w:type="dxa"/>
            <w:vAlign w:val="center"/>
          </w:tcPr>
          <w:p w14:paraId="14CC93B6" w14:textId="77777777" w:rsidR="00C4624A" w:rsidRPr="00195EC3" w:rsidRDefault="00C4624A" w:rsidP="00461AA0">
            <w:pPr>
              <w:jc w:val="center"/>
              <w:rPr>
                <w:noProof/>
                <w:sz w:val="16"/>
              </w:rPr>
            </w:pPr>
            <w:r w:rsidRPr="00195EC3">
              <w:rPr>
                <w:noProof/>
                <w:sz w:val="16"/>
              </w:rPr>
              <w:t>Anno</w:t>
            </w:r>
            <w:r w:rsidRPr="00195EC3">
              <w:rPr>
                <w:noProof/>
                <w:sz w:val="22"/>
              </w:rPr>
              <w:t xml:space="preserve"> 2026</w:t>
            </w:r>
          </w:p>
        </w:tc>
        <w:tc>
          <w:tcPr>
            <w:tcW w:w="850" w:type="dxa"/>
            <w:vAlign w:val="center"/>
          </w:tcPr>
          <w:p w14:paraId="074B7401" w14:textId="77777777" w:rsidR="00C4624A" w:rsidRPr="00195EC3" w:rsidRDefault="00C4624A" w:rsidP="00461AA0">
            <w:pPr>
              <w:jc w:val="center"/>
              <w:rPr>
                <w:noProof/>
                <w:sz w:val="16"/>
              </w:rPr>
            </w:pPr>
            <w:r w:rsidRPr="00195EC3">
              <w:rPr>
                <w:noProof/>
                <w:sz w:val="16"/>
              </w:rPr>
              <w:t>Anno</w:t>
            </w:r>
            <w:r w:rsidRPr="00195EC3">
              <w:rPr>
                <w:noProof/>
                <w:sz w:val="22"/>
              </w:rPr>
              <w:t xml:space="preserve"> 2027</w:t>
            </w:r>
          </w:p>
        </w:tc>
        <w:tc>
          <w:tcPr>
            <w:tcW w:w="993" w:type="dxa"/>
            <w:shd w:val="clear" w:color="auto" w:fill="auto"/>
          </w:tcPr>
          <w:p w14:paraId="74ADF764" w14:textId="77777777" w:rsidR="00C4624A" w:rsidRPr="00195EC3" w:rsidRDefault="00C4624A" w:rsidP="00461AA0">
            <w:pPr>
              <w:jc w:val="center"/>
              <w:rPr>
                <w:b/>
                <w:noProof/>
                <w:sz w:val="16"/>
                <w:szCs w:val="16"/>
              </w:rPr>
            </w:pPr>
            <w:r w:rsidRPr="00195EC3">
              <w:rPr>
                <w:noProof/>
                <w:sz w:val="16"/>
              </w:rPr>
              <w:t>TOTALE</w:t>
            </w:r>
          </w:p>
        </w:tc>
      </w:tr>
      <w:tr w:rsidR="00C4624A" w:rsidRPr="00195EC3" w14:paraId="77D9B2A3" w14:textId="77777777" w:rsidTr="00461AA0">
        <w:trPr>
          <w:gridBefore w:val="1"/>
          <w:wBefore w:w="15" w:type="dxa"/>
          <w:trHeight w:val="289"/>
          <w:jc w:val="center"/>
        </w:trPr>
        <w:tc>
          <w:tcPr>
            <w:tcW w:w="2193" w:type="dxa"/>
            <w:gridSpan w:val="2"/>
          </w:tcPr>
          <w:p w14:paraId="719A0315" w14:textId="77777777" w:rsidR="00C4624A" w:rsidRPr="00195EC3" w:rsidRDefault="00C4624A" w:rsidP="00461AA0">
            <w:pPr>
              <w:jc w:val="left"/>
              <w:rPr>
                <w:rFonts w:eastAsia="Wingdings"/>
                <w:b/>
                <w:noProof/>
                <w:sz w:val="16"/>
              </w:rPr>
            </w:pPr>
          </w:p>
        </w:tc>
        <w:tc>
          <w:tcPr>
            <w:tcW w:w="8113" w:type="dxa"/>
            <w:gridSpan w:val="10"/>
          </w:tcPr>
          <w:p w14:paraId="3C75375D" w14:textId="77777777" w:rsidR="00C4624A" w:rsidRPr="00195EC3" w:rsidRDefault="00C4624A" w:rsidP="00461AA0">
            <w:pPr>
              <w:jc w:val="left"/>
              <w:rPr>
                <w:noProof/>
                <w:sz w:val="16"/>
                <w:szCs w:val="16"/>
              </w:rPr>
            </w:pPr>
            <w:r w:rsidRPr="00195EC3">
              <w:rPr>
                <w:b/>
                <w:noProof/>
                <w:sz w:val="16"/>
              </w:rPr>
              <w:t>□ Posti della tabella dell'organico (funzionari e agenti temporanei)</w:t>
            </w:r>
          </w:p>
        </w:tc>
      </w:tr>
      <w:tr w:rsidR="00C4624A" w:rsidRPr="00195EC3" w14:paraId="7E36BEB3" w14:textId="77777777" w:rsidTr="00461AA0">
        <w:trPr>
          <w:gridBefore w:val="1"/>
          <w:wBefore w:w="15" w:type="dxa"/>
          <w:trHeight w:val="289"/>
          <w:jc w:val="center"/>
        </w:trPr>
        <w:tc>
          <w:tcPr>
            <w:tcW w:w="4754" w:type="dxa"/>
            <w:gridSpan w:val="5"/>
            <w:shd w:val="clear" w:color="auto" w:fill="auto"/>
            <w:vAlign w:val="center"/>
          </w:tcPr>
          <w:p w14:paraId="75A71ED5" w14:textId="77777777" w:rsidR="00C4624A" w:rsidRPr="00195EC3" w:rsidRDefault="00C4624A" w:rsidP="00461AA0">
            <w:pPr>
              <w:pStyle w:val="Text1"/>
              <w:spacing w:beforeLines="20" w:before="48" w:afterLines="20" w:after="48"/>
              <w:ind w:left="134"/>
              <w:jc w:val="left"/>
              <w:rPr>
                <w:b/>
                <w:bCs/>
                <w:noProof/>
                <w:sz w:val="16"/>
                <w:szCs w:val="16"/>
              </w:rPr>
            </w:pPr>
            <w:r w:rsidRPr="00195EC3">
              <w:rPr>
                <w:noProof/>
                <w:sz w:val="16"/>
              </w:rPr>
              <w:t>20 01 02 01 (sede e uffici di rappresentanza della Commissione)</w:t>
            </w:r>
          </w:p>
        </w:tc>
        <w:tc>
          <w:tcPr>
            <w:tcW w:w="731" w:type="dxa"/>
            <w:shd w:val="clear" w:color="auto" w:fill="auto"/>
            <w:vAlign w:val="center"/>
          </w:tcPr>
          <w:p w14:paraId="2756C8E4" w14:textId="77777777" w:rsidR="00C4624A" w:rsidRPr="00195EC3" w:rsidRDefault="00C4624A" w:rsidP="00461AA0">
            <w:pPr>
              <w:spacing w:beforeLines="20" w:before="48" w:afterLines="20" w:after="48"/>
              <w:jc w:val="center"/>
              <w:rPr>
                <w:noProof/>
                <w:sz w:val="16"/>
                <w:szCs w:val="16"/>
              </w:rPr>
            </w:pPr>
            <w:r w:rsidRPr="00195EC3">
              <w:rPr>
                <w:noProof/>
                <w:sz w:val="16"/>
              </w:rPr>
              <w:t>5,4</w:t>
            </w:r>
          </w:p>
        </w:tc>
        <w:tc>
          <w:tcPr>
            <w:tcW w:w="731" w:type="dxa"/>
            <w:shd w:val="clear" w:color="auto" w:fill="auto"/>
            <w:vAlign w:val="center"/>
          </w:tcPr>
          <w:p w14:paraId="4765A1E1" w14:textId="77777777" w:rsidR="00C4624A" w:rsidRPr="00195EC3" w:rsidRDefault="00C4624A" w:rsidP="00461AA0">
            <w:pPr>
              <w:spacing w:beforeLines="20" w:before="48" w:afterLines="20" w:after="48"/>
              <w:jc w:val="center"/>
              <w:rPr>
                <w:noProof/>
                <w:sz w:val="16"/>
                <w:szCs w:val="16"/>
              </w:rPr>
            </w:pPr>
            <w:r w:rsidRPr="00195EC3">
              <w:rPr>
                <w:noProof/>
                <w:sz w:val="16"/>
              </w:rPr>
              <w:t>2,7</w:t>
            </w:r>
          </w:p>
        </w:tc>
        <w:tc>
          <w:tcPr>
            <w:tcW w:w="731" w:type="dxa"/>
            <w:shd w:val="clear" w:color="auto" w:fill="auto"/>
            <w:vAlign w:val="center"/>
          </w:tcPr>
          <w:p w14:paraId="2100006B" w14:textId="77777777" w:rsidR="00C4624A" w:rsidRPr="00195EC3" w:rsidRDefault="00C4624A" w:rsidP="00461AA0">
            <w:pPr>
              <w:spacing w:beforeLines="20" w:before="48" w:afterLines="20" w:after="48"/>
              <w:jc w:val="center"/>
              <w:rPr>
                <w:noProof/>
                <w:sz w:val="16"/>
                <w:szCs w:val="16"/>
              </w:rPr>
            </w:pPr>
            <w:r w:rsidRPr="00195EC3">
              <w:rPr>
                <w:noProof/>
                <w:sz w:val="16"/>
              </w:rPr>
              <w:t>2,7</w:t>
            </w:r>
          </w:p>
        </w:tc>
        <w:tc>
          <w:tcPr>
            <w:tcW w:w="731" w:type="dxa"/>
            <w:shd w:val="clear" w:color="auto" w:fill="auto"/>
            <w:vAlign w:val="center"/>
          </w:tcPr>
          <w:p w14:paraId="181CCDE2" w14:textId="77777777" w:rsidR="00C4624A" w:rsidRPr="00195EC3" w:rsidRDefault="00C4624A" w:rsidP="00461AA0">
            <w:pPr>
              <w:spacing w:beforeLines="20" w:before="48" w:afterLines="20" w:after="48"/>
              <w:jc w:val="center"/>
              <w:rPr>
                <w:noProof/>
                <w:sz w:val="16"/>
                <w:szCs w:val="16"/>
              </w:rPr>
            </w:pPr>
            <w:r w:rsidRPr="00195EC3">
              <w:rPr>
                <w:noProof/>
                <w:sz w:val="16"/>
              </w:rPr>
              <w:t>0,45</w:t>
            </w:r>
          </w:p>
        </w:tc>
        <w:tc>
          <w:tcPr>
            <w:tcW w:w="785" w:type="dxa"/>
            <w:vAlign w:val="center"/>
          </w:tcPr>
          <w:p w14:paraId="241315BE" w14:textId="77777777" w:rsidR="00C4624A" w:rsidRPr="00195EC3" w:rsidRDefault="00C4624A" w:rsidP="00461AA0">
            <w:pPr>
              <w:spacing w:beforeLines="20" w:before="48" w:afterLines="20" w:after="48"/>
              <w:rPr>
                <w:noProof/>
                <w:sz w:val="16"/>
                <w:szCs w:val="16"/>
              </w:rPr>
            </w:pPr>
            <w:r w:rsidRPr="00195EC3">
              <w:rPr>
                <w:noProof/>
                <w:sz w:val="16"/>
              </w:rPr>
              <w:t>0,45</w:t>
            </w:r>
          </w:p>
        </w:tc>
        <w:tc>
          <w:tcPr>
            <w:tcW w:w="850" w:type="dxa"/>
            <w:vAlign w:val="center"/>
          </w:tcPr>
          <w:p w14:paraId="0B35EE2C" w14:textId="77777777" w:rsidR="00C4624A" w:rsidRPr="00195EC3" w:rsidRDefault="00C4624A" w:rsidP="00461AA0">
            <w:pPr>
              <w:spacing w:beforeLines="20" w:before="48" w:afterLines="20" w:after="48"/>
              <w:rPr>
                <w:noProof/>
                <w:sz w:val="16"/>
                <w:szCs w:val="16"/>
              </w:rPr>
            </w:pPr>
            <w:r w:rsidRPr="00195EC3">
              <w:rPr>
                <w:noProof/>
                <w:sz w:val="16"/>
              </w:rPr>
              <w:t>0,45</w:t>
            </w:r>
          </w:p>
        </w:tc>
        <w:tc>
          <w:tcPr>
            <w:tcW w:w="993" w:type="dxa"/>
            <w:shd w:val="clear" w:color="auto" w:fill="auto"/>
            <w:vAlign w:val="center"/>
          </w:tcPr>
          <w:p w14:paraId="2EFEC0CA" w14:textId="77777777" w:rsidR="00C4624A" w:rsidRPr="00195EC3" w:rsidRDefault="00C4624A" w:rsidP="00461AA0">
            <w:pPr>
              <w:spacing w:beforeLines="20" w:before="48" w:afterLines="20" w:after="48"/>
              <w:jc w:val="center"/>
              <w:rPr>
                <w:noProof/>
                <w:sz w:val="16"/>
                <w:szCs w:val="16"/>
              </w:rPr>
            </w:pPr>
            <w:r w:rsidRPr="00195EC3">
              <w:rPr>
                <w:noProof/>
                <w:sz w:val="16"/>
              </w:rPr>
              <w:t>12,15</w:t>
            </w:r>
          </w:p>
        </w:tc>
      </w:tr>
      <w:tr w:rsidR="00C4624A" w:rsidRPr="00195EC3" w14:paraId="3A4BEF12" w14:textId="77777777" w:rsidTr="00461AA0">
        <w:trPr>
          <w:gridBefore w:val="1"/>
          <w:wBefore w:w="15" w:type="dxa"/>
          <w:trHeight w:val="289"/>
          <w:jc w:val="center"/>
        </w:trPr>
        <w:tc>
          <w:tcPr>
            <w:tcW w:w="4754" w:type="dxa"/>
            <w:gridSpan w:val="5"/>
            <w:shd w:val="clear" w:color="auto" w:fill="auto"/>
            <w:vAlign w:val="center"/>
          </w:tcPr>
          <w:p w14:paraId="153ED782" w14:textId="77777777" w:rsidR="00C4624A" w:rsidRPr="00195EC3" w:rsidRDefault="00C4624A" w:rsidP="00461AA0">
            <w:pPr>
              <w:pStyle w:val="Text1"/>
              <w:spacing w:beforeLines="20" w:before="48" w:afterLines="20" w:after="48"/>
              <w:ind w:left="134"/>
              <w:jc w:val="left"/>
              <w:rPr>
                <w:noProof/>
                <w:sz w:val="16"/>
                <w:szCs w:val="16"/>
              </w:rPr>
            </w:pPr>
            <w:r w:rsidRPr="00195EC3">
              <w:rPr>
                <w:noProof/>
                <w:sz w:val="16"/>
              </w:rPr>
              <w:t>20 01 02 03 (delegazioni)</w:t>
            </w:r>
          </w:p>
        </w:tc>
        <w:tc>
          <w:tcPr>
            <w:tcW w:w="731" w:type="dxa"/>
            <w:shd w:val="clear" w:color="auto" w:fill="auto"/>
            <w:vAlign w:val="center"/>
          </w:tcPr>
          <w:p w14:paraId="26DE6115"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3C3F27B7"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5DE35D16"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76770B60" w14:textId="77777777" w:rsidR="00C4624A" w:rsidRPr="00195EC3" w:rsidRDefault="00C4624A" w:rsidP="00461AA0">
            <w:pPr>
              <w:spacing w:beforeLines="20" w:before="48" w:afterLines="20" w:after="48"/>
              <w:jc w:val="center"/>
              <w:rPr>
                <w:noProof/>
                <w:sz w:val="16"/>
                <w:szCs w:val="16"/>
              </w:rPr>
            </w:pPr>
          </w:p>
        </w:tc>
        <w:tc>
          <w:tcPr>
            <w:tcW w:w="785" w:type="dxa"/>
          </w:tcPr>
          <w:p w14:paraId="4FFC61C7" w14:textId="77777777" w:rsidR="00C4624A" w:rsidRPr="00195EC3" w:rsidRDefault="00C4624A" w:rsidP="00461AA0">
            <w:pPr>
              <w:spacing w:beforeLines="20" w:before="48" w:afterLines="20" w:after="48"/>
              <w:jc w:val="center"/>
              <w:rPr>
                <w:noProof/>
                <w:sz w:val="16"/>
                <w:szCs w:val="16"/>
              </w:rPr>
            </w:pPr>
          </w:p>
        </w:tc>
        <w:tc>
          <w:tcPr>
            <w:tcW w:w="850" w:type="dxa"/>
          </w:tcPr>
          <w:p w14:paraId="203FEB88" w14:textId="77777777" w:rsidR="00C4624A" w:rsidRPr="00195EC3" w:rsidRDefault="00C4624A" w:rsidP="00461AA0">
            <w:pPr>
              <w:spacing w:beforeLines="20" w:before="48" w:afterLines="20" w:after="48"/>
              <w:jc w:val="center"/>
              <w:rPr>
                <w:noProof/>
                <w:sz w:val="16"/>
                <w:szCs w:val="16"/>
              </w:rPr>
            </w:pPr>
          </w:p>
        </w:tc>
        <w:tc>
          <w:tcPr>
            <w:tcW w:w="993" w:type="dxa"/>
            <w:shd w:val="clear" w:color="auto" w:fill="auto"/>
            <w:vAlign w:val="center"/>
          </w:tcPr>
          <w:p w14:paraId="4F3B8AE2" w14:textId="77777777" w:rsidR="00C4624A" w:rsidRPr="00195EC3" w:rsidRDefault="00C4624A" w:rsidP="00461AA0">
            <w:pPr>
              <w:spacing w:beforeLines="20" w:before="48" w:afterLines="20" w:after="48"/>
              <w:jc w:val="center"/>
              <w:rPr>
                <w:noProof/>
                <w:sz w:val="16"/>
                <w:szCs w:val="16"/>
              </w:rPr>
            </w:pPr>
          </w:p>
        </w:tc>
      </w:tr>
      <w:tr w:rsidR="00C4624A" w:rsidRPr="00195EC3" w14:paraId="29C9156B" w14:textId="77777777" w:rsidTr="00461AA0">
        <w:trPr>
          <w:gridBefore w:val="1"/>
          <w:wBefore w:w="15" w:type="dxa"/>
          <w:trHeight w:val="289"/>
          <w:jc w:val="center"/>
        </w:trPr>
        <w:tc>
          <w:tcPr>
            <w:tcW w:w="4754" w:type="dxa"/>
            <w:gridSpan w:val="5"/>
            <w:shd w:val="clear" w:color="auto" w:fill="auto"/>
            <w:vAlign w:val="center"/>
          </w:tcPr>
          <w:p w14:paraId="0E1F5FC2" w14:textId="77777777" w:rsidR="00C4624A" w:rsidRPr="00195EC3" w:rsidRDefault="00C4624A" w:rsidP="00461AA0">
            <w:pPr>
              <w:pStyle w:val="Text1"/>
              <w:spacing w:beforeLines="20" w:before="48" w:afterLines="20" w:after="48"/>
              <w:ind w:left="134"/>
              <w:jc w:val="left"/>
              <w:rPr>
                <w:noProof/>
                <w:sz w:val="16"/>
                <w:szCs w:val="16"/>
              </w:rPr>
            </w:pPr>
            <w:r w:rsidRPr="00195EC3">
              <w:rPr>
                <w:noProof/>
                <w:sz w:val="16"/>
              </w:rPr>
              <w:t>01 01 01 01 (ricerca indiretta)</w:t>
            </w:r>
          </w:p>
        </w:tc>
        <w:tc>
          <w:tcPr>
            <w:tcW w:w="731" w:type="dxa"/>
            <w:shd w:val="clear" w:color="auto" w:fill="auto"/>
            <w:vAlign w:val="center"/>
          </w:tcPr>
          <w:p w14:paraId="64A93D43"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4BA01E7D"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58BE7182"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1D1568BD" w14:textId="77777777" w:rsidR="00C4624A" w:rsidRPr="00195EC3" w:rsidRDefault="00C4624A" w:rsidP="00461AA0">
            <w:pPr>
              <w:spacing w:beforeLines="20" w:before="48" w:afterLines="20" w:after="48"/>
              <w:jc w:val="center"/>
              <w:rPr>
                <w:noProof/>
                <w:sz w:val="16"/>
                <w:szCs w:val="16"/>
              </w:rPr>
            </w:pPr>
          </w:p>
        </w:tc>
        <w:tc>
          <w:tcPr>
            <w:tcW w:w="785" w:type="dxa"/>
          </w:tcPr>
          <w:p w14:paraId="595FCC56" w14:textId="77777777" w:rsidR="00C4624A" w:rsidRPr="00195EC3" w:rsidRDefault="00C4624A" w:rsidP="00461AA0">
            <w:pPr>
              <w:spacing w:beforeLines="20" w:before="48" w:afterLines="20" w:after="48"/>
              <w:jc w:val="center"/>
              <w:rPr>
                <w:noProof/>
                <w:sz w:val="16"/>
                <w:szCs w:val="16"/>
              </w:rPr>
            </w:pPr>
          </w:p>
        </w:tc>
        <w:tc>
          <w:tcPr>
            <w:tcW w:w="850" w:type="dxa"/>
          </w:tcPr>
          <w:p w14:paraId="4B2EE97D" w14:textId="77777777" w:rsidR="00C4624A" w:rsidRPr="00195EC3" w:rsidRDefault="00C4624A" w:rsidP="00461AA0">
            <w:pPr>
              <w:spacing w:beforeLines="20" w:before="48" w:afterLines="20" w:after="48"/>
              <w:jc w:val="center"/>
              <w:rPr>
                <w:noProof/>
                <w:sz w:val="16"/>
                <w:szCs w:val="16"/>
              </w:rPr>
            </w:pPr>
          </w:p>
        </w:tc>
        <w:tc>
          <w:tcPr>
            <w:tcW w:w="993" w:type="dxa"/>
            <w:shd w:val="clear" w:color="auto" w:fill="auto"/>
            <w:vAlign w:val="center"/>
          </w:tcPr>
          <w:p w14:paraId="61C04FFA" w14:textId="77777777" w:rsidR="00C4624A" w:rsidRPr="00195EC3" w:rsidRDefault="00C4624A" w:rsidP="00461AA0">
            <w:pPr>
              <w:spacing w:beforeLines="20" w:before="48" w:afterLines="20" w:after="48"/>
              <w:jc w:val="center"/>
              <w:rPr>
                <w:noProof/>
                <w:sz w:val="16"/>
                <w:szCs w:val="16"/>
              </w:rPr>
            </w:pPr>
          </w:p>
        </w:tc>
      </w:tr>
      <w:tr w:rsidR="00C4624A" w:rsidRPr="00195EC3" w14:paraId="29F0C2DF" w14:textId="77777777" w:rsidTr="00461AA0">
        <w:trPr>
          <w:gridBefore w:val="1"/>
          <w:wBefore w:w="15" w:type="dxa"/>
          <w:trHeight w:val="289"/>
          <w:jc w:val="center"/>
        </w:trPr>
        <w:tc>
          <w:tcPr>
            <w:tcW w:w="4754" w:type="dxa"/>
            <w:gridSpan w:val="5"/>
            <w:shd w:val="clear" w:color="auto" w:fill="auto"/>
            <w:vAlign w:val="center"/>
          </w:tcPr>
          <w:p w14:paraId="22477D6B" w14:textId="77777777" w:rsidR="00C4624A" w:rsidRPr="00195EC3" w:rsidRDefault="00C4624A" w:rsidP="00461AA0">
            <w:pPr>
              <w:pStyle w:val="Text1"/>
              <w:spacing w:beforeLines="20" w:before="48" w:afterLines="20" w:after="48"/>
              <w:ind w:left="134"/>
              <w:jc w:val="left"/>
              <w:rPr>
                <w:noProof/>
                <w:sz w:val="16"/>
                <w:szCs w:val="16"/>
              </w:rPr>
            </w:pPr>
            <w:r w:rsidRPr="00195EC3">
              <w:rPr>
                <w:noProof/>
                <w:sz w:val="16"/>
              </w:rPr>
              <w:t xml:space="preserve"> 01 01 01 11 (ricerca diretta)</w:t>
            </w:r>
          </w:p>
        </w:tc>
        <w:tc>
          <w:tcPr>
            <w:tcW w:w="731" w:type="dxa"/>
            <w:shd w:val="clear" w:color="auto" w:fill="auto"/>
            <w:vAlign w:val="center"/>
          </w:tcPr>
          <w:p w14:paraId="2BA339A7"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2FE795F5"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6270AD1F"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17AE654A" w14:textId="77777777" w:rsidR="00C4624A" w:rsidRPr="00195EC3" w:rsidRDefault="00C4624A" w:rsidP="00461AA0">
            <w:pPr>
              <w:spacing w:beforeLines="20" w:before="48" w:afterLines="20" w:after="48"/>
              <w:jc w:val="center"/>
              <w:rPr>
                <w:noProof/>
                <w:sz w:val="16"/>
                <w:szCs w:val="16"/>
              </w:rPr>
            </w:pPr>
          </w:p>
        </w:tc>
        <w:tc>
          <w:tcPr>
            <w:tcW w:w="785" w:type="dxa"/>
          </w:tcPr>
          <w:p w14:paraId="1870985C" w14:textId="77777777" w:rsidR="00C4624A" w:rsidRPr="00195EC3" w:rsidRDefault="00C4624A" w:rsidP="00461AA0">
            <w:pPr>
              <w:spacing w:beforeLines="20" w:before="48" w:afterLines="20" w:after="48"/>
              <w:jc w:val="center"/>
              <w:rPr>
                <w:noProof/>
                <w:sz w:val="16"/>
                <w:szCs w:val="16"/>
              </w:rPr>
            </w:pPr>
          </w:p>
        </w:tc>
        <w:tc>
          <w:tcPr>
            <w:tcW w:w="850" w:type="dxa"/>
          </w:tcPr>
          <w:p w14:paraId="3291B80C" w14:textId="77777777" w:rsidR="00C4624A" w:rsidRPr="00195EC3" w:rsidRDefault="00C4624A" w:rsidP="00461AA0">
            <w:pPr>
              <w:spacing w:beforeLines="20" w:before="48" w:afterLines="20" w:after="48"/>
              <w:jc w:val="center"/>
              <w:rPr>
                <w:noProof/>
                <w:sz w:val="16"/>
                <w:szCs w:val="16"/>
              </w:rPr>
            </w:pPr>
          </w:p>
        </w:tc>
        <w:tc>
          <w:tcPr>
            <w:tcW w:w="993" w:type="dxa"/>
            <w:shd w:val="clear" w:color="auto" w:fill="auto"/>
            <w:vAlign w:val="center"/>
          </w:tcPr>
          <w:p w14:paraId="1B4E67CC" w14:textId="77777777" w:rsidR="00C4624A" w:rsidRPr="00195EC3" w:rsidRDefault="00C4624A" w:rsidP="00461AA0">
            <w:pPr>
              <w:spacing w:beforeLines="20" w:before="48" w:afterLines="20" w:after="48"/>
              <w:jc w:val="center"/>
              <w:rPr>
                <w:noProof/>
                <w:sz w:val="16"/>
                <w:szCs w:val="16"/>
              </w:rPr>
            </w:pPr>
          </w:p>
        </w:tc>
      </w:tr>
      <w:tr w:rsidR="00C4624A" w:rsidRPr="00195EC3" w14:paraId="32872266" w14:textId="77777777" w:rsidTr="00461AA0">
        <w:trPr>
          <w:gridBefore w:val="1"/>
          <w:wBefore w:w="15" w:type="dxa"/>
          <w:trHeight w:val="289"/>
          <w:jc w:val="center"/>
        </w:trPr>
        <w:tc>
          <w:tcPr>
            <w:tcW w:w="4754" w:type="dxa"/>
            <w:gridSpan w:val="5"/>
            <w:shd w:val="clear" w:color="auto" w:fill="auto"/>
            <w:vAlign w:val="center"/>
          </w:tcPr>
          <w:p w14:paraId="14709C9D" w14:textId="77777777" w:rsidR="00C4624A" w:rsidRPr="00195EC3" w:rsidRDefault="00C4624A" w:rsidP="00461AA0">
            <w:pPr>
              <w:pStyle w:val="Text1"/>
              <w:spacing w:beforeLines="20" w:before="48" w:afterLines="20" w:after="48"/>
              <w:ind w:left="134"/>
              <w:jc w:val="left"/>
              <w:rPr>
                <w:noProof/>
                <w:sz w:val="16"/>
              </w:rPr>
            </w:pPr>
            <w:r w:rsidRPr="00195EC3">
              <w:rPr>
                <w:noProof/>
                <w:sz w:val="16"/>
              </w:rPr>
              <w:t>Altre linee di bilancio (specificare)</w:t>
            </w:r>
          </w:p>
        </w:tc>
        <w:tc>
          <w:tcPr>
            <w:tcW w:w="731" w:type="dxa"/>
            <w:shd w:val="clear" w:color="auto" w:fill="auto"/>
            <w:vAlign w:val="center"/>
          </w:tcPr>
          <w:p w14:paraId="3F34DDF8"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6A345001"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73EE1931"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10495D0C" w14:textId="77777777" w:rsidR="00C4624A" w:rsidRPr="00195EC3" w:rsidRDefault="00C4624A" w:rsidP="00461AA0">
            <w:pPr>
              <w:spacing w:beforeLines="20" w:before="48" w:afterLines="20" w:after="48"/>
              <w:jc w:val="center"/>
              <w:rPr>
                <w:noProof/>
                <w:sz w:val="16"/>
                <w:szCs w:val="16"/>
              </w:rPr>
            </w:pPr>
          </w:p>
        </w:tc>
        <w:tc>
          <w:tcPr>
            <w:tcW w:w="785" w:type="dxa"/>
          </w:tcPr>
          <w:p w14:paraId="69834CBB" w14:textId="77777777" w:rsidR="00C4624A" w:rsidRPr="00195EC3" w:rsidRDefault="00C4624A" w:rsidP="00461AA0">
            <w:pPr>
              <w:spacing w:beforeLines="20" w:before="48" w:afterLines="20" w:after="48"/>
              <w:jc w:val="center"/>
              <w:rPr>
                <w:noProof/>
                <w:sz w:val="16"/>
                <w:szCs w:val="16"/>
              </w:rPr>
            </w:pPr>
          </w:p>
        </w:tc>
        <w:tc>
          <w:tcPr>
            <w:tcW w:w="850" w:type="dxa"/>
          </w:tcPr>
          <w:p w14:paraId="6D2384B0" w14:textId="77777777" w:rsidR="00C4624A" w:rsidRPr="00195EC3" w:rsidRDefault="00C4624A" w:rsidP="00461AA0">
            <w:pPr>
              <w:spacing w:beforeLines="20" w:before="48" w:afterLines="20" w:after="48"/>
              <w:jc w:val="center"/>
              <w:rPr>
                <w:noProof/>
                <w:sz w:val="16"/>
                <w:szCs w:val="16"/>
              </w:rPr>
            </w:pPr>
          </w:p>
        </w:tc>
        <w:tc>
          <w:tcPr>
            <w:tcW w:w="993" w:type="dxa"/>
            <w:shd w:val="clear" w:color="auto" w:fill="auto"/>
            <w:vAlign w:val="center"/>
          </w:tcPr>
          <w:p w14:paraId="06A63D37" w14:textId="77777777" w:rsidR="00C4624A" w:rsidRPr="00195EC3" w:rsidRDefault="00C4624A" w:rsidP="00461AA0">
            <w:pPr>
              <w:spacing w:beforeLines="20" w:before="48" w:afterLines="20" w:after="48"/>
              <w:jc w:val="center"/>
              <w:rPr>
                <w:noProof/>
                <w:sz w:val="16"/>
                <w:szCs w:val="16"/>
              </w:rPr>
            </w:pPr>
          </w:p>
        </w:tc>
      </w:tr>
      <w:tr w:rsidR="00C4624A" w:rsidRPr="00195EC3" w14:paraId="06C0D326" w14:textId="77777777" w:rsidTr="00461AA0">
        <w:trPr>
          <w:trHeight w:val="248"/>
          <w:jc w:val="center"/>
        </w:trPr>
        <w:tc>
          <w:tcPr>
            <w:tcW w:w="2193" w:type="dxa"/>
            <w:gridSpan w:val="2"/>
          </w:tcPr>
          <w:p w14:paraId="053F7E79" w14:textId="77777777" w:rsidR="00C4624A" w:rsidRPr="00195EC3" w:rsidRDefault="00C4624A" w:rsidP="00461AA0">
            <w:pPr>
              <w:pStyle w:val="Text1"/>
              <w:spacing w:before="60" w:after="60"/>
              <w:ind w:left="0"/>
              <w:jc w:val="left"/>
              <w:rPr>
                <w:rFonts w:eastAsia="Wingdings"/>
                <w:b/>
                <w:bCs/>
                <w:noProof/>
                <w:sz w:val="16"/>
                <w:szCs w:val="16"/>
              </w:rPr>
            </w:pPr>
          </w:p>
        </w:tc>
        <w:tc>
          <w:tcPr>
            <w:tcW w:w="2193" w:type="dxa"/>
            <w:gridSpan w:val="3"/>
          </w:tcPr>
          <w:p w14:paraId="6FE38C25" w14:textId="77777777" w:rsidR="00C4624A" w:rsidRPr="00195EC3" w:rsidRDefault="00C4624A" w:rsidP="00461AA0">
            <w:pPr>
              <w:pStyle w:val="Text1"/>
              <w:spacing w:before="60" w:after="60"/>
              <w:ind w:left="0"/>
              <w:jc w:val="left"/>
              <w:rPr>
                <w:rFonts w:eastAsia="Wingdings"/>
                <w:b/>
                <w:bCs/>
                <w:noProof/>
                <w:sz w:val="16"/>
                <w:szCs w:val="16"/>
              </w:rPr>
            </w:pPr>
          </w:p>
        </w:tc>
        <w:tc>
          <w:tcPr>
            <w:tcW w:w="5935" w:type="dxa"/>
            <w:gridSpan w:val="8"/>
            <w:shd w:val="clear" w:color="auto" w:fill="auto"/>
            <w:vAlign w:val="center"/>
          </w:tcPr>
          <w:p w14:paraId="07845D62" w14:textId="77777777" w:rsidR="00C4624A" w:rsidRPr="00195EC3" w:rsidRDefault="00C4624A" w:rsidP="00461AA0">
            <w:pPr>
              <w:pStyle w:val="Text1"/>
              <w:spacing w:before="60" w:after="60"/>
              <w:ind w:left="0"/>
              <w:jc w:val="left"/>
              <w:rPr>
                <w:b/>
                <w:noProof/>
                <w:sz w:val="16"/>
                <w:szCs w:val="16"/>
              </w:rPr>
            </w:pPr>
            <w:r w:rsidRPr="00195EC3">
              <w:rPr>
                <w:b/>
                <w:noProof/>
                <w:sz w:val="16"/>
              </w:rPr>
              <w:t>□ Personale esterno (in equivalenti a tempo pieno: ETP)</w:t>
            </w:r>
            <w:r w:rsidRPr="00195EC3">
              <w:rPr>
                <w:rStyle w:val="FootnoteReference"/>
                <w:b/>
                <w:bCs/>
                <w:noProof/>
                <w:sz w:val="16"/>
                <w:szCs w:val="16"/>
              </w:rPr>
              <w:footnoteReference w:id="44"/>
            </w:r>
          </w:p>
          <w:p w14:paraId="7BFF287A" w14:textId="77777777" w:rsidR="00C4624A" w:rsidRPr="00195EC3" w:rsidRDefault="00C4624A" w:rsidP="00461AA0">
            <w:pPr>
              <w:pStyle w:val="Text1"/>
              <w:spacing w:before="0" w:after="0"/>
              <w:ind w:left="0"/>
              <w:jc w:val="left"/>
              <w:rPr>
                <w:noProof/>
                <w:sz w:val="16"/>
                <w:szCs w:val="16"/>
              </w:rPr>
            </w:pPr>
          </w:p>
        </w:tc>
      </w:tr>
      <w:tr w:rsidR="00C4624A" w:rsidRPr="00195EC3" w14:paraId="1AA95883" w14:textId="77777777" w:rsidTr="00461AA0">
        <w:trPr>
          <w:gridBefore w:val="1"/>
          <w:wBefore w:w="15" w:type="dxa"/>
          <w:trHeight w:val="289"/>
          <w:jc w:val="center"/>
        </w:trPr>
        <w:tc>
          <w:tcPr>
            <w:tcW w:w="4754" w:type="dxa"/>
            <w:gridSpan w:val="5"/>
            <w:shd w:val="clear" w:color="auto" w:fill="auto"/>
            <w:vAlign w:val="center"/>
          </w:tcPr>
          <w:p w14:paraId="2E7111FA" w14:textId="77777777" w:rsidR="00C4624A" w:rsidRPr="00195EC3" w:rsidRDefault="00C4624A" w:rsidP="00461AA0">
            <w:pPr>
              <w:pStyle w:val="Text1"/>
              <w:spacing w:beforeLines="20" w:before="48" w:afterLines="20" w:after="48"/>
              <w:ind w:left="136"/>
              <w:jc w:val="left"/>
              <w:rPr>
                <w:b/>
                <w:noProof/>
                <w:sz w:val="16"/>
                <w:szCs w:val="16"/>
              </w:rPr>
            </w:pPr>
            <w:r w:rsidRPr="00195EC3">
              <w:rPr>
                <w:noProof/>
                <w:sz w:val="16"/>
              </w:rPr>
              <w:t>20 02 01 (AC, END, INT della dotazione globale)</w:t>
            </w:r>
          </w:p>
        </w:tc>
        <w:tc>
          <w:tcPr>
            <w:tcW w:w="731" w:type="dxa"/>
            <w:shd w:val="clear" w:color="auto" w:fill="auto"/>
            <w:vAlign w:val="center"/>
          </w:tcPr>
          <w:p w14:paraId="42CB6E00"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1147C919"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09FA886C"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6B503D85" w14:textId="77777777" w:rsidR="00C4624A" w:rsidRPr="00195EC3" w:rsidRDefault="00C4624A" w:rsidP="00461AA0">
            <w:pPr>
              <w:spacing w:beforeLines="20" w:before="48" w:afterLines="20" w:after="48"/>
              <w:jc w:val="center"/>
              <w:rPr>
                <w:noProof/>
                <w:sz w:val="16"/>
                <w:szCs w:val="16"/>
              </w:rPr>
            </w:pPr>
          </w:p>
        </w:tc>
        <w:tc>
          <w:tcPr>
            <w:tcW w:w="785" w:type="dxa"/>
          </w:tcPr>
          <w:p w14:paraId="0055108E" w14:textId="77777777" w:rsidR="00C4624A" w:rsidRPr="00195EC3" w:rsidRDefault="00C4624A" w:rsidP="00461AA0">
            <w:pPr>
              <w:spacing w:beforeLines="20" w:before="48" w:afterLines="20" w:after="48"/>
              <w:jc w:val="center"/>
              <w:rPr>
                <w:noProof/>
                <w:sz w:val="16"/>
                <w:szCs w:val="16"/>
              </w:rPr>
            </w:pPr>
          </w:p>
        </w:tc>
        <w:tc>
          <w:tcPr>
            <w:tcW w:w="850" w:type="dxa"/>
          </w:tcPr>
          <w:p w14:paraId="5A68C72A" w14:textId="77777777" w:rsidR="00C4624A" w:rsidRPr="00195EC3" w:rsidRDefault="00C4624A" w:rsidP="00461AA0">
            <w:pPr>
              <w:spacing w:beforeLines="20" w:before="48" w:afterLines="20" w:after="48"/>
              <w:jc w:val="center"/>
              <w:rPr>
                <w:noProof/>
                <w:sz w:val="16"/>
                <w:szCs w:val="16"/>
              </w:rPr>
            </w:pPr>
          </w:p>
        </w:tc>
        <w:tc>
          <w:tcPr>
            <w:tcW w:w="993" w:type="dxa"/>
            <w:shd w:val="clear" w:color="auto" w:fill="auto"/>
            <w:vAlign w:val="center"/>
          </w:tcPr>
          <w:p w14:paraId="00AD7D37" w14:textId="77777777" w:rsidR="00C4624A" w:rsidRPr="00195EC3" w:rsidRDefault="00C4624A" w:rsidP="00461AA0">
            <w:pPr>
              <w:spacing w:beforeLines="20" w:before="48" w:afterLines="20" w:after="48"/>
              <w:jc w:val="center"/>
              <w:rPr>
                <w:noProof/>
                <w:sz w:val="16"/>
                <w:szCs w:val="16"/>
              </w:rPr>
            </w:pPr>
          </w:p>
        </w:tc>
      </w:tr>
      <w:tr w:rsidR="00C4624A" w:rsidRPr="00195EC3" w14:paraId="61CAD393" w14:textId="77777777" w:rsidTr="00461AA0">
        <w:trPr>
          <w:gridBefore w:val="1"/>
          <w:wBefore w:w="15" w:type="dxa"/>
          <w:trHeight w:val="289"/>
          <w:jc w:val="center"/>
        </w:trPr>
        <w:tc>
          <w:tcPr>
            <w:tcW w:w="4754" w:type="dxa"/>
            <w:gridSpan w:val="5"/>
            <w:shd w:val="clear" w:color="auto" w:fill="auto"/>
            <w:vAlign w:val="center"/>
          </w:tcPr>
          <w:p w14:paraId="6DB54F89" w14:textId="77777777" w:rsidR="00C4624A" w:rsidRPr="00195EC3" w:rsidRDefault="00C4624A" w:rsidP="00461AA0">
            <w:pPr>
              <w:pStyle w:val="Text1"/>
              <w:spacing w:beforeLines="20" w:before="48" w:afterLines="20" w:after="48"/>
              <w:ind w:left="136"/>
              <w:jc w:val="left"/>
              <w:rPr>
                <w:noProof/>
                <w:sz w:val="16"/>
              </w:rPr>
            </w:pPr>
            <w:r w:rsidRPr="00195EC3">
              <w:rPr>
                <w:noProof/>
                <w:sz w:val="16"/>
              </w:rPr>
              <w:t>20 02 03 (AC, AL, END, INT e JPD nelle delegazioni)</w:t>
            </w:r>
          </w:p>
        </w:tc>
        <w:tc>
          <w:tcPr>
            <w:tcW w:w="731" w:type="dxa"/>
            <w:shd w:val="clear" w:color="auto" w:fill="auto"/>
            <w:vAlign w:val="center"/>
          </w:tcPr>
          <w:p w14:paraId="5FB93E14"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608F7EDF"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7C0329A5"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206189B7" w14:textId="77777777" w:rsidR="00C4624A" w:rsidRPr="00195EC3" w:rsidRDefault="00C4624A" w:rsidP="00461AA0">
            <w:pPr>
              <w:spacing w:beforeLines="20" w:before="48" w:afterLines="20" w:after="48"/>
              <w:jc w:val="center"/>
              <w:rPr>
                <w:noProof/>
                <w:sz w:val="16"/>
                <w:szCs w:val="16"/>
              </w:rPr>
            </w:pPr>
          </w:p>
        </w:tc>
        <w:tc>
          <w:tcPr>
            <w:tcW w:w="785" w:type="dxa"/>
          </w:tcPr>
          <w:p w14:paraId="58ED052D" w14:textId="77777777" w:rsidR="00C4624A" w:rsidRPr="00195EC3" w:rsidRDefault="00C4624A" w:rsidP="00461AA0">
            <w:pPr>
              <w:spacing w:beforeLines="20" w:before="48" w:afterLines="20" w:after="48"/>
              <w:jc w:val="center"/>
              <w:rPr>
                <w:noProof/>
                <w:sz w:val="16"/>
                <w:szCs w:val="16"/>
              </w:rPr>
            </w:pPr>
          </w:p>
        </w:tc>
        <w:tc>
          <w:tcPr>
            <w:tcW w:w="850" w:type="dxa"/>
          </w:tcPr>
          <w:p w14:paraId="17EC6512" w14:textId="77777777" w:rsidR="00C4624A" w:rsidRPr="00195EC3" w:rsidRDefault="00C4624A" w:rsidP="00461AA0">
            <w:pPr>
              <w:spacing w:beforeLines="20" w:before="48" w:afterLines="20" w:after="48"/>
              <w:jc w:val="center"/>
              <w:rPr>
                <w:noProof/>
                <w:sz w:val="16"/>
                <w:szCs w:val="16"/>
              </w:rPr>
            </w:pPr>
          </w:p>
        </w:tc>
        <w:tc>
          <w:tcPr>
            <w:tcW w:w="993" w:type="dxa"/>
            <w:shd w:val="clear" w:color="auto" w:fill="auto"/>
            <w:vAlign w:val="center"/>
          </w:tcPr>
          <w:p w14:paraId="62EE0F38" w14:textId="77777777" w:rsidR="00C4624A" w:rsidRPr="00195EC3" w:rsidRDefault="00C4624A" w:rsidP="00461AA0">
            <w:pPr>
              <w:spacing w:beforeLines="20" w:before="48" w:afterLines="20" w:after="48"/>
              <w:jc w:val="center"/>
              <w:rPr>
                <w:noProof/>
                <w:sz w:val="16"/>
                <w:szCs w:val="16"/>
              </w:rPr>
            </w:pPr>
          </w:p>
        </w:tc>
      </w:tr>
      <w:tr w:rsidR="00C4624A" w:rsidRPr="00195EC3" w14:paraId="5C913438" w14:textId="77777777" w:rsidTr="00461AA0">
        <w:trPr>
          <w:gridBefore w:val="1"/>
          <w:wBefore w:w="15" w:type="dxa"/>
          <w:trHeight w:val="289"/>
          <w:jc w:val="center"/>
        </w:trPr>
        <w:tc>
          <w:tcPr>
            <w:tcW w:w="2376" w:type="dxa"/>
            <w:gridSpan w:val="3"/>
            <w:vMerge w:val="restart"/>
            <w:shd w:val="clear" w:color="auto" w:fill="auto"/>
            <w:vAlign w:val="center"/>
          </w:tcPr>
          <w:p w14:paraId="3D238E63" w14:textId="1CECD14A" w:rsidR="00C4624A" w:rsidRPr="00195EC3" w:rsidRDefault="00C4624A" w:rsidP="00461AA0">
            <w:pPr>
              <w:pStyle w:val="Text1"/>
              <w:spacing w:beforeLines="20" w:before="48" w:afterLines="20" w:after="48"/>
              <w:ind w:left="136"/>
              <w:jc w:val="left"/>
              <w:rPr>
                <w:b/>
                <w:noProof/>
                <w:sz w:val="16"/>
                <w:szCs w:val="16"/>
              </w:rPr>
            </w:pPr>
            <w:r w:rsidRPr="00195EC3">
              <w:rPr>
                <w:noProof/>
                <w:sz w:val="16"/>
              </w:rPr>
              <w:t xml:space="preserve">XX 01 xx </w:t>
            </w:r>
            <w:r w:rsidR="0064601D">
              <w:rPr>
                <w:b/>
                <w:noProof/>
                <w:sz w:val="16"/>
              </w:rPr>
              <w:t>yy zz</w:t>
            </w:r>
            <w:r w:rsidRPr="00195EC3">
              <w:rPr>
                <w:b/>
                <w:i/>
                <w:noProof/>
                <w:sz w:val="16"/>
              </w:rPr>
              <w:t xml:space="preserve"> </w:t>
            </w:r>
            <w:r w:rsidRPr="00195EC3">
              <w:rPr>
                <w:rStyle w:val="FootnoteReference"/>
                <w:b/>
                <w:bCs/>
                <w:i/>
                <w:iCs/>
                <w:noProof/>
                <w:sz w:val="16"/>
                <w:szCs w:val="16"/>
              </w:rPr>
              <w:footnoteReference w:id="45"/>
            </w:r>
          </w:p>
          <w:p w14:paraId="181A3998" w14:textId="77777777" w:rsidR="00C4624A" w:rsidRPr="00195EC3" w:rsidRDefault="00C4624A" w:rsidP="00461AA0">
            <w:pPr>
              <w:pStyle w:val="Text1"/>
              <w:spacing w:beforeLines="20" w:before="48" w:afterLines="20" w:after="48"/>
              <w:ind w:left="136"/>
              <w:jc w:val="left"/>
              <w:rPr>
                <w:b/>
                <w:noProof/>
                <w:sz w:val="16"/>
                <w:szCs w:val="16"/>
              </w:rPr>
            </w:pPr>
          </w:p>
        </w:tc>
        <w:tc>
          <w:tcPr>
            <w:tcW w:w="2378" w:type="dxa"/>
            <w:gridSpan w:val="2"/>
            <w:shd w:val="clear" w:color="auto" w:fill="auto"/>
            <w:vAlign w:val="center"/>
          </w:tcPr>
          <w:p w14:paraId="41203697" w14:textId="77777777" w:rsidR="00C4624A" w:rsidRPr="00195EC3" w:rsidRDefault="00C4624A" w:rsidP="00461AA0">
            <w:pPr>
              <w:pStyle w:val="Text1"/>
              <w:spacing w:beforeLines="20" w:before="48" w:afterLines="20" w:after="48"/>
              <w:ind w:left="136"/>
              <w:jc w:val="left"/>
              <w:rPr>
                <w:b/>
                <w:noProof/>
                <w:sz w:val="16"/>
                <w:szCs w:val="16"/>
              </w:rPr>
            </w:pPr>
            <w:r w:rsidRPr="00195EC3">
              <w:rPr>
                <w:noProof/>
                <w:sz w:val="16"/>
              </w:rPr>
              <w:t>- in sede</w:t>
            </w:r>
          </w:p>
          <w:p w14:paraId="0BDB0571" w14:textId="77777777" w:rsidR="00C4624A" w:rsidRPr="00195EC3" w:rsidRDefault="00C4624A" w:rsidP="00461AA0">
            <w:pPr>
              <w:pStyle w:val="Text1"/>
              <w:spacing w:beforeLines="20" w:before="48" w:afterLines="20" w:after="48"/>
              <w:ind w:left="136"/>
              <w:jc w:val="left"/>
              <w:rPr>
                <w:b/>
                <w:noProof/>
                <w:sz w:val="16"/>
                <w:szCs w:val="16"/>
              </w:rPr>
            </w:pPr>
          </w:p>
        </w:tc>
        <w:tc>
          <w:tcPr>
            <w:tcW w:w="731" w:type="dxa"/>
            <w:shd w:val="clear" w:color="auto" w:fill="auto"/>
            <w:vAlign w:val="center"/>
          </w:tcPr>
          <w:p w14:paraId="6C6C7792" w14:textId="77777777" w:rsidR="00C4624A" w:rsidRPr="00195EC3" w:rsidRDefault="00C4624A" w:rsidP="00461AA0">
            <w:pPr>
              <w:pStyle w:val="Text1"/>
              <w:spacing w:beforeLines="20" w:before="48" w:afterLines="20" w:after="48"/>
              <w:ind w:left="0"/>
              <w:rPr>
                <w:noProof/>
                <w:sz w:val="16"/>
                <w:szCs w:val="16"/>
              </w:rPr>
            </w:pPr>
          </w:p>
        </w:tc>
        <w:tc>
          <w:tcPr>
            <w:tcW w:w="731" w:type="dxa"/>
            <w:shd w:val="clear" w:color="auto" w:fill="auto"/>
            <w:vAlign w:val="center"/>
          </w:tcPr>
          <w:p w14:paraId="18340CBC"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1FD942F8"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6CEAE02F" w14:textId="77777777" w:rsidR="00C4624A" w:rsidRPr="00195EC3" w:rsidRDefault="00C4624A" w:rsidP="00461AA0">
            <w:pPr>
              <w:spacing w:beforeLines="20" w:before="48" w:afterLines="20" w:after="48"/>
              <w:jc w:val="center"/>
              <w:rPr>
                <w:noProof/>
                <w:sz w:val="16"/>
                <w:szCs w:val="16"/>
              </w:rPr>
            </w:pPr>
          </w:p>
        </w:tc>
        <w:tc>
          <w:tcPr>
            <w:tcW w:w="785" w:type="dxa"/>
          </w:tcPr>
          <w:p w14:paraId="09A75ED8" w14:textId="77777777" w:rsidR="00C4624A" w:rsidRPr="00195EC3" w:rsidRDefault="00C4624A" w:rsidP="00461AA0">
            <w:pPr>
              <w:spacing w:beforeLines="20" w:before="48" w:afterLines="20" w:after="48"/>
              <w:jc w:val="center"/>
              <w:rPr>
                <w:noProof/>
                <w:sz w:val="16"/>
                <w:szCs w:val="16"/>
              </w:rPr>
            </w:pPr>
          </w:p>
        </w:tc>
        <w:tc>
          <w:tcPr>
            <w:tcW w:w="850" w:type="dxa"/>
          </w:tcPr>
          <w:p w14:paraId="74EE2A01" w14:textId="77777777" w:rsidR="00C4624A" w:rsidRPr="00195EC3" w:rsidRDefault="00C4624A" w:rsidP="00461AA0">
            <w:pPr>
              <w:spacing w:beforeLines="20" w:before="48" w:afterLines="20" w:after="48"/>
              <w:jc w:val="center"/>
              <w:rPr>
                <w:noProof/>
                <w:sz w:val="16"/>
                <w:szCs w:val="16"/>
              </w:rPr>
            </w:pPr>
          </w:p>
        </w:tc>
        <w:tc>
          <w:tcPr>
            <w:tcW w:w="993" w:type="dxa"/>
            <w:shd w:val="clear" w:color="auto" w:fill="auto"/>
            <w:vAlign w:val="center"/>
          </w:tcPr>
          <w:p w14:paraId="6FCE68A3" w14:textId="77777777" w:rsidR="00C4624A" w:rsidRPr="00195EC3" w:rsidRDefault="00C4624A" w:rsidP="00461AA0">
            <w:pPr>
              <w:spacing w:beforeLines="20" w:before="48" w:afterLines="20" w:after="48"/>
              <w:jc w:val="center"/>
              <w:rPr>
                <w:noProof/>
                <w:sz w:val="16"/>
                <w:szCs w:val="16"/>
              </w:rPr>
            </w:pPr>
          </w:p>
        </w:tc>
      </w:tr>
      <w:tr w:rsidR="00C4624A" w:rsidRPr="00195EC3" w14:paraId="0F15012E" w14:textId="77777777" w:rsidTr="00461AA0">
        <w:trPr>
          <w:gridBefore w:val="1"/>
          <w:wBefore w:w="15" w:type="dxa"/>
          <w:trHeight w:val="289"/>
          <w:jc w:val="center"/>
        </w:trPr>
        <w:tc>
          <w:tcPr>
            <w:tcW w:w="2376" w:type="dxa"/>
            <w:gridSpan w:val="3"/>
            <w:vMerge/>
            <w:vAlign w:val="center"/>
          </w:tcPr>
          <w:p w14:paraId="498D1DB0" w14:textId="77777777" w:rsidR="00C4624A" w:rsidRPr="00195EC3" w:rsidRDefault="00C4624A" w:rsidP="00461AA0">
            <w:pPr>
              <w:pStyle w:val="Text1"/>
              <w:spacing w:beforeLines="20" w:before="48" w:afterLines="20" w:after="48"/>
              <w:ind w:left="136"/>
              <w:jc w:val="left"/>
              <w:rPr>
                <w:b/>
                <w:noProof/>
                <w:sz w:val="16"/>
                <w:szCs w:val="16"/>
              </w:rPr>
            </w:pPr>
          </w:p>
        </w:tc>
        <w:tc>
          <w:tcPr>
            <w:tcW w:w="2378" w:type="dxa"/>
            <w:gridSpan w:val="2"/>
            <w:shd w:val="clear" w:color="auto" w:fill="auto"/>
            <w:vAlign w:val="center"/>
          </w:tcPr>
          <w:p w14:paraId="45B8BE81" w14:textId="77777777" w:rsidR="00C4624A" w:rsidRPr="00195EC3" w:rsidRDefault="00C4624A" w:rsidP="00461AA0">
            <w:pPr>
              <w:pStyle w:val="Text1"/>
              <w:spacing w:beforeLines="20" w:before="48" w:afterLines="20" w:after="48"/>
              <w:ind w:left="136"/>
              <w:jc w:val="left"/>
              <w:rPr>
                <w:b/>
                <w:noProof/>
                <w:sz w:val="16"/>
                <w:szCs w:val="16"/>
              </w:rPr>
            </w:pPr>
            <w:r w:rsidRPr="00195EC3">
              <w:rPr>
                <w:noProof/>
                <w:sz w:val="16"/>
              </w:rPr>
              <w:t xml:space="preserve">- nelle delegazioni </w:t>
            </w:r>
          </w:p>
        </w:tc>
        <w:tc>
          <w:tcPr>
            <w:tcW w:w="731" w:type="dxa"/>
            <w:shd w:val="clear" w:color="auto" w:fill="auto"/>
            <w:vAlign w:val="center"/>
          </w:tcPr>
          <w:p w14:paraId="5B714556" w14:textId="77777777" w:rsidR="00C4624A" w:rsidRPr="00195EC3" w:rsidRDefault="00C4624A" w:rsidP="00461AA0">
            <w:pPr>
              <w:pStyle w:val="Text1"/>
              <w:spacing w:beforeLines="20" w:before="48" w:afterLines="20" w:after="48"/>
              <w:ind w:left="0"/>
              <w:rPr>
                <w:noProof/>
                <w:sz w:val="16"/>
                <w:szCs w:val="16"/>
              </w:rPr>
            </w:pPr>
          </w:p>
        </w:tc>
        <w:tc>
          <w:tcPr>
            <w:tcW w:w="731" w:type="dxa"/>
            <w:shd w:val="clear" w:color="auto" w:fill="auto"/>
            <w:vAlign w:val="center"/>
          </w:tcPr>
          <w:p w14:paraId="237DD25B"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2CFBA5EE"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4D197021" w14:textId="77777777" w:rsidR="00C4624A" w:rsidRPr="00195EC3" w:rsidRDefault="00C4624A" w:rsidP="00461AA0">
            <w:pPr>
              <w:spacing w:beforeLines="20" w:before="48" w:afterLines="20" w:after="48"/>
              <w:jc w:val="center"/>
              <w:rPr>
                <w:noProof/>
                <w:sz w:val="16"/>
                <w:szCs w:val="16"/>
              </w:rPr>
            </w:pPr>
          </w:p>
        </w:tc>
        <w:tc>
          <w:tcPr>
            <w:tcW w:w="785" w:type="dxa"/>
          </w:tcPr>
          <w:p w14:paraId="63EF8591" w14:textId="77777777" w:rsidR="00C4624A" w:rsidRPr="00195EC3" w:rsidRDefault="00C4624A" w:rsidP="00461AA0">
            <w:pPr>
              <w:spacing w:beforeLines="20" w:before="48" w:afterLines="20" w:after="48"/>
              <w:jc w:val="center"/>
              <w:rPr>
                <w:noProof/>
                <w:sz w:val="16"/>
                <w:szCs w:val="16"/>
              </w:rPr>
            </w:pPr>
          </w:p>
        </w:tc>
        <w:tc>
          <w:tcPr>
            <w:tcW w:w="850" w:type="dxa"/>
          </w:tcPr>
          <w:p w14:paraId="76E3F4DF" w14:textId="77777777" w:rsidR="00C4624A" w:rsidRPr="00195EC3" w:rsidRDefault="00C4624A" w:rsidP="00461AA0">
            <w:pPr>
              <w:spacing w:beforeLines="20" w:before="48" w:afterLines="20" w:after="48"/>
              <w:jc w:val="center"/>
              <w:rPr>
                <w:noProof/>
                <w:sz w:val="16"/>
                <w:szCs w:val="16"/>
              </w:rPr>
            </w:pPr>
          </w:p>
        </w:tc>
        <w:tc>
          <w:tcPr>
            <w:tcW w:w="993" w:type="dxa"/>
            <w:shd w:val="clear" w:color="auto" w:fill="auto"/>
            <w:vAlign w:val="center"/>
          </w:tcPr>
          <w:p w14:paraId="2236101E" w14:textId="77777777" w:rsidR="00C4624A" w:rsidRPr="00195EC3" w:rsidRDefault="00C4624A" w:rsidP="00461AA0">
            <w:pPr>
              <w:spacing w:beforeLines="20" w:before="48" w:afterLines="20" w:after="48"/>
              <w:jc w:val="center"/>
              <w:rPr>
                <w:noProof/>
                <w:sz w:val="16"/>
                <w:szCs w:val="16"/>
              </w:rPr>
            </w:pPr>
          </w:p>
        </w:tc>
      </w:tr>
      <w:tr w:rsidR="00C4624A" w:rsidRPr="00195EC3" w14:paraId="0FC5566E" w14:textId="77777777" w:rsidTr="00461AA0">
        <w:trPr>
          <w:gridBefore w:val="1"/>
          <w:wBefore w:w="15" w:type="dxa"/>
          <w:trHeight w:val="289"/>
          <w:jc w:val="center"/>
        </w:trPr>
        <w:tc>
          <w:tcPr>
            <w:tcW w:w="4754" w:type="dxa"/>
            <w:gridSpan w:val="5"/>
            <w:shd w:val="clear" w:color="auto" w:fill="auto"/>
            <w:vAlign w:val="center"/>
          </w:tcPr>
          <w:p w14:paraId="33DAF09E" w14:textId="77777777" w:rsidR="00C4624A" w:rsidRPr="00195EC3" w:rsidRDefault="00C4624A" w:rsidP="00461AA0">
            <w:pPr>
              <w:pStyle w:val="Text1"/>
              <w:spacing w:beforeLines="20" w:before="48" w:afterLines="20" w:after="48"/>
              <w:ind w:left="136"/>
              <w:jc w:val="left"/>
              <w:rPr>
                <w:noProof/>
                <w:sz w:val="16"/>
                <w:szCs w:val="16"/>
              </w:rPr>
            </w:pPr>
            <w:r w:rsidRPr="00195EC3">
              <w:rPr>
                <w:noProof/>
                <w:sz w:val="16"/>
              </w:rPr>
              <w:t>01 01 01 02 (AC, END, INT - ricerca indiretta)</w:t>
            </w:r>
          </w:p>
        </w:tc>
        <w:tc>
          <w:tcPr>
            <w:tcW w:w="731" w:type="dxa"/>
            <w:shd w:val="clear" w:color="auto" w:fill="auto"/>
            <w:vAlign w:val="center"/>
          </w:tcPr>
          <w:p w14:paraId="714DABFF"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4BCC443B"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7662692A"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38697961" w14:textId="77777777" w:rsidR="00C4624A" w:rsidRPr="00195EC3" w:rsidRDefault="00C4624A" w:rsidP="00461AA0">
            <w:pPr>
              <w:spacing w:beforeLines="20" w:before="48" w:afterLines="20" w:after="48"/>
              <w:jc w:val="center"/>
              <w:rPr>
                <w:noProof/>
                <w:sz w:val="16"/>
                <w:szCs w:val="16"/>
              </w:rPr>
            </w:pPr>
          </w:p>
        </w:tc>
        <w:tc>
          <w:tcPr>
            <w:tcW w:w="785" w:type="dxa"/>
          </w:tcPr>
          <w:p w14:paraId="4162414D" w14:textId="77777777" w:rsidR="00C4624A" w:rsidRPr="00195EC3" w:rsidRDefault="00C4624A" w:rsidP="00461AA0">
            <w:pPr>
              <w:spacing w:beforeLines="20" w:before="48" w:afterLines="20" w:after="48"/>
              <w:jc w:val="center"/>
              <w:rPr>
                <w:noProof/>
                <w:sz w:val="16"/>
                <w:szCs w:val="16"/>
              </w:rPr>
            </w:pPr>
          </w:p>
        </w:tc>
        <w:tc>
          <w:tcPr>
            <w:tcW w:w="850" w:type="dxa"/>
          </w:tcPr>
          <w:p w14:paraId="716FF040" w14:textId="77777777" w:rsidR="00C4624A" w:rsidRPr="00195EC3" w:rsidRDefault="00C4624A" w:rsidP="00461AA0">
            <w:pPr>
              <w:spacing w:beforeLines="20" w:before="48" w:afterLines="20" w:after="48"/>
              <w:jc w:val="center"/>
              <w:rPr>
                <w:noProof/>
                <w:sz w:val="16"/>
                <w:szCs w:val="16"/>
              </w:rPr>
            </w:pPr>
          </w:p>
        </w:tc>
        <w:tc>
          <w:tcPr>
            <w:tcW w:w="993" w:type="dxa"/>
            <w:shd w:val="clear" w:color="auto" w:fill="auto"/>
            <w:vAlign w:val="center"/>
          </w:tcPr>
          <w:p w14:paraId="6E60B9D0" w14:textId="77777777" w:rsidR="00C4624A" w:rsidRPr="00195EC3" w:rsidRDefault="00C4624A" w:rsidP="00461AA0">
            <w:pPr>
              <w:spacing w:beforeLines="20" w:before="48" w:afterLines="20" w:after="48"/>
              <w:jc w:val="center"/>
              <w:rPr>
                <w:noProof/>
                <w:sz w:val="16"/>
                <w:szCs w:val="16"/>
              </w:rPr>
            </w:pPr>
          </w:p>
        </w:tc>
      </w:tr>
      <w:tr w:rsidR="00C4624A" w:rsidRPr="00195EC3" w14:paraId="201102F6" w14:textId="77777777" w:rsidTr="00461AA0">
        <w:trPr>
          <w:gridBefore w:val="1"/>
          <w:wBefore w:w="15" w:type="dxa"/>
          <w:trHeight w:val="289"/>
          <w:jc w:val="center"/>
        </w:trPr>
        <w:tc>
          <w:tcPr>
            <w:tcW w:w="4754" w:type="dxa"/>
            <w:gridSpan w:val="5"/>
            <w:shd w:val="clear" w:color="auto" w:fill="auto"/>
            <w:vAlign w:val="center"/>
          </w:tcPr>
          <w:p w14:paraId="209162CD" w14:textId="77777777" w:rsidR="00C4624A" w:rsidRPr="00195EC3" w:rsidRDefault="00C4624A" w:rsidP="00461AA0">
            <w:pPr>
              <w:pStyle w:val="Text1"/>
              <w:spacing w:beforeLines="20" w:before="48" w:afterLines="20" w:after="48"/>
              <w:ind w:left="136"/>
              <w:jc w:val="left"/>
              <w:rPr>
                <w:noProof/>
                <w:color w:val="FF0000"/>
                <w:sz w:val="16"/>
                <w:szCs w:val="16"/>
              </w:rPr>
            </w:pPr>
            <w:r w:rsidRPr="00195EC3">
              <w:rPr>
                <w:noProof/>
                <w:sz w:val="16"/>
              </w:rPr>
              <w:t xml:space="preserve"> 01 01 01 12 (AC, END, INT - ricerca diretta)</w:t>
            </w:r>
          </w:p>
        </w:tc>
        <w:tc>
          <w:tcPr>
            <w:tcW w:w="731" w:type="dxa"/>
            <w:shd w:val="clear" w:color="auto" w:fill="auto"/>
            <w:vAlign w:val="center"/>
          </w:tcPr>
          <w:p w14:paraId="048805BA"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71506D56"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357F61FF"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72DF40E3" w14:textId="77777777" w:rsidR="00C4624A" w:rsidRPr="00195EC3" w:rsidRDefault="00C4624A" w:rsidP="00461AA0">
            <w:pPr>
              <w:spacing w:beforeLines="20" w:before="48" w:afterLines="20" w:after="48"/>
              <w:jc w:val="center"/>
              <w:rPr>
                <w:noProof/>
                <w:sz w:val="16"/>
                <w:szCs w:val="16"/>
              </w:rPr>
            </w:pPr>
          </w:p>
        </w:tc>
        <w:tc>
          <w:tcPr>
            <w:tcW w:w="785" w:type="dxa"/>
          </w:tcPr>
          <w:p w14:paraId="79C928B7" w14:textId="77777777" w:rsidR="00C4624A" w:rsidRPr="00195EC3" w:rsidRDefault="00C4624A" w:rsidP="00461AA0">
            <w:pPr>
              <w:spacing w:beforeLines="20" w:before="48" w:afterLines="20" w:after="48"/>
              <w:jc w:val="center"/>
              <w:rPr>
                <w:noProof/>
                <w:sz w:val="16"/>
                <w:szCs w:val="16"/>
              </w:rPr>
            </w:pPr>
          </w:p>
        </w:tc>
        <w:tc>
          <w:tcPr>
            <w:tcW w:w="850" w:type="dxa"/>
          </w:tcPr>
          <w:p w14:paraId="352BF62F" w14:textId="77777777" w:rsidR="00C4624A" w:rsidRPr="00195EC3" w:rsidRDefault="00C4624A" w:rsidP="00461AA0">
            <w:pPr>
              <w:spacing w:beforeLines="20" w:before="48" w:afterLines="20" w:after="48"/>
              <w:jc w:val="center"/>
              <w:rPr>
                <w:noProof/>
                <w:sz w:val="16"/>
                <w:szCs w:val="16"/>
              </w:rPr>
            </w:pPr>
          </w:p>
        </w:tc>
        <w:tc>
          <w:tcPr>
            <w:tcW w:w="993" w:type="dxa"/>
            <w:shd w:val="clear" w:color="auto" w:fill="auto"/>
            <w:vAlign w:val="center"/>
          </w:tcPr>
          <w:p w14:paraId="72902CBB" w14:textId="77777777" w:rsidR="00C4624A" w:rsidRPr="00195EC3" w:rsidRDefault="00C4624A" w:rsidP="00461AA0">
            <w:pPr>
              <w:spacing w:beforeLines="20" w:before="48" w:afterLines="20" w:after="48"/>
              <w:jc w:val="center"/>
              <w:rPr>
                <w:noProof/>
                <w:sz w:val="16"/>
                <w:szCs w:val="16"/>
              </w:rPr>
            </w:pPr>
          </w:p>
        </w:tc>
      </w:tr>
      <w:tr w:rsidR="00C4624A" w:rsidRPr="00195EC3" w14:paraId="27A09C77" w14:textId="77777777" w:rsidTr="00461AA0">
        <w:trPr>
          <w:gridBefore w:val="1"/>
          <w:wBefore w:w="15" w:type="dxa"/>
          <w:trHeight w:val="289"/>
          <w:jc w:val="center"/>
        </w:trPr>
        <w:tc>
          <w:tcPr>
            <w:tcW w:w="4754" w:type="dxa"/>
            <w:gridSpan w:val="5"/>
            <w:shd w:val="clear" w:color="auto" w:fill="auto"/>
            <w:vAlign w:val="center"/>
          </w:tcPr>
          <w:p w14:paraId="47AB691D" w14:textId="77777777" w:rsidR="00C4624A" w:rsidRPr="00195EC3" w:rsidRDefault="00C4624A" w:rsidP="00461AA0">
            <w:pPr>
              <w:pStyle w:val="Text1"/>
              <w:spacing w:beforeLines="20" w:before="48" w:afterLines="20" w:after="48"/>
              <w:ind w:left="136"/>
              <w:jc w:val="left"/>
              <w:rPr>
                <w:noProof/>
                <w:sz w:val="16"/>
              </w:rPr>
            </w:pPr>
            <w:r w:rsidRPr="00195EC3">
              <w:rPr>
                <w:noProof/>
                <w:sz w:val="16"/>
              </w:rPr>
              <w:t>Altre linee di bilancio (specificare)</w:t>
            </w:r>
          </w:p>
        </w:tc>
        <w:tc>
          <w:tcPr>
            <w:tcW w:w="731" w:type="dxa"/>
            <w:shd w:val="clear" w:color="auto" w:fill="auto"/>
            <w:vAlign w:val="center"/>
          </w:tcPr>
          <w:p w14:paraId="15EC5DE5"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27DAE44C"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137503BD" w14:textId="77777777" w:rsidR="00C4624A" w:rsidRPr="00195EC3" w:rsidRDefault="00C4624A" w:rsidP="00461AA0">
            <w:pPr>
              <w:spacing w:beforeLines="20" w:before="48" w:afterLines="20" w:after="48"/>
              <w:jc w:val="center"/>
              <w:rPr>
                <w:noProof/>
                <w:sz w:val="16"/>
                <w:szCs w:val="16"/>
              </w:rPr>
            </w:pPr>
          </w:p>
        </w:tc>
        <w:tc>
          <w:tcPr>
            <w:tcW w:w="731" w:type="dxa"/>
            <w:shd w:val="clear" w:color="auto" w:fill="auto"/>
            <w:vAlign w:val="center"/>
          </w:tcPr>
          <w:p w14:paraId="0B1D321F" w14:textId="77777777" w:rsidR="00C4624A" w:rsidRPr="00195EC3" w:rsidRDefault="00C4624A" w:rsidP="00461AA0">
            <w:pPr>
              <w:spacing w:beforeLines="20" w:before="48" w:afterLines="20" w:after="48"/>
              <w:jc w:val="center"/>
              <w:rPr>
                <w:noProof/>
                <w:sz w:val="16"/>
                <w:szCs w:val="16"/>
              </w:rPr>
            </w:pPr>
          </w:p>
        </w:tc>
        <w:tc>
          <w:tcPr>
            <w:tcW w:w="785" w:type="dxa"/>
          </w:tcPr>
          <w:p w14:paraId="7A18752C" w14:textId="77777777" w:rsidR="00C4624A" w:rsidRPr="00195EC3" w:rsidRDefault="00C4624A" w:rsidP="00461AA0">
            <w:pPr>
              <w:spacing w:beforeLines="20" w:before="48" w:afterLines="20" w:after="48"/>
              <w:jc w:val="center"/>
              <w:rPr>
                <w:noProof/>
                <w:sz w:val="16"/>
                <w:szCs w:val="16"/>
              </w:rPr>
            </w:pPr>
          </w:p>
        </w:tc>
        <w:tc>
          <w:tcPr>
            <w:tcW w:w="850" w:type="dxa"/>
          </w:tcPr>
          <w:p w14:paraId="175415BE" w14:textId="77777777" w:rsidR="00C4624A" w:rsidRPr="00195EC3" w:rsidRDefault="00C4624A" w:rsidP="00461AA0">
            <w:pPr>
              <w:spacing w:beforeLines="20" w:before="48" w:afterLines="20" w:after="48"/>
              <w:jc w:val="center"/>
              <w:rPr>
                <w:noProof/>
                <w:sz w:val="16"/>
                <w:szCs w:val="16"/>
              </w:rPr>
            </w:pPr>
          </w:p>
        </w:tc>
        <w:tc>
          <w:tcPr>
            <w:tcW w:w="993" w:type="dxa"/>
            <w:shd w:val="clear" w:color="auto" w:fill="auto"/>
            <w:vAlign w:val="center"/>
          </w:tcPr>
          <w:p w14:paraId="0FD2DE23" w14:textId="77777777" w:rsidR="00C4624A" w:rsidRPr="00195EC3" w:rsidRDefault="00C4624A" w:rsidP="00461AA0">
            <w:pPr>
              <w:spacing w:beforeLines="20" w:before="48" w:afterLines="20" w:after="48"/>
              <w:jc w:val="center"/>
              <w:rPr>
                <w:noProof/>
                <w:sz w:val="16"/>
                <w:szCs w:val="16"/>
              </w:rPr>
            </w:pPr>
          </w:p>
        </w:tc>
      </w:tr>
      <w:tr w:rsidR="00C4624A" w:rsidRPr="00195EC3" w14:paraId="523E177B" w14:textId="77777777" w:rsidTr="00461AA0">
        <w:trPr>
          <w:gridBefore w:val="1"/>
          <w:wBefore w:w="15" w:type="dxa"/>
          <w:trHeight w:val="289"/>
          <w:jc w:val="center"/>
        </w:trPr>
        <w:tc>
          <w:tcPr>
            <w:tcW w:w="4754" w:type="dxa"/>
            <w:gridSpan w:val="5"/>
            <w:tcBorders>
              <w:top w:val="double" w:sz="4" w:space="0" w:color="auto"/>
            </w:tcBorders>
            <w:shd w:val="clear" w:color="auto" w:fill="auto"/>
            <w:vAlign w:val="center"/>
          </w:tcPr>
          <w:p w14:paraId="579F3A1A" w14:textId="77777777" w:rsidR="00C4624A" w:rsidRPr="00195EC3" w:rsidRDefault="00C4624A" w:rsidP="00461AA0">
            <w:pPr>
              <w:pStyle w:val="Text1"/>
              <w:spacing w:beforeLines="20" w:before="48" w:afterLines="20" w:after="48"/>
              <w:ind w:left="136"/>
              <w:jc w:val="left"/>
              <w:rPr>
                <w:noProof/>
                <w:sz w:val="16"/>
                <w:szCs w:val="16"/>
              </w:rPr>
            </w:pPr>
            <w:r w:rsidRPr="00195EC3">
              <w:rPr>
                <w:b/>
                <w:noProof/>
                <w:sz w:val="16"/>
              </w:rPr>
              <w:t>TOTALE</w:t>
            </w:r>
          </w:p>
        </w:tc>
        <w:tc>
          <w:tcPr>
            <w:tcW w:w="731" w:type="dxa"/>
            <w:tcBorders>
              <w:top w:val="double" w:sz="4" w:space="0" w:color="auto"/>
            </w:tcBorders>
            <w:shd w:val="clear" w:color="auto" w:fill="auto"/>
            <w:vAlign w:val="center"/>
          </w:tcPr>
          <w:p w14:paraId="1284CC1E" w14:textId="77777777" w:rsidR="00C4624A" w:rsidRPr="00195EC3" w:rsidRDefault="00C4624A" w:rsidP="00461AA0">
            <w:pPr>
              <w:spacing w:beforeLines="20" w:before="48" w:afterLines="20" w:after="48"/>
              <w:jc w:val="center"/>
              <w:rPr>
                <w:b/>
                <w:bCs/>
                <w:noProof/>
                <w:sz w:val="16"/>
                <w:szCs w:val="16"/>
              </w:rPr>
            </w:pPr>
            <w:r w:rsidRPr="00195EC3">
              <w:rPr>
                <w:noProof/>
                <w:sz w:val="16"/>
              </w:rPr>
              <w:t>5,4</w:t>
            </w:r>
          </w:p>
        </w:tc>
        <w:tc>
          <w:tcPr>
            <w:tcW w:w="731" w:type="dxa"/>
            <w:tcBorders>
              <w:top w:val="double" w:sz="4" w:space="0" w:color="auto"/>
            </w:tcBorders>
            <w:shd w:val="clear" w:color="auto" w:fill="auto"/>
            <w:vAlign w:val="center"/>
          </w:tcPr>
          <w:p w14:paraId="0B97581E" w14:textId="77777777" w:rsidR="00C4624A" w:rsidRPr="00195EC3" w:rsidRDefault="00C4624A" w:rsidP="00461AA0">
            <w:pPr>
              <w:spacing w:beforeLines="20" w:before="48" w:afterLines="20" w:after="48"/>
              <w:jc w:val="center"/>
              <w:rPr>
                <w:b/>
                <w:bCs/>
                <w:noProof/>
                <w:sz w:val="16"/>
                <w:szCs w:val="16"/>
              </w:rPr>
            </w:pPr>
            <w:r w:rsidRPr="00195EC3">
              <w:rPr>
                <w:noProof/>
                <w:sz w:val="16"/>
              </w:rPr>
              <w:t>2,7</w:t>
            </w:r>
          </w:p>
        </w:tc>
        <w:tc>
          <w:tcPr>
            <w:tcW w:w="731" w:type="dxa"/>
            <w:tcBorders>
              <w:top w:val="double" w:sz="4" w:space="0" w:color="auto"/>
            </w:tcBorders>
            <w:shd w:val="clear" w:color="auto" w:fill="auto"/>
            <w:vAlign w:val="center"/>
          </w:tcPr>
          <w:p w14:paraId="481C39BC" w14:textId="77777777" w:rsidR="00C4624A" w:rsidRPr="00195EC3" w:rsidRDefault="00C4624A" w:rsidP="00461AA0">
            <w:pPr>
              <w:spacing w:beforeLines="20" w:before="48" w:afterLines="20" w:after="48"/>
              <w:jc w:val="center"/>
              <w:rPr>
                <w:b/>
                <w:bCs/>
                <w:noProof/>
                <w:sz w:val="16"/>
                <w:szCs w:val="16"/>
              </w:rPr>
            </w:pPr>
            <w:r w:rsidRPr="00195EC3">
              <w:rPr>
                <w:noProof/>
                <w:sz w:val="16"/>
              </w:rPr>
              <w:t>2,7</w:t>
            </w:r>
          </w:p>
        </w:tc>
        <w:tc>
          <w:tcPr>
            <w:tcW w:w="731" w:type="dxa"/>
            <w:tcBorders>
              <w:top w:val="double" w:sz="4" w:space="0" w:color="auto"/>
            </w:tcBorders>
            <w:shd w:val="clear" w:color="auto" w:fill="auto"/>
            <w:vAlign w:val="center"/>
          </w:tcPr>
          <w:p w14:paraId="7DDFBC08" w14:textId="77777777" w:rsidR="00C4624A" w:rsidRPr="00195EC3" w:rsidRDefault="00C4624A" w:rsidP="00461AA0">
            <w:pPr>
              <w:spacing w:beforeLines="20" w:before="48" w:afterLines="20" w:after="48"/>
              <w:jc w:val="center"/>
              <w:rPr>
                <w:b/>
                <w:bCs/>
                <w:noProof/>
                <w:sz w:val="16"/>
                <w:szCs w:val="16"/>
              </w:rPr>
            </w:pPr>
            <w:r w:rsidRPr="00195EC3">
              <w:rPr>
                <w:noProof/>
                <w:sz w:val="16"/>
              </w:rPr>
              <w:t>0,45</w:t>
            </w:r>
          </w:p>
        </w:tc>
        <w:tc>
          <w:tcPr>
            <w:tcW w:w="785" w:type="dxa"/>
            <w:tcBorders>
              <w:top w:val="double" w:sz="4" w:space="0" w:color="auto"/>
            </w:tcBorders>
            <w:vAlign w:val="center"/>
          </w:tcPr>
          <w:p w14:paraId="0B3D7DD7" w14:textId="77777777" w:rsidR="00C4624A" w:rsidRPr="00195EC3" w:rsidRDefault="00C4624A" w:rsidP="00461AA0">
            <w:pPr>
              <w:spacing w:beforeLines="20" w:before="48" w:afterLines="20" w:after="48"/>
              <w:jc w:val="center"/>
              <w:rPr>
                <w:b/>
                <w:bCs/>
                <w:noProof/>
                <w:sz w:val="16"/>
                <w:szCs w:val="16"/>
              </w:rPr>
            </w:pPr>
            <w:r w:rsidRPr="00195EC3">
              <w:rPr>
                <w:noProof/>
                <w:sz w:val="16"/>
              </w:rPr>
              <w:t>0,45</w:t>
            </w:r>
          </w:p>
        </w:tc>
        <w:tc>
          <w:tcPr>
            <w:tcW w:w="850" w:type="dxa"/>
            <w:tcBorders>
              <w:top w:val="double" w:sz="4" w:space="0" w:color="auto"/>
            </w:tcBorders>
            <w:vAlign w:val="center"/>
          </w:tcPr>
          <w:p w14:paraId="51114931" w14:textId="77777777" w:rsidR="00C4624A" w:rsidRPr="00195EC3" w:rsidRDefault="00C4624A" w:rsidP="00461AA0">
            <w:pPr>
              <w:spacing w:beforeLines="20" w:before="48" w:afterLines="20" w:after="48"/>
              <w:jc w:val="center"/>
              <w:rPr>
                <w:b/>
                <w:bCs/>
                <w:noProof/>
                <w:sz w:val="16"/>
                <w:szCs w:val="16"/>
              </w:rPr>
            </w:pPr>
            <w:r w:rsidRPr="00195EC3">
              <w:rPr>
                <w:noProof/>
                <w:sz w:val="16"/>
              </w:rPr>
              <w:t>0,45</w:t>
            </w:r>
          </w:p>
        </w:tc>
        <w:tc>
          <w:tcPr>
            <w:tcW w:w="993" w:type="dxa"/>
            <w:tcBorders>
              <w:top w:val="double" w:sz="4" w:space="0" w:color="auto"/>
            </w:tcBorders>
            <w:shd w:val="clear" w:color="auto" w:fill="auto"/>
            <w:vAlign w:val="center"/>
          </w:tcPr>
          <w:p w14:paraId="1F31BD76" w14:textId="77777777" w:rsidR="00C4624A" w:rsidRPr="00195EC3" w:rsidRDefault="00C4624A" w:rsidP="00461AA0">
            <w:pPr>
              <w:spacing w:beforeLines="20" w:before="48" w:afterLines="20" w:after="48"/>
              <w:jc w:val="center"/>
              <w:rPr>
                <w:b/>
                <w:bCs/>
                <w:noProof/>
                <w:sz w:val="16"/>
                <w:szCs w:val="16"/>
              </w:rPr>
            </w:pPr>
            <w:r w:rsidRPr="00195EC3">
              <w:rPr>
                <w:noProof/>
                <w:sz w:val="16"/>
              </w:rPr>
              <w:t>12,15</w:t>
            </w:r>
          </w:p>
        </w:tc>
      </w:tr>
    </w:tbl>
    <w:p w14:paraId="3317ABB1" w14:textId="77777777" w:rsidR="00C4624A" w:rsidRPr="00195EC3" w:rsidRDefault="00C4624A" w:rsidP="00C4624A">
      <w:pPr>
        <w:pStyle w:val="Text1"/>
        <w:spacing w:before="60" w:after="60"/>
        <w:ind w:left="851"/>
        <w:rPr>
          <w:noProof/>
          <w:sz w:val="18"/>
          <w:szCs w:val="18"/>
        </w:rPr>
      </w:pPr>
      <w:r w:rsidRPr="00195EC3">
        <w:rPr>
          <w:b/>
          <w:noProof/>
          <w:sz w:val="18"/>
        </w:rPr>
        <w:t>XX</w:t>
      </w:r>
      <w:r w:rsidRPr="00195EC3">
        <w:rPr>
          <w:noProof/>
          <w:sz w:val="18"/>
        </w:rPr>
        <w:t xml:space="preserve"> è il settore o il titolo di bilancio interessato.</w:t>
      </w:r>
    </w:p>
    <w:p w14:paraId="2E226F42" w14:textId="77777777" w:rsidR="00C4624A" w:rsidRPr="00195EC3" w:rsidRDefault="00C4624A" w:rsidP="00C4624A">
      <w:pPr>
        <w:pStyle w:val="Text1"/>
        <w:rPr>
          <w:noProof/>
          <w:sz w:val="18"/>
          <w:szCs w:val="18"/>
        </w:rPr>
      </w:pPr>
      <w:r w:rsidRPr="00195EC3">
        <w:rPr>
          <w:noProof/>
          <w:sz w:val="18"/>
        </w:rPr>
        <w:t>Il fabbisogno di risorse umane è coperto dal personale della DG già assegnato alla gestione dell'azione e/o riassegnato all'interno della stessa DG, integrato dall'eventuale dotazione supplementare concessa alla DG responsabile nell'ambito della procedura annuale di assegnazione, tenendo conto dei vincoli di bilancio.</w:t>
      </w:r>
    </w:p>
    <w:p w14:paraId="7A12F52A" w14:textId="77777777" w:rsidR="00C4624A" w:rsidRPr="00195EC3" w:rsidRDefault="00C4624A" w:rsidP="00C4624A">
      <w:pPr>
        <w:rPr>
          <w:noProof/>
          <w:sz w:val="20"/>
        </w:rPr>
      </w:pPr>
      <w:r w:rsidRPr="00195EC3">
        <w:rPr>
          <w:noProof/>
          <w:sz w:val="20"/>
        </w:rPr>
        <w:t>Descrizione dei compiti da svolgere: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C4624A" w:rsidRPr="00195EC3" w14:paraId="7BA65B2D" w14:textId="77777777" w:rsidTr="00461AA0">
        <w:tc>
          <w:tcPr>
            <w:tcW w:w="3240" w:type="dxa"/>
          </w:tcPr>
          <w:p w14:paraId="44544352" w14:textId="77777777" w:rsidR="00C4624A" w:rsidRPr="00195EC3" w:rsidRDefault="00C4624A" w:rsidP="00461AA0">
            <w:pPr>
              <w:rPr>
                <w:noProof/>
                <w:sz w:val="20"/>
              </w:rPr>
            </w:pPr>
            <w:r w:rsidRPr="00195EC3">
              <w:rPr>
                <w:noProof/>
                <w:sz w:val="20"/>
              </w:rPr>
              <w:t>Funzionari e agenti temporanei</w:t>
            </w:r>
          </w:p>
        </w:tc>
        <w:tc>
          <w:tcPr>
            <w:tcW w:w="7200" w:type="dxa"/>
          </w:tcPr>
          <w:p w14:paraId="6FA76C64" w14:textId="77777777" w:rsidR="00C4624A" w:rsidRPr="00195EC3" w:rsidRDefault="00C4624A" w:rsidP="00461AA0">
            <w:pPr>
              <w:spacing w:after="200"/>
              <w:rPr>
                <w:noProof/>
                <w:sz w:val="20"/>
                <w:szCs w:val="20"/>
              </w:rPr>
            </w:pPr>
            <w:r w:rsidRPr="00195EC3">
              <w:rPr>
                <w:noProof/>
                <w:sz w:val="20"/>
              </w:rPr>
              <w:t>Direttore Dir. D: controllare e gestire l'operazione, tenere i contatti con il Consiglio e il Parlamento per l'adozione della decisione e l'approvazione del protocollo d'intesa, negoziare il protocollo d'intesa con le autorità ucraine, esaminare le relazioni, dirigere missioni e valutare l'andamento dell'osservanza della condizionalità.</w:t>
            </w:r>
          </w:p>
          <w:p w14:paraId="04F61CBC" w14:textId="77777777" w:rsidR="00C4624A" w:rsidRPr="00195EC3" w:rsidRDefault="00C4624A" w:rsidP="00461AA0">
            <w:pPr>
              <w:spacing w:after="200"/>
              <w:rPr>
                <w:noProof/>
                <w:sz w:val="20"/>
                <w:szCs w:val="20"/>
              </w:rPr>
            </w:pPr>
            <w:r w:rsidRPr="00195EC3">
              <w:rPr>
                <w:noProof/>
                <w:sz w:val="20"/>
              </w:rPr>
              <w:t xml:space="preserve">Capounità/capounità aggiunto Dir. D: assistere il direttore nel gestire l'operazione, nel tenere i contatti con il Consiglio e il Parlamento per l'adozione della decisione e l'approvazione del protocollo d'intesa, nel negoziare con le autorità ucraine il protocollo d'intesa e l'accordo di prestito (insieme alla DG BUDGET), nell'esaminare le relazioni e nel valutare l'andamento dell'osservanza della condizionalità. </w:t>
            </w:r>
          </w:p>
          <w:p w14:paraId="70B91B0E" w14:textId="77777777" w:rsidR="00C4624A" w:rsidRPr="00195EC3" w:rsidRDefault="00C4624A" w:rsidP="00461AA0">
            <w:pPr>
              <w:rPr>
                <w:noProof/>
                <w:sz w:val="20"/>
                <w:szCs w:val="20"/>
              </w:rPr>
            </w:pPr>
            <w:r w:rsidRPr="00195EC3">
              <w:rPr>
                <w:noProof/>
                <w:sz w:val="20"/>
              </w:rPr>
              <w:t xml:space="preserve">Economisti, settore AMF (Dir. D): preparare la decisione e il protocollo d'intesa, tenere i contatti con le autorità e le IFI, condurre missioni di verifica, preparare le relazioni dei servizi della Commissione e le procedure della Commissione connesse alla gestione dell'assistenza, tenere i contatti con gli esperti esterni per la valutazione operativa e la valutazione ex post. </w:t>
            </w:r>
          </w:p>
          <w:p w14:paraId="084FE239" w14:textId="77777777" w:rsidR="00C4624A" w:rsidRPr="00195EC3" w:rsidRDefault="00C4624A" w:rsidP="00461AA0">
            <w:pPr>
              <w:rPr>
                <w:noProof/>
                <w:sz w:val="20"/>
              </w:rPr>
            </w:pPr>
            <w:r w:rsidRPr="00195EC3">
              <w:rPr>
                <w:noProof/>
                <w:sz w:val="20"/>
              </w:rPr>
              <w:t>DG BUDGET (Unità E1, E3 sotto la supervisione del direttore): preparare l'accordo di prestito, negoziarlo con le autorità ucraine, farlo approvare dai servizi competenti della Commissione e farlo firmare da entrambe le parti. Dare seguito all'entrata in vigore dell'accordo di prestito. Preparare la o le decisioni della Commissione sull'operazione o le operazioni di assunzione del prestito, dare seguito alla presentazione della o delle richieste di fondi, selezionare le banche, preparare ed eseguire la o le operazioni di finanziamento ed erogare i fondi all'Ucraina. Svolgere le attività di back-office per seguire il rimborso del prestito/dei prestiti. Preparare le relazioni su queste attività.</w:t>
            </w:r>
          </w:p>
        </w:tc>
      </w:tr>
      <w:tr w:rsidR="00C4624A" w:rsidRPr="00195EC3" w14:paraId="1C00F45F" w14:textId="77777777" w:rsidTr="00461AA0">
        <w:tc>
          <w:tcPr>
            <w:tcW w:w="3240" w:type="dxa"/>
          </w:tcPr>
          <w:p w14:paraId="3804CF93" w14:textId="77777777" w:rsidR="00C4624A" w:rsidRPr="00195EC3" w:rsidRDefault="00C4624A" w:rsidP="00461AA0">
            <w:pPr>
              <w:spacing w:before="60" w:after="60"/>
              <w:rPr>
                <w:noProof/>
                <w:sz w:val="20"/>
              </w:rPr>
            </w:pPr>
            <w:r w:rsidRPr="00195EC3">
              <w:rPr>
                <w:noProof/>
                <w:sz w:val="20"/>
              </w:rPr>
              <w:t>Personale esterno</w:t>
            </w:r>
          </w:p>
        </w:tc>
        <w:tc>
          <w:tcPr>
            <w:tcW w:w="7200" w:type="dxa"/>
          </w:tcPr>
          <w:p w14:paraId="2B9C088E" w14:textId="77777777" w:rsidR="00C4624A" w:rsidRPr="00195EC3" w:rsidRDefault="00C4624A" w:rsidP="00461AA0">
            <w:pPr>
              <w:rPr>
                <w:noProof/>
                <w:sz w:val="20"/>
              </w:rPr>
            </w:pPr>
            <w:r w:rsidRPr="00195EC3">
              <w:rPr>
                <w:noProof/>
                <w:sz w:val="20"/>
              </w:rPr>
              <w:t>-</w:t>
            </w:r>
          </w:p>
        </w:tc>
      </w:tr>
    </w:tbl>
    <w:p w14:paraId="6BABB09C" w14:textId="77777777" w:rsidR="00C4624A" w:rsidRPr="00195EC3" w:rsidRDefault="00C4624A" w:rsidP="00C4624A">
      <w:pPr>
        <w:rPr>
          <w:noProof/>
        </w:rPr>
      </w:pPr>
    </w:p>
    <w:p w14:paraId="34A3312E" w14:textId="5D632CEF" w:rsidR="00C4624A" w:rsidRPr="00195EC3" w:rsidRDefault="00E7408C" w:rsidP="00E7408C">
      <w:pPr>
        <w:pStyle w:val="ManualHeading3"/>
        <w:rPr>
          <w:noProof/>
        </w:rPr>
      </w:pPr>
      <w:bookmarkStart w:id="65" w:name="_Toc514938056"/>
      <w:bookmarkStart w:id="66" w:name="_Toc520485055"/>
      <w:r w:rsidRPr="00E7408C">
        <w:t>3.2.4.</w:t>
      </w:r>
      <w:r w:rsidRPr="00E7408C">
        <w:tab/>
      </w:r>
      <w:r w:rsidR="00C4624A" w:rsidRPr="00195EC3">
        <w:rPr>
          <w:noProof/>
        </w:rPr>
        <w:t>Compatibilità con il quadro finanziario pluriennale attuale</w:t>
      </w:r>
      <w:bookmarkEnd w:id="65"/>
      <w:bookmarkEnd w:id="66"/>
      <w:r w:rsidR="00C4624A" w:rsidRPr="00195EC3">
        <w:rPr>
          <w:noProof/>
        </w:rPr>
        <w:t xml:space="preserve"> </w:t>
      </w:r>
    </w:p>
    <w:p w14:paraId="73A289C0" w14:textId="77777777" w:rsidR="00C4624A" w:rsidRPr="00195EC3" w:rsidRDefault="00C4624A" w:rsidP="00C4624A">
      <w:pPr>
        <w:pStyle w:val="Text1"/>
        <w:rPr>
          <w:noProof/>
        </w:rPr>
      </w:pPr>
      <w:r w:rsidRPr="00195EC3">
        <w:rPr>
          <w:noProof/>
        </w:rPr>
        <w:t>La proposta/iniziativa:</w:t>
      </w:r>
    </w:p>
    <w:p w14:paraId="3D8B7500" w14:textId="77777777" w:rsidR="00C4624A" w:rsidRPr="00195EC3" w:rsidRDefault="00C4624A" w:rsidP="00C4624A">
      <w:pPr>
        <w:pStyle w:val="ListDash1"/>
        <w:rPr>
          <w:noProof/>
        </w:rPr>
      </w:pPr>
      <w:r w:rsidRPr="00195EC3">
        <w:rPr>
          <w:rFonts w:ascii="Wingdings" w:hAnsi="Wingdings"/>
          <w:noProof/>
        </w:rPr>
        <w:t></w:t>
      </w:r>
      <w:r w:rsidRPr="00195EC3">
        <w:rPr>
          <w:noProof/>
        </w:rPr>
        <w:tab/>
        <w:t>può essere interamente finanziata mediante riassegnazione all'interno della pertinente rubrica del quadro finanziario pluriennale (QFP).</w:t>
      </w:r>
    </w:p>
    <w:p w14:paraId="2A144A5B" w14:textId="77777777" w:rsidR="00C4624A" w:rsidRPr="00195EC3" w:rsidRDefault="00C4624A" w:rsidP="00C4624A">
      <w:pPr>
        <w:rPr>
          <w:noProof/>
        </w:rPr>
      </w:pPr>
    </w:p>
    <w:p w14:paraId="6775583A" w14:textId="2AAA2BE8" w:rsidR="00C4624A" w:rsidRPr="00195EC3" w:rsidRDefault="00E7408C" w:rsidP="00E7408C">
      <w:pPr>
        <w:pStyle w:val="ManualHeading3"/>
        <w:rPr>
          <w:noProof/>
          <w:szCs w:val="24"/>
        </w:rPr>
      </w:pPr>
      <w:bookmarkStart w:id="67" w:name="_Toc514938058"/>
      <w:bookmarkStart w:id="68" w:name="_Toc520485056"/>
      <w:r w:rsidRPr="00E7408C">
        <w:t>3.2.5.</w:t>
      </w:r>
      <w:r w:rsidRPr="00E7408C">
        <w:tab/>
      </w:r>
      <w:r w:rsidR="00C4624A" w:rsidRPr="00195EC3">
        <w:rPr>
          <w:noProof/>
        </w:rPr>
        <w:t>Partecipazione di terzi al finanziamento</w:t>
      </w:r>
      <w:bookmarkEnd w:id="67"/>
      <w:bookmarkEnd w:id="68"/>
      <w:r w:rsidR="00C4624A" w:rsidRPr="00195EC3">
        <w:rPr>
          <w:noProof/>
        </w:rPr>
        <w:t xml:space="preserve"> </w:t>
      </w:r>
    </w:p>
    <w:p w14:paraId="1BC69ABD" w14:textId="77777777" w:rsidR="00C4624A" w:rsidRPr="00195EC3" w:rsidRDefault="00C4624A" w:rsidP="00C4624A">
      <w:pPr>
        <w:pStyle w:val="Text1"/>
        <w:rPr>
          <w:noProof/>
        </w:rPr>
      </w:pPr>
      <w:r w:rsidRPr="00195EC3">
        <w:rPr>
          <w:noProof/>
        </w:rPr>
        <w:t>La proposta/iniziativa:</w:t>
      </w:r>
    </w:p>
    <w:p w14:paraId="2D2B0D31" w14:textId="77777777" w:rsidR="00C4624A" w:rsidRPr="00195EC3" w:rsidRDefault="00C4624A" w:rsidP="00C4624A">
      <w:pPr>
        <w:pStyle w:val="ListDash1"/>
        <w:rPr>
          <w:noProof/>
        </w:rPr>
      </w:pPr>
      <w:r w:rsidRPr="00195EC3">
        <w:rPr>
          <w:rFonts w:ascii="Wingdings" w:hAnsi="Wingdings"/>
          <w:noProof/>
        </w:rPr>
        <w:t></w:t>
      </w:r>
      <w:r w:rsidRPr="00195EC3">
        <w:rPr>
          <w:noProof/>
        </w:rPr>
        <w:tab/>
        <w:t>non prevede cofinanziamenti da terzi</w:t>
      </w:r>
    </w:p>
    <w:p w14:paraId="67A5E40B" w14:textId="77777777" w:rsidR="00C4624A" w:rsidRPr="00195EC3" w:rsidRDefault="00C4624A" w:rsidP="00C4624A">
      <w:pPr>
        <w:rPr>
          <w:noProof/>
        </w:rPr>
      </w:pPr>
      <w:r w:rsidRPr="00195EC3">
        <w:rPr>
          <w:noProof/>
        </w:rPr>
        <w:t>La proposta include una partecipazione degli Stati membri sotto forma di garanzie, individuata come strumento di protezione adeguato che viene ad aggiungersi alla copertura del 9 % del bilancio dell'UE. La copertura ai fini di tali garanzie dovrebbe essere inclusa nell'importo della passività finanziaria autorizzata in deroga all'articolo 211, paragrafo 1, primo comma, del regolamento finanziario. Gli importi dell'attivazione delle garanzie dovrebbero essere utilizzati per adempiere gli obblighi finanziari dell'Unione derivanti dai prestiti e per ricostituire il fondo comune di copertura.</w:t>
      </w:r>
    </w:p>
    <w:p w14:paraId="622A72A1" w14:textId="77777777" w:rsidR="00C4624A" w:rsidRPr="00195EC3" w:rsidRDefault="00C4624A" w:rsidP="00C4624A">
      <w:pPr>
        <w:rPr>
          <w:noProof/>
        </w:rPr>
      </w:pPr>
    </w:p>
    <w:p w14:paraId="117C7544" w14:textId="6C7DA184" w:rsidR="00C4624A" w:rsidRPr="00195EC3" w:rsidRDefault="00E7408C" w:rsidP="00E7408C">
      <w:pPr>
        <w:pStyle w:val="ManualHeading2"/>
        <w:rPr>
          <w:bCs/>
          <w:noProof/>
          <w:szCs w:val="24"/>
        </w:rPr>
      </w:pPr>
      <w:bookmarkStart w:id="69" w:name="_Toc514938059"/>
      <w:bookmarkStart w:id="70" w:name="_Toc520485057"/>
      <w:r w:rsidRPr="00E7408C">
        <w:t>3.3.</w:t>
      </w:r>
      <w:r w:rsidRPr="00E7408C">
        <w:tab/>
      </w:r>
      <w:r w:rsidR="00C4624A" w:rsidRPr="00195EC3">
        <w:rPr>
          <w:noProof/>
        </w:rPr>
        <w:t>Incidenza prevista sulle entrate</w:t>
      </w:r>
      <w:bookmarkEnd w:id="69"/>
      <w:bookmarkEnd w:id="70"/>
      <w:r w:rsidR="00C4624A" w:rsidRPr="00195EC3">
        <w:rPr>
          <w:noProof/>
        </w:rPr>
        <w:t xml:space="preserve"> </w:t>
      </w:r>
    </w:p>
    <w:p w14:paraId="1F5B33A5" w14:textId="0AECCE6B" w:rsidR="00D518F3" w:rsidRPr="00195EC3" w:rsidRDefault="00C4624A" w:rsidP="00C42293">
      <w:pPr>
        <w:rPr>
          <w:noProof/>
        </w:rPr>
      </w:pPr>
      <w:r w:rsidRPr="00195EC3">
        <w:rPr>
          <w:rFonts w:ascii="Wingdings" w:hAnsi="Wingdings"/>
          <w:noProof/>
        </w:rPr>
        <w:t></w:t>
      </w:r>
      <w:r w:rsidRPr="00195EC3">
        <w:rPr>
          <w:noProof/>
        </w:rPr>
        <w:tab/>
        <w:t>La proposta/iniziativa non ha incidenza finanziaria sulle entrate.</w:t>
      </w:r>
    </w:p>
    <w:sectPr w:rsidR="00D518F3" w:rsidRPr="00195EC3" w:rsidSect="003A691C">
      <w:pgSz w:w="11907" w:h="16840" w:code="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47E19" w14:textId="77777777" w:rsidR="00B26C7E" w:rsidRDefault="00B26C7E" w:rsidP="00F152DC">
      <w:pPr>
        <w:spacing w:before="0" w:after="0"/>
      </w:pPr>
      <w:r>
        <w:separator/>
      </w:r>
    </w:p>
  </w:endnote>
  <w:endnote w:type="continuationSeparator" w:id="0">
    <w:p w14:paraId="2E584D52" w14:textId="77777777" w:rsidR="00B26C7E" w:rsidRDefault="00B26C7E" w:rsidP="00F152DC">
      <w:pPr>
        <w:spacing w:before="0" w:after="0"/>
      </w:pPr>
      <w:r>
        <w:continuationSeparator/>
      </w:r>
    </w:p>
  </w:endnote>
  <w:endnote w:type="continuationNotice" w:id="1">
    <w:p w14:paraId="3136B13F" w14:textId="77777777" w:rsidR="00B26C7E" w:rsidRDefault="00B26C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3657" w14:textId="0765BE92" w:rsidR="00171075" w:rsidRPr="003A691C" w:rsidRDefault="003A691C" w:rsidP="003A691C">
    <w:pPr>
      <w:pStyle w:val="Footer"/>
      <w:rPr>
        <w:rFonts w:ascii="Arial" w:hAnsi="Arial" w:cs="Arial"/>
        <w:b/>
        <w:sz w:val="48"/>
      </w:rPr>
    </w:pPr>
    <w:r w:rsidRPr="003A691C">
      <w:rPr>
        <w:rFonts w:ascii="Arial" w:hAnsi="Arial" w:cs="Arial"/>
        <w:b/>
        <w:sz w:val="48"/>
      </w:rPr>
      <w:t>IT</w:t>
    </w:r>
    <w:r w:rsidRPr="003A691C">
      <w:rPr>
        <w:rFonts w:ascii="Arial" w:hAnsi="Arial" w:cs="Arial"/>
        <w:b/>
        <w:sz w:val="48"/>
      </w:rPr>
      <w:tab/>
    </w:r>
    <w:r w:rsidRPr="003A691C">
      <w:rPr>
        <w:rFonts w:ascii="Arial" w:hAnsi="Arial" w:cs="Arial"/>
        <w:b/>
        <w:sz w:val="48"/>
      </w:rPr>
      <w:tab/>
    </w:r>
    <w:r w:rsidRPr="003A691C">
      <w:tab/>
    </w:r>
    <w:r w:rsidRPr="003A691C">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6514" w14:textId="50EE5F6C" w:rsidR="003A691C" w:rsidRPr="003A691C" w:rsidRDefault="003A691C" w:rsidP="003A691C">
    <w:pPr>
      <w:pStyle w:val="Footer"/>
      <w:rPr>
        <w:rFonts w:ascii="Arial" w:hAnsi="Arial" w:cs="Arial"/>
        <w:b/>
        <w:sz w:val="48"/>
      </w:rPr>
    </w:pPr>
    <w:r w:rsidRPr="003A691C">
      <w:rPr>
        <w:rFonts w:ascii="Arial" w:hAnsi="Arial" w:cs="Arial"/>
        <w:b/>
        <w:sz w:val="48"/>
      </w:rPr>
      <w:t>IT</w:t>
    </w:r>
    <w:r w:rsidRPr="003A691C">
      <w:rPr>
        <w:rFonts w:ascii="Arial" w:hAnsi="Arial" w:cs="Arial"/>
        <w:b/>
        <w:sz w:val="48"/>
      </w:rPr>
      <w:tab/>
    </w:r>
    <w:r>
      <w:fldChar w:fldCharType="begin"/>
    </w:r>
    <w:r>
      <w:instrText xml:space="preserve"> PAGE  \* MERGEFORMAT </w:instrText>
    </w:r>
    <w:r>
      <w:fldChar w:fldCharType="separate"/>
    </w:r>
    <w:r w:rsidR="007A18C3">
      <w:rPr>
        <w:noProof/>
      </w:rPr>
      <w:t>30</w:t>
    </w:r>
    <w:r>
      <w:fldChar w:fldCharType="end"/>
    </w:r>
    <w:r>
      <w:tab/>
    </w:r>
    <w:r w:rsidRPr="003A691C">
      <w:tab/>
    </w:r>
    <w:r w:rsidRPr="003A691C">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AAE6" w14:textId="77777777" w:rsidR="003A691C" w:rsidRPr="003A691C" w:rsidRDefault="003A691C" w:rsidP="003A69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333E" w14:textId="7E6AB014" w:rsidR="003A691C" w:rsidRPr="003A691C" w:rsidRDefault="003A691C" w:rsidP="003A691C">
    <w:pPr>
      <w:pStyle w:val="FooterLandscape"/>
      <w:rPr>
        <w:rFonts w:ascii="Arial" w:hAnsi="Arial" w:cs="Arial"/>
        <w:b/>
        <w:sz w:val="48"/>
      </w:rPr>
    </w:pPr>
    <w:r w:rsidRPr="003A691C">
      <w:rPr>
        <w:rFonts w:ascii="Arial" w:hAnsi="Arial" w:cs="Arial"/>
        <w:b/>
        <w:sz w:val="48"/>
      </w:rPr>
      <w:t>IT</w:t>
    </w:r>
    <w:r w:rsidRPr="003A691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A691C">
      <w:tab/>
    </w:r>
    <w:r w:rsidRPr="003A691C">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5A65" w14:textId="77777777" w:rsidR="003A691C" w:rsidRPr="003A691C" w:rsidRDefault="003A691C" w:rsidP="003A691C">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784ED" w14:textId="42D2CDEC" w:rsidR="00B26C7E" w:rsidRPr="003A691C" w:rsidRDefault="003A691C" w:rsidP="003A691C">
    <w:pPr>
      <w:pStyle w:val="Footer"/>
      <w:rPr>
        <w:rFonts w:ascii="Arial" w:hAnsi="Arial" w:cs="Arial"/>
        <w:b/>
        <w:sz w:val="48"/>
      </w:rPr>
    </w:pPr>
    <w:r w:rsidRPr="003A691C">
      <w:rPr>
        <w:rFonts w:ascii="Arial" w:hAnsi="Arial" w:cs="Arial"/>
        <w:b/>
        <w:sz w:val="48"/>
      </w:rPr>
      <w:t>IT</w:t>
    </w:r>
    <w:r w:rsidRPr="003A691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A691C">
      <w:tab/>
    </w:r>
    <w:r w:rsidRPr="003A691C">
      <w:rPr>
        <w:rFonts w:ascii="Arial" w:hAnsi="Arial" w:cs="Arial"/>
        <w:b/>
        <w:sz w:val="48"/>
      </w:rPr>
      <w:t>IT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2F8D5" w14:textId="77777777" w:rsidR="003A691C" w:rsidRPr="003A691C" w:rsidRDefault="003A691C" w:rsidP="003A6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81E1A" w14:textId="77777777" w:rsidR="00B26C7E" w:rsidRDefault="00B26C7E" w:rsidP="00F152DC">
      <w:pPr>
        <w:spacing w:before="0" w:after="0"/>
      </w:pPr>
      <w:r>
        <w:separator/>
      </w:r>
    </w:p>
  </w:footnote>
  <w:footnote w:type="continuationSeparator" w:id="0">
    <w:p w14:paraId="05A2A8D9" w14:textId="77777777" w:rsidR="00B26C7E" w:rsidRDefault="00B26C7E" w:rsidP="00F152DC">
      <w:pPr>
        <w:spacing w:before="0" w:after="0"/>
      </w:pPr>
      <w:r>
        <w:continuationSeparator/>
      </w:r>
    </w:p>
  </w:footnote>
  <w:footnote w:type="continuationNotice" w:id="1">
    <w:p w14:paraId="0DD88E40" w14:textId="77777777" w:rsidR="00B26C7E" w:rsidRDefault="00B26C7E">
      <w:pPr>
        <w:spacing w:before="0" w:after="0"/>
      </w:pPr>
    </w:p>
  </w:footnote>
  <w:footnote w:id="2">
    <w:p w14:paraId="59311247" w14:textId="55E2A2FF" w:rsidR="00B26C7E" w:rsidRPr="00E61E28" w:rsidRDefault="00B26C7E">
      <w:pPr>
        <w:pStyle w:val="FootnoteText"/>
      </w:pPr>
      <w:r>
        <w:rPr>
          <w:rStyle w:val="FootnoteReference"/>
        </w:rPr>
        <w:footnoteRef/>
      </w:r>
      <w:r>
        <w:tab/>
        <w:t>L'Ucraina ha presentato ufficialmente domanda di adesione all'UE il 28 febbraio 2022, quattro giorni dopo l'invasione russa, ed ha ottenuto dal Consiglio europeo lo status di paese candidato il 23 giugno 2022.</w:t>
      </w:r>
    </w:p>
  </w:footnote>
  <w:footnote w:id="3">
    <w:p w14:paraId="4A970203" w14:textId="77777777" w:rsidR="00B26C7E" w:rsidRPr="00E61E28" w:rsidRDefault="00B26C7E">
      <w:pPr>
        <w:pStyle w:val="FootnoteText"/>
      </w:pPr>
      <w:r>
        <w:rPr>
          <w:rStyle w:val="FootnoteReference"/>
        </w:rPr>
        <w:footnoteRef/>
      </w:r>
      <w:r>
        <w:tab/>
        <w:t>Confermato dall'FMI alla Commissione europea in una lettera di valutazione ricevuta il 3 giugno 2022.</w:t>
      </w:r>
    </w:p>
  </w:footnote>
  <w:footnote w:id="4">
    <w:p w14:paraId="1E350D3A" w14:textId="77777777" w:rsidR="00B26C7E" w:rsidRPr="00363D66" w:rsidRDefault="00B26C7E" w:rsidP="005C20C9">
      <w:pPr>
        <w:pStyle w:val="FootnoteText"/>
      </w:pPr>
      <w:r>
        <w:rPr>
          <w:rStyle w:val="FootnoteReference"/>
        </w:rPr>
        <w:footnoteRef/>
      </w:r>
      <w:r>
        <w:tab/>
        <w:t>In primo luogo, la NBU ha consentito alle banche di vendere valuta estera senza contante così che l'importo fosse depositato per almeno tre mesi senza diritto di scioglimento anticipato. In secondo luogo, sono stati imposti limiti più rigorosi per i prelievi di valuta estera tramite carta così come per i bonifici e i pagamenti sull'estero. In terzo luogo, è stato adattato l'algoritmo per il calcolo delle posizioni aperte in cambi delle banche, con effetto dal 1º agosto 2022.</w:t>
      </w:r>
    </w:p>
  </w:footnote>
  <w:footnote w:id="5">
    <w:p w14:paraId="74491F44" w14:textId="63F4E8A6" w:rsidR="00B26C7E" w:rsidRDefault="00B26C7E" w:rsidP="007F0B43">
      <w:pPr>
        <w:pStyle w:val="FootnoteText"/>
        <w:ind w:left="0" w:firstLine="0"/>
        <w:rPr>
          <w:rFonts w:eastAsia="Times New Roman"/>
          <w:color w:val="000000" w:themeColor="text1"/>
          <w:szCs w:val="24"/>
        </w:rPr>
      </w:pPr>
      <w:r>
        <w:rPr>
          <w:rStyle w:val="FootnoteReference"/>
        </w:rPr>
        <w:footnoteRef/>
      </w:r>
      <w:r>
        <w:tab/>
        <w:t>Fanno parte del gruppo dei creditori dell'Ucraina Canada, Francia, Germania, Giappone, Regno Unito e</w:t>
      </w:r>
      <w:r>
        <w:rPr>
          <w:color w:val="000000" w:themeColor="text1"/>
        </w:rPr>
        <w:t xml:space="preserve"> </w:t>
      </w:r>
      <w:r>
        <w:tab/>
      </w:r>
      <w:r>
        <w:rPr>
          <w:color w:val="000000" w:themeColor="text1"/>
        </w:rPr>
        <w:t xml:space="preserve">Stati Uniti d'America. </w:t>
      </w:r>
      <w:r>
        <w:t>Sono osservatori al gruppo Australia, Austria, Belgio, Brasile, Corea, Danimarca, Finlandia, Irlanda, Israele, Italia, Norvegia, Paesi Bassi, Spagna, Svezia e Svizzera.</w:t>
      </w:r>
    </w:p>
  </w:footnote>
  <w:footnote w:id="6">
    <w:p w14:paraId="3441728F" w14:textId="77777777" w:rsidR="00B26C7E" w:rsidRPr="0027553E" w:rsidRDefault="00B26C7E">
      <w:pPr>
        <w:pStyle w:val="FootnoteText"/>
      </w:pPr>
      <w:r>
        <w:rPr>
          <w:rStyle w:val="FootnoteReference"/>
        </w:rPr>
        <w:footnoteRef/>
      </w:r>
      <w:r>
        <w:tab/>
        <w:t xml:space="preserve">La rata unica dell'AMF eccezionale per un importo fino a 1 miliardo di EUR è stata erogata in due </w:t>
      </w:r>
      <w:r>
        <w:rPr>
          <w:i/>
        </w:rPr>
        <w:t>tranche</w:t>
      </w:r>
      <w:r>
        <w:t xml:space="preserve"> su due giorni consecutivi al fine di ottimizzare il tasso di interesse medio sui fondi presi in prestito.</w:t>
      </w:r>
    </w:p>
  </w:footnote>
  <w:footnote w:id="7">
    <w:p w14:paraId="4DD49F5B" w14:textId="440E75D4" w:rsidR="00B26C7E" w:rsidRDefault="00B26C7E" w:rsidP="008C424D">
      <w:pPr>
        <w:pStyle w:val="FootnoteText"/>
      </w:pPr>
      <w:r>
        <w:rPr>
          <w:rStyle w:val="FootnoteReference"/>
        </w:rPr>
        <w:footnoteRef/>
      </w:r>
      <w:r>
        <w:tab/>
        <w:t>Il ministero delle Finanze ucraino, di concerto con l'FMI, prevede che nel quarto trimestre i fermi impegni assunti dai donatori garantiranno un sostegno al bilancio sufficiente, lievemente superiore a 2 miliardi di USD.</w:t>
      </w:r>
    </w:p>
  </w:footnote>
  <w:footnote w:id="8">
    <w:p w14:paraId="70F243DE" w14:textId="3DF11ED5" w:rsidR="00B26C7E" w:rsidRDefault="00B26C7E" w:rsidP="008C424D">
      <w:pPr>
        <w:pStyle w:val="FootnoteText"/>
        <w:rPr>
          <w:rStyle w:val="Hyperlink"/>
        </w:rPr>
      </w:pPr>
      <w:r>
        <w:rPr>
          <w:rStyle w:val="FootnoteReference"/>
        </w:rPr>
        <w:footnoteRef/>
      </w:r>
      <w:r>
        <w:tab/>
        <w:t xml:space="preserve">Il sito web </w:t>
      </w:r>
      <w:hyperlink r:id="rId1">
        <w:r>
          <w:rPr>
            <w:rStyle w:val="Hyperlink"/>
          </w:rPr>
          <w:t>https://eu-solidarity-ukraine.ec.europa.eu/eu-assistance-ukraine_it</w:t>
        </w:r>
      </w:hyperlink>
      <w:r>
        <w:t xml:space="preserve"> presenta una panoramica de</w:t>
      </w:r>
      <w:r w:rsidR="0064601D">
        <w:t>ll'accresciuto impegno dell'UE.</w:t>
      </w:r>
      <w:r>
        <w:rPr>
          <w:rStyle w:val="Hyperlink"/>
        </w:rPr>
        <w:t xml:space="preserve"> </w:t>
      </w:r>
    </w:p>
  </w:footnote>
  <w:footnote w:id="9">
    <w:p w14:paraId="19228560" w14:textId="01BB4A0B" w:rsidR="00B26C7E" w:rsidRDefault="00B26C7E" w:rsidP="00413FF9">
      <w:pPr>
        <w:pStyle w:val="FootnoteText"/>
      </w:pPr>
      <w:r>
        <w:rPr>
          <w:rStyle w:val="FootnoteReference"/>
        </w:rPr>
        <w:footnoteRef/>
      </w:r>
      <w:r>
        <w:tab/>
        <w:t>Sebbene la guerra abbia ostacolato il rispetto delle condizioni politiche cui era subordinata l'AMF di emergenza, le autorità ucraine hanno nel frattempo compiuto comunque progressi al riguardo, ad esempio con la recente nomina del nuovo capo della Procura specializzata anticorruzione (SAPO) il 28 luglio.</w:t>
      </w:r>
    </w:p>
  </w:footnote>
  <w:footnote w:id="10">
    <w:p w14:paraId="5C6372BD" w14:textId="77777777" w:rsidR="00B26C7E" w:rsidRDefault="00B26C7E" w:rsidP="006745B7">
      <w:pPr>
        <w:pStyle w:val="FootnoteText"/>
      </w:pPr>
      <w:r>
        <w:rPr>
          <w:rStyle w:val="FootnoteReference"/>
        </w:rPr>
        <w:footnoteRef/>
      </w:r>
      <w:r>
        <w:tab/>
      </w:r>
      <w:hyperlink r:id="rId2" w:history="1">
        <w:r>
          <w:rPr>
            <w:rStyle w:val="Hyperlink"/>
          </w:rPr>
          <w:t>Decisione (UE) 2022/1201</w:t>
        </w:r>
      </w:hyperlink>
    </w:p>
  </w:footnote>
  <w:footnote w:id="11">
    <w:p w14:paraId="776C67A6" w14:textId="22C3322B" w:rsidR="00B26C7E" w:rsidRDefault="00B26C7E" w:rsidP="22327288">
      <w:pPr>
        <w:rPr>
          <w:rFonts w:eastAsia="Calibri"/>
          <w:sz w:val="20"/>
          <w:szCs w:val="20"/>
        </w:rPr>
      </w:pPr>
      <w:r>
        <w:rPr>
          <w:rStyle w:val="FootnoteReference"/>
        </w:rPr>
        <w:footnoteRef/>
      </w:r>
      <w:r>
        <w:tab/>
      </w:r>
      <w:r>
        <w:rPr>
          <w:sz w:val="20"/>
        </w:rPr>
        <w:t xml:space="preserve">Regolamento (UE) 2020/672 del Consiglio, del 19 maggio 2020, che istituisce uno strumento europeo di sostegno temporaneo per attenuare i rischi di disoccupazione nello stato di emergenza (SURE) a seguito dell’epidemia di Covid‐19. </w:t>
      </w:r>
    </w:p>
  </w:footnote>
  <w:footnote w:id="12">
    <w:p w14:paraId="76E03225" w14:textId="76AD7F7F" w:rsidR="00B26C7E" w:rsidRPr="00545633" w:rsidRDefault="00B26C7E" w:rsidP="00545633">
      <w:pPr>
        <w:pStyle w:val="FootnoteText"/>
        <w:rPr>
          <w:rFonts w:eastAsia="Calibri"/>
        </w:rPr>
      </w:pPr>
      <w:r>
        <w:rPr>
          <w:rStyle w:val="FootnoteReference"/>
        </w:rPr>
        <w:footnoteRef/>
      </w:r>
      <w:r>
        <w:tab/>
        <w:t>Decisione (UE) 2022/1201 del Parlamento europeo e del Consiglio, del 12 luglio 2022, relativa alla concessione di assistenza macrofinanziaria eccezionale all'Ucraina (GU L 186 del 13.7.2022, pag. 1).</w:t>
      </w:r>
    </w:p>
  </w:footnote>
  <w:footnote w:id="13">
    <w:p w14:paraId="6E35A5B5" w14:textId="68E57B3A" w:rsidR="00B26C7E" w:rsidRPr="002A6852" w:rsidRDefault="00B26C7E" w:rsidP="00264A02">
      <w:pPr>
        <w:pStyle w:val="FootnoteText"/>
        <w:ind w:left="709" w:hanging="709"/>
      </w:pPr>
      <w:r>
        <w:rPr>
          <w:rStyle w:val="FootnoteReference"/>
        </w:rPr>
        <w:footnoteRef/>
      </w:r>
      <w:r>
        <w:tab/>
        <w:t>Decisione (UE) 2022/1201 del Parlamento europeo e del Consiglio, del 12 luglio 2022, relativa alla concessione di assistenza macrofinanziaria eccezionale all'Ucraina (GU L 186 del 13.7.2022, pag. 1).</w:t>
      </w:r>
    </w:p>
  </w:footnote>
  <w:footnote w:id="14">
    <w:p w14:paraId="1B2303EC" w14:textId="77777777" w:rsidR="00B26C7E" w:rsidRDefault="00B26C7E" w:rsidP="007269D1">
      <w:pPr>
        <w:pStyle w:val="FootnoteText"/>
        <w:rPr>
          <w:rFonts w:eastAsia="Calibri"/>
        </w:rPr>
      </w:pPr>
      <w:r>
        <w:rPr>
          <w:rStyle w:val="FootnoteReference"/>
        </w:rPr>
        <w:footnoteRef/>
      </w:r>
      <w:r>
        <w:tab/>
        <w:t>Confermato dall'FMI alla Commissione europea in una lettera di valutazione ricevuta a giugno 2022.</w:t>
      </w:r>
    </w:p>
  </w:footnote>
  <w:footnote w:id="15">
    <w:p w14:paraId="295A2F41" w14:textId="77777777" w:rsidR="00B26C7E" w:rsidRPr="0052006E" w:rsidRDefault="00B26C7E" w:rsidP="00A5323B">
      <w:pPr>
        <w:pStyle w:val="FootnoteText"/>
      </w:pPr>
      <w:r>
        <w:rPr>
          <w:rStyle w:val="FootnoteReference"/>
        </w:rPr>
        <w:footnoteRef/>
      </w:r>
      <w:r>
        <w:tab/>
        <w:t>La garanzia per le azioni esterne vale per le operazioni dell'EFSD + coperte da garanzie di bilancio nell'ambito dell'assistenza macrofinanziaria e dei prestiti ai paesi terzi, di cui all'articolo 10, paragrafo 2, del regolamento (Euratom) 2021/948. L'articolo 31, paragrafo 4, del regolamento NDICI-Europa globale fissa l'importo massimo delle operazioni nell'ambito della garanzia per le azioni esterne a 53 448 800 000 EUR e l'importo massimo della copertura a 10 000 000 EUR.</w:t>
      </w:r>
    </w:p>
  </w:footnote>
  <w:footnote w:id="16">
    <w:p w14:paraId="03D3A523" w14:textId="77777777" w:rsidR="00B26C7E" w:rsidRPr="00E87BDC" w:rsidRDefault="00B26C7E" w:rsidP="00E87BDC">
      <w:pPr>
        <w:pStyle w:val="FootnoteText"/>
      </w:pPr>
      <w:r>
        <w:rPr>
          <w:rStyle w:val="FootnoteReference"/>
        </w:rPr>
        <w:footnoteRef/>
      </w:r>
      <w:r>
        <w:tab/>
      </w:r>
      <w:r>
        <w:rPr>
          <w:color w:val="000000"/>
          <w:sz w:val="19"/>
          <w:shd w:val="clear" w:color="auto" w:fill="FFFFFF"/>
        </w:rPr>
        <w:t>Posizione del Parlamento europeo del 16 febbraio 2022 (non ancora pubblicata nella Gazzetta ufficiale) e decisione del Consiglio del 21 febbraio 2022.</w:t>
      </w:r>
    </w:p>
  </w:footnote>
  <w:footnote w:id="17">
    <w:p w14:paraId="6972DEFE" w14:textId="77777777" w:rsidR="00B26C7E" w:rsidRPr="00653A60" w:rsidRDefault="00B26C7E" w:rsidP="00E87BDC">
      <w:pPr>
        <w:pStyle w:val="FootnoteText"/>
      </w:pPr>
      <w:r>
        <w:rPr>
          <w:rStyle w:val="FootnoteReference"/>
        </w:rPr>
        <w:footnoteRef/>
      </w:r>
      <w:r>
        <w:tab/>
      </w:r>
      <w:r>
        <w:rPr>
          <w:color w:val="000000"/>
          <w:sz w:val="19"/>
          <w:shd w:val="clear" w:color="auto" w:fill="FFFFFF"/>
        </w:rPr>
        <w:t>Accordo di associazione tra l'Unione europea e la Comunità europea dell'energia atomica e i loro Stati membri, da una parte, e l'Ucraina, dall'altra (</w:t>
      </w:r>
      <w:hyperlink r:id="rId3" w:history="1">
        <w:r>
          <w:rPr>
            <w:rStyle w:val="Hyperlink"/>
            <w:color w:val="337AB7"/>
            <w:sz w:val="19"/>
            <w:shd w:val="clear" w:color="auto" w:fill="FFFFFF"/>
          </w:rPr>
          <w:t>GU L 161 del 29.5.2014, pag. 3</w:t>
        </w:r>
      </w:hyperlink>
      <w:r>
        <w:rPr>
          <w:color w:val="000000"/>
          <w:sz w:val="19"/>
          <w:shd w:val="clear" w:color="auto" w:fill="FFFFFF"/>
        </w:rPr>
        <w:t>).</w:t>
      </w:r>
    </w:p>
  </w:footnote>
  <w:footnote w:id="18">
    <w:p w14:paraId="76E1A7B6" w14:textId="77777777" w:rsidR="00B26C7E" w:rsidRPr="00653A60" w:rsidRDefault="00B26C7E" w:rsidP="00E87BDC">
      <w:pPr>
        <w:pStyle w:val="FootnoteText"/>
      </w:pPr>
      <w:r>
        <w:rPr>
          <w:rStyle w:val="FootnoteReference"/>
        </w:rPr>
        <w:footnoteRef/>
      </w:r>
      <w:r>
        <w:tab/>
        <w:t>D</w:t>
      </w:r>
      <w:r>
        <w:rPr>
          <w:color w:val="000000"/>
          <w:sz w:val="19"/>
          <w:shd w:val="clear" w:color="auto" w:fill="FFFFFF"/>
        </w:rPr>
        <w:t>ecisione (UE) 2022/313 del Parlamento europeo e del Consiglio, del 24 febbraio 2022, relativa alla concessione di assistenza macrofinanziaria all'Ucraina (</w:t>
      </w:r>
      <w:hyperlink r:id="rId4" w:history="1">
        <w:r>
          <w:rPr>
            <w:rStyle w:val="Hyperlink"/>
            <w:sz w:val="19"/>
            <w:shd w:val="clear" w:color="auto" w:fill="FFFFFF"/>
          </w:rPr>
          <w:t>GU L 55 del 28.2.2022, pag. 4</w:t>
        </w:r>
      </w:hyperlink>
      <w:r>
        <w:rPr>
          <w:color w:val="000000"/>
          <w:sz w:val="19"/>
          <w:shd w:val="clear" w:color="auto" w:fill="FFFFFF"/>
        </w:rPr>
        <w:t>).</w:t>
      </w:r>
    </w:p>
  </w:footnote>
  <w:footnote w:id="19">
    <w:p w14:paraId="49EBF178" w14:textId="77777777" w:rsidR="00B26C7E" w:rsidRPr="002A6852" w:rsidRDefault="00B26C7E" w:rsidP="00264A02">
      <w:pPr>
        <w:pStyle w:val="FootnoteText"/>
        <w:ind w:left="709" w:hanging="709"/>
      </w:pPr>
      <w:r>
        <w:rPr>
          <w:rStyle w:val="FootnoteReference"/>
        </w:rPr>
        <w:footnoteRef/>
      </w:r>
      <w:r>
        <w:tab/>
        <w:t>Decisione (UE) 2022/1201 del Parlamento europeo e del Consiglio, del 12 luglio 2022, relativa alla concessione di assistenza macrofinanziaria eccezionale all'Ucraina (GU L 186 del 13.7.2022, pag. 1).</w:t>
      </w:r>
    </w:p>
  </w:footnote>
  <w:footnote w:id="20">
    <w:p w14:paraId="7B9B6846" w14:textId="72D09DE9" w:rsidR="00B26C7E" w:rsidRPr="008F14A4" w:rsidRDefault="00B26C7E" w:rsidP="003C2EA2">
      <w:pPr>
        <w:pStyle w:val="FootnoteText"/>
      </w:pPr>
      <w:r>
        <w:rPr>
          <w:rStyle w:val="FootnoteReference"/>
        </w:rPr>
        <w:footnoteRef/>
      </w:r>
      <w:r>
        <w:tab/>
        <w:t>Regolamento (UE) n. 182/2011 del Parlamento europeo e del Consiglio, del 16 febbraio 2011, che stabilisce le regole e i principi generali relativi alle modalità di controllo da parte degli Stati membri dell'esercizio delle competenze di esecuzione attribuite alla Commissione (GU L</w:t>
      </w:r>
      <w:r w:rsidR="00675EAC">
        <w:t> </w:t>
      </w:r>
      <w:r>
        <w:t>55 del 28.2.2011, pag. 13).</w:t>
      </w:r>
    </w:p>
  </w:footnote>
  <w:footnote w:id="21">
    <w:p w14:paraId="13FC43E9" w14:textId="77777777" w:rsidR="00B26C7E" w:rsidRPr="00A5323B" w:rsidRDefault="00B26C7E" w:rsidP="00A5323B">
      <w:pPr>
        <w:pStyle w:val="FootnoteText"/>
      </w:pPr>
      <w:r>
        <w:rPr>
          <w:rStyle w:val="FootnoteReference"/>
        </w:rPr>
        <w:footnoteRef/>
      </w:r>
      <w:r>
        <w:tab/>
        <w:t>Regolamento (UE) 2021/947 del Parlamento europeo e del Consiglio, del 9 giugno 2021, che istituisce lo strumento di vicinato, cooperazione allo sviluppo e cooperazione internazionale — Europa globale, che modifica e abroga la decisione n. 466/2014/UE del Parlamento europeo e del Consiglio e abroga il regolamento (UE) 2017/1601 del Parlamento europeo e del Consiglio e il regolamento (CE, Euratom) n. 480/2009 del Consiglio (GU L 209 del 14.6.2021, pag. 1).</w:t>
      </w:r>
    </w:p>
  </w:footnote>
  <w:footnote w:id="22">
    <w:p w14:paraId="4FC60C7F" w14:textId="3EA4BA15" w:rsidR="00B26C7E" w:rsidRPr="002C23D2" w:rsidRDefault="00B26C7E" w:rsidP="00EB5A43">
      <w:pPr>
        <w:pStyle w:val="FootnoteText"/>
        <w:rPr>
          <w:b/>
          <w:bCs/>
        </w:rPr>
      </w:pPr>
      <w:r>
        <w:rPr>
          <w:rStyle w:val="FootnoteReference"/>
        </w:rPr>
        <w:footnoteRef/>
      </w:r>
      <w:r>
        <w:tab/>
        <w:t>Regolamento (UE, Euratom) 2020/2093 del Consiglio, del 17 dicembre 2020, che stabilisce il quadro finanziario pluriennale per il periodo 2021-2027 (</w:t>
      </w:r>
      <w:r>
        <w:rPr>
          <w:rStyle w:val="Emphasis"/>
          <w:i w:val="0"/>
          <w:color w:val="333333"/>
          <w:shd w:val="clear" w:color="auto" w:fill="FFFFFF"/>
        </w:rPr>
        <w:t>GU L</w:t>
      </w:r>
      <w:r w:rsidR="00D70676">
        <w:rPr>
          <w:rStyle w:val="Emphasis"/>
          <w:i w:val="0"/>
          <w:color w:val="333333"/>
          <w:shd w:val="clear" w:color="auto" w:fill="FFFFFF"/>
        </w:rPr>
        <w:t> </w:t>
      </w:r>
      <w:r>
        <w:rPr>
          <w:rStyle w:val="Emphasis"/>
          <w:i w:val="0"/>
          <w:color w:val="333333"/>
          <w:shd w:val="clear" w:color="auto" w:fill="FFFFFF"/>
        </w:rPr>
        <w:t>433I del 22.12.2020, pag. 11).</w:t>
      </w:r>
    </w:p>
  </w:footnote>
  <w:footnote w:id="23">
    <w:p w14:paraId="7BDA4F95" w14:textId="6E084B69" w:rsidR="00B26C7E" w:rsidRPr="008F14A4" w:rsidRDefault="00B26C7E" w:rsidP="004A7222">
      <w:pPr>
        <w:pStyle w:val="FootnoteText"/>
      </w:pPr>
      <w:r>
        <w:rPr>
          <w:rStyle w:val="FootnoteReference"/>
        </w:rPr>
        <w:footnoteRef/>
      </w:r>
      <w:r>
        <w:tab/>
        <w:t>Decisione 2014/335/UE, Euratom del Consiglio, del 26 maggio 2014, relativa al sistema delle risorse proprie dell'Unione europea (GU L</w:t>
      </w:r>
      <w:r w:rsidR="00D70676">
        <w:t> </w:t>
      </w:r>
      <w:r>
        <w:t>168 del 7.6.2014, pag. 105).</w:t>
      </w:r>
    </w:p>
  </w:footnote>
  <w:footnote w:id="24">
    <w:p w14:paraId="012BF31B" w14:textId="77777777" w:rsidR="00B26C7E" w:rsidRPr="003D63C6" w:rsidRDefault="00B26C7E" w:rsidP="00616974">
      <w:pPr>
        <w:pStyle w:val="FootnoteText"/>
        <w:tabs>
          <w:tab w:val="left" w:pos="284"/>
        </w:tabs>
        <w:ind w:left="284" w:hanging="284"/>
      </w:pPr>
      <w:r>
        <w:rPr>
          <w:rStyle w:val="FootnoteReference"/>
        </w:rPr>
        <w:footnoteRef/>
      </w:r>
      <w:r>
        <w:tab/>
        <w:t>Decisione n. 466/2014/UE del Parlamento europeo e del Consiglio, del 16 aprile 2014, sulla concessione di una garanzia dell'Unione alla Banca europea per gli investimenti in caso di perdite relative ad operazioni di finanziamento a sostegno di progetti di investimento al di fuori dell'Unione (GU L 135 dell'8.5.2014, pag. 1).</w:t>
      </w:r>
    </w:p>
  </w:footnote>
  <w:footnote w:id="25">
    <w:p w14:paraId="5F8842A2" w14:textId="77777777" w:rsidR="00B26C7E" w:rsidRDefault="00B26C7E" w:rsidP="000107EC">
      <w:pPr>
        <w:pStyle w:val="FootnoteText"/>
        <w:tabs>
          <w:tab w:val="left" w:pos="284"/>
        </w:tabs>
        <w:ind w:left="284" w:hanging="284"/>
        <w:rPr>
          <w:rFonts w:eastAsia="Calibri"/>
        </w:rPr>
      </w:pPr>
      <w:r>
        <w:rPr>
          <w:rStyle w:val="FootnoteReference"/>
        </w:rPr>
        <w:footnoteRef/>
      </w:r>
      <w:r>
        <w:tab/>
        <w:t>Regolamento (UE) 2021/947 del Parlamento europeo e del Consiglio, del 9 giugno 2021, che istituisce lo strumento di vicinato, cooperazione allo sviluppo e cooperazione internazionale — Europa globale, che modifica e abroga la decisione n. 466/2014/UE e abroga il regolamento (UE) 2017/1601 e il regolamento (CE, Euratom) n. 480/2009 del Consiglio (GU L 209 del 14.6.2021, pag. 1).</w:t>
      </w:r>
    </w:p>
  </w:footnote>
  <w:footnote w:id="26">
    <w:p w14:paraId="0E19FC8C" w14:textId="7CBBF688" w:rsidR="00B26C7E" w:rsidRPr="00CF518C" w:rsidRDefault="00B26C7E" w:rsidP="00A5323B">
      <w:pPr>
        <w:pStyle w:val="FootnoteText"/>
      </w:pPr>
      <w:r>
        <w:rPr>
          <w:rStyle w:val="FootnoteReference"/>
        </w:rPr>
        <w:footnoteRef/>
      </w:r>
      <w:r>
        <w:tab/>
        <w:t>Decisione 2010/427/UE del Consiglio, del 26 luglio 2010, che fissa l'organizzazione e il funzionamento del servizio europeo per l'azione esterna (GU L</w:t>
      </w:r>
      <w:r w:rsidR="000D3989">
        <w:t> </w:t>
      </w:r>
      <w:r>
        <w:t>201 del 3.8.2010, pag. 30).</w:t>
      </w:r>
    </w:p>
  </w:footnote>
  <w:footnote w:id="27">
    <w:p w14:paraId="2DBF078F" w14:textId="77777777" w:rsidR="00B26C7E" w:rsidRPr="00195EC3" w:rsidRDefault="00B26C7E" w:rsidP="00C4624A">
      <w:pPr>
        <w:pStyle w:val="FootnoteText"/>
        <w:keepLines/>
        <w:rPr>
          <w:szCs w:val="24"/>
          <w:lang w:val="en-US"/>
        </w:rPr>
      </w:pPr>
      <w:r>
        <w:rPr>
          <w:rStyle w:val="FootnoteReference"/>
        </w:rPr>
        <w:footnoteRef/>
      </w:r>
      <w:r w:rsidRPr="00195EC3">
        <w:rPr>
          <w:lang w:val="en-US"/>
        </w:rPr>
        <w:tab/>
        <w:t>ABM: activity-based management (gestione per attività); ABB: activity-based budgeting (bilancio per attività).</w:t>
      </w:r>
    </w:p>
  </w:footnote>
  <w:footnote w:id="28">
    <w:p w14:paraId="1491D44A" w14:textId="77777777" w:rsidR="00B26C7E" w:rsidRDefault="00B26C7E" w:rsidP="00C4624A">
      <w:pPr>
        <w:pStyle w:val="FootnoteText"/>
        <w:rPr>
          <w:szCs w:val="24"/>
        </w:rPr>
      </w:pPr>
      <w:r>
        <w:rPr>
          <w:rStyle w:val="FootnoteReference"/>
        </w:rPr>
        <w:footnoteRef/>
      </w:r>
      <w:r>
        <w:tab/>
        <w:t>A norma dell'articolo 58, paragrafo 2, lettera a) o b), del regolamento finanziario.</w:t>
      </w:r>
    </w:p>
  </w:footnote>
  <w:footnote w:id="29">
    <w:p w14:paraId="3989DE78" w14:textId="77777777" w:rsidR="00B26C7E" w:rsidRPr="00CF7A9F" w:rsidRDefault="00B26C7E" w:rsidP="00C4624A">
      <w:pPr>
        <w:pStyle w:val="FootnoteText"/>
      </w:pPr>
      <w:r>
        <w:rPr>
          <w:rStyle w:val="FootnoteReference"/>
        </w:rPr>
        <w:footnoteRef/>
      </w:r>
      <w:r>
        <w:tab/>
        <w:t xml:space="preserve">Come illustrato nella comunicazione della Commissione del 18 maggio, </w:t>
      </w:r>
      <w:hyperlink r:id="rId5" w:history="1">
        <w:r>
          <w:rPr>
            <w:rStyle w:val="Hyperlink"/>
          </w:rPr>
          <w:t>https://eur-lex.europa.eu/legal-content/IT/TXT/PDF/?uri=CELEX:52022DC0233&amp;qid=1662139719909&amp;from=IT</w:t>
        </w:r>
      </w:hyperlink>
      <w:r>
        <w:t xml:space="preserve">. </w:t>
      </w:r>
    </w:p>
  </w:footnote>
  <w:footnote w:id="30">
    <w:p w14:paraId="20286D9A" w14:textId="77777777" w:rsidR="00B26C7E" w:rsidRDefault="00B26C7E" w:rsidP="00C4624A">
      <w:pPr>
        <w:pStyle w:val="FootnoteText"/>
        <w:rPr>
          <w:szCs w:val="24"/>
        </w:rPr>
      </w:pPr>
      <w:r>
        <w:rPr>
          <w:rStyle w:val="FootnoteReference"/>
        </w:rPr>
        <w:footnoteRef/>
      </w:r>
      <w:r>
        <w:tab/>
        <w:t>Diss. = stanziamenti dissociati / Non-diss. = stanziamenti non dissociati.</w:t>
      </w:r>
    </w:p>
  </w:footnote>
  <w:footnote w:id="31">
    <w:p w14:paraId="4A017EFE" w14:textId="77777777" w:rsidR="00B26C7E" w:rsidRDefault="00B26C7E" w:rsidP="00C4624A">
      <w:pPr>
        <w:pStyle w:val="FootnoteText"/>
        <w:rPr>
          <w:szCs w:val="24"/>
        </w:rPr>
      </w:pPr>
      <w:r>
        <w:rPr>
          <w:rStyle w:val="FootnoteReference"/>
        </w:rPr>
        <w:footnoteRef/>
      </w:r>
      <w:r>
        <w:tab/>
        <w:t xml:space="preserve">EFTA: Associazione europea di libero scambio. </w:t>
      </w:r>
    </w:p>
  </w:footnote>
  <w:footnote w:id="32">
    <w:p w14:paraId="3671AC24" w14:textId="77777777" w:rsidR="00B26C7E" w:rsidRDefault="00B26C7E" w:rsidP="00C4624A">
      <w:pPr>
        <w:pStyle w:val="FootnoteText"/>
        <w:rPr>
          <w:szCs w:val="24"/>
        </w:rPr>
      </w:pPr>
      <w:r>
        <w:rPr>
          <w:rStyle w:val="FootnoteReference"/>
        </w:rPr>
        <w:footnoteRef/>
      </w:r>
      <w:r>
        <w:tab/>
        <w:t>Paesi candidati e, se del caso, potenziali candidati dei Balcani occidentali.</w:t>
      </w:r>
    </w:p>
  </w:footnote>
  <w:footnote w:id="33">
    <w:p w14:paraId="41E5C110" w14:textId="77777777" w:rsidR="00B26C7E" w:rsidRPr="006A2D31" w:rsidRDefault="00B26C7E" w:rsidP="00C4624A">
      <w:pPr>
        <w:pStyle w:val="FootnoteText"/>
      </w:pPr>
      <w:r>
        <w:rPr>
          <w:rStyle w:val="FootnoteReference"/>
        </w:rPr>
        <w:footnoteRef/>
      </w:r>
      <w:r>
        <w:tab/>
        <w:t>Decisione (UE) 2022/1201</w:t>
      </w:r>
    </w:p>
  </w:footnote>
  <w:footnote w:id="34">
    <w:p w14:paraId="262C5071" w14:textId="77777777" w:rsidR="00B26C7E" w:rsidRPr="001A68DA" w:rsidRDefault="00B26C7E" w:rsidP="00C4624A">
      <w:pPr>
        <w:pStyle w:val="FootnoteText"/>
        <w:rPr>
          <w:sz w:val="18"/>
          <w:szCs w:val="18"/>
        </w:rPr>
      </w:pPr>
      <w:r>
        <w:rPr>
          <w:rStyle w:val="FootnoteReference"/>
        </w:rPr>
        <w:footnoteRef/>
      </w:r>
      <w:r>
        <w:tab/>
      </w:r>
      <w:r>
        <w:rPr>
          <w:sz w:val="18"/>
        </w:rPr>
        <w:t>Secondo la nomenclatura di bilancio ufficiale.</w:t>
      </w:r>
    </w:p>
  </w:footnote>
  <w:footnote w:id="35">
    <w:p w14:paraId="0D16B96C" w14:textId="77777777" w:rsidR="00B26C7E" w:rsidRPr="001A68DA" w:rsidRDefault="00B26C7E" w:rsidP="00C4624A">
      <w:pPr>
        <w:pStyle w:val="FootnoteText"/>
        <w:rPr>
          <w:sz w:val="18"/>
          <w:szCs w:val="18"/>
        </w:rPr>
      </w:pPr>
      <w:r>
        <w:rPr>
          <w:rStyle w:val="FootnoteReference"/>
        </w:rPr>
        <w:footnoteRef/>
      </w:r>
      <w:r>
        <w:tab/>
      </w:r>
      <w:r>
        <w:rPr>
          <w:sz w:val="18"/>
        </w:rPr>
        <w:t>Da rafforzare dalla linea di bilancio 14 02 04 "NDICI – Sfide emergenti e riserva per le priorità".</w:t>
      </w:r>
    </w:p>
  </w:footnote>
  <w:footnote w:id="36">
    <w:p w14:paraId="3BD42AD1" w14:textId="77777777" w:rsidR="00B26C7E" w:rsidRPr="001A68DA" w:rsidRDefault="00B26C7E" w:rsidP="00C4624A">
      <w:pPr>
        <w:pStyle w:val="FootnoteText"/>
        <w:rPr>
          <w:sz w:val="18"/>
          <w:szCs w:val="18"/>
        </w:rPr>
      </w:pPr>
      <w:r>
        <w:rPr>
          <w:rStyle w:val="FootnoteReference"/>
        </w:rPr>
        <w:footnoteRef/>
      </w:r>
      <w:r>
        <w:tab/>
      </w:r>
      <w:r>
        <w:rPr>
          <w:sz w:val="18"/>
        </w:rPr>
        <w:t>Da rafforzare dalla linea di bilancio 14 02 04 "NDICI – Sfide emergenti e riserva per le priorità".</w:t>
      </w:r>
    </w:p>
  </w:footnote>
  <w:footnote w:id="37">
    <w:p w14:paraId="557B71CF" w14:textId="77777777" w:rsidR="00B26C7E" w:rsidRPr="001A68DA" w:rsidRDefault="00B26C7E" w:rsidP="00C4624A">
      <w:pPr>
        <w:pStyle w:val="FootnoteText"/>
        <w:rPr>
          <w:sz w:val="18"/>
          <w:szCs w:val="18"/>
        </w:rPr>
      </w:pPr>
      <w:r>
        <w:rPr>
          <w:rStyle w:val="FootnoteReference"/>
        </w:rPr>
        <w:footnoteRef/>
      </w:r>
      <w:r>
        <w:tab/>
      </w:r>
      <w:r>
        <w:rPr>
          <w:sz w:val="18"/>
        </w:rPr>
        <w:t>Da rafforzare dalla linea di bilancio 14 02 04 "NDICI – Sfide emergenti e riserva per le priorità".</w:t>
      </w:r>
    </w:p>
  </w:footnote>
  <w:footnote w:id="38">
    <w:p w14:paraId="7BCA02E3" w14:textId="77777777" w:rsidR="00B26C7E" w:rsidRPr="00FD2271" w:rsidRDefault="00B26C7E" w:rsidP="00C4624A">
      <w:pPr>
        <w:pStyle w:val="FootnoteText"/>
      </w:pPr>
      <w:r>
        <w:rPr>
          <w:rStyle w:val="FootnoteReference"/>
        </w:rPr>
        <w:footnoteRef/>
      </w:r>
      <w:r>
        <w:tab/>
      </w:r>
      <w:r>
        <w:rPr>
          <w:sz w:val="18"/>
        </w:rPr>
        <w:t>Importo dell'accantonamento per i prestiti AMF (9 %) da impegnare e versare al fondo comune di copertura nel periodo 2021-2027, fatta salva l'adozione dei bilanci annuali.</w:t>
      </w:r>
    </w:p>
  </w:footnote>
  <w:footnote w:id="39">
    <w:p w14:paraId="0FDDC5DD" w14:textId="77777777" w:rsidR="00B26C7E" w:rsidRPr="00FD2271" w:rsidRDefault="00B26C7E" w:rsidP="00C4624A">
      <w:pPr>
        <w:pStyle w:val="FootnoteText"/>
      </w:pPr>
      <w:r>
        <w:rPr>
          <w:rStyle w:val="FootnoteReference"/>
        </w:rPr>
        <w:footnoteRef/>
      </w:r>
      <w:r>
        <w:tab/>
      </w:r>
      <w:r>
        <w:rPr>
          <w:sz w:val="18"/>
        </w:rPr>
        <w:t>Importo dell'accantonamento per i prestiti AMF (9 %) da impegnare e versare al fondo comune di copertura nel periodo 2021-2027, fatta salva l'adozione dei bilanci annuali.</w:t>
      </w:r>
    </w:p>
  </w:footnote>
  <w:footnote w:id="40">
    <w:p w14:paraId="49FC6B74" w14:textId="77777777" w:rsidR="00B26C7E" w:rsidRDefault="00B26C7E" w:rsidP="00C4624A">
      <w:pPr>
        <w:pStyle w:val="FootnoteText"/>
        <w:rPr>
          <w:szCs w:val="24"/>
        </w:rPr>
      </w:pPr>
      <w:r>
        <w:rPr>
          <w:rStyle w:val="FootnoteReference"/>
        </w:rPr>
        <w:footnoteRef/>
      </w:r>
      <w:r>
        <w:tab/>
      </w:r>
      <w:r>
        <w:rPr>
          <w:sz w:val="18"/>
        </w:rPr>
        <w:t>Assistenza tecnica e/o amministrativa e spese di sostegno all'attuazione di programmi e/o azioni dell'UE (ex linee "BA"), ricerca indiretta, ricerca diretta.</w:t>
      </w:r>
    </w:p>
  </w:footnote>
  <w:footnote w:id="41">
    <w:p w14:paraId="73B31582" w14:textId="77777777" w:rsidR="00B26C7E" w:rsidRDefault="00B26C7E" w:rsidP="00C4624A">
      <w:pPr>
        <w:pStyle w:val="FootnoteText"/>
        <w:rPr>
          <w:szCs w:val="24"/>
        </w:rPr>
      </w:pPr>
      <w:r>
        <w:rPr>
          <w:rStyle w:val="FootnoteReference"/>
        </w:rPr>
        <w:footnoteRef/>
      </w:r>
      <w:r>
        <w:tab/>
        <w:t>I risultati sono prodotti e servizi da fornire (ad esempio: numero di scambi di studenti finanziati, numero di km di strade costruiti, ecc.).</w:t>
      </w:r>
    </w:p>
  </w:footnote>
  <w:footnote w:id="42">
    <w:p w14:paraId="384D0A4C" w14:textId="77777777" w:rsidR="00B26C7E" w:rsidRDefault="00B26C7E" w:rsidP="00C4624A">
      <w:pPr>
        <w:pStyle w:val="FootnoteText"/>
        <w:rPr>
          <w:szCs w:val="24"/>
        </w:rPr>
      </w:pPr>
      <w:r>
        <w:rPr>
          <w:rStyle w:val="FootnoteReference"/>
        </w:rPr>
        <w:footnoteRef/>
      </w:r>
      <w:r>
        <w:tab/>
        <w:t xml:space="preserve">Come descritto nella sezione 1.4.2. "Obiettivi specifici..." </w:t>
      </w:r>
    </w:p>
  </w:footnote>
  <w:footnote w:id="43">
    <w:p w14:paraId="7E90D900" w14:textId="77777777" w:rsidR="00B26C7E" w:rsidRDefault="00B26C7E" w:rsidP="00C4624A">
      <w:pPr>
        <w:pStyle w:val="FootnoteText"/>
        <w:rPr>
          <w:szCs w:val="24"/>
        </w:rPr>
      </w:pPr>
      <w:r>
        <w:rPr>
          <w:rStyle w:val="FootnoteReference"/>
        </w:rPr>
        <w:footnoteRef/>
      </w:r>
      <w:r>
        <w:tab/>
      </w:r>
      <w:r>
        <w:rPr>
          <w:sz w:val="18"/>
        </w:rPr>
        <w:t>Assistenza tecnica e/o amministrativa e spese di sostegno all'attuazione di programmi e/o azioni dell'UE (ex linee "BA"), ricerca indiretta, ricerca diretta.</w:t>
      </w:r>
    </w:p>
  </w:footnote>
  <w:footnote w:id="44">
    <w:p w14:paraId="15E1DB93" w14:textId="77777777" w:rsidR="00B26C7E" w:rsidRDefault="00B26C7E" w:rsidP="00C4624A">
      <w:pPr>
        <w:pStyle w:val="FootnoteText"/>
        <w:rPr>
          <w:szCs w:val="24"/>
        </w:rPr>
      </w:pPr>
      <w:r>
        <w:rPr>
          <w:rStyle w:val="FootnoteReference"/>
        </w:rPr>
        <w:footnoteRef/>
      </w:r>
      <w:r>
        <w:tab/>
        <w:t xml:space="preserve">AC = agente contrattuale; AL = agente locale; END = esperto nazionale distaccato; INT = personale interinale (intérimaire); JPD = giovane professionista in delegazione. </w:t>
      </w:r>
    </w:p>
  </w:footnote>
  <w:footnote w:id="45">
    <w:p w14:paraId="14B15293" w14:textId="77777777" w:rsidR="00B26C7E" w:rsidRDefault="00B26C7E" w:rsidP="00C4624A">
      <w:pPr>
        <w:pStyle w:val="FootnoteText"/>
        <w:rPr>
          <w:szCs w:val="24"/>
        </w:rPr>
      </w:pPr>
      <w:r>
        <w:rPr>
          <w:rStyle w:val="FootnoteReference"/>
        </w:rPr>
        <w:footnoteRef/>
      </w:r>
      <w:r>
        <w:tab/>
        <w:t>Sottomassimale per il personale esterno previsto dagli stanziamenti operativi (ex linee "BA").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04A02" w14:textId="77777777" w:rsidR="003A691C" w:rsidRPr="003A691C" w:rsidRDefault="003A691C" w:rsidP="003A691C">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04F39" w14:textId="77777777" w:rsidR="003A691C" w:rsidRPr="003A691C" w:rsidRDefault="003A691C" w:rsidP="003A691C">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8D73" w14:textId="77777777" w:rsidR="00B26C7E" w:rsidRPr="008A121C" w:rsidRDefault="00B26C7E" w:rsidP="003A69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CFCD" w14:textId="77777777" w:rsidR="003A691C" w:rsidRPr="003A691C" w:rsidRDefault="003A691C" w:rsidP="003A691C">
    <w:pPr>
      <w:pStyle w:val="Header"/>
    </w:pPr>
  </w:p>
</w:hdr>
</file>

<file path=word/intelligence2.xml><?xml version="1.0" encoding="utf-8"?>
<int2:intelligence xmlns:int2="http://schemas.microsoft.com/office/intelligence/2020/intelligence">
  <int2:observations>
    <int2:bookmark int2:bookmarkName="_Int_K9Gb3ihU" int2:invalidationBookmarkName="" int2:hashCode="rJBW+tPzLalLBP" int2:id="qdaytlJR">
      <int2:state int2:type="WordDesignerDefaultAnnotation" int2:value="Rejected"/>
    </int2:bookmark>
    <int2:bookmark int2:bookmarkName="_Int_n3TIBRq2" int2:invalidationBookmarkName="" int2:hashCode="OcaRiU9nDSqNxe" int2:id="Xij35hwO">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num>
  <w:num w:numId="3">
    <w:abstractNumId w:val="0"/>
  </w:num>
  <w:num w:numId="4">
    <w:abstractNumId w:val="20"/>
  </w:num>
  <w:num w:numId="5">
    <w:abstractNumId w:val="8"/>
  </w:num>
  <w:num w:numId="6">
    <w:abstractNumId w:val="17"/>
  </w:num>
  <w:num w:numId="7">
    <w:abstractNumId w:val="16"/>
  </w:num>
  <w:num w:numId="8">
    <w:abstractNumId w:val="27"/>
  </w:num>
  <w:num w:numId="9">
    <w:abstractNumId w:val="24"/>
  </w:num>
  <w:num w:numId="10">
    <w:abstractNumId w:val="28"/>
  </w:num>
  <w:num w:numId="11">
    <w:abstractNumId w:val="29"/>
  </w:num>
  <w:num w:numId="12">
    <w:abstractNumId w:val="1"/>
  </w:num>
  <w:num w:numId="13">
    <w:abstractNumId w:val="10"/>
  </w:num>
  <w:num w:numId="14">
    <w:abstractNumId w:val="2"/>
  </w:num>
  <w:num w:numId="15">
    <w:abstractNumId w:val="11"/>
  </w:num>
  <w:num w:numId="16">
    <w:abstractNumId w:val="9"/>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5"/>
    <w:lvlOverride w:ilvl="0">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2"/>
  </w:num>
  <w:num w:numId="41">
    <w:abstractNumId w:val="26"/>
  </w:num>
  <w:num w:numId="42">
    <w:abstractNumId w:val="6"/>
  </w:num>
  <w:num w:numId="43">
    <w:abstractNumId w:val="13"/>
  </w:num>
  <w:num w:numId="44">
    <w:abstractNumId w:val="14"/>
  </w:num>
  <w:num w:numId="45">
    <w:abstractNumId w:val="4"/>
  </w:num>
  <w:num w:numId="46">
    <w:abstractNumId w:val="25"/>
  </w:num>
  <w:num w:numId="47">
    <w:abstractNumId w:val="3"/>
  </w:num>
  <w:num w:numId="48">
    <w:abstractNumId w:val="15"/>
  </w:num>
  <w:num w:numId="49">
    <w:abstractNumId w:val="21"/>
  </w:num>
  <w:num w:numId="50">
    <w:abstractNumId w:val="22"/>
  </w:num>
  <w:num w:numId="51">
    <w:abstractNumId w:val="5"/>
  </w:num>
  <w:num w:numId="52">
    <w:abstractNumId w:val="19"/>
  </w:num>
  <w:num w:numId="53">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9-08 15:25:53"/>
    <w:docVar w:name="DQCNUMB_10" w:val="253"/>
    <w:docVar w:name="DQCNUMB_11" w:val="254"/>
    <w:docVar w:name="DQCNUMB_12" w:val="255"/>
    <w:docVar w:name="DQCNUMB_13" w:val="256"/>
    <w:docVar w:name="DQCNUMB_14" w:val="257"/>
    <w:docVar w:name="DQCNUMB_15" w:val="258"/>
    <w:docVar w:name="DQCNUMB_4" w:val="233"/>
    <w:docVar w:name="DQCNUMB_5" w:val="239"/>
    <w:docVar w:name="DQCNUMB_6" w:val="240"/>
    <w:docVar w:name="DQCNUMB_7" w:val="241"/>
    <w:docVar w:name="DQCNUMB_8" w:val="244"/>
    <w:docVar w:name="DQCNUMB_9" w:val="245"/>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E215D291-5CD6-440F-A06C-82030346B47F"/>
    <w:docVar w:name="LW_COVERPAGE_TYPE" w:val="1"/>
    <w:docVar w:name="LW_CROSSREFERENCE" w:val="&lt;UNUSED&gt;"/>
    <w:docVar w:name="LW_DocType" w:val="COM"/>
    <w:docVar w:name="LW_EMISSION" w:val="7.9.2022"/>
    <w:docVar w:name="LW_EMISSION_ISODATE" w:val="2022-09-07"/>
    <w:docVar w:name="LW_EMISSION_LOCATION" w:val="BRX"/>
    <w:docVar w:name="LW_EMISSION_PREFIX" w:val="Bruxelles,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281"/>
    <w:docVar w:name="LW_REF.II.NEW.CP_YEAR" w:val="2022"/>
    <w:docVar w:name="LW_REF.INST.NEW" w:val="COM"/>
    <w:docVar w:name="LW_REF.INST.NEW_ADOPTED" w:val="final"/>
    <w:docVar w:name="LW_REF.INST.NEW_TEXT" w:val="(2022) 5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lativa alla concessione di assistenza macrofinanziaria eccezionale all'Ucraina, al rafforzamento del fondo comune di copertura mediante garanzie degli Stati membri e una dotazione specifica per alcune passività finanziarie relative all'Ucraina garantite a norma della decisione n. 466/2014/UE, e che modifica la decisione (UE) 2022/1201"/>
    <w:docVar w:name="LW_TYPE.DOC.CP" w:val="DECISIONE DEL PARLAMENTO EUROPEO E DEL CONSIGLIO"/>
    <w:docVar w:name="LwApiVersions" w:val="LW4CoDe 1.23.2.0; LW 8.0, Build 20211117"/>
  </w:docVars>
  <w:rsids>
    <w:rsidRoot w:val="00F152DC"/>
    <w:rsid w:val="000019D8"/>
    <w:rsid w:val="00003B26"/>
    <w:rsid w:val="00005F72"/>
    <w:rsid w:val="00007A31"/>
    <w:rsid w:val="000107EC"/>
    <w:rsid w:val="00010CED"/>
    <w:rsid w:val="00011D3E"/>
    <w:rsid w:val="00013A2D"/>
    <w:rsid w:val="00013C77"/>
    <w:rsid w:val="000147A2"/>
    <w:rsid w:val="000159F4"/>
    <w:rsid w:val="00016A3F"/>
    <w:rsid w:val="00016E27"/>
    <w:rsid w:val="00017029"/>
    <w:rsid w:val="000212B1"/>
    <w:rsid w:val="00021900"/>
    <w:rsid w:val="00024F99"/>
    <w:rsid w:val="00027756"/>
    <w:rsid w:val="000315A9"/>
    <w:rsid w:val="00032112"/>
    <w:rsid w:val="00033187"/>
    <w:rsid w:val="000355EB"/>
    <w:rsid w:val="00035C38"/>
    <w:rsid w:val="00036817"/>
    <w:rsid w:val="00036ED9"/>
    <w:rsid w:val="00037B03"/>
    <w:rsid w:val="00041A1E"/>
    <w:rsid w:val="00041C52"/>
    <w:rsid w:val="0004268A"/>
    <w:rsid w:val="00045529"/>
    <w:rsid w:val="00045F25"/>
    <w:rsid w:val="00046C1A"/>
    <w:rsid w:val="000473A2"/>
    <w:rsid w:val="000502C4"/>
    <w:rsid w:val="000515B5"/>
    <w:rsid w:val="000556FA"/>
    <w:rsid w:val="000560FF"/>
    <w:rsid w:val="00057BDB"/>
    <w:rsid w:val="000580A5"/>
    <w:rsid w:val="00061862"/>
    <w:rsid w:val="00064188"/>
    <w:rsid w:val="00064BF6"/>
    <w:rsid w:val="00064E53"/>
    <w:rsid w:val="000665E3"/>
    <w:rsid w:val="000701D9"/>
    <w:rsid w:val="00073612"/>
    <w:rsid w:val="0008198D"/>
    <w:rsid w:val="0008267F"/>
    <w:rsid w:val="000826EB"/>
    <w:rsid w:val="00083866"/>
    <w:rsid w:val="000879D1"/>
    <w:rsid w:val="00090079"/>
    <w:rsid w:val="00092586"/>
    <w:rsid w:val="0009399D"/>
    <w:rsid w:val="000963FD"/>
    <w:rsid w:val="00097364"/>
    <w:rsid w:val="00097CD1"/>
    <w:rsid w:val="000A07DF"/>
    <w:rsid w:val="000A1D88"/>
    <w:rsid w:val="000A1DD0"/>
    <w:rsid w:val="000A301D"/>
    <w:rsid w:val="000A6575"/>
    <w:rsid w:val="000A6A3B"/>
    <w:rsid w:val="000B1B8F"/>
    <w:rsid w:val="000B1D09"/>
    <w:rsid w:val="000B24D7"/>
    <w:rsid w:val="000B3E19"/>
    <w:rsid w:val="000B4EBA"/>
    <w:rsid w:val="000B5099"/>
    <w:rsid w:val="000B5F06"/>
    <w:rsid w:val="000B66F2"/>
    <w:rsid w:val="000B7A7D"/>
    <w:rsid w:val="000C2104"/>
    <w:rsid w:val="000C635A"/>
    <w:rsid w:val="000D11E1"/>
    <w:rsid w:val="000D3989"/>
    <w:rsid w:val="000D7962"/>
    <w:rsid w:val="000E245F"/>
    <w:rsid w:val="000E581E"/>
    <w:rsid w:val="000E5EC9"/>
    <w:rsid w:val="000E65AB"/>
    <w:rsid w:val="000E690C"/>
    <w:rsid w:val="000E6A56"/>
    <w:rsid w:val="000E6FED"/>
    <w:rsid w:val="000E71E5"/>
    <w:rsid w:val="000E7CBC"/>
    <w:rsid w:val="000F0F85"/>
    <w:rsid w:val="000F13FA"/>
    <w:rsid w:val="000F2A80"/>
    <w:rsid w:val="000F3E69"/>
    <w:rsid w:val="000F5981"/>
    <w:rsid w:val="000F61CE"/>
    <w:rsid w:val="000F6CD0"/>
    <w:rsid w:val="00100104"/>
    <w:rsid w:val="001015FB"/>
    <w:rsid w:val="00101661"/>
    <w:rsid w:val="001021EE"/>
    <w:rsid w:val="001025ED"/>
    <w:rsid w:val="0010263F"/>
    <w:rsid w:val="00103018"/>
    <w:rsid w:val="00111129"/>
    <w:rsid w:val="00112C28"/>
    <w:rsid w:val="00114D81"/>
    <w:rsid w:val="00115C90"/>
    <w:rsid w:val="00116866"/>
    <w:rsid w:val="00120E6B"/>
    <w:rsid w:val="00122292"/>
    <w:rsid w:val="001236CE"/>
    <w:rsid w:val="00126520"/>
    <w:rsid w:val="0012696A"/>
    <w:rsid w:val="001279FD"/>
    <w:rsid w:val="00127E82"/>
    <w:rsid w:val="00131E1E"/>
    <w:rsid w:val="0013292D"/>
    <w:rsid w:val="00135D4F"/>
    <w:rsid w:val="00137255"/>
    <w:rsid w:val="0013780B"/>
    <w:rsid w:val="00141BCA"/>
    <w:rsid w:val="00142360"/>
    <w:rsid w:val="001441FE"/>
    <w:rsid w:val="00144E9A"/>
    <w:rsid w:val="0014583F"/>
    <w:rsid w:val="0014598F"/>
    <w:rsid w:val="0014719D"/>
    <w:rsid w:val="001475A3"/>
    <w:rsid w:val="00150A78"/>
    <w:rsid w:val="0015128E"/>
    <w:rsid w:val="0015185E"/>
    <w:rsid w:val="001524A1"/>
    <w:rsid w:val="00152894"/>
    <w:rsid w:val="00162012"/>
    <w:rsid w:val="00162546"/>
    <w:rsid w:val="00162D3B"/>
    <w:rsid w:val="00162E12"/>
    <w:rsid w:val="0016309C"/>
    <w:rsid w:val="00165BF6"/>
    <w:rsid w:val="0016785C"/>
    <w:rsid w:val="00171075"/>
    <w:rsid w:val="00171553"/>
    <w:rsid w:val="001736C4"/>
    <w:rsid w:val="001740D3"/>
    <w:rsid w:val="001754EB"/>
    <w:rsid w:val="0018004B"/>
    <w:rsid w:val="0018144D"/>
    <w:rsid w:val="0018313D"/>
    <w:rsid w:val="00184248"/>
    <w:rsid w:val="00185A82"/>
    <w:rsid w:val="00187889"/>
    <w:rsid w:val="00190DCD"/>
    <w:rsid w:val="0019104B"/>
    <w:rsid w:val="001919D2"/>
    <w:rsid w:val="00192260"/>
    <w:rsid w:val="00192AA4"/>
    <w:rsid w:val="001937A0"/>
    <w:rsid w:val="00195EC3"/>
    <w:rsid w:val="00195FA0"/>
    <w:rsid w:val="00196E4A"/>
    <w:rsid w:val="001A1C5C"/>
    <w:rsid w:val="001A420A"/>
    <w:rsid w:val="001A45F6"/>
    <w:rsid w:val="001A74EC"/>
    <w:rsid w:val="001B1772"/>
    <w:rsid w:val="001B18C0"/>
    <w:rsid w:val="001B23A8"/>
    <w:rsid w:val="001B263A"/>
    <w:rsid w:val="001B32BC"/>
    <w:rsid w:val="001B465C"/>
    <w:rsid w:val="001B50E3"/>
    <w:rsid w:val="001C23DB"/>
    <w:rsid w:val="001C7191"/>
    <w:rsid w:val="001D05FE"/>
    <w:rsid w:val="001D0609"/>
    <w:rsid w:val="001D1360"/>
    <w:rsid w:val="001D2BE7"/>
    <w:rsid w:val="001D4B63"/>
    <w:rsid w:val="001D6902"/>
    <w:rsid w:val="001E2B64"/>
    <w:rsid w:val="001E6B0E"/>
    <w:rsid w:val="001E721F"/>
    <w:rsid w:val="001E7C27"/>
    <w:rsid w:val="001F0B97"/>
    <w:rsid w:val="001F12D1"/>
    <w:rsid w:val="001F1738"/>
    <w:rsid w:val="001F3553"/>
    <w:rsid w:val="001F3B66"/>
    <w:rsid w:val="001F4036"/>
    <w:rsid w:val="001F7B2E"/>
    <w:rsid w:val="00200AC3"/>
    <w:rsid w:val="00201A2E"/>
    <w:rsid w:val="00202F6A"/>
    <w:rsid w:val="00206CEE"/>
    <w:rsid w:val="00210312"/>
    <w:rsid w:val="002120C3"/>
    <w:rsid w:val="00212E7F"/>
    <w:rsid w:val="00217211"/>
    <w:rsid w:val="00217213"/>
    <w:rsid w:val="00217399"/>
    <w:rsid w:val="0022128E"/>
    <w:rsid w:val="00221DFE"/>
    <w:rsid w:val="00223288"/>
    <w:rsid w:val="00223510"/>
    <w:rsid w:val="00226E79"/>
    <w:rsid w:val="00227554"/>
    <w:rsid w:val="00230172"/>
    <w:rsid w:val="00230BE2"/>
    <w:rsid w:val="00243123"/>
    <w:rsid w:val="002443E2"/>
    <w:rsid w:val="002449B2"/>
    <w:rsid w:val="0024536C"/>
    <w:rsid w:val="002457B2"/>
    <w:rsid w:val="0024682D"/>
    <w:rsid w:val="00246BFD"/>
    <w:rsid w:val="002475B2"/>
    <w:rsid w:val="00247C0A"/>
    <w:rsid w:val="00247F8C"/>
    <w:rsid w:val="0025013A"/>
    <w:rsid w:val="00251160"/>
    <w:rsid w:val="002525E1"/>
    <w:rsid w:val="002538E9"/>
    <w:rsid w:val="00255002"/>
    <w:rsid w:val="002558D2"/>
    <w:rsid w:val="00255952"/>
    <w:rsid w:val="00257649"/>
    <w:rsid w:val="00261E05"/>
    <w:rsid w:val="0026260F"/>
    <w:rsid w:val="00263DD2"/>
    <w:rsid w:val="00264263"/>
    <w:rsid w:val="00264A02"/>
    <w:rsid w:val="0026676D"/>
    <w:rsid w:val="00270149"/>
    <w:rsid w:val="00271FB3"/>
    <w:rsid w:val="00274BB3"/>
    <w:rsid w:val="00274C32"/>
    <w:rsid w:val="00275444"/>
    <w:rsid w:val="0027553E"/>
    <w:rsid w:val="002808EB"/>
    <w:rsid w:val="00281812"/>
    <w:rsid w:val="00281960"/>
    <w:rsid w:val="00282932"/>
    <w:rsid w:val="0028421A"/>
    <w:rsid w:val="00285437"/>
    <w:rsid w:val="002903B8"/>
    <w:rsid w:val="002916B8"/>
    <w:rsid w:val="0029419E"/>
    <w:rsid w:val="0029424D"/>
    <w:rsid w:val="00295191"/>
    <w:rsid w:val="0029E51D"/>
    <w:rsid w:val="002A2E2B"/>
    <w:rsid w:val="002A3D00"/>
    <w:rsid w:val="002A406A"/>
    <w:rsid w:val="002A4225"/>
    <w:rsid w:val="002A72A9"/>
    <w:rsid w:val="002B697A"/>
    <w:rsid w:val="002B6B2F"/>
    <w:rsid w:val="002B6D48"/>
    <w:rsid w:val="002B706E"/>
    <w:rsid w:val="002C0E5A"/>
    <w:rsid w:val="002C23D2"/>
    <w:rsid w:val="002C2D5A"/>
    <w:rsid w:val="002C5B2D"/>
    <w:rsid w:val="002C7274"/>
    <w:rsid w:val="002D3372"/>
    <w:rsid w:val="002D4B7A"/>
    <w:rsid w:val="002D669C"/>
    <w:rsid w:val="002D74BC"/>
    <w:rsid w:val="002E357D"/>
    <w:rsid w:val="002E45B3"/>
    <w:rsid w:val="002F430E"/>
    <w:rsid w:val="002F5416"/>
    <w:rsid w:val="002F61DF"/>
    <w:rsid w:val="002F7399"/>
    <w:rsid w:val="00305446"/>
    <w:rsid w:val="00306670"/>
    <w:rsid w:val="00307866"/>
    <w:rsid w:val="00307F26"/>
    <w:rsid w:val="00312348"/>
    <w:rsid w:val="00313AFA"/>
    <w:rsid w:val="00313DF1"/>
    <w:rsid w:val="0031590D"/>
    <w:rsid w:val="003159F5"/>
    <w:rsid w:val="00320A2E"/>
    <w:rsid w:val="003232B1"/>
    <w:rsid w:val="00326366"/>
    <w:rsid w:val="00332729"/>
    <w:rsid w:val="003337DD"/>
    <w:rsid w:val="00334363"/>
    <w:rsid w:val="003352B5"/>
    <w:rsid w:val="00337E8D"/>
    <w:rsid w:val="003425BB"/>
    <w:rsid w:val="00342A80"/>
    <w:rsid w:val="00344AA4"/>
    <w:rsid w:val="00345974"/>
    <w:rsid w:val="00351DD2"/>
    <w:rsid w:val="00356738"/>
    <w:rsid w:val="00356BEB"/>
    <w:rsid w:val="00356DDE"/>
    <w:rsid w:val="0035724B"/>
    <w:rsid w:val="00361739"/>
    <w:rsid w:val="0036292A"/>
    <w:rsid w:val="003634B7"/>
    <w:rsid w:val="00363584"/>
    <w:rsid w:val="00363770"/>
    <w:rsid w:val="00363BF2"/>
    <w:rsid w:val="00363D66"/>
    <w:rsid w:val="00371238"/>
    <w:rsid w:val="00373D40"/>
    <w:rsid w:val="0037462F"/>
    <w:rsid w:val="00381B44"/>
    <w:rsid w:val="00383888"/>
    <w:rsid w:val="0038556C"/>
    <w:rsid w:val="003877B3"/>
    <w:rsid w:val="00390DA4"/>
    <w:rsid w:val="0039458D"/>
    <w:rsid w:val="00396ACD"/>
    <w:rsid w:val="0039771E"/>
    <w:rsid w:val="00397FC6"/>
    <w:rsid w:val="003A16DE"/>
    <w:rsid w:val="003A3BC1"/>
    <w:rsid w:val="003A3D0E"/>
    <w:rsid w:val="003A691C"/>
    <w:rsid w:val="003A6FD1"/>
    <w:rsid w:val="003AAD2B"/>
    <w:rsid w:val="003B6770"/>
    <w:rsid w:val="003C18E9"/>
    <w:rsid w:val="003C2EA2"/>
    <w:rsid w:val="003C38B9"/>
    <w:rsid w:val="003C45F0"/>
    <w:rsid w:val="003C554B"/>
    <w:rsid w:val="003C63BF"/>
    <w:rsid w:val="003D3E67"/>
    <w:rsid w:val="003D43D1"/>
    <w:rsid w:val="003D4BDF"/>
    <w:rsid w:val="003D63C6"/>
    <w:rsid w:val="003D6506"/>
    <w:rsid w:val="003D7E22"/>
    <w:rsid w:val="003E17BC"/>
    <w:rsid w:val="003E19E9"/>
    <w:rsid w:val="003E3ADD"/>
    <w:rsid w:val="003E4053"/>
    <w:rsid w:val="003E4A69"/>
    <w:rsid w:val="00401CDA"/>
    <w:rsid w:val="004029A4"/>
    <w:rsid w:val="00403E8C"/>
    <w:rsid w:val="00404213"/>
    <w:rsid w:val="004046FC"/>
    <w:rsid w:val="00405AC3"/>
    <w:rsid w:val="00405F3D"/>
    <w:rsid w:val="004072CB"/>
    <w:rsid w:val="00412D3E"/>
    <w:rsid w:val="00413A17"/>
    <w:rsid w:val="00413FF9"/>
    <w:rsid w:val="004151DB"/>
    <w:rsid w:val="00425B4B"/>
    <w:rsid w:val="00427FD0"/>
    <w:rsid w:val="00431866"/>
    <w:rsid w:val="0043411C"/>
    <w:rsid w:val="00434727"/>
    <w:rsid w:val="00437AA5"/>
    <w:rsid w:val="00440F2F"/>
    <w:rsid w:val="00443F7D"/>
    <w:rsid w:val="00445D5E"/>
    <w:rsid w:val="004473F3"/>
    <w:rsid w:val="00447E0D"/>
    <w:rsid w:val="0045096B"/>
    <w:rsid w:val="00453F01"/>
    <w:rsid w:val="004552A8"/>
    <w:rsid w:val="00461AA0"/>
    <w:rsid w:val="00463144"/>
    <w:rsid w:val="0046438F"/>
    <w:rsid w:val="00465DD8"/>
    <w:rsid w:val="0046630B"/>
    <w:rsid w:val="0046719F"/>
    <w:rsid w:val="00470DC7"/>
    <w:rsid w:val="00472A5D"/>
    <w:rsid w:val="00474AAC"/>
    <w:rsid w:val="004755A7"/>
    <w:rsid w:val="00480505"/>
    <w:rsid w:val="00481301"/>
    <w:rsid w:val="00481F22"/>
    <w:rsid w:val="00486530"/>
    <w:rsid w:val="00486986"/>
    <w:rsid w:val="004878E8"/>
    <w:rsid w:val="004912ED"/>
    <w:rsid w:val="00491766"/>
    <w:rsid w:val="00492396"/>
    <w:rsid w:val="00494FCE"/>
    <w:rsid w:val="00495E3B"/>
    <w:rsid w:val="00497902"/>
    <w:rsid w:val="004A007B"/>
    <w:rsid w:val="004A1C65"/>
    <w:rsid w:val="004A1F1F"/>
    <w:rsid w:val="004A45BB"/>
    <w:rsid w:val="004A63F5"/>
    <w:rsid w:val="004A6D58"/>
    <w:rsid w:val="004A7222"/>
    <w:rsid w:val="004A78B1"/>
    <w:rsid w:val="004A795D"/>
    <w:rsid w:val="004AE753"/>
    <w:rsid w:val="004B15F4"/>
    <w:rsid w:val="004B28C5"/>
    <w:rsid w:val="004B4811"/>
    <w:rsid w:val="004B4891"/>
    <w:rsid w:val="004B58BF"/>
    <w:rsid w:val="004B663B"/>
    <w:rsid w:val="004C0E40"/>
    <w:rsid w:val="004C2521"/>
    <w:rsid w:val="004C2C81"/>
    <w:rsid w:val="004C2F52"/>
    <w:rsid w:val="004C4A61"/>
    <w:rsid w:val="004C4BDE"/>
    <w:rsid w:val="004C4CE7"/>
    <w:rsid w:val="004C5A11"/>
    <w:rsid w:val="004C5BBE"/>
    <w:rsid w:val="004C6910"/>
    <w:rsid w:val="004D1FE6"/>
    <w:rsid w:val="004D2CA9"/>
    <w:rsid w:val="004D332E"/>
    <w:rsid w:val="004D3464"/>
    <w:rsid w:val="004D50A5"/>
    <w:rsid w:val="004D53A5"/>
    <w:rsid w:val="004D643E"/>
    <w:rsid w:val="004D67C0"/>
    <w:rsid w:val="004E0459"/>
    <w:rsid w:val="004E19F9"/>
    <w:rsid w:val="004E24D1"/>
    <w:rsid w:val="004E2E1D"/>
    <w:rsid w:val="004E30F4"/>
    <w:rsid w:val="004E5EAD"/>
    <w:rsid w:val="004F221F"/>
    <w:rsid w:val="004F2AAF"/>
    <w:rsid w:val="004F505C"/>
    <w:rsid w:val="0050105F"/>
    <w:rsid w:val="0050434D"/>
    <w:rsid w:val="005067A7"/>
    <w:rsid w:val="00510989"/>
    <w:rsid w:val="00512DDF"/>
    <w:rsid w:val="00512FB3"/>
    <w:rsid w:val="005138A0"/>
    <w:rsid w:val="00514F01"/>
    <w:rsid w:val="00517205"/>
    <w:rsid w:val="00521743"/>
    <w:rsid w:val="005219B5"/>
    <w:rsid w:val="00521C42"/>
    <w:rsid w:val="005243BB"/>
    <w:rsid w:val="00524A37"/>
    <w:rsid w:val="005252E6"/>
    <w:rsid w:val="005255BE"/>
    <w:rsid w:val="00525742"/>
    <w:rsid w:val="00525DD7"/>
    <w:rsid w:val="005264A0"/>
    <w:rsid w:val="0052769D"/>
    <w:rsid w:val="00530130"/>
    <w:rsid w:val="00530560"/>
    <w:rsid w:val="005315FF"/>
    <w:rsid w:val="0053252C"/>
    <w:rsid w:val="005409D4"/>
    <w:rsid w:val="00542487"/>
    <w:rsid w:val="00543906"/>
    <w:rsid w:val="00543BF1"/>
    <w:rsid w:val="00545633"/>
    <w:rsid w:val="0054763C"/>
    <w:rsid w:val="0054765B"/>
    <w:rsid w:val="00547BA6"/>
    <w:rsid w:val="0055085C"/>
    <w:rsid w:val="00550A01"/>
    <w:rsid w:val="00551AAB"/>
    <w:rsid w:val="00553B0C"/>
    <w:rsid w:val="005543D7"/>
    <w:rsid w:val="00554A41"/>
    <w:rsid w:val="005551C4"/>
    <w:rsid w:val="00555D6B"/>
    <w:rsid w:val="0055655B"/>
    <w:rsid w:val="005572D1"/>
    <w:rsid w:val="00557A3C"/>
    <w:rsid w:val="005617A5"/>
    <w:rsid w:val="0056521A"/>
    <w:rsid w:val="005707C4"/>
    <w:rsid w:val="00572963"/>
    <w:rsid w:val="00574470"/>
    <w:rsid w:val="005747FA"/>
    <w:rsid w:val="00575863"/>
    <w:rsid w:val="00577722"/>
    <w:rsid w:val="005804A6"/>
    <w:rsid w:val="00580A03"/>
    <w:rsid w:val="005820EC"/>
    <w:rsid w:val="00582810"/>
    <w:rsid w:val="005840C7"/>
    <w:rsid w:val="00584656"/>
    <w:rsid w:val="005849AF"/>
    <w:rsid w:val="005853C9"/>
    <w:rsid w:val="00586D72"/>
    <w:rsid w:val="00593EB8"/>
    <w:rsid w:val="00594A6E"/>
    <w:rsid w:val="00595540"/>
    <w:rsid w:val="00596B06"/>
    <w:rsid w:val="005A0085"/>
    <w:rsid w:val="005A0E10"/>
    <w:rsid w:val="005A187B"/>
    <w:rsid w:val="005A3BBB"/>
    <w:rsid w:val="005A7B51"/>
    <w:rsid w:val="005B118A"/>
    <w:rsid w:val="005B20D6"/>
    <w:rsid w:val="005B34C3"/>
    <w:rsid w:val="005B5FA6"/>
    <w:rsid w:val="005C20C9"/>
    <w:rsid w:val="005C4376"/>
    <w:rsid w:val="005C58B5"/>
    <w:rsid w:val="005C5B19"/>
    <w:rsid w:val="005C607E"/>
    <w:rsid w:val="005C686D"/>
    <w:rsid w:val="005C6E81"/>
    <w:rsid w:val="005D06D7"/>
    <w:rsid w:val="005D0DD8"/>
    <w:rsid w:val="005D274D"/>
    <w:rsid w:val="005D28EE"/>
    <w:rsid w:val="005D471B"/>
    <w:rsid w:val="005D58A7"/>
    <w:rsid w:val="005E312A"/>
    <w:rsid w:val="005E4E45"/>
    <w:rsid w:val="005E6585"/>
    <w:rsid w:val="005F542D"/>
    <w:rsid w:val="005F69DD"/>
    <w:rsid w:val="005F7069"/>
    <w:rsid w:val="005F720F"/>
    <w:rsid w:val="0060410B"/>
    <w:rsid w:val="0060468A"/>
    <w:rsid w:val="00604E2B"/>
    <w:rsid w:val="006061FD"/>
    <w:rsid w:val="006065C1"/>
    <w:rsid w:val="00606791"/>
    <w:rsid w:val="006071A4"/>
    <w:rsid w:val="00610279"/>
    <w:rsid w:val="0061380B"/>
    <w:rsid w:val="00613DFE"/>
    <w:rsid w:val="0061469A"/>
    <w:rsid w:val="00615E99"/>
    <w:rsid w:val="00616974"/>
    <w:rsid w:val="00617E3F"/>
    <w:rsid w:val="00620770"/>
    <w:rsid w:val="00620E4A"/>
    <w:rsid w:val="006216E0"/>
    <w:rsid w:val="00621DFF"/>
    <w:rsid w:val="0062231F"/>
    <w:rsid w:val="00625E4E"/>
    <w:rsid w:val="00625E88"/>
    <w:rsid w:val="00627CAD"/>
    <w:rsid w:val="00630F7C"/>
    <w:rsid w:val="006352EE"/>
    <w:rsid w:val="00635716"/>
    <w:rsid w:val="00641331"/>
    <w:rsid w:val="006423C2"/>
    <w:rsid w:val="006450A2"/>
    <w:rsid w:val="006456C0"/>
    <w:rsid w:val="0064601D"/>
    <w:rsid w:val="00646128"/>
    <w:rsid w:val="006470F9"/>
    <w:rsid w:val="00650CCE"/>
    <w:rsid w:val="00654978"/>
    <w:rsid w:val="00654D12"/>
    <w:rsid w:val="0065524B"/>
    <w:rsid w:val="006615AB"/>
    <w:rsid w:val="00662700"/>
    <w:rsid w:val="006637F5"/>
    <w:rsid w:val="00663C7E"/>
    <w:rsid w:val="006650C5"/>
    <w:rsid w:val="006654AB"/>
    <w:rsid w:val="00666C6F"/>
    <w:rsid w:val="006674EC"/>
    <w:rsid w:val="0066A5AE"/>
    <w:rsid w:val="00672201"/>
    <w:rsid w:val="006745B7"/>
    <w:rsid w:val="00674840"/>
    <w:rsid w:val="00675681"/>
    <w:rsid w:val="006757A3"/>
    <w:rsid w:val="00675EAC"/>
    <w:rsid w:val="00676F87"/>
    <w:rsid w:val="00677465"/>
    <w:rsid w:val="00677629"/>
    <w:rsid w:val="006776BB"/>
    <w:rsid w:val="0067781C"/>
    <w:rsid w:val="00681971"/>
    <w:rsid w:val="00681F10"/>
    <w:rsid w:val="00683924"/>
    <w:rsid w:val="00685B02"/>
    <w:rsid w:val="006871E8"/>
    <w:rsid w:val="00687347"/>
    <w:rsid w:val="00687C0A"/>
    <w:rsid w:val="00690710"/>
    <w:rsid w:val="00691BE7"/>
    <w:rsid w:val="00693A27"/>
    <w:rsid w:val="0069421D"/>
    <w:rsid w:val="006961A2"/>
    <w:rsid w:val="006A0ED9"/>
    <w:rsid w:val="006A3547"/>
    <w:rsid w:val="006A4628"/>
    <w:rsid w:val="006A5722"/>
    <w:rsid w:val="006A5E5E"/>
    <w:rsid w:val="006A7AAF"/>
    <w:rsid w:val="006B0B00"/>
    <w:rsid w:val="006B1A7C"/>
    <w:rsid w:val="006B34D1"/>
    <w:rsid w:val="006B361B"/>
    <w:rsid w:val="006B472A"/>
    <w:rsid w:val="006B71AD"/>
    <w:rsid w:val="006C4161"/>
    <w:rsid w:val="006C5566"/>
    <w:rsid w:val="006C70E2"/>
    <w:rsid w:val="006D01AB"/>
    <w:rsid w:val="006D346F"/>
    <w:rsid w:val="006D4104"/>
    <w:rsid w:val="006D4172"/>
    <w:rsid w:val="006D4446"/>
    <w:rsid w:val="006D4EE3"/>
    <w:rsid w:val="006D5AB3"/>
    <w:rsid w:val="006D68EB"/>
    <w:rsid w:val="006D7C8B"/>
    <w:rsid w:val="006DD45A"/>
    <w:rsid w:val="006E0DC1"/>
    <w:rsid w:val="006E20AB"/>
    <w:rsid w:val="006E2B67"/>
    <w:rsid w:val="006E3240"/>
    <w:rsid w:val="006E3B44"/>
    <w:rsid w:val="006E5331"/>
    <w:rsid w:val="006E5337"/>
    <w:rsid w:val="006E7603"/>
    <w:rsid w:val="006F0C56"/>
    <w:rsid w:val="006F3594"/>
    <w:rsid w:val="006F3E47"/>
    <w:rsid w:val="006F7BF8"/>
    <w:rsid w:val="006F7EFE"/>
    <w:rsid w:val="00703837"/>
    <w:rsid w:val="007049A7"/>
    <w:rsid w:val="00705678"/>
    <w:rsid w:val="00706459"/>
    <w:rsid w:val="00711F97"/>
    <w:rsid w:val="00713421"/>
    <w:rsid w:val="0072315B"/>
    <w:rsid w:val="007261B3"/>
    <w:rsid w:val="007269D1"/>
    <w:rsid w:val="007271EB"/>
    <w:rsid w:val="00727481"/>
    <w:rsid w:val="00732224"/>
    <w:rsid w:val="00732FD3"/>
    <w:rsid w:val="00734BC5"/>
    <w:rsid w:val="00736746"/>
    <w:rsid w:val="00740761"/>
    <w:rsid w:val="00742766"/>
    <w:rsid w:val="007440D5"/>
    <w:rsid w:val="0074434F"/>
    <w:rsid w:val="00745A5B"/>
    <w:rsid w:val="00746F08"/>
    <w:rsid w:val="00750687"/>
    <w:rsid w:val="00751969"/>
    <w:rsid w:val="00755155"/>
    <w:rsid w:val="00763AC0"/>
    <w:rsid w:val="0076439C"/>
    <w:rsid w:val="007649C9"/>
    <w:rsid w:val="00767D20"/>
    <w:rsid w:val="0076DCFD"/>
    <w:rsid w:val="00770F3B"/>
    <w:rsid w:val="00770FF6"/>
    <w:rsid w:val="0077208C"/>
    <w:rsid w:val="00773F69"/>
    <w:rsid w:val="00774243"/>
    <w:rsid w:val="00777C05"/>
    <w:rsid w:val="00783374"/>
    <w:rsid w:val="00784845"/>
    <w:rsid w:val="00786116"/>
    <w:rsid w:val="00787177"/>
    <w:rsid w:val="00787E68"/>
    <w:rsid w:val="00787FAC"/>
    <w:rsid w:val="0079148B"/>
    <w:rsid w:val="007934CC"/>
    <w:rsid w:val="007936FC"/>
    <w:rsid w:val="00794604"/>
    <w:rsid w:val="0079522F"/>
    <w:rsid w:val="007973E0"/>
    <w:rsid w:val="0079CF9E"/>
    <w:rsid w:val="007A18C3"/>
    <w:rsid w:val="007A499E"/>
    <w:rsid w:val="007A6C9C"/>
    <w:rsid w:val="007A73C0"/>
    <w:rsid w:val="007A7EA3"/>
    <w:rsid w:val="007B7AFC"/>
    <w:rsid w:val="007B7D6F"/>
    <w:rsid w:val="007B7E57"/>
    <w:rsid w:val="007C02FB"/>
    <w:rsid w:val="007C0BB6"/>
    <w:rsid w:val="007C118B"/>
    <w:rsid w:val="007C2722"/>
    <w:rsid w:val="007C40F7"/>
    <w:rsid w:val="007C4B02"/>
    <w:rsid w:val="007C558A"/>
    <w:rsid w:val="007C5A3C"/>
    <w:rsid w:val="007D0861"/>
    <w:rsid w:val="007D0910"/>
    <w:rsid w:val="007D1B46"/>
    <w:rsid w:val="007D6519"/>
    <w:rsid w:val="007E010B"/>
    <w:rsid w:val="007E0999"/>
    <w:rsid w:val="007E13FA"/>
    <w:rsid w:val="007E2A12"/>
    <w:rsid w:val="007E2F24"/>
    <w:rsid w:val="007E70C4"/>
    <w:rsid w:val="007F0B43"/>
    <w:rsid w:val="007F1976"/>
    <w:rsid w:val="007F3958"/>
    <w:rsid w:val="007F4051"/>
    <w:rsid w:val="007F6F8C"/>
    <w:rsid w:val="008022AB"/>
    <w:rsid w:val="00802FC2"/>
    <w:rsid w:val="00803CDF"/>
    <w:rsid w:val="0080611F"/>
    <w:rsid w:val="0080697C"/>
    <w:rsid w:val="00807C2C"/>
    <w:rsid w:val="00807D6C"/>
    <w:rsid w:val="0080FB13"/>
    <w:rsid w:val="00812840"/>
    <w:rsid w:val="00815046"/>
    <w:rsid w:val="00816326"/>
    <w:rsid w:val="00816395"/>
    <w:rsid w:val="00817468"/>
    <w:rsid w:val="00821003"/>
    <w:rsid w:val="00823353"/>
    <w:rsid w:val="00826E90"/>
    <w:rsid w:val="00830162"/>
    <w:rsid w:val="008337F4"/>
    <w:rsid w:val="00844392"/>
    <w:rsid w:val="008447BD"/>
    <w:rsid w:val="00847049"/>
    <w:rsid w:val="008470ED"/>
    <w:rsid w:val="00847598"/>
    <w:rsid w:val="00851AA5"/>
    <w:rsid w:val="00851D24"/>
    <w:rsid w:val="00851EFB"/>
    <w:rsid w:val="00852DCE"/>
    <w:rsid w:val="008536C6"/>
    <w:rsid w:val="00853CA7"/>
    <w:rsid w:val="0085453A"/>
    <w:rsid w:val="008547CA"/>
    <w:rsid w:val="0085519E"/>
    <w:rsid w:val="00860965"/>
    <w:rsid w:val="00860E18"/>
    <w:rsid w:val="00860E34"/>
    <w:rsid w:val="00861F90"/>
    <w:rsid w:val="00864E5E"/>
    <w:rsid w:val="008654BA"/>
    <w:rsid w:val="00865C7A"/>
    <w:rsid w:val="00865F32"/>
    <w:rsid w:val="008700A1"/>
    <w:rsid w:val="00870921"/>
    <w:rsid w:val="00871372"/>
    <w:rsid w:val="0087343B"/>
    <w:rsid w:val="0087395A"/>
    <w:rsid w:val="00874B0A"/>
    <w:rsid w:val="0088094E"/>
    <w:rsid w:val="00882875"/>
    <w:rsid w:val="00882A1A"/>
    <w:rsid w:val="0088355F"/>
    <w:rsid w:val="008872C1"/>
    <w:rsid w:val="00892178"/>
    <w:rsid w:val="00895960"/>
    <w:rsid w:val="008A121C"/>
    <w:rsid w:val="008A1282"/>
    <w:rsid w:val="008A6D6F"/>
    <w:rsid w:val="008B0CEA"/>
    <w:rsid w:val="008B1CED"/>
    <w:rsid w:val="008B1EC1"/>
    <w:rsid w:val="008B207A"/>
    <w:rsid w:val="008B3A48"/>
    <w:rsid w:val="008B4A4A"/>
    <w:rsid w:val="008B5502"/>
    <w:rsid w:val="008B645F"/>
    <w:rsid w:val="008B6C89"/>
    <w:rsid w:val="008B7242"/>
    <w:rsid w:val="008B79A2"/>
    <w:rsid w:val="008B7E21"/>
    <w:rsid w:val="008C06F4"/>
    <w:rsid w:val="008C1C54"/>
    <w:rsid w:val="008C424D"/>
    <w:rsid w:val="008C44BF"/>
    <w:rsid w:val="008C4FA0"/>
    <w:rsid w:val="008C6C4C"/>
    <w:rsid w:val="008C7AF5"/>
    <w:rsid w:val="008D1CBB"/>
    <w:rsid w:val="008D39E7"/>
    <w:rsid w:val="008D4466"/>
    <w:rsid w:val="008D5FB1"/>
    <w:rsid w:val="008D78F2"/>
    <w:rsid w:val="008E028D"/>
    <w:rsid w:val="008E11B9"/>
    <w:rsid w:val="008E18EE"/>
    <w:rsid w:val="008E2694"/>
    <w:rsid w:val="008E2786"/>
    <w:rsid w:val="008E5EDE"/>
    <w:rsid w:val="008E74FE"/>
    <w:rsid w:val="008F4B16"/>
    <w:rsid w:val="008F6942"/>
    <w:rsid w:val="008F7972"/>
    <w:rsid w:val="008F7D60"/>
    <w:rsid w:val="008F7DB0"/>
    <w:rsid w:val="009014D1"/>
    <w:rsid w:val="00901D95"/>
    <w:rsid w:val="00903232"/>
    <w:rsid w:val="00903CD6"/>
    <w:rsid w:val="009044EA"/>
    <w:rsid w:val="00904641"/>
    <w:rsid w:val="00904C9E"/>
    <w:rsid w:val="00910BDE"/>
    <w:rsid w:val="009115F2"/>
    <w:rsid w:val="00913FD4"/>
    <w:rsid w:val="0091675A"/>
    <w:rsid w:val="00917643"/>
    <w:rsid w:val="009209E1"/>
    <w:rsid w:val="00920BBA"/>
    <w:rsid w:val="009219A4"/>
    <w:rsid w:val="00921C2E"/>
    <w:rsid w:val="009229A6"/>
    <w:rsid w:val="0092499C"/>
    <w:rsid w:val="00927A10"/>
    <w:rsid w:val="00927B68"/>
    <w:rsid w:val="009340A0"/>
    <w:rsid w:val="00934124"/>
    <w:rsid w:val="009344BB"/>
    <w:rsid w:val="00935C62"/>
    <w:rsid w:val="00935ECF"/>
    <w:rsid w:val="00936EFF"/>
    <w:rsid w:val="009405C2"/>
    <w:rsid w:val="00940731"/>
    <w:rsid w:val="009407C4"/>
    <w:rsid w:val="00941BF2"/>
    <w:rsid w:val="009517BC"/>
    <w:rsid w:val="00951A14"/>
    <w:rsid w:val="009530ED"/>
    <w:rsid w:val="00953240"/>
    <w:rsid w:val="00956BB4"/>
    <w:rsid w:val="00956DA2"/>
    <w:rsid w:val="009610CE"/>
    <w:rsid w:val="00961EA0"/>
    <w:rsid w:val="00966F3A"/>
    <w:rsid w:val="00967B46"/>
    <w:rsid w:val="009724AE"/>
    <w:rsid w:val="00972CAC"/>
    <w:rsid w:val="00973461"/>
    <w:rsid w:val="009767F0"/>
    <w:rsid w:val="00976BDB"/>
    <w:rsid w:val="00977488"/>
    <w:rsid w:val="0098012F"/>
    <w:rsid w:val="009804E9"/>
    <w:rsid w:val="009827ED"/>
    <w:rsid w:val="009947CC"/>
    <w:rsid w:val="009957C5"/>
    <w:rsid w:val="00996C33"/>
    <w:rsid w:val="00997A7F"/>
    <w:rsid w:val="009A127F"/>
    <w:rsid w:val="009A137E"/>
    <w:rsid w:val="009A17EC"/>
    <w:rsid w:val="009A530A"/>
    <w:rsid w:val="009A5B64"/>
    <w:rsid w:val="009A6559"/>
    <w:rsid w:val="009A71DF"/>
    <w:rsid w:val="009B0409"/>
    <w:rsid w:val="009B1C12"/>
    <w:rsid w:val="009B5993"/>
    <w:rsid w:val="009B70B8"/>
    <w:rsid w:val="009B7220"/>
    <w:rsid w:val="009B7736"/>
    <w:rsid w:val="009C4734"/>
    <w:rsid w:val="009D02E7"/>
    <w:rsid w:val="009D2967"/>
    <w:rsid w:val="009D348B"/>
    <w:rsid w:val="009D57E5"/>
    <w:rsid w:val="009D59F2"/>
    <w:rsid w:val="009D6163"/>
    <w:rsid w:val="009D7112"/>
    <w:rsid w:val="009E0135"/>
    <w:rsid w:val="009E01E8"/>
    <w:rsid w:val="009E255E"/>
    <w:rsid w:val="009E34CD"/>
    <w:rsid w:val="009E37E2"/>
    <w:rsid w:val="009E3998"/>
    <w:rsid w:val="009E4B74"/>
    <w:rsid w:val="009EF469"/>
    <w:rsid w:val="009F003D"/>
    <w:rsid w:val="009F0637"/>
    <w:rsid w:val="009F1260"/>
    <w:rsid w:val="009F262B"/>
    <w:rsid w:val="009F5546"/>
    <w:rsid w:val="009F5AC0"/>
    <w:rsid w:val="009F6C03"/>
    <w:rsid w:val="009F75F0"/>
    <w:rsid w:val="00A03A50"/>
    <w:rsid w:val="00A05F26"/>
    <w:rsid w:val="00A111E5"/>
    <w:rsid w:val="00A15756"/>
    <w:rsid w:val="00A163A4"/>
    <w:rsid w:val="00A20C4B"/>
    <w:rsid w:val="00A20C9B"/>
    <w:rsid w:val="00A217B7"/>
    <w:rsid w:val="00A25359"/>
    <w:rsid w:val="00A26C4D"/>
    <w:rsid w:val="00A27715"/>
    <w:rsid w:val="00A31412"/>
    <w:rsid w:val="00A329F9"/>
    <w:rsid w:val="00A32A62"/>
    <w:rsid w:val="00A3543A"/>
    <w:rsid w:val="00A376B5"/>
    <w:rsid w:val="00A5317C"/>
    <w:rsid w:val="00A5323B"/>
    <w:rsid w:val="00A53548"/>
    <w:rsid w:val="00A54BD1"/>
    <w:rsid w:val="00A55609"/>
    <w:rsid w:val="00A565C7"/>
    <w:rsid w:val="00A56CB5"/>
    <w:rsid w:val="00A57BAD"/>
    <w:rsid w:val="00A61EB7"/>
    <w:rsid w:val="00A65225"/>
    <w:rsid w:val="00A65AD8"/>
    <w:rsid w:val="00A70556"/>
    <w:rsid w:val="00A71DD7"/>
    <w:rsid w:val="00A71E52"/>
    <w:rsid w:val="00A73112"/>
    <w:rsid w:val="00A73711"/>
    <w:rsid w:val="00A743D9"/>
    <w:rsid w:val="00A7671E"/>
    <w:rsid w:val="00A77E8C"/>
    <w:rsid w:val="00A82EE3"/>
    <w:rsid w:val="00A8366E"/>
    <w:rsid w:val="00A8522B"/>
    <w:rsid w:val="00A85E77"/>
    <w:rsid w:val="00A86BD6"/>
    <w:rsid w:val="00A901C5"/>
    <w:rsid w:val="00A9488D"/>
    <w:rsid w:val="00A94D36"/>
    <w:rsid w:val="00A95029"/>
    <w:rsid w:val="00A9711C"/>
    <w:rsid w:val="00AA0805"/>
    <w:rsid w:val="00AA3C71"/>
    <w:rsid w:val="00AA6104"/>
    <w:rsid w:val="00AA633C"/>
    <w:rsid w:val="00AA6A05"/>
    <w:rsid w:val="00AA6FD5"/>
    <w:rsid w:val="00AAFC12"/>
    <w:rsid w:val="00AB380C"/>
    <w:rsid w:val="00AB394F"/>
    <w:rsid w:val="00AB3C91"/>
    <w:rsid w:val="00AB590D"/>
    <w:rsid w:val="00AB6E45"/>
    <w:rsid w:val="00AC2AD1"/>
    <w:rsid w:val="00AD056C"/>
    <w:rsid w:val="00AD211C"/>
    <w:rsid w:val="00AD2B75"/>
    <w:rsid w:val="00AE0170"/>
    <w:rsid w:val="00AE0359"/>
    <w:rsid w:val="00AE2289"/>
    <w:rsid w:val="00AE2307"/>
    <w:rsid w:val="00AE3870"/>
    <w:rsid w:val="00AE71CD"/>
    <w:rsid w:val="00AF0284"/>
    <w:rsid w:val="00AF6F3B"/>
    <w:rsid w:val="00B00FA6"/>
    <w:rsid w:val="00B0173F"/>
    <w:rsid w:val="00B04B79"/>
    <w:rsid w:val="00B06803"/>
    <w:rsid w:val="00B07A84"/>
    <w:rsid w:val="00B106D1"/>
    <w:rsid w:val="00B174E2"/>
    <w:rsid w:val="00B22316"/>
    <w:rsid w:val="00B23B87"/>
    <w:rsid w:val="00B23BA1"/>
    <w:rsid w:val="00B23FA0"/>
    <w:rsid w:val="00B2532F"/>
    <w:rsid w:val="00B2550B"/>
    <w:rsid w:val="00B2614B"/>
    <w:rsid w:val="00B26C7E"/>
    <w:rsid w:val="00B30C97"/>
    <w:rsid w:val="00B34C39"/>
    <w:rsid w:val="00B40299"/>
    <w:rsid w:val="00B4168C"/>
    <w:rsid w:val="00B4359F"/>
    <w:rsid w:val="00B4401B"/>
    <w:rsid w:val="00B50CD9"/>
    <w:rsid w:val="00B51EB5"/>
    <w:rsid w:val="00B53926"/>
    <w:rsid w:val="00B554F8"/>
    <w:rsid w:val="00B6005E"/>
    <w:rsid w:val="00B60B97"/>
    <w:rsid w:val="00B6118F"/>
    <w:rsid w:val="00B63C25"/>
    <w:rsid w:val="00B64312"/>
    <w:rsid w:val="00B644AA"/>
    <w:rsid w:val="00B65F2D"/>
    <w:rsid w:val="00B661B5"/>
    <w:rsid w:val="00B703F7"/>
    <w:rsid w:val="00B70536"/>
    <w:rsid w:val="00B73555"/>
    <w:rsid w:val="00B7786D"/>
    <w:rsid w:val="00B81F26"/>
    <w:rsid w:val="00B8542F"/>
    <w:rsid w:val="00B8685D"/>
    <w:rsid w:val="00B86BE2"/>
    <w:rsid w:val="00B879FC"/>
    <w:rsid w:val="00B9051E"/>
    <w:rsid w:val="00B93486"/>
    <w:rsid w:val="00B93597"/>
    <w:rsid w:val="00B94C89"/>
    <w:rsid w:val="00B95A23"/>
    <w:rsid w:val="00B96231"/>
    <w:rsid w:val="00B96762"/>
    <w:rsid w:val="00B972F9"/>
    <w:rsid w:val="00B977C2"/>
    <w:rsid w:val="00BA02C2"/>
    <w:rsid w:val="00BA08DC"/>
    <w:rsid w:val="00BA18B0"/>
    <w:rsid w:val="00BA2468"/>
    <w:rsid w:val="00BA38F6"/>
    <w:rsid w:val="00BA468B"/>
    <w:rsid w:val="00BA4B18"/>
    <w:rsid w:val="00BA4C1F"/>
    <w:rsid w:val="00BA64D1"/>
    <w:rsid w:val="00BB0AF7"/>
    <w:rsid w:val="00BC3349"/>
    <w:rsid w:val="00BC4CE9"/>
    <w:rsid w:val="00BC6E7F"/>
    <w:rsid w:val="00BD2E4D"/>
    <w:rsid w:val="00BD31D7"/>
    <w:rsid w:val="00BD4D50"/>
    <w:rsid w:val="00BD4E7C"/>
    <w:rsid w:val="00BD504C"/>
    <w:rsid w:val="00BD60EA"/>
    <w:rsid w:val="00BE07D3"/>
    <w:rsid w:val="00BE225D"/>
    <w:rsid w:val="00BE3516"/>
    <w:rsid w:val="00BE38AF"/>
    <w:rsid w:val="00BE5BDD"/>
    <w:rsid w:val="00BE71FA"/>
    <w:rsid w:val="00BF0135"/>
    <w:rsid w:val="00BF19F7"/>
    <w:rsid w:val="00BF30FC"/>
    <w:rsid w:val="00BF3AB9"/>
    <w:rsid w:val="00BF5A97"/>
    <w:rsid w:val="00BF7262"/>
    <w:rsid w:val="00BF734D"/>
    <w:rsid w:val="00BF7B71"/>
    <w:rsid w:val="00BF9AD2"/>
    <w:rsid w:val="00C0206C"/>
    <w:rsid w:val="00C029D9"/>
    <w:rsid w:val="00C06DC8"/>
    <w:rsid w:val="00C12AFE"/>
    <w:rsid w:val="00C1406D"/>
    <w:rsid w:val="00C143D1"/>
    <w:rsid w:val="00C17193"/>
    <w:rsid w:val="00C2166A"/>
    <w:rsid w:val="00C21D71"/>
    <w:rsid w:val="00C22EAE"/>
    <w:rsid w:val="00C23C3D"/>
    <w:rsid w:val="00C24133"/>
    <w:rsid w:val="00C2772B"/>
    <w:rsid w:val="00C27770"/>
    <w:rsid w:val="00C35784"/>
    <w:rsid w:val="00C366A0"/>
    <w:rsid w:val="00C36B54"/>
    <w:rsid w:val="00C3731F"/>
    <w:rsid w:val="00C3C487"/>
    <w:rsid w:val="00C40849"/>
    <w:rsid w:val="00C42293"/>
    <w:rsid w:val="00C42401"/>
    <w:rsid w:val="00C4329A"/>
    <w:rsid w:val="00C436D0"/>
    <w:rsid w:val="00C45B0D"/>
    <w:rsid w:val="00C4624A"/>
    <w:rsid w:val="00C46710"/>
    <w:rsid w:val="00C46AB3"/>
    <w:rsid w:val="00C46CDD"/>
    <w:rsid w:val="00C46F32"/>
    <w:rsid w:val="00C46F9A"/>
    <w:rsid w:val="00C47D58"/>
    <w:rsid w:val="00C4F694"/>
    <w:rsid w:val="00C520EF"/>
    <w:rsid w:val="00C56BC0"/>
    <w:rsid w:val="00C60819"/>
    <w:rsid w:val="00C60CE2"/>
    <w:rsid w:val="00C61C44"/>
    <w:rsid w:val="00C61F4D"/>
    <w:rsid w:val="00C62257"/>
    <w:rsid w:val="00C63954"/>
    <w:rsid w:val="00C63E38"/>
    <w:rsid w:val="00C63F4C"/>
    <w:rsid w:val="00C6469B"/>
    <w:rsid w:val="00C64BC7"/>
    <w:rsid w:val="00C65BB1"/>
    <w:rsid w:val="00C677DC"/>
    <w:rsid w:val="00C7057E"/>
    <w:rsid w:val="00C706FE"/>
    <w:rsid w:val="00C71DE2"/>
    <w:rsid w:val="00C73DE1"/>
    <w:rsid w:val="00C76088"/>
    <w:rsid w:val="00C77790"/>
    <w:rsid w:val="00C827A1"/>
    <w:rsid w:val="00C83D6E"/>
    <w:rsid w:val="00C865AF"/>
    <w:rsid w:val="00C8709A"/>
    <w:rsid w:val="00C87D5B"/>
    <w:rsid w:val="00C92C68"/>
    <w:rsid w:val="00C9331A"/>
    <w:rsid w:val="00C9428C"/>
    <w:rsid w:val="00C94923"/>
    <w:rsid w:val="00C964DA"/>
    <w:rsid w:val="00C97A26"/>
    <w:rsid w:val="00CA139D"/>
    <w:rsid w:val="00CA23C3"/>
    <w:rsid w:val="00CA284C"/>
    <w:rsid w:val="00CA294F"/>
    <w:rsid w:val="00CA5AB4"/>
    <w:rsid w:val="00CB07DB"/>
    <w:rsid w:val="00CB29FB"/>
    <w:rsid w:val="00CB344F"/>
    <w:rsid w:val="00CB39E5"/>
    <w:rsid w:val="00CB3F01"/>
    <w:rsid w:val="00CB427E"/>
    <w:rsid w:val="00CB4670"/>
    <w:rsid w:val="00CB4F2E"/>
    <w:rsid w:val="00CB4FC3"/>
    <w:rsid w:val="00CB5FF1"/>
    <w:rsid w:val="00CB739B"/>
    <w:rsid w:val="00CB7C77"/>
    <w:rsid w:val="00CB7F78"/>
    <w:rsid w:val="00CC66E6"/>
    <w:rsid w:val="00CC7910"/>
    <w:rsid w:val="00CD02AA"/>
    <w:rsid w:val="00CD06CC"/>
    <w:rsid w:val="00CD0967"/>
    <w:rsid w:val="00CD4311"/>
    <w:rsid w:val="00CD6872"/>
    <w:rsid w:val="00CE0339"/>
    <w:rsid w:val="00CE14DF"/>
    <w:rsid w:val="00CE42BE"/>
    <w:rsid w:val="00CE4BB4"/>
    <w:rsid w:val="00CE582B"/>
    <w:rsid w:val="00CE59B3"/>
    <w:rsid w:val="00CE5F24"/>
    <w:rsid w:val="00CE606C"/>
    <w:rsid w:val="00CE686D"/>
    <w:rsid w:val="00CE75E0"/>
    <w:rsid w:val="00CF688F"/>
    <w:rsid w:val="00D01A87"/>
    <w:rsid w:val="00D045D9"/>
    <w:rsid w:val="00D046F9"/>
    <w:rsid w:val="00D0759B"/>
    <w:rsid w:val="00D07EE5"/>
    <w:rsid w:val="00D10749"/>
    <w:rsid w:val="00D10E1C"/>
    <w:rsid w:val="00D118FB"/>
    <w:rsid w:val="00D16ED3"/>
    <w:rsid w:val="00D215D2"/>
    <w:rsid w:val="00D21915"/>
    <w:rsid w:val="00D223C6"/>
    <w:rsid w:val="00D238AB"/>
    <w:rsid w:val="00D24BBA"/>
    <w:rsid w:val="00D252D6"/>
    <w:rsid w:val="00D26085"/>
    <w:rsid w:val="00D26531"/>
    <w:rsid w:val="00D279F8"/>
    <w:rsid w:val="00D31A30"/>
    <w:rsid w:val="00D33FD2"/>
    <w:rsid w:val="00D36B33"/>
    <w:rsid w:val="00D422FE"/>
    <w:rsid w:val="00D426E2"/>
    <w:rsid w:val="00D4401F"/>
    <w:rsid w:val="00D45297"/>
    <w:rsid w:val="00D473E9"/>
    <w:rsid w:val="00D478E8"/>
    <w:rsid w:val="00D518F3"/>
    <w:rsid w:val="00D53C2C"/>
    <w:rsid w:val="00D541A8"/>
    <w:rsid w:val="00D55915"/>
    <w:rsid w:val="00D56C60"/>
    <w:rsid w:val="00D578EE"/>
    <w:rsid w:val="00D57AD3"/>
    <w:rsid w:val="00D6015A"/>
    <w:rsid w:val="00D60BC7"/>
    <w:rsid w:val="00D613E1"/>
    <w:rsid w:val="00D617EA"/>
    <w:rsid w:val="00D61B1B"/>
    <w:rsid w:val="00D623AE"/>
    <w:rsid w:val="00D62436"/>
    <w:rsid w:val="00D64512"/>
    <w:rsid w:val="00D652C6"/>
    <w:rsid w:val="00D664C1"/>
    <w:rsid w:val="00D702C7"/>
    <w:rsid w:val="00D70676"/>
    <w:rsid w:val="00D707CC"/>
    <w:rsid w:val="00D708DC"/>
    <w:rsid w:val="00D71532"/>
    <w:rsid w:val="00D71C86"/>
    <w:rsid w:val="00D71EA8"/>
    <w:rsid w:val="00D7331A"/>
    <w:rsid w:val="00D74633"/>
    <w:rsid w:val="00D75A9C"/>
    <w:rsid w:val="00D86A08"/>
    <w:rsid w:val="00D9121C"/>
    <w:rsid w:val="00D91815"/>
    <w:rsid w:val="00D95034"/>
    <w:rsid w:val="00D95B26"/>
    <w:rsid w:val="00DA2382"/>
    <w:rsid w:val="00DA27D9"/>
    <w:rsid w:val="00DA344B"/>
    <w:rsid w:val="00DA583C"/>
    <w:rsid w:val="00DA697E"/>
    <w:rsid w:val="00DA6B52"/>
    <w:rsid w:val="00DA7535"/>
    <w:rsid w:val="00DA7F25"/>
    <w:rsid w:val="00DB3D7A"/>
    <w:rsid w:val="00DB4B20"/>
    <w:rsid w:val="00DB50CF"/>
    <w:rsid w:val="00DB773B"/>
    <w:rsid w:val="00DB7EE4"/>
    <w:rsid w:val="00DC1B41"/>
    <w:rsid w:val="00DC2D2C"/>
    <w:rsid w:val="00DC41EB"/>
    <w:rsid w:val="00DC7362"/>
    <w:rsid w:val="00DD2126"/>
    <w:rsid w:val="00DD29FE"/>
    <w:rsid w:val="00DD6809"/>
    <w:rsid w:val="00DE0E51"/>
    <w:rsid w:val="00DE1B07"/>
    <w:rsid w:val="00DE1B22"/>
    <w:rsid w:val="00DE6CD2"/>
    <w:rsid w:val="00DE6FAA"/>
    <w:rsid w:val="00DE7FD3"/>
    <w:rsid w:val="00DF4D55"/>
    <w:rsid w:val="00DF5B1B"/>
    <w:rsid w:val="00DF72DA"/>
    <w:rsid w:val="00E004E6"/>
    <w:rsid w:val="00E03070"/>
    <w:rsid w:val="00E035CC"/>
    <w:rsid w:val="00E07235"/>
    <w:rsid w:val="00E110DD"/>
    <w:rsid w:val="00E1314B"/>
    <w:rsid w:val="00E1AF89"/>
    <w:rsid w:val="00E226B3"/>
    <w:rsid w:val="00E2432E"/>
    <w:rsid w:val="00E259A8"/>
    <w:rsid w:val="00E25DD4"/>
    <w:rsid w:val="00E274B6"/>
    <w:rsid w:val="00E27D84"/>
    <w:rsid w:val="00E29E84"/>
    <w:rsid w:val="00E31EF6"/>
    <w:rsid w:val="00E32EED"/>
    <w:rsid w:val="00E33156"/>
    <w:rsid w:val="00E338FB"/>
    <w:rsid w:val="00E33C9F"/>
    <w:rsid w:val="00E34702"/>
    <w:rsid w:val="00E3532C"/>
    <w:rsid w:val="00E409A7"/>
    <w:rsid w:val="00E4146C"/>
    <w:rsid w:val="00E41FF1"/>
    <w:rsid w:val="00E45CD9"/>
    <w:rsid w:val="00E4703F"/>
    <w:rsid w:val="00E50FAD"/>
    <w:rsid w:val="00E5243A"/>
    <w:rsid w:val="00E53739"/>
    <w:rsid w:val="00E5380D"/>
    <w:rsid w:val="00E53B16"/>
    <w:rsid w:val="00E57B74"/>
    <w:rsid w:val="00E5F1A8"/>
    <w:rsid w:val="00E61750"/>
    <w:rsid w:val="00E61E28"/>
    <w:rsid w:val="00E62BB7"/>
    <w:rsid w:val="00E632E4"/>
    <w:rsid w:val="00E63F25"/>
    <w:rsid w:val="00E65806"/>
    <w:rsid w:val="00E66717"/>
    <w:rsid w:val="00E7408C"/>
    <w:rsid w:val="00E74526"/>
    <w:rsid w:val="00E80345"/>
    <w:rsid w:val="00E82818"/>
    <w:rsid w:val="00E828ED"/>
    <w:rsid w:val="00E8598D"/>
    <w:rsid w:val="00E86605"/>
    <w:rsid w:val="00E86C8B"/>
    <w:rsid w:val="00E87084"/>
    <w:rsid w:val="00E87BDC"/>
    <w:rsid w:val="00E902E8"/>
    <w:rsid w:val="00E90694"/>
    <w:rsid w:val="00E9135C"/>
    <w:rsid w:val="00E92A47"/>
    <w:rsid w:val="00E9439D"/>
    <w:rsid w:val="00E94423"/>
    <w:rsid w:val="00E979AB"/>
    <w:rsid w:val="00EA0347"/>
    <w:rsid w:val="00EA23AC"/>
    <w:rsid w:val="00EA282E"/>
    <w:rsid w:val="00EA3175"/>
    <w:rsid w:val="00EA368F"/>
    <w:rsid w:val="00EA3E47"/>
    <w:rsid w:val="00EA601E"/>
    <w:rsid w:val="00EA783C"/>
    <w:rsid w:val="00EB03A9"/>
    <w:rsid w:val="00EB10DE"/>
    <w:rsid w:val="00EB116C"/>
    <w:rsid w:val="00EB1FCC"/>
    <w:rsid w:val="00EB30D3"/>
    <w:rsid w:val="00EB3854"/>
    <w:rsid w:val="00EB51B2"/>
    <w:rsid w:val="00EB5A43"/>
    <w:rsid w:val="00EB5CE2"/>
    <w:rsid w:val="00EB5F01"/>
    <w:rsid w:val="00EB65E7"/>
    <w:rsid w:val="00EB78A8"/>
    <w:rsid w:val="00EB78FA"/>
    <w:rsid w:val="00EC0E98"/>
    <w:rsid w:val="00EC39BC"/>
    <w:rsid w:val="00EC42D0"/>
    <w:rsid w:val="00ED1BB6"/>
    <w:rsid w:val="00ED2B40"/>
    <w:rsid w:val="00ED2CB7"/>
    <w:rsid w:val="00ED5788"/>
    <w:rsid w:val="00ED58F9"/>
    <w:rsid w:val="00ED5D74"/>
    <w:rsid w:val="00EE06CA"/>
    <w:rsid w:val="00EE140B"/>
    <w:rsid w:val="00EE1DF0"/>
    <w:rsid w:val="00EE5F93"/>
    <w:rsid w:val="00EE673A"/>
    <w:rsid w:val="00EF1325"/>
    <w:rsid w:val="00EF1640"/>
    <w:rsid w:val="00EF16D8"/>
    <w:rsid w:val="00EF2B0F"/>
    <w:rsid w:val="00EF3B56"/>
    <w:rsid w:val="00EF441F"/>
    <w:rsid w:val="00EF54CB"/>
    <w:rsid w:val="00EF550B"/>
    <w:rsid w:val="00EF6D73"/>
    <w:rsid w:val="00EF6DB3"/>
    <w:rsid w:val="00F003FC"/>
    <w:rsid w:val="00F00A25"/>
    <w:rsid w:val="00F01358"/>
    <w:rsid w:val="00F03094"/>
    <w:rsid w:val="00F03CAA"/>
    <w:rsid w:val="00F05DD4"/>
    <w:rsid w:val="00F0749D"/>
    <w:rsid w:val="00F10C94"/>
    <w:rsid w:val="00F10ECA"/>
    <w:rsid w:val="00F12B09"/>
    <w:rsid w:val="00F1359D"/>
    <w:rsid w:val="00F1410B"/>
    <w:rsid w:val="00F152DC"/>
    <w:rsid w:val="00F155C5"/>
    <w:rsid w:val="00F16804"/>
    <w:rsid w:val="00F21485"/>
    <w:rsid w:val="00F222F2"/>
    <w:rsid w:val="00F23746"/>
    <w:rsid w:val="00F25323"/>
    <w:rsid w:val="00F26B4C"/>
    <w:rsid w:val="00F27088"/>
    <w:rsid w:val="00F3143D"/>
    <w:rsid w:val="00F33082"/>
    <w:rsid w:val="00F3332B"/>
    <w:rsid w:val="00F3407F"/>
    <w:rsid w:val="00F34198"/>
    <w:rsid w:val="00F352C2"/>
    <w:rsid w:val="00F364F0"/>
    <w:rsid w:val="00F36FE5"/>
    <w:rsid w:val="00F401D2"/>
    <w:rsid w:val="00F40F79"/>
    <w:rsid w:val="00F41C94"/>
    <w:rsid w:val="00F41F4C"/>
    <w:rsid w:val="00F44048"/>
    <w:rsid w:val="00F44C80"/>
    <w:rsid w:val="00F452EF"/>
    <w:rsid w:val="00F461FE"/>
    <w:rsid w:val="00F47629"/>
    <w:rsid w:val="00F50875"/>
    <w:rsid w:val="00F5305D"/>
    <w:rsid w:val="00F53324"/>
    <w:rsid w:val="00F547E5"/>
    <w:rsid w:val="00F5711E"/>
    <w:rsid w:val="00F576B4"/>
    <w:rsid w:val="00F57C99"/>
    <w:rsid w:val="00F5E2B0"/>
    <w:rsid w:val="00F61F29"/>
    <w:rsid w:val="00F62191"/>
    <w:rsid w:val="00F64330"/>
    <w:rsid w:val="00F644BF"/>
    <w:rsid w:val="00F65B3A"/>
    <w:rsid w:val="00F703F3"/>
    <w:rsid w:val="00F71640"/>
    <w:rsid w:val="00F724F6"/>
    <w:rsid w:val="00F73C5F"/>
    <w:rsid w:val="00F756F9"/>
    <w:rsid w:val="00F759F0"/>
    <w:rsid w:val="00F75A95"/>
    <w:rsid w:val="00F77BE1"/>
    <w:rsid w:val="00F81A61"/>
    <w:rsid w:val="00F82E8E"/>
    <w:rsid w:val="00F83E92"/>
    <w:rsid w:val="00F858B5"/>
    <w:rsid w:val="00F97BDC"/>
    <w:rsid w:val="00FA1E28"/>
    <w:rsid w:val="00FA2380"/>
    <w:rsid w:val="00FA3093"/>
    <w:rsid w:val="00FA3261"/>
    <w:rsid w:val="00FA4466"/>
    <w:rsid w:val="00FA4D8F"/>
    <w:rsid w:val="00FA50C2"/>
    <w:rsid w:val="00FA57E3"/>
    <w:rsid w:val="00FA60D0"/>
    <w:rsid w:val="00FA71A0"/>
    <w:rsid w:val="00FB26BC"/>
    <w:rsid w:val="00FB4251"/>
    <w:rsid w:val="00FB5222"/>
    <w:rsid w:val="00FB6550"/>
    <w:rsid w:val="00FC0E7E"/>
    <w:rsid w:val="00FC2396"/>
    <w:rsid w:val="00FC3686"/>
    <w:rsid w:val="00FC434B"/>
    <w:rsid w:val="00FC6082"/>
    <w:rsid w:val="00FC6A8B"/>
    <w:rsid w:val="00FD0AB6"/>
    <w:rsid w:val="00FD0BD8"/>
    <w:rsid w:val="00FD157A"/>
    <w:rsid w:val="00FD2B4D"/>
    <w:rsid w:val="00FD3E1B"/>
    <w:rsid w:val="00FE0ABE"/>
    <w:rsid w:val="00FE33B8"/>
    <w:rsid w:val="00FE3AD5"/>
    <w:rsid w:val="00FE405A"/>
    <w:rsid w:val="00FE5014"/>
    <w:rsid w:val="00FE7545"/>
    <w:rsid w:val="00FF409B"/>
    <w:rsid w:val="00FF5E68"/>
    <w:rsid w:val="00FF627D"/>
    <w:rsid w:val="01033B93"/>
    <w:rsid w:val="010441B4"/>
    <w:rsid w:val="010FE29C"/>
    <w:rsid w:val="0110C8D0"/>
    <w:rsid w:val="01272414"/>
    <w:rsid w:val="012FD761"/>
    <w:rsid w:val="01330338"/>
    <w:rsid w:val="0135CAEA"/>
    <w:rsid w:val="013D9012"/>
    <w:rsid w:val="013E7E54"/>
    <w:rsid w:val="013EFE2E"/>
    <w:rsid w:val="014AB3C5"/>
    <w:rsid w:val="01599BB3"/>
    <w:rsid w:val="015F62CC"/>
    <w:rsid w:val="016023E8"/>
    <w:rsid w:val="01714EF5"/>
    <w:rsid w:val="01718F9F"/>
    <w:rsid w:val="0172D224"/>
    <w:rsid w:val="017598B8"/>
    <w:rsid w:val="0183F728"/>
    <w:rsid w:val="018A9AF1"/>
    <w:rsid w:val="01A11FB8"/>
    <w:rsid w:val="01AB4901"/>
    <w:rsid w:val="01AB94B7"/>
    <w:rsid w:val="01B216D5"/>
    <w:rsid w:val="01BA6172"/>
    <w:rsid w:val="01C612B7"/>
    <w:rsid w:val="01C699EF"/>
    <w:rsid w:val="01CB11E6"/>
    <w:rsid w:val="01D42631"/>
    <w:rsid w:val="01E3EB98"/>
    <w:rsid w:val="01E70D2F"/>
    <w:rsid w:val="01EFDA0E"/>
    <w:rsid w:val="01FA8DBF"/>
    <w:rsid w:val="0209AB15"/>
    <w:rsid w:val="021177C5"/>
    <w:rsid w:val="0216F2DC"/>
    <w:rsid w:val="021C9A3E"/>
    <w:rsid w:val="022609AE"/>
    <w:rsid w:val="024EC49B"/>
    <w:rsid w:val="0250B45C"/>
    <w:rsid w:val="0251856F"/>
    <w:rsid w:val="025397A6"/>
    <w:rsid w:val="025A89ED"/>
    <w:rsid w:val="025B0308"/>
    <w:rsid w:val="0260C715"/>
    <w:rsid w:val="02610531"/>
    <w:rsid w:val="0269BFEB"/>
    <w:rsid w:val="0273B498"/>
    <w:rsid w:val="02861C44"/>
    <w:rsid w:val="0289D4CE"/>
    <w:rsid w:val="028EEC04"/>
    <w:rsid w:val="0291253B"/>
    <w:rsid w:val="02AA0D10"/>
    <w:rsid w:val="02B02863"/>
    <w:rsid w:val="02B37BBB"/>
    <w:rsid w:val="02B7E2AE"/>
    <w:rsid w:val="02D4CCA1"/>
    <w:rsid w:val="02F61F94"/>
    <w:rsid w:val="02F69B51"/>
    <w:rsid w:val="0304F8A3"/>
    <w:rsid w:val="030C148E"/>
    <w:rsid w:val="030C7DDB"/>
    <w:rsid w:val="03108F2E"/>
    <w:rsid w:val="031300DE"/>
    <w:rsid w:val="031C3349"/>
    <w:rsid w:val="03219DAA"/>
    <w:rsid w:val="032CBFED"/>
    <w:rsid w:val="032DF105"/>
    <w:rsid w:val="033A688D"/>
    <w:rsid w:val="03464FB4"/>
    <w:rsid w:val="03471962"/>
    <w:rsid w:val="034A9543"/>
    <w:rsid w:val="0350D686"/>
    <w:rsid w:val="035F23A2"/>
    <w:rsid w:val="035F71A0"/>
    <w:rsid w:val="0362A90F"/>
    <w:rsid w:val="0362D175"/>
    <w:rsid w:val="0377F609"/>
    <w:rsid w:val="037926D2"/>
    <w:rsid w:val="037CC477"/>
    <w:rsid w:val="037DB635"/>
    <w:rsid w:val="0381CC18"/>
    <w:rsid w:val="03A5751C"/>
    <w:rsid w:val="03B56C23"/>
    <w:rsid w:val="03B63AB0"/>
    <w:rsid w:val="03B791CD"/>
    <w:rsid w:val="03B9DB6E"/>
    <w:rsid w:val="03C1F314"/>
    <w:rsid w:val="03C5292D"/>
    <w:rsid w:val="03C9621A"/>
    <w:rsid w:val="03CC8ADE"/>
    <w:rsid w:val="03CE080C"/>
    <w:rsid w:val="03D12020"/>
    <w:rsid w:val="03D1905A"/>
    <w:rsid w:val="03D4DFBC"/>
    <w:rsid w:val="03F39922"/>
    <w:rsid w:val="03F8EF29"/>
    <w:rsid w:val="03FC9776"/>
    <w:rsid w:val="04034C00"/>
    <w:rsid w:val="0405D7D1"/>
    <w:rsid w:val="040DF512"/>
    <w:rsid w:val="0411D0C2"/>
    <w:rsid w:val="04146785"/>
    <w:rsid w:val="041F002E"/>
    <w:rsid w:val="0420B2CC"/>
    <w:rsid w:val="0425A52F"/>
    <w:rsid w:val="04351C98"/>
    <w:rsid w:val="043C0876"/>
    <w:rsid w:val="045FD7DF"/>
    <w:rsid w:val="046338C2"/>
    <w:rsid w:val="0468FF39"/>
    <w:rsid w:val="04696793"/>
    <w:rsid w:val="047E30ED"/>
    <w:rsid w:val="04802898"/>
    <w:rsid w:val="0481ED8B"/>
    <w:rsid w:val="048368AA"/>
    <w:rsid w:val="04954917"/>
    <w:rsid w:val="049AE069"/>
    <w:rsid w:val="049DF94F"/>
    <w:rsid w:val="04A4A2AD"/>
    <w:rsid w:val="04A5DB0B"/>
    <w:rsid w:val="04A79524"/>
    <w:rsid w:val="04ADABE2"/>
    <w:rsid w:val="04C6C3ED"/>
    <w:rsid w:val="04C9C166"/>
    <w:rsid w:val="04D36C79"/>
    <w:rsid w:val="04DC2EDD"/>
    <w:rsid w:val="04DEAF58"/>
    <w:rsid w:val="04E0CF50"/>
    <w:rsid w:val="04E1EFDA"/>
    <w:rsid w:val="04E785CA"/>
    <w:rsid w:val="04EAFE87"/>
    <w:rsid w:val="04F07DB4"/>
    <w:rsid w:val="04F432E2"/>
    <w:rsid w:val="04F89DEF"/>
    <w:rsid w:val="04F9A04B"/>
    <w:rsid w:val="04FF9A96"/>
    <w:rsid w:val="0504C499"/>
    <w:rsid w:val="0508F853"/>
    <w:rsid w:val="052FD438"/>
    <w:rsid w:val="05308E0B"/>
    <w:rsid w:val="0536E652"/>
    <w:rsid w:val="053DFC5C"/>
    <w:rsid w:val="053F2B68"/>
    <w:rsid w:val="05413D86"/>
    <w:rsid w:val="0541D8DF"/>
    <w:rsid w:val="0541E0A6"/>
    <w:rsid w:val="054C1D6F"/>
    <w:rsid w:val="0551B967"/>
    <w:rsid w:val="0553FACF"/>
    <w:rsid w:val="05639290"/>
    <w:rsid w:val="056478EE"/>
    <w:rsid w:val="05734C9F"/>
    <w:rsid w:val="05736548"/>
    <w:rsid w:val="05775D5D"/>
    <w:rsid w:val="0586D24F"/>
    <w:rsid w:val="0591CBFE"/>
    <w:rsid w:val="0598A5F3"/>
    <w:rsid w:val="059E6DC7"/>
    <w:rsid w:val="05A32582"/>
    <w:rsid w:val="05B8BF30"/>
    <w:rsid w:val="05CB63D9"/>
    <w:rsid w:val="05D02379"/>
    <w:rsid w:val="05D04E7A"/>
    <w:rsid w:val="05DA3DC5"/>
    <w:rsid w:val="05F77B7F"/>
    <w:rsid w:val="06001BC2"/>
    <w:rsid w:val="0603E840"/>
    <w:rsid w:val="0606C793"/>
    <w:rsid w:val="060E70E1"/>
    <w:rsid w:val="06158C4A"/>
    <w:rsid w:val="061C648C"/>
    <w:rsid w:val="06216DA1"/>
    <w:rsid w:val="0629A7E1"/>
    <w:rsid w:val="062C7AA6"/>
    <w:rsid w:val="0635D56E"/>
    <w:rsid w:val="0636B0CA"/>
    <w:rsid w:val="0646B71F"/>
    <w:rsid w:val="06497D7D"/>
    <w:rsid w:val="06499F0D"/>
    <w:rsid w:val="066591C7"/>
    <w:rsid w:val="06682193"/>
    <w:rsid w:val="06749905"/>
    <w:rsid w:val="06779DA2"/>
    <w:rsid w:val="067B163B"/>
    <w:rsid w:val="067E8253"/>
    <w:rsid w:val="0691C5BB"/>
    <w:rsid w:val="06A0CF52"/>
    <w:rsid w:val="06A26CA6"/>
    <w:rsid w:val="06A39A09"/>
    <w:rsid w:val="06A84689"/>
    <w:rsid w:val="06B94DB2"/>
    <w:rsid w:val="06C6330D"/>
    <w:rsid w:val="06C732B4"/>
    <w:rsid w:val="06C7F51C"/>
    <w:rsid w:val="06D9D39F"/>
    <w:rsid w:val="06DC903A"/>
    <w:rsid w:val="06DD3335"/>
    <w:rsid w:val="06F791B3"/>
    <w:rsid w:val="0703A0F0"/>
    <w:rsid w:val="07050FD4"/>
    <w:rsid w:val="071D0D88"/>
    <w:rsid w:val="071FF220"/>
    <w:rsid w:val="072785AD"/>
    <w:rsid w:val="072D6689"/>
    <w:rsid w:val="072EDC56"/>
    <w:rsid w:val="072F062C"/>
    <w:rsid w:val="072FD26A"/>
    <w:rsid w:val="07358E57"/>
    <w:rsid w:val="073BE399"/>
    <w:rsid w:val="074A7B7E"/>
    <w:rsid w:val="07591B84"/>
    <w:rsid w:val="07597BF8"/>
    <w:rsid w:val="075B87E1"/>
    <w:rsid w:val="076164FE"/>
    <w:rsid w:val="0764C4D5"/>
    <w:rsid w:val="07682C87"/>
    <w:rsid w:val="0779AC72"/>
    <w:rsid w:val="0784FC0E"/>
    <w:rsid w:val="07861C85"/>
    <w:rsid w:val="079A766E"/>
    <w:rsid w:val="07A1379A"/>
    <w:rsid w:val="07A1B9B1"/>
    <w:rsid w:val="07A50C6E"/>
    <w:rsid w:val="07B20134"/>
    <w:rsid w:val="07BBC929"/>
    <w:rsid w:val="07C2539B"/>
    <w:rsid w:val="07D17684"/>
    <w:rsid w:val="07D623CA"/>
    <w:rsid w:val="07DF85B1"/>
    <w:rsid w:val="07DFF3B2"/>
    <w:rsid w:val="07E4B989"/>
    <w:rsid w:val="07EBFE12"/>
    <w:rsid w:val="07F57A6F"/>
    <w:rsid w:val="07F97B3E"/>
    <w:rsid w:val="07FA4F7D"/>
    <w:rsid w:val="08048C56"/>
    <w:rsid w:val="081AB1C3"/>
    <w:rsid w:val="081D8079"/>
    <w:rsid w:val="083045E2"/>
    <w:rsid w:val="0831326A"/>
    <w:rsid w:val="083402CD"/>
    <w:rsid w:val="0847E216"/>
    <w:rsid w:val="085BF387"/>
    <w:rsid w:val="086D2714"/>
    <w:rsid w:val="086FBBE0"/>
    <w:rsid w:val="0873F86C"/>
    <w:rsid w:val="0877395D"/>
    <w:rsid w:val="087D58C3"/>
    <w:rsid w:val="0880DFAE"/>
    <w:rsid w:val="08834BE3"/>
    <w:rsid w:val="089AA54A"/>
    <w:rsid w:val="08C33F44"/>
    <w:rsid w:val="08C69C7C"/>
    <w:rsid w:val="08C69CC6"/>
    <w:rsid w:val="08CC4092"/>
    <w:rsid w:val="08CC6C0F"/>
    <w:rsid w:val="08CEA978"/>
    <w:rsid w:val="08D948F4"/>
    <w:rsid w:val="08DBCE98"/>
    <w:rsid w:val="08E31BFD"/>
    <w:rsid w:val="0904DFBF"/>
    <w:rsid w:val="090994E2"/>
    <w:rsid w:val="091085AA"/>
    <w:rsid w:val="091A2974"/>
    <w:rsid w:val="0928251E"/>
    <w:rsid w:val="092FE454"/>
    <w:rsid w:val="0939D7D9"/>
    <w:rsid w:val="09456B20"/>
    <w:rsid w:val="094816DE"/>
    <w:rsid w:val="0955CD9D"/>
    <w:rsid w:val="096148A3"/>
    <w:rsid w:val="09636546"/>
    <w:rsid w:val="096804AA"/>
    <w:rsid w:val="096B7EEE"/>
    <w:rsid w:val="096CA3C2"/>
    <w:rsid w:val="09710742"/>
    <w:rsid w:val="0974BD91"/>
    <w:rsid w:val="09762541"/>
    <w:rsid w:val="098121DE"/>
    <w:rsid w:val="0981D970"/>
    <w:rsid w:val="09857874"/>
    <w:rsid w:val="0993877F"/>
    <w:rsid w:val="099632F1"/>
    <w:rsid w:val="099AA2BC"/>
    <w:rsid w:val="09AC14E7"/>
    <w:rsid w:val="09D37871"/>
    <w:rsid w:val="09EB7C80"/>
    <w:rsid w:val="09EE098F"/>
    <w:rsid w:val="09FCE6CB"/>
    <w:rsid w:val="09FDAC6F"/>
    <w:rsid w:val="0A08F775"/>
    <w:rsid w:val="0A0F4750"/>
    <w:rsid w:val="0A1D41D9"/>
    <w:rsid w:val="0A240939"/>
    <w:rsid w:val="0A2510E4"/>
    <w:rsid w:val="0A2BAB5E"/>
    <w:rsid w:val="0A42E0FA"/>
    <w:rsid w:val="0A479D4E"/>
    <w:rsid w:val="0A5181F9"/>
    <w:rsid w:val="0A5280C3"/>
    <w:rsid w:val="0A5B1269"/>
    <w:rsid w:val="0A62F550"/>
    <w:rsid w:val="0A665DA1"/>
    <w:rsid w:val="0A667D18"/>
    <w:rsid w:val="0A6866CE"/>
    <w:rsid w:val="0A79088B"/>
    <w:rsid w:val="0A82F83F"/>
    <w:rsid w:val="0A8AAF10"/>
    <w:rsid w:val="0AA4A6DB"/>
    <w:rsid w:val="0AAA1DD9"/>
    <w:rsid w:val="0AC18392"/>
    <w:rsid w:val="0AC6A285"/>
    <w:rsid w:val="0ACFCBF3"/>
    <w:rsid w:val="0AE85098"/>
    <w:rsid w:val="0AECD771"/>
    <w:rsid w:val="0AEF825C"/>
    <w:rsid w:val="0AF0955F"/>
    <w:rsid w:val="0AF0B25A"/>
    <w:rsid w:val="0AF369EB"/>
    <w:rsid w:val="0AF943F3"/>
    <w:rsid w:val="0AF9DAE5"/>
    <w:rsid w:val="0B16DA8D"/>
    <w:rsid w:val="0B1A7410"/>
    <w:rsid w:val="0B1A9644"/>
    <w:rsid w:val="0B1B0C03"/>
    <w:rsid w:val="0B213F16"/>
    <w:rsid w:val="0B2658EF"/>
    <w:rsid w:val="0B2ED9A1"/>
    <w:rsid w:val="0B44C9A4"/>
    <w:rsid w:val="0B4B6972"/>
    <w:rsid w:val="0B54BAFD"/>
    <w:rsid w:val="0B5BB15C"/>
    <w:rsid w:val="0B5F47F5"/>
    <w:rsid w:val="0B630CCA"/>
    <w:rsid w:val="0B645359"/>
    <w:rsid w:val="0B6D8BB2"/>
    <w:rsid w:val="0B73282F"/>
    <w:rsid w:val="0B7AE9A7"/>
    <w:rsid w:val="0B7FD7D6"/>
    <w:rsid w:val="0B896BA9"/>
    <w:rsid w:val="0B8FFBD8"/>
    <w:rsid w:val="0B95C32F"/>
    <w:rsid w:val="0B9E18F3"/>
    <w:rsid w:val="0B9FEA94"/>
    <w:rsid w:val="0BA7CDF7"/>
    <w:rsid w:val="0BA94659"/>
    <w:rsid w:val="0BAB17B1"/>
    <w:rsid w:val="0BB1D4F8"/>
    <w:rsid w:val="0BB717B7"/>
    <w:rsid w:val="0BC3733F"/>
    <w:rsid w:val="0BD804AA"/>
    <w:rsid w:val="0BDCEE06"/>
    <w:rsid w:val="0BDFE7C5"/>
    <w:rsid w:val="0BE619F1"/>
    <w:rsid w:val="0BE6508F"/>
    <w:rsid w:val="0BE82523"/>
    <w:rsid w:val="0BF501F0"/>
    <w:rsid w:val="0BFD24AB"/>
    <w:rsid w:val="0C199E7F"/>
    <w:rsid w:val="0C1B5F9A"/>
    <w:rsid w:val="0C28128D"/>
    <w:rsid w:val="0C28E0B5"/>
    <w:rsid w:val="0C30F98F"/>
    <w:rsid w:val="0C34E4F6"/>
    <w:rsid w:val="0C40906A"/>
    <w:rsid w:val="0C47C6D8"/>
    <w:rsid w:val="0C4D7044"/>
    <w:rsid w:val="0C502BD2"/>
    <w:rsid w:val="0C523120"/>
    <w:rsid w:val="0C52BBBD"/>
    <w:rsid w:val="0C53EF0C"/>
    <w:rsid w:val="0C588686"/>
    <w:rsid w:val="0C5A2098"/>
    <w:rsid w:val="0C5E3448"/>
    <w:rsid w:val="0C666805"/>
    <w:rsid w:val="0C6769A3"/>
    <w:rsid w:val="0C692CA8"/>
    <w:rsid w:val="0C711836"/>
    <w:rsid w:val="0C833394"/>
    <w:rsid w:val="0C8F4ABA"/>
    <w:rsid w:val="0C96B038"/>
    <w:rsid w:val="0C97CAFE"/>
    <w:rsid w:val="0C9ABF4C"/>
    <w:rsid w:val="0CB051E6"/>
    <w:rsid w:val="0CB628BE"/>
    <w:rsid w:val="0CBC2A6B"/>
    <w:rsid w:val="0CC14ACD"/>
    <w:rsid w:val="0CC624DA"/>
    <w:rsid w:val="0CC8CA07"/>
    <w:rsid w:val="0CC95BE6"/>
    <w:rsid w:val="0CCA3A8C"/>
    <w:rsid w:val="0CCEFCC5"/>
    <w:rsid w:val="0CD3B494"/>
    <w:rsid w:val="0CE1F0E4"/>
    <w:rsid w:val="0CEB6D6A"/>
    <w:rsid w:val="0CFA986C"/>
    <w:rsid w:val="0CFDB2C1"/>
    <w:rsid w:val="0D0543C2"/>
    <w:rsid w:val="0D104165"/>
    <w:rsid w:val="0D11F860"/>
    <w:rsid w:val="0D13A6D9"/>
    <w:rsid w:val="0D302329"/>
    <w:rsid w:val="0D32EE6C"/>
    <w:rsid w:val="0D3E01B2"/>
    <w:rsid w:val="0D42A3FB"/>
    <w:rsid w:val="0D444E38"/>
    <w:rsid w:val="0D466CC5"/>
    <w:rsid w:val="0D46E812"/>
    <w:rsid w:val="0D49F50F"/>
    <w:rsid w:val="0D4F464F"/>
    <w:rsid w:val="0D56260F"/>
    <w:rsid w:val="0D569F74"/>
    <w:rsid w:val="0D6727A6"/>
    <w:rsid w:val="0D6946E5"/>
    <w:rsid w:val="0D6A7DBE"/>
    <w:rsid w:val="0D741E82"/>
    <w:rsid w:val="0D7A81BC"/>
    <w:rsid w:val="0D7F313A"/>
    <w:rsid w:val="0D8135E4"/>
    <w:rsid w:val="0D826F42"/>
    <w:rsid w:val="0D8E3FB5"/>
    <w:rsid w:val="0D9113A2"/>
    <w:rsid w:val="0D9B8C36"/>
    <w:rsid w:val="0D9E0835"/>
    <w:rsid w:val="0D9E1DDA"/>
    <w:rsid w:val="0DACBA17"/>
    <w:rsid w:val="0DAF3761"/>
    <w:rsid w:val="0DC12227"/>
    <w:rsid w:val="0DD2E5EE"/>
    <w:rsid w:val="0DD4D596"/>
    <w:rsid w:val="0DE41034"/>
    <w:rsid w:val="0DE5122B"/>
    <w:rsid w:val="0DEC8AE3"/>
    <w:rsid w:val="0DED002A"/>
    <w:rsid w:val="0DF5CF11"/>
    <w:rsid w:val="0DFBA163"/>
    <w:rsid w:val="0E00A81F"/>
    <w:rsid w:val="0E265686"/>
    <w:rsid w:val="0E2C65E4"/>
    <w:rsid w:val="0E38D23B"/>
    <w:rsid w:val="0E3A30A0"/>
    <w:rsid w:val="0E701D6F"/>
    <w:rsid w:val="0E7625EF"/>
    <w:rsid w:val="0E7EC911"/>
    <w:rsid w:val="0E90CFA0"/>
    <w:rsid w:val="0E958AC6"/>
    <w:rsid w:val="0E988F84"/>
    <w:rsid w:val="0E98FBC1"/>
    <w:rsid w:val="0EBA2544"/>
    <w:rsid w:val="0EBBB179"/>
    <w:rsid w:val="0EC048B5"/>
    <w:rsid w:val="0EC1269E"/>
    <w:rsid w:val="0ECE5EC1"/>
    <w:rsid w:val="0EDC9E7E"/>
    <w:rsid w:val="0EE2B873"/>
    <w:rsid w:val="0EE63E34"/>
    <w:rsid w:val="0EE76BAE"/>
    <w:rsid w:val="0EE7D522"/>
    <w:rsid w:val="0EE8F5B6"/>
    <w:rsid w:val="0EF0E2D5"/>
    <w:rsid w:val="0EF6D085"/>
    <w:rsid w:val="0EFD7EFF"/>
    <w:rsid w:val="0F07B801"/>
    <w:rsid w:val="0F0811D5"/>
    <w:rsid w:val="0F124896"/>
    <w:rsid w:val="0F148EC8"/>
    <w:rsid w:val="0F19FA98"/>
    <w:rsid w:val="0F1ECDA0"/>
    <w:rsid w:val="0F1F9883"/>
    <w:rsid w:val="0F34A448"/>
    <w:rsid w:val="0F36F2EE"/>
    <w:rsid w:val="0F5D9CA5"/>
    <w:rsid w:val="0F617500"/>
    <w:rsid w:val="0F67324F"/>
    <w:rsid w:val="0F70FFAD"/>
    <w:rsid w:val="0F77D734"/>
    <w:rsid w:val="0F784B2E"/>
    <w:rsid w:val="0F7B337E"/>
    <w:rsid w:val="0F7C5A77"/>
    <w:rsid w:val="0F7ED07D"/>
    <w:rsid w:val="0F82ADF5"/>
    <w:rsid w:val="0F87D739"/>
    <w:rsid w:val="0F905C26"/>
    <w:rsid w:val="0F97FB79"/>
    <w:rsid w:val="0FA07279"/>
    <w:rsid w:val="0FA4B32D"/>
    <w:rsid w:val="0FA985CE"/>
    <w:rsid w:val="0FB574E2"/>
    <w:rsid w:val="0FC36F59"/>
    <w:rsid w:val="0FCB98FA"/>
    <w:rsid w:val="0FD4A29C"/>
    <w:rsid w:val="0FE05012"/>
    <w:rsid w:val="0FEC1E96"/>
    <w:rsid w:val="0FEE21B3"/>
    <w:rsid w:val="0FF03B0C"/>
    <w:rsid w:val="0FF2CD5A"/>
    <w:rsid w:val="0FF8CDF3"/>
    <w:rsid w:val="0FF9381F"/>
    <w:rsid w:val="0FFE3DB9"/>
    <w:rsid w:val="1000BC56"/>
    <w:rsid w:val="1004105A"/>
    <w:rsid w:val="1008D50D"/>
    <w:rsid w:val="1021BDEA"/>
    <w:rsid w:val="10264CF4"/>
    <w:rsid w:val="10288D76"/>
    <w:rsid w:val="102A1D76"/>
    <w:rsid w:val="102B424F"/>
    <w:rsid w:val="1035FEE8"/>
    <w:rsid w:val="10381AA7"/>
    <w:rsid w:val="1038CF73"/>
    <w:rsid w:val="103DF008"/>
    <w:rsid w:val="104452C5"/>
    <w:rsid w:val="106210D2"/>
    <w:rsid w:val="106DE685"/>
    <w:rsid w:val="10709142"/>
    <w:rsid w:val="107ACCAC"/>
    <w:rsid w:val="107CDAC5"/>
    <w:rsid w:val="10837D29"/>
    <w:rsid w:val="1093A087"/>
    <w:rsid w:val="10994F60"/>
    <w:rsid w:val="1099E7E7"/>
    <w:rsid w:val="1099F27F"/>
    <w:rsid w:val="109EAA2A"/>
    <w:rsid w:val="10A284A7"/>
    <w:rsid w:val="10A4F464"/>
    <w:rsid w:val="10A76B6F"/>
    <w:rsid w:val="10A8A891"/>
    <w:rsid w:val="10B61114"/>
    <w:rsid w:val="10B8B960"/>
    <w:rsid w:val="10C12C6F"/>
    <w:rsid w:val="10C16D0A"/>
    <w:rsid w:val="10C2E27A"/>
    <w:rsid w:val="10C3CD8F"/>
    <w:rsid w:val="10D4C993"/>
    <w:rsid w:val="10D5BE9C"/>
    <w:rsid w:val="10DEC663"/>
    <w:rsid w:val="10E24CF6"/>
    <w:rsid w:val="10ECF9C1"/>
    <w:rsid w:val="11066483"/>
    <w:rsid w:val="11100898"/>
    <w:rsid w:val="111A0EA6"/>
    <w:rsid w:val="111F866B"/>
    <w:rsid w:val="111FFFE5"/>
    <w:rsid w:val="1128CCF8"/>
    <w:rsid w:val="112910B3"/>
    <w:rsid w:val="112C65E9"/>
    <w:rsid w:val="11333703"/>
    <w:rsid w:val="113693DC"/>
    <w:rsid w:val="1141F555"/>
    <w:rsid w:val="1145E61C"/>
    <w:rsid w:val="1146411A"/>
    <w:rsid w:val="1147506B"/>
    <w:rsid w:val="1156085F"/>
    <w:rsid w:val="1159BC9F"/>
    <w:rsid w:val="115C31D6"/>
    <w:rsid w:val="11622027"/>
    <w:rsid w:val="116303EA"/>
    <w:rsid w:val="116A0E2D"/>
    <w:rsid w:val="117875DD"/>
    <w:rsid w:val="11807AE5"/>
    <w:rsid w:val="118AF9BF"/>
    <w:rsid w:val="11944DA4"/>
    <w:rsid w:val="1196895A"/>
    <w:rsid w:val="119A7E6D"/>
    <w:rsid w:val="119E1B25"/>
    <w:rsid w:val="11A0AD0D"/>
    <w:rsid w:val="11A109AF"/>
    <w:rsid w:val="11A590A4"/>
    <w:rsid w:val="11ACFF41"/>
    <w:rsid w:val="11ADF0BA"/>
    <w:rsid w:val="11B9AD6E"/>
    <w:rsid w:val="11BB7022"/>
    <w:rsid w:val="11C078A3"/>
    <w:rsid w:val="11C2937F"/>
    <w:rsid w:val="11C4CD68"/>
    <w:rsid w:val="11DDBDF8"/>
    <w:rsid w:val="11EC6219"/>
    <w:rsid w:val="11F48D53"/>
    <w:rsid w:val="120D2750"/>
    <w:rsid w:val="1212AA41"/>
    <w:rsid w:val="121665B2"/>
    <w:rsid w:val="121FF4AC"/>
    <w:rsid w:val="1227B60B"/>
    <w:rsid w:val="1231506C"/>
    <w:rsid w:val="12359DC1"/>
    <w:rsid w:val="12369061"/>
    <w:rsid w:val="123DD9CA"/>
    <w:rsid w:val="123E8A3E"/>
    <w:rsid w:val="1252F360"/>
    <w:rsid w:val="125479DD"/>
    <w:rsid w:val="1255E065"/>
    <w:rsid w:val="125720AB"/>
    <w:rsid w:val="125B7F9C"/>
    <w:rsid w:val="1262BB71"/>
    <w:rsid w:val="12789079"/>
    <w:rsid w:val="12802B3A"/>
    <w:rsid w:val="1281853B"/>
    <w:rsid w:val="128948E9"/>
    <w:rsid w:val="128B07AB"/>
    <w:rsid w:val="12906395"/>
    <w:rsid w:val="1293357C"/>
    <w:rsid w:val="12969539"/>
    <w:rsid w:val="12BBD046"/>
    <w:rsid w:val="12BE55F4"/>
    <w:rsid w:val="12C46A12"/>
    <w:rsid w:val="12D86DAF"/>
    <w:rsid w:val="12E320CC"/>
    <w:rsid w:val="12EECCBC"/>
    <w:rsid w:val="12EF09F1"/>
    <w:rsid w:val="12F2F6EA"/>
    <w:rsid w:val="130E1C28"/>
    <w:rsid w:val="130EC403"/>
    <w:rsid w:val="13152462"/>
    <w:rsid w:val="133768F2"/>
    <w:rsid w:val="134CB000"/>
    <w:rsid w:val="13540B86"/>
    <w:rsid w:val="13645541"/>
    <w:rsid w:val="13654DA4"/>
    <w:rsid w:val="137C0B6E"/>
    <w:rsid w:val="137DA29C"/>
    <w:rsid w:val="13890699"/>
    <w:rsid w:val="1393B301"/>
    <w:rsid w:val="1393BEB9"/>
    <w:rsid w:val="13946C22"/>
    <w:rsid w:val="13B69F1D"/>
    <w:rsid w:val="13B6C291"/>
    <w:rsid w:val="13B7992D"/>
    <w:rsid w:val="13D0F022"/>
    <w:rsid w:val="13D359A7"/>
    <w:rsid w:val="13D4C143"/>
    <w:rsid w:val="13D7D793"/>
    <w:rsid w:val="13D7E15A"/>
    <w:rsid w:val="13D98767"/>
    <w:rsid w:val="13F6793E"/>
    <w:rsid w:val="13FAA406"/>
    <w:rsid w:val="140A7A5E"/>
    <w:rsid w:val="140BDF9F"/>
    <w:rsid w:val="14226272"/>
    <w:rsid w:val="142AC05A"/>
    <w:rsid w:val="142C0662"/>
    <w:rsid w:val="142ECCAD"/>
    <w:rsid w:val="1437E260"/>
    <w:rsid w:val="143D6662"/>
    <w:rsid w:val="143FE98D"/>
    <w:rsid w:val="1452D332"/>
    <w:rsid w:val="146110C5"/>
    <w:rsid w:val="146B6C9C"/>
    <w:rsid w:val="146CCB41"/>
    <w:rsid w:val="14745CEE"/>
    <w:rsid w:val="147C8E18"/>
    <w:rsid w:val="14871937"/>
    <w:rsid w:val="148F8668"/>
    <w:rsid w:val="14A02639"/>
    <w:rsid w:val="14A2030C"/>
    <w:rsid w:val="14AAE2D5"/>
    <w:rsid w:val="14AB94FA"/>
    <w:rsid w:val="14B20CA9"/>
    <w:rsid w:val="14B3E4DD"/>
    <w:rsid w:val="14C1788A"/>
    <w:rsid w:val="14C5F5B6"/>
    <w:rsid w:val="14CC0E1D"/>
    <w:rsid w:val="14CC69DB"/>
    <w:rsid w:val="14DB06DD"/>
    <w:rsid w:val="14DCB8AF"/>
    <w:rsid w:val="14DD3166"/>
    <w:rsid w:val="14E8C5B1"/>
    <w:rsid w:val="14FBDAD4"/>
    <w:rsid w:val="150135E7"/>
    <w:rsid w:val="150EA2B5"/>
    <w:rsid w:val="151E41D2"/>
    <w:rsid w:val="152778DD"/>
    <w:rsid w:val="152DF131"/>
    <w:rsid w:val="153820E4"/>
    <w:rsid w:val="153E3F38"/>
    <w:rsid w:val="1548C5B6"/>
    <w:rsid w:val="1555675C"/>
    <w:rsid w:val="1558A3EF"/>
    <w:rsid w:val="15666A9D"/>
    <w:rsid w:val="15739B63"/>
    <w:rsid w:val="1573A723"/>
    <w:rsid w:val="158A50E1"/>
    <w:rsid w:val="158EEF7E"/>
    <w:rsid w:val="15909975"/>
    <w:rsid w:val="159309F0"/>
    <w:rsid w:val="159B519C"/>
    <w:rsid w:val="15A522B1"/>
    <w:rsid w:val="15AE6FEE"/>
    <w:rsid w:val="15AF8C8A"/>
    <w:rsid w:val="15C7D6C3"/>
    <w:rsid w:val="15C9DF89"/>
    <w:rsid w:val="15C9F36E"/>
    <w:rsid w:val="15CD3FAE"/>
    <w:rsid w:val="15F4E0F8"/>
    <w:rsid w:val="15FBB6F2"/>
    <w:rsid w:val="15FE1879"/>
    <w:rsid w:val="16116F4F"/>
    <w:rsid w:val="1622CD47"/>
    <w:rsid w:val="162B5F62"/>
    <w:rsid w:val="162C8929"/>
    <w:rsid w:val="1631D99F"/>
    <w:rsid w:val="16438EDE"/>
    <w:rsid w:val="16440D5E"/>
    <w:rsid w:val="164A8927"/>
    <w:rsid w:val="16540A3D"/>
    <w:rsid w:val="16583970"/>
    <w:rsid w:val="165E1F1B"/>
    <w:rsid w:val="1665152B"/>
    <w:rsid w:val="167A7306"/>
    <w:rsid w:val="1683A317"/>
    <w:rsid w:val="1689D17E"/>
    <w:rsid w:val="168FE49F"/>
    <w:rsid w:val="169B7E76"/>
    <w:rsid w:val="169DFFDA"/>
    <w:rsid w:val="16A2CDBA"/>
    <w:rsid w:val="16B55272"/>
    <w:rsid w:val="16C34988"/>
    <w:rsid w:val="16C5E795"/>
    <w:rsid w:val="16E3B3A6"/>
    <w:rsid w:val="16E5B253"/>
    <w:rsid w:val="16EA35D8"/>
    <w:rsid w:val="16F55A96"/>
    <w:rsid w:val="170A36C6"/>
    <w:rsid w:val="1710292B"/>
    <w:rsid w:val="17284445"/>
    <w:rsid w:val="17323E4F"/>
    <w:rsid w:val="1734B221"/>
    <w:rsid w:val="173E6208"/>
    <w:rsid w:val="174A5C02"/>
    <w:rsid w:val="1750529E"/>
    <w:rsid w:val="17523DA0"/>
    <w:rsid w:val="17614A01"/>
    <w:rsid w:val="176DECB7"/>
    <w:rsid w:val="178C712A"/>
    <w:rsid w:val="17947A7C"/>
    <w:rsid w:val="17978753"/>
    <w:rsid w:val="17996032"/>
    <w:rsid w:val="179F51E2"/>
    <w:rsid w:val="17BE8018"/>
    <w:rsid w:val="17CEDB9C"/>
    <w:rsid w:val="17D77070"/>
    <w:rsid w:val="17E279A9"/>
    <w:rsid w:val="17EB35A5"/>
    <w:rsid w:val="17F05B02"/>
    <w:rsid w:val="17F62D14"/>
    <w:rsid w:val="17F99150"/>
    <w:rsid w:val="17FD66E2"/>
    <w:rsid w:val="18111780"/>
    <w:rsid w:val="18126686"/>
    <w:rsid w:val="1816E39C"/>
    <w:rsid w:val="181FCECE"/>
    <w:rsid w:val="18245E70"/>
    <w:rsid w:val="18273202"/>
    <w:rsid w:val="182E36F3"/>
    <w:rsid w:val="1832A437"/>
    <w:rsid w:val="18371FAB"/>
    <w:rsid w:val="183925CC"/>
    <w:rsid w:val="1849C7C8"/>
    <w:rsid w:val="185653A1"/>
    <w:rsid w:val="185EF339"/>
    <w:rsid w:val="185F02EC"/>
    <w:rsid w:val="18640B26"/>
    <w:rsid w:val="186CFD71"/>
    <w:rsid w:val="186D22B7"/>
    <w:rsid w:val="1872F0A7"/>
    <w:rsid w:val="1883B7CC"/>
    <w:rsid w:val="18888D1A"/>
    <w:rsid w:val="18915AC8"/>
    <w:rsid w:val="1895B5B1"/>
    <w:rsid w:val="18A032D4"/>
    <w:rsid w:val="18A126BA"/>
    <w:rsid w:val="18A425B4"/>
    <w:rsid w:val="18B8A332"/>
    <w:rsid w:val="18C22E87"/>
    <w:rsid w:val="18C6A4EE"/>
    <w:rsid w:val="18CE0A93"/>
    <w:rsid w:val="18DDAF7C"/>
    <w:rsid w:val="18E95236"/>
    <w:rsid w:val="18EB9C9F"/>
    <w:rsid w:val="18ED0CFF"/>
    <w:rsid w:val="18F8D8A2"/>
    <w:rsid w:val="19282A7B"/>
    <w:rsid w:val="19286331"/>
    <w:rsid w:val="192960DD"/>
    <w:rsid w:val="192AD345"/>
    <w:rsid w:val="1933DEDD"/>
    <w:rsid w:val="193BCC63"/>
    <w:rsid w:val="19446E47"/>
    <w:rsid w:val="194735AC"/>
    <w:rsid w:val="195E8248"/>
    <w:rsid w:val="197CE347"/>
    <w:rsid w:val="198B8780"/>
    <w:rsid w:val="199646E6"/>
    <w:rsid w:val="1999A9F3"/>
    <w:rsid w:val="199E8321"/>
    <w:rsid w:val="199F2B03"/>
    <w:rsid w:val="19CCA5EE"/>
    <w:rsid w:val="19D08110"/>
    <w:rsid w:val="19D21CF5"/>
    <w:rsid w:val="19DA121B"/>
    <w:rsid w:val="19E4128B"/>
    <w:rsid w:val="19E55B8E"/>
    <w:rsid w:val="19E71E12"/>
    <w:rsid w:val="19FAEA4A"/>
    <w:rsid w:val="1A0BAF94"/>
    <w:rsid w:val="1A0D313F"/>
    <w:rsid w:val="1A1337BB"/>
    <w:rsid w:val="1A28F802"/>
    <w:rsid w:val="1A39DBC0"/>
    <w:rsid w:val="1A3D30A7"/>
    <w:rsid w:val="1A3EAFB7"/>
    <w:rsid w:val="1A46BCCB"/>
    <w:rsid w:val="1A54B332"/>
    <w:rsid w:val="1A60F24A"/>
    <w:rsid w:val="1A6E5664"/>
    <w:rsid w:val="1A7225BC"/>
    <w:rsid w:val="1A78C651"/>
    <w:rsid w:val="1A7F2D03"/>
    <w:rsid w:val="1A855B0A"/>
    <w:rsid w:val="1A96C3AF"/>
    <w:rsid w:val="1AA845EB"/>
    <w:rsid w:val="1AC36D4D"/>
    <w:rsid w:val="1AC95196"/>
    <w:rsid w:val="1AC97349"/>
    <w:rsid w:val="1ACCD483"/>
    <w:rsid w:val="1AD0A5AB"/>
    <w:rsid w:val="1AD6A00F"/>
    <w:rsid w:val="1AEA80F2"/>
    <w:rsid w:val="1AF92037"/>
    <w:rsid w:val="1AFD9784"/>
    <w:rsid w:val="1B0E7763"/>
    <w:rsid w:val="1B111ECD"/>
    <w:rsid w:val="1B1A4469"/>
    <w:rsid w:val="1B1DE148"/>
    <w:rsid w:val="1B3435BC"/>
    <w:rsid w:val="1B3537C3"/>
    <w:rsid w:val="1B435554"/>
    <w:rsid w:val="1B44E5C4"/>
    <w:rsid w:val="1B4A596D"/>
    <w:rsid w:val="1B5138CD"/>
    <w:rsid w:val="1B660903"/>
    <w:rsid w:val="1B6B1E0E"/>
    <w:rsid w:val="1B6DF4F6"/>
    <w:rsid w:val="1B7256EA"/>
    <w:rsid w:val="1B73838D"/>
    <w:rsid w:val="1B78A546"/>
    <w:rsid w:val="1B7B7B35"/>
    <w:rsid w:val="1B82EE73"/>
    <w:rsid w:val="1B8AC919"/>
    <w:rsid w:val="1B91AFEE"/>
    <w:rsid w:val="1B9A9AB3"/>
    <w:rsid w:val="1BA0765A"/>
    <w:rsid w:val="1BC238C8"/>
    <w:rsid w:val="1BCD506B"/>
    <w:rsid w:val="1BD0982C"/>
    <w:rsid w:val="1BD8A365"/>
    <w:rsid w:val="1BE9ACAB"/>
    <w:rsid w:val="1BF54D41"/>
    <w:rsid w:val="1BFD5F88"/>
    <w:rsid w:val="1C00C684"/>
    <w:rsid w:val="1C076D40"/>
    <w:rsid w:val="1C0D12B9"/>
    <w:rsid w:val="1C187143"/>
    <w:rsid w:val="1C1BBD36"/>
    <w:rsid w:val="1C1DA314"/>
    <w:rsid w:val="1C28F798"/>
    <w:rsid w:val="1C35866B"/>
    <w:rsid w:val="1C38AF75"/>
    <w:rsid w:val="1C495B27"/>
    <w:rsid w:val="1C4B7AD7"/>
    <w:rsid w:val="1C573337"/>
    <w:rsid w:val="1C5923EC"/>
    <w:rsid w:val="1C7FB1CD"/>
    <w:rsid w:val="1C86C79B"/>
    <w:rsid w:val="1C889580"/>
    <w:rsid w:val="1C8A2F62"/>
    <w:rsid w:val="1C8FDD60"/>
    <w:rsid w:val="1C9337C6"/>
    <w:rsid w:val="1C937126"/>
    <w:rsid w:val="1C961533"/>
    <w:rsid w:val="1C9DD258"/>
    <w:rsid w:val="1CA7267C"/>
    <w:rsid w:val="1CC64EEA"/>
    <w:rsid w:val="1CC822D6"/>
    <w:rsid w:val="1CC9CED0"/>
    <w:rsid w:val="1CD521AE"/>
    <w:rsid w:val="1CDE11A9"/>
    <w:rsid w:val="1CDF3F5E"/>
    <w:rsid w:val="1CEBBC37"/>
    <w:rsid w:val="1CED7727"/>
    <w:rsid w:val="1CF2C249"/>
    <w:rsid w:val="1CF793E1"/>
    <w:rsid w:val="1CF84C08"/>
    <w:rsid w:val="1CFC7DBC"/>
    <w:rsid w:val="1D20160F"/>
    <w:rsid w:val="1D31F5E5"/>
    <w:rsid w:val="1D51D5B5"/>
    <w:rsid w:val="1D5A0ABA"/>
    <w:rsid w:val="1D5F7E3C"/>
    <w:rsid w:val="1D7B1DD0"/>
    <w:rsid w:val="1D802C49"/>
    <w:rsid w:val="1D8CE657"/>
    <w:rsid w:val="1D9B7FD1"/>
    <w:rsid w:val="1D9E89A4"/>
    <w:rsid w:val="1D9F0FAC"/>
    <w:rsid w:val="1DA4C111"/>
    <w:rsid w:val="1DA4F713"/>
    <w:rsid w:val="1DA64D2E"/>
    <w:rsid w:val="1DA846FC"/>
    <w:rsid w:val="1DA8A0CB"/>
    <w:rsid w:val="1DACFFD8"/>
    <w:rsid w:val="1DB36D59"/>
    <w:rsid w:val="1DB441A4"/>
    <w:rsid w:val="1DB44471"/>
    <w:rsid w:val="1DB8C1DA"/>
    <w:rsid w:val="1DBFCBCB"/>
    <w:rsid w:val="1DC01DD5"/>
    <w:rsid w:val="1DC904B0"/>
    <w:rsid w:val="1DD69AF1"/>
    <w:rsid w:val="1DD9B16C"/>
    <w:rsid w:val="1DF0274C"/>
    <w:rsid w:val="1DF4D2A0"/>
    <w:rsid w:val="1DFA721B"/>
    <w:rsid w:val="1DFD79EC"/>
    <w:rsid w:val="1E012E0B"/>
    <w:rsid w:val="1E0328EF"/>
    <w:rsid w:val="1E075F77"/>
    <w:rsid w:val="1E08466D"/>
    <w:rsid w:val="1E240110"/>
    <w:rsid w:val="1E2A07D3"/>
    <w:rsid w:val="1E2CC478"/>
    <w:rsid w:val="1E357200"/>
    <w:rsid w:val="1E37BDF0"/>
    <w:rsid w:val="1E3DBB2E"/>
    <w:rsid w:val="1E43E93A"/>
    <w:rsid w:val="1E478BAB"/>
    <w:rsid w:val="1E52BB33"/>
    <w:rsid w:val="1E5862E0"/>
    <w:rsid w:val="1E629101"/>
    <w:rsid w:val="1E65E7B5"/>
    <w:rsid w:val="1E693100"/>
    <w:rsid w:val="1E6CC868"/>
    <w:rsid w:val="1E7A204E"/>
    <w:rsid w:val="1E7B8C12"/>
    <w:rsid w:val="1E7D9F4E"/>
    <w:rsid w:val="1E8F19D7"/>
    <w:rsid w:val="1EA2C652"/>
    <w:rsid w:val="1EA515F4"/>
    <w:rsid w:val="1EA789C0"/>
    <w:rsid w:val="1EBF3B58"/>
    <w:rsid w:val="1ED1F2FD"/>
    <w:rsid w:val="1EEBDC83"/>
    <w:rsid w:val="1EF4C969"/>
    <w:rsid w:val="1EFAD6BF"/>
    <w:rsid w:val="1EFED584"/>
    <w:rsid w:val="1F10DD7F"/>
    <w:rsid w:val="1F1EE4B7"/>
    <w:rsid w:val="1F29909B"/>
    <w:rsid w:val="1F2F6E2A"/>
    <w:rsid w:val="1F394575"/>
    <w:rsid w:val="1F44712C"/>
    <w:rsid w:val="1F4D71CE"/>
    <w:rsid w:val="1F50D4E8"/>
    <w:rsid w:val="1F70EA48"/>
    <w:rsid w:val="1F73C2A6"/>
    <w:rsid w:val="1F75B5E4"/>
    <w:rsid w:val="1F9DC371"/>
    <w:rsid w:val="1FA6B3E5"/>
    <w:rsid w:val="1FCBA38D"/>
    <w:rsid w:val="1FCE3CB5"/>
    <w:rsid w:val="1FDB7D0F"/>
    <w:rsid w:val="1FED8D2C"/>
    <w:rsid w:val="1FEE1B62"/>
    <w:rsid w:val="20010FD6"/>
    <w:rsid w:val="2007107D"/>
    <w:rsid w:val="2016F558"/>
    <w:rsid w:val="201A424E"/>
    <w:rsid w:val="202DC45C"/>
    <w:rsid w:val="20371774"/>
    <w:rsid w:val="203EB3C3"/>
    <w:rsid w:val="20416597"/>
    <w:rsid w:val="20467CF3"/>
    <w:rsid w:val="2048F306"/>
    <w:rsid w:val="205F2D24"/>
    <w:rsid w:val="205F9A4F"/>
    <w:rsid w:val="206871EF"/>
    <w:rsid w:val="20688D9F"/>
    <w:rsid w:val="208112E0"/>
    <w:rsid w:val="2091F6B6"/>
    <w:rsid w:val="209E0714"/>
    <w:rsid w:val="20A20974"/>
    <w:rsid w:val="20A8E709"/>
    <w:rsid w:val="20BCED50"/>
    <w:rsid w:val="20C0A5BA"/>
    <w:rsid w:val="20D033CE"/>
    <w:rsid w:val="20D2CCA9"/>
    <w:rsid w:val="20DC08AC"/>
    <w:rsid w:val="20E0418D"/>
    <w:rsid w:val="20E09727"/>
    <w:rsid w:val="20E7AE71"/>
    <w:rsid w:val="20E7C655"/>
    <w:rsid w:val="20F11437"/>
    <w:rsid w:val="20F13E48"/>
    <w:rsid w:val="20F15655"/>
    <w:rsid w:val="20F2A485"/>
    <w:rsid w:val="20F48D32"/>
    <w:rsid w:val="20F52943"/>
    <w:rsid w:val="21071BE1"/>
    <w:rsid w:val="210C5FC3"/>
    <w:rsid w:val="2118EA80"/>
    <w:rsid w:val="211CFB52"/>
    <w:rsid w:val="211E6F8E"/>
    <w:rsid w:val="212101DB"/>
    <w:rsid w:val="2126DDB4"/>
    <w:rsid w:val="21271DE2"/>
    <w:rsid w:val="2131172E"/>
    <w:rsid w:val="21399E58"/>
    <w:rsid w:val="213D07D8"/>
    <w:rsid w:val="2149EFA4"/>
    <w:rsid w:val="215611BF"/>
    <w:rsid w:val="21568301"/>
    <w:rsid w:val="215D2425"/>
    <w:rsid w:val="2166277B"/>
    <w:rsid w:val="216F4734"/>
    <w:rsid w:val="216F93C6"/>
    <w:rsid w:val="217E4C64"/>
    <w:rsid w:val="2182BF74"/>
    <w:rsid w:val="21838907"/>
    <w:rsid w:val="219143D4"/>
    <w:rsid w:val="2191A607"/>
    <w:rsid w:val="2191CC8C"/>
    <w:rsid w:val="2197C94B"/>
    <w:rsid w:val="21996E7B"/>
    <w:rsid w:val="219CE037"/>
    <w:rsid w:val="21AACE64"/>
    <w:rsid w:val="21AD8439"/>
    <w:rsid w:val="21B9C56C"/>
    <w:rsid w:val="21BD214D"/>
    <w:rsid w:val="21C3EB58"/>
    <w:rsid w:val="21C6314C"/>
    <w:rsid w:val="21C8A52E"/>
    <w:rsid w:val="21D9AFAF"/>
    <w:rsid w:val="21E1F17F"/>
    <w:rsid w:val="21E2C511"/>
    <w:rsid w:val="21E52400"/>
    <w:rsid w:val="21E73178"/>
    <w:rsid w:val="21EFD312"/>
    <w:rsid w:val="21F093D5"/>
    <w:rsid w:val="21F4E697"/>
    <w:rsid w:val="21FCFC0B"/>
    <w:rsid w:val="21FDFF87"/>
    <w:rsid w:val="21FE4482"/>
    <w:rsid w:val="2200B0A7"/>
    <w:rsid w:val="2200C0FC"/>
    <w:rsid w:val="22045E00"/>
    <w:rsid w:val="22055746"/>
    <w:rsid w:val="2206B725"/>
    <w:rsid w:val="2218B448"/>
    <w:rsid w:val="2220575D"/>
    <w:rsid w:val="22257626"/>
    <w:rsid w:val="22327288"/>
    <w:rsid w:val="22530F7E"/>
    <w:rsid w:val="2256F2AF"/>
    <w:rsid w:val="225A4CAE"/>
    <w:rsid w:val="226ADAD2"/>
    <w:rsid w:val="227677F0"/>
    <w:rsid w:val="228884BE"/>
    <w:rsid w:val="228BD382"/>
    <w:rsid w:val="228D8437"/>
    <w:rsid w:val="2292644D"/>
    <w:rsid w:val="229CDC02"/>
    <w:rsid w:val="22A4D19B"/>
    <w:rsid w:val="22AD58F6"/>
    <w:rsid w:val="22D84AC6"/>
    <w:rsid w:val="22DCFE3A"/>
    <w:rsid w:val="22ED92F5"/>
    <w:rsid w:val="22FAD7C1"/>
    <w:rsid w:val="2300501D"/>
    <w:rsid w:val="23040513"/>
    <w:rsid w:val="230A5397"/>
    <w:rsid w:val="23176AFA"/>
    <w:rsid w:val="231C2061"/>
    <w:rsid w:val="231EBA55"/>
    <w:rsid w:val="232DBB4B"/>
    <w:rsid w:val="233FE571"/>
    <w:rsid w:val="235CC2D2"/>
    <w:rsid w:val="236604E5"/>
    <w:rsid w:val="236657C5"/>
    <w:rsid w:val="2367B421"/>
    <w:rsid w:val="236D3D81"/>
    <w:rsid w:val="2373D1A0"/>
    <w:rsid w:val="237E9572"/>
    <w:rsid w:val="237FD19B"/>
    <w:rsid w:val="2380F461"/>
    <w:rsid w:val="23825E01"/>
    <w:rsid w:val="2383D12C"/>
    <w:rsid w:val="238CC5C1"/>
    <w:rsid w:val="238E6974"/>
    <w:rsid w:val="239070AC"/>
    <w:rsid w:val="23A02B67"/>
    <w:rsid w:val="23D0BD2A"/>
    <w:rsid w:val="23D87C38"/>
    <w:rsid w:val="23DB750C"/>
    <w:rsid w:val="23E3D812"/>
    <w:rsid w:val="23E4B55C"/>
    <w:rsid w:val="23F3752F"/>
    <w:rsid w:val="23FB9565"/>
    <w:rsid w:val="23FCF4D6"/>
    <w:rsid w:val="2404C3D0"/>
    <w:rsid w:val="24146D56"/>
    <w:rsid w:val="242A8D6A"/>
    <w:rsid w:val="242F0C47"/>
    <w:rsid w:val="243006EA"/>
    <w:rsid w:val="244329EB"/>
    <w:rsid w:val="244570A0"/>
    <w:rsid w:val="2467B11A"/>
    <w:rsid w:val="24685551"/>
    <w:rsid w:val="24686809"/>
    <w:rsid w:val="246DA3DC"/>
    <w:rsid w:val="247CA7B4"/>
    <w:rsid w:val="247E7F0A"/>
    <w:rsid w:val="2482C180"/>
    <w:rsid w:val="24947CE0"/>
    <w:rsid w:val="2499DCF1"/>
    <w:rsid w:val="24B962EF"/>
    <w:rsid w:val="24BD425B"/>
    <w:rsid w:val="24C3C027"/>
    <w:rsid w:val="24CD71C1"/>
    <w:rsid w:val="24D3E914"/>
    <w:rsid w:val="24DAC24B"/>
    <w:rsid w:val="24E0B050"/>
    <w:rsid w:val="24E123DC"/>
    <w:rsid w:val="24F2ACA6"/>
    <w:rsid w:val="24FB06CF"/>
    <w:rsid w:val="24FDF5E8"/>
    <w:rsid w:val="250AB0C8"/>
    <w:rsid w:val="250E2024"/>
    <w:rsid w:val="250E999A"/>
    <w:rsid w:val="250F3F50"/>
    <w:rsid w:val="251A65D3"/>
    <w:rsid w:val="251F2F55"/>
    <w:rsid w:val="252694D7"/>
    <w:rsid w:val="25271599"/>
    <w:rsid w:val="2528549C"/>
    <w:rsid w:val="252A7E6B"/>
    <w:rsid w:val="252C8759"/>
    <w:rsid w:val="25411EE4"/>
    <w:rsid w:val="2552DD51"/>
    <w:rsid w:val="2569DCA3"/>
    <w:rsid w:val="256A120F"/>
    <w:rsid w:val="256CAA7C"/>
    <w:rsid w:val="2571E560"/>
    <w:rsid w:val="25738702"/>
    <w:rsid w:val="257E4AAF"/>
    <w:rsid w:val="257F1E07"/>
    <w:rsid w:val="2591FDB7"/>
    <w:rsid w:val="259BC51D"/>
    <w:rsid w:val="25A503B2"/>
    <w:rsid w:val="25B685BA"/>
    <w:rsid w:val="25C9C467"/>
    <w:rsid w:val="25E93A50"/>
    <w:rsid w:val="25ED2AB5"/>
    <w:rsid w:val="25F9C9EB"/>
    <w:rsid w:val="2601AD17"/>
    <w:rsid w:val="2609733D"/>
    <w:rsid w:val="261311EA"/>
    <w:rsid w:val="2614734C"/>
    <w:rsid w:val="261B8BC8"/>
    <w:rsid w:val="262B8A42"/>
    <w:rsid w:val="262F289A"/>
    <w:rsid w:val="26303ECE"/>
    <w:rsid w:val="2632699A"/>
    <w:rsid w:val="263E87E8"/>
    <w:rsid w:val="26453005"/>
    <w:rsid w:val="2645DB67"/>
    <w:rsid w:val="26490A82"/>
    <w:rsid w:val="264C9BCE"/>
    <w:rsid w:val="2654532A"/>
    <w:rsid w:val="265F3468"/>
    <w:rsid w:val="266E4842"/>
    <w:rsid w:val="266E9248"/>
    <w:rsid w:val="2673EDD3"/>
    <w:rsid w:val="2679853A"/>
    <w:rsid w:val="26803A5A"/>
    <w:rsid w:val="26827D26"/>
    <w:rsid w:val="26872D03"/>
    <w:rsid w:val="2687B012"/>
    <w:rsid w:val="268CD429"/>
    <w:rsid w:val="268E0F2A"/>
    <w:rsid w:val="269118E9"/>
    <w:rsid w:val="26955EDF"/>
    <w:rsid w:val="26C1F87D"/>
    <w:rsid w:val="26CA2A97"/>
    <w:rsid w:val="26D758DE"/>
    <w:rsid w:val="26DDA3AA"/>
    <w:rsid w:val="26DEF6C3"/>
    <w:rsid w:val="26E052CF"/>
    <w:rsid w:val="26ED3825"/>
    <w:rsid w:val="26F76686"/>
    <w:rsid w:val="26F91492"/>
    <w:rsid w:val="2705CE75"/>
    <w:rsid w:val="2712A608"/>
    <w:rsid w:val="2716B58F"/>
    <w:rsid w:val="271B560C"/>
    <w:rsid w:val="27273C1E"/>
    <w:rsid w:val="272B8557"/>
    <w:rsid w:val="273B575F"/>
    <w:rsid w:val="27528586"/>
    <w:rsid w:val="2755068B"/>
    <w:rsid w:val="2757E5DD"/>
    <w:rsid w:val="275CDEBF"/>
    <w:rsid w:val="276805D8"/>
    <w:rsid w:val="276A3D16"/>
    <w:rsid w:val="2779CAEE"/>
    <w:rsid w:val="277C52B2"/>
    <w:rsid w:val="2780F30B"/>
    <w:rsid w:val="2781532F"/>
    <w:rsid w:val="278716EF"/>
    <w:rsid w:val="278ECDF4"/>
    <w:rsid w:val="27A8CFD8"/>
    <w:rsid w:val="27B61FCC"/>
    <w:rsid w:val="27D5C7BF"/>
    <w:rsid w:val="27D747F0"/>
    <w:rsid w:val="27DB4395"/>
    <w:rsid w:val="27E3D0CA"/>
    <w:rsid w:val="27ECB28C"/>
    <w:rsid w:val="27F04AEA"/>
    <w:rsid w:val="27FD2065"/>
    <w:rsid w:val="28143544"/>
    <w:rsid w:val="281B502E"/>
    <w:rsid w:val="281B962A"/>
    <w:rsid w:val="282A30F1"/>
    <w:rsid w:val="282D55CF"/>
    <w:rsid w:val="282EB53B"/>
    <w:rsid w:val="2831DED7"/>
    <w:rsid w:val="2858A849"/>
    <w:rsid w:val="285A7310"/>
    <w:rsid w:val="285B790C"/>
    <w:rsid w:val="2860DDF7"/>
    <w:rsid w:val="28666615"/>
    <w:rsid w:val="287484B3"/>
    <w:rsid w:val="287BD5DA"/>
    <w:rsid w:val="28913E39"/>
    <w:rsid w:val="28918694"/>
    <w:rsid w:val="28940F77"/>
    <w:rsid w:val="28A7504F"/>
    <w:rsid w:val="28A7CB74"/>
    <w:rsid w:val="28A8699F"/>
    <w:rsid w:val="28AF09B2"/>
    <w:rsid w:val="28C4F402"/>
    <w:rsid w:val="28D1E4D9"/>
    <w:rsid w:val="28D9CF9F"/>
    <w:rsid w:val="28E30800"/>
    <w:rsid w:val="28ED6BD0"/>
    <w:rsid w:val="28EF774B"/>
    <w:rsid w:val="28F566F7"/>
    <w:rsid w:val="28F5E72D"/>
    <w:rsid w:val="2903816C"/>
    <w:rsid w:val="29059088"/>
    <w:rsid w:val="29080310"/>
    <w:rsid w:val="29088B97"/>
    <w:rsid w:val="291DE03F"/>
    <w:rsid w:val="2923C3F8"/>
    <w:rsid w:val="292646C2"/>
    <w:rsid w:val="292E68B5"/>
    <w:rsid w:val="29339EBF"/>
    <w:rsid w:val="2956F22A"/>
    <w:rsid w:val="29611392"/>
    <w:rsid w:val="2976E02F"/>
    <w:rsid w:val="2978D343"/>
    <w:rsid w:val="29872759"/>
    <w:rsid w:val="298DA96D"/>
    <w:rsid w:val="29A5F013"/>
    <w:rsid w:val="29B1A1A5"/>
    <w:rsid w:val="29B34100"/>
    <w:rsid w:val="29BADE6B"/>
    <w:rsid w:val="29BEE9A3"/>
    <w:rsid w:val="29C5026F"/>
    <w:rsid w:val="29D89350"/>
    <w:rsid w:val="29DD6F46"/>
    <w:rsid w:val="29E12D2E"/>
    <w:rsid w:val="29E1BC9A"/>
    <w:rsid w:val="29E73092"/>
    <w:rsid w:val="29EA87D1"/>
    <w:rsid w:val="29EB28E5"/>
    <w:rsid w:val="29FE4EAD"/>
    <w:rsid w:val="2A0E4D79"/>
    <w:rsid w:val="2A1500B3"/>
    <w:rsid w:val="2A239264"/>
    <w:rsid w:val="2A307450"/>
    <w:rsid w:val="2A32EC90"/>
    <w:rsid w:val="2A3CA410"/>
    <w:rsid w:val="2A4261FC"/>
    <w:rsid w:val="2A4FAC7F"/>
    <w:rsid w:val="2A57AB19"/>
    <w:rsid w:val="2A5BA098"/>
    <w:rsid w:val="2A6544A2"/>
    <w:rsid w:val="2A679610"/>
    <w:rsid w:val="2A68DBA3"/>
    <w:rsid w:val="2A69B4B3"/>
    <w:rsid w:val="2A7874D5"/>
    <w:rsid w:val="2A8359F3"/>
    <w:rsid w:val="2A906E99"/>
    <w:rsid w:val="2A91563B"/>
    <w:rsid w:val="2A991286"/>
    <w:rsid w:val="2A9A820B"/>
    <w:rsid w:val="2AA7241F"/>
    <w:rsid w:val="2AAEC534"/>
    <w:rsid w:val="2AB1091C"/>
    <w:rsid w:val="2AB91C51"/>
    <w:rsid w:val="2ABE6AE3"/>
    <w:rsid w:val="2ABFCCC6"/>
    <w:rsid w:val="2AC3DD98"/>
    <w:rsid w:val="2AC74FAD"/>
    <w:rsid w:val="2AC790E9"/>
    <w:rsid w:val="2AC8AF27"/>
    <w:rsid w:val="2ACF1A2D"/>
    <w:rsid w:val="2AD7A98D"/>
    <w:rsid w:val="2AD7F2FF"/>
    <w:rsid w:val="2AD95A74"/>
    <w:rsid w:val="2ADF9713"/>
    <w:rsid w:val="2AE5FC57"/>
    <w:rsid w:val="2AE9D99B"/>
    <w:rsid w:val="2AF8C034"/>
    <w:rsid w:val="2AF9B178"/>
    <w:rsid w:val="2AFDD851"/>
    <w:rsid w:val="2B1E58B6"/>
    <w:rsid w:val="2B2520B0"/>
    <w:rsid w:val="2B2D24F2"/>
    <w:rsid w:val="2B34C127"/>
    <w:rsid w:val="2B48F997"/>
    <w:rsid w:val="2B49C324"/>
    <w:rsid w:val="2B4F325F"/>
    <w:rsid w:val="2B5B6E35"/>
    <w:rsid w:val="2B600635"/>
    <w:rsid w:val="2B62EC11"/>
    <w:rsid w:val="2B6D5F42"/>
    <w:rsid w:val="2B6D862A"/>
    <w:rsid w:val="2B7D8FB8"/>
    <w:rsid w:val="2B82A080"/>
    <w:rsid w:val="2B9C123D"/>
    <w:rsid w:val="2BA403D9"/>
    <w:rsid w:val="2BACA152"/>
    <w:rsid w:val="2BB5BF33"/>
    <w:rsid w:val="2BCAD7A9"/>
    <w:rsid w:val="2BE877DA"/>
    <w:rsid w:val="2BEF47DF"/>
    <w:rsid w:val="2BF2395F"/>
    <w:rsid w:val="2C1F16ED"/>
    <w:rsid w:val="2C22D10B"/>
    <w:rsid w:val="2C257CEA"/>
    <w:rsid w:val="2C391D51"/>
    <w:rsid w:val="2C4AEE15"/>
    <w:rsid w:val="2C5F1462"/>
    <w:rsid w:val="2C619392"/>
    <w:rsid w:val="2C667E17"/>
    <w:rsid w:val="2C669C6D"/>
    <w:rsid w:val="2C679B7F"/>
    <w:rsid w:val="2C6D1E3D"/>
    <w:rsid w:val="2C799EF9"/>
    <w:rsid w:val="2C7E0DC5"/>
    <w:rsid w:val="2C8029F3"/>
    <w:rsid w:val="2C80AA53"/>
    <w:rsid w:val="2C81A369"/>
    <w:rsid w:val="2C923863"/>
    <w:rsid w:val="2C9ACBC6"/>
    <w:rsid w:val="2CAE0DB6"/>
    <w:rsid w:val="2CB07AFA"/>
    <w:rsid w:val="2CB6A23E"/>
    <w:rsid w:val="2CB7DEED"/>
    <w:rsid w:val="2CB843AD"/>
    <w:rsid w:val="2CB8F8A2"/>
    <w:rsid w:val="2CB957AA"/>
    <w:rsid w:val="2CC0EF91"/>
    <w:rsid w:val="2CCED5F0"/>
    <w:rsid w:val="2CD0260A"/>
    <w:rsid w:val="2CD7287C"/>
    <w:rsid w:val="2CDB58BA"/>
    <w:rsid w:val="2CE3783B"/>
    <w:rsid w:val="2CE4664A"/>
    <w:rsid w:val="2CEC7F4F"/>
    <w:rsid w:val="2CECCE07"/>
    <w:rsid w:val="2CFF386E"/>
    <w:rsid w:val="2D092FA3"/>
    <w:rsid w:val="2D0F1778"/>
    <w:rsid w:val="2D16827E"/>
    <w:rsid w:val="2D174F8A"/>
    <w:rsid w:val="2D225800"/>
    <w:rsid w:val="2D297EBE"/>
    <w:rsid w:val="2D3393F4"/>
    <w:rsid w:val="2D351D14"/>
    <w:rsid w:val="2D36FD68"/>
    <w:rsid w:val="2D398C74"/>
    <w:rsid w:val="2D42B455"/>
    <w:rsid w:val="2D4E88FD"/>
    <w:rsid w:val="2D550C36"/>
    <w:rsid w:val="2D55FC73"/>
    <w:rsid w:val="2D5B8405"/>
    <w:rsid w:val="2D5FA952"/>
    <w:rsid w:val="2D61E2EF"/>
    <w:rsid w:val="2D64753E"/>
    <w:rsid w:val="2D6C536E"/>
    <w:rsid w:val="2D6CE214"/>
    <w:rsid w:val="2D6D47E0"/>
    <w:rsid w:val="2D6ED834"/>
    <w:rsid w:val="2D75665C"/>
    <w:rsid w:val="2D80BE34"/>
    <w:rsid w:val="2D92DA2D"/>
    <w:rsid w:val="2D9783D9"/>
    <w:rsid w:val="2DA664A9"/>
    <w:rsid w:val="2DAE129D"/>
    <w:rsid w:val="2DB208BB"/>
    <w:rsid w:val="2DB5632D"/>
    <w:rsid w:val="2DC3F93D"/>
    <w:rsid w:val="2DC5487E"/>
    <w:rsid w:val="2DC7EE12"/>
    <w:rsid w:val="2DD0FA71"/>
    <w:rsid w:val="2DE3897F"/>
    <w:rsid w:val="2DE3A2FB"/>
    <w:rsid w:val="2DE55DA4"/>
    <w:rsid w:val="2DEEC998"/>
    <w:rsid w:val="2DF2DC62"/>
    <w:rsid w:val="2DF4541C"/>
    <w:rsid w:val="2DFA0DA8"/>
    <w:rsid w:val="2DFA13A8"/>
    <w:rsid w:val="2DFA53FC"/>
    <w:rsid w:val="2DFB7E5A"/>
    <w:rsid w:val="2DFC57B8"/>
    <w:rsid w:val="2E01DC69"/>
    <w:rsid w:val="2E01F795"/>
    <w:rsid w:val="2E036BE0"/>
    <w:rsid w:val="2E0CB110"/>
    <w:rsid w:val="2E159E1A"/>
    <w:rsid w:val="2E168F41"/>
    <w:rsid w:val="2E26C318"/>
    <w:rsid w:val="2E369C27"/>
    <w:rsid w:val="2E3B5F26"/>
    <w:rsid w:val="2E51F5CD"/>
    <w:rsid w:val="2E5F975A"/>
    <w:rsid w:val="2E61C839"/>
    <w:rsid w:val="2E6DE39E"/>
    <w:rsid w:val="2E70290F"/>
    <w:rsid w:val="2E74E627"/>
    <w:rsid w:val="2E7B633F"/>
    <w:rsid w:val="2E8A91B2"/>
    <w:rsid w:val="2E923A16"/>
    <w:rsid w:val="2E923EE8"/>
    <w:rsid w:val="2E934E0B"/>
    <w:rsid w:val="2EA50004"/>
    <w:rsid w:val="2EA5D80F"/>
    <w:rsid w:val="2EA959D2"/>
    <w:rsid w:val="2EACB3F1"/>
    <w:rsid w:val="2EAD9FBA"/>
    <w:rsid w:val="2EB6AC54"/>
    <w:rsid w:val="2EBB89C7"/>
    <w:rsid w:val="2EBCECEB"/>
    <w:rsid w:val="2EC79083"/>
    <w:rsid w:val="2EC7E07C"/>
    <w:rsid w:val="2EC9B8AB"/>
    <w:rsid w:val="2EC9C355"/>
    <w:rsid w:val="2ED2799D"/>
    <w:rsid w:val="2EF5165A"/>
    <w:rsid w:val="2EFCBA83"/>
    <w:rsid w:val="2F01339C"/>
    <w:rsid w:val="2F03BA67"/>
    <w:rsid w:val="2F081C45"/>
    <w:rsid w:val="2F1ADFA4"/>
    <w:rsid w:val="2F21E438"/>
    <w:rsid w:val="2F3DCFB1"/>
    <w:rsid w:val="2F4ABF7C"/>
    <w:rsid w:val="2F4EE696"/>
    <w:rsid w:val="2F534933"/>
    <w:rsid w:val="2F556493"/>
    <w:rsid w:val="2F5B9F44"/>
    <w:rsid w:val="2F673A81"/>
    <w:rsid w:val="2F6C2465"/>
    <w:rsid w:val="2F735526"/>
    <w:rsid w:val="2F7B6304"/>
    <w:rsid w:val="2F855C5C"/>
    <w:rsid w:val="2F945BE6"/>
    <w:rsid w:val="2F948237"/>
    <w:rsid w:val="2FAB1AB0"/>
    <w:rsid w:val="2FBB775F"/>
    <w:rsid w:val="2FBC5B25"/>
    <w:rsid w:val="2FBC70C4"/>
    <w:rsid w:val="2FC55957"/>
    <w:rsid w:val="2FCF3DD0"/>
    <w:rsid w:val="2FDA29D4"/>
    <w:rsid w:val="2FDFB8EE"/>
    <w:rsid w:val="2FE47401"/>
    <w:rsid w:val="2FE5BD5A"/>
    <w:rsid w:val="2FE97211"/>
    <w:rsid w:val="2FEB44AC"/>
    <w:rsid w:val="2FF1DCF4"/>
    <w:rsid w:val="2FFFBE7D"/>
    <w:rsid w:val="300033DF"/>
    <w:rsid w:val="3003D8EF"/>
    <w:rsid w:val="301018CE"/>
    <w:rsid w:val="3021E429"/>
    <w:rsid w:val="30225F21"/>
    <w:rsid w:val="3029AA37"/>
    <w:rsid w:val="30413225"/>
    <w:rsid w:val="30473015"/>
    <w:rsid w:val="305CEFA0"/>
    <w:rsid w:val="306EB45F"/>
    <w:rsid w:val="30770F93"/>
    <w:rsid w:val="30853BDF"/>
    <w:rsid w:val="308B11AE"/>
    <w:rsid w:val="3090100C"/>
    <w:rsid w:val="309E8711"/>
    <w:rsid w:val="30AF94E9"/>
    <w:rsid w:val="30B00766"/>
    <w:rsid w:val="30B0D6F0"/>
    <w:rsid w:val="30B139ED"/>
    <w:rsid w:val="30C80423"/>
    <w:rsid w:val="30D77C79"/>
    <w:rsid w:val="30DC937C"/>
    <w:rsid w:val="30E4F1A1"/>
    <w:rsid w:val="30E52A80"/>
    <w:rsid w:val="30E755B5"/>
    <w:rsid w:val="30ECC7CF"/>
    <w:rsid w:val="30FFB01D"/>
    <w:rsid w:val="30FFBF43"/>
    <w:rsid w:val="31055536"/>
    <w:rsid w:val="31063851"/>
    <w:rsid w:val="311CCCFA"/>
    <w:rsid w:val="31331F1C"/>
    <w:rsid w:val="313A11FF"/>
    <w:rsid w:val="313B85AD"/>
    <w:rsid w:val="31432F01"/>
    <w:rsid w:val="31450B2E"/>
    <w:rsid w:val="314567D2"/>
    <w:rsid w:val="31486D3C"/>
    <w:rsid w:val="31488259"/>
    <w:rsid w:val="314CFB76"/>
    <w:rsid w:val="3164A3B2"/>
    <w:rsid w:val="31680DA9"/>
    <w:rsid w:val="31737B83"/>
    <w:rsid w:val="31786B0E"/>
    <w:rsid w:val="3184130C"/>
    <w:rsid w:val="318A9F9F"/>
    <w:rsid w:val="318D5884"/>
    <w:rsid w:val="319229A0"/>
    <w:rsid w:val="3194DC78"/>
    <w:rsid w:val="31973C9D"/>
    <w:rsid w:val="3199B5F9"/>
    <w:rsid w:val="3199D195"/>
    <w:rsid w:val="3199DBA4"/>
    <w:rsid w:val="319A0163"/>
    <w:rsid w:val="319F4F6C"/>
    <w:rsid w:val="31A2D9F6"/>
    <w:rsid w:val="31AA753D"/>
    <w:rsid w:val="31AC1259"/>
    <w:rsid w:val="31B9AD1D"/>
    <w:rsid w:val="31BFE46A"/>
    <w:rsid w:val="31C12E7E"/>
    <w:rsid w:val="31C882BE"/>
    <w:rsid w:val="31CBD858"/>
    <w:rsid w:val="31DA346E"/>
    <w:rsid w:val="31DCA0C6"/>
    <w:rsid w:val="31E13EA5"/>
    <w:rsid w:val="31E1A61B"/>
    <w:rsid w:val="31E1FCA8"/>
    <w:rsid w:val="31EE4031"/>
    <w:rsid w:val="31EF50DD"/>
    <w:rsid w:val="31F0869F"/>
    <w:rsid w:val="31F5F72A"/>
    <w:rsid w:val="31F942E3"/>
    <w:rsid w:val="32001292"/>
    <w:rsid w:val="3216CFD0"/>
    <w:rsid w:val="321EFF26"/>
    <w:rsid w:val="322F27F9"/>
    <w:rsid w:val="32316A32"/>
    <w:rsid w:val="323385D3"/>
    <w:rsid w:val="323D563C"/>
    <w:rsid w:val="323DBF48"/>
    <w:rsid w:val="32452C3D"/>
    <w:rsid w:val="3258B1B9"/>
    <w:rsid w:val="325ABE64"/>
    <w:rsid w:val="3261C689"/>
    <w:rsid w:val="32656EBF"/>
    <w:rsid w:val="326CAD70"/>
    <w:rsid w:val="32717B1F"/>
    <w:rsid w:val="3277AA32"/>
    <w:rsid w:val="3279D5CC"/>
    <w:rsid w:val="3287287A"/>
    <w:rsid w:val="329537A7"/>
    <w:rsid w:val="329602E6"/>
    <w:rsid w:val="3296CF41"/>
    <w:rsid w:val="3298501F"/>
    <w:rsid w:val="32996537"/>
    <w:rsid w:val="3299A001"/>
    <w:rsid w:val="329B2FCE"/>
    <w:rsid w:val="32A392F2"/>
    <w:rsid w:val="32A7FDD0"/>
    <w:rsid w:val="32ADBFF9"/>
    <w:rsid w:val="32AE507A"/>
    <w:rsid w:val="32B0533F"/>
    <w:rsid w:val="32B3218A"/>
    <w:rsid w:val="32BFF39B"/>
    <w:rsid w:val="32C1C5C6"/>
    <w:rsid w:val="32C3119C"/>
    <w:rsid w:val="32C4A2F5"/>
    <w:rsid w:val="32C70031"/>
    <w:rsid w:val="32CCF238"/>
    <w:rsid w:val="32D0EBC4"/>
    <w:rsid w:val="32E01D7B"/>
    <w:rsid w:val="32EFA56E"/>
    <w:rsid w:val="32FA2D33"/>
    <w:rsid w:val="3300FA2C"/>
    <w:rsid w:val="330254E6"/>
    <w:rsid w:val="330AE3F8"/>
    <w:rsid w:val="331B7DD6"/>
    <w:rsid w:val="33219A97"/>
    <w:rsid w:val="3323A9ED"/>
    <w:rsid w:val="3325DCCC"/>
    <w:rsid w:val="3327E952"/>
    <w:rsid w:val="332E9835"/>
    <w:rsid w:val="33307FA8"/>
    <w:rsid w:val="3338407C"/>
    <w:rsid w:val="33436E77"/>
    <w:rsid w:val="334B5A29"/>
    <w:rsid w:val="33637C3E"/>
    <w:rsid w:val="336C9232"/>
    <w:rsid w:val="336DCBD2"/>
    <w:rsid w:val="337DBD50"/>
    <w:rsid w:val="33825D50"/>
    <w:rsid w:val="338E1757"/>
    <w:rsid w:val="338FEB76"/>
    <w:rsid w:val="33919984"/>
    <w:rsid w:val="33958904"/>
    <w:rsid w:val="3395B7BC"/>
    <w:rsid w:val="33A77C58"/>
    <w:rsid w:val="33A91192"/>
    <w:rsid w:val="33AA9DDB"/>
    <w:rsid w:val="33ABE908"/>
    <w:rsid w:val="33C0A79E"/>
    <w:rsid w:val="33C92FD8"/>
    <w:rsid w:val="33CC814F"/>
    <w:rsid w:val="33CECB5B"/>
    <w:rsid w:val="33D297B9"/>
    <w:rsid w:val="33D4AD18"/>
    <w:rsid w:val="33E5BE56"/>
    <w:rsid w:val="33E74A7A"/>
    <w:rsid w:val="33F0E981"/>
    <w:rsid w:val="33F6189D"/>
    <w:rsid w:val="33F87AAC"/>
    <w:rsid w:val="33F88650"/>
    <w:rsid w:val="3409D07E"/>
    <w:rsid w:val="340AF4E8"/>
    <w:rsid w:val="340D5067"/>
    <w:rsid w:val="3429888D"/>
    <w:rsid w:val="34430492"/>
    <w:rsid w:val="3447A17C"/>
    <w:rsid w:val="3448077E"/>
    <w:rsid w:val="3457C925"/>
    <w:rsid w:val="3457FCCA"/>
    <w:rsid w:val="345BC3FC"/>
    <w:rsid w:val="346551F6"/>
    <w:rsid w:val="346ABFDE"/>
    <w:rsid w:val="3470A8E3"/>
    <w:rsid w:val="349360EF"/>
    <w:rsid w:val="3494AD7A"/>
    <w:rsid w:val="349CADC4"/>
    <w:rsid w:val="349FD49B"/>
    <w:rsid w:val="34A05510"/>
    <w:rsid w:val="34AEAD41"/>
    <w:rsid w:val="34B90665"/>
    <w:rsid w:val="34BE9563"/>
    <w:rsid w:val="34C17419"/>
    <w:rsid w:val="34C4F946"/>
    <w:rsid w:val="34C96AE6"/>
    <w:rsid w:val="34DD9374"/>
    <w:rsid w:val="34E51E69"/>
    <w:rsid w:val="34E6FBE7"/>
    <w:rsid w:val="34EF1C0E"/>
    <w:rsid w:val="34F2087A"/>
    <w:rsid w:val="34F7AC0C"/>
    <w:rsid w:val="3502D006"/>
    <w:rsid w:val="3508A0AF"/>
    <w:rsid w:val="351981B7"/>
    <w:rsid w:val="35199D6A"/>
    <w:rsid w:val="351F1BD2"/>
    <w:rsid w:val="352001AF"/>
    <w:rsid w:val="35205A10"/>
    <w:rsid w:val="35216250"/>
    <w:rsid w:val="35219EFB"/>
    <w:rsid w:val="3522E440"/>
    <w:rsid w:val="3524418B"/>
    <w:rsid w:val="35265A5F"/>
    <w:rsid w:val="3532E88C"/>
    <w:rsid w:val="3553B7BF"/>
    <w:rsid w:val="3559C963"/>
    <w:rsid w:val="355F78F8"/>
    <w:rsid w:val="3560F9D9"/>
    <w:rsid w:val="3576AE0D"/>
    <w:rsid w:val="3578FC4F"/>
    <w:rsid w:val="357AF523"/>
    <w:rsid w:val="357DA7DD"/>
    <w:rsid w:val="35821B7C"/>
    <w:rsid w:val="35854502"/>
    <w:rsid w:val="358838B7"/>
    <w:rsid w:val="35891396"/>
    <w:rsid w:val="3596A55C"/>
    <w:rsid w:val="3596EC09"/>
    <w:rsid w:val="359F82F3"/>
    <w:rsid w:val="35A5A0DF"/>
    <w:rsid w:val="35AEF5E9"/>
    <w:rsid w:val="35B13F12"/>
    <w:rsid w:val="35B31B63"/>
    <w:rsid w:val="35B841D4"/>
    <w:rsid w:val="35C17920"/>
    <w:rsid w:val="35C18C1D"/>
    <w:rsid w:val="35C549FD"/>
    <w:rsid w:val="35CDEE7F"/>
    <w:rsid w:val="35DD4CFC"/>
    <w:rsid w:val="35DFB28A"/>
    <w:rsid w:val="35EC55E3"/>
    <w:rsid w:val="35ED2332"/>
    <w:rsid w:val="35F183B1"/>
    <w:rsid w:val="35F4761C"/>
    <w:rsid w:val="35FBB9DA"/>
    <w:rsid w:val="36012257"/>
    <w:rsid w:val="36019F23"/>
    <w:rsid w:val="360417C0"/>
    <w:rsid w:val="36083FCC"/>
    <w:rsid w:val="360EF864"/>
    <w:rsid w:val="360FEE68"/>
    <w:rsid w:val="36169362"/>
    <w:rsid w:val="361BB398"/>
    <w:rsid w:val="362DBA19"/>
    <w:rsid w:val="363BA4FC"/>
    <w:rsid w:val="363CE8AF"/>
    <w:rsid w:val="36517DD4"/>
    <w:rsid w:val="3652C5E5"/>
    <w:rsid w:val="365BD9CC"/>
    <w:rsid w:val="3663A34F"/>
    <w:rsid w:val="366D4CC7"/>
    <w:rsid w:val="366EF37B"/>
    <w:rsid w:val="36795FD5"/>
    <w:rsid w:val="3681D812"/>
    <w:rsid w:val="3688D3D7"/>
    <w:rsid w:val="368B8DF0"/>
    <w:rsid w:val="368C903B"/>
    <w:rsid w:val="3691BBD7"/>
    <w:rsid w:val="3692732C"/>
    <w:rsid w:val="369309E3"/>
    <w:rsid w:val="36930FE7"/>
    <w:rsid w:val="369A8417"/>
    <w:rsid w:val="36A14C83"/>
    <w:rsid w:val="36A9BCD8"/>
    <w:rsid w:val="36B0D959"/>
    <w:rsid w:val="36C23D43"/>
    <w:rsid w:val="36C42158"/>
    <w:rsid w:val="36CD1AED"/>
    <w:rsid w:val="36CFB390"/>
    <w:rsid w:val="36D2B170"/>
    <w:rsid w:val="36D702F4"/>
    <w:rsid w:val="36DC8399"/>
    <w:rsid w:val="36E0D296"/>
    <w:rsid w:val="3704A36C"/>
    <w:rsid w:val="370D2357"/>
    <w:rsid w:val="370F991F"/>
    <w:rsid w:val="3712B5C0"/>
    <w:rsid w:val="371BD408"/>
    <w:rsid w:val="37203EFF"/>
    <w:rsid w:val="37234030"/>
    <w:rsid w:val="37445064"/>
    <w:rsid w:val="374AC64A"/>
    <w:rsid w:val="3758617C"/>
    <w:rsid w:val="375A8504"/>
    <w:rsid w:val="375A999D"/>
    <w:rsid w:val="37628919"/>
    <w:rsid w:val="3764033C"/>
    <w:rsid w:val="37657510"/>
    <w:rsid w:val="3767339B"/>
    <w:rsid w:val="37786E72"/>
    <w:rsid w:val="3780B6EC"/>
    <w:rsid w:val="37880DE5"/>
    <w:rsid w:val="378ACF75"/>
    <w:rsid w:val="378F764A"/>
    <w:rsid w:val="37A61E96"/>
    <w:rsid w:val="37AF7814"/>
    <w:rsid w:val="37B14461"/>
    <w:rsid w:val="37BE1A1B"/>
    <w:rsid w:val="37C6C477"/>
    <w:rsid w:val="37C7D8DA"/>
    <w:rsid w:val="37C8E1CF"/>
    <w:rsid w:val="37D44E86"/>
    <w:rsid w:val="37DB6E18"/>
    <w:rsid w:val="37ED811E"/>
    <w:rsid w:val="37F8B780"/>
    <w:rsid w:val="37F914DB"/>
    <w:rsid w:val="37FC14B3"/>
    <w:rsid w:val="37FDF9D8"/>
    <w:rsid w:val="380642AE"/>
    <w:rsid w:val="380AC3DC"/>
    <w:rsid w:val="380F1888"/>
    <w:rsid w:val="3819156C"/>
    <w:rsid w:val="381F91ED"/>
    <w:rsid w:val="381FBEE4"/>
    <w:rsid w:val="3822A3AD"/>
    <w:rsid w:val="383F910F"/>
    <w:rsid w:val="3854209F"/>
    <w:rsid w:val="385C9917"/>
    <w:rsid w:val="386B83F1"/>
    <w:rsid w:val="386C207C"/>
    <w:rsid w:val="387DCF19"/>
    <w:rsid w:val="388675B2"/>
    <w:rsid w:val="38894833"/>
    <w:rsid w:val="3889C171"/>
    <w:rsid w:val="388CDD36"/>
    <w:rsid w:val="3895A918"/>
    <w:rsid w:val="3898399F"/>
    <w:rsid w:val="389D7912"/>
    <w:rsid w:val="389DA2FA"/>
    <w:rsid w:val="38B520F6"/>
    <w:rsid w:val="38B8AD17"/>
    <w:rsid w:val="38C0C368"/>
    <w:rsid w:val="38C9FFE8"/>
    <w:rsid w:val="38D5BE5D"/>
    <w:rsid w:val="38DAA651"/>
    <w:rsid w:val="38DB08E9"/>
    <w:rsid w:val="38EDDEC5"/>
    <w:rsid w:val="38EFE296"/>
    <w:rsid w:val="38F6B99C"/>
    <w:rsid w:val="38FE254F"/>
    <w:rsid w:val="3900D1A6"/>
    <w:rsid w:val="3904690E"/>
    <w:rsid w:val="39114B86"/>
    <w:rsid w:val="391370A7"/>
    <w:rsid w:val="39253E8E"/>
    <w:rsid w:val="392AB556"/>
    <w:rsid w:val="393DB0C3"/>
    <w:rsid w:val="393E3101"/>
    <w:rsid w:val="394089C2"/>
    <w:rsid w:val="39461E87"/>
    <w:rsid w:val="395E4C41"/>
    <w:rsid w:val="395F31BE"/>
    <w:rsid w:val="396F15C0"/>
    <w:rsid w:val="3981F111"/>
    <w:rsid w:val="398D4665"/>
    <w:rsid w:val="399CF6AF"/>
    <w:rsid w:val="39AE453B"/>
    <w:rsid w:val="39BAC93C"/>
    <w:rsid w:val="39C67645"/>
    <w:rsid w:val="39C8E6A6"/>
    <w:rsid w:val="39D5BB9E"/>
    <w:rsid w:val="39DFB574"/>
    <w:rsid w:val="39EE9CFB"/>
    <w:rsid w:val="39FD2CA3"/>
    <w:rsid w:val="3A0AFF49"/>
    <w:rsid w:val="3A1714F6"/>
    <w:rsid w:val="3A185902"/>
    <w:rsid w:val="3A1B187B"/>
    <w:rsid w:val="3A1FC0C9"/>
    <w:rsid w:val="3A22C081"/>
    <w:rsid w:val="3A25963A"/>
    <w:rsid w:val="3A2D7E3B"/>
    <w:rsid w:val="3A31F3F4"/>
    <w:rsid w:val="3A33F03B"/>
    <w:rsid w:val="3A361EA2"/>
    <w:rsid w:val="3A4E221B"/>
    <w:rsid w:val="3A593EAF"/>
    <w:rsid w:val="3A59BF06"/>
    <w:rsid w:val="3A62AF18"/>
    <w:rsid w:val="3A69AA14"/>
    <w:rsid w:val="3A6D7F41"/>
    <w:rsid w:val="3A6E7B17"/>
    <w:rsid w:val="3A7275B6"/>
    <w:rsid w:val="3A76D94A"/>
    <w:rsid w:val="3A791202"/>
    <w:rsid w:val="3A94D4B1"/>
    <w:rsid w:val="3A97E326"/>
    <w:rsid w:val="3A9BCBD7"/>
    <w:rsid w:val="3A9CEDCE"/>
    <w:rsid w:val="3AA1F138"/>
    <w:rsid w:val="3AB1A3AA"/>
    <w:rsid w:val="3AB347DB"/>
    <w:rsid w:val="3AB72EDE"/>
    <w:rsid w:val="3AC8E1E1"/>
    <w:rsid w:val="3ACBFEC7"/>
    <w:rsid w:val="3ACC65D5"/>
    <w:rsid w:val="3AD20BBB"/>
    <w:rsid w:val="3AD7C993"/>
    <w:rsid w:val="3AE2382F"/>
    <w:rsid w:val="3AE4183A"/>
    <w:rsid w:val="3AEC26D8"/>
    <w:rsid w:val="3AFA0E44"/>
    <w:rsid w:val="3AFB4E0A"/>
    <w:rsid w:val="3B057554"/>
    <w:rsid w:val="3B204F59"/>
    <w:rsid w:val="3B2081BD"/>
    <w:rsid w:val="3B2AA7BD"/>
    <w:rsid w:val="3B379325"/>
    <w:rsid w:val="3B44B540"/>
    <w:rsid w:val="3B4F0156"/>
    <w:rsid w:val="3B53BF24"/>
    <w:rsid w:val="3B59EB52"/>
    <w:rsid w:val="3B5E9238"/>
    <w:rsid w:val="3B70FE0F"/>
    <w:rsid w:val="3B780A23"/>
    <w:rsid w:val="3B830F3B"/>
    <w:rsid w:val="3B86F074"/>
    <w:rsid w:val="3B9E71D5"/>
    <w:rsid w:val="3B9EC856"/>
    <w:rsid w:val="3BA258D3"/>
    <w:rsid w:val="3BA4B75D"/>
    <w:rsid w:val="3BB2F731"/>
    <w:rsid w:val="3BB82F73"/>
    <w:rsid w:val="3BBD9101"/>
    <w:rsid w:val="3BCFC09C"/>
    <w:rsid w:val="3BD356C9"/>
    <w:rsid w:val="3BD66BFF"/>
    <w:rsid w:val="3BD80AB9"/>
    <w:rsid w:val="3BE49FCE"/>
    <w:rsid w:val="3BF0F809"/>
    <w:rsid w:val="3BF6396B"/>
    <w:rsid w:val="3C050F10"/>
    <w:rsid w:val="3C05AF0D"/>
    <w:rsid w:val="3C06DA6A"/>
    <w:rsid w:val="3C08D0A3"/>
    <w:rsid w:val="3C31D269"/>
    <w:rsid w:val="3C39CFD0"/>
    <w:rsid w:val="3C3B37BA"/>
    <w:rsid w:val="3C41C010"/>
    <w:rsid w:val="3C478583"/>
    <w:rsid w:val="3C49AC71"/>
    <w:rsid w:val="3C53CD1B"/>
    <w:rsid w:val="3C5B7F08"/>
    <w:rsid w:val="3C640EAB"/>
    <w:rsid w:val="3C667630"/>
    <w:rsid w:val="3C7DBF49"/>
    <w:rsid w:val="3C88B164"/>
    <w:rsid w:val="3C8B1FE3"/>
    <w:rsid w:val="3C8B9C5E"/>
    <w:rsid w:val="3C8C6F3A"/>
    <w:rsid w:val="3C8C873D"/>
    <w:rsid w:val="3C94AE58"/>
    <w:rsid w:val="3C9698FB"/>
    <w:rsid w:val="3CA34391"/>
    <w:rsid w:val="3CB44ABE"/>
    <w:rsid w:val="3CB4E5ED"/>
    <w:rsid w:val="3CB75FC4"/>
    <w:rsid w:val="3CBCA558"/>
    <w:rsid w:val="3CC0C4A2"/>
    <w:rsid w:val="3CCB2E50"/>
    <w:rsid w:val="3CCC85FE"/>
    <w:rsid w:val="3CD14E18"/>
    <w:rsid w:val="3CD50BB8"/>
    <w:rsid w:val="3CDC17CB"/>
    <w:rsid w:val="3CE55266"/>
    <w:rsid w:val="3CE7972C"/>
    <w:rsid w:val="3CF10BC2"/>
    <w:rsid w:val="3CF269FE"/>
    <w:rsid w:val="3CFB7D85"/>
    <w:rsid w:val="3D040B1B"/>
    <w:rsid w:val="3D092A7B"/>
    <w:rsid w:val="3D1C152B"/>
    <w:rsid w:val="3D1F536D"/>
    <w:rsid w:val="3D2B3A2D"/>
    <w:rsid w:val="3D2CBF9A"/>
    <w:rsid w:val="3D2F2AD2"/>
    <w:rsid w:val="3D3002FF"/>
    <w:rsid w:val="3D3094BC"/>
    <w:rsid w:val="3D3204A1"/>
    <w:rsid w:val="3D3333B1"/>
    <w:rsid w:val="3D348F98"/>
    <w:rsid w:val="3D35C876"/>
    <w:rsid w:val="3D373C77"/>
    <w:rsid w:val="3D4831FC"/>
    <w:rsid w:val="3D523F53"/>
    <w:rsid w:val="3D5A7AA0"/>
    <w:rsid w:val="3D5E2F41"/>
    <w:rsid w:val="3D5FC1C1"/>
    <w:rsid w:val="3D65031C"/>
    <w:rsid w:val="3D6B36CA"/>
    <w:rsid w:val="3D79F024"/>
    <w:rsid w:val="3D81EB59"/>
    <w:rsid w:val="3D863495"/>
    <w:rsid w:val="3D8BD90F"/>
    <w:rsid w:val="3D8BFDA7"/>
    <w:rsid w:val="3D9B6340"/>
    <w:rsid w:val="3D9B7EFA"/>
    <w:rsid w:val="3D9CB043"/>
    <w:rsid w:val="3D9EF890"/>
    <w:rsid w:val="3D9FD955"/>
    <w:rsid w:val="3DA0DF71"/>
    <w:rsid w:val="3DA25C75"/>
    <w:rsid w:val="3DAE0E5D"/>
    <w:rsid w:val="3DB05615"/>
    <w:rsid w:val="3DB42DC6"/>
    <w:rsid w:val="3DC81E91"/>
    <w:rsid w:val="3DCAC1FA"/>
    <w:rsid w:val="3DD7FCCC"/>
    <w:rsid w:val="3DE0B7BD"/>
    <w:rsid w:val="3DE72CE7"/>
    <w:rsid w:val="3DEAA9BE"/>
    <w:rsid w:val="3DEF0B0D"/>
    <w:rsid w:val="3DF664C9"/>
    <w:rsid w:val="3DF8A80E"/>
    <w:rsid w:val="3DF9D494"/>
    <w:rsid w:val="3DFAA13B"/>
    <w:rsid w:val="3E01F7E4"/>
    <w:rsid w:val="3E0AA060"/>
    <w:rsid w:val="3E0B7246"/>
    <w:rsid w:val="3E1EC934"/>
    <w:rsid w:val="3E21B29D"/>
    <w:rsid w:val="3E37B220"/>
    <w:rsid w:val="3E3E87D9"/>
    <w:rsid w:val="3E41724A"/>
    <w:rsid w:val="3E539FAA"/>
    <w:rsid w:val="3E67F362"/>
    <w:rsid w:val="3E681B7C"/>
    <w:rsid w:val="3E6993BD"/>
    <w:rsid w:val="3E6BBFDC"/>
    <w:rsid w:val="3E6D790B"/>
    <w:rsid w:val="3E804BF7"/>
    <w:rsid w:val="3E85BF5D"/>
    <w:rsid w:val="3E8F7922"/>
    <w:rsid w:val="3EA9FB41"/>
    <w:rsid w:val="3EAF679E"/>
    <w:rsid w:val="3EB23B94"/>
    <w:rsid w:val="3EB3CD97"/>
    <w:rsid w:val="3EBC26AB"/>
    <w:rsid w:val="3EBF0640"/>
    <w:rsid w:val="3EBF883B"/>
    <w:rsid w:val="3EC7BF9B"/>
    <w:rsid w:val="3ECA5E84"/>
    <w:rsid w:val="3ED006D4"/>
    <w:rsid w:val="3ED1AD91"/>
    <w:rsid w:val="3ED68DFB"/>
    <w:rsid w:val="3ED7A67C"/>
    <w:rsid w:val="3ED7B905"/>
    <w:rsid w:val="3ED9CAD2"/>
    <w:rsid w:val="3ED9D785"/>
    <w:rsid w:val="3EDB8B9D"/>
    <w:rsid w:val="3EDF11B5"/>
    <w:rsid w:val="3EE3A444"/>
    <w:rsid w:val="3EE7BF6C"/>
    <w:rsid w:val="3EEA6C9D"/>
    <w:rsid w:val="3EF482A4"/>
    <w:rsid w:val="3EF58018"/>
    <w:rsid w:val="3F06EFC2"/>
    <w:rsid w:val="3F10A3F2"/>
    <w:rsid w:val="3F1ABDCC"/>
    <w:rsid w:val="3F2145D0"/>
    <w:rsid w:val="3F26D634"/>
    <w:rsid w:val="3F28AB21"/>
    <w:rsid w:val="3F328722"/>
    <w:rsid w:val="3F4C8325"/>
    <w:rsid w:val="3F50457C"/>
    <w:rsid w:val="3F56C169"/>
    <w:rsid w:val="3F593473"/>
    <w:rsid w:val="3F5B6DDF"/>
    <w:rsid w:val="3F5D2049"/>
    <w:rsid w:val="3F673189"/>
    <w:rsid w:val="3F7A1D99"/>
    <w:rsid w:val="3F81D769"/>
    <w:rsid w:val="3F8EB7CD"/>
    <w:rsid w:val="3F8ED6A2"/>
    <w:rsid w:val="3F933829"/>
    <w:rsid w:val="3F9B4B02"/>
    <w:rsid w:val="3FA6E045"/>
    <w:rsid w:val="3FA8B102"/>
    <w:rsid w:val="3FAF437C"/>
    <w:rsid w:val="3FBBA03A"/>
    <w:rsid w:val="3FBE6DD4"/>
    <w:rsid w:val="3FC18535"/>
    <w:rsid w:val="3FC6F557"/>
    <w:rsid w:val="3FDB8F79"/>
    <w:rsid w:val="3FDD2B1D"/>
    <w:rsid w:val="3FE993B5"/>
    <w:rsid w:val="3FEB9908"/>
    <w:rsid w:val="3FECCA50"/>
    <w:rsid w:val="3FF15D38"/>
    <w:rsid w:val="3FFCD026"/>
    <w:rsid w:val="3FFDFF2A"/>
    <w:rsid w:val="3FFF6AFE"/>
    <w:rsid w:val="3FFFF33A"/>
    <w:rsid w:val="4005E9E7"/>
    <w:rsid w:val="40069453"/>
    <w:rsid w:val="401FF703"/>
    <w:rsid w:val="40220B33"/>
    <w:rsid w:val="403035B5"/>
    <w:rsid w:val="40360F75"/>
    <w:rsid w:val="404B153A"/>
    <w:rsid w:val="404F4251"/>
    <w:rsid w:val="4056F42F"/>
    <w:rsid w:val="4079842B"/>
    <w:rsid w:val="407D3BE3"/>
    <w:rsid w:val="4082FB5C"/>
    <w:rsid w:val="408317DB"/>
    <w:rsid w:val="408D6F08"/>
    <w:rsid w:val="4093AE0B"/>
    <w:rsid w:val="4095D431"/>
    <w:rsid w:val="409D4CD1"/>
    <w:rsid w:val="409E1CD4"/>
    <w:rsid w:val="40A0A24B"/>
    <w:rsid w:val="40A34B84"/>
    <w:rsid w:val="40A38BEA"/>
    <w:rsid w:val="40A72F64"/>
    <w:rsid w:val="40C495FF"/>
    <w:rsid w:val="40C8BF31"/>
    <w:rsid w:val="40DC33E5"/>
    <w:rsid w:val="40DDC978"/>
    <w:rsid w:val="40E787D7"/>
    <w:rsid w:val="40E8A24E"/>
    <w:rsid w:val="40EBCE88"/>
    <w:rsid w:val="40F5ED64"/>
    <w:rsid w:val="41035D6D"/>
    <w:rsid w:val="410745BC"/>
    <w:rsid w:val="410C9C59"/>
    <w:rsid w:val="411ECDA9"/>
    <w:rsid w:val="4123A68A"/>
    <w:rsid w:val="4123EAD6"/>
    <w:rsid w:val="4139252E"/>
    <w:rsid w:val="4149ED77"/>
    <w:rsid w:val="414A2623"/>
    <w:rsid w:val="41560FF3"/>
    <w:rsid w:val="415AF9A2"/>
    <w:rsid w:val="41701769"/>
    <w:rsid w:val="419E0F67"/>
    <w:rsid w:val="419E9DEA"/>
    <w:rsid w:val="41A705D1"/>
    <w:rsid w:val="41B40113"/>
    <w:rsid w:val="41B860BB"/>
    <w:rsid w:val="41B95E34"/>
    <w:rsid w:val="41BDED9B"/>
    <w:rsid w:val="41BEB58F"/>
    <w:rsid w:val="41C273A9"/>
    <w:rsid w:val="41C3DFE4"/>
    <w:rsid w:val="41C8B710"/>
    <w:rsid w:val="41C8D4C0"/>
    <w:rsid w:val="41D79B0C"/>
    <w:rsid w:val="41DD6087"/>
    <w:rsid w:val="41DF5BDF"/>
    <w:rsid w:val="41E6C9E8"/>
    <w:rsid w:val="41EF388E"/>
    <w:rsid w:val="41FE3915"/>
    <w:rsid w:val="41FEA93A"/>
    <w:rsid w:val="420C9CBF"/>
    <w:rsid w:val="420FF496"/>
    <w:rsid w:val="421231E8"/>
    <w:rsid w:val="4214CAF7"/>
    <w:rsid w:val="421763EA"/>
    <w:rsid w:val="421E0C03"/>
    <w:rsid w:val="422AA0A4"/>
    <w:rsid w:val="4230831B"/>
    <w:rsid w:val="4234960D"/>
    <w:rsid w:val="42364236"/>
    <w:rsid w:val="423A8330"/>
    <w:rsid w:val="423E3172"/>
    <w:rsid w:val="4249CE46"/>
    <w:rsid w:val="4253E2E1"/>
    <w:rsid w:val="425546C6"/>
    <w:rsid w:val="426362F8"/>
    <w:rsid w:val="42700980"/>
    <w:rsid w:val="4270CFBE"/>
    <w:rsid w:val="4272D6CE"/>
    <w:rsid w:val="4275C68F"/>
    <w:rsid w:val="4283C28E"/>
    <w:rsid w:val="42862F9E"/>
    <w:rsid w:val="429618A4"/>
    <w:rsid w:val="4296C4DC"/>
    <w:rsid w:val="42A7A5A4"/>
    <w:rsid w:val="42A9E642"/>
    <w:rsid w:val="42B1B08E"/>
    <w:rsid w:val="42B209C2"/>
    <w:rsid w:val="42BA9E0A"/>
    <w:rsid w:val="42BBA85A"/>
    <w:rsid w:val="42BE318B"/>
    <w:rsid w:val="42BE6665"/>
    <w:rsid w:val="42CAC08C"/>
    <w:rsid w:val="42CADBCF"/>
    <w:rsid w:val="42D736E0"/>
    <w:rsid w:val="42E2F345"/>
    <w:rsid w:val="42E41AD2"/>
    <w:rsid w:val="42F910C0"/>
    <w:rsid w:val="42FC00BA"/>
    <w:rsid w:val="430577EE"/>
    <w:rsid w:val="430CA136"/>
    <w:rsid w:val="4311A6CA"/>
    <w:rsid w:val="43159BEE"/>
    <w:rsid w:val="431E93D8"/>
    <w:rsid w:val="432498E1"/>
    <w:rsid w:val="43393F4D"/>
    <w:rsid w:val="434B81B6"/>
    <w:rsid w:val="434C6629"/>
    <w:rsid w:val="434E7161"/>
    <w:rsid w:val="434F1AB7"/>
    <w:rsid w:val="43566008"/>
    <w:rsid w:val="4364D742"/>
    <w:rsid w:val="4367AF37"/>
    <w:rsid w:val="436A942C"/>
    <w:rsid w:val="437C56E4"/>
    <w:rsid w:val="437EEDDE"/>
    <w:rsid w:val="437EEDE2"/>
    <w:rsid w:val="4381F056"/>
    <w:rsid w:val="439039F4"/>
    <w:rsid w:val="439B30E6"/>
    <w:rsid w:val="439F0E47"/>
    <w:rsid w:val="43B57872"/>
    <w:rsid w:val="43BBFE61"/>
    <w:rsid w:val="43C79B63"/>
    <w:rsid w:val="43D4BAD0"/>
    <w:rsid w:val="43D55DD4"/>
    <w:rsid w:val="43E29F3C"/>
    <w:rsid w:val="43E94E6B"/>
    <w:rsid w:val="43EE0D2D"/>
    <w:rsid w:val="43EEAC39"/>
    <w:rsid w:val="43EECE8B"/>
    <w:rsid w:val="43F8B438"/>
    <w:rsid w:val="44044997"/>
    <w:rsid w:val="440A65C5"/>
    <w:rsid w:val="440A7FFA"/>
    <w:rsid w:val="440BAEE7"/>
    <w:rsid w:val="440EA37C"/>
    <w:rsid w:val="44120B07"/>
    <w:rsid w:val="4413F606"/>
    <w:rsid w:val="441CCBD0"/>
    <w:rsid w:val="4425F2FE"/>
    <w:rsid w:val="44294952"/>
    <w:rsid w:val="442CB931"/>
    <w:rsid w:val="442F31DC"/>
    <w:rsid w:val="443D2174"/>
    <w:rsid w:val="443F8E49"/>
    <w:rsid w:val="44437605"/>
    <w:rsid w:val="44472B42"/>
    <w:rsid w:val="4449462D"/>
    <w:rsid w:val="44497A47"/>
    <w:rsid w:val="444A501B"/>
    <w:rsid w:val="44601ED6"/>
    <w:rsid w:val="446690ED"/>
    <w:rsid w:val="4469DC77"/>
    <w:rsid w:val="44706F6C"/>
    <w:rsid w:val="4475C8A0"/>
    <w:rsid w:val="448C6AB2"/>
    <w:rsid w:val="44958221"/>
    <w:rsid w:val="449CD008"/>
    <w:rsid w:val="44B9ADE3"/>
    <w:rsid w:val="44BB9283"/>
    <w:rsid w:val="44D27837"/>
    <w:rsid w:val="44EA76CA"/>
    <w:rsid w:val="44EF8DB6"/>
    <w:rsid w:val="44F021C1"/>
    <w:rsid w:val="44F25E6F"/>
    <w:rsid w:val="44F2A911"/>
    <w:rsid w:val="4517323D"/>
    <w:rsid w:val="452CC478"/>
    <w:rsid w:val="452D04EB"/>
    <w:rsid w:val="453145BA"/>
    <w:rsid w:val="453BFE2C"/>
    <w:rsid w:val="453DFA51"/>
    <w:rsid w:val="45406997"/>
    <w:rsid w:val="454348BB"/>
    <w:rsid w:val="4547090B"/>
    <w:rsid w:val="454A3AA8"/>
    <w:rsid w:val="454AF47C"/>
    <w:rsid w:val="455A2B3C"/>
    <w:rsid w:val="455E7893"/>
    <w:rsid w:val="4562E69A"/>
    <w:rsid w:val="45639F64"/>
    <w:rsid w:val="45997AAB"/>
    <w:rsid w:val="45A3DEC3"/>
    <w:rsid w:val="45A663DE"/>
    <w:rsid w:val="45C1C81D"/>
    <w:rsid w:val="45D5848F"/>
    <w:rsid w:val="45DCDBD6"/>
    <w:rsid w:val="45FEAB70"/>
    <w:rsid w:val="45FF0AE6"/>
    <w:rsid w:val="4610B002"/>
    <w:rsid w:val="462208C2"/>
    <w:rsid w:val="46290DEC"/>
    <w:rsid w:val="462E5199"/>
    <w:rsid w:val="46329716"/>
    <w:rsid w:val="463E9013"/>
    <w:rsid w:val="4645933F"/>
    <w:rsid w:val="4647968D"/>
    <w:rsid w:val="464C6CA1"/>
    <w:rsid w:val="464D8E65"/>
    <w:rsid w:val="464EF9D6"/>
    <w:rsid w:val="465BE8FB"/>
    <w:rsid w:val="465E14AD"/>
    <w:rsid w:val="465FFBCA"/>
    <w:rsid w:val="46608736"/>
    <w:rsid w:val="4664A553"/>
    <w:rsid w:val="467090BD"/>
    <w:rsid w:val="467E7420"/>
    <w:rsid w:val="4680B958"/>
    <w:rsid w:val="468C910B"/>
    <w:rsid w:val="469AD286"/>
    <w:rsid w:val="46A48EA0"/>
    <w:rsid w:val="46BAA3D2"/>
    <w:rsid w:val="46C0DB3F"/>
    <w:rsid w:val="46D0BDF7"/>
    <w:rsid w:val="46EC0201"/>
    <w:rsid w:val="4703DBC5"/>
    <w:rsid w:val="47041B07"/>
    <w:rsid w:val="47051C42"/>
    <w:rsid w:val="470B1A94"/>
    <w:rsid w:val="47150AF0"/>
    <w:rsid w:val="4719851B"/>
    <w:rsid w:val="471E1621"/>
    <w:rsid w:val="472B460E"/>
    <w:rsid w:val="472C7F69"/>
    <w:rsid w:val="472E610F"/>
    <w:rsid w:val="4747C1B7"/>
    <w:rsid w:val="47518807"/>
    <w:rsid w:val="47646D87"/>
    <w:rsid w:val="476805B1"/>
    <w:rsid w:val="476D4C9A"/>
    <w:rsid w:val="47723DE9"/>
    <w:rsid w:val="4777EC2B"/>
    <w:rsid w:val="477B7EE6"/>
    <w:rsid w:val="477E4C3D"/>
    <w:rsid w:val="47848241"/>
    <w:rsid w:val="4786B991"/>
    <w:rsid w:val="479D4E43"/>
    <w:rsid w:val="47A24A64"/>
    <w:rsid w:val="47CD49DF"/>
    <w:rsid w:val="47D7D850"/>
    <w:rsid w:val="47E4097F"/>
    <w:rsid w:val="47F645D0"/>
    <w:rsid w:val="47F770CE"/>
    <w:rsid w:val="47FB134B"/>
    <w:rsid w:val="48038345"/>
    <w:rsid w:val="48098F86"/>
    <w:rsid w:val="480B6BB7"/>
    <w:rsid w:val="48104FEC"/>
    <w:rsid w:val="482174E4"/>
    <w:rsid w:val="48259BEB"/>
    <w:rsid w:val="482D2F1F"/>
    <w:rsid w:val="48312F83"/>
    <w:rsid w:val="485314F7"/>
    <w:rsid w:val="48657ECC"/>
    <w:rsid w:val="487B2A25"/>
    <w:rsid w:val="487D630F"/>
    <w:rsid w:val="4886C635"/>
    <w:rsid w:val="4889648C"/>
    <w:rsid w:val="48930C2B"/>
    <w:rsid w:val="489B0C86"/>
    <w:rsid w:val="489C9692"/>
    <w:rsid w:val="489E2035"/>
    <w:rsid w:val="48A86D20"/>
    <w:rsid w:val="48BFC638"/>
    <w:rsid w:val="48C0D4BE"/>
    <w:rsid w:val="48C8F2E0"/>
    <w:rsid w:val="48D34A17"/>
    <w:rsid w:val="48D39379"/>
    <w:rsid w:val="48D5EF01"/>
    <w:rsid w:val="48E0D374"/>
    <w:rsid w:val="48ED9925"/>
    <w:rsid w:val="48F6DEA4"/>
    <w:rsid w:val="490C8B4E"/>
    <w:rsid w:val="490D0A99"/>
    <w:rsid w:val="490D542F"/>
    <w:rsid w:val="4915FB29"/>
    <w:rsid w:val="491CE54C"/>
    <w:rsid w:val="4921D98D"/>
    <w:rsid w:val="4921F56A"/>
    <w:rsid w:val="492E95E7"/>
    <w:rsid w:val="493CA0AA"/>
    <w:rsid w:val="493D78B5"/>
    <w:rsid w:val="493E1AC5"/>
    <w:rsid w:val="493F4CC7"/>
    <w:rsid w:val="4943DCCC"/>
    <w:rsid w:val="49487BE1"/>
    <w:rsid w:val="494EB8B3"/>
    <w:rsid w:val="495900B2"/>
    <w:rsid w:val="4965A1A9"/>
    <w:rsid w:val="496D86D6"/>
    <w:rsid w:val="4982ED15"/>
    <w:rsid w:val="49853106"/>
    <w:rsid w:val="4988783A"/>
    <w:rsid w:val="498BBF10"/>
    <w:rsid w:val="499CB7BB"/>
    <w:rsid w:val="499F1387"/>
    <w:rsid w:val="499FE530"/>
    <w:rsid w:val="49AB41C5"/>
    <w:rsid w:val="49B4E139"/>
    <w:rsid w:val="49B60854"/>
    <w:rsid w:val="49BBBF54"/>
    <w:rsid w:val="49C129A7"/>
    <w:rsid w:val="49C1DD92"/>
    <w:rsid w:val="49C874AB"/>
    <w:rsid w:val="49D2C413"/>
    <w:rsid w:val="49D3CB28"/>
    <w:rsid w:val="49D52A6D"/>
    <w:rsid w:val="49D7519C"/>
    <w:rsid w:val="49DB92E5"/>
    <w:rsid w:val="49E3316F"/>
    <w:rsid w:val="49F602CA"/>
    <w:rsid w:val="49F91140"/>
    <w:rsid w:val="49FFE1B7"/>
    <w:rsid w:val="4A035ED4"/>
    <w:rsid w:val="4A07DEFC"/>
    <w:rsid w:val="4A0D7DC9"/>
    <w:rsid w:val="4A1805F9"/>
    <w:rsid w:val="4A18388C"/>
    <w:rsid w:val="4A1D3E4A"/>
    <w:rsid w:val="4A2CC8B5"/>
    <w:rsid w:val="4A2ECBA0"/>
    <w:rsid w:val="4A3156E3"/>
    <w:rsid w:val="4A328667"/>
    <w:rsid w:val="4A3BD51F"/>
    <w:rsid w:val="4A46AE6D"/>
    <w:rsid w:val="4A471D1B"/>
    <w:rsid w:val="4A4D726C"/>
    <w:rsid w:val="4A59D716"/>
    <w:rsid w:val="4A794D2D"/>
    <w:rsid w:val="4A7B7DBA"/>
    <w:rsid w:val="4A7B86C1"/>
    <w:rsid w:val="4A826BA8"/>
    <w:rsid w:val="4A98D51B"/>
    <w:rsid w:val="4AA936B1"/>
    <w:rsid w:val="4AAFE287"/>
    <w:rsid w:val="4AB0E8AC"/>
    <w:rsid w:val="4ABFAC89"/>
    <w:rsid w:val="4AC3C4DA"/>
    <w:rsid w:val="4ADEFBA7"/>
    <w:rsid w:val="4AE0E69C"/>
    <w:rsid w:val="4AEB0C96"/>
    <w:rsid w:val="4AEDE0A5"/>
    <w:rsid w:val="4B02624B"/>
    <w:rsid w:val="4B0F51A7"/>
    <w:rsid w:val="4B11F9C5"/>
    <w:rsid w:val="4B1A7000"/>
    <w:rsid w:val="4B1AC960"/>
    <w:rsid w:val="4B1F036B"/>
    <w:rsid w:val="4B20031B"/>
    <w:rsid w:val="4B20BF75"/>
    <w:rsid w:val="4B2B6A43"/>
    <w:rsid w:val="4B2E46E8"/>
    <w:rsid w:val="4B2F8644"/>
    <w:rsid w:val="4B33849A"/>
    <w:rsid w:val="4B361D83"/>
    <w:rsid w:val="4B487796"/>
    <w:rsid w:val="4B4D3F64"/>
    <w:rsid w:val="4B5388D2"/>
    <w:rsid w:val="4B56269C"/>
    <w:rsid w:val="4B58386B"/>
    <w:rsid w:val="4B5DD021"/>
    <w:rsid w:val="4B76C143"/>
    <w:rsid w:val="4B779866"/>
    <w:rsid w:val="4B836726"/>
    <w:rsid w:val="4B8CBB42"/>
    <w:rsid w:val="4B9DF763"/>
    <w:rsid w:val="4BB37996"/>
    <w:rsid w:val="4BB65479"/>
    <w:rsid w:val="4BCC1515"/>
    <w:rsid w:val="4BCD50E0"/>
    <w:rsid w:val="4BDE8BB7"/>
    <w:rsid w:val="4BE367E1"/>
    <w:rsid w:val="4BECC33C"/>
    <w:rsid w:val="4BECEBB0"/>
    <w:rsid w:val="4C09FA1D"/>
    <w:rsid w:val="4C140AD5"/>
    <w:rsid w:val="4C19E38F"/>
    <w:rsid w:val="4C1A64C7"/>
    <w:rsid w:val="4C1CFD5C"/>
    <w:rsid w:val="4C1E1A58"/>
    <w:rsid w:val="4C20039D"/>
    <w:rsid w:val="4C28548C"/>
    <w:rsid w:val="4C53FB00"/>
    <w:rsid w:val="4C557C30"/>
    <w:rsid w:val="4C56137E"/>
    <w:rsid w:val="4C592CCE"/>
    <w:rsid w:val="4C5C5B8B"/>
    <w:rsid w:val="4C600A0F"/>
    <w:rsid w:val="4C713D62"/>
    <w:rsid w:val="4C81CDD6"/>
    <w:rsid w:val="4C96E4D8"/>
    <w:rsid w:val="4CB7885D"/>
    <w:rsid w:val="4CB7A052"/>
    <w:rsid w:val="4CBB2CED"/>
    <w:rsid w:val="4CC6B6BD"/>
    <w:rsid w:val="4CC6C013"/>
    <w:rsid w:val="4CCA5AFE"/>
    <w:rsid w:val="4CD4E80E"/>
    <w:rsid w:val="4CE03FBE"/>
    <w:rsid w:val="4CE40F6D"/>
    <w:rsid w:val="4CE447F7"/>
    <w:rsid w:val="4CEBF8D2"/>
    <w:rsid w:val="4D0253EF"/>
    <w:rsid w:val="4D034EB6"/>
    <w:rsid w:val="4D046B91"/>
    <w:rsid w:val="4D19885D"/>
    <w:rsid w:val="4D29EC20"/>
    <w:rsid w:val="4D2A2D5C"/>
    <w:rsid w:val="4D39D82C"/>
    <w:rsid w:val="4D3E83AC"/>
    <w:rsid w:val="4D45E2DF"/>
    <w:rsid w:val="4D4B8760"/>
    <w:rsid w:val="4D54DF0C"/>
    <w:rsid w:val="4D671AF0"/>
    <w:rsid w:val="4D692141"/>
    <w:rsid w:val="4D695036"/>
    <w:rsid w:val="4D6D8306"/>
    <w:rsid w:val="4D7606F5"/>
    <w:rsid w:val="4D78010A"/>
    <w:rsid w:val="4D95487E"/>
    <w:rsid w:val="4DA5A44D"/>
    <w:rsid w:val="4DB69619"/>
    <w:rsid w:val="4DB72DC7"/>
    <w:rsid w:val="4DC4573D"/>
    <w:rsid w:val="4DC638DB"/>
    <w:rsid w:val="4DC7B0E6"/>
    <w:rsid w:val="4DCCC3E8"/>
    <w:rsid w:val="4DD58FAA"/>
    <w:rsid w:val="4DD97783"/>
    <w:rsid w:val="4DEBCD33"/>
    <w:rsid w:val="4DF05EA0"/>
    <w:rsid w:val="4DF8144C"/>
    <w:rsid w:val="4DFBAF63"/>
    <w:rsid w:val="4E1C659B"/>
    <w:rsid w:val="4E217CBB"/>
    <w:rsid w:val="4E251BE2"/>
    <w:rsid w:val="4E3C6ADF"/>
    <w:rsid w:val="4E408AC1"/>
    <w:rsid w:val="4E5D19AB"/>
    <w:rsid w:val="4E67C07D"/>
    <w:rsid w:val="4E6E004D"/>
    <w:rsid w:val="4E72B4C0"/>
    <w:rsid w:val="4E72EFC4"/>
    <w:rsid w:val="4E7789BD"/>
    <w:rsid w:val="4E790065"/>
    <w:rsid w:val="4E7F29EE"/>
    <w:rsid w:val="4E9529F9"/>
    <w:rsid w:val="4EA45E29"/>
    <w:rsid w:val="4EA5B185"/>
    <w:rsid w:val="4EA6308C"/>
    <w:rsid w:val="4EA8B936"/>
    <w:rsid w:val="4EAAA1A6"/>
    <w:rsid w:val="4EAB7718"/>
    <w:rsid w:val="4EAF49A8"/>
    <w:rsid w:val="4EB30C9B"/>
    <w:rsid w:val="4EB5D373"/>
    <w:rsid w:val="4EB83A96"/>
    <w:rsid w:val="4EBDC07B"/>
    <w:rsid w:val="4EC1EC2D"/>
    <w:rsid w:val="4ECFD28E"/>
    <w:rsid w:val="4EDAA538"/>
    <w:rsid w:val="4EDFAF93"/>
    <w:rsid w:val="4EE05F55"/>
    <w:rsid w:val="4EE33C3F"/>
    <w:rsid w:val="4EEC4D4C"/>
    <w:rsid w:val="4EFA6ADD"/>
    <w:rsid w:val="4F00F176"/>
    <w:rsid w:val="4F02921F"/>
    <w:rsid w:val="4F03D576"/>
    <w:rsid w:val="4F09833D"/>
    <w:rsid w:val="4F16B919"/>
    <w:rsid w:val="4F19912F"/>
    <w:rsid w:val="4F20F071"/>
    <w:rsid w:val="4F2C437A"/>
    <w:rsid w:val="4F2F5337"/>
    <w:rsid w:val="4F319BA4"/>
    <w:rsid w:val="4F3FE38C"/>
    <w:rsid w:val="4F4174AE"/>
    <w:rsid w:val="4F471F10"/>
    <w:rsid w:val="4F4F8206"/>
    <w:rsid w:val="4F589039"/>
    <w:rsid w:val="4F5989D8"/>
    <w:rsid w:val="4F70A303"/>
    <w:rsid w:val="4F731A00"/>
    <w:rsid w:val="4F7425ED"/>
    <w:rsid w:val="4F7547E4"/>
    <w:rsid w:val="4F78A3A2"/>
    <w:rsid w:val="4F794C2D"/>
    <w:rsid w:val="4F80DF22"/>
    <w:rsid w:val="4F817154"/>
    <w:rsid w:val="4F824678"/>
    <w:rsid w:val="4FA00339"/>
    <w:rsid w:val="4FA200E6"/>
    <w:rsid w:val="4FAEDE85"/>
    <w:rsid w:val="4FB3CFB4"/>
    <w:rsid w:val="4FB51F7B"/>
    <w:rsid w:val="4FCD50AE"/>
    <w:rsid w:val="4FE03742"/>
    <w:rsid w:val="4FF6D82A"/>
    <w:rsid w:val="4FFA235C"/>
    <w:rsid w:val="50065690"/>
    <w:rsid w:val="50126BE9"/>
    <w:rsid w:val="50136F91"/>
    <w:rsid w:val="503D4185"/>
    <w:rsid w:val="50491734"/>
    <w:rsid w:val="5049629C"/>
    <w:rsid w:val="504D8A93"/>
    <w:rsid w:val="504E8415"/>
    <w:rsid w:val="50597EB0"/>
    <w:rsid w:val="505F36B9"/>
    <w:rsid w:val="5064C7FD"/>
    <w:rsid w:val="506A5A1D"/>
    <w:rsid w:val="507A1956"/>
    <w:rsid w:val="50831E6A"/>
    <w:rsid w:val="508BA1E1"/>
    <w:rsid w:val="50961D1C"/>
    <w:rsid w:val="5099C3F8"/>
    <w:rsid w:val="50A0C203"/>
    <w:rsid w:val="50A523C8"/>
    <w:rsid w:val="50AAE78E"/>
    <w:rsid w:val="50ABA89C"/>
    <w:rsid w:val="50C6C481"/>
    <w:rsid w:val="50CDEE39"/>
    <w:rsid w:val="50CF8C0B"/>
    <w:rsid w:val="50D29B38"/>
    <w:rsid w:val="50F37A72"/>
    <w:rsid w:val="50F5296C"/>
    <w:rsid w:val="50FB6D35"/>
    <w:rsid w:val="5103E2AB"/>
    <w:rsid w:val="510C8BE2"/>
    <w:rsid w:val="51268B98"/>
    <w:rsid w:val="51286DB7"/>
    <w:rsid w:val="512C2731"/>
    <w:rsid w:val="512D443D"/>
    <w:rsid w:val="5131A2EE"/>
    <w:rsid w:val="5132E400"/>
    <w:rsid w:val="513A5982"/>
    <w:rsid w:val="513F0F14"/>
    <w:rsid w:val="5140DAF4"/>
    <w:rsid w:val="5148997E"/>
    <w:rsid w:val="514ECD32"/>
    <w:rsid w:val="51588C6F"/>
    <w:rsid w:val="5164D000"/>
    <w:rsid w:val="5168E18E"/>
    <w:rsid w:val="516B3919"/>
    <w:rsid w:val="5171DB0C"/>
    <w:rsid w:val="517BC2AD"/>
    <w:rsid w:val="51860B86"/>
    <w:rsid w:val="518D36F5"/>
    <w:rsid w:val="51992356"/>
    <w:rsid w:val="519AE643"/>
    <w:rsid w:val="519F2DAF"/>
    <w:rsid w:val="51A21F89"/>
    <w:rsid w:val="51A2EA1B"/>
    <w:rsid w:val="51A45C14"/>
    <w:rsid w:val="51B053CE"/>
    <w:rsid w:val="51B1285D"/>
    <w:rsid w:val="51CD0A43"/>
    <w:rsid w:val="51D1A06F"/>
    <w:rsid w:val="51D911E6"/>
    <w:rsid w:val="51DF900D"/>
    <w:rsid w:val="51E13815"/>
    <w:rsid w:val="51E723B6"/>
    <w:rsid w:val="51E8FCA4"/>
    <w:rsid w:val="51EC964F"/>
    <w:rsid w:val="51F39974"/>
    <w:rsid w:val="51F601EC"/>
    <w:rsid w:val="51FCEDB2"/>
    <w:rsid w:val="51FED441"/>
    <w:rsid w:val="5200911D"/>
    <w:rsid w:val="52057D48"/>
    <w:rsid w:val="5209814D"/>
    <w:rsid w:val="520A3E2D"/>
    <w:rsid w:val="52141C0D"/>
    <w:rsid w:val="521F5C3A"/>
    <w:rsid w:val="522225E7"/>
    <w:rsid w:val="5226E976"/>
    <w:rsid w:val="5232D885"/>
    <w:rsid w:val="52447FEA"/>
    <w:rsid w:val="5246A9B7"/>
    <w:rsid w:val="5246CBE9"/>
    <w:rsid w:val="525FC429"/>
    <w:rsid w:val="5263879F"/>
    <w:rsid w:val="5266140B"/>
    <w:rsid w:val="5268BD52"/>
    <w:rsid w:val="526B3F2B"/>
    <w:rsid w:val="526E4893"/>
    <w:rsid w:val="527C3A40"/>
    <w:rsid w:val="527F8465"/>
    <w:rsid w:val="52905CE6"/>
    <w:rsid w:val="529636F5"/>
    <w:rsid w:val="52973D96"/>
    <w:rsid w:val="529DF8BE"/>
    <w:rsid w:val="52C36249"/>
    <w:rsid w:val="52C3EC75"/>
    <w:rsid w:val="52D0D6B6"/>
    <w:rsid w:val="52D51C5E"/>
    <w:rsid w:val="52D7B240"/>
    <w:rsid w:val="52E8D1DC"/>
    <w:rsid w:val="530577E7"/>
    <w:rsid w:val="53058F11"/>
    <w:rsid w:val="5316837C"/>
    <w:rsid w:val="531ABEDA"/>
    <w:rsid w:val="5324E18B"/>
    <w:rsid w:val="53260AFD"/>
    <w:rsid w:val="53261B0E"/>
    <w:rsid w:val="53274AEF"/>
    <w:rsid w:val="5328115E"/>
    <w:rsid w:val="53362959"/>
    <w:rsid w:val="533B7137"/>
    <w:rsid w:val="534BF9B8"/>
    <w:rsid w:val="5364DD2A"/>
    <w:rsid w:val="536CFC7A"/>
    <w:rsid w:val="53746061"/>
    <w:rsid w:val="53785D49"/>
    <w:rsid w:val="537E3751"/>
    <w:rsid w:val="537F956E"/>
    <w:rsid w:val="5381E397"/>
    <w:rsid w:val="53820C62"/>
    <w:rsid w:val="53860720"/>
    <w:rsid w:val="5387833C"/>
    <w:rsid w:val="5388E706"/>
    <w:rsid w:val="5391D24D"/>
    <w:rsid w:val="539538B9"/>
    <w:rsid w:val="5398D9C6"/>
    <w:rsid w:val="5399C362"/>
    <w:rsid w:val="539AA4A2"/>
    <w:rsid w:val="53AB4774"/>
    <w:rsid w:val="53B93361"/>
    <w:rsid w:val="53BDD67B"/>
    <w:rsid w:val="53D7477D"/>
    <w:rsid w:val="53D9AE5B"/>
    <w:rsid w:val="53E33BCF"/>
    <w:rsid w:val="53EF17ED"/>
    <w:rsid w:val="53F3A7DF"/>
    <w:rsid w:val="53FBBD74"/>
    <w:rsid w:val="53FFB49D"/>
    <w:rsid w:val="540A79D4"/>
    <w:rsid w:val="5411F2D7"/>
    <w:rsid w:val="54162478"/>
    <w:rsid w:val="541A40C2"/>
    <w:rsid w:val="542E3245"/>
    <w:rsid w:val="54430149"/>
    <w:rsid w:val="545447D9"/>
    <w:rsid w:val="5465947D"/>
    <w:rsid w:val="54678E96"/>
    <w:rsid w:val="547EC685"/>
    <w:rsid w:val="54A21D25"/>
    <w:rsid w:val="54A25E87"/>
    <w:rsid w:val="54AF8D39"/>
    <w:rsid w:val="54B28C3D"/>
    <w:rsid w:val="54C3EA97"/>
    <w:rsid w:val="54C45C50"/>
    <w:rsid w:val="54C61750"/>
    <w:rsid w:val="54C8DD5D"/>
    <w:rsid w:val="54D9D1B7"/>
    <w:rsid w:val="54DCA567"/>
    <w:rsid w:val="54DFF90D"/>
    <w:rsid w:val="54E3A6FE"/>
    <w:rsid w:val="54E4129F"/>
    <w:rsid w:val="54EAC7FA"/>
    <w:rsid w:val="54EAE3C4"/>
    <w:rsid w:val="54EC4C43"/>
    <w:rsid w:val="54F0BF2B"/>
    <w:rsid w:val="551672C5"/>
    <w:rsid w:val="551B3044"/>
    <w:rsid w:val="554401C6"/>
    <w:rsid w:val="554A4806"/>
    <w:rsid w:val="554C87DB"/>
    <w:rsid w:val="555C3AA8"/>
    <w:rsid w:val="55743326"/>
    <w:rsid w:val="557E3590"/>
    <w:rsid w:val="557F0C30"/>
    <w:rsid w:val="558A9784"/>
    <w:rsid w:val="5591F7CE"/>
    <w:rsid w:val="5592D0E1"/>
    <w:rsid w:val="55935F75"/>
    <w:rsid w:val="559A26C8"/>
    <w:rsid w:val="55A384C0"/>
    <w:rsid w:val="55BAB94F"/>
    <w:rsid w:val="55CE0803"/>
    <w:rsid w:val="55CEF3BC"/>
    <w:rsid w:val="55D1D24D"/>
    <w:rsid w:val="55DF0C7D"/>
    <w:rsid w:val="55E06E08"/>
    <w:rsid w:val="55E1EDBE"/>
    <w:rsid w:val="55F1C838"/>
    <w:rsid w:val="5605FDA3"/>
    <w:rsid w:val="560F9F0E"/>
    <w:rsid w:val="561A33A2"/>
    <w:rsid w:val="561B98AA"/>
    <w:rsid w:val="561CCF3D"/>
    <w:rsid w:val="561EF7BC"/>
    <w:rsid w:val="5621D444"/>
    <w:rsid w:val="5637029A"/>
    <w:rsid w:val="563DFFA7"/>
    <w:rsid w:val="5643E6E2"/>
    <w:rsid w:val="56461585"/>
    <w:rsid w:val="5648BAF8"/>
    <w:rsid w:val="565162D0"/>
    <w:rsid w:val="56538AE2"/>
    <w:rsid w:val="56688CE8"/>
    <w:rsid w:val="5668D206"/>
    <w:rsid w:val="566FDF85"/>
    <w:rsid w:val="5672739C"/>
    <w:rsid w:val="568124B1"/>
    <w:rsid w:val="568B50C8"/>
    <w:rsid w:val="568C9416"/>
    <w:rsid w:val="5690B174"/>
    <w:rsid w:val="56A64C3A"/>
    <w:rsid w:val="56BE2C67"/>
    <w:rsid w:val="56BFAD87"/>
    <w:rsid w:val="56CA9595"/>
    <w:rsid w:val="56CC3738"/>
    <w:rsid w:val="56D31FA0"/>
    <w:rsid w:val="56E84063"/>
    <w:rsid w:val="570570F1"/>
    <w:rsid w:val="57090235"/>
    <w:rsid w:val="57100387"/>
    <w:rsid w:val="5713BB45"/>
    <w:rsid w:val="57155FEF"/>
    <w:rsid w:val="571C05C1"/>
    <w:rsid w:val="5723FF17"/>
    <w:rsid w:val="57292BE4"/>
    <w:rsid w:val="57295EC9"/>
    <w:rsid w:val="5736ACD6"/>
    <w:rsid w:val="57378B50"/>
    <w:rsid w:val="573C421A"/>
    <w:rsid w:val="57404C63"/>
    <w:rsid w:val="57475317"/>
    <w:rsid w:val="575414D3"/>
    <w:rsid w:val="57566722"/>
    <w:rsid w:val="575689B0"/>
    <w:rsid w:val="575CEED8"/>
    <w:rsid w:val="57644737"/>
    <w:rsid w:val="5768D2F7"/>
    <w:rsid w:val="576A0AAF"/>
    <w:rsid w:val="576AF5FC"/>
    <w:rsid w:val="576D1B21"/>
    <w:rsid w:val="57804A9F"/>
    <w:rsid w:val="578C894E"/>
    <w:rsid w:val="578F551A"/>
    <w:rsid w:val="57916119"/>
    <w:rsid w:val="57972785"/>
    <w:rsid w:val="579B2BCD"/>
    <w:rsid w:val="57B10376"/>
    <w:rsid w:val="57B46BD7"/>
    <w:rsid w:val="57C9369C"/>
    <w:rsid w:val="57D2F235"/>
    <w:rsid w:val="57D422D7"/>
    <w:rsid w:val="57D60AF0"/>
    <w:rsid w:val="57E59457"/>
    <w:rsid w:val="57E70C73"/>
    <w:rsid w:val="57E9813B"/>
    <w:rsid w:val="57EB1060"/>
    <w:rsid w:val="57F551E3"/>
    <w:rsid w:val="5805CB9B"/>
    <w:rsid w:val="58122B9F"/>
    <w:rsid w:val="58147A00"/>
    <w:rsid w:val="581E27F3"/>
    <w:rsid w:val="5832A15D"/>
    <w:rsid w:val="583B67D0"/>
    <w:rsid w:val="584434FF"/>
    <w:rsid w:val="58463A38"/>
    <w:rsid w:val="584BCE6C"/>
    <w:rsid w:val="585807A1"/>
    <w:rsid w:val="5864C772"/>
    <w:rsid w:val="58701F9F"/>
    <w:rsid w:val="5876710E"/>
    <w:rsid w:val="587DECC5"/>
    <w:rsid w:val="58839AAF"/>
    <w:rsid w:val="5885BA51"/>
    <w:rsid w:val="58896974"/>
    <w:rsid w:val="588F7209"/>
    <w:rsid w:val="5890F70D"/>
    <w:rsid w:val="589A9774"/>
    <w:rsid w:val="589DDE8D"/>
    <w:rsid w:val="589F1608"/>
    <w:rsid w:val="58B82333"/>
    <w:rsid w:val="58BDEED8"/>
    <w:rsid w:val="58C23E0F"/>
    <w:rsid w:val="58C70B20"/>
    <w:rsid w:val="58DE8829"/>
    <w:rsid w:val="58E510F5"/>
    <w:rsid w:val="58E8EF5F"/>
    <w:rsid w:val="58EC587A"/>
    <w:rsid w:val="58F1ADB9"/>
    <w:rsid w:val="58F778EC"/>
    <w:rsid w:val="590706BE"/>
    <w:rsid w:val="5917E5C5"/>
    <w:rsid w:val="5918A6AB"/>
    <w:rsid w:val="591E0EC5"/>
    <w:rsid w:val="5925DB05"/>
    <w:rsid w:val="5932983E"/>
    <w:rsid w:val="593F1C7F"/>
    <w:rsid w:val="59454CBA"/>
    <w:rsid w:val="59466095"/>
    <w:rsid w:val="594D0E8F"/>
    <w:rsid w:val="595FF229"/>
    <w:rsid w:val="596B0CD1"/>
    <w:rsid w:val="596BE9C7"/>
    <w:rsid w:val="596C1E54"/>
    <w:rsid w:val="59840CFF"/>
    <w:rsid w:val="598C7B14"/>
    <w:rsid w:val="599667EF"/>
    <w:rsid w:val="599F28B9"/>
    <w:rsid w:val="59A111CA"/>
    <w:rsid w:val="59A2C32F"/>
    <w:rsid w:val="59AC976B"/>
    <w:rsid w:val="59AD065C"/>
    <w:rsid w:val="59B099B6"/>
    <w:rsid w:val="59D7BFA8"/>
    <w:rsid w:val="59D8CF98"/>
    <w:rsid w:val="59DC3DFE"/>
    <w:rsid w:val="59E38618"/>
    <w:rsid w:val="59F97661"/>
    <w:rsid w:val="59FB1213"/>
    <w:rsid w:val="5A0048B5"/>
    <w:rsid w:val="5A0516E1"/>
    <w:rsid w:val="5A07A588"/>
    <w:rsid w:val="5A12416F"/>
    <w:rsid w:val="5A1CBFF5"/>
    <w:rsid w:val="5A1E5095"/>
    <w:rsid w:val="5A208FF8"/>
    <w:rsid w:val="5A28312C"/>
    <w:rsid w:val="5A2A8402"/>
    <w:rsid w:val="5A2B471A"/>
    <w:rsid w:val="5A2FCFE4"/>
    <w:rsid w:val="5A30C72C"/>
    <w:rsid w:val="5A4A2A5E"/>
    <w:rsid w:val="5A4B7C7C"/>
    <w:rsid w:val="5A4D6318"/>
    <w:rsid w:val="5A503299"/>
    <w:rsid w:val="5A51060D"/>
    <w:rsid w:val="5A512D62"/>
    <w:rsid w:val="5A59C72F"/>
    <w:rsid w:val="5A5D2CAB"/>
    <w:rsid w:val="5A668D86"/>
    <w:rsid w:val="5A6D61E1"/>
    <w:rsid w:val="5A72C5F3"/>
    <w:rsid w:val="5A89D226"/>
    <w:rsid w:val="5A9AA62A"/>
    <w:rsid w:val="5A9BD3A9"/>
    <w:rsid w:val="5AA1E6B2"/>
    <w:rsid w:val="5AA990E7"/>
    <w:rsid w:val="5AACA969"/>
    <w:rsid w:val="5AB7AE9A"/>
    <w:rsid w:val="5AC0A63E"/>
    <w:rsid w:val="5AC15D14"/>
    <w:rsid w:val="5AD72C77"/>
    <w:rsid w:val="5ADDA2A9"/>
    <w:rsid w:val="5ADE76E0"/>
    <w:rsid w:val="5AE055FE"/>
    <w:rsid w:val="5AEADA62"/>
    <w:rsid w:val="5AEB1057"/>
    <w:rsid w:val="5AF24A16"/>
    <w:rsid w:val="5AFACF69"/>
    <w:rsid w:val="5AFBCB95"/>
    <w:rsid w:val="5AFDD8EA"/>
    <w:rsid w:val="5B07992C"/>
    <w:rsid w:val="5B175805"/>
    <w:rsid w:val="5B2FD8AB"/>
    <w:rsid w:val="5B448C86"/>
    <w:rsid w:val="5B48BC9F"/>
    <w:rsid w:val="5B4990B7"/>
    <w:rsid w:val="5B62FAD0"/>
    <w:rsid w:val="5B69B9CA"/>
    <w:rsid w:val="5B73BE57"/>
    <w:rsid w:val="5B753066"/>
    <w:rsid w:val="5B9E8FC9"/>
    <w:rsid w:val="5B9EC2EF"/>
    <w:rsid w:val="5BA04A9E"/>
    <w:rsid w:val="5BA1AB02"/>
    <w:rsid w:val="5BA36A7D"/>
    <w:rsid w:val="5BB003DE"/>
    <w:rsid w:val="5BB497F2"/>
    <w:rsid w:val="5BBBF73D"/>
    <w:rsid w:val="5BC13B68"/>
    <w:rsid w:val="5BC24D47"/>
    <w:rsid w:val="5BCE8B4D"/>
    <w:rsid w:val="5BCF90E9"/>
    <w:rsid w:val="5BD08B18"/>
    <w:rsid w:val="5BE7E94B"/>
    <w:rsid w:val="5BEA0515"/>
    <w:rsid w:val="5BEB6230"/>
    <w:rsid w:val="5BEE5456"/>
    <w:rsid w:val="5BF07155"/>
    <w:rsid w:val="5BF69504"/>
    <w:rsid w:val="5BF9904E"/>
    <w:rsid w:val="5BFC26C6"/>
    <w:rsid w:val="5C16B76C"/>
    <w:rsid w:val="5C3818B3"/>
    <w:rsid w:val="5C3C1D62"/>
    <w:rsid w:val="5C3E8D62"/>
    <w:rsid w:val="5C408C44"/>
    <w:rsid w:val="5C46D5B7"/>
    <w:rsid w:val="5C4909D4"/>
    <w:rsid w:val="5C52A8F5"/>
    <w:rsid w:val="5C5C4269"/>
    <w:rsid w:val="5C7C8688"/>
    <w:rsid w:val="5C7E22C7"/>
    <w:rsid w:val="5C8A6536"/>
    <w:rsid w:val="5C9FAAE3"/>
    <w:rsid w:val="5CB0C2A8"/>
    <w:rsid w:val="5CC03534"/>
    <w:rsid w:val="5CD675E9"/>
    <w:rsid w:val="5CDAFC0E"/>
    <w:rsid w:val="5CE204CA"/>
    <w:rsid w:val="5D0111A1"/>
    <w:rsid w:val="5D08CD65"/>
    <w:rsid w:val="5D0F4733"/>
    <w:rsid w:val="5D141E6A"/>
    <w:rsid w:val="5D1AC3A9"/>
    <w:rsid w:val="5D1D1FB7"/>
    <w:rsid w:val="5D2F87C2"/>
    <w:rsid w:val="5D44159F"/>
    <w:rsid w:val="5D50055C"/>
    <w:rsid w:val="5D543859"/>
    <w:rsid w:val="5D5920D7"/>
    <w:rsid w:val="5D5BD5DF"/>
    <w:rsid w:val="5D6224C4"/>
    <w:rsid w:val="5D716226"/>
    <w:rsid w:val="5D7AC9FF"/>
    <w:rsid w:val="5D7F6DB1"/>
    <w:rsid w:val="5D82FA0A"/>
    <w:rsid w:val="5D88F4E8"/>
    <w:rsid w:val="5D950F4C"/>
    <w:rsid w:val="5D9E665B"/>
    <w:rsid w:val="5DAD987B"/>
    <w:rsid w:val="5DC89F51"/>
    <w:rsid w:val="5DD064E3"/>
    <w:rsid w:val="5DD270E6"/>
    <w:rsid w:val="5DD6EBE8"/>
    <w:rsid w:val="5DE57DE7"/>
    <w:rsid w:val="5DF57811"/>
    <w:rsid w:val="5E205B7B"/>
    <w:rsid w:val="5E2396FD"/>
    <w:rsid w:val="5E24673A"/>
    <w:rsid w:val="5E25B7BF"/>
    <w:rsid w:val="5E3CA9E9"/>
    <w:rsid w:val="5E3E0CDE"/>
    <w:rsid w:val="5E3F69BD"/>
    <w:rsid w:val="5E5693D2"/>
    <w:rsid w:val="5E59648F"/>
    <w:rsid w:val="5E598B8A"/>
    <w:rsid w:val="5E5DA833"/>
    <w:rsid w:val="5E5F814F"/>
    <w:rsid w:val="5E6ACD8F"/>
    <w:rsid w:val="5E742133"/>
    <w:rsid w:val="5E765792"/>
    <w:rsid w:val="5E77A1C0"/>
    <w:rsid w:val="5E78A325"/>
    <w:rsid w:val="5E80777F"/>
    <w:rsid w:val="5E85A506"/>
    <w:rsid w:val="5E94B1DE"/>
    <w:rsid w:val="5E96A3C3"/>
    <w:rsid w:val="5EA45511"/>
    <w:rsid w:val="5EAFAF21"/>
    <w:rsid w:val="5EB28F83"/>
    <w:rsid w:val="5EC3C859"/>
    <w:rsid w:val="5ECAD7F3"/>
    <w:rsid w:val="5ECB5823"/>
    <w:rsid w:val="5ED3F5CF"/>
    <w:rsid w:val="5ED89CC9"/>
    <w:rsid w:val="5EDC14F4"/>
    <w:rsid w:val="5EE1695D"/>
    <w:rsid w:val="5EE260FE"/>
    <w:rsid w:val="5EE7E5F4"/>
    <w:rsid w:val="5EFC80C2"/>
    <w:rsid w:val="5EFFBF3A"/>
    <w:rsid w:val="5F0BB450"/>
    <w:rsid w:val="5F0D3A28"/>
    <w:rsid w:val="5F14141A"/>
    <w:rsid w:val="5F2302F2"/>
    <w:rsid w:val="5F286B52"/>
    <w:rsid w:val="5F343DC9"/>
    <w:rsid w:val="5F3B4BB7"/>
    <w:rsid w:val="5F403E2E"/>
    <w:rsid w:val="5F4B1C0E"/>
    <w:rsid w:val="5F53A0FD"/>
    <w:rsid w:val="5F58A5B4"/>
    <w:rsid w:val="5F5A1365"/>
    <w:rsid w:val="5F5B0F49"/>
    <w:rsid w:val="5F5CF3E8"/>
    <w:rsid w:val="5F630C8D"/>
    <w:rsid w:val="5F6773D1"/>
    <w:rsid w:val="5F69CDCB"/>
    <w:rsid w:val="5F6B6B9B"/>
    <w:rsid w:val="5F7D2B8E"/>
    <w:rsid w:val="5F8B6BAE"/>
    <w:rsid w:val="5F8C319C"/>
    <w:rsid w:val="5F8D167C"/>
    <w:rsid w:val="5F8FF5D3"/>
    <w:rsid w:val="5FA13D2F"/>
    <w:rsid w:val="5FA2ECFE"/>
    <w:rsid w:val="5FABB256"/>
    <w:rsid w:val="5FB8B8A7"/>
    <w:rsid w:val="5FBA324D"/>
    <w:rsid w:val="5FC5F999"/>
    <w:rsid w:val="5FCB6D99"/>
    <w:rsid w:val="5FCC185C"/>
    <w:rsid w:val="5FCF7225"/>
    <w:rsid w:val="5FD1DCB8"/>
    <w:rsid w:val="5FDF4DD0"/>
    <w:rsid w:val="5FE7E47A"/>
    <w:rsid w:val="5FF03145"/>
    <w:rsid w:val="5FFCF9D2"/>
    <w:rsid w:val="600700AF"/>
    <w:rsid w:val="60137221"/>
    <w:rsid w:val="6019E503"/>
    <w:rsid w:val="603E605F"/>
    <w:rsid w:val="60421B21"/>
    <w:rsid w:val="6042B50D"/>
    <w:rsid w:val="6052AFE6"/>
    <w:rsid w:val="60577D22"/>
    <w:rsid w:val="6057A8EB"/>
    <w:rsid w:val="6057B115"/>
    <w:rsid w:val="60722421"/>
    <w:rsid w:val="607D3A8A"/>
    <w:rsid w:val="60813BA2"/>
    <w:rsid w:val="6099DC6D"/>
    <w:rsid w:val="609C4569"/>
    <w:rsid w:val="60B1A6A0"/>
    <w:rsid w:val="60BC4235"/>
    <w:rsid w:val="60BE7756"/>
    <w:rsid w:val="60CF71A9"/>
    <w:rsid w:val="60D0D0B2"/>
    <w:rsid w:val="60D14160"/>
    <w:rsid w:val="60D1EA76"/>
    <w:rsid w:val="60D5BAE6"/>
    <w:rsid w:val="60EE6B23"/>
    <w:rsid w:val="60F70339"/>
    <w:rsid w:val="60FC8CEA"/>
    <w:rsid w:val="611567A8"/>
    <w:rsid w:val="611C83CB"/>
    <w:rsid w:val="612994E8"/>
    <w:rsid w:val="612E079E"/>
    <w:rsid w:val="613EBD5F"/>
    <w:rsid w:val="614352E0"/>
    <w:rsid w:val="61460EFC"/>
    <w:rsid w:val="61506CA8"/>
    <w:rsid w:val="6155D0D8"/>
    <w:rsid w:val="6157E5BC"/>
    <w:rsid w:val="61745700"/>
    <w:rsid w:val="61910551"/>
    <w:rsid w:val="61926C97"/>
    <w:rsid w:val="61A360E8"/>
    <w:rsid w:val="61B8FAB4"/>
    <w:rsid w:val="61BBE9D2"/>
    <w:rsid w:val="61BD7497"/>
    <w:rsid w:val="61BE7BAB"/>
    <w:rsid w:val="61C40402"/>
    <w:rsid w:val="61C5A9A1"/>
    <w:rsid w:val="61CB42D5"/>
    <w:rsid w:val="61D567A9"/>
    <w:rsid w:val="61DC75F2"/>
    <w:rsid w:val="61DF5226"/>
    <w:rsid w:val="61F505DD"/>
    <w:rsid w:val="61FA9E38"/>
    <w:rsid w:val="6202F8E5"/>
    <w:rsid w:val="620AA47F"/>
    <w:rsid w:val="620C2E4E"/>
    <w:rsid w:val="620FC173"/>
    <w:rsid w:val="6213BD2A"/>
    <w:rsid w:val="621567FC"/>
    <w:rsid w:val="621DA83E"/>
    <w:rsid w:val="6225AFD3"/>
    <w:rsid w:val="622C5F46"/>
    <w:rsid w:val="6239C345"/>
    <w:rsid w:val="6242E123"/>
    <w:rsid w:val="624AFF1B"/>
    <w:rsid w:val="624BC5D6"/>
    <w:rsid w:val="626D6B4B"/>
    <w:rsid w:val="6270F9F0"/>
    <w:rsid w:val="62775551"/>
    <w:rsid w:val="6279C49D"/>
    <w:rsid w:val="6285215D"/>
    <w:rsid w:val="62887764"/>
    <w:rsid w:val="628AE640"/>
    <w:rsid w:val="628FDA28"/>
    <w:rsid w:val="62966C14"/>
    <w:rsid w:val="629E8801"/>
    <w:rsid w:val="629E92F1"/>
    <w:rsid w:val="62A14629"/>
    <w:rsid w:val="62AAB51D"/>
    <w:rsid w:val="62AFCDC8"/>
    <w:rsid w:val="62B8384F"/>
    <w:rsid w:val="62BE351A"/>
    <w:rsid w:val="62C1EA79"/>
    <w:rsid w:val="62CB996A"/>
    <w:rsid w:val="62D6FA61"/>
    <w:rsid w:val="62E37798"/>
    <w:rsid w:val="62E48C3A"/>
    <w:rsid w:val="62E725EE"/>
    <w:rsid w:val="62E9A8FD"/>
    <w:rsid w:val="62EB46B9"/>
    <w:rsid w:val="62F0C608"/>
    <w:rsid w:val="62F2A154"/>
    <w:rsid w:val="62F4BA51"/>
    <w:rsid w:val="62F6BA60"/>
    <w:rsid w:val="6306FE57"/>
    <w:rsid w:val="630CEAA7"/>
    <w:rsid w:val="632CD5B2"/>
    <w:rsid w:val="632E31A7"/>
    <w:rsid w:val="632F5845"/>
    <w:rsid w:val="632FD89C"/>
    <w:rsid w:val="6333AF06"/>
    <w:rsid w:val="63397A8B"/>
    <w:rsid w:val="6341B07D"/>
    <w:rsid w:val="634FDF84"/>
    <w:rsid w:val="635023C3"/>
    <w:rsid w:val="63548044"/>
    <w:rsid w:val="6357E743"/>
    <w:rsid w:val="635D6018"/>
    <w:rsid w:val="6367089F"/>
    <w:rsid w:val="6367216F"/>
    <w:rsid w:val="6369D3D0"/>
    <w:rsid w:val="636C32A3"/>
    <w:rsid w:val="636E5761"/>
    <w:rsid w:val="637DF7D1"/>
    <w:rsid w:val="639DA327"/>
    <w:rsid w:val="639E05BB"/>
    <w:rsid w:val="63A5B57C"/>
    <w:rsid w:val="63A72A52"/>
    <w:rsid w:val="63AEB9ED"/>
    <w:rsid w:val="63B97CA4"/>
    <w:rsid w:val="63BBDA89"/>
    <w:rsid w:val="63DC2ED6"/>
    <w:rsid w:val="63F3E2F7"/>
    <w:rsid w:val="63F4ECD1"/>
    <w:rsid w:val="63F5A084"/>
    <w:rsid w:val="63F5CD82"/>
    <w:rsid w:val="640728A1"/>
    <w:rsid w:val="640DF7B3"/>
    <w:rsid w:val="641D36A5"/>
    <w:rsid w:val="641E0BC2"/>
    <w:rsid w:val="6420D46C"/>
    <w:rsid w:val="64211728"/>
    <w:rsid w:val="6428FE5D"/>
    <w:rsid w:val="642C9392"/>
    <w:rsid w:val="643D208B"/>
    <w:rsid w:val="6447CD08"/>
    <w:rsid w:val="64487314"/>
    <w:rsid w:val="6450042E"/>
    <w:rsid w:val="6454C0EB"/>
    <w:rsid w:val="645DBADA"/>
    <w:rsid w:val="645EEDD8"/>
    <w:rsid w:val="645FE106"/>
    <w:rsid w:val="64630EC3"/>
    <w:rsid w:val="6478BDCA"/>
    <w:rsid w:val="647E53E5"/>
    <w:rsid w:val="6482F64F"/>
    <w:rsid w:val="648BC4EC"/>
    <w:rsid w:val="648C90B6"/>
    <w:rsid w:val="6491142A"/>
    <w:rsid w:val="649861A0"/>
    <w:rsid w:val="64A4CBD3"/>
    <w:rsid w:val="64B245F7"/>
    <w:rsid w:val="64B4DEF0"/>
    <w:rsid w:val="64BE88C8"/>
    <w:rsid w:val="64C1B752"/>
    <w:rsid w:val="64C48C7E"/>
    <w:rsid w:val="64C90C51"/>
    <w:rsid w:val="64C9E596"/>
    <w:rsid w:val="64D1EE5D"/>
    <w:rsid w:val="64E19868"/>
    <w:rsid w:val="64E9390A"/>
    <w:rsid w:val="64F7DD82"/>
    <w:rsid w:val="64FD582D"/>
    <w:rsid w:val="64FF2193"/>
    <w:rsid w:val="650605E0"/>
    <w:rsid w:val="6509FD71"/>
    <w:rsid w:val="650B2D3D"/>
    <w:rsid w:val="651B823F"/>
    <w:rsid w:val="651EF0A5"/>
    <w:rsid w:val="65275D17"/>
    <w:rsid w:val="6528903F"/>
    <w:rsid w:val="652E73CE"/>
    <w:rsid w:val="65397767"/>
    <w:rsid w:val="653A30CA"/>
    <w:rsid w:val="653F8172"/>
    <w:rsid w:val="654DD8A3"/>
    <w:rsid w:val="654EF7E9"/>
    <w:rsid w:val="65502475"/>
    <w:rsid w:val="655762E8"/>
    <w:rsid w:val="65696337"/>
    <w:rsid w:val="657522AB"/>
    <w:rsid w:val="6577FF37"/>
    <w:rsid w:val="657C31EB"/>
    <w:rsid w:val="657D420F"/>
    <w:rsid w:val="657EEE71"/>
    <w:rsid w:val="65842B33"/>
    <w:rsid w:val="6589E432"/>
    <w:rsid w:val="658C146B"/>
    <w:rsid w:val="658FB358"/>
    <w:rsid w:val="6594474C"/>
    <w:rsid w:val="659545CC"/>
    <w:rsid w:val="65A2F60B"/>
    <w:rsid w:val="65A45B7D"/>
    <w:rsid w:val="65B4F2E1"/>
    <w:rsid w:val="65C0E90E"/>
    <w:rsid w:val="65CA4FE4"/>
    <w:rsid w:val="65E879B6"/>
    <w:rsid w:val="65F73CBD"/>
    <w:rsid w:val="65F8B010"/>
    <w:rsid w:val="66024EF1"/>
    <w:rsid w:val="660B1B20"/>
    <w:rsid w:val="660E1B98"/>
    <w:rsid w:val="661411FD"/>
    <w:rsid w:val="66185D29"/>
    <w:rsid w:val="662DD640"/>
    <w:rsid w:val="662FEBFB"/>
    <w:rsid w:val="663130BF"/>
    <w:rsid w:val="6634FCB7"/>
    <w:rsid w:val="663B8C7B"/>
    <w:rsid w:val="66446F02"/>
    <w:rsid w:val="66504477"/>
    <w:rsid w:val="66546210"/>
    <w:rsid w:val="6663AD66"/>
    <w:rsid w:val="66673C31"/>
    <w:rsid w:val="6673E2B9"/>
    <w:rsid w:val="667B4F0A"/>
    <w:rsid w:val="668AFE69"/>
    <w:rsid w:val="668E95D4"/>
    <w:rsid w:val="669530F6"/>
    <w:rsid w:val="66954303"/>
    <w:rsid w:val="669E3752"/>
    <w:rsid w:val="66A08009"/>
    <w:rsid w:val="66A60507"/>
    <w:rsid w:val="66A93B8D"/>
    <w:rsid w:val="66B17996"/>
    <w:rsid w:val="66B933D9"/>
    <w:rsid w:val="66C9846C"/>
    <w:rsid w:val="66D91839"/>
    <w:rsid w:val="66F1C9F5"/>
    <w:rsid w:val="66FAC67B"/>
    <w:rsid w:val="6705CE3B"/>
    <w:rsid w:val="67197F19"/>
    <w:rsid w:val="671A4319"/>
    <w:rsid w:val="671B9394"/>
    <w:rsid w:val="6725E89A"/>
    <w:rsid w:val="672EF463"/>
    <w:rsid w:val="67328BF5"/>
    <w:rsid w:val="6735F4C8"/>
    <w:rsid w:val="67413A14"/>
    <w:rsid w:val="674AADCC"/>
    <w:rsid w:val="675E7CC3"/>
    <w:rsid w:val="675EF831"/>
    <w:rsid w:val="6768C456"/>
    <w:rsid w:val="6776EB8F"/>
    <w:rsid w:val="6780FC77"/>
    <w:rsid w:val="67833EEB"/>
    <w:rsid w:val="678FED35"/>
    <w:rsid w:val="679AD10C"/>
    <w:rsid w:val="679BF8FA"/>
    <w:rsid w:val="679D4922"/>
    <w:rsid w:val="679D5141"/>
    <w:rsid w:val="679DBE32"/>
    <w:rsid w:val="67AA7EB5"/>
    <w:rsid w:val="67B1BE95"/>
    <w:rsid w:val="67B26449"/>
    <w:rsid w:val="67B29E11"/>
    <w:rsid w:val="67C32505"/>
    <w:rsid w:val="67C70B93"/>
    <w:rsid w:val="67C94933"/>
    <w:rsid w:val="67CBC02C"/>
    <w:rsid w:val="67D4B680"/>
    <w:rsid w:val="67D5BB86"/>
    <w:rsid w:val="67DC2C21"/>
    <w:rsid w:val="67EC18CE"/>
    <w:rsid w:val="67EFA6E0"/>
    <w:rsid w:val="67EFE139"/>
    <w:rsid w:val="680133BE"/>
    <w:rsid w:val="680E3168"/>
    <w:rsid w:val="6814529B"/>
    <w:rsid w:val="681BDB14"/>
    <w:rsid w:val="68236BC4"/>
    <w:rsid w:val="68349F61"/>
    <w:rsid w:val="68379600"/>
    <w:rsid w:val="683C9E42"/>
    <w:rsid w:val="683DE595"/>
    <w:rsid w:val="683DEDC1"/>
    <w:rsid w:val="68405100"/>
    <w:rsid w:val="684594FA"/>
    <w:rsid w:val="684645B6"/>
    <w:rsid w:val="684F38E8"/>
    <w:rsid w:val="6854E504"/>
    <w:rsid w:val="6857D835"/>
    <w:rsid w:val="6859BE69"/>
    <w:rsid w:val="685A3FFB"/>
    <w:rsid w:val="685D82D4"/>
    <w:rsid w:val="685DD981"/>
    <w:rsid w:val="685E577D"/>
    <w:rsid w:val="68669226"/>
    <w:rsid w:val="686B6291"/>
    <w:rsid w:val="6871133F"/>
    <w:rsid w:val="6883BF3E"/>
    <w:rsid w:val="6887C95B"/>
    <w:rsid w:val="688D8C27"/>
    <w:rsid w:val="68908982"/>
    <w:rsid w:val="68BE413D"/>
    <w:rsid w:val="68C059AC"/>
    <w:rsid w:val="68C29396"/>
    <w:rsid w:val="68C2E7BA"/>
    <w:rsid w:val="68D11B6A"/>
    <w:rsid w:val="68D556B0"/>
    <w:rsid w:val="68DC8A9D"/>
    <w:rsid w:val="68E2ED63"/>
    <w:rsid w:val="68ECF395"/>
    <w:rsid w:val="68ECFEE3"/>
    <w:rsid w:val="68FD27FA"/>
    <w:rsid w:val="69000B59"/>
    <w:rsid w:val="6902D5AF"/>
    <w:rsid w:val="691CB149"/>
    <w:rsid w:val="6926FCD2"/>
    <w:rsid w:val="692A0131"/>
    <w:rsid w:val="693219D6"/>
    <w:rsid w:val="69448BCE"/>
    <w:rsid w:val="694D5A8D"/>
    <w:rsid w:val="694E6E72"/>
    <w:rsid w:val="695AFCBD"/>
    <w:rsid w:val="695FD073"/>
    <w:rsid w:val="69695488"/>
    <w:rsid w:val="69747547"/>
    <w:rsid w:val="69825C4C"/>
    <w:rsid w:val="69837043"/>
    <w:rsid w:val="6984BDA2"/>
    <w:rsid w:val="698F897B"/>
    <w:rsid w:val="6992E35C"/>
    <w:rsid w:val="69961BD2"/>
    <w:rsid w:val="69A8E2AA"/>
    <w:rsid w:val="69B468F7"/>
    <w:rsid w:val="69B834C1"/>
    <w:rsid w:val="69BAE268"/>
    <w:rsid w:val="69C6F62A"/>
    <w:rsid w:val="69CD5611"/>
    <w:rsid w:val="69E93A08"/>
    <w:rsid w:val="69EC87C0"/>
    <w:rsid w:val="6A033FC2"/>
    <w:rsid w:val="6A07A8DD"/>
    <w:rsid w:val="6A0CE88A"/>
    <w:rsid w:val="6A0DD0AB"/>
    <w:rsid w:val="6A14FD74"/>
    <w:rsid w:val="6A169965"/>
    <w:rsid w:val="6A1A5322"/>
    <w:rsid w:val="6A28F4AF"/>
    <w:rsid w:val="6A3206BA"/>
    <w:rsid w:val="6A346042"/>
    <w:rsid w:val="6A38AF3E"/>
    <w:rsid w:val="6A61FA1D"/>
    <w:rsid w:val="6A642C50"/>
    <w:rsid w:val="6A8C06EF"/>
    <w:rsid w:val="6AA3EE1F"/>
    <w:rsid w:val="6AA52D74"/>
    <w:rsid w:val="6AA6A0C9"/>
    <w:rsid w:val="6AABEE36"/>
    <w:rsid w:val="6AB453D0"/>
    <w:rsid w:val="6AB5C781"/>
    <w:rsid w:val="6AB7454B"/>
    <w:rsid w:val="6ABFFE4A"/>
    <w:rsid w:val="6ACCFC5E"/>
    <w:rsid w:val="6ADBA48D"/>
    <w:rsid w:val="6AE7B426"/>
    <w:rsid w:val="6AED5BEC"/>
    <w:rsid w:val="6AF7D796"/>
    <w:rsid w:val="6AF83BFF"/>
    <w:rsid w:val="6B0B5E3F"/>
    <w:rsid w:val="6B374338"/>
    <w:rsid w:val="6B387D8B"/>
    <w:rsid w:val="6B42BEAF"/>
    <w:rsid w:val="6B486722"/>
    <w:rsid w:val="6B4990B7"/>
    <w:rsid w:val="6B4AA3D1"/>
    <w:rsid w:val="6B50CEC8"/>
    <w:rsid w:val="6B537BD6"/>
    <w:rsid w:val="6B59344C"/>
    <w:rsid w:val="6B62E524"/>
    <w:rsid w:val="6B7E8D9F"/>
    <w:rsid w:val="6B7F5B24"/>
    <w:rsid w:val="6B843775"/>
    <w:rsid w:val="6B8B637E"/>
    <w:rsid w:val="6B8C85C6"/>
    <w:rsid w:val="6B8F751B"/>
    <w:rsid w:val="6B916AC3"/>
    <w:rsid w:val="6B9B3F97"/>
    <w:rsid w:val="6BA58944"/>
    <w:rsid w:val="6BA9918C"/>
    <w:rsid w:val="6BB10541"/>
    <w:rsid w:val="6BB50A95"/>
    <w:rsid w:val="6BC94A28"/>
    <w:rsid w:val="6BD83738"/>
    <w:rsid w:val="6BD880B3"/>
    <w:rsid w:val="6BE7197D"/>
    <w:rsid w:val="6BF43558"/>
    <w:rsid w:val="6BFDA51C"/>
    <w:rsid w:val="6C063715"/>
    <w:rsid w:val="6C0C0617"/>
    <w:rsid w:val="6C0DD02C"/>
    <w:rsid w:val="6C1FA02E"/>
    <w:rsid w:val="6C20A147"/>
    <w:rsid w:val="6C25A6FF"/>
    <w:rsid w:val="6C275781"/>
    <w:rsid w:val="6C32506A"/>
    <w:rsid w:val="6C3A8AC1"/>
    <w:rsid w:val="6C3DF15B"/>
    <w:rsid w:val="6C408CD4"/>
    <w:rsid w:val="6C5C0F14"/>
    <w:rsid w:val="6C5F685E"/>
    <w:rsid w:val="6C65B221"/>
    <w:rsid w:val="6C70BA45"/>
    <w:rsid w:val="6C7D797A"/>
    <w:rsid w:val="6C855E2F"/>
    <w:rsid w:val="6C890265"/>
    <w:rsid w:val="6C89353F"/>
    <w:rsid w:val="6C9B59E7"/>
    <w:rsid w:val="6CA29AD5"/>
    <w:rsid w:val="6CBD49D7"/>
    <w:rsid w:val="6CC09205"/>
    <w:rsid w:val="6CC4F004"/>
    <w:rsid w:val="6CCA0577"/>
    <w:rsid w:val="6CCB7288"/>
    <w:rsid w:val="6CE1651E"/>
    <w:rsid w:val="6CEA0516"/>
    <w:rsid w:val="6CED5B67"/>
    <w:rsid w:val="6CF7C9E7"/>
    <w:rsid w:val="6CF9BD57"/>
    <w:rsid w:val="6CFC1FB2"/>
    <w:rsid w:val="6D062757"/>
    <w:rsid w:val="6D10B616"/>
    <w:rsid w:val="6D258B79"/>
    <w:rsid w:val="6D4C76D2"/>
    <w:rsid w:val="6D4D18E2"/>
    <w:rsid w:val="6D55CAB7"/>
    <w:rsid w:val="6D5EFC5F"/>
    <w:rsid w:val="6D602B01"/>
    <w:rsid w:val="6D67F081"/>
    <w:rsid w:val="6D68C6C3"/>
    <w:rsid w:val="6D712E30"/>
    <w:rsid w:val="6D7EDD00"/>
    <w:rsid w:val="6D807282"/>
    <w:rsid w:val="6D8E6783"/>
    <w:rsid w:val="6D95B80C"/>
    <w:rsid w:val="6DAC4825"/>
    <w:rsid w:val="6DAD1B94"/>
    <w:rsid w:val="6DB39C6B"/>
    <w:rsid w:val="6DC88172"/>
    <w:rsid w:val="6DC8B29B"/>
    <w:rsid w:val="6DE53F7C"/>
    <w:rsid w:val="6DEEC226"/>
    <w:rsid w:val="6DF16D9F"/>
    <w:rsid w:val="6DF7092F"/>
    <w:rsid w:val="6DFB38BF"/>
    <w:rsid w:val="6E0C2FCC"/>
    <w:rsid w:val="6E0FFDEF"/>
    <w:rsid w:val="6E18FA97"/>
    <w:rsid w:val="6E20102E"/>
    <w:rsid w:val="6E41F0D4"/>
    <w:rsid w:val="6E4C58D1"/>
    <w:rsid w:val="6E4CCCDE"/>
    <w:rsid w:val="6E54F731"/>
    <w:rsid w:val="6E5726E2"/>
    <w:rsid w:val="6E5CE469"/>
    <w:rsid w:val="6E5FDCC3"/>
    <w:rsid w:val="6E7A995D"/>
    <w:rsid w:val="6E835759"/>
    <w:rsid w:val="6E843DBF"/>
    <w:rsid w:val="6E895932"/>
    <w:rsid w:val="6E8ED94A"/>
    <w:rsid w:val="6E92AD83"/>
    <w:rsid w:val="6E981E21"/>
    <w:rsid w:val="6EA13A43"/>
    <w:rsid w:val="6EA62195"/>
    <w:rsid w:val="6EA69EBE"/>
    <w:rsid w:val="6EAC0873"/>
    <w:rsid w:val="6EB73F9B"/>
    <w:rsid w:val="6EB747BA"/>
    <w:rsid w:val="6EBDF85E"/>
    <w:rsid w:val="6EC76E3C"/>
    <w:rsid w:val="6EC7EAB3"/>
    <w:rsid w:val="6ECD130E"/>
    <w:rsid w:val="6ED139F4"/>
    <w:rsid w:val="6ED1B7E6"/>
    <w:rsid w:val="6ED3C525"/>
    <w:rsid w:val="6ED7356E"/>
    <w:rsid w:val="6EE2021E"/>
    <w:rsid w:val="6EE2FCCA"/>
    <w:rsid w:val="6EE84733"/>
    <w:rsid w:val="6EE87BDA"/>
    <w:rsid w:val="6EE881C6"/>
    <w:rsid w:val="6EF86013"/>
    <w:rsid w:val="6F03DA29"/>
    <w:rsid w:val="6F06FE3D"/>
    <w:rsid w:val="6F09F615"/>
    <w:rsid w:val="6F0B73B1"/>
    <w:rsid w:val="6F0C6D42"/>
    <w:rsid w:val="6F1CC885"/>
    <w:rsid w:val="6F1EBA3F"/>
    <w:rsid w:val="6F277178"/>
    <w:rsid w:val="6F2A37E4"/>
    <w:rsid w:val="6F3065C0"/>
    <w:rsid w:val="6F4D4682"/>
    <w:rsid w:val="6F56CCA7"/>
    <w:rsid w:val="6F5EA218"/>
    <w:rsid w:val="6F633187"/>
    <w:rsid w:val="6F739EE7"/>
    <w:rsid w:val="6F76BE91"/>
    <w:rsid w:val="6F7CE95A"/>
    <w:rsid w:val="6F8BC50A"/>
    <w:rsid w:val="6F92460F"/>
    <w:rsid w:val="6F9CA814"/>
    <w:rsid w:val="6F9FA38B"/>
    <w:rsid w:val="6FA0A05B"/>
    <w:rsid w:val="6FA901E5"/>
    <w:rsid w:val="6FB14323"/>
    <w:rsid w:val="6FC5C771"/>
    <w:rsid w:val="6FC6CEB2"/>
    <w:rsid w:val="6FCFD285"/>
    <w:rsid w:val="6FCFE4C2"/>
    <w:rsid w:val="6FE534B8"/>
    <w:rsid w:val="6FE5C822"/>
    <w:rsid w:val="6FE60C2D"/>
    <w:rsid w:val="6FECC665"/>
    <w:rsid w:val="6FECF936"/>
    <w:rsid w:val="6FF0735E"/>
    <w:rsid w:val="6FFD2748"/>
    <w:rsid w:val="7009F9A9"/>
    <w:rsid w:val="700F7A9A"/>
    <w:rsid w:val="7013C152"/>
    <w:rsid w:val="70162B7D"/>
    <w:rsid w:val="7017CC3D"/>
    <w:rsid w:val="70216A42"/>
    <w:rsid w:val="70243B41"/>
    <w:rsid w:val="70247EA1"/>
    <w:rsid w:val="7025D51C"/>
    <w:rsid w:val="70637C16"/>
    <w:rsid w:val="7066C98D"/>
    <w:rsid w:val="707C2A0E"/>
    <w:rsid w:val="70853EF2"/>
    <w:rsid w:val="7088701A"/>
    <w:rsid w:val="708CB925"/>
    <w:rsid w:val="7095DC57"/>
    <w:rsid w:val="70A191A9"/>
    <w:rsid w:val="70A65A31"/>
    <w:rsid w:val="70A9618A"/>
    <w:rsid w:val="70ABB6C0"/>
    <w:rsid w:val="70ABF110"/>
    <w:rsid w:val="70AED2E9"/>
    <w:rsid w:val="70B202A2"/>
    <w:rsid w:val="70C6FF79"/>
    <w:rsid w:val="70C995C7"/>
    <w:rsid w:val="70D54704"/>
    <w:rsid w:val="70D83E5E"/>
    <w:rsid w:val="70D8D1A3"/>
    <w:rsid w:val="70EE525F"/>
    <w:rsid w:val="7109B0BA"/>
    <w:rsid w:val="711A5E99"/>
    <w:rsid w:val="712BA3FF"/>
    <w:rsid w:val="712EB161"/>
    <w:rsid w:val="713C02F1"/>
    <w:rsid w:val="71411A7D"/>
    <w:rsid w:val="714518F1"/>
    <w:rsid w:val="714520C9"/>
    <w:rsid w:val="71681B2E"/>
    <w:rsid w:val="716A2D14"/>
    <w:rsid w:val="716A8D99"/>
    <w:rsid w:val="7176788D"/>
    <w:rsid w:val="717BCEB3"/>
    <w:rsid w:val="7195BB35"/>
    <w:rsid w:val="719FE481"/>
    <w:rsid w:val="71A42874"/>
    <w:rsid w:val="71A57967"/>
    <w:rsid w:val="71A83D83"/>
    <w:rsid w:val="71B59574"/>
    <w:rsid w:val="71BE9442"/>
    <w:rsid w:val="71D93029"/>
    <w:rsid w:val="71D955B6"/>
    <w:rsid w:val="71E03847"/>
    <w:rsid w:val="71EA8697"/>
    <w:rsid w:val="71FF4C77"/>
    <w:rsid w:val="72047A51"/>
    <w:rsid w:val="721F9A72"/>
    <w:rsid w:val="7231A523"/>
    <w:rsid w:val="7239D0C8"/>
    <w:rsid w:val="723FC064"/>
    <w:rsid w:val="725142A7"/>
    <w:rsid w:val="725C2F23"/>
    <w:rsid w:val="7260AE88"/>
    <w:rsid w:val="7263B493"/>
    <w:rsid w:val="7277C9A9"/>
    <w:rsid w:val="727FF6ED"/>
    <w:rsid w:val="728C1054"/>
    <w:rsid w:val="729F2298"/>
    <w:rsid w:val="72A203D4"/>
    <w:rsid w:val="72A879EA"/>
    <w:rsid w:val="72AB9531"/>
    <w:rsid w:val="72AFE357"/>
    <w:rsid w:val="72B8B400"/>
    <w:rsid w:val="72BF1520"/>
    <w:rsid w:val="72BFC1E1"/>
    <w:rsid w:val="72C9FBFE"/>
    <w:rsid w:val="72CDDF18"/>
    <w:rsid w:val="72DF33D5"/>
    <w:rsid w:val="72E0F7BD"/>
    <w:rsid w:val="72E8790E"/>
    <w:rsid w:val="72F4869B"/>
    <w:rsid w:val="73005182"/>
    <w:rsid w:val="73048C77"/>
    <w:rsid w:val="730B136F"/>
    <w:rsid w:val="731561F7"/>
    <w:rsid w:val="73243CB5"/>
    <w:rsid w:val="733418C1"/>
    <w:rsid w:val="7335850F"/>
    <w:rsid w:val="733E098C"/>
    <w:rsid w:val="73493CBB"/>
    <w:rsid w:val="7362CE4C"/>
    <w:rsid w:val="7366AAF3"/>
    <w:rsid w:val="736EBCC3"/>
    <w:rsid w:val="7372E652"/>
    <w:rsid w:val="7379029B"/>
    <w:rsid w:val="737C3C01"/>
    <w:rsid w:val="7381895E"/>
    <w:rsid w:val="7384B582"/>
    <w:rsid w:val="7389FAB7"/>
    <w:rsid w:val="739AD1EB"/>
    <w:rsid w:val="73A30A5E"/>
    <w:rsid w:val="73B01653"/>
    <w:rsid w:val="73B7382E"/>
    <w:rsid w:val="73B81201"/>
    <w:rsid w:val="73C54F11"/>
    <w:rsid w:val="73CFC496"/>
    <w:rsid w:val="73DE8625"/>
    <w:rsid w:val="73E9EF2F"/>
    <w:rsid w:val="73F4F12C"/>
    <w:rsid w:val="73FE71A5"/>
    <w:rsid w:val="74051CEA"/>
    <w:rsid w:val="7415CB2B"/>
    <w:rsid w:val="74198152"/>
    <w:rsid w:val="742096FC"/>
    <w:rsid w:val="742E0895"/>
    <w:rsid w:val="7436BC6F"/>
    <w:rsid w:val="74375B73"/>
    <w:rsid w:val="7439F5AB"/>
    <w:rsid w:val="74532951"/>
    <w:rsid w:val="74611185"/>
    <w:rsid w:val="7467CF95"/>
    <w:rsid w:val="7467D9EA"/>
    <w:rsid w:val="746CCC80"/>
    <w:rsid w:val="74708D0E"/>
    <w:rsid w:val="74729DC6"/>
    <w:rsid w:val="747D1631"/>
    <w:rsid w:val="7481C7E5"/>
    <w:rsid w:val="7489ADCB"/>
    <w:rsid w:val="748FC195"/>
    <w:rsid w:val="7491591E"/>
    <w:rsid w:val="74A6E3D0"/>
    <w:rsid w:val="74A8FC4B"/>
    <w:rsid w:val="74A9447B"/>
    <w:rsid w:val="74B4B59C"/>
    <w:rsid w:val="74C8D1F0"/>
    <w:rsid w:val="74CA2A33"/>
    <w:rsid w:val="74CC4121"/>
    <w:rsid w:val="74CE3E5F"/>
    <w:rsid w:val="74D19F22"/>
    <w:rsid w:val="74DA404E"/>
    <w:rsid w:val="74E3641F"/>
    <w:rsid w:val="74E6B763"/>
    <w:rsid w:val="74EC98F9"/>
    <w:rsid w:val="74FD2F9C"/>
    <w:rsid w:val="7505D07D"/>
    <w:rsid w:val="7508768C"/>
    <w:rsid w:val="750F6BA9"/>
    <w:rsid w:val="751486C6"/>
    <w:rsid w:val="752E04A0"/>
    <w:rsid w:val="7533744F"/>
    <w:rsid w:val="753B959C"/>
    <w:rsid w:val="754646F3"/>
    <w:rsid w:val="7551B3C5"/>
    <w:rsid w:val="755256E4"/>
    <w:rsid w:val="755F979A"/>
    <w:rsid w:val="756F6711"/>
    <w:rsid w:val="757D39C7"/>
    <w:rsid w:val="758447A9"/>
    <w:rsid w:val="75921E8F"/>
    <w:rsid w:val="75941D00"/>
    <w:rsid w:val="759AAED9"/>
    <w:rsid w:val="75AC9127"/>
    <w:rsid w:val="75B29FA3"/>
    <w:rsid w:val="75B328B9"/>
    <w:rsid w:val="75BDDCCA"/>
    <w:rsid w:val="75CA084F"/>
    <w:rsid w:val="75D9F75D"/>
    <w:rsid w:val="75E186C6"/>
    <w:rsid w:val="75EC932C"/>
    <w:rsid w:val="75EF9F99"/>
    <w:rsid w:val="75F46F33"/>
    <w:rsid w:val="75F6E976"/>
    <w:rsid w:val="75F7FA47"/>
    <w:rsid w:val="7604770B"/>
    <w:rsid w:val="76063432"/>
    <w:rsid w:val="76068A39"/>
    <w:rsid w:val="760FAF05"/>
    <w:rsid w:val="761DC5E8"/>
    <w:rsid w:val="761E32EF"/>
    <w:rsid w:val="761EF953"/>
    <w:rsid w:val="7626EDD6"/>
    <w:rsid w:val="762B2C78"/>
    <w:rsid w:val="76350222"/>
    <w:rsid w:val="763A0DA3"/>
    <w:rsid w:val="76404780"/>
    <w:rsid w:val="7644B8BA"/>
    <w:rsid w:val="76478521"/>
    <w:rsid w:val="76565B07"/>
    <w:rsid w:val="7657ED45"/>
    <w:rsid w:val="766B868C"/>
    <w:rsid w:val="766C9669"/>
    <w:rsid w:val="766D16B1"/>
    <w:rsid w:val="7675A2B5"/>
    <w:rsid w:val="7676C494"/>
    <w:rsid w:val="767E9E2B"/>
    <w:rsid w:val="767F29EE"/>
    <w:rsid w:val="768436D7"/>
    <w:rsid w:val="7695CA6D"/>
    <w:rsid w:val="769B0A8B"/>
    <w:rsid w:val="769F7AC3"/>
    <w:rsid w:val="76AAF138"/>
    <w:rsid w:val="76B7FE04"/>
    <w:rsid w:val="76BC060D"/>
    <w:rsid w:val="76C45BF7"/>
    <w:rsid w:val="76C839D8"/>
    <w:rsid w:val="76CE519D"/>
    <w:rsid w:val="76D0E4D0"/>
    <w:rsid w:val="76DAAB20"/>
    <w:rsid w:val="76E7E638"/>
    <w:rsid w:val="76EB7C00"/>
    <w:rsid w:val="76EEA126"/>
    <w:rsid w:val="76F23721"/>
    <w:rsid w:val="77009B6C"/>
    <w:rsid w:val="77036A31"/>
    <w:rsid w:val="7705805A"/>
    <w:rsid w:val="77067A7E"/>
    <w:rsid w:val="770E44CA"/>
    <w:rsid w:val="7710CB05"/>
    <w:rsid w:val="771D6CEC"/>
    <w:rsid w:val="7732D6FC"/>
    <w:rsid w:val="7735E94E"/>
    <w:rsid w:val="77407D25"/>
    <w:rsid w:val="77521BFE"/>
    <w:rsid w:val="775837BE"/>
    <w:rsid w:val="77594846"/>
    <w:rsid w:val="775DC6FE"/>
    <w:rsid w:val="775F9B74"/>
    <w:rsid w:val="776595FA"/>
    <w:rsid w:val="776F7960"/>
    <w:rsid w:val="7775A008"/>
    <w:rsid w:val="7778A466"/>
    <w:rsid w:val="777DB4FC"/>
    <w:rsid w:val="7781967F"/>
    <w:rsid w:val="77821BB7"/>
    <w:rsid w:val="77954A14"/>
    <w:rsid w:val="779622B1"/>
    <w:rsid w:val="779679A3"/>
    <w:rsid w:val="77B65238"/>
    <w:rsid w:val="77B9BEB2"/>
    <w:rsid w:val="77BA4CBE"/>
    <w:rsid w:val="77C02636"/>
    <w:rsid w:val="77C1BC0D"/>
    <w:rsid w:val="77C60628"/>
    <w:rsid w:val="77C7588A"/>
    <w:rsid w:val="77D98772"/>
    <w:rsid w:val="77D9DD5C"/>
    <w:rsid w:val="77E1C5E6"/>
    <w:rsid w:val="77E7DF5A"/>
    <w:rsid w:val="77E8BF78"/>
    <w:rsid w:val="77F8CFC2"/>
    <w:rsid w:val="77FF263A"/>
    <w:rsid w:val="781615F9"/>
    <w:rsid w:val="78179816"/>
    <w:rsid w:val="7819B7FB"/>
    <w:rsid w:val="7821F817"/>
    <w:rsid w:val="782619BE"/>
    <w:rsid w:val="7838D644"/>
    <w:rsid w:val="783B5170"/>
    <w:rsid w:val="784502EA"/>
    <w:rsid w:val="78505604"/>
    <w:rsid w:val="78543564"/>
    <w:rsid w:val="78625AB1"/>
    <w:rsid w:val="78632F6B"/>
    <w:rsid w:val="786AC170"/>
    <w:rsid w:val="787DE7B5"/>
    <w:rsid w:val="7893A842"/>
    <w:rsid w:val="78967028"/>
    <w:rsid w:val="789705AB"/>
    <w:rsid w:val="789A3926"/>
    <w:rsid w:val="78A6E6F7"/>
    <w:rsid w:val="78AC9F04"/>
    <w:rsid w:val="78C2DBD7"/>
    <w:rsid w:val="78C9633E"/>
    <w:rsid w:val="78CA6846"/>
    <w:rsid w:val="78CDCEDA"/>
    <w:rsid w:val="78E03FFD"/>
    <w:rsid w:val="78E1CAB7"/>
    <w:rsid w:val="78E6BFF0"/>
    <w:rsid w:val="78E97224"/>
    <w:rsid w:val="78E9F95E"/>
    <w:rsid w:val="78F8D3F2"/>
    <w:rsid w:val="79021B9E"/>
    <w:rsid w:val="790467B5"/>
    <w:rsid w:val="790EF88D"/>
    <w:rsid w:val="7917EB75"/>
    <w:rsid w:val="791E2D35"/>
    <w:rsid w:val="79289E06"/>
    <w:rsid w:val="7938A08C"/>
    <w:rsid w:val="7944D13F"/>
    <w:rsid w:val="7959D64A"/>
    <w:rsid w:val="7967E094"/>
    <w:rsid w:val="796D51F1"/>
    <w:rsid w:val="7970F043"/>
    <w:rsid w:val="79804356"/>
    <w:rsid w:val="79824D11"/>
    <w:rsid w:val="798B31CF"/>
    <w:rsid w:val="798C91DE"/>
    <w:rsid w:val="798F6243"/>
    <w:rsid w:val="79A37146"/>
    <w:rsid w:val="79AC0274"/>
    <w:rsid w:val="79C69895"/>
    <w:rsid w:val="79CD6B2F"/>
    <w:rsid w:val="79CDD9E7"/>
    <w:rsid w:val="79CDE8BB"/>
    <w:rsid w:val="79D41917"/>
    <w:rsid w:val="79FFFBD1"/>
    <w:rsid w:val="7A0B950A"/>
    <w:rsid w:val="7A15711F"/>
    <w:rsid w:val="7A15D5D5"/>
    <w:rsid w:val="7A22AC00"/>
    <w:rsid w:val="7A25615B"/>
    <w:rsid w:val="7A29D474"/>
    <w:rsid w:val="7A367D63"/>
    <w:rsid w:val="7A4725D2"/>
    <w:rsid w:val="7A5A93D2"/>
    <w:rsid w:val="7A6A9E8C"/>
    <w:rsid w:val="7A703061"/>
    <w:rsid w:val="7A91B315"/>
    <w:rsid w:val="7A99A079"/>
    <w:rsid w:val="7AAD1E74"/>
    <w:rsid w:val="7AB8266F"/>
    <w:rsid w:val="7ACFB142"/>
    <w:rsid w:val="7ADD94A0"/>
    <w:rsid w:val="7AE3BAEC"/>
    <w:rsid w:val="7AE6F539"/>
    <w:rsid w:val="7AFE604D"/>
    <w:rsid w:val="7B0027E7"/>
    <w:rsid w:val="7B012161"/>
    <w:rsid w:val="7B03B0F5"/>
    <w:rsid w:val="7B0A3186"/>
    <w:rsid w:val="7B0B7E25"/>
    <w:rsid w:val="7B129998"/>
    <w:rsid w:val="7B16CF47"/>
    <w:rsid w:val="7B274E1F"/>
    <w:rsid w:val="7B2AF897"/>
    <w:rsid w:val="7B3450F2"/>
    <w:rsid w:val="7B375F8D"/>
    <w:rsid w:val="7B38D008"/>
    <w:rsid w:val="7B399020"/>
    <w:rsid w:val="7B3BF98F"/>
    <w:rsid w:val="7B404C94"/>
    <w:rsid w:val="7B4BF9BC"/>
    <w:rsid w:val="7B57AFDE"/>
    <w:rsid w:val="7B5A38B7"/>
    <w:rsid w:val="7B5BD061"/>
    <w:rsid w:val="7B65C61C"/>
    <w:rsid w:val="7B66DB5A"/>
    <w:rsid w:val="7B67AED0"/>
    <w:rsid w:val="7B6AADA1"/>
    <w:rsid w:val="7B6F951D"/>
    <w:rsid w:val="7B81181F"/>
    <w:rsid w:val="7B8E76B7"/>
    <w:rsid w:val="7B971B31"/>
    <w:rsid w:val="7B986020"/>
    <w:rsid w:val="7BA2DF18"/>
    <w:rsid w:val="7BA62075"/>
    <w:rsid w:val="7BAD2A36"/>
    <w:rsid w:val="7BBA9F63"/>
    <w:rsid w:val="7BBCDA08"/>
    <w:rsid w:val="7BC097BD"/>
    <w:rsid w:val="7BC88440"/>
    <w:rsid w:val="7BC9CDD6"/>
    <w:rsid w:val="7BE4E0CD"/>
    <w:rsid w:val="7BEC29AE"/>
    <w:rsid w:val="7BEC884A"/>
    <w:rsid w:val="7BECBE83"/>
    <w:rsid w:val="7BEFFAE6"/>
    <w:rsid w:val="7BFB6BEE"/>
    <w:rsid w:val="7C0E397F"/>
    <w:rsid w:val="7C199378"/>
    <w:rsid w:val="7C1E50CE"/>
    <w:rsid w:val="7C348D1B"/>
    <w:rsid w:val="7C4249BF"/>
    <w:rsid w:val="7C44087B"/>
    <w:rsid w:val="7C4EFAAB"/>
    <w:rsid w:val="7C5BC30A"/>
    <w:rsid w:val="7C6C6C9F"/>
    <w:rsid w:val="7C6D6B10"/>
    <w:rsid w:val="7C900D12"/>
    <w:rsid w:val="7C92F1B5"/>
    <w:rsid w:val="7C96145B"/>
    <w:rsid w:val="7C9680D6"/>
    <w:rsid w:val="7C9F6100"/>
    <w:rsid w:val="7CA1916D"/>
    <w:rsid w:val="7CAD48DD"/>
    <w:rsid w:val="7CB5C296"/>
    <w:rsid w:val="7CBC2CEF"/>
    <w:rsid w:val="7CCABE9F"/>
    <w:rsid w:val="7CD5228F"/>
    <w:rsid w:val="7CD5C16C"/>
    <w:rsid w:val="7CD6BF4F"/>
    <w:rsid w:val="7CE19D5B"/>
    <w:rsid w:val="7CE6577B"/>
    <w:rsid w:val="7CE7E798"/>
    <w:rsid w:val="7CEF958A"/>
    <w:rsid w:val="7CF07275"/>
    <w:rsid w:val="7CF4CE47"/>
    <w:rsid w:val="7CFBF52B"/>
    <w:rsid w:val="7D04D064"/>
    <w:rsid w:val="7D0E890E"/>
    <w:rsid w:val="7D11B67C"/>
    <w:rsid w:val="7D11B6FF"/>
    <w:rsid w:val="7D1A0ED5"/>
    <w:rsid w:val="7D25871C"/>
    <w:rsid w:val="7D425811"/>
    <w:rsid w:val="7D46A781"/>
    <w:rsid w:val="7D4A6421"/>
    <w:rsid w:val="7D6D4B6D"/>
    <w:rsid w:val="7D74B33E"/>
    <w:rsid w:val="7D7D05FB"/>
    <w:rsid w:val="7D8217E4"/>
    <w:rsid w:val="7D888975"/>
    <w:rsid w:val="7D934CF2"/>
    <w:rsid w:val="7D95A0A8"/>
    <w:rsid w:val="7DB7DBEA"/>
    <w:rsid w:val="7DB9199A"/>
    <w:rsid w:val="7DBDA6F2"/>
    <w:rsid w:val="7DBE805C"/>
    <w:rsid w:val="7DE78CA6"/>
    <w:rsid w:val="7DEB4FDF"/>
    <w:rsid w:val="7DF084C7"/>
    <w:rsid w:val="7E0A4DFB"/>
    <w:rsid w:val="7E0DFF4C"/>
    <w:rsid w:val="7E176F54"/>
    <w:rsid w:val="7E185BEC"/>
    <w:rsid w:val="7E26C5DB"/>
    <w:rsid w:val="7E2E9EEB"/>
    <w:rsid w:val="7E381F82"/>
    <w:rsid w:val="7E39B6FD"/>
    <w:rsid w:val="7E3D3532"/>
    <w:rsid w:val="7E3FD3E3"/>
    <w:rsid w:val="7E42FD29"/>
    <w:rsid w:val="7E4A5CC9"/>
    <w:rsid w:val="7E4A8E4D"/>
    <w:rsid w:val="7E4C1D16"/>
    <w:rsid w:val="7E4D5D66"/>
    <w:rsid w:val="7E4F70AD"/>
    <w:rsid w:val="7E52FA2E"/>
    <w:rsid w:val="7E56FF9F"/>
    <w:rsid w:val="7E63F496"/>
    <w:rsid w:val="7E6DA9BD"/>
    <w:rsid w:val="7E73A83E"/>
    <w:rsid w:val="7E876833"/>
    <w:rsid w:val="7E8BFBB6"/>
    <w:rsid w:val="7EA9C029"/>
    <w:rsid w:val="7EEA067A"/>
    <w:rsid w:val="7EECF97F"/>
    <w:rsid w:val="7EFC4629"/>
    <w:rsid w:val="7F06E27A"/>
    <w:rsid w:val="7F091BCE"/>
    <w:rsid w:val="7F1911F0"/>
    <w:rsid w:val="7F1EE2F1"/>
    <w:rsid w:val="7F525902"/>
    <w:rsid w:val="7F5386D6"/>
    <w:rsid w:val="7F53E540"/>
    <w:rsid w:val="7F588773"/>
    <w:rsid w:val="7F5A124E"/>
    <w:rsid w:val="7F6A2558"/>
    <w:rsid w:val="7F6F1DE5"/>
    <w:rsid w:val="7F76853C"/>
    <w:rsid w:val="7F7F7C6F"/>
    <w:rsid w:val="7F81D7AE"/>
    <w:rsid w:val="7F853866"/>
    <w:rsid w:val="7F885E5E"/>
    <w:rsid w:val="7FB4AC97"/>
    <w:rsid w:val="7FC44562"/>
    <w:rsid w:val="7FCFEAFB"/>
    <w:rsid w:val="7FD72218"/>
    <w:rsid w:val="7FD7C040"/>
    <w:rsid w:val="7FE07B22"/>
    <w:rsid w:val="7FE103EC"/>
    <w:rsid w:val="7FE5C316"/>
    <w:rsid w:val="7FF39C78"/>
    <w:rsid w:val="7FF6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759998"/>
  <w15:docId w15:val="{6883B2E6-D872-4043-BE1B-11A572B2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rsid w:val="00517205"/>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4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46"/>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46"/>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4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F152DC"/>
    <w:pPr>
      <w:numPr>
        <w:numId w:val="4"/>
      </w:numPr>
    </w:pPr>
    <w:rPr>
      <w:rFonts w:eastAsia="Times New Roman"/>
      <w:lang w:eastAsia="de-DE"/>
    </w:rPr>
  </w:style>
  <w:style w:type="paragraph" w:styleId="ListNumber">
    <w:name w:val="List Number"/>
    <w:basedOn w:val="Normal"/>
    <w:rsid w:val="00F152DC"/>
    <w:pPr>
      <w:numPr>
        <w:numId w:val="8"/>
      </w:numPr>
    </w:pPr>
    <w:rPr>
      <w:rFonts w:eastAsia="Times New Roman"/>
      <w:lang w:eastAsia="de-DE"/>
    </w:rPr>
  </w:style>
  <w:style w:type="paragraph" w:customStyle="1" w:styleId="ListBullet1">
    <w:name w:val="List Bullet 1"/>
    <w:basedOn w:val="Normal"/>
    <w:rsid w:val="00F152DC"/>
    <w:pPr>
      <w:numPr>
        <w:numId w:val="3"/>
      </w:numPr>
    </w:pPr>
    <w:rPr>
      <w:rFonts w:eastAsia="Times New Roman"/>
      <w:lang w:eastAsia="de-DE"/>
    </w:rPr>
  </w:style>
  <w:style w:type="paragraph" w:customStyle="1" w:styleId="ListDash">
    <w:name w:val="List Dash"/>
    <w:basedOn w:val="Normal"/>
    <w:rsid w:val="00F152DC"/>
    <w:pPr>
      <w:numPr>
        <w:numId w:val="5"/>
      </w:numPr>
    </w:pPr>
    <w:rPr>
      <w:rFonts w:eastAsia="Times New Roman"/>
      <w:lang w:eastAsia="de-DE"/>
    </w:rPr>
  </w:style>
  <w:style w:type="paragraph" w:customStyle="1" w:styleId="ListDash1">
    <w:name w:val="List Dash 1"/>
    <w:basedOn w:val="Normal"/>
    <w:rsid w:val="00F152DC"/>
    <w:pPr>
      <w:numPr>
        <w:numId w:val="6"/>
      </w:numPr>
    </w:pPr>
    <w:rPr>
      <w:rFonts w:eastAsia="Times New Roman"/>
      <w:lang w:eastAsia="de-DE"/>
    </w:rPr>
  </w:style>
  <w:style w:type="paragraph" w:customStyle="1" w:styleId="ListDash2">
    <w:name w:val="List Dash 2"/>
    <w:basedOn w:val="Normal"/>
    <w:rsid w:val="00F152DC"/>
    <w:pPr>
      <w:numPr>
        <w:numId w:val="7"/>
      </w:numPr>
    </w:pPr>
    <w:rPr>
      <w:rFonts w:eastAsia="Times New Roman"/>
      <w:lang w:eastAsia="de-DE"/>
    </w:rPr>
  </w:style>
  <w:style w:type="paragraph" w:customStyle="1" w:styleId="ListNumberLevel2">
    <w:name w:val="List Number (Level 2)"/>
    <w:basedOn w:val="Normal"/>
    <w:rsid w:val="00F152DC"/>
    <w:pPr>
      <w:numPr>
        <w:ilvl w:val="1"/>
        <w:numId w:val="8"/>
      </w:numPr>
    </w:pPr>
    <w:rPr>
      <w:rFonts w:eastAsia="Times New Roman"/>
      <w:lang w:eastAsia="de-DE"/>
    </w:rPr>
  </w:style>
  <w:style w:type="paragraph" w:customStyle="1" w:styleId="ListNumberLevel3">
    <w:name w:val="List Number (Level 3)"/>
    <w:basedOn w:val="Normal"/>
    <w:rsid w:val="00F152DC"/>
    <w:pPr>
      <w:numPr>
        <w:ilvl w:val="2"/>
        <w:numId w:val="8"/>
      </w:numPr>
    </w:pPr>
    <w:rPr>
      <w:rFonts w:eastAsia="Times New Roman"/>
      <w:lang w:eastAsia="de-DE"/>
    </w:rPr>
  </w:style>
  <w:style w:type="paragraph" w:customStyle="1" w:styleId="ListNumberLevel4">
    <w:name w:val="List Number (Level 4)"/>
    <w:basedOn w:val="Normal"/>
    <w:rsid w:val="00F152DC"/>
    <w:pPr>
      <w:numPr>
        <w:ilvl w:val="3"/>
        <w:numId w:val="8"/>
      </w:numPr>
    </w:pPr>
    <w:rPr>
      <w:rFonts w:eastAsia="Times New Roman"/>
      <w:lang w:eastAsia="de-DE"/>
    </w:rPr>
  </w:style>
  <w:style w:type="table" w:styleId="TableGrid">
    <w:name w:val="Table Grid"/>
    <w:basedOn w:val="TableNormal"/>
    <w:rsid w:val="00F152DC"/>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52DC"/>
    <w:rPr>
      <w:color w:val="0000FF"/>
      <w:u w:val="single"/>
    </w:rPr>
  </w:style>
  <w:style w:type="paragraph" w:styleId="ListBullet">
    <w:name w:val="List Bullet"/>
    <w:basedOn w:val="Normal"/>
    <w:rsid w:val="00F152DC"/>
    <w:pPr>
      <w:numPr>
        <w:numId w:val="9"/>
      </w:numPr>
    </w:pPr>
    <w:rPr>
      <w:rFonts w:eastAsia="Times New Roman"/>
      <w:lang w:eastAsia="en-GB"/>
    </w:rPr>
  </w:style>
  <w:style w:type="paragraph" w:styleId="ListBullet2">
    <w:name w:val="List Bullet 2"/>
    <w:basedOn w:val="Normal"/>
    <w:rsid w:val="00F152DC"/>
    <w:pPr>
      <w:numPr>
        <w:numId w:val="10"/>
      </w:numPr>
    </w:pPr>
    <w:rPr>
      <w:rFonts w:eastAsia="Times New Roman"/>
      <w:lang w:eastAsia="en-GB"/>
    </w:rPr>
  </w:style>
  <w:style w:type="paragraph" w:styleId="ListBullet3">
    <w:name w:val="List Bullet 3"/>
    <w:basedOn w:val="Normal"/>
    <w:rsid w:val="00F152DC"/>
    <w:pPr>
      <w:numPr>
        <w:numId w:val="11"/>
      </w:numPr>
    </w:pPr>
    <w:rPr>
      <w:rFonts w:eastAsia="Times New Roman"/>
      <w:lang w:eastAsia="en-GB"/>
    </w:rPr>
  </w:style>
  <w:style w:type="paragraph" w:styleId="ListNumber2">
    <w:name w:val="List Number 2"/>
    <w:basedOn w:val="Normal"/>
    <w:rsid w:val="00F152DC"/>
    <w:pPr>
      <w:numPr>
        <w:numId w:val="15"/>
      </w:numPr>
    </w:pPr>
    <w:rPr>
      <w:rFonts w:eastAsia="Times New Roman"/>
      <w:lang w:eastAsia="en-GB"/>
    </w:rPr>
  </w:style>
  <w:style w:type="paragraph" w:styleId="ListNumber3">
    <w:name w:val="List Number 3"/>
    <w:basedOn w:val="Normal"/>
    <w:rsid w:val="00F152DC"/>
    <w:pPr>
      <w:numPr>
        <w:numId w:val="16"/>
      </w:numPr>
    </w:pPr>
    <w:rPr>
      <w:rFonts w:eastAsia="Times New Roman"/>
      <w:lang w:eastAsia="en-GB"/>
    </w:rPr>
  </w:style>
  <w:style w:type="paragraph" w:styleId="ListNumber4">
    <w:name w:val="List Number 4"/>
    <w:basedOn w:val="Normal"/>
    <w:rsid w:val="00F152DC"/>
    <w:pPr>
      <w:numPr>
        <w:numId w:val="17"/>
      </w:numPr>
    </w:pPr>
    <w:rPr>
      <w:rFonts w:eastAsia="Times New Roman"/>
      <w:lang w:eastAsia="en-GB"/>
    </w:rPr>
  </w:style>
  <w:style w:type="paragraph" w:customStyle="1" w:styleId="ListDash3">
    <w:name w:val="List Dash 3"/>
    <w:basedOn w:val="Normal"/>
    <w:rsid w:val="00F152DC"/>
    <w:pPr>
      <w:numPr>
        <w:numId w:val="12"/>
      </w:numPr>
    </w:pPr>
    <w:rPr>
      <w:rFonts w:eastAsia="Times New Roman"/>
      <w:lang w:eastAsia="en-GB"/>
    </w:rPr>
  </w:style>
  <w:style w:type="paragraph" w:customStyle="1" w:styleId="ListDash4">
    <w:name w:val="List Dash 4"/>
    <w:basedOn w:val="Normal"/>
    <w:rsid w:val="00F152DC"/>
    <w:pPr>
      <w:numPr>
        <w:numId w:val="13"/>
      </w:numPr>
    </w:pPr>
    <w:rPr>
      <w:rFonts w:eastAsia="Times New Roman"/>
      <w:lang w:eastAsia="en-GB"/>
    </w:rPr>
  </w:style>
  <w:style w:type="paragraph" w:customStyle="1" w:styleId="ListNumber1">
    <w:name w:val="List Number 1"/>
    <w:basedOn w:val="Text1"/>
    <w:rsid w:val="00F152DC"/>
    <w:pPr>
      <w:numPr>
        <w:numId w:val="14"/>
      </w:numPr>
    </w:pPr>
    <w:rPr>
      <w:rFonts w:eastAsia="Times New Roman"/>
      <w:lang w:eastAsia="en-GB"/>
    </w:rPr>
  </w:style>
  <w:style w:type="paragraph" w:customStyle="1" w:styleId="ListNumber1Level2">
    <w:name w:val="List Number 1 (Level 2)"/>
    <w:basedOn w:val="Text1"/>
    <w:rsid w:val="00F152DC"/>
    <w:pPr>
      <w:numPr>
        <w:ilvl w:val="1"/>
        <w:numId w:val="14"/>
      </w:numPr>
    </w:pPr>
    <w:rPr>
      <w:rFonts w:eastAsia="Times New Roman"/>
      <w:lang w:eastAsia="en-GB"/>
    </w:rPr>
  </w:style>
  <w:style w:type="paragraph" w:customStyle="1" w:styleId="ListNumber2Level2">
    <w:name w:val="List Number 2 (Level 2)"/>
    <w:basedOn w:val="Text2"/>
    <w:rsid w:val="00F152DC"/>
    <w:pPr>
      <w:numPr>
        <w:ilvl w:val="1"/>
        <w:numId w:val="15"/>
      </w:numPr>
    </w:pPr>
    <w:rPr>
      <w:rFonts w:eastAsia="Times New Roman"/>
      <w:lang w:eastAsia="en-GB"/>
    </w:rPr>
  </w:style>
  <w:style w:type="paragraph" w:customStyle="1" w:styleId="ListNumber3Level2">
    <w:name w:val="List Number 3 (Level 2)"/>
    <w:basedOn w:val="Text3"/>
    <w:rsid w:val="00F152DC"/>
    <w:pPr>
      <w:numPr>
        <w:ilvl w:val="1"/>
        <w:numId w:val="16"/>
      </w:numPr>
    </w:pPr>
    <w:rPr>
      <w:rFonts w:eastAsia="Times New Roman"/>
      <w:lang w:eastAsia="en-GB"/>
    </w:rPr>
  </w:style>
  <w:style w:type="paragraph" w:customStyle="1" w:styleId="ListNumber4Level2">
    <w:name w:val="List Number 4 (Level 2)"/>
    <w:basedOn w:val="Text4"/>
    <w:rsid w:val="00F152DC"/>
    <w:pPr>
      <w:numPr>
        <w:ilvl w:val="1"/>
        <w:numId w:val="17"/>
      </w:numPr>
    </w:pPr>
    <w:rPr>
      <w:rFonts w:eastAsia="Times New Roman"/>
      <w:lang w:eastAsia="en-GB"/>
    </w:rPr>
  </w:style>
  <w:style w:type="paragraph" w:customStyle="1" w:styleId="ListNumber1Level3">
    <w:name w:val="List Number 1 (Level 3)"/>
    <w:basedOn w:val="Text1"/>
    <w:rsid w:val="00F152DC"/>
    <w:pPr>
      <w:numPr>
        <w:ilvl w:val="2"/>
        <w:numId w:val="14"/>
      </w:numPr>
    </w:pPr>
    <w:rPr>
      <w:rFonts w:eastAsia="Times New Roman"/>
      <w:lang w:eastAsia="en-GB"/>
    </w:rPr>
  </w:style>
  <w:style w:type="paragraph" w:customStyle="1" w:styleId="ListNumber2Level3">
    <w:name w:val="List Number 2 (Level 3)"/>
    <w:basedOn w:val="Text2"/>
    <w:rsid w:val="00F152DC"/>
    <w:pPr>
      <w:numPr>
        <w:ilvl w:val="2"/>
        <w:numId w:val="15"/>
      </w:numPr>
    </w:pPr>
    <w:rPr>
      <w:rFonts w:eastAsia="Times New Roman"/>
      <w:lang w:eastAsia="en-GB"/>
    </w:rPr>
  </w:style>
  <w:style w:type="paragraph" w:customStyle="1" w:styleId="ListNumber3Level3">
    <w:name w:val="List Number 3 (Level 3)"/>
    <w:basedOn w:val="Text3"/>
    <w:rsid w:val="00F152DC"/>
    <w:pPr>
      <w:numPr>
        <w:ilvl w:val="2"/>
        <w:numId w:val="16"/>
      </w:numPr>
    </w:pPr>
    <w:rPr>
      <w:rFonts w:eastAsia="Times New Roman"/>
      <w:lang w:eastAsia="en-GB"/>
    </w:rPr>
  </w:style>
  <w:style w:type="paragraph" w:customStyle="1" w:styleId="ListNumber4Level3">
    <w:name w:val="List Number 4 (Level 3)"/>
    <w:basedOn w:val="Text4"/>
    <w:rsid w:val="00F152DC"/>
    <w:pPr>
      <w:numPr>
        <w:ilvl w:val="2"/>
        <w:numId w:val="17"/>
      </w:numPr>
    </w:pPr>
    <w:rPr>
      <w:rFonts w:eastAsia="Times New Roman"/>
      <w:lang w:eastAsia="en-GB"/>
    </w:rPr>
  </w:style>
  <w:style w:type="paragraph" w:customStyle="1" w:styleId="ListNumber1Level4">
    <w:name w:val="List Number 1 (Level 4)"/>
    <w:basedOn w:val="Text1"/>
    <w:rsid w:val="00F152DC"/>
    <w:pPr>
      <w:numPr>
        <w:ilvl w:val="3"/>
        <w:numId w:val="14"/>
      </w:numPr>
    </w:pPr>
    <w:rPr>
      <w:rFonts w:eastAsia="Times New Roman"/>
      <w:lang w:eastAsia="en-GB"/>
    </w:rPr>
  </w:style>
  <w:style w:type="paragraph" w:customStyle="1" w:styleId="ListNumber2Level4">
    <w:name w:val="List Number 2 (Level 4)"/>
    <w:basedOn w:val="Text2"/>
    <w:rsid w:val="00F152DC"/>
    <w:pPr>
      <w:numPr>
        <w:ilvl w:val="3"/>
        <w:numId w:val="15"/>
      </w:numPr>
    </w:pPr>
    <w:rPr>
      <w:rFonts w:eastAsia="Times New Roman"/>
      <w:lang w:eastAsia="en-GB"/>
    </w:rPr>
  </w:style>
  <w:style w:type="paragraph" w:customStyle="1" w:styleId="ListNumber3Level4">
    <w:name w:val="List Number 3 (Level 4)"/>
    <w:basedOn w:val="Text3"/>
    <w:rsid w:val="00F152DC"/>
    <w:pPr>
      <w:numPr>
        <w:ilvl w:val="3"/>
        <w:numId w:val="16"/>
      </w:numPr>
    </w:pPr>
    <w:rPr>
      <w:rFonts w:eastAsia="Times New Roman"/>
      <w:lang w:eastAsia="en-GB"/>
    </w:rPr>
  </w:style>
  <w:style w:type="paragraph" w:customStyle="1" w:styleId="ListNumber4Level4">
    <w:name w:val="List Number 4 (Level 4)"/>
    <w:basedOn w:val="Text4"/>
    <w:rsid w:val="00F152DC"/>
    <w:pPr>
      <w:numPr>
        <w:ilvl w:val="3"/>
        <w:numId w:val="17"/>
      </w:numPr>
    </w:pPr>
    <w:rPr>
      <w:rFonts w:eastAsia="Times New Roman"/>
      <w:lang w:eastAsia="en-GB"/>
    </w:rPr>
  </w:style>
  <w:style w:type="paragraph" w:customStyle="1" w:styleId="Annexetitreacte">
    <w:name w:val="Annexe titre (acte)"/>
    <w:basedOn w:val="Normal"/>
    <w:next w:val="Normal"/>
    <w:rsid w:val="00F152DC"/>
    <w:pPr>
      <w:jc w:val="center"/>
    </w:pPr>
    <w:rPr>
      <w:rFonts w:eastAsia="Times New Roman"/>
      <w:b/>
      <w:u w:val="single"/>
      <w:lang w:eastAsia="en-GB"/>
    </w:rPr>
  </w:style>
  <w:style w:type="paragraph" w:customStyle="1" w:styleId="Annexetitreexposglobal">
    <w:name w:val="Annexe titre (exposé global)"/>
    <w:basedOn w:val="Normal"/>
    <w:next w:val="Normal"/>
    <w:rsid w:val="00F152DC"/>
    <w:pPr>
      <w:jc w:val="center"/>
    </w:pPr>
    <w:rPr>
      <w:rFonts w:eastAsia="Times New Roman"/>
      <w:b/>
      <w:u w:val="single"/>
      <w:lang w:eastAsia="en-GB"/>
    </w:rPr>
  </w:style>
  <w:style w:type="paragraph" w:customStyle="1" w:styleId="Annexetitrefichefinacte">
    <w:name w:val="Annexe titre (fiche fin. acte)"/>
    <w:basedOn w:val="Normal"/>
    <w:next w:val="Normal"/>
    <w:rsid w:val="00F152DC"/>
    <w:pPr>
      <w:jc w:val="center"/>
    </w:pPr>
    <w:rPr>
      <w:rFonts w:eastAsia="Times New Roman"/>
      <w:b/>
      <w:u w:val="single"/>
      <w:lang w:eastAsia="en-GB"/>
    </w:rPr>
  </w:style>
  <w:style w:type="paragraph" w:customStyle="1" w:styleId="Annexetitrefichefinglobale">
    <w:name w:val="Annexe titre (fiche fin. globale)"/>
    <w:basedOn w:val="Normal"/>
    <w:next w:val="Normal"/>
    <w:rsid w:val="00F152DC"/>
    <w:pPr>
      <w:jc w:val="center"/>
    </w:pPr>
    <w:rPr>
      <w:rFonts w:eastAsia="Times New Roman"/>
      <w:b/>
      <w:u w:val="single"/>
      <w:lang w:eastAsia="en-GB"/>
    </w:rPr>
  </w:style>
  <w:style w:type="paragraph" w:customStyle="1" w:styleId="Annexetitreglobale">
    <w:name w:val="Annexe titre (globale)"/>
    <w:basedOn w:val="Normal"/>
    <w:next w:val="Normal"/>
    <w:rsid w:val="00F152DC"/>
    <w:pPr>
      <w:jc w:val="center"/>
    </w:pPr>
    <w:rPr>
      <w:rFonts w:eastAsia="Times New Roman"/>
      <w:b/>
      <w:u w:val="single"/>
      <w:lang w:eastAsia="en-GB"/>
    </w:rPr>
  </w:style>
  <w:style w:type="paragraph" w:customStyle="1" w:styleId="Exposdesmotifstitreglobal">
    <w:name w:val="Exposé des motifs titre (global)"/>
    <w:basedOn w:val="Normal"/>
    <w:next w:val="Normal"/>
    <w:rsid w:val="00F152DC"/>
    <w:pPr>
      <w:jc w:val="center"/>
    </w:pPr>
    <w:rPr>
      <w:rFonts w:eastAsia="Times New Roman"/>
      <w:b/>
      <w:u w:val="single"/>
      <w:lang w:eastAsia="en-GB"/>
    </w:rPr>
  </w:style>
  <w:style w:type="paragraph" w:customStyle="1" w:styleId="Langueoriginale">
    <w:name w:val="Langue originale"/>
    <w:basedOn w:val="Normal"/>
    <w:rsid w:val="00F152DC"/>
    <w:pPr>
      <w:spacing w:before="360"/>
      <w:jc w:val="center"/>
    </w:pPr>
    <w:rPr>
      <w:rFonts w:eastAsia="Times New Roman"/>
      <w:caps/>
      <w:lang w:eastAsia="en-GB"/>
    </w:rPr>
  </w:style>
  <w:style w:type="paragraph" w:customStyle="1" w:styleId="Phrasefinale">
    <w:name w:val="Phrase finale"/>
    <w:basedOn w:val="Normal"/>
    <w:next w:val="Normal"/>
    <w:rsid w:val="00F152DC"/>
    <w:pPr>
      <w:spacing w:before="360" w:after="0"/>
      <w:jc w:val="center"/>
    </w:pPr>
    <w:rPr>
      <w:rFonts w:eastAsia="Times New Roman"/>
      <w:lang w:eastAsia="en-GB"/>
    </w:rPr>
  </w:style>
  <w:style w:type="paragraph" w:customStyle="1" w:styleId="Prliminairetitre">
    <w:name w:val="Préliminaire titre"/>
    <w:basedOn w:val="Normal"/>
    <w:next w:val="Normal"/>
    <w:rsid w:val="00F152DC"/>
    <w:pPr>
      <w:spacing w:before="360" w:after="360"/>
      <w:jc w:val="center"/>
    </w:pPr>
    <w:rPr>
      <w:rFonts w:eastAsia="Times New Roman"/>
      <w:b/>
      <w:lang w:eastAsia="en-GB"/>
    </w:rPr>
  </w:style>
  <w:style w:type="paragraph" w:customStyle="1" w:styleId="Prliminairetype">
    <w:name w:val="Préliminaire type"/>
    <w:basedOn w:val="Normal"/>
    <w:next w:val="Normal"/>
    <w:rsid w:val="00F152DC"/>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F152DC"/>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F152DC"/>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F152DC"/>
    <w:pPr>
      <w:spacing w:before="0" w:after="0"/>
      <w:ind w:left="5103"/>
      <w:jc w:val="left"/>
    </w:pPr>
    <w:rPr>
      <w:rFonts w:eastAsia="Times New Roman"/>
      <w:lang w:eastAsia="en-GB"/>
    </w:rPr>
  </w:style>
  <w:style w:type="paragraph" w:customStyle="1" w:styleId="Sous-titreobjetprliminaire">
    <w:name w:val="Sous-titre objet (préliminaire)"/>
    <w:basedOn w:val="Normal"/>
    <w:rsid w:val="00F152DC"/>
    <w:pPr>
      <w:spacing w:before="0" w:after="0"/>
      <w:jc w:val="center"/>
    </w:pPr>
    <w:rPr>
      <w:rFonts w:eastAsia="Times New Roman"/>
      <w:b/>
      <w:lang w:eastAsia="en-GB"/>
    </w:rPr>
  </w:style>
  <w:style w:type="paragraph" w:customStyle="1" w:styleId="Statutprliminaire">
    <w:name w:val="Statut (préliminaire)"/>
    <w:basedOn w:val="Normal"/>
    <w:next w:val="Normal"/>
    <w:rsid w:val="00F152DC"/>
    <w:pPr>
      <w:spacing w:before="360" w:after="0"/>
      <w:jc w:val="center"/>
    </w:pPr>
    <w:rPr>
      <w:rFonts w:eastAsia="Times New Roman"/>
      <w:lang w:eastAsia="en-GB"/>
    </w:rPr>
  </w:style>
  <w:style w:type="paragraph" w:customStyle="1" w:styleId="Titreobjetprliminaire">
    <w:name w:val="Titre objet (préliminaire)"/>
    <w:basedOn w:val="Normal"/>
    <w:next w:val="Normal"/>
    <w:rsid w:val="00F152DC"/>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F152DC"/>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F152DC"/>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F152DC"/>
    <w:pPr>
      <w:jc w:val="center"/>
    </w:pPr>
    <w:rPr>
      <w:rFonts w:eastAsia="Times New Roman"/>
      <w:b/>
      <w:u w:val="single"/>
      <w:lang w:eastAsia="en-GB"/>
    </w:rPr>
  </w:style>
  <w:style w:type="paragraph" w:customStyle="1" w:styleId="Fichefinanciretravailtitre">
    <w:name w:val="Fiche financière (travail) titre"/>
    <w:basedOn w:val="Normal"/>
    <w:next w:val="Normal"/>
    <w:rsid w:val="00F152DC"/>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F152DC"/>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F152DC"/>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F152DC"/>
    <w:pPr>
      <w:jc w:val="center"/>
    </w:pPr>
    <w:rPr>
      <w:rFonts w:eastAsia="Times New Roman"/>
      <w:b/>
      <w:u w:val="single"/>
      <w:lang w:eastAsia="en-GB"/>
    </w:rPr>
  </w:style>
  <w:style w:type="character" w:styleId="CommentReference">
    <w:name w:val="annotation reference"/>
    <w:rsid w:val="00F152DC"/>
    <w:rPr>
      <w:rFonts w:cs="Times New Roman"/>
      <w:sz w:val="16"/>
      <w:szCs w:val="16"/>
    </w:rPr>
  </w:style>
  <w:style w:type="paragraph" w:styleId="CommentText">
    <w:name w:val="annotation text"/>
    <w:basedOn w:val="Normal"/>
    <w:link w:val="CommentTextChar"/>
    <w:rsid w:val="00F152DC"/>
    <w:rPr>
      <w:rFonts w:eastAsia="Times New Roman"/>
      <w:sz w:val="20"/>
      <w:szCs w:val="20"/>
      <w:lang w:eastAsia="en-GB"/>
    </w:rPr>
  </w:style>
  <w:style w:type="character" w:customStyle="1" w:styleId="CommentTextChar">
    <w:name w:val="Comment Text Char"/>
    <w:basedOn w:val="DefaultParagraphFont"/>
    <w:link w:val="CommentText"/>
    <w:rsid w:val="00F152DC"/>
    <w:rPr>
      <w:rFonts w:ascii="Times New Roman" w:eastAsia="Times New Roman" w:hAnsi="Times New Roman" w:cs="Times New Roman"/>
      <w:sz w:val="20"/>
      <w:szCs w:val="20"/>
      <w:lang w:val="it-IT" w:eastAsia="en-GB"/>
    </w:rPr>
  </w:style>
  <w:style w:type="paragraph" w:styleId="CommentSubject">
    <w:name w:val="annotation subject"/>
    <w:basedOn w:val="CommentText"/>
    <w:next w:val="CommentText"/>
    <w:link w:val="CommentSubjectChar"/>
    <w:rsid w:val="00F152DC"/>
    <w:rPr>
      <w:b/>
      <w:bCs/>
    </w:rPr>
  </w:style>
  <w:style w:type="character" w:customStyle="1" w:styleId="CommentSubjectChar">
    <w:name w:val="Comment Subject Char"/>
    <w:basedOn w:val="CommentTextChar"/>
    <w:link w:val="CommentSubject"/>
    <w:rsid w:val="00F152DC"/>
    <w:rPr>
      <w:rFonts w:ascii="Times New Roman" w:eastAsia="Times New Roman" w:hAnsi="Times New Roman" w:cs="Times New Roman"/>
      <w:b/>
      <w:bCs/>
      <w:sz w:val="20"/>
      <w:szCs w:val="20"/>
      <w:lang w:val="it-IT" w:eastAsia="en-GB"/>
    </w:rPr>
  </w:style>
  <w:style w:type="paragraph" w:styleId="BalloonText">
    <w:name w:val="Balloon Text"/>
    <w:basedOn w:val="Normal"/>
    <w:link w:val="BalloonTextChar"/>
    <w:rsid w:val="00F152DC"/>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152DC"/>
    <w:rPr>
      <w:rFonts w:ascii="Tahoma" w:eastAsia="Times New Roman" w:hAnsi="Tahoma" w:cs="Tahoma"/>
      <w:sz w:val="16"/>
      <w:szCs w:val="16"/>
      <w:lang w:val="it-IT" w:eastAsia="en-GB"/>
    </w:rPr>
  </w:style>
  <w:style w:type="paragraph" w:styleId="Caption">
    <w:name w:val="caption"/>
    <w:basedOn w:val="Normal"/>
    <w:next w:val="Normal"/>
    <w:qFormat/>
    <w:rsid w:val="00F152DC"/>
    <w:rPr>
      <w:rFonts w:eastAsia="Times New Roman"/>
      <w:b/>
      <w:bCs/>
      <w:sz w:val="20"/>
      <w:szCs w:val="20"/>
      <w:lang w:eastAsia="en-GB"/>
    </w:rPr>
  </w:style>
  <w:style w:type="paragraph" w:styleId="TableofFigures">
    <w:name w:val="table of figures"/>
    <w:basedOn w:val="Normal"/>
    <w:next w:val="Normal"/>
    <w:rsid w:val="00F152DC"/>
    <w:rPr>
      <w:rFonts w:eastAsia="Times New Roman"/>
      <w:lang w:eastAsia="en-GB"/>
    </w:rPr>
  </w:style>
  <w:style w:type="character" w:styleId="PageNumber">
    <w:name w:val="page number"/>
    <w:rsid w:val="00F152DC"/>
  </w:style>
  <w:style w:type="character" w:customStyle="1" w:styleId="tw4winMark">
    <w:name w:val="tw4winMark"/>
    <w:rsid w:val="00F152DC"/>
    <w:rPr>
      <w:vanish/>
      <w:color w:val="800080"/>
      <w:vertAlign w:val="subscript"/>
    </w:rPr>
  </w:style>
  <w:style w:type="character" w:styleId="FollowedHyperlink">
    <w:name w:val="FollowedHyperlink"/>
    <w:rsid w:val="00F152DC"/>
    <w:rPr>
      <w:color w:val="800080"/>
      <w:u w:val="single"/>
    </w:rPr>
  </w:style>
  <w:style w:type="paragraph" w:customStyle="1" w:styleId="Sous-titreobjet">
    <w:name w:val="Sous-titre objet"/>
    <w:basedOn w:val="Normal"/>
    <w:rsid w:val="00F152DC"/>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F152DC"/>
  </w:style>
  <w:style w:type="paragraph" w:styleId="Revision">
    <w:name w:val="Revision"/>
    <w:hidden/>
    <w:uiPriority w:val="99"/>
    <w:semiHidden/>
    <w:rsid w:val="00F152DC"/>
    <w:rPr>
      <w:rFonts w:ascii="Calibri" w:eastAsia="Calibri" w:hAnsi="Calibri" w:cs="Times New Roman"/>
      <w:sz w:val="24"/>
      <w:lang w:eastAsia="en-GB"/>
    </w:rPr>
  </w:style>
  <w:style w:type="paragraph" w:customStyle="1" w:styleId="FooterCoverPage">
    <w:name w:val="Footer Cover Page"/>
    <w:basedOn w:val="Normal"/>
    <w:link w:val="FooterCoverPageChar"/>
    <w:rsid w:val="00F152DC"/>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F152DC"/>
    <w:rPr>
      <w:rFonts w:ascii="Times New Roman" w:hAnsi="Times New Roman" w:cs="Times New Roman"/>
      <w:b/>
      <w:sz w:val="28"/>
      <w:lang w:val="it-IT"/>
    </w:rPr>
  </w:style>
  <w:style w:type="character" w:customStyle="1" w:styleId="FooterCoverPageChar">
    <w:name w:val="Footer Cover Page Char"/>
    <w:link w:val="FooterCoverPage"/>
    <w:rsid w:val="00F152DC"/>
    <w:rPr>
      <w:rFonts w:ascii="Times New Roman" w:eastAsia="Calibri" w:hAnsi="Times New Roman" w:cs="Times New Roman"/>
      <w:sz w:val="24"/>
      <w:lang w:val="it-IT" w:eastAsia="en-GB"/>
    </w:rPr>
  </w:style>
  <w:style w:type="paragraph" w:customStyle="1" w:styleId="HeaderCoverPage">
    <w:name w:val="Header Cover Page"/>
    <w:basedOn w:val="Normal"/>
    <w:link w:val="HeaderCoverPageChar"/>
    <w:rsid w:val="00F152DC"/>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F152DC"/>
    <w:rPr>
      <w:rFonts w:ascii="Times New Roman" w:eastAsia="Calibri" w:hAnsi="Times New Roman" w:cs="Times New Roman"/>
      <w:sz w:val="24"/>
      <w:lang w:val="it-IT" w:eastAsia="en-GB"/>
    </w:rPr>
  </w:style>
  <w:style w:type="paragraph" w:customStyle="1" w:styleId="oj-normal">
    <w:name w:val="oj-normal"/>
    <w:basedOn w:val="Normal"/>
    <w:rsid w:val="004D643E"/>
    <w:pPr>
      <w:spacing w:before="100" w:beforeAutospacing="1" w:after="100" w:afterAutospacing="1"/>
      <w:jc w:val="left"/>
    </w:pPr>
    <w:rPr>
      <w:rFonts w:eastAsia="Times New Roman"/>
      <w:szCs w:val="24"/>
    </w:rPr>
  </w:style>
  <w:style w:type="paragraph" w:styleId="ListParagraph">
    <w:name w:val="List Paragraph"/>
    <w:basedOn w:val="Normal"/>
    <w:uiPriority w:val="34"/>
    <w:qFormat/>
    <w:rsid w:val="004D643E"/>
    <w:pPr>
      <w:ind w:left="720"/>
      <w:contextualSpacing/>
    </w:pPr>
  </w:style>
  <w:style w:type="paragraph" w:customStyle="1" w:styleId="sti-art">
    <w:name w:val="sti-art"/>
    <w:basedOn w:val="Normal"/>
    <w:rsid w:val="004D643E"/>
    <w:pPr>
      <w:spacing w:before="100" w:beforeAutospacing="1" w:after="100" w:afterAutospacing="1"/>
      <w:jc w:val="left"/>
    </w:pPr>
    <w:rPr>
      <w:rFonts w:eastAsia="Times New Roman"/>
      <w:szCs w:val="24"/>
      <w:lang w:eastAsia="en-GB"/>
    </w:rPr>
  </w:style>
  <w:style w:type="paragraph" w:styleId="EndnoteText">
    <w:name w:val="endnote text"/>
    <w:basedOn w:val="Normal"/>
    <w:link w:val="EndnoteTextChar"/>
    <w:uiPriority w:val="99"/>
    <w:semiHidden/>
    <w:unhideWhenUsed/>
    <w:rsid w:val="00E87BDC"/>
    <w:pPr>
      <w:spacing w:before="0" w:after="0"/>
    </w:pPr>
    <w:rPr>
      <w:sz w:val="20"/>
      <w:szCs w:val="20"/>
    </w:rPr>
  </w:style>
  <w:style w:type="character" w:customStyle="1" w:styleId="EndnoteTextChar">
    <w:name w:val="Endnote Text Char"/>
    <w:basedOn w:val="DefaultParagraphFont"/>
    <w:link w:val="EndnoteText"/>
    <w:uiPriority w:val="99"/>
    <w:semiHidden/>
    <w:rsid w:val="00E87BDC"/>
    <w:rPr>
      <w:rFonts w:ascii="Times New Roman" w:hAnsi="Times New Roman" w:cs="Times New Roman"/>
      <w:sz w:val="20"/>
      <w:szCs w:val="20"/>
      <w:lang w:val="it-IT"/>
    </w:rPr>
  </w:style>
  <w:style w:type="character" w:styleId="EndnoteReference">
    <w:name w:val="endnote reference"/>
    <w:basedOn w:val="DefaultParagraphFont"/>
    <w:uiPriority w:val="99"/>
    <w:semiHidden/>
    <w:unhideWhenUsed/>
    <w:rsid w:val="00E87BDC"/>
    <w:rPr>
      <w:vertAlign w:val="superscript"/>
    </w:rPr>
  </w:style>
  <w:style w:type="character" w:customStyle="1" w:styleId="oj-italic">
    <w:name w:val="oj-italic"/>
    <w:basedOn w:val="DefaultParagraphFont"/>
    <w:rsid w:val="000B3E19"/>
  </w:style>
  <w:style w:type="character" w:styleId="Emphasis">
    <w:name w:val="Emphasis"/>
    <w:basedOn w:val="DefaultParagraphFont"/>
    <w:uiPriority w:val="20"/>
    <w:qFormat/>
    <w:rsid w:val="004A7222"/>
    <w:rPr>
      <w:i/>
      <w:iCs/>
    </w:rPr>
  </w:style>
  <w:style w:type="paragraph" w:customStyle="1" w:styleId="Fichefinanciretitre0">
    <w:name w:val="Fiche financière titre0"/>
    <w:basedOn w:val="Normal"/>
    <w:next w:val="Normal"/>
    <w:rsid w:val="00517205"/>
    <w:pPr>
      <w:jc w:val="center"/>
    </w:pPr>
    <w:rPr>
      <w:b/>
      <w:u w:val="single"/>
    </w:rPr>
  </w:style>
  <w:style w:type="paragraph" w:customStyle="1" w:styleId="li">
    <w:name w:val="li"/>
    <w:basedOn w:val="Normal"/>
    <w:rsid w:val="006F3594"/>
    <w:pPr>
      <w:spacing w:before="100" w:beforeAutospacing="1" w:after="100" w:afterAutospacing="1"/>
      <w:jc w:val="left"/>
    </w:pPr>
    <w:rPr>
      <w:rFonts w:eastAsia="Times New Roman"/>
      <w:szCs w:val="24"/>
    </w:rPr>
  </w:style>
  <w:style w:type="paragraph" w:customStyle="1" w:styleId="Fichefinanciretitre00">
    <w:name w:val="Fiche financière titre00"/>
    <w:basedOn w:val="Normal"/>
    <w:next w:val="Normal"/>
    <w:rsid w:val="00D664C1"/>
    <w:pPr>
      <w:jc w:val="center"/>
    </w:pPr>
    <w:rPr>
      <w:b/>
      <w:u w:val="single"/>
    </w:rPr>
  </w:style>
  <w:style w:type="paragraph" w:customStyle="1" w:styleId="Fichefinanciretitre000">
    <w:name w:val="Fiche financière titre000"/>
    <w:basedOn w:val="Normal"/>
    <w:next w:val="Normal"/>
    <w:rsid w:val="00E03070"/>
    <w:pPr>
      <w:jc w:val="center"/>
    </w:pPr>
    <w:rPr>
      <w:b/>
      <w:u w:val="single"/>
    </w:rPr>
  </w:style>
  <w:style w:type="paragraph" w:customStyle="1" w:styleId="Fichefinanciretitre0000">
    <w:name w:val="Fiche financière titre0000"/>
    <w:basedOn w:val="Normal"/>
    <w:next w:val="Normal"/>
    <w:rsid w:val="00D57AD3"/>
    <w:pPr>
      <w:jc w:val="center"/>
    </w:pPr>
    <w:rPr>
      <w:b/>
      <w:u w:val="single"/>
    </w:rPr>
  </w:style>
  <w:style w:type="paragraph" w:customStyle="1" w:styleId="LegalNumPar">
    <w:name w:val="LegalNumPar"/>
    <w:basedOn w:val="Normal"/>
    <w:rsid w:val="00E632E4"/>
    <w:pPr>
      <w:numPr>
        <w:numId w:val="26"/>
      </w:numPr>
      <w:spacing w:line="360" w:lineRule="auto"/>
    </w:pPr>
  </w:style>
  <w:style w:type="paragraph" w:customStyle="1" w:styleId="LegalNumPar2">
    <w:name w:val="LegalNumPar2"/>
    <w:basedOn w:val="Normal"/>
    <w:rsid w:val="00E632E4"/>
    <w:pPr>
      <w:numPr>
        <w:ilvl w:val="1"/>
        <w:numId w:val="26"/>
      </w:numPr>
      <w:spacing w:line="360" w:lineRule="auto"/>
    </w:pPr>
  </w:style>
  <w:style w:type="paragraph" w:customStyle="1" w:styleId="LegalNumPar3">
    <w:name w:val="LegalNumPar3"/>
    <w:basedOn w:val="Normal"/>
    <w:rsid w:val="00E632E4"/>
    <w:pPr>
      <w:numPr>
        <w:ilvl w:val="2"/>
        <w:numId w:val="26"/>
      </w:numPr>
      <w:spacing w:line="360" w:lineRule="auto"/>
    </w:pPr>
  </w:style>
  <w:style w:type="character" w:customStyle="1" w:styleId="normaltextrun">
    <w:name w:val="normaltextrun"/>
    <w:basedOn w:val="DefaultParagraphFont"/>
    <w:rsid w:val="00917643"/>
  </w:style>
  <w:style w:type="character" w:customStyle="1" w:styleId="eop">
    <w:name w:val="eop"/>
    <w:basedOn w:val="DefaultParagraphFont"/>
    <w:rsid w:val="00917643"/>
  </w:style>
  <w:style w:type="character" w:customStyle="1" w:styleId="Mention1">
    <w:name w:val="Mention1"/>
    <w:basedOn w:val="DefaultParagraphFont"/>
    <w:uiPriority w:val="99"/>
    <w:unhideWhenUsed/>
    <w:rsid w:val="00D518F3"/>
    <w:rPr>
      <w:color w:val="2B579A"/>
      <w:shd w:val="clear" w:color="auto" w:fill="E6E6E6"/>
    </w:rPr>
  </w:style>
  <w:style w:type="character" w:customStyle="1" w:styleId="findhit">
    <w:name w:val="findhit"/>
    <w:basedOn w:val="DefaultParagraphFont"/>
    <w:rsid w:val="00D518F3"/>
  </w:style>
  <w:style w:type="character" w:customStyle="1" w:styleId="UnresolvedMention1">
    <w:name w:val="Unresolved Mention1"/>
    <w:basedOn w:val="DefaultParagraphFont"/>
    <w:uiPriority w:val="99"/>
    <w:semiHidden/>
    <w:unhideWhenUsed/>
    <w:rsid w:val="00E4146C"/>
    <w:rPr>
      <w:color w:val="605E5C"/>
      <w:shd w:val="clear" w:color="auto" w:fill="E1DFDD"/>
    </w:rPr>
  </w:style>
  <w:style w:type="character" w:customStyle="1" w:styleId="UnresolvedMention2">
    <w:name w:val="Unresolved Mention2"/>
    <w:basedOn w:val="DefaultParagraphFont"/>
    <w:uiPriority w:val="99"/>
    <w:semiHidden/>
    <w:unhideWhenUsed/>
    <w:rsid w:val="00C61F4D"/>
    <w:rPr>
      <w:color w:val="605E5C"/>
      <w:shd w:val="clear" w:color="auto" w:fill="E1DFDD"/>
    </w:rPr>
  </w:style>
  <w:style w:type="character" w:customStyle="1" w:styleId="UnresolvedMention3">
    <w:name w:val="Unresolved Mention3"/>
    <w:basedOn w:val="DefaultParagraphFont"/>
    <w:uiPriority w:val="99"/>
    <w:semiHidden/>
    <w:unhideWhenUsed/>
    <w:rsid w:val="00C42293"/>
    <w:rPr>
      <w:color w:val="605E5C"/>
      <w:shd w:val="clear" w:color="auto" w:fill="E1DFDD"/>
    </w:rPr>
  </w:style>
  <w:style w:type="character" w:customStyle="1" w:styleId="UnresolvedMention4">
    <w:name w:val="Unresolved Mention4"/>
    <w:basedOn w:val="DefaultParagraphFont"/>
    <w:uiPriority w:val="99"/>
    <w:semiHidden/>
    <w:unhideWhenUsed/>
    <w:rsid w:val="00F452EF"/>
    <w:rPr>
      <w:color w:val="605E5C"/>
      <w:shd w:val="clear" w:color="auto" w:fill="E1DFDD"/>
    </w:rPr>
  </w:style>
  <w:style w:type="paragraph" w:styleId="Header">
    <w:name w:val="header"/>
    <w:basedOn w:val="Normal"/>
    <w:link w:val="HeaderChar"/>
    <w:uiPriority w:val="99"/>
    <w:unhideWhenUsed/>
    <w:rsid w:val="003A691C"/>
    <w:pPr>
      <w:tabs>
        <w:tab w:val="center" w:pos="4535"/>
        <w:tab w:val="right" w:pos="9071"/>
      </w:tabs>
      <w:spacing w:before="0"/>
    </w:pPr>
  </w:style>
  <w:style w:type="character" w:customStyle="1" w:styleId="HeaderChar">
    <w:name w:val="Header Char"/>
    <w:basedOn w:val="DefaultParagraphFont"/>
    <w:link w:val="Header"/>
    <w:uiPriority w:val="99"/>
    <w:rsid w:val="003A691C"/>
    <w:rPr>
      <w:rFonts w:ascii="Times New Roman" w:hAnsi="Times New Roman" w:cs="Times New Roman"/>
      <w:sz w:val="24"/>
      <w:lang w:val="it-IT"/>
    </w:rPr>
  </w:style>
  <w:style w:type="paragraph" w:styleId="Footer">
    <w:name w:val="footer"/>
    <w:basedOn w:val="Normal"/>
    <w:link w:val="FooterChar"/>
    <w:uiPriority w:val="99"/>
    <w:unhideWhenUsed/>
    <w:rsid w:val="003A691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A691C"/>
    <w:rPr>
      <w:rFonts w:ascii="Times New Roman" w:hAnsi="Times New Roman" w:cs="Times New Roman"/>
      <w:sz w:val="24"/>
      <w:lang w:val="it-IT"/>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it-IT"/>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it-IT"/>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3A691C"/>
    <w:pPr>
      <w:tabs>
        <w:tab w:val="center" w:pos="7285"/>
        <w:tab w:val="right" w:pos="14003"/>
      </w:tabs>
      <w:spacing w:before="0"/>
    </w:pPr>
  </w:style>
  <w:style w:type="paragraph" w:customStyle="1" w:styleId="FooterLandscape">
    <w:name w:val="FooterLandscape"/>
    <w:basedOn w:val="Normal"/>
    <w:rsid w:val="003A691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3A691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A691C"/>
    <w:pPr>
      <w:spacing w:before="0"/>
      <w:jc w:val="right"/>
    </w:pPr>
    <w:rPr>
      <w:sz w:val="28"/>
    </w:rPr>
  </w:style>
  <w:style w:type="paragraph" w:customStyle="1" w:styleId="FooterSensitivity">
    <w:name w:val="Footer Sensitivity"/>
    <w:basedOn w:val="Normal"/>
    <w:rsid w:val="003A691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9"/>
      </w:numPr>
    </w:pPr>
  </w:style>
  <w:style w:type="paragraph" w:customStyle="1" w:styleId="Tiret1">
    <w:name w:val="Tiret 1"/>
    <w:basedOn w:val="Point1"/>
    <w:rsid w:val="00517205"/>
    <w:pPr>
      <w:numPr>
        <w:numId w:val="40"/>
      </w:numPr>
    </w:pPr>
  </w:style>
  <w:style w:type="paragraph" w:customStyle="1" w:styleId="Tiret2">
    <w:name w:val="Tiret 2"/>
    <w:basedOn w:val="Point2"/>
    <w:rsid w:val="00517205"/>
    <w:pPr>
      <w:numPr>
        <w:numId w:val="41"/>
      </w:numPr>
    </w:pPr>
  </w:style>
  <w:style w:type="paragraph" w:customStyle="1" w:styleId="Tiret3">
    <w:name w:val="Tiret 3"/>
    <w:basedOn w:val="Point3"/>
    <w:rsid w:val="00517205"/>
    <w:pPr>
      <w:numPr>
        <w:numId w:val="42"/>
      </w:numPr>
    </w:pPr>
  </w:style>
  <w:style w:type="paragraph" w:customStyle="1" w:styleId="Tiret4">
    <w:name w:val="Tiret 4"/>
    <w:basedOn w:val="Point4"/>
    <w:rsid w:val="00517205"/>
    <w:pPr>
      <w:numPr>
        <w:numId w:val="43"/>
      </w:numPr>
    </w:pPr>
  </w:style>
  <w:style w:type="paragraph" w:customStyle="1" w:styleId="Tiret5">
    <w:name w:val="Tiret 5"/>
    <w:basedOn w:val="Point5"/>
    <w:rsid w:val="00517205"/>
    <w:pPr>
      <w:numPr>
        <w:numId w:val="44"/>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45"/>
      </w:numPr>
    </w:pPr>
  </w:style>
  <w:style w:type="paragraph" w:customStyle="1" w:styleId="NumPar2">
    <w:name w:val="NumPar 2"/>
    <w:basedOn w:val="Normal"/>
    <w:next w:val="Text1"/>
    <w:rsid w:val="00517205"/>
    <w:pPr>
      <w:numPr>
        <w:ilvl w:val="1"/>
        <w:numId w:val="45"/>
      </w:numPr>
    </w:pPr>
  </w:style>
  <w:style w:type="paragraph" w:customStyle="1" w:styleId="NumPar3">
    <w:name w:val="NumPar 3"/>
    <w:basedOn w:val="Normal"/>
    <w:next w:val="Text1"/>
    <w:rsid w:val="00517205"/>
    <w:pPr>
      <w:numPr>
        <w:ilvl w:val="2"/>
        <w:numId w:val="45"/>
      </w:numPr>
    </w:pPr>
  </w:style>
  <w:style w:type="paragraph" w:customStyle="1" w:styleId="NumPar4">
    <w:name w:val="NumPar 4"/>
    <w:basedOn w:val="Normal"/>
    <w:next w:val="Text1"/>
    <w:rsid w:val="00517205"/>
    <w:pPr>
      <w:numPr>
        <w:ilvl w:val="3"/>
        <w:numId w:val="45"/>
      </w:numPr>
    </w:pPr>
  </w:style>
  <w:style w:type="paragraph" w:customStyle="1" w:styleId="NumPar5">
    <w:name w:val="NumPar 5"/>
    <w:basedOn w:val="Normal"/>
    <w:next w:val="Text2"/>
    <w:rsid w:val="00517205"/>
    <w:pPr>
      <w:numPr>
        <w:ilvl w:val="4"/>
        <w:numId w:val="45"/>
      </w:numPr>
    </w:pPr>
  </w:style>
  <w:style w:type="paragraph" w:customStyle="1" w:styleId="NumPar6">
    <w:name w:val="NumPar 6"/>
    <w:basedOn w:val="Normal"/>
    <w:next w:val="Text2"/>
    <w:rsid w:val="00517205"/>
    <w:pPr>
      <w:numPr>
        <w:ilvl w:val="5"/>
        <w:numId w:val="45"/>
      </w:numPr>
    </w:pPr>
  </w:style>
  <w:style w:type="paragraph" w:customStyle="1" w:styleId="NumPar7">
    <w:name w:val="NumPar 7"/>
    <w:basedOn w:val="Normal"/>
    <w:next w:val="Text2"/>
    <w:rsid w:val="00517205"/>
    <w:pPr>
      <w:numPr>
        <w:ilvl w:val="6"/>
        <w:numId w:val="45"/>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47"/>
      </w:numPr>
    </w:pPr>
  </w:style>
  <w:style w:type="paragraph" w:customStyle="1" w:styleId="Point1number">
    <w:name w:val="Point 1 (number)"/>
    <w:basedOn w:val="Normal"/>
    <w:rsid w:val="00517205"/>
    <w:pPr>
      <w:numPr>
        <w:ilvl w:val="2"/>
        <w:numId w:val="47"/>
      </w:numPr>
    </w:pPr>
  </w:style>
  <w:style w:type="paragraph" w:customStyle="1" w:styleId="Point2number">
    <w:name w:val="Point 2 (number)"/>
    <w:basedOn w:val="Normal"/>
    <w:rsid w:val="00517205"/>
    <w:pPr>
      <w:numPr>
        <w:ilvl w:val="4"/>
        <w:numId w:val="47"/>
      </w:numPr>
    </w:pPr>
  </w:style>
  <w:style w:type="paragraph" w:customStyle="1" w:styleId="Point3number">
    <w:name w:val="Point 3 (number)"/>
    <w:basedOn w:val="Normal"/>
    <w:rsid w:val="00517205"/>
    <w:pPr>
      <w:numPr>
        <w:ilvl w:val="6"/>
        <w:numId w:val="47"/>
      </w:numPr>
    </w:pPr>
  </w:style>
  <w:style w:type="paragraph" w:customStyle="1" w:styleId="Point0letter">
    <w:name w:val="Point 0 (letter)"/>
    <w:basedOn w:val="Normal"/>
    <w:rsid w:val="00517205"/>
    <w:pPr>
      <w:numPr>
        <w:ilvl w:val="1"/>
        <w:numId w:val="47"/>
      </w:numPr>
    </w:pPr>
  </w:style>
  <w:style w:type="paragraph" w:customStyle="1" w:styleId="Point1letter">
    <w:name w:val="Point 1 (letter)"/>
    <w:basedOn w:val="Normal"/>
    <w:rsid w:val="00517205"/>
    <w:pPr>
      <w:numPr>
        <w:ilvl w:val="3"/>
        <w:numId w:val="47"/>
      </w:numPr>
    </w:pPr>
  </w:style>
  <w:style w:type="paragraph" w:customStyle="1" w:styleId="Point2letter">
    <w:name w:val="Point 2 (letter)"/>
    <w:basedOn w:val="Normal"/>
    <w:rsid w:val="00517205"/>
    <w:pPr>
      <w:numPr>
        <w:ilvl w:val="5"/>
        <w:numId w:val="47"/>
      </w:numPr>
    </w:pPr>
  </w:style>
  <w:style w:type="paragraph" w:customStyle="1" w:styleId="Point3letter">
    <w:name w:val="Point 3 (letter)"/>
    <w:basedOn w:val="Normal"/>
    <w:rsid w:val="00517205"/>
    <w:pPr>
      <w:numPr>
        <w:ilvl w:val="7"/>
        <w:numId w:val="47"/>
      </w:numPr>
    </w:pPr>
  </w:style>
  <w:style w:type="paragraph" w:customStyle="1" w:styleId="Point4letter">
    <w:name w:val="Point 4 (letter)"/>
    <w:basedOn w:val="Normal"/>
    <w:rsid w:val="00517205"/>
    <w:pPr>
      <w:numPr>
        <w:ilvl w:val="8"/>
        <w:numId w:val="47"/>
      </w:numPr>
    </w:pPr>
  </w:style>
  <w:style w:type="paragraph" w:customStyle="1" w:styleId="Bullet0">
    <w:name w:val="Bullet 0"/>
    <w:basedOn w:val="Normal"/>
    <w:rsid w:val="00517205"/>
    <w:pPr>
      <w:numPr>
        <w:numId w:val="48"/>
      </w:numPr>
    </w:pPr>
  </w:style>
  <w:style w:type="paragraph" w:customStyle="1" w:styleId="Bullet1">
    <w:name w:val="Bullet 1"/>
    <w:basedOn w:val="Normal"/>
    <w:rsid w:val="00517205"/>
    <w:pPr>
      <w:numPr>
        <w:numId w:val="49"/>
      </w:numPr>
    </w:pPr>
  </w:style>
  <w:style w:type="paragraph" w:customStyle="1" w:styleId="Bullet2">
    <w:name w:val="Bullet 2"/>
    <w:basedOn w:val="Normal"/>
    <w:rsid w:val="00517205"/>
    <w:pPr>
      <w:numPr>
        <w:numId w:val="50"/>
      </w:numPr>
    </w:pPr>
  </w:style>
  <w:style w:type="paragraph" w:customStyle="1" w:styleId="Bullet3">
    <w:name w:val="Bullet 3"/>
    <w:basedOn w:val="Normal"/>
    <w:rsid w:val="00517205"/>
    <w:pPr>
      <w:numPr>
        <w:numId w:val="51"/>
      </w:numPr>
    </w:pPr>
  </w:style>
  <w:style w:type="paragraph" w:customStyle="1" w:styleId="Bullet4">
    <w:name w:val="Bullet 4"/>
    <w:basedOn w:val="Normal"/>
    <w:rsid w:val="00517205"/>
    <w:pPr>
      <w:numPr>
        <w:numId w:val="52"/>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53"/>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86051">
      <w:bodyDiv w:val="1"/>
      <w:marLeft w:val="0"/>
      <w:marRight w:val="0"/>
      <w:marTop w:val="0"/>
      <w:marBottom w:val="0"/>
      <w:divBdr>
        <w:top w:val="none" w:sz="0" w:space="0" w:color="auto"/>
        <w:left w:val="none" w:sz="0" w:space="0" w:color="auto"/>
        <w:bottom w:val="none" w:sz="0" w:space="0" w:color="auto"/>
        <w:right w:val="none" w:sz="0" w:space="0" w:color="auto"/>
      </w:divBdr>
    </w:div>
    <w:div w:id="305554170">
      <w:bodyDiv w:val="1"/>
      <w:marLeft w:val="0"/>
      <w:marRight w:val="0"/>
      <w:marTop w:val="0"/>
      <w:marBottom w:val="0"/>
      <w:divBdr>
        <w:top w:val="none" w:sz="0" w:space="0" w:color="auto"/>
        <w:left w:val="none" w:sz="0" w:space="0" w:color="auto"/>
        <w:bottom w:val="none" w:sz="0" w:space="0" w:color="auto"/>
        <w:right w:val="none" w:sz="0" w:space="0" w:color="auto"/>
      </w:divBdr>
    </w:div>
    <w:div w:id="762842011">
      <w:bodyDiv w:val="1"/>
      <w:marLeft w:val="0"/>
      <w:marRight w:val="0"/>
      <w:marTop w:val="0"/>
      <w:marBottom w:val="0"/>
      <w:divBdr>
        <w:top w:val="none" w:sz="0" w:space="0" w:color="auto"/>
        <w:left w:val="none" w:sz="0" w:space="0" w:color="auto"/>
        <w:bottom w:val="none" w:sz="0" w:space="0" w:color="auto"/>
        <w:right w:val="none" w:sz="0" w:space="0" w:color="auto"/>
      </w:divBdr>
    </w:div>
    <w:div w:id="1395008308">
      <w:bodyDiv w:val="1"/>
      <w:marLeft w:val="0"/>
      <w:marRight w:val="0"/>
      <w:marTop w:val="0"/>
      <w:marBottom w:val="0"/>
      <w:divBdr>
        <w:top w:val="none" w:sz="0" w:space="0" w:color="auto"/>
        <w:left w:val="none" w:sz="0" w:space="0" w:color="auto"/>
        <w:bottom w:val="none" w:sz="0" w:space="0" w:color="auto"/>
        <w:right w:val="none" w:sz="0" w:space="0" w:color="auto"/>
      </w:divBdr>
    </w:div>
    <w:div w:id="1721661369">
      <w:bodyDiv w:val="1"/>
      <w:marLeft w:val="0"/>
      <w:marRight w:val="0"/>
      <w:marTop w:val="0"/>
      <w:marBottom w:val="0"/>
      <w:divBdr>
        <w:top w:val="none" w:sz="0" w:space="0" w:color="auto"/>
        <w:left w:val="none" w:sz="0" w:space="0" w:color="auto"/>
        <w:bottom w:val="none" w:sz="0" w:space="0" w:color="auto"/>
        <w:right w:val="none" w:sz="0" w:space="0" w:color="auto"/>
      </w:divBdr>
    </w:div>
    <w:div w:id="1859543181">
      <w:bodyDiv w:val="1"/>
      <w:marLeft w:val="0"/>
      <w:marRight w:val="0"/>
      <w:marTop w:val="0"/>
      <w:marBottom w:val="0"/>
      <w:divBdr>
        <w:top w:val="none" w:sz="0" w:space="0" w:color="auto"/>
        <w:left w:val="none" w:sz="0" w:space="0" w:color="auto"/>
        <w:bottom w:val="none" w:sz="0" w:space="0" w:color="auto"/>
        <w:right w:val="none" w:sz="0" w:space="0" w:color="auto"/>
      </w:divBdr>
    </w:div>
    <w:div w:id="20543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IT/AUTO/?uri=OJ:L:2014:161:TOC" TargetMode="External"/><Relationship Id="rId2" Type="http://schemas.openxmlformats.org/officeDocument/2006/relationships/hyperlink" Target="https://eur-lex.europa.eu/legal-content/IT/TXT/?uri=CELEX:32022D1201" TargetMode="External"/><Relationship Id="rId1" Type="http://schemas.openxmlformats.org/officeDocument/2006/relationships/hyperlink" Target="https://eu-solidarity-ukraine.ec.europa.eu/eu-assistance-ukraine_it" TargetMode="External"/><Relationship Id="rId5" Type="http://schemas.openxmlformats.org/officeDocument/2006/relationships/hyperlink" Target="https://eur-lex.europa.eu/legal-content/IT/TXT/PDF/?uri=CELEX:52022DC0233&amp;qid=1662139719909&amp;from=IT" TargetMode="External"/><Relationship Id="rId4" Type="http://schemas.openxmlformats.org/officeDocument/2006/relationships/hyperlink" Target="https://eur-lex.europa.eu/eli/dec/2022/313/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6C08CCF0D84043B4E7C315EFB8EAF3" ma:contentTypeVersion="4" ma:contentTypeDescription="Create a new document." ma:contentTypeScope="" ma:versionID="4125c7f30dcb2c0a9fe505d7bda8097e">
  <xsd:schema xmlns:xsd="http://www.w3.org/2001/XMLSchema" xmlns:xs="http://www.w3.org/2001/XMLSchema" xmlns:p="http://schemas.microsoft.com/office/2006/metadata/properties" xmlns:ns2="c7440682-6439-415b-99df-de01877f7c9b" targetNamespace="http://schemas.microsoft.com/office/2006/metadata/properties" ma:root="true" ma:fieldsID="1f6fa727447f79c1797bb80e8c5c0d2a" ns2:_="">
    <xsd:import namespace="c7440682-6439-415b-99df-de01877f7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40682-6439-415b-99df-de01877f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F163B-2269-4D17-A509-C069948CEFB6}">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c7440682-6439-415b-99df-de01877f7c9b"/>
    <ds:schemaRef ds:uri="http://www.w3.org/XML/1998/namespace"/>
  </ds:schemaRefs>
</ds:datastoreItem>
</file>

<file path=customXml/itemProps2.xml><?xml version="1.0" encoding="utf-8"?>
<ds:datastoreItem xmlns:ds="http://schemas.openxmlformats.org/officeDocument/2006/customXml" ds:itemID="{45C630AB-7838-4258-87B0-E0BAB34F3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40682-6439-415b-99df-de01877f7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828A7-1DD5-459E-83E9-81A3D4DF5EDE}">
  <ds:schemaRefs>
    <ds:schemaRef ds:uri="http://schemas.microsoft.com/sharepoint/v3/contenttype/forms"/>
  </ds:schemaRefs>
</ds:datastoreItem>
</file>

<file path=customXml/itemProps4.xml><?xml version="1.0" encoding="utf-8"?>
<ds:datastoreItem xmlns:ds="http://schemas.openxmlformats.org/officeDocument/2006/customXml" ds:itemID="{456255E4-A9AF-43BE-A064-4A89936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75</TotalTime>
  <Pages>49</Pages>
  <Words>18014</Words>
  <Characters>108630</Characters>
  <Application>Microsoft Office Word</Application>
  <DocSecurity>0</DocSecurity>
  <Lines>2468</Lines>
  <Paragraphs>1029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56</cp:revision>
  <cp:lastPrinted>2022-05-25T09:13:00Z</cp:lastPrinted>
  <dcterms:created xsi:type="dcterms:W3CDTF">2022-09-06T20:06:00Z</dcterms:created>
  <dcterms:modified xsi:type="dcterms:W3CDTF">2022-09-08T13:25:00Z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ContentTypeId">
    <vt:lpwstr>0x010100B56C08CCF0D84043B4E7C315EFB8EAF3</vt:lpwstr>
  </property>
  <property fmtid="{D5CDD505-2E9C-101B-9397-08002B2CF9AE}" pid="11" name="MSIP_Label_6bd9ddd1-4d20-43f6-abfa-fc3c07406f94_Enabled">
    <vt:lpwstr>true</vt:lpwstr>
  </property>
  <property fmtid="{D5CDD505-2E9C-101B-9397-08002B2CF9AE}" pid="12" name="MSIP_Label_6bd9ddd1-4d20-43f6-abfa-fc3c07406f94_SetDate">
    <vt:lpwstr>2022-05-21T11:21:05Z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3ff85831-9e9a-4714-af9a-84cc9c166280</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