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B464" w14:textId="773089BB" w:rsidR="002466B5" w:rsidRPr="00AE763B" w:rsidRDefault="00311C30" w:rsidP="00311C30">
      <w:pPr>
        <w:pStyle w:val="Pagedecouverture"/>
        <w:rPr>
          <w:noProof/>
        </w:rPr>
      </w:pPr>
      <w:r>
        <w:rPr>
          <w:noProof/>
        </w:rPr>
        <w:pict w14:anchorId="6B182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58FE260-8FB6-4EF5-BDA8-3AC3D945A99D" style="width:455.25pt;height:456.75pt">
            <v:imagedata r:id="rId8" o:title=""/>
          </v:shape>
        </w:pict>
      </w:r>
    </w:p>
    <w:p w14:paraId="695537D8" w14:textId="77777777" w:rsidR="002466B5" w:rsidRPr="00AE763B" w:rsidRDefault="002466B5" w:rsidP="002466B5">
      <w:pPr>
        <w:rPr>
          <w:noProof/>
        </w:rPr>
        <w:sectPr w:rsidR="002466B5" w:rsidRPr="00AE763B" w:rsidSect="00311C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54C394E" w14:textId="77777777" w:rsidR="002466B5" w:rsidRPr="00AE763B" w:rsidRDefault="002466B5" w:rsidP="002466B5">
      <w:pPr>
        <w:pStyle w:val="Annexetitre"/>
        <w:rPr>
          <w:noProof/>
        </w:rPr>
      </w:pPr>
      <w:r w:rsidRPr="00AE763B">
        <w:rPr>
          <w:noProof/>
        </w:rPr>
        <w:lastRenderedPageBreak/>
        <w:t xml:space="preserve">PRILOG </w:t>
      </w:r>
    </w:p>
    <w:p w14:paraId="583F2506" w14:textId="77777777" w:rsidR="002466B5" w:rsidRPr="00AE763B" w:rsidRDefault="002466B5" w:rsidP="002466B5">
      <w:pPr>
        <w:rPr>
          <w:noProof/>
        </w:rPr>
      </w:pPr>
    </w:p>
    <w:p w14:paraId="097C4028" w14:textId="77777777" w:rsidR="002466B5" w:rsidRPr="00AE763B" w:rsidRDefault="002466B5" w:rsidP="002466B5">
      <w:pPr>
        <w:spacing w:after="0"/>
        <w:rPr>
          <w:b/>
          <w:noProof/>
          <w:szCs w:val="24"/>
        </w:rPr>
      </w:pPr>
      <w:r w:rsidRPr="00AE763B">
        <w:rPr>
          <w:b/>
          <w:noProof/>
        </w:rPr>
        <w:t>ODLUKA BR. X ODBORA ZA TRGOVINU KOREJE I EU-a O IZMJENI PRILOGA 10-A I 10-B SPORAZUMU O SLOBODNOJ TRGOVINI IZMEĐU KOREJE I EU-a</w:t>
      </w:r>
    </w:p>
    <w:p w14:paraId="7EB6045C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27D248B7" w14:textId="77777777" w:rsidR="002466B5" w:rsidRPr="00AE763B" w:rsidRDefault="002466B5" w:rsidP="002466B5">
      <w:pPr>
        <w:spacing w:after="0"/>
        <w:rPr>
          <w:b/>
          <w:noProof/>
          <w:szCs w:val="24"/>
        </w:rPr>
      </w:pPr>
      <w:r w:rsidRPr="00AE763B">
        <w:rPr>
          <w:b/>
          <w:noProof/>
        </w:rPr>
        <w:t>ODBOR ZA TRGOVINU,</w:t>
      </w:r>
    </w:p>
    <w:p w14:paraId="493C61BB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2C7E2730" w14:textId="77777777" w:rsidR="002466B5" w:rsidRPr="00AE763B" w:rsidRDefault="002466B5" w:rsidP="002466B5">
      <w:pPr>
        <w:rPr>
          <w:rFonts w:eastAsia="Malgun Gothic"/>
          <w:noProof/>
        </w:rPr>
      </w:pPr>
      <w:r w:rsidRPr="00AE763B">
        <w:rPr>
          <w:noProof/>
        </w:rPr>
        <w:t xml:space="preserve">uzimajući u obzir Sporazum o slobodnoj trgovini između Republike Koreje (dalje u tekstu „Koreja”), s jedne strane, i Europske unije (dalje u tekstu „EU”) i njezinih država članica, s druge strane, (dalje u tekstu „Sporazum” </w:t>
      </w:r>
      <w:r w:rsidRPr="00AE763B">
        <w:rPr>
          <w:rStyle w:val="highlight"/>
          <w:noProof/>
        </w:rPr>
        <w:t>i</w:t>
      </w:r>
      <w:r w:rsidRPr="00AE763B">
        <w:rPr>
          <w:noProof/>
        </w:rPr>
        <w:t xml:space="preserve"> „stranke”), a posebno njegov članak 10.24. stavak 1., članak 10.25. stavak 1., članak 10.25. stavak 3., članka 15.1. stavak 4. točku (c) i članak 15.5. stavak 2., </w:t>
      </w:r>
    </w:p>
    <w:p w14:paraId="7EB2379F" w14:textId="77777777" w:rsidR="002466B5" w:rsidRPr="00AE763B" w:rsidRDefault="002466B5" w:rsidP="002466B5">
      <w:pPr>
        <w:rPr>
          <w:rFonts w:eastAsia="Malgun Gothic"/>
          <w:noProof/>
        </w:rPr>
      </w:pPr>
      <w:r w:rsidRPr="00AE763B">
        <w:rPr>
          <w:noProof/>
        </w:rPr>
        <w:t>budući da:</w:t>
      </w:r>
    </w:p>
    <w:p w14:paraId="160CD124" w14:textId="77777777" w:rsidR="002466B5" w:rsidRPr="00AE763B" w:rsidRDefault="002466B5" w:rsidP="00032DA2">
      <w:pPr>
        <w:pStyle w:val="Point0number"/>
        <w:numPr>
          <w:ilvl w:val="0"/>
          <w:numId w:val="9"/>
        </w:numPr>
        <w:rPr>
          <w:rFonts w:eastAsia="Malgun Gothic"/>
          <w:noProof/>
        </w:rPr>
      </w:pPr>
      <w:r w:rsidRPr="00AE763B">
        <w:rPr>
          <w:noProof/>
        </w:rPr>
        <w:t>Na temelju članka 15.1. stavka 4. točke (c) Sporazuma, Odbor za trgovinu može razmotriti izmjene Sporazuma ili izmijeniti odredbe Sporazuma u slučajevima koji su jasno predviđeni Sporazumom.</w:t>
      </w:r>
    </w:p>
    <w:p w14:paraId="04C007A8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Člankom 15.5. stavkom 2. Sporazuma predviđeno je da odluku Odbora za trgovinu o izmjeni priloga, dodataka, protokola i napomena tom sporazumu mogu donijeti stranke, u skladu sa svojim primjenjivim zakonskim zahtjevima i postupcima.</w:t>
      </w:r>
    </w:p>
    <w:p w14:paraId="55F266A3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U skladu s člankom 10.24. stavkom 1. Sporazuma, stranke mogu u priloge 10-A i 10-B dodati oznake zemljopisnog podrijetla za zaštitu u skladu s postupkom određenim u članku 10.25.</w:t>
      </w:r>
    </w:p>
    <w:p w14:paraId="4F58544E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Na temelju članka 10.25. stavka 1. Sporazuma, Radna skupina za oznake zemljopisnog podrijetla (dalje u tekstu „Radna skupina”) može davati preporuke i donositi odluke konsenzusom.</w:t>
      </w:r>
    </w:p>
    <w:p w14:paraId="0AA70D0E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Na temelju članka 10.25. stavka 3. Sporazuma, Radna skupina može odlučiti promijeniti priloge 10-A i 10-B kako bi dodala pojedinačne oznake zemljopisnog podrijetla EU-a ili Koreje ili uklonila pojedinačne oznake zemljopisnog podrijetla koje više nisu zaštićene u stranci podrijetla ili koje više ne ispunjavaju uvjete za oznaku zemljopisnog podrijetla u drugoj stranki. Može odlučiti i da upućivanje na zakonodavstvo u Sporazumu treba smatrati upućivanjem na to zakonodavstvo kako je izmijenjeno i zamijenjeno i na snazi na određeni datum nakon stupanju na snagu Sporazuma.</w:t>
      </w:r>
    </w:p>
    <w:p w14:paraId="45AC87F6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Na temelju članka 5.2. Odluke br. 1/2019 Radne skupine EU-a i Koreje za oznake zemljopisnog podrijetla od 17. rujna 2019. o donošenju poslovnika (dalje u tekstu „poslovnik”), Radna skupina može konsenzusom odlučiti donijeti preporuku o dodavanju ili uklanjanju oznaka zemljopisnog podrijetla, o čemu se konačna odluka donosi u okviru Odbora za trgovinu u skladu s člankom 10.21. stavkom 4., člankom 10.24. i člankom 10.25. Sporazuma.</w:t>
      </w:r>
    </w:p>
    <w:p w14:paraId="06E8B2DA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Na temelju članka 5.3. poslovnika iz članka 15.3. stavka 5. i članka 15.5. stavka 2. Sporazuma, Odbor za trgovinu može preuzeti zadaću povjerenu Radnoj skupini za oznake zemljopisnog podrijetla i odlučiti promijeniti priloge 10-A i 10-B, a stranke mogu donijeti odluku koja podliježe njihovim odnosnim primjenjivim zakonskim zahtjevima i postupcima.</w:t>
      </w:r>
    </w:p>
    <w:p w14:paraId="2821F770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lastRenderedPageBreak/>
        <w:t xml:space="preserve">Primjenom članka 10.25. stavka 3. točke (c) Sporazuma, stranke su potvrdile sljedeća pitanja o upućivanjima na zakonodavstvo u Sporazumu: </w:t>
      </w:r>
    </w:p>
    <w:p w14:paraId="3A1E5DE7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Uredba (EZ) br. 110/2008 Europskog parlamenta i Vijeća od 15. siječnja 2008. o definiranju, opisivanju, prezentiranju, označivanju i zaštiti oznaka zemljopisnog podrijetla jakih alkoholnih pića i stavljanju izvan snage Uredbe Vijeća (EEZ) br. 1576/89</w:t>
      </w:r>
      <w:r w:rsidRPr="00EA3CC6">
        <w:rPr>
          <w:rStyle w:val="FootnoteReference"/>
          <w:noProof/>
        </w:rPr>
        <w:footnoteReference w:id="1"/>
      </w:r>
      <w:r w:rsidRPr="00AE763B">
        <w:rPr>
          <w:noProof/>
        </w:rPr>
        <w:t xml:space="preserve"> iz pododjeljka C „Oznake zemljopisnog podrijetla” Sporazuma stavljena je izvan snage 17. travnja 2019. Uredbom (EU) 2019/787 Europskog parlamenta i Vijeća od 17. travnja 2019. o definiranju, opisivanju, prezentiranju i označivanju jakih alkoholnih pića, upotrebi naziva jakih alkoholnih pića u prezentiranju i označivanju drugih prehrambenih proizvoda, zaštiti oznaka zemljopisnog podrijetla za jaka alkoholna pića, upotrebi etilnog alkohola i destilata poljoprivrednog podrijetla u alkoholnim pićima te stavljanju izvan snage Uredbe (EZ) br. 110/2008</w:t>
      </w:r>
      <w:r w:rsidRPr="00EA3CC6">
        <w:rPr>
          <w:rStyle w:val="FootnoteReference"/>
          <w:noProof/>
        </w:rPr>
        <w:footnoteReference w:id="2"/>
      </w:r>
      <w:r w:rsidRPr="00AE763B">
        <w:rPr>
          <w:noProof/>
        </w:rPr>
        <w:t>. Stoga bi upućivanje na Uredbu (EZ) br. 110/2008 u Sporazumu trebalo smatrati upućivanjem na Uredbu (EU) 2019/787.</w:t>
      </w:r>
    </w:p>
    <w:p w14:paraId="3A053512" w14:textId="77777777" w:rsidR="002466B5" w:rsidRPr="00AE763B" w:rsidRDefault="002466B5" w:rsidP="00DE3504">
      <w:pPr>
        <w:pStyle w:val="Point1letter"/>
        <w:rPr>
          <w:noProof/>
          <w:szCs w:val="24"/>
        </w:rPr>
      </w:pPr>
      <w:r w:rsidRPr="00AE763B">
        <w:rPr>
          <w:noProof/>
        </w:rPr>
        <w:t>Uredba Vijeća (EZ) br. 510/2006 od 20. ožujka 2006. o zaštiti oznaka zemljopisnog podrijetla i oznaka izvornosti poljoprivrednih i prehrambenih proizvoda</w:t>
      </w:r>
      <w:r w:rsidRPr="00AE763B">
        <w:rPr>
          <w:rStyle w:val="FootnoteReference"/>
          <w:noProof/>
          <w:szCs w:val="24"/>
        </w:rPr>
        <w:footnoteReference w:id="3"/>
      </w:r>
      <w:r w:rsidRPr="00AE763B">
        <w:rPr>
          <w:noProof/>
        </w:rPr>
        <w:t xml:space="preserve"> iz pododjeljka C „Oznake zemljopisnog podrijetla” stavljena je izvan snage 21. studenoga 2012. Uredbom (EU) br. 1151/2012 Europskog parlamenta i Vijeća od 21. studenoga 2012. o sustavima kvalitete za poljoprivredne i prehrambene proizvode</w:t>
      </w:r>
      <w:r w:rsidRPr="00AE763B">
        <w:rPr>
          <w:rStyle w:val="FootnoteReference"/>
          <w:noProof/>
          <w:szCs w:val="24"/>
        </w:rPr>
        <w:footnoteReference w:id="4"/>
      </w:r>
      <w:r w:rsidRPr="00AE763B">
        <w:rPr>
          <w:noProof/>
        </w:rPr>
        <w:t>. Stoga bi upućivanje na Uredbu (EZ) br. 510/2006 u Sporazumu trebalo smatrati upućivanjem na Uredbu (EU) br. 1151/2012.</w:t>
      </w:r>
    </w:p>
    <w:p w14:paraId="74D1B852" w14:textId="77777777" w:rsidR="002466B5" w:rsidRPr="00AE763B" w:rsidRDefault="002466B5" w:rsidP="00DE3504">
      <w:pPr>
        <w:pStyle w:val="Point1letter"/>
        <w:rPr>
          <w:noProof/>
          <w:szCs w:val="24"/>
        </w:rPr>
      </w:pPr>
      <w:r w:rsidRPr="00AE763B">
        <w:rPr>
          <w:noProof/>
        </w:rPr>
        <w:t>Uredba Vijeća (EEZ) br. 1601/1991 od 10. lipnja 1991. o utvrđivanju općih pravila o određivanju, opisivanju i prezentiranju aromatiziranih vina, aromatiziranih pića na bazi vina i aromatiziranih koktela na bazi vina</w:t>
      </w:r>
      <w:r w:rsidRPr="00AE763B">
        <w:rPr>
          <w:rStyle w:val="FootnoteReference"/>
          <w:noProof/>
          <w:szCs w:val="24"/>
        </w:rPr>
        <w:footnoteReference w:id="5"/>
      </w:r>
      <w:r w:rsidRPr="00AE763B">
        <w:rPr>
          <w:noProof/>
        </w:rPr>
        <w:t xml:space="preserve"> iz pododjeljka C „Oznake zemljopisnog podrijetla” stavljena je izvan snage 26. veljače 2014. Uredbom (EU) br. 251/2014 Europskog parlamenta i Vijeća od 26. veljače 2014. o definiciji, opisivanju, prezentiranju, označivanju i zaštiti oznaka zemljopisnog podrijetla aromatiziranih proizvoda od vina i stavljanju izvan snage Uredbe Vijeća (EEZ) br. 1601/1991</w:t>
      </w:r>
      <w:r w:rsidRPr="00AE763B">
        <w:rPr>
          <w:rStyle w:val="FootnoteReference"/>
          <w:noProof/>
          <w:szCs w:val="24"/>
        </w:rPr>
        <w:footnoteReference w:id="6"/>
      </w:r>
      <w:r w:rsidRPr="00AE763B">
        <w:rPr>
          <w:noProof/>
        </w:rPr>
        <w:t>. Stoga bi upućivanje na Uredbu (EEZ) br. 1601/1991 u Sporazumu trebalo smatrati upućivanjem na Uredbu (EU) br. 251/2014.</w:t>
      </w:r>
    </w:p>
    <w:p w14:paraId="2C991841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Uredba Vijeća (EZ) br. 1493/1999 od 17. svibnja 1999. o zajedničkoj organizaciji tržišta vina</w:t>
      </w:r>
      <w:r w:rsidRPr="00EA3CC6">
        <w:rPr>
          <w:rStyle w:val="FootnoteReference"/>
          <w:noProof/>
        </w:rPr>
        <w:footnoteReference w:id="7"/>
      </w:r>
      <w:r w:rsidRPr="00AE763B">
        <w:rPr>
          <w:noProof/>
        </w:rPr>
        <w:t xml:space="preserve"> iz pododjeljka C „Oznake zemljopisnog podrijetla” stavljena je izvan snage 29. travnja 2008. Uredbom Vijeća (EZ) br. 479/2008 od 29. travnja 2008. o zajedničkoj organizaciji tržišta vina, izmjeni uredbi (EZ) br. 1493/1999, (EZ) br. 1782/2003, (EZ) br. 1290/2005, (EZ) br. 3/2008 i o stavljanju izvan snage uredbi (EEZ) br. 2392/86 i (EZ) br. 1493/1999. Potonja Uredba stavljena je izvan snage Uredbom Vijeća (EZ) br. 491/2009 od 25. svibnja 2009. o izmjeni Uredbe (EZ) br. 1234/2007 o uspostavljanju zajedničke organizacije poljoprivrednih tržišta i o posebnim odredbama za </w:t>
      </w:r>
      <w:r w:rsidRPr="00AE763B">
        <w:rPr>
          <w:noProof/>
        </w:rPr>
        <w:lastRenderedPageBreak/>
        <w:t>određene poljoprivredne proizvode (Uredba o jedinstvenom ZOT-u)</w:t>
      </w:r>
      <w:r w:rsidRPr="00EA3CC6">
        <w:rPr>
          <w:rStyle w:val="FootnoteReference"/>
          <w:noProof/>
        </w:rPr>
        <w:footnoteReference w:id="8"/>
      </w:r>
      <w:r w:rsidRPr="00AE763B">
        <w:rPr>
          <w:noProof/>
        </w:rPr>
        <w:t>, a njezine su odredbe integrirane u Uredbu (EZ) br. 1234/2007 o uspostavljanju zajedničke organizacije poljoprivrednih tržišta i o posebnim odredbama za određene poljoprivredne proizvode</w:t>
      </w:r>
      <w:r w:rsidRPr="00EA3CC6">
        <w:rPr>
          <w:rStyle w:val="FootnoteReference"/>
          <w:noProof/>
        </w:rPr>
        <w:footnoteReference w:id="9"/>
      </w:r>
      <w:r w:rsidRPr="00AE763B">
        <w:rPr>
          <w:noProof/>
        </w:rPr>
        <w:t>. Stoga bi upućivanje na Uredbu (EZ) br. 1493/1999 u Sporazumu trebalo smatrati upućivanjem na Uredbu (EZ) br. 491/2009.</w:t>
      </w:r>
    </w:p>
    <w:p w14:paraId="08442FD6" w14:textId="77777777" w:rsidR="002466B5" w:rsidRPr="00AE763B" w:rsidRDefault="002466B5" w:rsidP="00DE3504">
      <w:pPr>
        <w:pStyle w:val="Point1letter"/>
        <w:rPr>
          <w:rFonts w:eastAsia="Malgun Gothic"/>
          <w:noProof/>
          <w:szCs w:val="24"/>
        </w:rPr>
      </w:pPr>
      <w:r w:rsidRPr="00AE763B">
        <w:rPr>
          <w:noProof/>
        </w:rPr>
        <w:t>Uredba Vijeća (EZ) br. 1234/2007 od 22. listopada 2007. o uspostavljanju zajedničke organizacije poljoprivrednih tržišta i o posebnim odredbama za određene poljoprivredne proizvode (Uredba o jedinstvenom ZOT-u) iz pododjeljka C „Oznake zemljopisnog podrijetla” stavljena je izvan snage 17. prosinca 2013. Uredbom (EU) br. 1308/2013 Europskog parlamenta i Vijeća od 17. prosinca 2013. o uspostavljanju zajedničke organizacije tržišta poljoprivrednih proizvoda i stavljanju izvan snage uredbi Vijeća (EEZ) br. 922/72, (EEZ) br. 234/79, (EZ) br. 1037/2001 i (EZ) br. 1234/2007</w:t>
      </w:r>
      <w:r w:rsidRPr="00AE763B">
        <w:rPr>
          <w:rStyle w:val="FootnoteReference"/>
          <w:noProof/>
          <w:szCs w:val="24"/>
        </w:rPr>
        <w:footnoteReference w:id="10"/>
      </w:r>
      <w:r w:rsidRPr="00AE763B">
        <w:rPr>
          <w:noProof/>
        </w:rPr>
        <w:t>. Stoga bi upućivanje na Uredbu (EZ) br. 1234/2007 u Sporazumu trebalo smatrati upućivanjem na Uredbu (EU) br. 1308/2013.</w:t>
      </w:r>
    </w:p>
    <w:p w14:paraId="3AEBDD63" w14:textId="77777777" w:rsidR="002466B5" w:rsidRPr="00AE763B" w:rsidRDefault="002466B5" w:rsidP="00DE3504">
      <w:pPr>
        <w:pStyle w:val="Point1letter"/>
        <w:rPr>
          <w:noProof/>
          <w:szCs w:val="24"/>
        </w:rPr>
      </w:pPr>
      <w:r w:rsidRPr="00AE763B">
        <w:rPr>
          <w:noProof/>
        </w:rPr>
        <w:t>Izmijenjen je korejski Zakon o kontroli kvalitete poljoprivrednih proizvoda (Zakon br. 9759, 9. lipnja 2009.) iz pododjeljka C „Oznake zemljopisnog podrijetla” Od 21. prosinca 2021. primjenjuje se Zakon o kontroli kvalitete poljoprivrednih proizvoda i proizvoda ribarstva (Zakon br. 18599, 21. prosinca 2021.)</w:t>
      </w:r>
      <w:r w:rsidRPr="00AE763B">
        <w:rPr>
          <w:rStyle w:val="FootnoteReference"/>
          <w:noProof/>
          <w:szCs w:val="24"/>
        </w:rPr>
        <w:footnoteReference w:id="11"/>
      </w:r>
      <w:r w:rsidRPr="00AE763B">
        <w:rPr>
          <w:noProof/>
        </w:rPr>
        <w:t>. Stoga bi upućivanje na Zakon o kontroli kvalitete poljoprivrednih proizvoda (Zakon br. 9759, 9. lipnja 2009.) u Sporazumu trebalo smatrati upućivanjem na Zakon o kontroli kvalitete poljoprivrednih proizvoda i proizvoda ribarstva (Zakon br. 18599, 21. prosinca 2021.).</w:t>
      </w:r>
    </w:p>
    <w:p w14:paraId="05990519" w14:textId="77777777" w:rsidR="002466B5" w:rsidRPr="00AE763B" w:rsidRDefault="002466B5" w:rsidP="00DE3504">
      <w:pPr>
        <w:pStyle w:val="Point1letter"/>
        <w:rPr>
          <w:noProof/>
          <w:szCs w:val="24"/>
        </w:rPr>
      </w:pPr>
      <w:r w:rsidRPr="00AE763B">
        <w:rPr>
          <w:noProof/>
        </w:rPr>
        <w:t>Izmijenjen je korejski Zakon o porezu na alkoholna pića (Zakon br. 8852, 29. veljače 2008.) iz pododjeljka C „Oznake zemljopisnog podrijetla”. Odredbe o administrativnim postupcima za proizvodnju i prodaju itd. alkoholnih pića uvrštene su u Zakon o dozvoli za posluživanje alkoholnih pića (neslužbeni prijevod/Zakon br. 17761, 29. prosinca 2020.) 1. siječnja 2021. i od tad se primjenjuju</w:t>
      </w:r>
      <w:r w:rsidRPr="00AE763B">
        <w:rPr>
          <w:rStyle w:val="FootnoteReference"/>
          <w:noProof/>
          <w:szCs w:val="24"/>
        </w:rPr>
        <w:footnoteReference w:id="12"/>
      </w:r>
      <w:r w:rsidRPr="00AE763B">
        <w:rPr>
          <w:noProof/>
        </w:rPr>
        <w:t>. Zakon o porezu na alkoholna pića (Zakon br. 18593, 21. prosinca 2021.)</w:t>
      </w:r>
      <w:r w:rsidRPr="00AE763B">
        <w:rPr>
          <w:rStyle w:val="FootnoteReference"/>
          <w:noProof/>
          <w:szCs w:val="24"/>
        </w:rPr>
        <w:footnoteReference w:id="13"/>
      </w:r>
      <w:r w:rsidRPr="00AE763B">
        <w:rPr>
          <w:noProof/>
        </w:rPr>
        <w:t xml:space="preserve"> i Zakon o dozvoli za posluživanje alkoholnih pića (Zakon br. 18723, 6. siječnja 2022.)</w:t>
      </w:r>
      <w:r w:rsidRPr="00AE763B">
        <w:rPr>
          <w:rStyle w:val="FootnoteReference"/>
          <w:noProof/>
          <w:szCs w:val="24"/>
        </w:rPr>
        <w:footnoteReference w:id="14"/>
      </w:r>
      <w:r w:rsidRPr="00AE763B">
        <w:rPr>
          <w:noProof/>
        </w:rPr>
        <w:t xml:space="preserve"> primjenjuju se od siječnja 2022. Stoga bi upućivanje na Zakon o porezu na alkoholna pića (Zakon br. 8852, 29. veljače 2008.) u Sporazumu trebalo smatrati upućivanjem na Zakon o porezu na alkoholna pića (Zakon br. 18593, 21. prosinca 2021.) i Zakon o dozvoli za posluživanje alkoholnih pića (Zakon br. 18723, 6. siječnja 2022.).</w:t>
      </w:r>
    </w:p>
    <w:p w14:paraId="5A65334C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Stranke su se dogovorile da će u priloge 10-A i 10-B dodati 44 EU-ove oznake zemljopisnog podrijetla i 41 korejsku oznaku zemljopisnog podrijetla, i to sljedećim postupkom:</w:t>
      </w:r>
    </w:p>
    <w:p w14:paraId="776DD2AF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lastRenderedPageBreak/>
        <w:t>Na sedmom sastanku Radne skupine, koji je održan 6. studenoga 2019. u Seoulu, stranke su raspravljale o načinima izmjene priloga 10-A i 10-B Sporazumu na temelju članka 10.24. i članka 10.25. stavka 3. te su se dogovorile da će s raspravom nastaviti u nadolazećim mjesecima u okviru sljedećeg sastanka Radne skupine u cilju postizanja dogovora o dodavanju novih oznaka zemljopisnog podrijetla.</w:t>
      </w:r>
    </w:p>
    <w:p w14:paraId="4B3868E0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Na temelju zahtjeva stranaka i na temelju članka 10.18. stavaka 3. i 4. te članaka 10.24. i 10.25. Sporazuma, EU je dovršio podnošenja prigovora i provjeru 41 korejske oznake zemljopisnog podrijetla. Koreja je dovršila postupak podnošenja prigovora i provjeru 44 EU-ovih oznaka zemljopisnog podrijetla.</w:t>
      </w:r>
    </w:p>
    <w:p w14:paraId="4E1C4964" w14:textId="77777777" w:rsidR="002466B5" w:rsidRPr="00AE763B" w:rsidRDefault="002466B5" w:rsidP="00EA3CC6">
      <w:pPr>
        <w:pStyle w:val="Point0number"/>
        <w:rPr>
          <w:noProof/>
          <w:szCs w:val="24"/>
        </w:rPr>
      </w:pPr>
      <w:r w:rsidRPr="00AE763B">
        <w:rPr>
          <w:noProof/>
        </w:rPr>
        <w:t>Stranke su se dogovorile ukloniti tri EU-ove oznake zemljopisnog podrijetla i četiri korejske oznake zemljopisnog podrijetla iz priloga 10-A i 10-B, i to sljedećim postupkom:</w:t>
      </w:r>
    </w:p>
    <w:p w14:paraId="2E387060" w14:textId="77777777" w:rsidR="002466B5" w:rsidRPr="00AE763B" w:rsidRDefault="002466B5" w:rsidP="00DE3504">
      <w:pPr>
        <w:pStyle w:val="Point1letter"/>
        <w:rPr>
          <w:noProof/>
          <w:szCs w:val="24"/>
        </w:rPr>
      </w:pPr>
      <w:r w:rsidRPr="00AE763B">
        <w:rPr>
          <w:noProof/>
        </w:rPr>
        <w:t>EU je 25. listopada 2016. obavijestio Koreju o prestanku zaštite španjolske oznake zemljopisnog podrijetla i zatražio je uklanjanje naziva „Pacharán” iz Priloga 10-B Sporazumu, u skladu s člankom 10.25. stavkom 3. točkom (b), jer taj naziv više nije zaštićen u EU-u.</w:t>
      </w:r>
    </w:p>
    <w:p w14:paraId="463BCDB2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Nakon što je pregledao svoje oznake zemljopisnog podrijetla zaštićene prema Sporazumu i s obzirom na Uredbu Komisije (EU) 2019/674 od 29. travnja 2019. o izmjeni Priloga III. Uredbi (EZ) br. 110/2008 Europskog parlamenta i Vijeća o definiranju, opisivanju, prezentiranju, označivanju i zaštiti oznaka zemljopisnog podrijetla jakih alkoholnih pića</w:t>
      </w:r>
      <w:r w:rsidRPr="005C156D">
        <w:rPr>
          <w:rStyle w:val="FootnoteReference"/>
          <w:rFonts w:eastAsia="Malgun Gothic"/>
          <w:b/>
          <w:noProof/>
        </w:rPr>
        <w:footnoteReference w:id="15"/>
      </w:r>
      <w:r w:rsidRPr="00AE763B">
        <w:rPr>
          <w:noProof/>
        </w:rPr>
        <w:t>, EU je u studenome 2020. zatražio uklanjanje naziva „Polish Cherry” iz Priloga 10-B Sporazumu, u skladu s člankom 10.25. stavkom 3. točkom (b), jer taj naziv više nije zaštićen u EU-u.</w:t>
      </w:r>
    </w:p>
    <w:p w14:paraId="7F4EEFB1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Koreja je 15. ožujka 2021. priopćila i zatražila uklanjanje oznaka zemljopisnog podrijetla „Muan White Lotus Tea (</w:t>
      </w:r>
      <w:r w:rsidRPr="00AE763B">
        <w:rPr>
          <w:rFonts w:ascii="Malgun Gothic" w:eastAsia="Malgun Gothic" w:hAnsi="Malgun Gothic" w:cs="Malgun Gothic" w:hint="eastAsia"/>
          <w:noProof/>
        </w:rPr>
        <w:t>무안백련차</w:t>
      </w:r>
      <w:r w:rsidRPr="00AE763B">
        <w:rPr>
          <w:noProof/>
        </w:rPr>
        <w:t>)” i „Cheongyang Powdered Hot Pepper (</w:t>
      </w:r>
      <w:r w:rsidRPr="00AE763B">
        <w:rPr>
          <w:rFonts w:ascii="Malgun Gothic" w:eastAsia="Malgun Gothic" w:hAnsi="Malgun Gothic" w:cs="Malgun Gothic" w:hint="eastAsia"/>
          <w:noProof/>
        </w:rPr>
        <w:t>청양고춧가루</w:t>
      </w:r>
      <w:r w:rsidRPr="00AE763B">
        <w:rPr>
          <w:noProof/>
        </w:rPr>
        <w:t>)” s popisa korejskih oznaka zemljopisnog podrijetla u Dijelu B Priloga 10-A Sporazumu, u skladu s člankom 10.25. stavkom 3. točkom (b), jer te oznake više nisu zaštićene u Koreji.</w:t>
      </w:r>
    </w:p>
    <w:p w14:paraId="124E44D3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Nakon povlačenja Ujedinjene Kraljevine iz Unije od 1. siječnja 2021., stranke su na tehničkom (virtualnom) sastanku održanom 16. ožujka 2021. potvrdile da bi oznaku zemljopisnog podrijetla „Scotch Whisky” trebalo ukloniti s popisa naziva iz Priloga 10-B Sporazumu.</w:t>
      </w:r>
    </w:p>
    <w:p w14:paraId="5FB31F4D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>Koreja je na devetom sastanku Radne skupine održanom 8. prosinca 2021. priopćila i zatražila uklanjanje oznaka zemljopisnog podrijetla „Seosan Garlic (</w:t>
      </w:r>
      <w:r w:rsidRPr="00AE763B">
        <w:rPr>
          <w:rFonts w:ascii="Malgun Gothic" w:eastAsia="Malgun Gothic" w:hAnsi="Malgun Gothic" w:cs="Malgun Gothic" w:hint="eastAsia"/>
          <w:noProof/>
        </w:rPr>
        <w:t>서산마늘</w:t>
      </w:r>
      <w:r w:rsidRPr="00AE763B">
        <w:rPr>
          <w:noProof/>
        </w:rPr>
        <w:t>)” i „Yeoju Sweet Potato (</w:t>
      </w:r>
      <w:r w:rsidRPr="00AE763B">
        <w:rPr>
          <w:rFonts w:ascii="Malgun Gothic" w:eastAsia="Malgun Gothic" w:hAnsi="Malgun Gothic" w:cs="Malgun Gothic" w:hint="eastAsia"/>
          <w:noProof/>
        </w:rPr>
        <w:t>여주고구마</w:t>
      </w:r>
      <w:r w:rsidRPr="00AE763B">
        <w:rPr>
          <w:noProof/>
        </w:rPr>
        <w:t>)” s popisa korejskih oznaka zemljopisnog podrijetla u Dijelu B Priloga 10-A Sporazumu, u skladu s člankom 10.25. stavkom 3. točkom (b), jer te oznake više nisu zaštićene u Koreji.</w:t>
      </w:r>
    </w:p>
    <w:p w14:paraId="75C4C634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 xml:space="preserve">Stranke su se dogovorile zamijeniti četiri EU-ove oznake zemljopisnog podrijetla iz Priloga 10-A Sporazumu čiji su se nazivi promijenili ažuriranjem pripadajućih oznaka zemljopisnog podrijetla, i to sljedećim postupkom: </w:t>
      </w:r>
    </w:p>
    <w:p w14:paraId="18F4B50D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lastRenderedPageBreak/>
        <w:t>EU je 13. srpnja 2017. obavijestio Koreju da su se promijenili nazivi četiriju oznaka zemljopisnog podrijetla zaštićenih prema Sporazumu</w:t>
      </w:r>
      <w:r w:rsidRPr="005C156D">
        <w:rPr>
          <w:rStyle w:val="FootnoteReference"/>
          <w:rFonts w:eastAsia="Malgun Gothic"/>
          <w:b/>
          <w:noProof/>
        </w:rPr>
        <w:footnoteReference w:id="16"/>
      </w:r>
      <w:r w:rsidRPr="00AE763B">
        <w:rPr>
          <w:noProof/>
        </w:rPr>
        <w:t xml:space="preserve">. EU je predložio ažuriranje odgovarajućih naziva i prijepisa iz popisa EU-ovih oznaka zemljopisnog podrijetla koje su zaštićene u Koreji. </w:t>
      </w:r>
    </w:p>
    <w:p w14:paraId="7ED26672" w14:textId="77777777" w:rsidR="002466B5" w:rsidRPr="00AE763B" w:rsidRDefault="002466B5" w:rsidP="00DE3504">
      <w:pPr>
        <w:pStyle w:val="Point1letter"/>
        <w:rPr>
          <w:rFonts w:eastAsia="Malgun Gothic"/>
          <w:noProof/>
        </w:rPr>
      </w:pPr>
      <w:r w:rsidRPr="00AE763B">
        <w:rPr>
          <w:noProof/>
        </w:rPr>
        <w:t xml:space="preserve">EU je u istom priopćenju zatražio da se oznaka zemljopisnog podrijetla „Originali lietuviška degtinė/vodka lituanienne originale”, za koju je predloženo da se doda u Prilog 10-B, promijeni u „Originali lietuviška degtinė/Original Lithuanian vodka” (prijepis: </w:t>
      </w:r>
      <w:r w:rsidRPr="00AE763B">
        <w:rPr>
          <w:rFonts w:ascii="Malgun Gothic" w:eastAsia="Malgun Gothic" w:hAnsi="Malgun Gothic" w:cs="Malgun Gothic" w:hint="eastAsia"/>
          <w:noProof/>
        </w:rPr>
        <w:t>오리지널</w:t>
      </w:r>
      <w:r w:rsidRPr="00AE763B">
        <w:rPr>
          <w:noProof/>
        </w:rPr>
        <w:t xml:space="preserve"> </w:t>
      </w:r>
      <w:r w:rsidRPr="00AE763B">
        <w:rPr>
          <w:rFonts w:ascii="Malgun Gothic" w:eastAsia="Malgun Gothic" w:hAnsi="Malgun Gothic" w:cs="Malgun Gothic" w:hint="eastAsia"/>
          <w:noProof/>
        </w:rPr>
        <w:t>리투아니아</w:t>
      </w:r>
      <w:r w:rsidRPr="00AE763B">
        <w:rPr>
          <w:noProof/>
        </w:rPr>
        <w:t xml:space="preserve"> </w:t>
      </w:r>
      <w:r w:rsidRPr="00AE763B">
        <w:rPr>
          <w:rFonts w:ascii="Malgun Gothic" w:eastAsia="Malgun Gothic" w:hAnsi="Malgun Gothic" w:cs="Malgun Gothic" w:hint="eastAsia"/>
          <w:noProof/>
        </w:rPr>
        <w:t>보드카</w:t>
      </w:r>
      <w:r w:rsidRPr="00AE763B">
        <w:rPr>
          <w:noProof/>
        </w:rPr>
        <w:t>).</w:t>
      </w:r>
    </w:p>
    <w:p w14:paraId="68B1227E" w14:textId="77777777" w:rsidR="002466B5" w:rsidRPr="00AE763B" w:rsidRDefault="002466B5" w:rsidP="00EA3CC6">
      <w:pPr>
        <w:pStyle w:val="Point0number"/>
        <w:rPr>
          <w:rFonts w:eastAsia="Malgun Gothic"/>
          <w:noProof/>
        </w:rPr>
      </w:pPr>
      <w:r w:rsidRPr="00AE763B">
        <w:rPr>
          <w:noProof/>
        </w:rPr>
        <w:t>Na temelju članka 12.2. Priloga Odluci br. 1 Odbora za trgovinu EU-a i Koreje od 23. prosinca 2011. o donošenju poslovnika Odbora za trgovinu</w:t>
      </w:r>
      <w:r w:rsidRPr="005C156D">
        <w:rPr>
          <w:rStyle w:val="FootnoteReference"/>
          <w:rFonts w:eastAsia="Malgun Gothic"/>
          <w:b/>
          <w:noProof/>
        </w:rPr>
        <w:footnoteReference w:id="17"/>
      </w:r>
      <w:r w:rsidRPr="00AE763B">
        <w:rPr>
          <w:noProof/>
        </w:rPr>
        <w:t>, Odbor za trgovinu može u razdoblju između svojih sastanaka donositi odluke pisanim postupkom ako su s time suglasne obje stranke. Pisani postupak sastojao bi se od razmjene nota između predsjedavajućih Odbora za trgovinu.</w:t>
      </w:r>
    </w:p>
    <w:p w14:paraId="6E851802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02F6F593" w14:textId="77777777" w:rsidR="002466B5" w:rsidRPr="00AE763B" w:rsidRDefault="002466B5" w:rsidP="002466B5">
      <w:pPr>
        <w:spacing w:after="0"/>
        <w:rPr>
          <w:noProof/>
          <w:szCs w:val="24"/>
        </w:rPr>
      </w:pPr>
      <w:r w:rsidRPr="00AE763B">
        <w:rPr>
          <w:noProof/>
        </w:rPr>
        <w:t>DONIJELO JE OVU ODLUKU:</w:t>
      </w:r>
    </w:p>
    <w:p w14:paraId="5737AACB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0DA015E7" w14:textId="77777777" w:rsidR="002466B5" w:rsidRPr="00AE763B" w:rsidRDefault="002466B5" w:rsidP="002466B5">
      <w:pPr>
        <w:jc w:val="center"/>
        <w:rPr>
          <w:i/>
          <w:noProof/>
          <w:szCs w:val="24"/>
        </w:rPr>
      </w:pPr>
      <w:r w:rsidRPr="00AE763B">
        <w:rPr>
          <w:i/>
          <w:noProof/>
        </w:rPr>
        <w:t>Članak 1.</w:t>
      </w:r>
    </w:p>
    <w:p w14:paraId="5174F577" w14:textId="77777777" w:rsidR="002466B5" w:rsidRPr="00AE763B" w:rsidRDefault="002466B5" w:rsidP="002466B5">
      <w:pPr>
        <w:ind w:left="284"/>
        <w:rPr>
          <w:noProof/>
          <w:szCs w:val="24"/>
        </w:rPr>
      </w:pPr>
      <w:r w:rsidRPr="00AE763B">
        <w:rPr>
          <w:noProof/>
        </w:rPr>
        <w:t>Upućivanja na zakonodavstvo EU-a i Koreje u poglavlju 10. odjeljku B pododjeljku C „Oznake zemljopisnog podrijetla” bilješkama 51., 53., 54. i 55. u verziji Sporazuma objavljenoj u EU-u ili istovjetnim bilješkama 2., 4., 5. i 6. u verziji Sporazuma objavljenoj u Koreji</w:t>
      </w:r>
      <w:r w:rsidRPr="00AE763B">
        <w:rPr>
          <w:rStyle w:val="FootnoteReference"/>
          <w:noProof/>
          <w:szCs w:val="24"/>
        </w:rPr>
        <w:footnoteReference w:id="18"/>
      </w:r>
      <w:r w:rsidRPr="00AE763B">
        <w:rPr>
          <w:noProof/>
        </w:rPr>
        <w:t xml:space="preserve"> smatraju se upućivanjima na to zakonodavstvo kako je izmijenjeno ili zamijenjeno u skladu s Prilogom I. ovoj Odluci.</w:t>
      </w:r>
    </w:p>
    <w:p w14:paraId="0EF9B910" w14:textId="77777777" w:rsidR="002466B5" w:rsidRPr="00AE763B" w:rsidRDefault="002466B5" w:rsidP="002466B5">
      <w:pPr>
        <w:jc w:val="center"/>
        <w:rPr>
          <w:i/>
          <w:noProof/>
          <w:szCs w:val="24"/>
        </w:rPr>
      </w:pPr>
    </w:p>
    <w:p w14:paraId="1D3D64B2" w14:textId="77777777" w:rsidR="002466B5" w:rsidRPr="00AE763B" w:rsidRDefault="002466B5" w:rsidP="002466B5">
      <w:pPr>
        <w:jc w:val="center"/>
        <w:rPr>
          <w:i/>
          <w:noProof/>
          <w:szCs w:val="24"/>
        </w:rPr>
      </w:pPr>
      <w:r w:rsidRPr="00AE763B">
        <w:rPr>
          <w:i/>
          <w:noProof/>
        </w:rPr>
        <w:t>Članak 2.</w:t>
      </w:r>
    </w:p>
    <w:p w14:paraId="574CB7E3" w14:textId="77777777" w:rsidR="002466B5" w:rsidRPr="00AE763B" w:rsidRDefault="002466B5" w:rsidP="002466B5">
      <w:pPr>
        <w:rPr>
          <w:noProof/>
          <w:szCs w:val="24"/>
        </w:rPr>
      </w:pPr>
      <w:r w:rsidRPr="00AE763B">
        <w:rPr>
          <w:noProof/>
        </w:rPr>
        <w:t xml:space="preserve">Prilozi 10-A i 10-B Sporazumu mijenjaju se kako slijedi: </w:t>
      </w:r>
    </w:p>
    <w:p w14:paraId="35375449" w14:textId="77777777" w:rsidR="002466B5" w:rsidRPr="00AE763B" w:rsidRDefault="002466B5" w:rsidP="002466B5">
      <w:pPr>
        <w:spacing w:after="0"/>
        <w:jc w:val="center"/>
        <w:rPr>
          <w:i/>
          <w:noProof/>
          <w:szCs w:val="24"/>
        </w:rPr>
      </w:pPr>
    </w:p>
    <w:p w14:paraId="26A93FAD" w14:textId="77777777" w:rsidR="002466B5" w:rsidRPr="005C156D" w:rsidRDefault="002466B5" w:rsidP="00032DA2">
      <w:pPr>
        <w:pStyle w:val="Point0number"/>
        <w:numPr>
          <w:ilvl w:val="0"/>
          <w:numId w:val="10"/>
        </w:numPr>
        <w:rPr>
          <w:noProof/>
          <w:szCs w:val="24"/>
        </w:rPr>
      </w:pPr>
      <w:r w:rsidRPr="00AE763B">
        <w:rPr>
          <w:noProof/>
        </w:rPr>
        <w:t xml:space="preserve">oznake zemljopisnog podrijetla navedene u Prilogu II. ovoj Odluci dodaju se na odgovarajući popis oznaka zemljopisnog podrijetla predmetne države članice u dijelu A Priloga 10-A Sporazumu;    </w:t>
      </w:r>
    </w:p>
    <w:p w14:paraId="45FC8A71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0457EC8B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 xml:space="preserve">oznake zemljopisnog podrijetla navedene u Prilogu III. ovoj Odluci dodaju se na odgovarajući popis oznaka zemljopisnog podrijetla Koreje u dijelu B Priloga 10-A Sporazumu; </w:t>
      </w:r>
    </w:p>
    <w:p w14:paraId="3C1A3BA8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lastRenderedPageBreak/>
        <w:t xml:space="preserve">oznake zemljopisnog podrijetla navedene u Prilogu IV. ovoj Odluci dodaju se na odgovarajući popis oznaka zemljopisnog podrijetla predmetne države članice u odjeljcima 1. i 2. dijela A Priloga 10-B Sporazumu;  </w:t>
      </w:r>
    </w:p>
    <w:p w14:paraId="556F677C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 xml:space="preserve">oznake zemljopisnog podrijetla navedene u Prilogu V. ovoj Odluci dodaju se na odgovarajući popis oznaka zemljopisnog podrijetla Koreje u dijelu B Priloga 10-B Sporazumu; </w:t>
      </w:r>
    </w:p>
    <w:p w14:paraId="2DE1D684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>oznake zemljopisnog podrijetla „Pacharán” (Španjolska), „Polska Wiśniówka/Polish Cherry” (Poljska) i „Scotch Whisky” (Ujedinjena Kraljevina) uklanjaju se s popisa oznaka zemljopisnog podrijetla u odjeljku 2. dijela A Priloga 10-B Sporazumu;</w:t>
      </w:r>
    </w:p>
    <w:p w14:paraId="4BEF50F5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>oznake zemljopisnog podrijetla „Seosan Garlic (</w:t>
      </w:r>
      <w:r w:rsidRPr="00AE763B">
        <w:rPr>
          <w:rFonts w:ascii="Malgun Gothic" w:eastAsia="Malgun Gothic" w:hAnsi="Malgun Gothic" w:cs="Malgun Gothic" w:hint="eastAsia"/>
          <w:noProof/>
        </w:rPr>
        <w:t>서산마늘</w:t>
      </w:r>
      <w:r w:rsidRPr="00AE763B">
        <w:rPr>
          <w:noProof/>
        </w:rPr>
        <w:t>)”, „Muan White Lotus Tea (</w:t>
      </w:r>
      <w:r w:rsidRPr="00AE763B">
        <w:rPr>
          <w:rFonts w:ascii="Malgun Gothic" w:eastAsia="Malgun Gothic" w:hAnsi="Malgun Gothic" w:cs="Malgun Gothic" w:hint="eastAsia"/>
          <w:noProof/>
        </w:rPr>
        <w:t>무안백련차</w:t>
      </w:r>
      <w:r w:rsidRPr="00AE763B">
        <w:rPr>
          <w:noProof/>
        </w:rPr>
        <w:t>)”, „Cheongyang Powdered Hot Pepper (</w:t>
      </w:r>
      <w:r w:rsidRPr="00AE763B">
        <w:rPr>
          <w:rFonts w:ascii="Malgun Gothic" w:eastAsia="Malgun Gothic" w:hAnsi="Malgun Gothic" w:cs="Malgun Gothic" w:hint="eastAsia"/>
          <w:noProof/>
        </w:rPr>
        <w:t>청양고춧가루</w:t>
      </w:r>
      <w:r w:rsidRPr="00AE763B">
        <w:rPr>
          <w:noProof/>
        </w:rPr>
        <w:t>)” i „Yeoju Sweet Potato (</w:t>
      </w:r>
      <w:r w:rsidRPr="00AE763B">
        <w:rPr>
          <w:rFonts w:ascii="Malgun Gothic" w:eastAsia="Malgun Gothic" w:hAnsi="Malgun Gothic" w:cs="Malgun Gothic" w:hint="eastAsia"/>
          <w:noProof/>
        </w:rPr>
        <w:t>여주고구마</w:t>
      </w:r>
      <w:r w:rsidRPr="00AE763B">
        <w:rPr>
          <w:noProof/>
        </w:rPr>
        <w:t>)” uklanjaju se s popisa oznaka zemljopisnog podrijetla Koreje u dijelu B Priloga 10-A Sporazumu; i</w:t>
      </w:r>
    </w:p>
    <w:p w14:paraId="37019A06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 xml:space="preserve">oznake zemljopisnog podrijetla čiji su se nazivi promijenili na popisu oznaka zemljopisnog podrijetla predmetne države članice EU-a u dijelu A Priloga 10-A Sporazumu zamjenjuju se odgovarajućim oznakama zemljopisnog podrijetla navedenima u Prilogu VI. ovoj Odluci. </w:t>
      </w:r>
    </w:p>
    <w:p w14:paraId="537EBBE9" w14:textId="77777777" w:rsidR="002466B5" w:rsidRPr="00AE763B" w:rsidRDefault="002466B5" w:rsidP="002466B5">
      <w:pPr>
        <w:spacing w:after="0"/>
        <w:jc w:val="center"/>
        <w:rPr>
          <w:i/>
          <w:noProof/>
          <w:szCs w:val="24"/>
        </w:rPr>
      </w:pPr>
      <w:r w:rsidRPr="00AE763B">
        <w:rPr>
          <w:i/>
          <w:noProof/>
        </w:rPr>
        <w:t>Članak 3.</w:t>
      </w:r>
    </w:p>
    <w:p w14:paraId="3FFBAA6B" w14:textId="77777777" w:rsidR="002466B5" w:rsidRPr="00AE763B" w:rsidRDefault="002466B5" w:rsidP="002466B5">
      <w:pPr>
        <w:jc w:val="center"/>
        <w:rPr>
          <w:i/>
          <w:noProof/>
          <w:szCs w:val="24"/>
        </w:rPr>
      </w:pPr>
    </w:p>
    <w:p w14:paraId="34C59D5E" w14:textId="77777777" w:rsidR="002466B5" w:rsidRPr="00AE763B" w:rsidRDefault="002466B5" w:rsidP="002466B5">
      <w:pPr>
        <w:rPr>
          <w:noProof/>
          <w:szCs w:val="24"/>
        </w:rPr>
      </w:pPr>
      <w:r w:rsidRPr="00AE763B">
        <w:rPr>
          <w:noProof/>
        </w:rPr>
        <w:t>Ova Odluka stupa na snagu prvog dana u mjesecu koji slijedi nakon datuma na koji stranke diplomatskim putem razmijene pisane obavijesti kojima se potvrđuje da su dovršile svoje odgovarajuće pravne zahtjeve i postupke koji su potrebni za njezino stupanje na snagu.</w:t>
      </w:r>
    </w:p>
    <w:p w14:paraId="1C32F877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6A72B47C" w14:textId="77777777" w:rsidR="002466B5" w:rsidRPr="00AE763B" w:rsidRDefault="002466B5" w:rsidP="002466B5">
      <w:pPr>
        <w:spacing w:after="0"/>
        <w:rPr>
          <w:noProof/>
          <w:szCs w:val="24"/>
        </w:rPr>
      </w:pPr>
    </w:p>
    <w:p w14:paraId="4D82EF49" w14:textId="77777777" w:rsidR="002466B5" w:rsidRPr="00AE763B" w:rsidRDefault="002466B5" w:rsidP="002466B5">
      <w:pPr>
        <w:spacing w:after="0"/>
        <w:rPr>
          <w:noProof/>
          <w:szCs w:val="24"/>
        </w:rPr>
      </w:pPr>
      <w:r w:rsidRPr="00AE763B">
        <w:rPr>
          <w:noProof/>
        </w:rPr>
        <w:t>Sastavljeno (u)</w:t>
      </w:r>
    </w:p>
    <w:p w14:paraId="33228F20" w14:textId="77777777" w:rsidR="002466B5" w:rsidRPr="00AE763B" w:rsidRDefault="002466B5" w:rsidP="002466B5">
      <w:pPr>
        <w:rPr>
          <w:noProof/>
          <w:szCs w:val="24"/>
        </w:rPr>
      </w:pPr>
      <w:r w:rsidRPr="00AE763B">
        <w:rPr>
          <w:noProof/>
        </w:rPr>
        <w:br w:type="page"/>
      </w:r>
    </w:p>
    <w:p w14:paraId="4FD97CAA" w14:textId="77777777" w:rsidR="002466B5" w:rsidRPr="00AE763B" w:rsidRDefault="002466B5" w:rsidP="002466B5">
      <w:pPr>
        <w:jc w:val="center"/>
        <w:rPr>
          <w:noProof/>
          <w:szCs w:val="24"/>
        </w:rPr>
      </w:pPr>
      <w:r w:rsidRPr="00AE763B">
        <w:rPr>
          <w:noProof/>
        </w:rPr>
        <w:lastRenderedPageBreak/>
        <w:t>Prilog I.</w:t>
      </w:r>
    </w:p>
    <w:p w14:paraId="65906EE1" w14:textId="77777777" w:rsidR="002466B5" w:rsidRPr="00AE763B" w:rsidRDefault="002466B5" w:rsidP="002466B5">
      <w:pPr>
        <w:jc w:val="center"/>
        <w:rPr>
          <w:noProof/>
          <w:szCs w:val="24"/>
        </w:rPr>
      </w:pPr>
    </w:p>
    <w:p w14:paraId="70FAA7DE" w14:textId="77777777" w:rsidR="002466B5" w:rsidRPr="00AE763B" w:rsidRDefault="002466B5" w:rsidP="002466B5">
      <w:pPr>
        <w:rPr>
          <w:noProof/>
          <w:szCs w:val="24"/>
        </w:rPr>
      </w:pPr>
      <w:r w:rsidRPr="00AE763B">
        <w:rPr>
          <w:noProof/>
        </w:rPr>
        <w:t>Upućivanja na zakonodavstvo EU-a i Koreje u poglavlju 10. odjeljku B pododjeljku C „Oznake zemljopisnog podrijetla” bilješkama 51., 53., 54. i 55. u verziji Sporazuma objavljenoj u EU-u ili istovjetnim bilješkama 2., 4., 5. i 6. u verziji Sporazuma objavljenoj u Koreji smatra se upućivanjem na to zakonodavstvo kako je izmijenjeno ili zamijenjeno na sljedeće načine:</w:t>
      </w:r>
    </w:p>
    <w:p w14:paraId="5B06F2B2" w14:textId="77777777" w:rsidR="002466B5" w:rsidRPr="00AE763B" w:rsidRDefault="002466B5" w:rsidP="002466B5">
      <w:pPr>
        <w:rPr>
          <w:noProof/>
          <w:szCs w:val="24"/>
        </w:rPr>
      </w:pPr>
    </w:p>
    <w:p w14:paraId="34998B07" w14:textId="77777777" w:rsidR="002466B5" w:rsidRPr="005C156D" w:rsidRDefault="002466B5" w:rsidP="00032DA2">
      <w:pPr>
        <w:pStyle w:val="Point0number"/>
        <w:numPr>
          <w:ilvl w:val="0"/>
          <w:numId w:val="11"/>
        </w:numPr>
        <w:rPr>
          <w:noProof/>
          <w:szCs w:val="24"/>
        </w:rPr>
      </w:pPr>
      <w:r w:rsidRPr="00AE763B">
        <w:rPr>
          <w:noProof/>
        </w:rPr>
        <w:t>Za upućivanja na zakonodavstvo EU-a:</w:t>
      </w:r>
    </w:p>
    <w:p w14:paraId="017768C2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„Uredbu (EZ) br. 110/2008 Europskog parlamenta i Vijeća od 15. siječnja 2008. o definiranju, opisivanju, prezentiranju, označivanju i zaštiti oznaka zemljopisnog podrijetla jakih alkoholnih pića i stavljanju izvan snage Uredbe Vijeća (EEZ) br. 1576/89” zamjenjuju se upućivanjima na „Uredbu (EU) 2019/787 Europskog parlamenta i Vijeća od 17. travnja 2019. o definiranju, opisivanju, prezentiranju i označivanju jakih alkoholnih pića, upotrebi naziva jakih alkoholnih pića u prezentiranju i označivanju drugih prehrambenih proizvoda, zaštiti oznaka zemljopisnog podrijetla za jaka alkoholna pića, upotrebi etilnog alkohola i destilata poljoprivrednog podrijetla u alkoholnim pićima te stavljanju izvan snage Uredbe (EZ) br. 110/2008”;</w:t>
      </w:r>
    </w:p>
    <w:p w14:paraId="5CFA8C74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„Uredbu Vijeća (EZ) br. 510/2006 od 20. ožujka 2006. o zaštiti oznaka zemljopisnog podrijetla i oznaka izvornosti poljoprivrednih i prehrambenih proizvoda” zamjenjuju se upućivanjima na „Uredbu (EU) br. 1151/2012 Europskog parlamenta i Vijeća od 21. studenoga 2012. o sustavima kvalitete za poljoprivredne i prehrambene proizvode”.</w:t>
      </w:r>
    </w:p>
    <w:p w14:paraId="12EB1DE7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„Uredbu Vijeća (EEZ) br. 1601/1991 od 10. lipnja 1991. o utvrđivanju općih pravila o određivanju, opisivanju i prezentiranju aromatiziranih vina, aromatiziranih pića na bazi vina i aromatiziranih koktela na bazi vina” zamjenjuju se upućivanjima na „Uredbu (EU) br. 251/2014 Europskog parlamenta i Vijeća od 26. veljače 2014. o definiciji, opisivanju, prezentiranju, označivanju i zaštiti oznaka zemljopisnog podrijetla aromatiziranih proizvoda od vina i stavljanju izvan snage Uredbe Vijeća (EEZ) br. 1601/1991”;</w:t>
      </w:r>
    </w:p>
    <w:p w14:paraId="60E6EB1A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„Uredbu Vijeća (EZ) br. 1493/1999 od 17. svibnja 1999. o zajedničkoj organizaciji tržišta vina, koja je stavljena izvan snage Uredbom Vijeća (EZ) br. 479/2008 od 29. travnja 2008. o zajedničkoj organizaciji tržišta vina, izmjeni uredbi (EZ) br. 1493/1999, (EZ) br. 1782/2003, (EZ) br. 1290/2005, (EZ) br. 3/2008 i o stavljanju izvan snage uredbi (EEZ) br. 2392/86 i (EZ) br. 1493/1999” zamjenjuju se upućivanjima na „Uredbu Vijeća (EZ) br. 491/2009 od 25. svibnja 2009. o izmjeni Uredbe (EZ) br. 1234/2007 o uspostavljanju zajedničke organizacije poljoprivrednih tržišta i o posebnim odredbama za određene poljoprivredne proizvode (Uredba o jedinstvenom ZOT-u)”; i</w:t>
      </w:r>
    </w:p>
    <w:p w14:paraId="15D62987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 xml:space="preserve">upućivanja na „Uredbu Vijeća (EZ) br. 1234/2007 od 22. listopada 2007. o uspostavljanju zajedničke organizacije poljoprivrednih tržišta i o posebnim odredbama za određene poljoprivredne proizvode (Uredba o jedinstvenom ZOT-u)” zamjenjuju se upućivanjima na „Uredbu (EU) br. 1308/2013 Europskog parlamenta i Vijeća od 17. prosinca 2013. o uspostavljanju </w:t>
      </w:r>
      <w:r w:rsidRPr="00AE763B">
        <w:rPr>
          <w:noProof/>
        </w:rPr>
        <w:lastRenderedPageBreak/>
        <w:t xml:space="preserve">zajedničke organizacije tržišta poljoprivrednih proizvoda i stavljanju izvan snage uredbi Vijeća (EEZ) br. 922/72, (EEZ) br. 234/79, (EZ) br. 1037/2001 i (EZ) br. 1234/2007”. </w:t>
      </w:r>
    </w:p>
    <w:p w14:paraId="5403D4CB" w14:textId="77777777" w:rsidR="002466B5" w:rsidRPr="00AE763B" w:rsidRDefault="002466B5" w:rsidP="005C156D">
      <w:pPr>
        <w:pStyle w:val="Point0number"/>
        <w:rPr>
          <w:noProof/>
          <w:szCs w:val="24"/>
        </w:rPr>
      </w:pPr>
      <w:r w:rsidRPr="00AE763B">
        <w:rPr>
          <w:noProof/>
        </w:rPr>
        <w:t>Za upućivanja na zakonodavstvo Koreje:</w:t>
      </w:r>
    </w:p>
    <w:p w14:paraId="320744CA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Zakon o kontroli kvalitete poljoprivrednih proizvoda (Zakon br. 9759, 9. lipnja 2009.) zamjenjuje se upućivanjima na Zakon o kontroli kvalitete poljoprivrednih proizvoda i proizvoda ribarstva (Zakon br. 18599, 21. prosinca 2021.); i</w:t>
      </w:r>
    </w:p>
    <w:p w14:paraId="5BE6D971" w14:textId="77777777" w:rsidR="002466B5" w:rsidRPr="00AE763B" w:rsidRDefault="002466B5" w:rsidP="005C156D">
      <w:pPr>
        <w:pStyle w:val="Point1letter"/>
        <w:rPr>
          <w:noProof/>
          <w:szCs w:val="24"/>
        </w:rPr>
      </w:pPr>
      <w:r w:rsidRPr="00AE763B">
        <w:rPr>
          <w:noProof/>
        </w:rPr>
        <w:t>upućivanja na Zakon o porezu na alkoholna pića (Zakon br. 8852, 29. veljače 2008.) zamjenjuje se upućivanjima na Zakon o porezu na alkoholna pića (Zakon br. 18593, 21. prosinca 2021.) i Zakon o dozvoli za posluživanje alkoholnih pića (Zakon br. 18723, 6. siječnja 2022.).</w:t>
      </w:r>
    </w:p>
    <w:p w14:paraId="423098A5" w14:textId="77777777" w:rsidR="002466B5" w:rsidRPr="00AE763B" w:rsidRDefault="002466B5" w:rsidP="002466B5">
      <w:pPr>
        <w:rPr>
          <w:noProof/>
        </w:rPr>
      </w:pPr>
    </w:p>
    <w:p w14:paraId="5D5CCE8D" w14:textId="77777777" w:rsidR="002466B5" w:rsidRPr="00AE763B" w:rsidRDefault="002466B5" w:rsidP="002466B5">
      <w:pPr>
        <w:jc w:val="left"/>
        <w:rPr>
          <w:noProof/>
          <w:szCs w:val="24"/>
        </w:rPr>
      </w:pPr>
    </w:p>
    <w:p w14:paraId="4C6CE48B" w14:textId="77777777" w:rsidR="002466B5" w:rsidRPr="00AE763B" w:rsidRDefault="002466B5" w:rsidP="002466B5">
      <w:pPr>
        <w:rPr>
          <w:rFonts w:eastAsia="Malgun Gothic"/>
          <w:noProof/>
        </w:rPr>
      </w:pPr>
      <w:r w:rsidRPr="00AE763B">
        <w:rPr>
          <w:noProof/>
        </w:rPr>
        <w:br w:type="page"/>
      </w:r>
    </w:p>
    <w:p w14:paraId="088882DD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lastRenderedPageBreak/>
        <w:t>Prilog II.</w:t>
      </w:r>
    </w:p>
    <w:p w14:paraId="78110E01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118"/>
        <w:gridCol w:w="2061"/>
        <w:gridCol w:w="2949"/>
      </w:tblGrid>
      <w:tr w:rsidR="002466B5" w:rsidRPr="00AE763B" w14:paraId="074CE3B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45A2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Oznaka zemlje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28B3" w14:textId="77777777" w:rsidR="002466B5" w:rsidRPr="00AE763B" w:rsidRDefault="002466B5" w:rsidP="00942ED0">
            <w:pPr>
              <w:jc w:val="left"/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 xml:space="preserve">Naziv koji se zaštićuje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347E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 xml:space="preserve">Proizvod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AF7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Prijepis na korejsko pismo</w:t>
            </w:r>
          </w:p>
        </w:tc>
      </w:tr>
      <w:tr w:rsidR="002466B5" w:rsidRPr="00AE763B" w14:paraId="4EA1D70D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22E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951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Steirisches Kürbiskernöl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9FF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ulje sjemenki bundeve</w:t>
            </w:r>
          </w:p>
          <w:p w14:paraId="5FCFD12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50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슈타이리쉐스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퀴르비스케른욀</w:t>
            </w:r>
          </w:p>
        </w:tc>
      </w:tr>
      <w:tr w:rsidR="002466B5" w:rsidRPr="00AE763B" w14:paraId="6257E06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F6B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F6D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  <w:szCs w:val="24"/>
              </w:rPr>
            </w:pPr>
            <w:r w:rsidRPr="00AE763B">
              <w:rPr>
                <w:noProof/>
              </w:rPr>
              <w:t>Λουκούμι Γεροσκήπου / Loukoumi Geroskipou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3AD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slastica</w:t>
            </w:r>
          </w:p>
          <w:p w14:paraId="11D08A6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BC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루꾸미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게로스끼뿌</w:t>
            </w:r>
          </w:p>
        </w:tc>
      </w:tr>
      <w:tr w:rsidR="002466B5" w:rsidRPr="00AE763B" w14:paraId="13BD0F25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48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0EA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Hopfen aus der Hallertau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392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hmelj</w:t>
            </w:r>
          </w:p>
          <w:p w14:paraId="46E33E1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00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할러타우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홉펜</w:t>
            </w:r>
          </w:p>
        </w:tc>
      </w:tr>
      <w:tr w:rsidR="002466B5" w:rsidRPr="00AE763B" w14:paraId="79881F37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BFE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DDD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Lübecker Marzipan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16F1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slastica</w:t>
            </w:r>
          </w:p>
          <w:p w14:paraId="7581E31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E8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뤼베커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마르지판</w:t>
            </w:r>
          </w:p>
        </w:tc>
      </w:tr>
      <w:tr w:rsidR="002466B5" w:rsidRPr="00AE763B" w14:paraId="490DE97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74D1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6F3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Nürnberger Lebkuchen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2DA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slastica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BB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뉘른베르거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렙쿠헨</w:t>
            </w:r>
          </w:p>
        </w:tc>
      </w:tr>
      <w:tr w:rsidR="002466B5" w:rsidRPr="00AE763B" w14:paraId="7A4E04D9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0E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598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Schwarzwälder Schinken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962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šunka</w:t>
            </w:r>
          </w:p>
          <w:p w14:paraId="4E68A85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EB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슈바르츠벨더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쉰켄</w:t>
            </w:r>
          </w:p>
        </w:tc>
      </w:tr>
      <w:tr w:rsidR="002466B5" w:rsidRPr="00AE763B" w14:paraId="78CFF3B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E14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691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Danablu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5A5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04C5A44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E7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다나블루</w:t>
            </w:r>
          </w:p>
        </w:tc>
      </w:tr>
      <w:tr w:rsidR="002466B5" w:rsidRPr="00AE763B" w14:paraId="4C235BD4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3EF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C1F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Aceite de Terra Alta/Oli de Terra Alta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86C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375EB2B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CF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아쎄이떼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떼라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알따</w:t>
            </w:r>
            <w:r w:rsidRPr="00AE763B">
              <w:rPr>
                <w:noProof/>
              </w:rPr>
              <w:t xml:space="preserve">; </w:t>
            </w:r>
            <w:r w:rsidRPr="00AE763B">
              <w:rPr>
                <w:noProof/>
              </w:rPr>
              <w:t>올리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떼라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알따</w:t>
            </w:r>
          </w:p>
        </w:tc>
      </w:tr>
      <w:tr w:rsidR="002466B5" w:rsidRPr="00AE763B" w14:paraId="0E33CB76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A94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241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Aceite Monterrubio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817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65F39C8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9F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아쎄이떼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몬떼루비오</w:t>
            </w:r>
          </w:p>
        </w:tc>
      </w:tr>
      <w:tr w:rsidR="002466B5" w:rsidRPr="00AE763B" w14:paraId="1CC7F4AC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293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D11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Estepa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218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7267677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AF5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에스떼빠</w:t>
            </w:r>
          </w:p>
        </w:tc>
      </w:tr>
      <w:tr w:rsidR="002466B5" w:rsidRPr="00AE763B" w14:paraId="04792DDD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251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4BC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Les Garrigues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FCA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26B3C4A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A9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레스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가리게스</w:t>
            </w:r>
          </w:p>
        </w:tc>
      </w:tr>
      <w:tr w:rsidR="002466B5" w:rsidRPr="00AE763B" w14:paraId="4B6AD6E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1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B84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Sierra de Cazorla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72E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0D93E6F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E6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씨에라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까쏘를라</w:t>
            </w:r>
          </w:p>
        </w:tc>
      </w:tr>
      <w:tr w:rsidR="002466B5" w:rsidRPr="00AE763B" w14:paraId="6C694F95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C11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B49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 xml:space="preserve">Siurana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58D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0559918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6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씨우라나</w:t>
            </w:r>
          </w:p>
        </w:tc>
      </w:tr>
      <w:tr w:rsidR="002466B5" w:rsidRPr="00AE763B" w14:paraId="1EAB87E1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077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lastRenderedPageBreak/>
              <w:t>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D95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Καλαμάτα / Kalamata</w:t>
            </w:r>
            <w:r w:rsidRPr="00AE763B">
              <w:rPr>
                <w:rStyle w:val="FootnoteReference"/>
                <w:rFonts w:eastAsia="Malgun Gothic"/>
                <w:noProof/>
              </w:rPr>
              <w:footnoteReference w:id="19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C34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2B70D28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D0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칼라마타</w:t>
            </w:r>
          </w:p>
        </w:tc>
      </w:tr>
      <w:tr w:rsidR="002466B5" w:rsidRPr="00AE763B" w14:paraId="34157448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92C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1C61" w14:textId="77777777" w:rsidR="002466B5" w:rsidRPr="00AE763B" w:rsidRDefault="002466B5" w:rsidP="00942ED0">
            <w:pPr>
              <w:ind w:left="120" w:hangingChars="50" w:hanging="120"/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Σητεία Λασιθίου Κρήτης / Sitia Lasithiou Kritis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916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6A1ADFE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A3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시티아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라시티우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크리티스</w:t>
            </w:r>
          </w:p>
        </w:tc>
      </w:tr>
      <w:tr w:rsidR="002466B5" w:rsidRPr="00AE763B" w14:paraId="41784399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B6C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310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Λακωνία / Lakonia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B43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maslinovo ulje</w:t>
            </w:r>
          </w:p>
          <w:p w14:paraId="258F4CF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00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라코니아</w:t>
            </w:r>
            <w:r w:rsidRPr="00AE763B">
              <w:rPr>
                <w:noProof/>
              </w:rPr>
              <w:t xml:space="preserve"> </w:t>
            </w:r>
          </w:p>
        </w:tc>
      </w:tr>
      <w:tr w:rsidR="002466B5" w:rsidRPr="00AE763B" w14:paraId="4A359320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1CA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EA0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Γραβιέρα Κρήτης / Graviera Kritis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3E4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26ACAEE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7E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그라비에라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크리티스</w:t>
            </w:r>
          </w:p>
        </w:tc>
      </w:tr>
      <w:tr w:rsidR="002466B5" w:rsidRPr="00AE763B" w14:paraId="5227C325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0D4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A17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Κασέρι / Kasseri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BE1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4408E428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DE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카세리</w:t>
            </w:r>
          </w:p>
        </w:tc>
      </w:tr>
      <w:tr w:rsidR="002466B5" w:rsidRPr="00AE763B" w14:paraId="40EA23E9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319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5A5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Aceto Balsamico di Modena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E30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ocat</w:t>
            </w:r>
          </w:p>
          <w:p w14:paraId="314BDC0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FC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아체토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발사미코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디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모데나</w:t>
            </w:r>
          </w:p>
        </w:tc>
      </w:tr>
      <w:tr w:rsidR="002466B5" w:rsidRPr="00AE763B" w14:paraId="013A82B8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7F1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0F8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Bresaola della Valtellina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E82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šunka</w:t>
            </w:r>
          </w:p>
          <w:p w14:paraId="23614E8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86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브레사올라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델라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발텔리나</w:t>
            </w:r>
          </w:p>
        </w:tc>
      </w:tr>
      <w:tr w:rsidR="002466B5" w:rsidRPr="00AE763B" w14:paraId="2445E77A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8D8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84B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Kiwi Latina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AF7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kivi</w:t>
            </w:r>
          </w:p>
          <w:p w14:paraId="33BDBD1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9D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키위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라티나</w:t>
            </w:r>
          </w:p>
        </w:tc>
      </w:tr>
      <w:tr w:rsidR="002466B5" w:rsidRPr="00AE763B" w14:paraId="155EEA14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02E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E14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Mela Alto Adige / Südtiroler Apfel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7C0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jabuka</w:t>
            </w:r>
          </w:p>
          <w:p w14:paraId="1D6F99A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19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멜라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알토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아디제</w:t>
            </w:r>
            <w:r w:rsidRPr="00AE763B">
              <w:rPr>
                <w:noProof/>
              </w:rPr>
              <w:t xml:space="preserve">; </w:t>
            </w:r>
            <w:r w:rsidRPr="00AE763B">
              <w:rPr>
                <w:noProof/>
              </w:rPr>
              <w:t>수드티롤레르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아펠</w:t>
            </w:r>
          </w:p>
        </w:tc>
      </w:tr>
      <w:tr w:rsidR="002466B5" w:rsidRPr="00AE763B" w14:paraId="4AF13D03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C88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8C8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Toscano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EF5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 xml:space="preserve">maslinovo ulje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89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토스카노</w:t>
            </w:r>
          </w:p>
        </w:tc>
      </w:tr>
      <w:tr w:rsidR="002466B5" w:rsidRPr="00AE763B" w14:paraId="54B15BFB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709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E65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Pecorino Toscano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7C8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46073AD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CC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페코리노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토스카노</w:t>
            </w:r>
          </w:p>
        </w:tc>
      </w:tr>
      <w:tr w:rsidR="002466B5" w:rsidRPr="00AE763B" w14:paraId="776C5B38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A18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566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Salamini italiani alla cacciatora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037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salama</w:t>
            </w:r>
          </w:p>
          <w:p w14:paraId="47E78422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40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살라미니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이탈리아니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알라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카차토라</w:t>
            </w:r>
          </w:p>
        </w:tc>
      </w:tr>
      <w:tr w:rsidR="002466B5" w:rsidRPr="00AE763B" w14:paraId="00DC7788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778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NL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ECA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Edam Holland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8DF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2A697815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EA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lastRenderedPageBreak/>
              <w:t>에담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홀란드</w:t>
            </w:r>
          </w:p>
        </w:tc>
      </w:tr>
      <w:tr w:rsidR="002466B5" w:rsidRPr="00AE763B" w14:paraId="78B19482" w14:textId="77777777" w:rsidTr="00942ED0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42F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NL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F90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Gouda Holland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05A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sir</w:t>
            </w:r>
          </w:p>
          <w:p w14:paraId="16BAB44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EE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noProof/>
              </w:rPr>
              <w:t>홀란드</w:t>
            </w:r>
          </w:p>
        </w:tc>
      </w:tr>
    </w:tbl>
    <w:p w14:paraId="4F9B48F2" w14:textId="77777777" w:rsidR="002466B5" w:rsidRPr="00AE763B" w:rsidRDefault="002466B5" w:rsidP="002466B5">
      <w:pPr>
        <w:rPr>
          <w:rFonts w:eastAsia="Malgun Gothic"/>
          <w:noProof/>
        </w:rPr>
      </w:pPr>
    </w:p>
    <w:p w14:paraId="134A405C" w14:textId="77777777" w:rsidR="002466B5" w:rsidRPr="00AE763B" w:rsidRDefault="002466B5" w:rsidP="002466B5">
      <w:pPr>
        <w:jc w:val="left"/>
        <w:rPr>
          <w:rFonts w:eastAsia="Malgun Gothic"/>
          <w:noProof/>
        </w:rPr>
      </w:pPr>
      <w:r w:rsidRPr="00AE763B">
        <w:rPr>
          <w:noProof/>
        </w:rPr>
        <w:br w:type="page"/>
      </w:r>
    </w:p>
    <w:p w14:paraId="2293D81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lastRenderedPageBreak/>
        <w:t>Prilog III.</w:t>
      </w:r>
    </w:p>
    <w:p w14:paraId="1CD6064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tbl>
      <w:tblPr>
        <w:tblpPr w:leftFromText="142" w:rightFromText="142" w:vertAnchor="text" w:horzAnchor="margin" w:tblpY="2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814"/>
        <w:gridCol w:w="29"/>
        <w:gridCol w:w="3758"/>
        <w:gridCol w:w="29"/>
      </w:tblGrid>
      <w:tr w:rsidR="002466B5" w:rsidRPr="00AE763B" w14:paraId="522F9CF9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BD1C5" w14:textId="77777777" w:rsidR="002466B5" w:rsidRPr="00AE763B" w:rsidRDefault="002466B5" w:rsidP="00942ED0">
            <w:pPr>
              <w:jc w:val="left"/>
              <w:rPr>
                <w:rFonts w:eastAsia="Malgun Gothic"/>
                <w:b/>
                <w:bCs/>
                <w:noProof/>
              </w:rPr>
            </w:pPr>
            <w:r w:rsidRPr="00AE763B">
              <w:rPr>
                <w:b/>
                <w:noProof/>
              </w:rPr>
              <w:t>Naziv koji se zaštićuje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B55B3" w14:textId="77777777" w:rsidR="002466B5" w:rsidRPr="00AE763B" w:rsidRDefault="002466B5" w:rsidP="00942ED0">
            <w:pPr>
              <w:jc w:val="left"/>
              <w:rPr>
                <w:rFonts w:eastAsia="Malgun Gothic"/>
                <w:b/>
                <w:bCs/>
                <w:noProof/>
              </w:rPr>
            </w:pPr>
            <w:r w:rsidRPr="00AE763B">
              <w:rPr>
                <w:b/>
                <w:noProof/>
              </w:rPr>
              <w:t>Proizvod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3736A" w14:textId="77777777" w:rsidR="002466B5" w:rsidRPr="00AE763B" w:rsidRDefault="002466B5" w:rsidP="00942ED0">
            <w:pPr>
              <w:jc w:val="left"/>
              <w:rPr>
                <w:rFonts w:eastAsia="Malgun Gothic"/>
                <w:b/>
                <w:bCs/>
                <w:noProof/>
              </w:rPr>
            </w:pPr>
            <w:r w:rsidRPr="00AE763B">
              <w:rPr>
                <w:b/>
                <w:noProof/>
              </w:rPr>
              <w:t>Prijepis na latinično pismo</w:t>
            </w:r>
          </w:p>
        </w:tc>
      </w:tr>
      <w:tr w:rsidR="002466B5" w:rsidRPr="00AE763B" w14:paraId="217711B5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5D2C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천안배</w:t>
            </w:r>
            <w:r w:rsidRPr="00AE763B">
              <w:rPr>
                <w:noProof/>
              </w:rPr>
              <w:t xml:space="preserve"> (Cheonan Bae (Pear))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3D95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kruška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679A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Cheonan Bae</w:t>
            </w:r>
          </w:p>
        </w:tc>
      </w:tr>
      <w:tr w:rsidR="002466B5" w:rsidRPr="00AE763B" w14:paraId="3F1004DD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F0C2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나주배</w:t>
            </w:r>
            <w:r w:rsidRPr="00AE763B">
              <w:rPr>
                <w:noProof/>
              </w:rPr>
              <w:t xml:space="preserve"> (Naju Bae (Pear))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1B48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kruška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80EE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Naju Bae</w:t>
            </w:r>
          </w:p>
        </w:tc>
      </w:tr>
      <w:tr w:rsidR="002466B5" w:rsidRPr="00AE763B" w14:paraId="414010ED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7696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안성배</w:t>
            </w:r>
            <w:r w:rsidRPr="00AE763B">
              <w:rPr>
                <w:noProof/>
              </w:rPr>
              <w:t xml:space="preserve"> (Anseong Bae (Pear))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45DF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kruška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52DE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Anseong Bae</w:t>
            </w:r>
          </w:p>
        </w:tc>
      </w:tr>
      <w:tr w:rsidR="002466B5" w:rsidRPr="00AE763B" w14:paraId="76859ACC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62B8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고려흑삼제품</w:t>
            </w:r>
            <w:r w:rsidRPr="00AE763B">
              <w:rPr>
                <w:noProof/>
              </w:rPr>
              <w:t xml:space="preserve"> (Korean Black Ginseng Product)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1260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proizvodi od crnog ginsenga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B91C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Goryeo Heuksamjepum</w:t>
            </w:r>
          </w:p>
        </w:tc>
      </w:tr>
      <w:tr w:rsidR="002466B5" w:rsidRPr="00AE763B" w14:paraId="1D02AE51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073D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예산사과</w:t>
            </w:r>
            <w:r w:rsidRPr="00AE763B">
              <w:rPr>
                <w:noProof/>
              </w:rPr>
              <w:t xml:space="preserve"> (Yesan Apple)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85F4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jabuka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B5FA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Yesan Sagwa</w:t>
            </w:r>
          </w:p>
        </w:tc>
      </w:tr>
      <w:tr w:rsidR="002466B5" w:rsidRPr="00AE763B" w14:paraId="0EA21FF3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628E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안성쌀</w:t>
            </w:r>
            <w:r w:rsidRPr="00AE763B">
              <w:rPr>
                <w:noProof/>
              </w:rPr>
              <w:t xml:space="preserve"> (Anseong Ssal (Rice))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CDB3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riža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2EC5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Anseong Ssal</w:t>
            </w:r>
          </w:p>
        </w:tc>
      </w:tr>
      <w:tr w:rsidR="002466B5" w:rsidRPr="00AE763B" w14:paraId="5ECF86BE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06C7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영월고춧가루</w:t>
            </w:r>
            <w:r w:rsidRPr="00AE763B">
              <w:rPr>
                <w:noProof/>
              </w:rPr>
              <w:t xml:space="preserve"> (Yeongwol Red Pepper Powder)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D099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crvena paprika u prahu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6888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Yeongwol Gochutgaru</w:t>
            </w:r>
          </w:p>
        </w:tc>
      </w:tr>
      <w:tr w:rsidR="002466B5" w:rsidRPr="00AE763B" w14:paraId="1A1D920F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1049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고려흑삼</w:t>
            </w:r>
            <w:r w:rsidRPr="00AE763B">
              <w:rPr>
                <w:noProof/>
              </w:rPr>
              <w:t xml:space="preserve"> (Korean Black Ginseng)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AA97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crni ginseng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511E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Goryeo Heuksam</w:t>
            </w:r>
          </w:p>
        </w:tc>
      </w:tr>
      <w:tr w:rsidR="002466B5" w:rsidRPr="00AE763B" w14:paraId="210938C4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8FE9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보성웅치올벼쌀</w:t>
            </w:r>
            <w:r w:rsidRPr="00AE763B">
              <w:rPr>
                <w:noProof/>
              </w:rPr>
              <w:t xml:space="preserve"> (Boseong Ungchi Olbyeossal)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B1EE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riža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E358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Boseong Ungchi Olbyeossal</w:t>
            </w:r>
          </w:p>
        </w:tc>
      </w:tr>
      <w:tr w:rsidR="002466B5" w:rsidRPr="00AE763B" w14:paraId="3666A365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3892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김포쌀</w:t>
            </w:r>
            <w:r w:rsidRPr="00AE763B">
              <w:rPr>
                <w:noProof/>
              </w:rPr>
              <w:t xml:space="preserve"> (Gimpo Ssal (Rice))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2523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riža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A1F1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Gimpo Ssal</w:t>
            </w:r>
          </w:p>
        </w:tc>
      </w:tr>
      <w:tr w:rsidR="002466B5" w:rsidRPr="00AE763B" w14:paraId="6985CE49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739D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진도검정쌀</w:t>
            </w:r>
            <w:r w:rsidRPr="00AE763B">
              <w:rPr>
                <w:noProof/>
              </w:rPr>
              <w:t xml:space="preserve"> (Jindo Black Rice)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22F3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riža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A297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Jindo Geomjeong Ssal</w:t>
            </w:r>
          </w:p>
        </w:tc>
      </w:tr>
      <w:tr w:rsidR="002466B5" w:rsidRPr="00AE763B" w14:paraId="5E631D1A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7C3B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군산쌀</w:t>
            </w:r>
            <w:r w:rsidRPr="00AE763B">
              <w:rPr>
                <w:noProof/>
              </w:rPr>
              <w:t xml:space="preserve"> (Gunsan Ssal (Rice))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C7E0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riža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C9D8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Gunsan Ssal</w:t>
            </w:r>
          </w:p>
        </w:tc>
      </w:tr>
      <w:tr w:rsidR="002466B5" w:rsidRPr="00AE763B" w14:paraId="1A338CA9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053F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영월고추</w:t>
            </w:r>
            <w:r w:rsidRPr="00AE763B">
              <w:rPr>
                <w:noProof/>
              </w:rPr>
              <w:t xml:space="preserve"> (Yeongwol Red Pepper)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2560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crvena paprika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ABA2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Yeongwol Gochu</w:t>
            </w:r>
          </w:p>
        </w:tc>
      </w:tr>
      <w:tr w:rsidR="002466B5" w:rsidRPr="00AE763B" w14:paraId="62320265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7EED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영천포도</w:t>
            </w:r>
            <w:r w:rsidRPr="00AE763B">
              <w:rPr>
                <w:noProof/>
              </w:rPr>
              <w:t xml:space="preserve"> (Yeongcheon Grapes)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341F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grožđe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77F7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Yeongcheon Podo</w:t>
            </w:r>
          </w:p>
        </w:tc>
      </w:tr>
      <w:tr w:rsidR="002466B5" w:rsidRPr="00AE763B" w14:paraId="0504AE66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2DAC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무주사과</w:t>
            </w:r>
            <w:r w:rsidRPr="00AE763B">
              <w:rPr>
                <w:noProof/>
              </w:rPr>
              <w:t xml:space="preserve"> (Muju Apple)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E0927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jabuka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6078B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Muju Sagwa</w:t>
            </w:r>
          </w:p>
        </w:tc>
      </w:tr>
      <w:tr w:rsidR="002466B5" w:rsidRPr="00AE763B" w14:paraId="50F00D58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33A5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lastRenderedPageBreak/>
              <w:t>삼척마늘</w:t>
            </w:r>
            <w:r w:rsidRPr="00AE763B">
              <w:rPr>
                <w:noProof/>
              </w:rPr>
              <w:t xml:space="preserve"> (Samcheok Garlic)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14FA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češnjak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8A64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Samcheok Maneul</w:t>
            </w:r>
          </w:p>
        </w:tc>
      </w:tr>
      <w:tr w:rsidR="002466B5" w:rsidRPr="00AE763B" w14:paraId="59498A90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CC61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김천자두</w:t>
            </w:r>
            <w:r w:rsidRPr="00AE763B">
              <w:rPr>
                <w:noProof/>
              </w:rPr>
              <w:t xml:space="preserve"> (Gimcheon Jadu (Plum))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8CB2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šljiva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7879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Gimcheon Jadu</w:t>
            </w:r>
          </w:p>
        </w:tc>
      </w:tr>
      <w:tr w:rsidR="002466B5" w:rsidRPr="00AE763B" w14:paraId="084181D3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5A6E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영동포도</w:t>
            </w:r>
            <w:r w:rsidRPr="00AE763B">
              <w:rPr>
                <w:noProof/>
              </w:rPr>
              <w:t xml:space="preserve"> (Yeongdong Grapes)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1D28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grožđe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6456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Yeongdong Podo</w:t>
            </w:r>
          </w:p>
        </w:tc>
      </w:tr>
      <w:tr w:rsidR="002466B5" w:rsidRPr="00AE763B" w14:paraId="6DFBBF68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E235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문경오미자</w:t>
            </w:r>
            <w:r w:rsidRPr="00AE763B">
              <w:rPr>
                <w:noProof/>
              </w:rPr>
              <w:t xml:space="preserve"> (Mungyeong Omija)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F8AF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omija (kineska šisandra)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2F9F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Mungyeong Omija</w:t>
            </w:r>
          </w:p>
        </w:tc>
      </w:tr>
      <w:tr w:rsidR="002466B5" w:rsidRPr="00AE763B" w14:paraId="3E67E0D7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AFAB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청도반시</w:t>
            </w:r>
            <w:r w:rsidRPr="00AE763B">
              <w:rPr>
                <w:noProof/>
              </w:rPr>
              <w:t xml:space="preserve"> (Cheongdo Seedless Flat Persimmon)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0CA6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kaki jabuka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15A0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Cheongdo Bansi</w:t>
            </w:r>
          </w:p>
        </w:tc>
      </w:tr>
      <w:tr w:rsidR="002466B5" w:rsidRPr="00AE763B" w14:paraId="3804AA9A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95C3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평창산양삼</w:t>
            </w:r>
            <w:r w:rsidRPr="00AE763B">
              <w:rPr>
                <w:noProof/>
              </w:rPr>
              <w:t xml:space="preserve"> (PyeongChang Wild-cultivated Ginseng)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3881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uzgojeni divlji ginseng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8B99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PyeongChang Sanyangsam</w:t>
            </w:r>
          </w:p>
        </w:tc>
      </w:tr>
      <w:tr w:rsidR="002466B5" w:rsidRPr="00AE763B" w14:paraId="7B5F27EC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19A2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보은대추</w:t>
            </w:r>
            <w:r w:rsidRPr="00AE763B">
              <w:rPr>
                <w:noProof/>
              </w:rPr>
              <w:t xml:space="preserve"> (Boeun Jujube)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2C91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žižula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86C4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Boeun Daechu</w:t>
            </w:r>
          </w:p>
        </w:tc>
      </w:tr>
      <w:tr w:rsidR="002466B5" w:rsidRPr="00AE763B" w14:paraId="23FD3CE7" w14:textId="77777777" w:rsidTr="00942ED0">
        <w:trPr>
          <w:gridAfter w:val="1"/>
          <w:wAfter w:w="29" w:type="dxa"/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B8F2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충주밤</w:t>
            </w:r>
            <w:r w:rsidRPr="00AE763B">
              <w:rPr>
                <w:noProof/>
              </w:rPr>
              <w:t xml:space="preserve"> (Chungju Bam (Chestnut))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FC64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kesten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655F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Chungju Bam</w:t>
            </w:r>
          </w:p>
        </w:tc>
      </w:tr>
      <w:tr w:rsidR="002466B5" w:rsidRPr="00AE763B" w14:paraId="24E30A2C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61EA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가평잣</w:t>
            </w:r>
            <w:r w:rsidRPr="00AE763B">
              <w:rPr>
                <w:noProof/>
              </w:rPr>
              <w:t xml:space="preserve"> (Gapyeong Korean Pine nuts)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35B2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pinjol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3A5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Gapyeong Jat</w:t>
            </w:r>
          </w:p>
        </w:tc>
      </w:tr>
      <w:tr w:rsidR="002466B5" w:rsidRPr="00AE763B" w14:paraId="409EEC1F" w14:textId="77777777" w:rsidTr="00942ED0">
        <w:trPr>
          <w:gridAfter w:val="1"/>
          <w:wAfter w:w="29" w:type="dxa"/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9FE2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정선곤드레</w:t>
            </w:r>
            <w:r w:rsidRPr="00AE763B">
              <w:rPr>
                <w:noProof/>
              </w:rPr>
              <w:t xml:space="preserve"> (Jeongseon Gondre)</w:t>
            </w:r>
          </w:p>
        </w:tc>
        <w:tc>
          <w:tcPr>
            <w:tcW w:w="181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89CB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gondre (korejski osjak)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05A2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Jeongseon Gondre</w:t>
            </w:r>
          </w:p>
        </w:tc>
      </w:tr>
      <w:tr w:rsidR="002466B5" w:rsidRPr="00AE763B" w14:paraId="47AFB3F0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5415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영동곶감</w:t>
            </w:r>
            <w:r w:rsidRPr="00AE763B">
              <w:rPr>
                <w:noProof/>
              </w:rPr>
              <w:t xml:space="preserve"> (Yeongdong Persimmon Dried)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7BB6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kaki jabuka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C7B3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Yeongdong Gotgam</w:t>
            </w:r>
          </w:p>
        </w:tc>
      </w:tr>
      <w:tr w:rsidR="002466B5" w:rsidRPr="00AE763B" w14:paraId="4CC01D28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D88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부여표고</w:t>
            </w:r>
            <w:r w:rsidRPr="00AE763B">
              <w:rPr>
                <w:noProof/>
              </w:rPr>
              <w:t xml:space="preserve"> (Buyeo Pyogo (Oak mushroom))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E754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shiitake gljiva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73A9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Buyeo Pyogo</w:t>
            </w:r>
          </w:p>
        </w:tc>
      </w:tr>
      <w:tr w:rsidR="002466B5" w:rsidRPr="00AE763B" w14:paraId="64E7D4FB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B610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완도미역</w:t>
            </w:r>
            <w:r w:rsidRPr="00AE763B">
              <w:rPr>
                <w:noProof/>
              </w:rPr>
              <w:t xml:space="preserve"> (Wando Sea mustard)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4EBD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smeđa morska alga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8120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Wando Miyeok</w:t>
            </w:r>
          </w:p>
        </w:tc>
      </w:tr>
      <w:tr w:rsidR="002466B5" w:rsidRPr="00AE763B" w14:paraId="417EA969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27D7F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완도다시마</w:t>
            </w:r>
            <w:r w:rsidRPr="00AE763B">
              <w:rPr>
                <w:noProof/>
              </w:rPr>
              <w:t xml:space="preserve"> (Wando Sea tangle)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5429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alga kombu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838F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Wando Dasima</w:t>
            </w:r>
          </w:p>
        </w:tc>
      </w:tr>
      <w:tr w:rsidR="002466B5" w:rsidRPr="00AE763B" w14:paraId="1280695D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5EBC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기장미역</w:t>
            </w:r>
            <w:r w:rsidRPr="00AE763B">
              <w:rPr>
                <w:noProof/>
              </w:rPr>
              <w:t xml:space="preserve"> (Gijang sea mustard)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2E17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smeđa morska alga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0B0E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Gijang Miyeok</w:t>
            </w:r>
          </w:p>
        </w:tc>
      </w:tr>
      <w:tr w:rsidR="002466B5" w:rsidRPr="00AE763B" w14:paraId="0A6368B1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6D28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기장다시마</w:t>
            </w:r>
            <w:r w:rsidRPr="00AE763B">
              <w:rPr>
                <w:noProof/>
              </w:rPr>
              <w:t xml:space="preserve"> (Gijang sea tangle)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7524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alga kombu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CEB8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Gijang Dasima</w:t>
            </w:r>
          </w:p>
        </w:tc>
      </w:tr>
      <w:tr w:rsidR="002466B5" w:rsidRPr="00AE763B" w14:paraId="4FBED284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403F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lastRenderedPageBreak/>
              <w:t>완도김</w:t>
            </w:r>
            <w:r w:rsidRPr="00AE763B">
              <w:rPr>
                <w:noProof/>
              </w:rPr>
              <w:t xml:space="preserve"> (Wando Laver)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85D36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morska alga laver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CDBF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Wando Gim</w:t>
            </w:r>
          </w:p>
        </w:tc>
      </w:tr>
      <w:tr w:rsidR="002466B5" w:rsidRPr="00AE763B" w14:paraId="0FC9013E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EF89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장흥김</w:t>
            </w:r>
            <w:r w:rsidRPr="00AE763B">
              <w:rPr>
                <w:noProof/>
              </w:rPr>
              <w:t xml:space="preserve"> (Jangheung Laver)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4264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morska alga laver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E4990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Jangheung Gim</w:t>
            </w:r>
          </w:p>
        </w:tc>
      </w:tr>
      <w:tr w:rsidR="002466B5" w:rsidRPr="00AE763B" w14:paraId="5BB5ABE8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1588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여수굴</w:t>
            </w:r>
            <w:r w:rsidRPr="00AE763B">
              <w:rPr>
                <w:noProof/>
              </w:rPr>
              <w:t xml:space="preserve"> (Yeosu Gul (Yeosu Oyster))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E04F1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kamenica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0597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Yeosu Gul</w:t>
            </w:r>
          </w:p>
        </w:tc>
      </w:tr>
      <w:tr w:rsidR="002466B5" w:rsidRPr="00AE763B" w14:paraId="0E5C59F2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0D68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고흥미역</w:t>
            </w:r>
            <w:r w:rsidRPr="00AE763B">
              <w:rPr>
                <w:noProof/>
              </w:rPr>
              <w:t xml:space="preserve"> (Goheung Dried Sea mustard)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2941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smeđa morska alga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262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Goheung Miyeok</w:t>
            </w:r>
          </w:p>
        </w:tc>
      </w:tr>
      <w:tr w:rsidR="002466B5" w:rsidRPr="00AE763B" w14:paraId="1B6E3EE2" w14:textId="77777777" w:rsidTr="00942ED0">
        <w:trPr>
          <w:trHeight w:val="536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3601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고흥다시마</w:t>
            </w:r>
            <w:r w:rsidRPr="00AE763B">
              <w:rPr>
                <w:noProof/>
              </w:rPr>
              <w:t xml:space="preserve"> (Goheung Dried Sea tangle)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A67F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alga kombu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424A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Goheung Dasima</w:t>
            </w:r>
          </w:p>
        </w:tc>
      </w:tr>
      <w:tr w:rsidR="002466B5" w:rsidRPr="00AE763B" w14:paraId="6BE50454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F2A7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신안김</w:t>
            </w:r>
            <w:r w:rsidRPr="00AE763B">
              <w:rPr>
                <w:noProof/>
              </w:rPr>
              <w:t xml:space="preserve"> (Sinan Gim (Laver))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CB9DA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morska alga laver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290AC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Sinan Gim</w:t>
            </w:r>
          </w:p>
        </w:tc>
      </w:tr>
      <w:tr w:rsidR="002466B5" w:rsidRPr="00AE763B" w14:paraId="26D4F0E0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3EF4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해남김</w:t>
            </w:r>
            <w:r w:rsidRPr="00AE763B">
              <w:rPr>
                <w:noProof/>
              </w:rPr>
              <w:t xml:space="preserve"> (Haenam Gim (Laver))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FF5EE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morska alga laver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A4B3B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Haenam Gim</w:t>
            </w:r>
          </w:p>
        </w:tc>
      </w:tr>
      <w:tr w:rsidR="002466B5" w:rsidRPr="00AE763B" w14:paraId="66238B0C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9951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고흥김</w:t>
            </w:r>
            <w:r w:rsidRPr="00AE763B">
              <w:rPr>
                <w:noProof/>
              </w:rPr>
              <w:t xml:space="preserve"> (Goheung Laver)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8A942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morska alga laver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21B0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Goheung Gim</w:t>
            </w:r>
          </w:p>
        </w:tc>
      </w:tr>
      <w:tr w:rsidR="002466B5" w:rsidRPr="00AE763B" w14:paraId="4DBA7E39" w14:textId="77777777" w:rsidTr="00942ED0">
        <w:trPr>
          <w:trHeight w:val="510"/>
        </w:trPr>
        <w:tc>
          <w:tcPr>
            <w:tcW w:w="35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A2B57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고흥굴</w:t>
            </w:r>
            <w:r w:rsidRPr="00AE763B">
              <w:rPr>
                <w:noProof/>
              </w:rPr>
              <w:t xml:space="preserve"> (Goheung Gul (Oyster))</w:t>
            </w:r>
          </w:p>
        </w:tc>
        <w:tc>
          <w:tcPr>
            <w:tcW w:w="184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D9C98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kamenica</w:t>
            </w:r>
          </w:p>
        </w:tc>
        <w:tc>
          <w:tcPr>
            <w:tcW w:w="378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D53F4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Goheung Gul</w:t>
            </w:r>
          </w:p>
        </w:tc>
      </w:tr>
    </w:tbl>
    <w:p w14:paraId="06892E9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57CD478C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793EA6E3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73955B48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43DBCD12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62570560" w14:textId="77777777" w:rsidR="00414037" w:rsidRPr="00AE763B" w:rsidRDefault="00414037">
      <w:pPr>
        <w:spacing w:before="0" w:after="200" w:line="276" w:lineRule="auto"/>
        <w:jc w:val="left"/>
        <w:rPr>
          <w:rFonts w:eastAsia="Malgun Gothic"/>
          <w:noProof/>
        </w:rPr>
      </w:pPr>
      <w:r w:rsidRPr="00AE763B">
        <w:rPr>
          <w:noProof/>
        </w:rPr>
        <w:br w:type="page"/>
      </w:r>
    </w:p>
    <w:p w14:paraId="3F762BE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lastRenderedPageBreak/>
        <w:t>Prilog IV.</w:t>
      </w:r>
    </w:p>
    <w:p w14:paraId="337F630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39071E7F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Odjeljak 1.</w:t>
      </w:r>
    </w:p>
    <w:p w14:paraId="6129B9E3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Vina podrijetlom iz Europske unije</w:t>
      </w:r>
    </w:p>
    <w:p w14:paraId="18CD2BCF" w14:textId="77777777" w:rsidR="002466B5" w:rsidRPr="00AE763B" w:rsidRDefault="002466B5" w:rsidP="002466B5">
      <w:pPr>
        <w:jc w:val="center"/>
        <w:rPr>
          <w:rFonts w:eastAsia="Malgun Gothic"/>
          <w:b/>
          <w:noProof/>
          <w:sz w:val="28"/>
          <w:szCs w:val="28"/>
        </w:rPr>
      </w:pP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72"/>
        <w:gridCol w:w="4309"/>
      </w:tblGrid>
      <w:tr w:rsidR="002466B5" w:rsidRPr="00AE763B" w14:paraId="3AB88D1D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12165EB9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Oznaka zemlje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7F3C8D5C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Naziv oznake</w:t>
            </w:r>
          </w:p>
        </w:tc>
        <w:tc>
          <w:tcPr>
            <w:tcW w:w="4309" w:type="dxa"/>
          </w:tcPr>
          <w:p w14:paraId="5107FE6D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Prijepis na korejsko pismo</w:t>
            </w:r>
          </w:p>
        </w:tc>
      </w:tr>
      <w:tr w:rsidR="002466B5" w:rsidRPr="00AE763B" w14:paraId="5CB617BD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550A727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CY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0CD72744" w14:textId="77777777" w:rsidR="002466B5" w:rsidRPr="00AE763B" w:rsidRDefault="002466B5" w:rsidP="00942ED0">
            <w:pPr>
              <w:rPr>
                <w:rFonts w:eastAsia="Malgun Gothic"/>
                <w:noProof/>
                <w:szCs w:val="24"/>
              </w:rPr>
            </w:pPr>
            <w:r w:rsidRPr="00AE763B">
              <w:rPr>
                <w:noProof/>
              </w:rPr>
              <w:t>Κουμανδαρία (prijepis na latinično pismo: Commandaria)</w:t>
            </w:r>
          </w:p>
        </w:tc>
        <w:tc>
          <w:tcPr>
            <w:tcW w:w="4309" w:type="dxa"/>
          </w:tcPr>
          <w:p w14:paraId="350A06D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꼬만다리아</w:t>
            </w:r>
          </w:p>
        </w:tc>
      </w:tr>
      <w:tr w:rsidR="002466B5" w:rsidRPr="00AE763B" w14:paraId="75BEC7F9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50B9842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DE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780EB0F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Franken</w:t>
            </w:r>
          </w:p>
        </w:tc>
        <w:tc>
          <w:tcPr>
            <w:tcW w:w="4309" w:type="dxa"/>
          </w:tcPr>
          <w:p w14:paraId="66A8D34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프랑켄</w:t>
            </w:r>
          </w:p>
        </w:tc>
      </w:tr>
      <w:tr w:rsidR="002466B5" w:rsidRPr="00AE763B" w14:paraId="24C43926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330A9298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37A6A3D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 xml:space="preserve">Utiel-Requena </w:t>
            </w:r>
          </w:p>
        </w:tc>
        <w:tc>
          <w:tcPr>
            <w:tcW w:w="4309" w:type="dxa"/>
          </w:tcPr>
          <w:p w14:paraId="0EE93C8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우띠엘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레께나</w:t>
            </w:r>
          </w:p>
        </w:tc>
      </w:tr>
      <w:tr w:rsidR="002466B5" w:rsidRPr="00AE763B" w14:paraId="3118DE09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16D1376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FR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73483B8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Pays d’Oc</w:t>
            </w:r>
          </w:p>
        </w:tc>
        <w:tc>
          <w:tcPr>
            <w:tcW w:w="4309" w:type="dxa"/>
          </w:tcPr>
          <w:p w14:paraId="35203EE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패이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독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뻬이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독</w:t>
            </w:r>
          </w:p>
        </w:tc>
      </w:tr>
      <w:tr w:rsidR="002466B5" w:rsidRPr="00AE763B" w14:paraId="0846FF24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220ABDC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FR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111EA80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Romanée-Conti</w:t>
            </w:r>
          </w:p>
        </w:tc>
        <w:tc>
          <w:tcPr>
            <w:tcW w:w="4309" w:type="dxa"/>
          </w:tcPr>
          <w:p w14:paraId="6021B5C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로마네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콘티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로마네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꽁띠</w:t>
            </w:r>
          </w:p>
        </w:tc>
      </w:tr>
      <w:tr w:rsidR="002466B5" w:rsidRPr="00AE763B" w14:paraId="027A13C6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26B6C0E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FR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4C121F1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Pauillac</w:t>
            </w:r>
          </w:p>
        </w:tc>
        <w:tc>
          <w:tcPr>
            <w:tcW w:w="4309" w:type="dxa"/>
          </w:tcPr>
          <w:p w14:paraId="6E3F039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포이약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뽀이약</w:t>
            </w:r>
          </w:p>
        </w:tc>
      </w:tr>
      <w:tr w:rsidR="002466B5" w:rsidRPr="00AE763B" w14:paraId="47E62019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20554AE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FR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03274DB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Saint-Estèphe</w:t>
            </w:r>
          </w:p>
        </w:tc>
        <w:tc>
          <w:tcPr>
            <w:tcW w:w="4309" w:type="dxa"/>
          </w:tcPr>
          <w:p w14:paraId="15DC84F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세인트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에스테브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쎙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에스테프</w:t>
            </w:r>
          </w:p>
        </w:tc>
      </w:tr>
      <w:tr w:rsidR="002466B5" w:rsidRPr="00AE763B" w14:paraId="0C7BFDDA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626A2F2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IT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1EA0D83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Prosecco</w:t>
            </w:r>
          </w:p>
        </w:tc>
        <w:tc>
          <w:tcPr>
            <w:tcW w:w="4309" w:type="dxa"/>
          </w:tcPr>
          <w:p w14:paraId="1B93B463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프로세코</w:t>
            </w:r>
          </w:p>
        </w:tc>
      </w:tr>
      <w:tr w:rsidR="002466B5" w:rsidRPr="00AE763B" w14:paraId="5841DCC3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0BC65D6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RO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53F9FDA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Cotnari</w:t>
            </w:r>
          </w:p>
        </w:tc>
        <w:tc>
          <w:tcPr>
            <w:tcW w:w="4309" w:type="dxa"/>
          </w:tcPr>
          <w:p w14:paraId="3884C33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코트나리</w:t>
            </w:r>
          </w:p>
        </w:tc>
      </w:tr>
      <w:tr w:rsidR="002466B5" w:rsidRPr="00AE763B" w14:paraId="6B140636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71BEFF2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SI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474E6A1B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Vipavska dolina</w:t>
            </w:r>
          </w:p>
        </w:tc>
        <w:tc>
          <w:tcPr>
            <w:tcW w:w="4309" w:type="dxa"/>
          </w:tcPr>
          <w:p w14:paraId="264974D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비파브스카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돌리나</w:t>
            </w:r>
          </w:p>
        </w:tc>
      </w:tr>
      <w:tr w:rsidR="002466B5" w:rsidRPr="00AE763B" w14:paraId="04DA1AFC" w14:textId="77777777" w:rsidTr="00942ED0">
        <w:trPr>
          <w:trHeight w:val="300"/>
        </w:trPr>
        <w:tc>
          <w:tcPr>
            <w:tcW w:w="1101" w:type="dxa"/>
            <w:shd w:val="clear" w:color="auto" w:fill="auto"/>
            <w:noWrap/>
            <w:hideMark/>
          </w:tcPr>
          <w:p w14:paraId="7A3F48F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SK</w:t>
            </w:r>
          </w:p>
        </w:tc>
        <w:tc>
          <w:tcPr>
            <w:tcW w:w="3572" w:type="dxa"/>
            <w:shd w:val="clear" w:color="auto" w:fill="auto"/>
            <w:noWrap/>
            <w:hideMark/>
          </w:tcPr>
          <w:p w14:paraId="68DF159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Vinohradnícka oblasť Tokaj</w:t>
            </w:r>
          </w:p>
        </w:tc>
        <w:tc>
          <w:tcPr>
            <w:tcW w:w="4309" w:type="dxa"/>
          </w:tcPr>
          <w:p w14:paraId="514CA81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비노흐라드니스카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오블라스트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토카이</w:t>
            </w:r>
          </w:p>
        </w:tc>
      </w:tr>
    </w:tbl>
    <w:p w14:paraId="3E49DCBC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32A5F210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23441A85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06BA1778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2C22FE15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557A3AE7" w14:textId="77777777" w:rsidR="00414037" w:rsidRPr="00AE763B" w:rsidRDefault="00414037">
      <w:pPr>
        <w:spacing w:before="0" w:after="200" w:line="276" w:lineRule="auto"/>
        <w:jc w:val="left"/>
        <w:rPr>
          <w:rFonts w:eastAsia="Malgun Gothic"/>
          <w:noProof/>
        </w:rPr>
      </w:pPr>
      <w:r w:rsidRPr="00AE763B">
        <w:rPr>
          <w:noProof/>
        </w:rPr>
        <w:br w:type="page"/>
      </w:r>
    </w:p>
    <w:p w14:paraId="4D329080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lastRenderedPageBreak/>
        <w:t>Odjeljak 2.</w:t>
      </w:r>
    </w:p>
    <w:p w14:paraId="27DE5D83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Alkoholna pića podrijetlom iz Europske unije</w:t>
      </w:r>
    </w:p>
    <w:p w14:paraId="18B62A5B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tbl>
      <w:tblPr>
        <w:tblpPr w:leftFromText="142" w:rightFromText="142" w:vertAnchor="text" w:tblpY="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605"/>
        <w:gridCol w:w="3118"/>
      </w:tblGrid>
      <w:tr w:rsidR="002466B5" w:rsidRPr="00AE763B" w14:paraId="34C5AA18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1F83AEA4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Oznaka zemlje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19CF8B4B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Naziv oznake</w:t>
            </w:r>
          </w:p>
        </w:tc>
        <w:tc>
          <w:tcPr>
            <w:tcW w:w="3118" w:type="dxa"/>
          </w:tcPr>
          <w:p w14:paraId="4A1F7B30" w14:textId="77777777" w:rsidR="002466B5" w:rsidRPr="00AE763B" w:rsidRDefault="002466B5" w:rsidP="00942ED0">
            <w:pPr>
              <w:rPr>
                <w:rFonts w:eastAsia="Malgun Gothic"/>
                <w:b/>
                <w:noProof/>
              </w:rPr>
            </w:pPr>
            <w:r w:rsidRPr="00AE763B">
              <w:rPr>
                <w:b/>
                <w:noProof/>
              </w:rPr>
              <w:t>Prijepis na korejsko pismo</w:t>
            </w:r>
          </w:p>
        </w:tc>
      </w:tr>
      <w:tr w:rsidR="002466B5" w:rsidRPr="00AE763B" w14:paraId="405E3BF6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1E1B2367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CY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1229E13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Ζιβανία / Τζιβανία / Ζιβάνα / Zivania</w:t>
            </w:r>
          </w:p>
        </w:tc>
        <w:tc>
          <w:tcPr>
            <w:tcW w:w="3118" w:type="dxa"/>
          </w:tcPr>
          <w:p w14:paraId="6BB2AB30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지바니아</w:t>
            </w:r>
          </w:p>
        </w:tc>
      </w:tr>
      <w:tr w:rsidR="002466B5" w:rsidRPr="00AE763B" w14:paraId="442FFEC4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7A2F190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ES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7BDFA7AF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Brandy del Penedés</w:t>
            </w:r>
          </w:p>
        </w:tc>
        <w:tc>
          <w:tcPr>
            <w:tcW w:w="3118" w:type="dxa"/>
          </w:tcPr>
          <w:p w14:paraId="4E30E0E1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브란디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델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뻬네데스</w:t>
            </w:r>
          </w:p>
        </w:tc>
      </w:tr>
      <w:tr w:rsidR="002466B5" w:rsidRPr="00AE763B" w14:paraId="00BF33DC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004D75AE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EL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36A84AD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Τσίπουρο/Tsipouro</w:t>
            </w:r>
          </w:p>
        </w:tc>
        <w:tc>
          <w:tcPr>
            <w:tcW w:w="3118" w:type="dxa"/>
          </w:tcPr>
          <w:p w14:paraId="714BB72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치푸로</w:t>
            </w:r>
          </w:p>
        </w:tc>
      </w:tr>
      <w:tr w:rsidR="002466B5" w:rsidRPr="00AE763B" w14:paraId="69FE322E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423531CC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IE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0DC445C4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Irish Cream</w:t>
            </w:r>
          </w:p>
        </w:tc>
        <w:tc>
          <w:tcPr>
            <w:tcW w:w="3118" w:type="dxa"/>
          </w:tcPr>
          <w:p w14:paraId="3DB5294D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아이리쉬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크림</w:t>
            </w:r>
          </w:p>
        </w:tc>
      </w:tr>
      <w:tr w:rsidR="002466B5" w:rsidRPr="00AE763B" w14:paraId="287B5F13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57D80C4A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LT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165C5D35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Originali lietuviška degtinė/Original Lithuanian vodka</w:t>
            </w:r>
          </w:p>
        </w:tc>
        <w:tc>
          <w:tcPr>
            <w:tcW w:w="3118" w:type="dxa"/>
          </w:tcPr>
          <w:p w14:paraId="70708A6D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오리지널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리투아니아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보드카</w:t>
            </w:r>
          </w:p>
        </w:tc>
      </w:tr>
      <w:tr w:rsidR="002466B5" w:rsidRPr="00AE763B" w14:paraId="6A6B487F" w14:textId="77777777" w:rsidTr="00942ED0">
        <w:trPr>
          <w:trHeight w:val="300"/>
        </w:trPr>
        <w:tc>
          <w:tcPr>
            <w:tcW w:w="2328" w:type="dxa"/>
            <w:shd w:val="clear" w:color="auto" w:fill="auto"/>
            <w:noWrap/>
            <w:hideMark/>
          </w:tcPr>
          <w:p w14:paraId="1FFB2FE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 xml:space="preserve"> BE+NL+FR+DE</w:t>
            </w:r>
          </w:p>
        </w:tc>
        <w:tc>
          <w:tcPr>
            <w:tcW w:w="3605" w:type="dxa"/>
            <w:shd w:val="clear" w:color="auto" w:fill="auto"/>
            <w:noWrap/>
            <w:hideMark/>
          </w:tcPr>
          <w:p w14:paraId="026955C9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Genièvre/Jenever/Genever</w:t>
            </w:r>
          </w:p>
        </w:tc>
        <w:tc>
          <w:tcPr>
            <w:tcW w:w="3118" w:type="dxa"/>
          </w:tcPr>
          <w:p w14:paraId="1E0CC196" w14:textId="77777777" w:rsidR="002466B5" w:rsidRPr="00AE763B" w:rsidRDefault="002466B5" w:rsidP="00942ED0">
            <w:pPr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예네이버</w:t>
            </w:r>
            <w:r w:rsidRPr="00AE763B">
              <w:rPr>
                <w:noProof/>
              </w:rPr>
              <w:t>/</w:t>
            </w:r>
            <w:r w:rsidRPr="00AE763B">
              <w:rPr>
                <w:rFonts w:ascii="Malgun Gothic" w:hAnsi="Malgun Gothic"/>
                <w:noProof/>
              </w:rPr>
              <w:t>제니버</w:t>
            </w:r>
          </w:p>
        </w:tc>
      </w:tr>
    </w:tbl>
    <w:p w14:paraId="30C9190A" w14:textId="77777777" w:rsidR="00414037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br w:type="textWrapping" w:clear="all"/>
      </w:r>
    </w:p>
    <w:p w14:paraId="2DD25380" w14:textId="77777777" w:rsidR="00414037" w:rsidRPr="00AE763B" w:rsidRDefault="00414037" w:rsidP="00414037">
      <w:pPr>
        <w:rPr>
          <w:noProof/>
        </w:rPr>
      </w:pPr>
      <w:r w:rsidRPr="00AE763B">
        <w:rPr>
          <w:noProof/>
        </w:rPr>
        <w:br w:type="page"/>
      </w:r>
    </w:p>
    <w:p w14:paraId="78DA182F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lastRenderedPageBreak/>
        <w:t>Prilog V.</w:t>
      </w:r>
    </w:p>
    <w:p w14:paraId="61DEB63D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2466B5" w:rsidRPr="00AE763B" w14:paraId="40036A99" w14:textId="77777777" w:rsidTr="00942ED0">
        <w:trPr>
          <w:trHeight w:val="510"/>
        </w:trPr>
        <w:tc>
          <w:tcPr>
            <w:tcW w:w="44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2230B" w14:textId="77777777" w:rsidR="002466B5" w:rsidRPr="00AE763B" w:rsidRDefault="002466B5" w:rsidP="00942ED0">
            <w:pPr>
              <w:jc w:val="center"/>
              <w:rPr>
                <w:rFonts w:eastAsia="Malgun Gothic"/>
                <w:b/>
                <w:bCs/>
                <w:noProof/>
              </w:rPr>
            </w:pPr>
            <w:r w:rsidRPr="00AE763B">
              <w:rPr>
                <w:b/>
                <w:noProof/>
              </w:rPr>
              <w:t>Naziv koji se zaštićuje</w:t>
            </w:r>
          </w:p>
        </w:tc>
        <w:tc>
          <w:tcPr>
            <w:tcW w:w="44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073184" w14:textId="77777777" w:rsidR="002466B5" w:rsidRPr="00AE763B" w:rsidRDefault="002466B5" w:rsidP="00942ED0">
            <w:pPr>
              <w:jc w:val="center"/>
              <w:rPr>
                <w:rFonts w:eastAsia="Malgun Gothic"/>
                <w:b/>
                <w:bCs/>
                <w:noProof/>
              </w:rPr>
            </w:pPr>
            <w:r w:rsidRPr="00AE763B">
              <w:rPr>
                <w:b/>
                <w:noProof/>
              </w:rPr>
              <w:t>Prijepis na latinično pismo</w:t>
            </w:r>
          </w:p>
        </w:tc>
      </w:tr>
      <w:tr w:rsidR="002466B5" w:rsidRPr="00AE763B" w14:paraId="616C7235" w14:textId="77777777" w:rsidTr="00942ED0">
        <w:trPr>
          <w:trHeight w:val="536"/>
        </w:trPr>
        <w:tc>
          <w:tcPr>
            <w:tcW w:w="44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D3AA9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무주머루와인</w:t>
            </w:r>
            <w:r w:rsidRPr="00AE763B">
              <w:rPr>
                <w:noProof/>
              </w:rPr>
              <w:t xml:space="preserve"> (Muju Wild Grape Wine)</w:t>
            </w:r>
          </w:p>
        </w:tc>
        <w:tc>
          <w:tcPr>
            <w:tcW w:w="44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03F63" w14:textId="77777777" w:rsidR="002466B5" w:rsidRPr="00AE763B" w:rsidRDefault="002466B5" w:rsidP="00942ED0">
            <w:pPr>
              <w:jc w:val="left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Muju Meoru Wine</w:t>
            </w:r>
          </w:p>
        </w:tc>
      </w:tr>
    </w:tbl>
    <w:p w14:paraId="186652C4" w14:textId="77777777" w:rsidR="002466B5" w:rsidRPr="00AE763B" w:rsidRDefault="002466B5" w:rsidP="002466B5">
      <w:pPr>
        <w:jc w:val="left"/>
        <w:rPr>
          <w:rFonts w:eastAsia="Malgun Gothic"/>
          <w:noProof/>
        </w:rPr>
      </w:pPr>
    </w:p>
    <w:p w14:paraId="2881F82E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br w:type="page"/>
      </w:r>
      <w:r w:rsidRPr="00AE763B">
        <w:rPr>
          <w:noProof/>
        </w:rPr>
        <w:lastRenderedPageBreak/>
        <w:t>Prilog VI.</w:t>
      </w:r>
    </w:p>
    <w:p w14:paraId="1D1AC16C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267B155E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FRANCUSKA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66B5" w:rsidRPr="00AE763B" w14:paraId="64F46DEC" w14:textId="77777777" w:rsidTr="00942ED0">
        <w:tc>
          <w:tcPr>
            <w:tcW w:w="3070" w:type="dxa"/>
          </w:tcPr>
          <w:p w14:paraId="5AEF756A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Huile essentielle de lavande de Haute-Provence/Essence de lavande de Haute-Provence</w:t>
            </w:r>
            <w:r w:rsidRPr="00AE763B">
              <w:rPr>
                <w:rStyle w:val="FootnoteReference"/>
                <w:rFonts w:eastAsia="Malgun Gothic"/>
                <w:noProof/>
              </w:rPr>
              <w:footnoteReference w:id="20"/>
            </w:r>
          </w:p>
        </w:tc>
        <w:tc>
          <w:tcPr>
            <w:tcW w:w="3071" w:type="dxa"/>
          </w:tcPr>
          <w:p w14:paraId="2F783B2D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eterično ulje od lavande</w:t>
            </w:r>
          </w:p>
        </w:tc>
        <w:tc>
          <w:tcPr>
            <w:tcW w:w="3071" w:type="dxa"/>
          </w:tcPr>
          <w:p w14:paraId="3282F4C1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윌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에썽씨엘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라벙드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오뜨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프로방스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에썽스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라벙드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오뜨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프로방스</w:t>
            </w:r>
            <w:r w:rsidRPr="00AE763B">
              <w:rPr>
                <w:noProof/>
              </w:rPr>
              <w:t xml:space="preserve"> (</w:t>
            </w:r>
            <w:r w:rsidRPr="00AE763B">
              <w:rPr>
                <w:rFonts w:ascii="Malgun Gothic" w:hAnsi="Malgun Gothic"/>
                <w:noProof/>
              </w:rPr>
              <w:t>오뜨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프로방스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라벙드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에센스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오일</w:t>
            </w:r>
            <w:r w:rsidRPr="00AE763B">
              <w:rPr>
                <w:noProof/>
              </w:rPr>
              <w:t>)</w:t>
            </w:r>
          </w:p>
        </w:tc>
      </w:tr>
    </w:tbl>
    <w:p w14:paraId="1029E076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3194CDA9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ITALIJA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66B5" w:rsidRPr="00AE763B" w14:paraId="14D76943" w14:textId="77777777" w:rsidTr="00942ED0">
        <w:tc>
          <w:tcPr>
            <w:tcW w:w="3070" w:type="dxa"/>
          </w:tcPr>
          <w:p w14:paraId="34A2881D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Prosciutto di San Daniele</w:t>
            </w:r>
            <w:r w:rsidRPr="00AE763B">
              <w:rPr>
                <w:rStyle w:val="FootnoteReference"/>
                <w:rFonts w:eastAsia="Malgun Gothic"/>
                <w:noProof/>
              </w:rPr>
              <w:footnoteReference w:id="21"/>
            </w:r>
          </w:p>
        </w:tc>
        <w:tc>
          <w:tcPr>
            <w:tcW w:w="3071" w:type="dxa"/>
          </w:tcPr>
          <w:p w14:paraId="5A4C9175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šunka</w:t>
            </w:r>
          </w:p>
        </w:tc>
        <w:tc>
          <w:tcPr>
            <w:tcW w:w="3071" w:type="dxa"/>
          </w:tcPr>
          <w:p w14:paraId="467515F0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프로슈토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디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다니엘레</w:t>
            </w:r>
            <w:r w:rsidRPr="00AE763B">
              <w:rPr>
                <w:noProof/>
              </w:rPr>
              <w:t>(</w:t>
            </w:r>
            <w:r w:rsidRPr="00AE763B">
              <w:rPr>
                <w:rFonts w:ascii="Malgun Gothic" w:hAnsi="Malgun Gothic"/>
                <w:noProof/>
              </w:rPr>
              <w:t>생햄</w:t>
            </w:r>
            <w:r w:rsidRPr="00AE763B">
              <w:rPr>
                <w:noProof/>
              </w:rPr>
              <w:t>)</w:t>
            </w:r>
          </w:p>
        </w:tc>
      </w:tr>
    </w:tbl>
    <w:p w14:paraId="26EDF759" w14:textId="77777777" w:rsidR="002466B5" w:rsidRPr="00AE763B" w:rsidRDefault="002466B5" w:rsidP="002466B5">
      <w:pPr>
        <w:rPr>
          <w:rFonts w:eastAsia="Malgun Gothic"/>
          <w:noProof/>
        </w:rPr>
      </w:pPr>
    </w:p>
    <w:p w14:paraId="1236DA2A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5D5C4603" w14:textId="77777777" w:rsidR="002466B5" w:rsidRPr="00AE763B" w:rsidRDefault="002466B5" w:rsidP="002466B5">
      <w:pPr>
        <w:jc w:val="center"/>
        <w:rPr>
          <w:rFonts w:eastAsia="Malgun Gothic"/>
          <w:noProof/>
        </w:rPr>
      </w:pPr>
      <w:r w:rsidRPr="00AE763B">
        <w:rPr>
          <w:noProof/>
        </w:rPr>
        <w:t>ŠPANJOLSKA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66B5" w:rsidRPr="00AE763B" w14:paraId="6022A8FA" w14:textId="77777777" w:rsidTr="00942ED0">
        <w:tc>
          <w:tcPr>
            <w:tcW w:w="3070" w:type="dxa"/>
          </w:tcPr>
          <w:p w14:paraId="37F6C93E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Jamón de Teruel/Paleta de Teruel</w:t>
            </w:r>
            <w:r w:rsidRPr="00AE763B">
              <w:rPr>
                <w:rStyle w:val="FootnoteReference"/>
                <w:rFonts w:eastAsia="Malgun Gothic"/>
                <w:noProof/>
              </w:rPr>
              <w:footnoteReference w:id="22"/>
            </w:r>
          </w:p>
        </w:tc>
        <w:tc>
          <w:tcPr>
            <w:tcW w:w="3071" w:type="dxa"/>
          </w:tcPr>
          <w:p w14:paraId="1193156F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šunka</w:t>
            </w:r>
          </w:p>
        </w:tc>
        <w:tc>
          <w:tcPr>
            <w:tcW w:w="3071" w:type="dxa"/>
          </w:tcPr>
          <w:p w14:paraId="52AA08DB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하몬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떼루엘</w:t>
            </w:r>
            <w:r w:rsidRPr="00AE763B">
              <w:rPr>
                <w:noProof/>
              </w:rPr>
              <w:t xml:space="preserve"> / </w:t>
            </w:r>
            <w:r w:rsidRPr="00AE763B">
              <w:rPr>
                <w:rFonts w:ascii="Malgun Gothic" w:hAnsi="Malgun Gothic"/>
                <w:noProof/>
              </w:rPr>
              <w:t>빨레따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데</w:t>
            </w:r>
            <w:r w:rsidRPr="00AE763B">
              <w:rPr>
                <w:noProof/>
              </w:rPr>
              <w:t xml:space="preserve"> </w:t>
            </w:r>
            <w:r w:rsidRPr="00AE763B">
              <w:rPr>
                <w:rFonts w:ascii="Malgun Gothic" w:hAnsi="Malgun Gothic"/>
                <w:noProof/>
              </w:rPr>
              <w:t>떼루엘</w:t>
            </w:r>
          </w:p>
        </w:tc>
      </w:tr>
      <w:tr w:rsidR="002466B5" w:rsidRPr="00AE763B" w14:paraId="2A8EF93E" w14:textId="77777777" w:rsidTr="00942ED0">
        <w:tc>
          <w:tcPr>
            <w:tcW w:w="3070" w:type="dxa"/>
          </w:tcPr>
          <w:p w14:paraId="2CB95C7B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Jabugo</w:t>
            </w:r>
            <w:r w:rsidRPr="00AE763B">
              <w:rPr>
                <w:rStyle w:val="FootnoteReference"/>
                <w:rFonts w:eastAsia="Malgun Gothic"/>
                <w:noProof/>
              </w:rPr>
              <w:footnoteReference w:id="23"/>
            </w:r>
          </w:p>
        </w:tc>
        <w:tc>
          <w:tcPr>
            <w:tcW w:w="3071" w:type="dxa"/>
          </w:tcPr>
          <w:p w14:paraId="5E1DB678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noProof/>
              </w:rPr>
              <w:t>šunka</w:t>
            </w:r>
          </w:p>
        </w:tc>
        <w:tc>
          <w:tcPr>
            <w:tcW w:w="3071" w:type="dxa"/>
          </w:tcPr>
          <w:p w14:paraId="34EE06FD" w14:textId="77777777" w:rsidR="002466B5" w:rsidRPr="00AE763B" w:rsidRDefault="002466B5" w:rsidP="00942ED0">
            <w:pPr>
              <w:jc w:val="center"/>
              <w:rPr>
                <w:rFonts w:eastAsia="Malgun Gothic"/>
                <w:noProof/>
              </w:rPr>
            </w:pPr>
            <w:r w:rsidRPr="00AE763B">
              <w:rPr>
                <w:rFonts w:ascii="Malgun Gothic" w:hAnsi="Malgun Gothic"/>
                <w:noProof/>
              </w:rPr>
              <w:t>하부고</w:t>
            </w:r>
          </w:p>
        </w:tc>
      </w:tr>
    </w:tbl>
    <w:p w14:paraId="49FC977D" w14:textId="77777777" w:rsidR="002466B5" w:rsidRPr="00AE763B" w:rsidRDefault="002466B5" w:rsidP="002466B5">
      <w:pPr>
        <w:jc w:val="center"/>
        <w:rPr>
          <w:rFonts w:eastAsia="Malgun Gothic"/>
          <w:noProof/>
        </w:rPr>
      </w:pPr>
    </w:p>
    <w:p w14:paraId="7A4C79B0" w14:textId="77777777" w:rsidR="002466B5" w:rsidRPr="00AE763B" w:rsidRDefault="002466B5" w:rsidP="002466B5">
      <w:pPr>
        <w:rPr>
          <w:rFonts w:eastAsia="Malgun Gothic"/>
          <w:noProof/>
        </w:rPr>
      </w:pPr>
    </w:p>
    <w:p w14:paraId="62E548A0" w14:textId="77777777" w:rsidR="002466B5" w:rsidRPr="00AE763B" w:rsidRDefault="002466B5" w:rsidP="002466B5">
      <w:pPr>
        <w:rPr>
          <w:noProof/>
        </w:rPr>
      </w:pPr>
    </w:p>
    <w:p w14:paraId="11200D5A" w14:textId="77777777" w:rsidR="00152894" w:rsidRPr="00AE763B" w:rsidRDefault="00152894" w:rsidP="002466B5">
      <w:pPr>
        <w:rPr>
          <w:noProof/>
        </w:rPr>
      </w:pPr>
    </w:p>
    <w:sectPr w:rsidR="00152894" w:rsidRPr="00AE763B" w:rsidSect="00311C30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C7D4" w14:textId="77777777" w:rsidR="002466B5" w:rsidRDefault="002466B5" w:rsidP="002466B5">
      <w:pPr>
        <w:spacing w:before="0" w:after="0"/>
      </w:pPr>
      <w:r>
        <w:separator/>
      </w:r>
    </w:p>
  </w:endnote>
  <w:endnote w:type="continuationSeparator" w:id="0">
    <w:p w14:paraId="53655293" w14:textId="77777777" w:rsidR="002466B5" w:rsidRDefault="002466B5" w:rsidP="00246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58CA" w14:textId="77777777" w:rsidR="00311C30" w:rsidRPr="00311C30" w:rsidRDefault="00311C30" w:rsidP="0031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D4A9" w14:textId="1F4E3213" w:rsidR="002466B5" w:rsidRPr="00311C30" w:rsidRDefault="00311C30" w:rsidP="00311C30">
    <w:pPr>
      <w:pStyle w:val="Footer"/>
      <w:rPr>
        <w:rFonts w:ascii="Arial" w:hAnsi="Arial" w:cs="Arial"/>
        <w:b/>
        <w:sz w:val="48"/>
      </w:rPr>
    </w:pPr>
    <w:r w:rsidRPr="00311C30">
      <w:rPr>
        <w:rFonts w:ascii="Arial" w:hAnsi="Arial" w:cs="Arial"/>
        <w:b/>
        <w:sz w:val="48"/>
      </w:rPr>
      <w:t>HR</w:t>
    </w:r>
    <w:r w:rsidRPr="00311C30">
      <w:rPr>
        <w:rFonts w:ascii="Arial" w:hAnsi="Arial" w:cs="Arial"/>
        <w:b/>
        <w:sz w:val="48"/>
      </w:rPr>
      <w:tab/>
    </w:r>
    <w:r w:rsidRPr="00311C30">
      <w:rPr>
        <w:rFonts w:ascii="Arial" w:hAnsi="Arial" w:cs="Arial"/>
        <w:b/>
        <w:sz w:val="48"/>
      </w:rPr>
      <w:tab/>
    </w:r>
    <w:r w:rsidRPr="00311C30">
      <w:tab/>
    </w:r>
    <w:r w:rsidRPr="00311C30">
      <w:rPr>
        <w:rFonts w:ascii="Arial" w:hAnsi="Arial" w:cs="Arial"/>
        <w:b/>
        <w:sz w:val="48"/>
      </w:rPr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E0FF" w14:textId="77777777" w:rsidR="00311C30" w:rsidRPr="00311C30" w:rsidRDefault="00311C30" w:rsidP="00311C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5366" w14:textId="151B8747" w:rsidR="00311C30" w:rsidRPr="00311C30" w:rsidRDefault="00311C30" w:rsidP="00311C30">
    <w:pPr>
      <w:pStyle w:val="Footer"/>
      <w:rPr>
        <w:rFonts w:ascii="Arial" w:hAnsi="Arial" w:cs="Arial"/>
        <w:b/>
        <w:sz w:val="48"/>
      </w:rPr>
    </w:pPr>
    <w:r w:rsidRPr="00311C30">
      <w:rPr>
        <w:rFonts w:ascii="Arial" w:hAnsi="Arial" w:cs="Arial"/>
        <w:b/>
        <w:sz w:val="48"/>
      </w:rPr>
      <w:t>HR</w:t>
    </w:r>
    <w:r w:rsidRPr="00311C3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311C30">
      <w:tab/>
    </w:r>
    <w:r w:rsidRPr="00311C30">
      <w:rPr>
        <w:rFonts w:ascii="Arial" w:hAnsi="Arial" w:cs="Arial"/>
        <w:b/>
        <w:sz w:val="48"/>
      </w:rPr>
      <w:t>HR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E9E4" w14:textId="77777777" w:rsidR="00311C30" w:rsidRPr="00311C30" w:rsidRDefault="00311C30" w:rsidP="0031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CE77" w14:textId="77777777" w:rsidR="002466B5" w:rsidRDefault="002466B5" w:rsidP="002466B5">
      <w:pPr>
        <w:spacing w:before="0" w:after="0"/>
      </w:pPr>
      <w:r>
        <w:separator/>
      </w:r>
    </w:p>
  </w:footnote>
  <w:footnote w:type="continuationSeparator" w:id="0">
    <w:p w14:paraId="4A903EF7" w14:textId="77777777" w:rsidR="002466B5" w:rsidRDefault="002466B5" w:rsidP="002466B5">
      <w:pPr>
        <w:spacing w:before="0" w:after="0"/>
      </w:pPr>
      <w:r>
        <w:continuationSeparator/>
      </w:r>
    </w:p>
  </w:footnote>
  <w:footnote w:id="1">
    <w:p w14:paraId="00E14653" w14:textId="77777777" w:rsidR="002466B5" w:rsidRPr="00B20CC5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39, 13.2.2008., str. 16.</w:t>
      </w:r>
    </w:p>
  </w:footnote>
  <w:footnote w:id="2">
    <w:p w14:paraId="5D53875D" w14:textId="77777777" w:rsidR="002466B5" w:rsidRPr="00B20CC5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130, 17.5.2019., str. 1.</w:t>
      </w:r>
    </w:p>
  </w:footnote>
  <w:footnote w:id="3">
    <w:p w14:paraId="687CD0E0" w14:textId="77777777" w:rsidR="002466B5" w:rsidRPr="00A94CB9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93, 31.3.2006., str. 12.</w:t>
      </w:r>
    </w:p>
  </w:footnote>
  <w:footnote w:id="4">
    <w:p w14:paraId="176621BB" w14:textId="77777777" w:rsidR="002466B5" w:rsidRPr="00A94CB9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343, 14.12.2012., str. 1.</w:t>
      </w:r>
    </w:p>
  </w:footnote>
  <w:footnote w:id="5">
    <w:p w14:paraId="4428BC2E" w14:textId="77777777" w:rsidR="002466B5" w:rsidRPr="00A94CB9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149, 14.6.1991., str. 1.</w:t>
      </w:r>
    </w:p>
  </w:footnote>
  <w:footnote w:id="6">
    <w:p w14:paraId="69C801DB" w14:textId="77777777" w:rsidR="002466B5" w:rsidRPr="00A94CB9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84, 20.3.2014., str. 14.</w:t>
      </w:r>
    </w:p>
  </w:footnote>
  <w:footnote w:id="7">
    <w:p w14:paraId="38FC23E6" w14:textId="77777777" w:rsidR="002466B5" w:rsidRPr="00BF2A0E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179, 14.7.1999., str. 1.</w:t>
      </w:r>
    </w:p>
  </w:footnote>
  <w:footnote w:id="8">
    <w:p w14:paraId="3BF9F344" w14:textId="77777777" w:rsidR="002466B5" w:rsidRPr="00BF2A0E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154, 17.6.2009., str. 1.</w:t>
      </w:r>
    </w:p>
  </w:footnote>
  <w:footnote w:id="9">
    <w:p w14:paraId="7EF640D4" w14:textId="77777777" w:rsidR="002466B5" w:rsidRPr="00BF2A0E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299, 16.11.2007., str. 1.</w:t>
      </w:r>
    </w:p>
  </w:footnote>
  <w:footnote w:id="10">
    <w:p w14:paraId="48221002" w14:textId="77777777" w:rsidR="002466B5" w:rsidRPr="00BF2A0E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347, 20.12.2013., str. 671.</w:t>
      </w:r>
    </w:p>
  </w:footnote>
  <w:footnote w:id="11">
    <w:p w14:paraId="5DCCF477" w14:textId="77777777" w:rsidR="002466B5" w:rsidRPr="001011FF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 w:rsidRPr="004D258C">
        <w:t>대한민국정부</w:t>
      </w:r>
      <w:r w:rsidRPr="004D258C">
        <w:t xml:space="preserve"> </w:t>
      </w:r>
      <w:r w:rsidRPr="004D258C">
        <w:t>관보</w:t>
      </w:r>
      <w:r w:rsidRPr="004D258C">
        <w:t xml:space="preserve"> </w:t>
      </w:r>
      <w:r w:rsidRPr="004D258C">
        <w:t>제</w:t>
      </w:r>
      <w:r>
        <w:t>20151</w:t>
      </w:r>
      <w:r w:rsidRPr="004D258C">
        <w:t>호</w:t>
      </w:r>
      <w:r w:rsidRPr="004D258C">
        <w:t xml:space="preserve"> </w:t>
      </w:r>
      <w:r>
        <w:t>(Službeni list 20151), 21.12.2021., str. 47.</w:t>
      </w:r>
    </w:p>
  </w:footnote>
  <w:footnote w:id="12">
    <w:p w14:paraId="1ACB6DF9" w14:textId="77777777" w:rsidR="002466B5" w:rsidRPr="002466B5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 w:rsidRPr="004D258C">
        <w:t>대한민국정부</w:t>
      </w:r>
      <w:r w:rsidRPr="004D258C">
        <w:t xml:space="preserve"> </w:t>
      </w:r>
      <w:r w:rsidRPr="004D258C">
        <w:t>관보</w:t>
      </w:r>
      <w:r w:rsidRPr="004D258C">
        <w:t xml:space="preserve"> </w:t>
      </w:r>
      <w:r w:rsidRPr="004D258C">
        <w:t>제</w:t>
      </w:r>
      <w:r>
        <w:t>19907</w:t>
      </w:r>
      <w:r w:rsidRPr="004D258C">
        <w:t>호</w:t>
      </w:r>
      <w:r w:rsidRPr="004D258C">
        <w:t xml:space="preserve"> </w:t>
      </w:r>
      <w:r>
        <w:t>(Službeni list 19907), 29.12.2020., str. 110.</w:t>
      </w:r>
    </w:p>
  </w:footnote>
  <w:footnote w:id="13">
    <w:p w14:paraId="09469CC9" w14:textId="77777777" w:rsidR="002466B5" w:rsidRPr="002466B5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 w:rsidRPr="004D258C">
        <w:t>대한민국정부</w:t>
      </w:r>
      <w:r w:rsidRPr="004D258C">
        <w:t xml:space="preserve"> </w:t>
      </w:r>
      <w:r w:rsidRPr="004D258C">
        <w:t>관보</w:t>
      </w:r>
      <w:r w:rsidRPr="004D258C">
        <w:t xml:space="preserve"> </w:t>
      </w:r>
      <w:r w:rsidRPr="004D258C">
        <w:t>제</w:t>
      </w:r>
      <w:r>
        <w:t>20151</w:t>
      </w:r>
      <w:r w:rsidRPr="004D258C">
        <w:t>호</w:t>
      </w:r>
      <w:r w:rsidRPr="004D258C">
        <w:t xml:space="preserve"> </w:t>
      </w:r>
      <w:r>
        <w:t>(Službeni list 20151), 21.12.2021., str. 39.</w:t>
      </w:r>
    </w:p>
  </w:footnote>
  <w:footnote w:id="14">
    <w:p w14:paraId="74F98EC0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 w:rsidRPr="004D258C">
        <w:t>대한민국정부</w:t>
      </w:r>
      <w:r w:rsidRPr="004D258C">
        <w:t xml:space="preserve"> </w:t>
      </w:r>
      <w:r w:rsidRPr="004D258C">
        <w:t>관보</w:t>
      </w:r>
      <w:r w:rsidRPr="004D258C">
        <w:t xml:space="preserve"> </w:t>
      </w:r>
      <w:r w:rsidRPr="004D258C">
        <w:t>제</w:t>
      </w:r>
      <w:r>
        <w:t>20163</w:t>
      </w:r>
      <w:r w:rsidRPr="004D258C">
        <w:t>호</w:t>
      </w:r>
      <w:r w:rsidRPr="004D258C">
        <w:t xml:space="preserve"> </w:t>
      </w:r>
      <w:r w:rsidRPr="004D258C">
        <w:t>별권</w:t>
      </w:r>
      <w:r>
        <w:t>1 (Službeni list 20163, posebno izdanje 1), 6.1.2021., str. 4.</w:t>
      </w:r>
    </w:p>
  </w:footnote>
  <w:footnote w:id="15">
    <w:p w14:paraId="24E663BF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114, 30.4.2019., str. 7.</w:t>
      </w:r>
    </w:p>
  </w:footnote>
  <w:footnote w:id="16">
    <w:p w14:paraId="358D63F0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 xml:space="preserve">„Huile essentielle de lavande de Haute-Provence” postalo je „Huile essentielle de lavande de Haute-Provence/Essence de lavande de Haute-Provence” (prijepis: </w:t>
      </w:r>
      <w:r w:rsidRPr="004D258C">
        <w:t>윌</w:t>
      </w:r>
      <w:r w:rsidRPr="004D258C">
        <w:t xml:space="preserve"> </w:t>
      </w:r>
      <w:r w:rsidRPr="004D258C">
        <w:t>에썽씨엘</w:t>
      </w:r>
      <w:r w:rsidRPr="004D258C">
        <w:t xml:space="preserve"> </w:t>
      </w:r>
      <w:r w:rsidRPr="004D258C">
        <w:t>드</w:t>
      </w:r>
      <w:r w:rsidRPr="004D258C">
        <w:t xml:space="preserve"> </w:t>
      </w:r>
      <w:r w:rsidRPr="004D258C">
        <w:t>라벙드</w:t>
      </w:r>
      <w:r w:rsidRPr="004D258C">
        <w:t xml:space="preserve"> </w:t>
      </w:r>
      <w:r w:rsidRPr="004D258C">
        <w:t>드</w:t>
      </w:r>
      <w:r w:rsidRPr="004D258C">
        <w:t xml:space="preserve"> </w:t>
      </w:r>
      <w:r w:rsidRPr="004D258C">
        <w:t>오뜨</w:t>
      </w:r>
      <w:r w:rsidRPr="004D258C">
        <w:t xml:space="preserve"> </w:t>
      </w:r>
      <w:r w:rsidRPr="004D258C">
        <w:t>프로방스</w:t>
      </w:r>
      <w:r>
        <w:t xml:space="preserve"> /</w:t>
      </w:r>
      <w:r w:rsidRPr="004D258C">
        <w:t xml:space="preserve"> </w:t>
      </w:r>
      <w:r w:rsidRPr="004D258C">
        <w:t>에썽스</w:t>
      </w:r>
      <w:r w:rsidRPr="004D258C">
        <w:t xml:space="preserve"> </w:t>
      </w:r>
      <w:r w:rsidRPr="004D258C">
        <w:t>드</w:t>
      </w:r>
      <w:r w:rsidRPr="004D258C">
        <w:t xml:space="preserve"> </w:t>
      </w:r>
      <w:r w:rsidRPr="004D258C">
        <w:t>라벙드</w:t>
      </w:r>
      <w:r w:rsidRPr="004D258C">
        <w:t xml:space="preserve"> </w:t>
      </w:r>
      <w:r w:rsidRPr="004D258C">
        <w:t>드</w:t>
      </w:r>
      <w:r w:rsidRPr="004D258C">
        <w:t xml:space="preserve"> </w:t>
      </w:r>
      <w:r w:rsidRPr="004D258C">
        <w:t>오뜨</w:t>
      </w:r>
      <w:r w:rsidRPr="004D258C">
        <w:t xml:space="preserve"> </w:t>
      </w:r>
      <w:r w:rsidRPr="004D258C">
        <w:t>프로방스</w:t>
      </w:r>
      <w:r w:rsidRPr="004D258C">
        <w:t xml:space="preserve"> </w:t>
      </w:r>
      <w:r>
        <w:t>(</w:t>
      </w:r>
      <w:r w:rsidRPr="004D258C">
        <w:t>오뜨</w:t>
      </w:r>
      <w:r w:rsidRPr="004D258C">
        <w:t xml:space="preserve"> </w:t>
      </w:r>
      <w:r w:rsidRPr="004D258C">
        <w:t>프로방스</w:t>
      </w:r>
      <w:r w:rsidRPr="004D258C">
        <w:t xml:space="preserve"> </w:t>
      </w:r>
      <w:r w:rsidRPr="004D258C">
        <w:t>라벙드</w:t>
      </w:r>
      <w:r w:rsidRPr="004D258C">
        <w:t xml:space="preserve"> </w:t>
      </w:r>
      <w:r w:rsidRPr="004D258C">
        <w:t>에센스</w:t>
      </w:r>
      <w:r w:rsidRPr="004D258C">
        <w:t xml:space="preserve"> </w:t>
      </w:r>
      <w:r w:rsidRPr="004D258C">
        <w:t>오일</w:t>
      </w:r>
      <w:r>
        <w:t xml:space="preserve">) – „Prosciutto di S. Daniele” postalo je „Prosciutto di San Daniele” (prijepis ostaje isti) – „Jamon de Teruel” postalo je „Jamón de Teruel/Paleta de Teruel” (prijepis: </w:t>
      </w:r>
      <w:r w:rsidRPr="004D258C">
        <w:t>하몬</w:t>
      </w:r>
      <w:r w:rsidRPr="004D258C">
        <w:t xml:space="preserve"> </w:t>
      </w:r>
      <w:r w:rsidRPr="004D258C">
        <w:t>데</w:t>
      </w:r>
      <w:r w:rsidRPr="004D258C">
        <w:t xml:space="preserve"> </w:t>
      </w:r>
      <w:r w:rsidRPr="004D258C">
        <w:t>떼루엘</w:t>
      </w:r>
      <w:r w:rsidRPr="004D258C">
        <w:t xml:space="preserve"> </w:t>
      </w:r>
      <w:r>
        <w:t xml:space="preserve">/ </w:t>
      </w:r>
      <w:r w:rsidRPr="004D258C">
        <w:t>빨레따</w:t>
      </w:r>
      <w:r w:rsidRPr="004D258C">
        <w:t xml:space="preserve"> </w:t>
      </w:r>
      <w:r w:rsidRPr="004D258C">
        <w:t>데</w:t>
      </w:r>
      <w:r w:rsidRPr="004D258C">
        <w:t xml:space="preserve"> </w:t>
      </w:r>
      <w:r w:rsidRPr="004D258C">
        <w:t>떼루엘</w:t>
      </w:r>
      <w:r>
        <w:t>) – „Jamón de Huelva” postalo je „Jabugo” (prijepis:</w:t>
      </w:r>
      <w:r w:rsidRPr="004D258C">
        <w:t xml:space="preserve"> </w:t>
      </w:r>
      <w:r w:rsidRPr="004D258C">
        <w:t>하부고</w:t>
      </w:r>
      <w:r>
        <w:t>).</w:t>
      </w:r>
    </w:p>
  </w:footnote>
  <w:footnote w:id="17">
    <w:p w14:paraId="0C3FC7F5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SL L 58, 1.3.2013., str. 9.</w:t>
      </w:r>
    </w:p>
    <w:p w14:paraId="05E6A659" w14:textId="77777777" w:rsidR="002466B5" w:rsidRPr="00311C30" w:rsidRDefault="002466B5" w:rsidP="002466B5">
      <w:pPr>
        <w:pStyle w:val="FootnoteText"/>
      </w:pPr>
    </w:p>
  </w:footnote>
  <w:footnote w:id="18">
    <w:p w14:paraId="7C885B7A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 w:rsidRPr="004D258C">
        <w:t>대한민국</w:t>
      </w:r>
      <w:r w:rsidRPr="004D258C">
        <w:t xml:space="preserve"> </w:t>
      </w:r>
      <w:r w:rsidRPr="004D258C">
        <w:t>관보</w:t>
      </w:r>
      <w:r w:rsidRPr="004D258C">
        <w:t xml:space="preserve"> </w:t>
      </w:r>
      <w:r w:rsidRPr="004D258C">
        <w:t>제</w:t>
      </w:r>
      <w:r>
        <w:t>17538</w:t>
      </w:r>
      <w:r w:rsidRPr="004D258C">
        <w:t>호</w:t>
      </w:r>
      <w:r>
        <w:t>(</w:t>
      </w:r>
      <w:r w:rsidRPr="004D258C">
        <w:t>그</w:t>
      </w:r>
      <w:r>
        <w:t>2) (Službeni list 17538, posebno izdanje 2), 28.6.2011., str. 800.</w:t>
      </w:r>
    </w:p>
  </w:footnote>
  <w:footnote w:id="19">
    <w:p w14:paraId="162A4B89" w14:textId="77777777" w:rsidR="002466B5" w:rsidRPr="00091311" w:rsidRDefault="002466B5" w:rsidP="002466B5">
      <w:pPr>
        <w:rPr>
          <w:szCs w:val="20"/>
        </w:rPr>
      </w:pPr>
      <w:r w:rsidRPr="00EA3CC6">
        <w:rPr>
          <w:rStyle w:val="FootnoteReference"/>
        </w:rPr>
        <w:footnoteRef/>
      </w:r>
      <w:r w:rsidR="00EA3CC6">
        <w:tab/>
      </w:r>
      <w:r>
        <w:t>Zaštita oznake zemljopisnog podrijetla „Kalamata” ne sprječava upotrebu naziva biljne sorte u odnosu na masline na državnom području Koreje. Ta formulacija ne mijenja i ne umanjuje zaštitu oznake zemljopisnog podrijetla „Elia Kalamatas” koja je već zajamčena Sporazumom.</w:t>
      </w:r>
    </w:p>
  </w:footnote>
  <w:footnote w:id="20">
    <w:p w14:paraId="6FA0961E" w14:textId="77777777" w:rsidR="002466B5" w:rsidRPr="007855DD" w:rsidRDefault="002466B5" w:rsidP="002466B5">
      <w:pPr>
        <w:pStyle w:val="FootnoteText"/>
        <w:ind w:left="100" w:hangingChars="50" w:hanging="100"/>
      </w:pPr>
      <w:r w:rsidRPr="00EA3CC6">
        <w:rPr>
          <w:rStyle w:val="FootnoteReference"/>
        </w:rPr>
        <w:footnoteRef/>
      </w:r>
      <w:r w:rsidR="00EA3CC6">
        <w:tab/>
      </w:r>
      <w:r>
        <w:t>„Huile essentielle de lavande de Haute-Provence” postalo je „Huile essentielle de lavande de Haute-Provence/Essence de lavande de Haute-Provence”.</w:t>
      </w:r>
    </w:p>
    <w:p w14:paraId="7EABE472" w14:textId="77777777" w:rsidR="002466B5" w:rsidRPr="007855DD" w:rsidRDefault="002466B5" w:rsidP="002466B5">
      <w:pPr>
        <w:pStyle w:val="FootnoteText"/>
        <w:ind w:left="100" w:hangingChars="50" w:hanging="100"/>
        <w:rPr>
          <w:lang w:val="fr-BE"/>
        </w:rPr>
      </w:pPr>
    </w:p>
  </w:footnote>
  <w:footnote w:id="21">
    <w:p w14:paraId="2367EAD1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„Prosciutto di S. Daniele” postalo je „Prosciutto di San Daniele”.</w:t>
      </w:r>
    </w:p>
    <w:p w14:paraId="64A82213" w14:textId="77777777" w:rsidR="002466B5" w:rsidRPr="007855DD" w:rsidRDefault="002466B5" w:rsidP="002466B5">
      <w:pPr>
        <w:pStyle w:val="FootnoteText"/>
        <w:rPr>
          <w:lang w:val="it-IT"/>
        </w:rPr>
      </w:pPr>
    </w:p>
  </w:footnote>
  <w:footnote w:id="22">
    <w:p w14:paraId="21301E0D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„Jamon de Teruel” postalo je „Jamón de Teruel/Paleta de Teruel”.</w:t>
      </w:r>
    </w:p>
    <w:p w14:paraId="4DFDA8D2" w14:textId="77777777" w:rsidR="002466B5" w:rsidRPr="007855DD" w:rsidRDefault="002466B5" w:rsidP="002466B5">
      <w:pPr>
        <w:pStyle w:val="FootnoteText"/>
        <w:rPr>
          <w:lang w:val="es-ES_tradnl"/>
        </w:rPr>
      </w:pPr>
    </w:p>
  </w:footnote>
  <w:footnote w:id="23">
    <w:p w14:paraId="174260CD" w14:textId="77777777" w:rsidR="002466B5" w:rsidRPr="007855DD" w:rsidRDefault="002466B5" w:rsidP="002466B5">
      <w:pPr>
        <w:pStyle w:val="FootnoteText"/>
      </w:pPr>
      <w:r w:rsidRPr="00EA3CC6">
        <w:rPr>
          <w:rStyle w:val="FootnoteReference"/>
        </w:rPr>
        <w:footnoteRef/>
      </w:r>
      <w:r w:rsidR="00EA3CC6">
        <w:tab/>
      </w:r>
      <w:r>
        <w:t>„Jamón de Huelva” postalo je „Jabugo”.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C1E2" w14:textId="77777777" w:rsidR="00311C30" w:rsidRPr="00311C30" w:rsidRDefault="00311C30" w:rsidP="0031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E4A" w14:textId="77777777" w:rsidR="00311C30" w:rsidRPr="00311C30" w:rsidRDefault="00311C30" w:rsidP="0031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C47" w14:textId="77777777" w:rsidR="00311C30" w:rsidRPr="00311C30" w:rsidRDefault="00311C30" w:rsidP="0031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9DAAA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FCCB9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848A0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FBAA4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1C8D3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E7063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7CA48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8ECE5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14"/>
  </w:num>
  <w:num w:numId="18">
    <w:abstractNumId w:val="9"/>
  </w:num>
  <w:num w:numId="19">
    <w:abstractNumId w:val="20"/>
  </w:num>
  <w:num w:numId="20">
    <w:abstractNumId w:val="8"/>
  </w:num>
  <w:num w:numId="21">
    <w:abstractNumId w:val="15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13"/>
  </w:num>
  <w:num w:numId="32">
    <w:abstractNumId w:val="14"/>
  </w:num>
  <w:num w:numId="33">
    <w:abstractNumId w:val="9"/>
  </w:num>
  <w:num w:numId="34">
    <w:abstractNumId w:val="20"/>
  </w:num>
  <w:num w:numId="35">
    <w:abstractNumId w:val="8"/>
  </w:num>
  <w:num w:numId="36">
    <w:abstractNumId w:val="15"/>
  </w:num>
  <w:num w:numId="37">
    <w:abstractNumId w:val="17"/>
  </w:num>
  <w:num w:numId="38">
    <w:abstractNumId w:val="18"/>
  </w:num>
  <w:num w:numId="39">
    <w:abstractNumId w:val="10"/>
  </w:num>
  <w:num w:numId="40">
    <w:abstractNumId w:val="16"/>
  </w:num>
  <w:num w:numId="4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QCDateTime" w:val="2022-09-02 15:03:00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468;0"/>
    <w:docVar w:name="DQCStatus" w:val="Red"/>
    <w:docVar w:name="DQCVersion" w:val="3"/>
    <w:docVar w:name="DQCWithWarnings" w:val="0"/>
    <w:docVar w:name="LW_ACCOMPAGNANT" w:val=" "/>
    <w:docVar w:name="LW_ACCOMPAGNANT.CP" w:val="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58FE260-8FB6-4EF5-BDA8-3AC3D945A99D"/>
    <w:docVar w:name="LW_COVERPAGE_TYPE" w:val="1"/>
    <w:docVar w:name="LW_CROSSREFERENCE" w:val="&lt;UNUSED&gt;"/>
    <w:docVar w:name="LW_DocType" w:val="ANNEX"/>
    <w:docVar w:name="LW_EMISSION" w:val="9.9.2022."/>
    <w:docVar w:name="LW_EMISSION_ISODATE" w:val="2022-09-09"/>
    <w:docVar w:name="LW_EMISSION_LOCATION" w:val="BRX"/>
    <w:docVar w:name="LW_EMISSION_PREFIX" w:val="Bruxelles, "/>
    <w:docVar w:name="LW_EMISSION_SUFFIX" w:val="&lt;EMPTY&gt;"/>
    <w:docVar w:name="LW_ID_DOCSTRUCTURE" w:val="COM/ANNEX"/>
    <w:docVar w:name="LW_ID_DOCTYPE" w:val="SG-017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" w:val="o stajali\u353?tu koje treba zauzeti u ime Europske unije u okviru Odbora za trgovinu osnovanog Sporazumom o slobodnoj trgovini izme\u273?u Europske unije i njezinih dr\u382?ava \u269?lanica, s jedne strane, i Republike Koreje, s druge strane, o izmjeni priloga 10-A i 10-B Sporazumu _x000d__x000b_"/>
    <w:docVar w:name="LW_OBJETACTEPRINCIPAL.CP" w:val="o stajali\u353?tu koje treba zauzeti u ime Europske unije u okviru Odbora za trgovinu osnovanog Sporazumom o slobodnoj trgovini izme\u273?u Europske unije i njezinih dr\u382?ava \u269?lanica, s jedne strane, i Republike Koreje, s druge strane, o izmjeni priloga 10-A i 10-B Sporazumu 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2) 446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ILOG"/>
    <w:docVar w:name="LW_TYPE.DOC.CP" w:val="PRILOG"/>
    <w:docVar w:name="LW_TYPEACTEPRINCIPAL" w:val="Prijedlogu_x000b__x000b_ODLUKE VIJE\u262?A"/>
    <w:docVar w:name="LW_TYPEACTEPRINCIPAL.CP" w:val="Prijedlogu_x000b__x000b_ODLUKE VIJE\u262?A"/>
    <w:docVar w:name="LwApiVersions" w:val="LW4CoDe 1.23.2.0; LW 8.0, Build 20211117"/>
  </w:docVars>
  <w:rsids>
    <w:rsidRoot w:val="002466B5"/>
    <w:rsid w:val="00032DA2"/>
    <w:rsid w:val="00071EB0"/>
    <w:rsid w:val="00152894"/>
    <w:rsid w:val="001A1BFB"/>
    <w:rsid w:val="001B0779"/>
    <w:rsid w:val="001F4184"/>
    <w:rsid w:val="0024525A"/>
    <w:rsid w:val="002466B5"/>
    <w:rsid w:val="00267706"/>
    <w:rsid w:val="002A29F4"/>
    <w:rsid w:val="00311C30"/>
    <w:rsid w:val="00323AA1"/>
    <w:rsid w:val="00336B6A"/>
    <w:rsid w:val="003B217D"/>
    <w:rsid w:val="003F28FB"/>
    <w:rsid w:val="00414037"/>
    <w:rsid w:val="004D258C"/>
    <w:rsid w:val="005365AB"/>
    <w:rsid w:val="005828F5"/>
    <w:rsid w:val="005C156D"/>
    <w:rsid w:val="005E2310"/>
    <w:rsid w:val="005E671F"/>
    <w:rsid w:val="00617F7C"/>
    <w:rsid w:val="0066479A"/>
    <w:rsid w:val="006F3C12"/>
    <w:rsid w:val="0074216E"/>
    <w:rsid w:val="0078415E"/>
    <w:rsid w:val="007F17A7"/>
    <w:rsid w:val="00824438"/>
    <w:rsid w:val="008A7D32"/>
    <w:rsid w:val="00967035"/>
    <w:rsid w:val="009778E8"/>
    <w:rsid w:val="00983339"/>
    <w:rsid w:val="009B08E1"/>
    <w:rsid w:val="00A04C1D"/>
    <w:rsid w:val="00A0708A"/>
    <w:rsid w:val="00AA284E"/>
    <w:rsid w:val="00AE5793"/>
    <w:rsid w:val="00AE763B"/>
    <w:rsid w:val="00AF5B7F"/>
    <w:rsid w:val="00B2365F"/>
    <w:rsid w:val="00B24706"/>
    <w:rsid w:val="00B62194"/>
    <w:rsid w:val="00BA1A55"/>
    <w:rsid w:val="00BE3AC2"/>
    <w:rsid w:val="00C332F9"/>
    <w:rsid w:val="00C40797"/>
    <w:rsid w:val="00C509E9"/>
    <w:rsid w:val="00C94FCC"/>
    <w:rsid w:val="00CC4AA1"/>
    <w:rsid w:val="00CF0BED"/>
    <w:rsid w:val="00D349C1"/>
    <w:rsid w:val="00D8312A"/>
    <w:rsid w:val="00DD3108"/>
    <w:rsid w:val="00DE3504"/>
    <w:rsid w:val="00DF46C6"/>
    <w:rsid w:val="00DF68E6"/>
    <w:rsid w:val="00EA3CC6"/>
    <w:rsid w:val="00EB4DBF"/>
    <w:rsid w:val="00F72AED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9DA84B"/>
  <w15:docId w15:val="{2901AB18-3797-4018-8820-0AC2534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r-HR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3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34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34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B5"/>
    <w:pPr>
      <w:widowControl w:val="0"/>
      <w:wordWrap w:val="0"/>
      <w:autoSpaceDE w:val="0"/>
      <w:autoSpaceDN w:val="0"/>
      <w:spacing w:before="0" w:after="0"/>
    </w:pPr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B5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2466B5"/>
    <w:pPr>
      <w:widowControl w:val="0"/>
      <w:wordWrap w:val="0"/>
      <w:autoSpaceDE w:val="0"/>
      <w:autoSpaceDN w:val="0"/>
      <w:spacing w:before="0" w:after="200" w:line="276" w:lineRule="auto"/>
      <w:ind w:leftChars="400" w:left="800"/>
    </w:pPr>
    <w:rPr>
      <w:rFonts w:asciiTheme="minorHAnsi" w:eastAsiaTheme="minorEastAsia" w:hAnsiTheme="minorHAnsi" w:cstheme="minorBidi"/>
      <w:kern w:val="2"/>
      <w:sz w:val="20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  <w:rsid w:val="002466B5"/>
    <w:pPr>
      <w:widowControl w:val="0"/>
      <w:wordWrap w:val="0"/>
      <w:autoSpaceDE w:val="0"/>
      <w:autoSpaceDN w:val="0"/>
      <w:spacing w:before="0" w:after="200" w:line="276" w:lineRule="auto"/>
      <w:jc w:val="left"/>
    </w:pPr>
    <w:rPr>
      <w:rFonts w:asciiTheme="minorHAnsi" w:eastAsiaTheme="minorEastAsia" w:hAnsiTheme="minorHAnsi" w:cstheme="minorBidi"/>
      <w:kern w:val="2"/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6B5"/>
    <w:rPr>
      <w:rFonts w:eastAsiaTheme="minorEastAsia"/>
      <w:kern w:val="2"/>
      <w:sz w:val="20"/>
      <w:lang w:eastAsia="ko-KR"/>
    </w:rPr>
  </w:style>
  <w:style w:type="character" w:styleId="CommentReference">
    <w:name w:val="annotation reference"/>
    <w:basedOn w:val="DefaultParagraphFont"/>
    <w:unhideWhenUsed/>
    <w:rsid w:val="002466B5"/>
    <w:rPr>
      <w:sz w:val="16"/>
      <w:szCs w:val="16"/>
    </w:rPr>
  </w:style>
  <w:style w:type="table" w:styleId="TableGrid">
    <w:name w:val="Table Grid"/>
    <w:basedOn w:val="TableNormal"/>
    <w:uiPriority w:val="59"/>
    <w:rsid w:val="002466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6B5"/>
    <w:rPr>
      <w:rFonts w:eastAsiaTheme="minorEastAsia"/>
      <w:b/>
      <w:bCs/>
      <w:kern w:val="2"/>
      <w:sz w:val="20"/>
      <w:lang w:eastAsia="ko-KR"/>
    </w:rPr>
  </w:style>
  <w:style w:type="character" w:customStyle="1" w:styleId="highlight">
    <w:name w:val="highlight"/>
    <w:basedOn w:val="DefaultParagraphFont"/>
    <w:rsid w:val="002466B5"/>
  </w:style>
  <w:style w:type="paragraph" w:styleId="Revision">
    <w:name w:val="Revision"/>
    <w:hidden/>
    <w:uiPriority w:val="99"/>
    <w:semiHidden/>
    <w:rsid w:val="002466B5"/>
    <w:pPr>
      <w:spacing w:after="0" w:line="240" w:lineRule="auto"/>
    </w:pPr>
    <w:rPr>
      <w:rFonts w:eastAsiaTheme="minorEastAsia"/>
      <w:kern w:val="2"/>
      <w:sz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2466B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B5"/>
    <w:pPr>
      <w:widowControl w:val="0"/>
      <w:wordWrap w:val="0"/>
      <w:autoSpaceDE w:val="0"/>
      <w:autoSpaceDN w:val="0"/>
      <w:snapToGrid w:val="0"/>
      <w:spacing w:before="0" w:after="200" w:line="276" w:lineRule="auto"/>
      <w:jc w:val="left"/>
    </w:pPr>
    <w:rPr>
      <w:rFonts w:asciiTheme="minorHAnsi" w:eastAsiaTheme="minorEastAsia" w:hAnsiTheme="minorHAnsi" w:cstheme="minorBidi"/>
      <w:kern w:val="2"/>
      <w:sz w:val="20"/>
      <w:lang w:eastAsia="ko-K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B5"/>
    <w:rPr>
      <w:rFonts w:eastAsiaTheme="minorEastAsia"/>
      <w:kern w:val="2"/>
      <w:sz w:val="20"/>
      <w:lang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2466B5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D349C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49C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49C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49C1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8E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778E8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9778E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78E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78E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78E8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C3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11C30"/>
    <w:rPr>
      <w:rFonts w:ascii="Times New Roman" w:hAnsi="Times New Roman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11C3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11C30"/>
    <w:rPr>
      <w:rFonts w:ascii="Times New Roman" w:hAnsi="Times New Roman" w:cs="Times New Roman"/>
      <w:sz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311C3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11C3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11C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11C30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11C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27"/>
      </w:numPr>
    </w:pPr>
  </w:style>
  <w:style w:type="paragraph" w:customStyle="1" w:styleId="Tiret1">
    <w:name w:val="Tiret 1"/>
    <w:basedOn w:val="Point1"/>
    <w:rsid w:val="005365AB"/>
    <w:pPr>
      <w:numPr>
        <w:numId w:val="28"/>
      </w:numPr>
    </w:pPr>
  </w:style>
  <w:style w:type="paragraph" w:customStyle="1" w:styleId="Tiret2">
    <w:name w:val="Tiret 2"/>
    <w:basedOn w:val="Point2"/>
    <w:rsid w:val="005365AB"/>
    <w:pPr>
      <w:numPr>
        <w:numId w:val="29"/>
      </w:numPr>
    </w:pPr>
  </w:style>
  <w:style w:type="paragraph" w:customStyle="1" w:styleId="Tiret3">
    <w:name w:val="Tiret 3"/>
    <w:basedOn w:val="Point3"/>
    <w:rsid w:val="005365AB"/>
    <w:pPr>
      <w:numPr>
        <w:numId w:val="30"/>
      </w:numPr>
    </w:pPr>
  </w:style>
  <w:style w:type="paragraph" w:customStyle="1" w:styleId="Tiret4">
    <w:name w:val="Tiret 4"/>
    <w:basedOn w:val="Point4"/>
    <w:rsid w:val="005365AB"/>
    <w:pPr>
      <w:numPr>
        <w:numId w:val="31"/>
      </w:numPr>
    </w:pPr>
  </w:style>
  <w:style w:type="paragraph" w:customStyle="1" w:styleId="Tiret5">
    <w:name w:val="Tiret 5"/>
    <w:basedOn w:val="Point5"/>
    <w:rsid w:val="005365AB"/>
    <w:pPr>
      <w:numPr>
        <w:numId w:val="32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33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33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33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33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33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35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35"/>
      </w:numPr>
    </w:pPr>
  </w:style>
  <w:style w:type="paragraph" w:customStyle="1" w:styleId="Bullet0">
    <w:name w:val="Bullet 0"/>
    <w:basedOn w:val="Normal"/>
    <w:rsid w:val="005365AB"/>
    <w:pPr>
      <w:numPr>
        <w:numId w:val="36"/>
      </w:numPr>
    </w:pPr>
  </w:style>
  <w:style w:type="paragraph" w:customStyle="1" w:styleId="Bullet1">
    <w:name w:val="Bullet 1"/>
    <w:basedOn w:val="Normal"/>
    <w:rsid w:val="005365AB"/>
    <w:pPr>
      <w:numPr>
        <w:numId w:val="37"/>
      </w:numPr>
    </w:pPr>
  </w:style>
  <w:style w:type="paragraph" w:customStyle="1" w:styleId="Bullet2">
    <w:name w:val="Bullet 2"/>
    <w:basedOn w:val="Normal"/>
    <w:rsid w:val="005365AB"/>
    <w:pPr>
      <w:numPr>
        <w:numId w:val="38"/>
      </w:numPr>
    </w:pPr>
  </w:style>
  <w:style w:type="paragraph" w:customStyle="1" w:styleId="Bullet3">
    <w:name w:val="Bullet 3"/>
    <w:basedOn w:val="Normal"/>
    <w:rsid w:val="005365AB"/>
    <w:pPr>
      <w:numPr>
        <w:numId w:val="39"/>
      </w:numPr>
    </w:pPr>
  </w:style>
  <w:style w:type="paragraph" w:customStyle="1" w:styleId="Bullet4">
    <w:name w:val="Bullet 4"/>
    <w:basedOn w:val="Normal"/>
    <w:rsid w:val="005365AB"/>
    <w:pPr>
      <w:numPr>
        <w:numId w:val="40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B58E-00CD-4B14-8174-ED42DD81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62</TotalTime>
  <Pages>19</Pages>
  <Words>3825</Words>
  <Characters>19357</Characters>
  <Application>Microsoft Office Word</Application>
  <DocSecurity>0</DocSecurity>
  <Lines>716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RANALLI Romina (AGRI)</dc:creator>
  <cp:keywords/>
  <dc:description/>
  <cp:lastModifiedBy>GROPE Ina (SG)</cp:lastModifiedBy>
  <cp:revision>42</cp:revision>
  <dcterms:created xsi:type="dcterms:W3CDTF">2022-08-02T14:24:00Z</dcterms:created>
  <dcterms:modified xsi:type="dcterms:W3CDTF">2022-09-08T15:53:00Z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8.0.1, Build 20220429</vt:lpwstr>
  </property>
  <property fmtid="{D5CDD505-2E9C-101B-9397-08002B2CF9AE}" pid="5" name="Created using">
    <vt:lpwstr>LW 8.0.1, Build 20220429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Red (DQC version 03)</vt:lpwstr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2022-09-08T15:52:27Z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abe38d29-20f7-4981-820e-6cf7b383f9a7</vt:lpwstr>
  </property>
  <property fmtid="{D5CDD505-2E9C-101B-9397-08002B2CF9AE}" pid="20" name="MSIP_Label_6bd9ddd1-4d20-43f6-abfa-fc3c07406f94_ContentBits">
    <vt:lpwstr>0</vt:lpwstr>
  </property>
</Properties>
</file>