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E39B" w14:textId="0D11EACB" w:rsidR="000963EE" w:rsidRPr="00107CD2" w:rsidRDefault="00254080" w:rsidP="00254080">
      <w:pPr>
        <w:pStyle w:val="Pagedecouverture"/>
        <w:rPr>
          <w:noProof/>
        </w:rPr>
      </w:pPr>
      <w:r>
        <w:rPr>
          <w:noProof/>
        </w:rPr>
        <w:pict w14:anchorId="7250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E3C186B-EA8B-4B34-AB4F-85F82B9D2733" style="width:455pt;height:369.5pt">
            <v:imagedata r:id="rId8" o:title=""/>
          </v:shape>
        </w:pict>
      </w:r>
    </w:p>
    <w:p w14:paraId="7A0E9F86" w14:textId="77777777" w:rsidR="000963EE" w:rsidRPr="00107CD2" w:rsidRDefault="000963EE" w:rsidP="000963EE">
      <w:pPr>
        <w:rPr>
          <w:noProof/>
        </w:rPr>
        <w:sectPr w:rsidR="000963EE" w:rsidRPr="00107CD2" w:rsidSect="0025408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1E0ADF4D" w14:textId="77777777" w:rsidR="000963EE" w:rsidRPr="00107CD2" w:rsidRDefault="000963EE" w:rsidP="00E95409">
      <w:pPr>
        <w:pStyle w:val="Exposdesmotifstitre"/>
        <w:rPr>
          <w:noProof/>
        </w:rPr>
      </w:pPr>
      <w:r w:rsidRPr="00107CD2">
        <w:rPr>
          <w:noProof/>
        </w:rPr>
        <w:lastRenderedPageBreak/>
        <w:t>EXPOSICIÓN DE MOTIVOS</w:t>
      </w:r>
    </w:p>
    <w:p w14:paraId="22255E1F" w14:textId="77777777" w:rsidR="000963EE" w:rsidRPr="00107CD2" w:rsidRDefault="000963EE" w:rsidP="00E95409">
      <w:pPr>
        <w:rPr>
          <w:noProof/>
        </w:rPr>
      </w:pPr>
    </w:p>
    <w:p w14:paraId="211C0D68" w14:textId="5B6B9AC9" w:rsidR="00110B5B" w:rsidRPr="00107CD2" w:rsidRDefault="00E51202" w:rsidP="00E51202">
      <w:pPr>
        <w:pStyle w:val="Point0"/>
        <w:rPr>
          <w:noProof/>
        </w:rPr>
      </w:pPr>
      <w:r>
        <w:rPr>
          <w:noProof/>
        </w:rPr>
        <w:t>1)</w:t>
      </w:r>
      <w:r>
        <w:rPr>
          <w:noProof/>
        </w:rPr>
        <w:tab/>
      </w:r>
      <w:r w:rsidR="00110B5B" w:rsidRPr="00107CD2">
        <w:rPr>
          <w:noProof/>
        </w:rPr>
        <w:t xml:space="preserve">El Reglamento (UE) n.º 833/2014 del Consejo prohíbe la venta, el suministro, la transferencia o la exportación de productos y tecnología de doble uso a cualquier persona, entidad u organismo de Rusia, o para su utilización en ese país, si dichos productos se destinan a un uso militar o a usuarios finales militares. También prohíbe la venta de tales productos y tecnología a determinadas personas jurídicas en Rusia y prohíbe la prestación de asistencia técnica y otros servicios conexos, así como la financiación y asistencia financiera relacionadas con dichos productos y tecnología. Además, exige a los operadores que obtengan una autorización previa para la venta, el suministro, la transferencia o la exportación de determinadas tecnologías para la industria petrolera en Rusia y prohíbe la prestación de los servicios asociados necesarios para la prospección y producción de petróleo en aguas profundas, la exploración y producción de petróleo ártico o los proyectos relacionados con el petróleo de esquisto en Rusia, incluida su zona económica exclusiva y su plataforma continental. Prohíbe asimismo el suministro de asistencia técnica relacionada con los productos y la tecnología que figuran en la Lista Común Militar de la Unión Europea o relacionada con el suministro, la fabricación, el mantenimiento y la utilización de dichos productos. Por último, impone restricciones al acceso al mercado de capitales de la UE para determinadas instituciones financieras rusas, Rusia, su gobierno y administraciones públicas y su Banco Central. </w:t>
      </w:r>
    </w:p>
    <w:p w14:paraId="2928018A" w14:textId="4A1DF62C" w:rsidR="00E22CEF" w:rsidRPr="00107CD2" w:rsidRDefault="00E51202" w:rsidP="00E51202">
      <w:pPr>
        <w:pStyle w:val="Point0"/>
        <w:rPr>
          <w:noProof/>
        </w:rPr>
      </w:pPr>
      <w:r>
        <w:rPr>
          <w:noProof/>
        </w:rPr>
        <w:t>2)</w:t>
      </w:r>
      <w:r>
        <w:rPr>
          <w:noProof/>
        </w:rPr>
        <w:tab/>
      </w:r>
      <w:r w:rsidR="00E22CEF" w:rsidRPr="00107CD2">
        <w:rPr>
          <w:noProof/>
        </w:rPr>
        <w:t>El Reglamento (UE) n.º 833/2014 del Consejo da efecto a determinadas medidas establecidas en la Decisión 2014/512/PESC del Consejo.</w:t>
      </w:r>
    </w:p>
    <w:p w14:paraId="6DD9D48F" w14:textId="7A79D810" w:rsidR="00EC4805" w:rsidRPr="00107CD2" w:rsidRDefault="00E51202" w:rsidP="00E51202">
      <w:pPr>
        <w:pStyle w:val="Point0"/>
        <w:rPr>
          <w:noProof/>
        </w:rPr>
      </w:pPr>
      <w:r>
        <w:rPr>
          <w:noProof/>
        </w:rPr>
        <w:t>3)</w:t>
      </w:r>
      <w:r>
        <w:rPr>
          <w:noProof/>
        </w:rPr>
        <w:tab/>
      </w:r>
      <w:r w:rsidR="00110B5B" w:rsidRPr="00107CD2">
        <w:rPr>
          <w:noProof/>
        </w:rPr>
        <w:t xml:space="preserve">La Decisión (PESC) 2022/XXX del Consejo modifica la Decisión 2014/512/PESC del Consejo e introduce nuevas sanciones económicas selectivas a raíz de [descripción del acontecimiento desencadenante de la adopción de sanciones]. </w:t>
      </w:r>
    </w:p>
    <w:p w14:paraId="639356C6" w14:textId="2F62D51A" w:rsidR="00EC4805" w:rsidRPr="00107CD2" w:rsidRDefault="00E51202" w:rsidP="00E51202">
      <w:pPr>
        <w:pStyle w:val="Point0"/>
        <w:rPr>
          <w:noProof/>
        </w:rPr>
      </w:pPr>
      <w:r>
        <w:rPr>
          <w:noProof/>
        </w:rPr>
        <w:t>4)</w:t>
      </w:r>
      <w:r>
        <w:rPr>
          <w:noProof/>
        </w:rPr>
        <w:tab/>
      </w:r>
      <w:r w:rsidR="00110B5B" w:rsidRPr="00107CD2">
        <w:rPr>
          <w:noProof/>
        </w:rPr>
        <w:t xml:space="preserve">La Decisión (PESC) 2022/XXX del Consejo impone nuevas restricciones a las exportaciones de productos y tecnología de doble uso y a la prestación de servicios conexos, así como restricciones a las exportaciones de determinados productos y tecnología que puedan contribuir a la mejora tecnológica por parte de Rusia de su sector de la defensa y la seguridad. A reserva de determinadas excepciones, prohíbe el suministro de financiación o asistencia financiera públicas para el comercio con Rusia o la inversión en ese país. </w:t>
      </w:r>
    </w:p>
    <w:p w14:paraId="69C0A396" w14:textId="7D960083" w:rsidR="00EC4805" w:rsidRPr="00107CD2" w:rsidRDefault="00E51202" w:rsidP="00E51202">
      <w:pPr>
        <w:pStyle w:val="Point0"/>
        <w:rPr>
          <w:noProof/>
        </w:rPr>
      </w:pPr>
      <w:r>
        <w:rPr>
          <w:noProof/>
        </w:rPr>
        <w:t>5)</w:t>
      </w:r>
      <w:r>
        <w:rPr>
          <w:noProof/>
        </w:rPr>
        <w:tab/>
      </w:r>
      <w:r w:rsidR="00EC4805" w:rsidRPr="00107CD2">
        <w:rPr>
          <w:noProof/>
        </w:rPr>
        <w:t xml:space="preserve">La Decisión (PESC) 2022/XXX del Consejo también prohíbe la venta, el suministro, la transferencia o la exportación a Rusia de productos y tecnologías específicos para su uso en el refinado de petróleo, además de restricciones a la prestación de servicios conexos. </w:t>
      </w:r>
    </w:p>
    <w:p w14:paraId="7A676750" w14:textId="7E9E9906" w:rsidR="00EC4805" w:rsidRPr="00107CD2" w:rsidRDefault="00E51202" w:rsidP="00E51202">
      <w:pPr>
        <w:pStyle w:val="Point0"/>
        <w:rPr>
          <w:noProof/>
        </w:rPr>
      </w:pPr>
      <w:r>
        <w:rPr>
          <w:noProof/>
        </w:rPr>
        <w:t>6)</w:t>
      </w:r>
      <w:r>
        <w:rPr>
          <w:noProof/>
        </w:rPr>
        <w:tab/>
      </w:r>
      <w:r w:rsidR="00110B5B" w:rsidRPr="00107CD2">
        <w:rPr>
          <w:noProof/>
        </w:rPr>
        <w:t xml:space="preserve">Asimismo, introduce una prohibición de exportación que abarca productos y tecnologías adecuados para el uso en la aviación o la industria espacial, así como la prestación de servicios de seguros y reaseguros y de mantenimiento en relación con dichos productos y tecnología. Además, prohíbe la prestación de asistencia técnica y otros servicios conexos, así como la financiación y la asistencia financiera en relación con los productos y la tecnología sujetos a esta prohibición. </w:t>
      </w:r>
    </w:p>
    <w:p w14:paraId="0E7393EB" w14:textId="256169B3" w:rsidR="00110B5B" w:rsidRPr="00107CD2" w:rsidRDefault="00E51202" w:rsidP="00E51202">
      <w:pPr>
        <w:pStyle w:val="Point0"/>
        <w:rPr>
          <w:noProof/>
        </w:rPr>
      </w:pPr>
      <w:r>
        <w:rPr>
          <w:noProof/>
        </w:rPr>
        <w:t>7)</w:t>
      </w:r>
      <w:r>
        <w:rPr>
          <w:noProof/>
        </w:rPr>
        <w:tab/>
      </w:r>
      <w:r w:rsidR="00EC4805" w:rsidRPr="00107CD2">
        <w:rPr>
          <w:noProof/>
        </w:rPr>
        <w:t xml:space="preserve">La Decisión (PESC) 2022/XXX del Consejo amplía las restricciones financieras vigentes, en particular las relativas al acceso de determinadas entidades rusas a los mercados de capitales. Asimismo, prohíbe la cotización y la prestación de servicios en relación con las acciones de entidades rusas de propiedad estatal en centros de </w:t>
      </w:r>
      <w:r w:rsidR="00EC4805" w:rsidRPr="00107CD2">
        <w:rPr>
          <w:noProof/>
        </w:rPr>
        <w:lastRenderedPageBreak/>
        <w:t xml:space="preserve">negociación de la UE. Además, introduce nuevas medidas que limitan las entradas financieras en la Unión desde Rusia, prohibiendo la aceptación de depósitos de nacionales o residentes rusos que superen determinados importes, la tenencia de cuentas de clientes rusos por parte de depositarios centrales de valores de la UE y la venta de valores denominados en euros a personas rusas. </w:t>
      </w:r>
    </w:p>
    <w:p w14:paraId="02FE664E" w14:textId="2520CEDF" w:rsidR="00110B5B" w:rsidRPr="00107CD2" w:rsidRDefault="00E51202" w:rsidP="00E51202">
      <w:pPr>
        <w:pStyle w:val="Point0"/>
        <w:rPr>
          <w:noProof/>
        </w:rPr>
      </w:pPr>
      <w:r>
        <w:rPr>
          <w:noProof/>
        </w:rPr>
        <w:t>8)</w:t>
      </w:r>
      <w:r>
        <w:rPr>
          <w:noProof/>
        </w:rPr>
        <w:tab/>
      </w:r>
      <w:r w:rsidR="00110B5B" w:rsidRPr="00107CD2">
        <w:rPr>
          <w:noProof/>
        </w:rPr>
        <w:t xml:space="preserve">Estas modificaciones pertenecen al ámbito de aplicación del Tratado y, por lo tanto, sobre todo con vistas a garantizar su aplicación uniforme en todos los Estados miembros, se requiere un acto reglamentario de la Unión. </w:t>
      </w:r>
    </w:p>
    <w:p w14:paraId="74A78032" w14:textId="76AD087E" w:rsidR="00110B5B" w:rsidRPr="00107CD2" w:rsidRDefault="00E51202" w:rsidP="00E51202">
      <w:pPr>
        <w:pStyle w:val="Point0"/>
        <w:rPr>
          <w:noProof/>
        </w:rPr>
      </w:pPr>
      <w:r>
        <w:rPr>
          <w:noProof/>
        </w:rPr>
        <w:t>9)</w:t>
      </w:r>
      <w:r>
        <w:rPr>
          <w:noProof/>
        </w:rPr>
        <w:tab/>
      </w:r>
      <w:r w:rsidR="00110B5B" w:rsidRPr="00107CD2">
        <w:rPr>
          <w:noProof/>
        </w:rPr>
        <w:t xml:space="preserve">Así pues, el Alto Representante para Asuntos Exteriores y Política de Seguridad y la Comisión deben proponer la consiguiente modificación del Reglamento (UE) n.º 833/2014. </w:t>
      </w:r>
    </w:p>
    <w:p w14:paraId="5486926B" w14:textId="5E132FC2" w:rsidR="00072BFD" w:rsidRPr="00107CD2" w:rsidRDefault="00072BFD" w:rsidP="00F02F80">
      <w:pPr>
        <w:rPr>
          <w:noProof/>
        </w:rPr>
        <w:sectPr w:rsidR="00072BFD" w:rsidRPr="00107CD2" w:rsidSect="00254080">
          <w:footerReference w:type="default" r:id="rId15"/>
          <w:footerReference w:type="first" r:id="rId16"/>
          <w:pgSz w:w="11907" w:h="16839"/>
          <w:pgMar w:top="1134" w:right="1417" w:bottom="1134" w:left="1417" w:header="709" w:footer="709" w:gutter="0"/>
          <w:cols w:space="708"/>
          <w:docGrid w:linePitch="360"/>
        </w:sectPr>
      </w:pPr>
      <w:bookmarkStart w:id="0" w:name="DQCNUMB_1"/>
      <w:bookmarkEnd w:id="0"/>
    </w:p>
    <w:p w14:paraId="54E44A89" w14:textId="2B318143" w:rsidR="0052353C" w:rsidRDefault="00254080" w:rsidP="00254080">
      <w:pPr>
        <w:pStyle w:val="Rfrenceinterinstitutionnelle"/>
        <w:rPr>
          <w:noProof/>
        </w:rPr>
      </w:pPr>
      <w:r w:rsidRPr="00254080">
        <w:lastRenderedPageBreak/>
        <w:t>2022/0058 (NLE)</w:t>
      </w:r>
    </w:p>
    <w:p w14:paraId="49AC00A4" w14:textId="08898ABD" w:rsidR="000963EE" w:rsidRPr="00107CD2" w:rsidRDefault="00254080" w:rsidP="00254080">
      <w:pPr>
        <w:pStyle w:val="Statut"/>
        <w:rPr>
          <w:noProof/>
        </w:rPr>
      </w:pPr>
      <w:r w:rsidRPr="00254080">
        <w:t>Propuesta conjunta de</w:t>
      </w:r>
    </w:p>
    <w:p w14:paraId="66A17163" w14:textId="4488DAB7" w:rsidR="000963EE" w:rsidRPr="00107CD2" w:rsidRDefault="00254080" w:rsidP="00254080">
      <w:pPr>
        <w:pStyle w:val="Typedudocument"/>
        <w:rPr>
          <w:noProof/>
        </w:rPr>
      </w:pPr>
      <w:r w:rsidRPr="00254080">
        <w:t>REGLAMENTO DEL CONSEJO</w:t>
      </w:r>
    </w:p>
    <w:p w14:paraId="5A87CCB0" w14:textId="7110B8A2" w:rsidR="000963EE" w:rsidRPr="00107CD2" w:rsidRDefault="00254080" w:rsidP="00254080">
      <w:pPr>
        <w:pStyle w:val="Titreobjet"/>
        <w:rPr>
          <w:noProof/>
        </w:rPr>
      </w:pPr>
      <w:r w:rsidRPr="00254080">
        <w:t>por el que se modifica el Reglamento (UE) n.º 833/2014 del Consejo, relativo a medidas restrictivas motivadas por acciones de Rusia que desestabilizan la situación en Ucrania</w:t>
      </w:r>
    </w:p>
    <w:p w14:paraId="26C46118" w14:textId="77777777" w:rsidR="000963EE" w:rsidRPr="00107CD2" w:rsidRDefault="000963EE" w:rsidP="00E95409">
      <w:pPr>
        <w:pStyle w:val="Institutionquiagit"/>
        <w:rPr>
          <w:noProof/>
        </w:rPr>
      </w:pPr>
      <w:r w:rsidRPr="00107CD2">
        <w:rPr>
          <w:noProof/>
        </w:rPr>
        <w:t>EL CONSEJO DE LA UNIÓN EUROPEA,</w:t>
      </w:r>
    </w:p>
    <w:p w14:paraId="56CD916F" w14:textId="77777777" w:rsidR="000963EE" w:rsidRPr="00107CD2" w:rsidRDefault="000963EE" w:rsidP="00E95409">
      <w:pPr>
        <w:rPr>
          <w:noProof/>
        </w:rPr>
      </w:pPr>
      <w:r w:rsidRPr="00107CD2">
        <w:rPr>
          <w:noProof/>
        </w:rPr>
        <w:t>Visto el Tratado de Funcionamiento de la Unión Europea, y en particular su artículo 215,</w:t>
      </w:r>
    </w:p>
    <w:p w14:paraId="2751469D" w14:textId="1E6AB06A" w:rsidR="000963EE" w:rsidRPr="00107CD2" w:rsidRDefault="000963EE" w:rsidP="00E95409">
      <w:pPr>
        <w:rPr>
          <w:noProof/>
        </w:rPr>
      </w:pPr>
      <w:r w:rsidRPr="00107CD2">
        <w:rPr>
          <w:noProof/>
        </w:rPr>
        <w:t>Vista la Decisión (PESC) 2022/XXX</w:t>
      </w:r>
      <w:r w:rsidRPr="00107CD2">
        <w:rPr>
          <w:rStyle w:val="FootnoteReference"/>
          <w:noProof/>
        </w:rPr>
        <w:footnoteReference w:id="1"/>
      </w:r>
      <w:r w:rsidRPr="00107CD2">
        <w:rPr>
          <w:noProof/>
        </w:rPr>
        <w:t>, de XX de febrero de 2022, por la que se modifica la Decisión 2014/512/PESC relativa a medidas restrictivas motivadas por acciones de Rusia que desestabilizan la situación en Ucrania,</w:t>
      </w:r>
    </w:p>
    <w:p w14:paraId="740EAF1A" w14:textId="77777777" w:rsidR="000963EE" w:rsidRPr="00107CD2" w:rsidRDefault="000963EE" w:rsidP="00E95409">
      <w:pPr>
        <w:rPr>
          <w:noProof/>
        </w:rPr>
      </w:pPr>
      <w:r w:rsidRPr="00107CD2">
        <w:rPr>
          <w:noProof/>
        </w:rPr>
        <w:t>Vista la propuesta conjunta del Alto Representante de la Unión para Asuntos Exteriores y Política de Seguridad y de la Comisión Europea,</w:t>
      </w:r>
    </w:p>
    <w:p w14:paraId="72606FE1" w14:textId="77777777" w:rsidR="000963EE" w:rsidRPr="00107CD2" w:rsidRDefault="000963EE" w:rsidP="00E95409">
      <w:pPr>
        <w:rPr>
          <w:noProof/>
        </w:rPr>
      </w:pPr>
      <w:r w:rsidRPr="00107CD2">
        <w:rPr>
          <w:noProof/>
        </w:rPr>
        <w:t>Considerando lo siguiente:</w:t>
      </w:r>
    </w:p>
    <w:p w14:paraId="78B0F941" w14:textId="25699BFA" w:rsidR="00072BFD" w:rsidRPr="00107CD2" w:rsidRDefault="00F02F80" w:rsidP="00F02F80">
      <w:pPr>
        <w:pStyle w:val="ManualConsidrant"/>
        <w:rPr>
          <w:noProof/>
        </w:rPr>
      </w:pPr>
      <w:r w:rsidRPr="00F02F80">
        <w:rPr>
          <w:noProof/>
        </w:rPr>
        <w:t>(1)</w:t>
      </w:r>
      <w:r w:rsidRPr="00F02F80">
        <w:rPr>
          <w:noProof/>
        </w:rPr>
        <w:tab/>
      </w:r>
      <w:r w:rsidR="00072BFD" w:rsidRPr="00107CD2">
        <w:rPr>
          <w:noProof/>
        </w:rPr>
        <w:t>El 31 de julio de 2014, el Consejo adoptó el Reglamento (UE) n.º 833/2014 relativo a medidas restrictivas motivadas por acciones de Rusia que desestabilizan la situación en Ucrania.</w:t>
      </w:r>
    </w:p>
    <w:p w14:paraId="5E5E6C06" w14:textId="54DFB683" w:rsidR="00EC4805" w:rsidRPr="00107CD2" w:rsidRDefault="00F02F80" w:rsidP="00F02F80">
      <w:pPr>
        <w:pStyle w:val="ManualConsidrant"/>
        <w:rPr>
          <w:noProof/>
        </w:rPr>
      </w:pPr>
      <w:r w:rsidRPr="00F02F80">
        <w:rPr>
          <w:noProof/>
        </w:rPr>
        <w:t>(2)</w:t>
      </w:r>
      <w:r w:rsidRPr="00F02F80">
        <w:rPr>
          <w:noProof/>
        </w:rPr>
        <w:tab/>
      </w:r>
      <w:r w:rsidR="00072BFD" w:rsidRPr="00107CD2">
        <w:rPr>
          <w:noProof/>
        </w:rPr>
        <w:t>El Reglamento (UE) n.º 833/2014 del Consejo da efecto a determinadas medidas contempladas en la Decisión 2014/512/PESC del Consejo y prohíbe la venta, el suministro, la transferencia o la exportación de productos y tecnología de doble uso a cualquier persona, entidad u organismo de Rusia, o para su utilización en ese país, si dichos productos se destinan a un uso militar o a usuarios finales militares. También prohíbe la venta de tales productos y tecnología a determinadas personas jurídicas en Rusia y prohíbe la prestación de asistencia técnica y otros servicios conexos, así como la financiación y asistencia financiera relacionadas con dichos productos y tecnología. Además, exige a los operadores que obtengan una autorización previa para la venta, el suministro, la transferencia o la exportación de determinadas tecnologías para la industria petrolera en Rusia y prohíbe la prestación de los servicios asociados necesarios para la prospección y producción de petróleo en aguas profundas, la exploración y producción de petróleo ártico o los proyectos relacionados con el petróleo de esquisto en Rusia, incluida su zona económica exclusiva y su plataforma continental. Prohíbe asimismo el suministro de asistencia técnica relacionada con los productos y la tecnología que figuran en la Lista Común Militar de la Unión Europea o relacionada con el suministro, la fabricación, el mantenimiento y la utilización de dichos productos. También impone restricciones al acceso al mercado de capitales para determinadas instituciones financieras rusas.</w:t>
      </w:r>
    </w:p>
    <w:p w14:paraId="03D252D9" w14:textId="3AE7421A" w:rsidR="00072BFD" w:rsidRPr="00107CD2" w:rsidRDefault="00F02F80" w:rsidP="00F02F80">
      <w:pPr>
        <w:pStyle w:val="ManualConsidrant"/>
        <w:rPr>
          <w:noProof/>
        </w:rPr>
      </w:pPr>
      <w:r w:rsidRPr="00F02F80">
        <w:rPr>
          <w:noProof/>
        </w:rPr>
        <w:t>(3)</w:t>
      </w:r>
      <w:r w:rsidRPr="00F02F80">
        <w:rPr>
          <w:noProof/>
        </w:rPr>
        <w:tab/>
      </w:r>
      <w:r w:rsidR="00072BFD" w:rsidRPr="00107CD2">
        <w:rPr>
          <w:noProof/>
        </w:rPr>
        <w:t>El 24 de enero de 2022, recordando las Conclusiones del Consejo Europeo de diciembre de 2021, el Consejo reiteró que cualquier nueva agresión militar contra Ucrania por parte de Rusia tendría gravísimas consecuencias y un elevado coste.</w:t>
      </w:r>
    </w:p>
    <w:p w14:paraId="36C11437" w14:textId="47B66255" w:rsidR="00072BFD" w:rsidRPr="00107CD2" w:rsidRDefault="00F02F80" w:rsidP="00F02F80">
      <w:pPr>
        <w:pStyle w:val="ManualConsidrant"/>
        <w:rPr>
          <w:noProof/>
        </w:rPr>
      </w:pPr>
      <w:r w:rsidRPr="00F02F80">
        <w:rPr>
          <w:noProof/>
        </w:rPr>
        <w:lastRenderedPageBreak/>
        <w:t>(4)</w:t>
      </w:r>
      <w:r w:rsidRPr="00F02F80">
        <w:rPr>
          <w:noProof/>
        </w:rPr>
        <w:tab/>
      </w:r>
      <w:r w:rsidR="00072BFD" w:rsidRPr="00107CD2">
        <w:rPr>
          <w:noProof/>
        </w:rPr>
        <w:t>En vista de [ACONTECIMIENTO DESENCADENANTE], el Consejo adoptó el [FECHA] la Decisión (PESC) 2022/XXX, por la que se modifica la Decisión 2014/512/PESC y se imponen medidas restrictivas adicionales en diversos sectores, en particular la defensa, la energía, la aviación y las finanzas.</w:t>
      </w:r>
    </w:p>
    <w:p w14:paraId="4EF77FCC" w14:textId="7A5C730B" w:rsidR="00CE7209" w:rsidRPr="00107CD2" w:rsidRDefault="00F02F80" w:rsidP="00F02F80">
      <w:pPr>
        <w:pStyle w:val="ManualConsidrant"/>
        <w:rPr>
          <w:noProof/>
        </w:rPr>
      </w:pPr>
      <w:r w:rsidRPr="00F02F80">
        <w:rPr>
          <w:noProof/>
        </w:rPr>
        <w:t>(5)</w:t>
      </w:r>
      <w:r w:rsidRPr="00F02F80">
        <w:rPr>
          <w:noProof/>
        </w:rPr>
        <w:tab/>
      </w:r>
      <w:r w:rsidR="00B9665B" w:rsidRPr="00107CD2">
        <w:rPr>
          <w:noProof/>
        </w:rPr>
        <w:t>La Decisión (PESC) 2022/XXX del Consejo impone nuevas restricciones a las exportaciones de productos y tecnología de doble uso y a la prestación de servicios conexos, así como restricciones a las exportaciones de determinados productos y tecnología que puedan contribuir a la mejora tecnológica por parte de Rusia de su sector de la defensa y la seguridad. También introduce restricciones a la prestación de servicios conexos. Se prevén excepciones limitadas a tales restricciones con fines legítimos y predeterminados. Además, la Decisión prohíbe el suministro de financiación o asistencia financiera públicas para el comercio con Rusia o la inversión en ese país, a reserva de determinadas excepciones.</w:t>
      </w:r>
    </w:p>
    <w:p w14:paraId="785D519F" w14:textId="531F7F1E" w:rsidR="00B9665B" w:rsidRPr="00107CD2" w:rsidRDefault="00F02F80" w:rsidP="00F02F80">
      <w:pPr>
        <w:pStyle w:val="ManualConsidrant"/>
        <w:rPr>
          <w:noProof/>
        </w:rPr>
      </w:pPr>
      <w:r w:rsidRPr="00F02F80">
        <w:rPr>
          <w:noProof/>
        </w:rPr>
        <w:t>(6)</w:t>
      </w:r>
      <w:r w:rsidRPr="00F02F80">
        <w:rPr>
          <w:noProof/>
        </w:rPr>
        <w:tab/>
      </w:r>
      <w:r w:rsidR="00B9665B" w:rsidRPr="00107CD2">
        <w:rPr>
          <w:noProof/>
        </w:rPr>
        <w:t xml:space="preserve">La Decisión (PESC) 2022/XXX del Consejo también prohíbe la venta, el suministro, la transferencia o la exportación a Rusia de productos y tecnologías específicos para su uso en el refinado de petróleo, además de restricciones a la prestación de servicios conexos. </w:t>
      </w:r>
    </w:p>
    <w:p w14:paraId="611BDF9A" w14:textId="719DF07A" w:rsidR="00072BFD" w:rsidRPr="00107CD2" w:rsidRDefault="00F02F80" w:rsidP="00F02F80">
      <w:pPr>
        <w:pStyle w:val="ManualConsidrant"/>
        <w:rPr>
          <w:noProof/>
        </w:rPr>
      </w:pPr>
      <w:r w:rsidRPr="00F02F80">
        <w:rPr>
          <w:noProof/>
        </w:rPr>
        <w:t>(7)</w:t>
      </w:r>
      <w:r w:rsidRPr="00F02F80">
        <w:rPr>
          <w:noProof/>
        </w:rPr>
        <w:tab/>
      </w:r>
      <w:r w:rsidR="00B9665B" w:rsidRPr="00107CD2">
        <w:rPr>
          <w:noProof/>
        </w:rPr>
        <w:t xml:space="preserve">Asimismo, introduce una prohibición de exportación que abarca productos y tecnologías adecuados para el uso en la aviación y la industria espacial, así como la prestación de servicios de seguros y reaseguros y de mantenimiento en relación con dichos productos y tecnología. Además, prohíbe la prestación de asistencia técnica y otros servicios conexos, así como la financiación y la asistencia financiera en relación con los productos y la tecnología sujetos a esta prohibición. </w:t>
      </w:r>
    </w:p>
    <w:p w14:paraId="76598B22" w14:textId="747CC4FC" w:rsidR="000C367A" w:rsidRPr="00107CD2" w:rsidRDefault="00F02F80" w:rsidP="00F02F80">
      <w:pPr>
        <w:pStyle w:val="ManualConsidrant"/>
        <w:rPr>
          <w:noProof/>
        </w:rPr>
      </w:pPr>
      <w:r w:rsidRPr="00F02F80">
        <w:rPr>
          <w:noProof/>
        </w:rPr>
        <w:t>(8)</w:t>
      </w:r>
      <w:r w:rsidRPr="00F02F80">
        <w:rPr>
          <w:noProof/>
        </w:rPr>
        <w:tab/>
      </w:r>
      <w:r w:rsidR="00B9665B" w:rsidRPr="00107CD2">
        <w:rPr>
          <w:noProof/>
        </w:rPr>
        <w:t xml:space="preserve">La Decisión (PESC) 2022/XXX del Consejo amplía las restricciones financieras vigentes, en particular las relativas al acceso de determinadas entidades rusas a los mercados de capitales. Asimismo, prohíbe la cotización y la prestación de servicios en relación con las acciones de entidades rusas de propiedad estatal en centros de negociación de la UE. Además, introduce nuevas medidas que limitan las entradas financieras en la Unión desde Rusia, prohibiendo la aceptación de depósitos de nacionales o residentes rusos que superen determinados importes, la tenencia de cuentas de clientes rusos por parte de depositarios centrales de valores de la UE y la venta de valores denominados en euros a clientes rusos. </w:t>
      </w:r>
    </w:p>
    <w:p w14:paraId="03E792C9" w14:textId="5A792491" w:rsidR="00072BFD" w:rsidRPr="00107CD2" w:rsidRDefault="00F02F80" w:rsidP="00F02F80">
      <w:pPr>
        <w:pStyle w:val="ManualConsidrant"/>
        <w:rPr>
          <w:noProof/>
        </w:rPr>
      </w:pPr>
      <w:r w:rsidRPr="00F02F80">
        <w:rPr>
          <w:noProof/>
        </w:rPr>
        <w:t>(9)</w:t>
      </w:r>
      <w:r w:rsidRPr="00F02F80">
        <w:rPr>
          <w:noProof/>
        </w:rPr>
        <w:tab/>
      </w:r>
      <w:r w:rsidR="00072BFD" w:rsidRPr="00107CD2">
        <w:rPr>
          <w:noProof/>
        </w:rPr>
        <w:t>Estas medidas pertenecen al ámbito de aplicación del Tratado, por lo que, con el fin, en particular, de garantizar su aplicación uniforme en todos los Estados miembros, resulta necesario un acto reglamentario de la Unión.</w:t>
      </w:r>
    </w:p>
    <w:p w14:paraId="297B258B" w14:textId="55BD4E7E" w:rsidR="00686358" w:rsidRPr="00107CD2" w:rsidRDefault="00F02F80" w:rsidP="00F02F80">
      <w:pPr>
        <w:pStyle w:val="ManualConsidrant"/>
        <w:rPr>
          <w:noProof/>
        </w:rPr>
      </w:pPr>
      <w:r w:rsidRPr="00F02F80">
        <w:rPr>
          <w:noProof/>
        </w:rPr>
        <w:t>(10)</w:t>
      </w:r>
      <w:r w:rsidRPr="00F02F80">
        <w:rPr>
          <w:noProof/>
        </w:rPr>
        <w:tab/>
      </w:r>
      <w:r w:rsidR="00072BFD" w:rsidRPr="00107CD2">
        <w:rPr>
          <w:noProof/>
        </w:rPr>
        <w:t>A fin de garantizar unas condiciones uniformes de ejecución del presente Reglamento, deben conferirse a la Comisión competencias de ejecución.</w:t>
      </w:r>
      <w:r w:rsidR="00072BFD" w:rsidRPr="00107CD2">
        <w:rPr>
          <w:noProof/>
          <w:highlight w:val="yellow"/>
        </w:rPr>
        <w:t xml:space="preserve"> </w:t>
      </w:r>
    </w:p>
    <w:p w14:paraId="255CBF40" w14:textId="64A980C1" w:rsidR="005A01C9" w:rsidRPr="00107CD2" w:rsidRDefault="00F02F80" w:rsidP="00F02F80">
      <w:pPr>
        <w:pStyle w:val="ManualConsidrant"/>
        <w:rPr>
          <w:noProof/>
        </w:rPr>
      </w:pPr>
      <w:r w:rsidRPr="00F02F80">
        <w:rPr>
          <w:noProof/>
        </w:rPr>
        <w:t>(11)</w:t>
      </w:r>
      <w:r w:rsidRPr="00F02F80">
        <w:rPr>
          <w:noProof/>
        </w:rPr>
        <w:tab/>
      </w:r>
      <w:r w:rsidR="005A01C9" w:rsidRPr="00107CD2">
        <w:rPr>
          <w:noProof/>
        </w:rPr>
        <w:t>La Comisión supervisará la aplicación de estas medidas. Para garantizar la eficacia de los controles de las exportaciones de bienes y tecnología de la UE que puedan contribuir a la mejora tecnológica por parte de Rusia de su sector de la defensa y la seguridad, la Comisión actuará en coordinación con los Estados miembros y, en su caso, con los países socios, con vistas, en casos justificados y documentados, a adaptar la lista de dichos bienes y tecnología según proceda.</w:t>
      </w:r>
    </w:p>
    <w:p w14:paraId="49EBA472" w14:textId="6236A01E" w:rsidR="00114C05" w:rsidRPr="00107CD2" w:rsidRDefault="00F02F80" w:rsidP="00F02F80">
      <w:pPr>
        <w:pStyle w:val="ManualConsidrant"/>
        <w:rPr>
          <w:noProof/>
        </w:rPr>
      </w:pPr>
      <w:r w:rsidRPr="00F02F80">
        <w:rPr>
          <w:noProof/>
        </w:rPr>
        <w:t>(12)</w:t>
      </w:r>
      <w:r w:rsidRPr="00F02F80">
        <w:rPr>
          <w:noProof/>
        </w:rPr>
        <w:tab/>
      </w:r>
      <w:r w:rsidR="00114C05" w:rsidRPr="00107CD2">
        <w:rPr>
          <w:noProof/>
        </w:rPr>
        <w:t>Procede, por tanto, modificar el Reglamento (UE) n.º 833/2014 en consecuencia.</w:t>
      </w:r>
    </w:p>
    <w:p w14:paraId="549169CA" w14:textId="77777777" w:rsidR="000963EE" w:rsidRPr="00107CD2" w:rsidRDefault="000963EE" w:rsidP="00E95409">
      <w:pPr>
        <w:pStyle w:val="Formuledadoption"/>
        <w:rPr>
          <w:noProof/>
        </w:rPr>
      </w:pPr>
      <w:r w:rsidRPr="00107CD2">
        <w:rPr>
          <w:noProof/>
        </w:rPr>
        <w:lastRenderedPageBreak/>
        <w:t>HA ADOPTADO EL PRESENTE REGLAMENTO:</w:t>
      </w:r>
    </w:p>
    <w:p w14:paraId="699442DF" w14:textId="77777777" w:rsidR="000963EE" w:rsidRPr="00107CD2" w:rsidRDefault="000963EE" w:rsidP="00E95409">
      <w:pPr>
        <w:pStyle w:val="Titrearticle"/>
        <w:rPr>
          <w:noProof/>
        </w:rPr>
      </w:pPr>
      <w:r w:rsidRPr="00107CD2">
        <w:rPr>
          <w:noProof/>
        </w:rPr>
        <w:t>Artículo 1</w:t>
      </w:r>
    </w:p>
    <w:p w14:paraId="2A8DDF06" w14:textId="5551CE19" w:rsidR="00114C05" w:rsidRPr="00107CD2" w:rsidRDefault="00114C05" w:rsidP="00766826">
      <w:pPr>
        <w:spacing w:before="240"/>
        <w:rPr>
          <w:rFonts w:eastAsia="Times New Roman"/>
          <w:noProof/>
          <w:szCs w:val="24"/>
        </w:rPr>
      </w:pPr>
      <w:r w:rsidRPr="00107CD2">
        <w:rPr>
          <w:noProof/>
        </w:rPr>
        <w:t xml:space="preserve">El Reglamento (UE) 833/2014 se modifica como sigue: </w:t>
      </w:r>
    </w:p>
    <w:p w14:paraId="4B646E99" w14:textId="637C6567" w:rsidR="0079438E" w:rsidRPr="00107CD2" w:rsidRDefault="00E51202" w:rsidP="00E51202">
      <w:pPr>
        <w:pStyle w:val="Point0"/>
        <w:rPr>
          <w:noProof/>
        </w:rPr>
      </w:pPr>
      <w:r>
        <w:rPr>
          <w:noProof/>
        </w:rPr>
        <w:t>1)</w:t>
      </w:r>
      <w:r>
        <w:rPr>
          <w:noProof/>
        </w:rPr>
        <w:tab/>
      </w:r>
      <w:r w:rsidR="0079438E" w:rsidRPr="00107CD2">
        <w:rPr>
          <w:noProof/>
        </w:rPr>
        <w:t xml:space="preserve">El artículo 1 se sustituye por el texto siguiente: </w:t>
      </w:r>
    </w:p>
    <w:p w14:paraId="538004DA" w14:textId="77777777" w:rsidR="00BD416A" w:rsidRPr="00107CD2" w:rsidRDefault="0079438E" w:rsidP="00480CC7">
      <w:pPr>
        <w:spacing w:before="240"/>
        <w:jc w:val="center"/>
        <w:rPr>
          <w:noProof/>
        </w:rPr>
      </w:pPr>
      <w:r w:rsidRPr="00107CD2">
        <w:rPr>
          <w:noProof/>
        </w:rPr>
        <w:t>«Artículo 1</w:t>
      </w:r>
    </w:p>
    <w:p w14:paraId="77D652B4" w14:textId="66011B45" w:rsidR="00766826" w:rsidRPr="00107CD2" w:rsidRDefault="00766826" w:rsidP="00766826">
      <w:pPr>
        <w:spacing w:before="240"/>
        <w:rPr>
          <w:rFonts w:eastAsia="Times New Roman"/>
          <w:noProof/>
          <w:szCs w:val="24"/>
        </w:rPr>
      </w:pPr>
      <w:r w:rsidRPr="00107CD2">
        <w:rPr>
          <w:noProof/>
        </w:rPr>
        <w:t>A efectos del presente Reglamento, se entenderá por:</w:t>
      </w:r>
    </w:p>
    <w:p w14:paraId="742FC098" w14:textId="267442A6" w:rsidR="00766826" w:rsidRPr="00107CD2" w:rsidRDefault="00E51202" w:rsidP="00E51202">
      <w:pPr>
        <w:pStyle w:val="Point0"/>
        <w:rPr>
          <w:noProof/>
        </w:rPr>
      </w:pPr>
      <w:r>
        <w:rPr>
          <w:noProof/>
        </w:rPr>
        <w:t>a)</w:t>
      </w:r>
      <w:r>
        <w:rPr>
          <w:noProof/>
        </w:rPr>
        <w:tab/>
      </w:r>
      <w:r w:rsidR="00766826" w:rsidRPr="00107CD2">
        <w:rPr>
          <w:noProof/>
        </w:rPr>
        <w:t>«productos y tecnología de doble uso»: los productos que figuran en el anexo I del Reglamento (UE) 2021/821;</w:t>
      </w:r>
    </w:p>
    <w:p w14:paraId="66FC7523" w14:textId="552DAA7A" w:rsidR="00766826" w:rsidRPr="00107CD2" w:rsidRDefault="00E51202" w:rsidP="00E51202">
      <w:pPr>
        <w:pStyle w:val="Point0"/>
        <w:rPr>
          <w:noProof/>
        </w:rPr>
      </w:pPr>
      <w:r>
        <w:rPr>
          <w:noProof/>
        </w:rPr>
        <w:t>b)</w:t>
      </w:r>
      <w:r>
        <w:rPr>
          <w:noProof/>
        </w:rPr>
        <w:tab/>
      </w:r>
      <w:r w:rsidR="00766826" w:rsidRPr="00107CD2">
        <w:rPr>
          <w:noProof/>
        </w:rPr>
        <w:t>«autoridades competentes»: las autoridades competentes de los Estados miembros indicadas en las páginas web que figuran en el anexo I;</w:t>
      </w:r>
    </w:p>
    <w:p w14:paraId="7E26AB88" w14:textId="53F1F1CC" w:rsidR="00766826" w:rsidRPr="00107CD2" w:rsidRDefault="00E51202" w:rsidP="00E51202">
      <w:pPr>
        <w:pStyle w:val="Point0"/>
        <w:rPr>
          <w:noProof/>
        </w:rPr>
      </w:pPr>
      <w:r>
        <w:rPr>
          <w:noProof/>
        </w:rPr>
        <w:t>c)</w:t>
      </w:r>
      <w:r>
        <w:rPr>
          <w:noProof/>
        </w:rPr>
        <w:tab/>
      </w:r>
      <w:r w:rsidR="00766826" w:rsidRPr="00107CD2">
        <w:rPr>
          <w:noProof/>
        </w:rPr>
        <w:t>«asistencia técnica»: cualquier apoyo técnico vinculado con reparaciones, desarrollo, fabricación, montaje, pruebas, mantenimiento o cualquier otro servicio técnico, y que pueda prestarse en forma de instrucción, asesoramiento, formación, transmisión de técnicas de trabajo o conocimientos especializados o servicios de consulta; esta asistencia incluye la prestada verbalmente;</w:t>
      </w:r>
    </w:p>
    <w:p w14:paraId="2C8F8F39" w14:textId="03D5F308" w:rsidR="00766826" w:rsidRPr="00107CD2" w:rsidRDefault="00E51202" w:rsidP="00E51202">
      <w:pPr>
        <w:pStyle w:val="Point0"/>
        <w:rPr>
          <w:noProof/>
        </w:rPr>
      </w:pPr>
      <w:r>
        <w:rPr>
          <w:noProof/>
        </w:rPr>
        <w:t>d)</w:t>
      </w:r>
      <w:r>
        <w:rPr>
          <w:noProof/>
        </w:rPr>
        <w:tab/>
      </w:r>
      <w:r w:rsidR="00766826" w:rsidRPr="00107CD2">
        <w:rPr>
          <w:noProof/>
        </w:rPr>
        <w:t>«servicios de intermediación»:</w:t>
      </w:r>
    </w:p>
    <w:p w14:paraId="1A763947" w14:textId="77777777" w:rsidR="00E95409" w:rsidRPr="00107CD2" w:rsidRDefault="00E95409" w:rsidP="00E95409">
      <w:pPr>
        <w:ind w:left="1428"/>
        <w:rPr>
          <w:noProof/>
        </w:rPr>
      </w:pPr>
      <w:r w:rsidRPr="00107CD2">
        <w:rPr>
          <w:noProof/>
        </w:rPr>
        <w:t>i) la negociación o la organización de transacciones destinadas a la compra, la venta o el suministro de productos y tecnología, o de servicios financieros o técnicos, incluso procedentes de un tercer país a cualquier otro tercer país, o</w:t>
      </w:r>
    </w:p>
    <w:p w14:paraId="44801BC7" w14:textId="77777777" w:rsidR="00E95409" w:rsidRPr="00107CD2" w:rsidRDefault="00E95409" w:rsidP="00E95409">
      <w:pPr>
        <w:ind w:left="1428"/>
        <w:rPr>
          <w:noProof/>
        </w:rPr>
      </w:pPr>
      <w:r w:rsidRPr="00107CD2">
        <w:rPr>
          <w:noProof/>
        </w:rPr>
        <w:t>ii) la venta o la compra de productos y tecnología, o de servicios financieros o técnicos, incluso en caso de que se encuentren en terceros países para su traslado a otro tercer país;</w:t>
      </w:r>
    </w:p>
    <w:p w14:paraId="01B689F9" w14:textId="47A830D7" w:rsidR="00766826" w:rsidRPr="00107CD2" w:rsidRDefault="00E51202" w:rsidP="00E51202">
      <w:pPr>
        <w:pStyle w:val="Point0"/>
        <w:rPr>
          <w:noProof/>
        </w:rPr>
      </w:pPr>
      <w:r>
        <w:rPr>
          <w:noProof/>
        </w:rPr>
        <w:t>e)</w:t>
      </w:r>
      <w:r>
        <w:rPr>
          <w:noProof/>
        </w:rPr>
        <w:tab/>
      </w:r>
      <w:r w:rsidR="00766826" w:rsidRPr="00107CD2">
        <w:rPr>
          <w:noProof/>
        </w:rPr>
        <w:t>«servicios de inversión»: los siguientes servicios y actividades:</w:t>
      </w:r>
    </w:p>
    <w:p w14:paraId="52D7BF6B" w14:textId="77777777" w:rsidR="00E95409" w:rsidRPr="00107CD2" w:rsidRDefault="00E95409" w:rsidP="00E95409">
      <w:pPr>
        <w:ind w:left="1428"/>
        <w:rPr>
          <w:noProof/>
        </w:rPr>
      </w:pPr>
      <w:r w:rsidRPr="00107CD2">
        <w:rPr>
          <w:noProof/>
        </w:rPr>
        <w:t>i) recepción y transmisión de órdenes en relación con uno o más instrumentos financieros,</w:t>
      </w:r>
    </w:p>
    <w:p w14:paraId="39D73AEC" w14:textId="77777777" w:rsidR="00E95409" w:rsidRPr="00107CD2" w:rsidRDefault="00E95409" w:rsidP="00E95409">
      <w:pPr>
        <w:ind w:left="1428"/>
        <w:rPr>
          <w:noProof/>
        </w:rPr>
      </w:pPr>
      <w:r w:rsidRPr="00107CD2">
        <w:rPr>
          <w:noProof/>
        </w:rPr>
        <w:t>ii) ejecución de órdenes en nombre de clientes,</w:t>
      </w:r>
    </w:p>
    <w:p w14:paraId="10FC526B" w14:textId="77777777" w:rsidR="00E95409" w:rsidRPr="00107CD2" w:rsidRDefault="00E95409" w:rsidP="00E95409">
      <w:pPr>
        <w:ind w:left="1428"/>
        <w:rPr>
          <w:noProof/>
        </w:rPr>
      </w:pPr>
      <w:r w:rsidRPr="00107CD2">
        <w:rPr>
          <w:noProof/>
        </w:rPr>
        <w:t>iii) negociación por cuenta propia,</w:t>
      </w:r>
    </w:p>
    <w:p w14:paraId="3AF28ED0" w14:textId="77777777" w:rsidR="00E95409" w:rsidRPr="00107CD2" w:rsidRDefault="00E95409" w:rsidP="00E95409">
      <w:pPr>
        <w:ind w:left="1428"/>
        <w:rPr>
          <w:noProof/>
        </w:rPr>
      </w:pPr>
      <w:r w:rsidRPr="00107CD2">
        <w:rPr>
          <w:noProof/>
        </w:rPr>
        <w:t>iv) gestión de cartera,</w:t>
      </w:r>
    </w:p>
    <w:p w14:paraId="065DA765" w14:textId="77777777" w:rsidR="00E95409" w:rsidRPr="00107CD2" w:rsidRDefault="00E95409" w:rsidP="00E95409">
      <w:pPr>
        <w:ind w:left="1428"/>
        <w:rPr>
          <w:noProof/>
        </w:rPr>
      </w:pPr>
      <w:r w:rsidRPr="00107CD2">
        <w:rPr>
          <w:noProof/>
        </w:rPr>
        <w:t>v) asesoramiento en materia de inversión,</w:t>
      </w:r>
    </w:p>
    <w:p w14:paraId="51EB7B66" w14:textId="77777777" w:rsidR="00E95409" w:rsidRPr="00107CD2" w:rsidRDefault="00E95409" w:rsidP="00E95409">
      <w:pPr>
        <w:ind w:left="1428"/>
        <w:rPr>
          <w:noProof/>
        </w:rPr>
      </w:pPr>
      <w:r w:rsidRPr="00107CD2">
        <w:rPr>
          <w:noProof/>
        </w:rPr>
        <w:t>vi) aseguramiento o colocación de instrumentos financieros basados en un compromiso firme,</w:t>
      </w:r>
    </w:p>
    <w:p w14:paraId="51E9CA40" w14:textId="77777777" w:rsidR="00E95409" w:rsidRPr="00107CD2" w:rsidRDefault="00E95409" w:rsidP="00E95409">
      <w:pPr>
        <w:ind w:left="1428"/>
        <w:rPr>
          <w:noProof/>
        </w:rPr>
      </w:pPr>
      <w:r w:rsidRPr="00107CD2">
        <w:rPr>
          <w:noProof/>
        </w:rPr>
        <w:t>vii) colocación de instrumentos financieros no basada en un compromiso firme,</w:t>
      </w:r>
    </w:p>
    <w:p w14:paraId="1100DD0F" w14:textId="77777777" w:rsidR="00E95409" w:rsidRPr="00107CD2" w:rsidRDefault="00E95409" w:rsidP="00E95409">
      <w:pPr>
        <w:ind w:left="1428"/>
        <w:rPr>
          <w:noProof/>
        </w:rPr>
      </w:pPr>
      <w:r w:rsidRPr="00107CD2">
        <w:rPr>
          <w:noProof/>
        </w:rPr>
        <w:t>viii) cualquier servicio relacionado con la admisión a cotización en un mercado regulado o en un sistema multilateral de negociación;</w:t>
      </w:r>
    </w:p>
    <w:p w14:paraId="692D39D3" w14:textId="54754033" w:rsidR="00766826" w:rsidRPr="00107CD2" w:rsidRDefault="00E51202" w:rsidP="00E51202">
      <w:pPr>
        <w:pStyle w:val="Point0"/>
        <w:rPr>
          <w:noProof/>
        </w:rPr>
      </w:pPr>
      <w:r>
        <w:rPr>
          <w:noProof/>
        </w:rPr>
        <w:t>f)</w:t>
      </w:r>
      <w:r>
        <w:rPr>
          <w:noProof/>
        </w:rPr>
        <w:tab/>
      </w:r>
      <w:r w:rsidR="00636C7D" w:rsidRPr="00107CD2">
        <w:rPr>
          <w:noProof/>
        </w:rPr>
        <w:t xml:space="preserve"> «valores negociables»: las siguientes categorías de valores que sean negociables en el mercado de capitales, con excepción de los instrumentos de pago:</w:t>
      </w:r>
    </w:p>
    <w:p w14:paraId="07104865" w14:textId="77777777" w:rsidR="00636C7D" w:rsidRPr="00107CD2" w:rsidRDefault="00636C7D" w:rsidP="00636C7D">
      <w:pPr>
        <w:ind w:left="1428"/>
        <w:rPr>
          <w:noProof/>
        </w:rPr>
      </w:pPr>
      <w:r w:rsidRPr="00107CD2">
        <w:rPr>
          <w:noProof/>
        </w:rPr>
        <w:t>i) acciones de sociedades y otros valores equiparables a las acciones de sociedades, asociaciones u otras entidades, y certificados de depósito representativos de acciones,</w:t>
      </w:r>
    </w:p>
    <w:p w14:paraId="16B5FE05" w14:textId="77777777" w:rsidR="00636C7D" w:rsidRPr="00107CD2" w:rsidRDefault="00636C7D" w:rsidP="00636C7D">
      <w:pPr>
        <w:ind w:left="1428"/>
        <w:rPr>
          <w:noProof/>
        </w:rPr>
      </w:pPr>
      <w:r w:rsidRPr="00107CD2">
        <w:rPr>
          <w:noProof/>
        </w:rPr>
        <w:lastRenderedPageBreak/>
        <w:t>ii) bonos y obligaciones u otras formas de deuda titulizada, incluidos los certificados de depósito representativos de tales valores,</w:t>
      </w:r>
    </w:p>
    <w:p w14:paraId="5EDEC98D" w14:textId="77777777" w:rsidR="00636C7D" w:rsidRPr="00107CD2" w:rsidRDefault="00636C7D" w:rsidP="00636C7D">
      <w:pPr>
        <w:ind w:left="1428"/>
        <w:rPr>
          <w:noProof/>
        </w:rPr>
      </w:pPr>
      <w:r w:rsidRPr="00107CD2">
        <w:rPr>
          <w:noProof/>
        </w:rPr>
        <w:t>iii) otros valores que den derecho a adquirir o a vender tales valores negociables o que den lugar a una liquidación en efectivo, determinada por referencia a valores negociables;</w:t>
      </w:r>
    </w:p>
    <w:p w14:paraId="23E707DB" w14:textId="0A7898D2" w:rsidR="00766826" w:rsidRPr="00107CD2" w:rsidRDefault="00E51202" w:rsidP="00E51202">
      <w:pPr>
        <w:pStyle w:val="Point0"/>
        <w:rPr>
          <w:noProof/>
        </w:rPr>
      </w:pPr>
      <w:r>
        <w:rPr>
          <w:noProof/>
        </w:rPr>
        <w:t>g)</w:t>
      </w:r>
      <w:r>
        <w:rPr>
          <w:noProof/>
        </w:rPr>
        <w:tab/>
      </w:r>
      <w:r w:rsidR="00636C7D" w:rsidRPr="00107CD2">
        <w:rPr>
          <w:noProof/>
        </w:rPr>
        <w:t xml:space="preserve"> «instrumentos del mercado monetario»: las categorías de instrumentos que se negocian habitualmente en el mercado monetario, como letras del Tesoro, certificados de depósito y efectos comerciales, excluidos los instrumentos de pago;</w:t>
      </w:r>
    </w:p>
    <w:p w14:paraId="71252A08" w14:textId="4F8B54A1" w:rsidR="00766826" w:rsidRPr="00107CD2" w:rsidRDefault="00E51202" w:rsidP="00E51202">
      <w:pPr>
        <w:pStyle w:val="Point0"/>
        <w:rPr>
          <w:noProof/>
        </w:rPr>
      </w:pPr>
      <w:r>
        <w:rPr>
          <w:noProof/>
        </w:rPr>
        <w:t>h)</w:t>
      </w:r>
      <w:r>
        <w:rPr>
          <w:noProof/>
        </w:rPr>
        <w:tab/>
      </w:r>
      <w:r w:rsidR="00766826" w:rsidRPr="00107CD2">
        <w:rPr>
          <w:noProof/>
        </w:rPr>
        <w:t>«entidad de crédito»: toda empresa cuya actividad consista en recibir del público depósitos u otros fondos reembolsables y conceder créditos por cuenta propia;</w:t>
      </w:r>
    </w:p>
    <w:p w14:paraId="39CA6E11" w14:textId="2F3A8200" w:rsidR="00766826" w:rsidRPr="00107CD2" w:rsidRDefault="00E51202" w:rsidP="00E51202">
      <w:pPr>
        <w:pStyle w:val="Point0"/>
        <w:rPr>
          <w:noProof/>
        </w:rPr>
      </w:pPr>
      <w:r>
        <w:rPr>
          <w:noProof/>
        </w:rPr>
        <w:t>i)</w:t>
      </w:r>
      <w:r>
        <w:rPr>
          <w:noProof/>
        </w:rPr>
        <w:tab/>
      </w:r>
      <w:r w:rsidR="00766826" w:rsidRPr="00107CD2">
        <w:rPr>
          <w:noProof/>
        </w:rPr>
        <w:t>«territorio de la Unión»: los territorios de los Estados miembros, incluido su espacio aéreo, a los que se aplique el Tratado y en las condiciones establecidas en el mismo;</w:t>
      </w:r>
    </w:p>
    <w:p w14:paraId="25ED5114" w14:textId="729A07D9" w:rsidR="00766826" w:rsidRPr="00107CD2" w:rsidRDefault="00E51202" w:rsidP="00E51202">
      <w:pPr>
        <w:pStyle w:val="Point0"/>
        <w:rPr>
          <w:noProof/>
        </w:rPr>
      </w:pPr>
      <w:r>
        <w:rPr>
          <w:noProof/>
        </w:rPr>
        <w:t>j)</w:t>
      </w:r>
      <w:r>
        <w:rPr>
          <w:noProof/>
        </w:rPr>
        <w:tab/>
      </w:r>
      <w:r w:rsidR="00766826" w:rsidRPr="00107CD2">
        <w:rPr>
          <w:noProof/>
        </w:rPr>
        <w:t>«depositario central de valores»: persona jurídica conforme a la definición del artículo 2, apartado 1, punto 1, del Reglamento (UE) n.º 909/2014;</w:t>
      </w:r>
    </w:p>
    <w:p w14:paraId="1C4C2A02" w14:textId="1A2C0579" w:rsidR="00766826" w:rsidRPr="00107CD2" w:rsidRDefault="00E51202" w:rsidP="00E51202">
      <w:pPr>
        <w:pStyle w:val="Point0"/>
        <w:rPr>
          <w:noProof/>
        </w:rPr>
      </w:pPr>
      <w:r>
        <w:rPr>
          <w:noProof/>
        </w:rPr>
        <w:t>k)</w:t>
      </w:r>
      <w:r>
        <w:rPr>
          <w:noProof/>
        </w:rPr>
        <w:tab/>
      </w:r>
      <w:r w:rsidR="00766826" w:rsidRPr="00107CD2">
        <w:rPr>
          <w:noProof/>
        </w:rPr>
        <w:t>«depósito»: cualquier saldo acreedor que proceda de fondos que se hayan mantenido en cuenta o de situaciones transitorias generadas por operaciones bancarias normales y que una entidad de crédito tenga obligación de restituir en las condiciones legales y contractuales aplicables, inclusive los depósitos a plazo fijo y los depósitos de ahorro, pero excluido el saldo acreedor cuando concurra alguna de las condiciones siguientes:</w:t>
      </w:r>
    </w:p>
    <w:p w14:paraId="5FF833CC" w14:textId="56D5C780" w:rsidR="000B0F99" w:rsidRPr="00107CD2" w:rsidRDefault="000B0F99" w:rsidP="000B0F99">
      <w:pPr>
        <w:ind w:left="1428"/>
        <w:rPr>
          <w:noProof/>
        </w:rPr>
      </w:pPr>
      <w:r w:rsidRPr="00107CD2">
        <w:rPr>
          <w:noProof/>
        </w:rPr>
        <w:t>i) su existencia solo pueda probarse mediante un instrumento financiero tal como se define en el artículo 4, apartado 1, punto 15, de la Directiva 2014/65/UE del Parlamento Europeo y del Consejo, a no ser que se trate de un producto de ahorro representado por un certificado de depósito emitido a nombre de una determinada persona y que exista en un Estado miembro a fecha de 2 de julio de 2014,</w:t>
      </w:r>
    </w:p>
    <w:p w14:paraId="4FE7EFF3" w14:textId="02427ABE" w:rsidR="000B0F99" w:rsidRPr="00107CD2" w:rsidRDefault="000B0F99" w:rsidP="000B0F99">
      <w:pPr>
        <w:ind w:left="1428"/>
        <w:rPr>
          <w:noProof/>
        </w:rPr>
      </w:pPr>
      <w:r w:rsidRPr="00107CD2">
        <w:rPr>
          <w:noProof/>
        </w:rPr>
        <w:t>ii) si el principal no es reembolsable por su valor nominal,</w:t>
      </w:r>
    </w:p>
    <w:p w14:paraId="0FED2B20" w14:textId="32B57ECE" w:rsidR="000B0F99" w:rsidRPr="00107CD2" w:rsidRDefault="000B0F99" w:rsidP="000B0F99">
      <w:pPr>
        <w:ind w:left="1428"/>
        <w:rPr>
          <w:noProof/>
        </w:rPr>
      </w:pPr>
      <w:r w:rsidRPr="00107CD2">
        <w:rPr>
          <w:noProof/>
        </w:rPr>
        <w:t>iii) si el principal solo es reembolsable por su valor nominal con una garantía o acuerdo especial de la entidad de crédito o de un tercero;</w:t>
      </w:r>
    </w:p>
    <w:p w14:paraId="0702AE17" w14:textId="0D676FBB" w:rsidR="00766826" w:rsidRPr="00107CD2" w:rsidRDefault="00E51202" w:rsidP="00E51202">
      <w:pPr>
        <w:pStyle w:val="Point0"/>
        <w:rPr>
          <w:noProof/>
        </w:rPr>
      </w:pPr>
      <w:r>
        <w:rPr>
          <w:noProof/>
        </w:rPr>
        <w:t>l)</w:t>
      </w:r>
      <w:r>
        <w:rPr>
          <w:noProof/>
        </w:rPr>
        <w:tab/>
      </w:r>
      <w:r w:rsidR="00766826" w:rsidRPr="00107CD2">
        <w:rPr>
          <w:noProof/>
        </w:rPr>
        <w:t>«regímenes de ciudadanía para inversores» (o «pasaportes dorados»): procedimientos establecidos por un Estado miembro que permiten a los nacionales de terceros países adquirir su nacionalidad a cambio de unos pagos y unas inversiones predeterminados;</w:t>
      </w:r>
    </w:p>
    <w:p w14:paraId="0CDD56F7" w14:textId="54360271" w:rsidR="00766826" w:rsidRPr="00107CD2" w:rsidRDefault="00E51202" w:rsidP="00E51202">
      <w:pPr>
        <w:pStyle w:val="Point0"/>
        <w:rPr>
          <w:noProof/>
        </w:rPr>
      </w:pPr>
      <w:r>
        <w:rPr>
          <w:noProof/>
        </w:rPr>
        <w:t>m)</w:t>
      </w:r>
      <w:r>
        <w:rPr>
          <w:noProof/>
        </w:rPr>
        <w:tab/>
      </w:r>
      <w:r w:rsidR="00766826" w:rsidRPr="00107CD2">
        <w:rPr>
          <w:noProof/>
        </w:rPr>
        <w:t>«programas de residencia para inversores» (o «visados dorados»): procedimientos establecidos por un Estado miembro que permiten a los nacionales de terceros países conseguir un permiso de residencia en un Estado miembro a cambio de unos pagos y unas inversiones predeterminados;</w:t>
      </w:r>
    </w:p>
    <w:p w14:paraId="225DF476" w14:textId="37089B05" w:rsidR="00766826" w:rsidRPr="00107CD2" w:rsidRDefault="00E51202" w:rsidP="00E51202">
      <w:pPr>
        <w:pStyle w:val="Point0"/>
        <w:rPr>
          <w:noProof/>
        </w:rPr>
      </w:pPr>
      <w:r>
        <w:rPr>
          <w:noProof/>
        </w:rPr>
        <w:t>n)</w:t>
      </w:r>
      <w:r>
        <w:rPr>
          <w:noProof/>
        </w:rPr>
        <w:tab/>
      </w:r>
      <w:r w:rsidR="00766826" w:rsidRPr="00107CD2">
        <w:rPr>
          <w:noProof/>
        </w:rPr>
        <w:t>«centro de negociación»: tal como se define en el artículo 4, apartado 1, punto 24, de la Directiva 2014/65/UE, este término se refiere a un mercado regulado, un sistema multilateral de negociación (SMN) o un sistema organizado de contratación (SOC);</w:t>
      </w:r>
    </w:p>
    <w:p w14:paraId="09780539" w14:textId="602FCCDB" w:rsidR="00766826" w:rsidRPr="00107CD2" w:rsidRDefault="00E51202" w:rsidP="00E51202">
      <w:pPr>
        <w:pStyle w:val="Point0"/>
        <w:rPr>
          <w:noProof/>
        </w:rPr>
      </w:pPr>
      <w:r>
        <w:rPr>
          <w:noProof/>
        </w:rPr>
        <w:t>o)</w:t>
      </w:r>
      <w:r>
        <w:rPr>
          <w:noProof/>
        </w:rPr>
        <w:tab/>
      </w:r>
      <w:r w:rsidR="00766826" w:rsidRPr="00107CD2">
        <w:rPr>
          <w:noProof/>
        </w:rPr>
        <w:t xml:space="preserve">«financiación o asistencia financiera»: cualquier acción, independientemente del medio elegido, por la que la persona, entidad u organismo en cuestión, condicional o incondicionalmente, desembolse o se comprometa a desembolsar sus propios fondos o recursos económicos, en particular, pero no exclusivamente, subvenciones, préstamos, garantías, cauciones, obligaciones, cartas de crédito, créditos de </w:t>
      </w:r>
      <w:r w:rsidR="00766826" w:rsidRPr="00107CD2">
        <w:rPr>
          <w:noProof/>
        </w:rPr>
        <w:lastRenderedPageBreak/>
        <w:t>proveedores, créditos de compradores, anticipos a la importación o a la exportación, y todo tipo de seguros y reaseguros, incluidos los seguros de crédito a la exportación. El pago, así como los términos y las condiciones de pago del precio convenido por un producto o un servicio, en consonancia con las prácticas comerciales habituales, no constituyen financiación o asistencia financiera;</w:t>
      </w:r>
    </w:p>
    <w:p w14:paraId="5C6D1194" w14:textId="24D2D6AF" w:rsidR="00766826" w:rsidRPr="00107CD2" w:rsidRDefault="00E51202" w:rsidP="00E51202">
      <w:pPr>
        <w:pStyle w:val="Point0"/>
        <w:rPr>
          <w:noProof/>
        </w:rPr>
      </w:pPr>
      <w:r>
        <w:rPr>
          <w:noProof/>
        </w:rPr>
        <w:t>p)</w:t>
      </w:r>
      <w:r>
        <w:rPr>
          <w:noProof/>
        </w:rPr>
        <w:tab/>
      </w:r>
      <w:r w:rsidR="00766826" w:rsidRPr="00107CD2">
        <w:rPr>
          <w:noProof/>
        </w:rPr>
        <w:t>«país socio»: país que aplica un conjunto de medidas de control de las exportaciones sustancialmente equivalentes a las establecidas en el presente Reglamento y que figura en el anexo VIII;</w:t>
      </w:r>
    </w:p>
    <w:p w14:paraId="03D9E369" w14:textId="4782CB58" w:rsidR="00BD416A" w:rsidRPr="00107CD2" w:rsidRDefault="00E51202" w:rsidP="00E51202">
      <w:pPr>
        <w:pStyle w:val="Point0"/>
        <w:rPr>
          <w:noProof/>
        </w:rPr>
      </w:pPr>
      <w:r>
        <w:rPr>
          <w:noProof/>
        </w:rPr>
        <w:t>q)</w:t>
      </w:r>
      <w:r>
        <w:rPr>
          <w:noProof/>
        </w:rPr>
        <w:tab/>
      </w:r>
      <w:r w:rsidR="00766826" w:rsidRPr="00107CD2">
        <w:rPr>
          <w:noProof/>
        </w:rPr>
        <w:t>«dispositivos de comunicación de consumo»: dispositivos utilizados por particulares, como ordenadores personales y periféricos (que incluyen los discos duros y las impresoras), teléfonos móviles, televisores inteligentes, dispositivos de memoria (memorias USB) y programas informáticos (</w:t>
      </w:r>
      <w:r w:rsidR="00766826" w:rsidRPr="00107CD2">
        <w:rPr>
          <w:i/>
          <w:noProof/>
        </w:rPr>
        <w:t>software</w:t>
      </w:r>
      <w:r w:rsidR="00766826" w:rsidRPr="00107CD2">
        <w:rPr>
          <w:noProof/>
        </w:rPr>
        <w:t xml:space="preserve">) de consumo para todos estos artículos. </w:t>
      </w:r>
    </w:p>
    <w:p w14:paraId="05ED04AE" w14:textId="00478496" w:rsidR="00BD416A" w:rsidRPr="00107CD2" w:rsidRDefault="00E51202" w:rsidP="00E51202">
      <w:pPr>
        <w:pStyle w:val="Point0"/>
        <w:rPr>
          <w:noProof/>
        </w:rPr>
      </w:pPr>
      <w:r>
        <w:rPr>
          <w:noProof/>
        </w:rPr>
        <w:t>2)</w:t>
      </w:r>
      <w:r>
        <w:rPr>
          <w:noProof/>
        </w:rPr>
        <w:tab/>
      </w:r>
      <w:r w:rsidR="00BD416A" w:rsidRPr="00107CD2">
        <w:rPr>
          <w:noProof/>
        </w:rPr>
        <w:t xml:space="preserve">Se suprimen los artículos 2 y 2 </w:t>
      </w:r>
      <w:r w:rsidR="00BD416A" w:rsidRPr="00107CD2">
        <w:rPr>
          <w:i/>
          <w:noProof/>
        </w:rPr>
        <w:t>bis</w:t>
      </w:r>
      <w:r w:rsidR="00BD416A" w:rsidRPr="00107CD2">
        <w:rPr>
          <w:noProof/>
        </w:rPr>
        <w:t xml:space="preserve">. </w:t>
      </w:r>
    </w:p>
    <w:p w14:paraId="0012C548" w14:textId="52B61288" w:rsidR="00BD416A" w:rsidRPr="00107CD2" w:rsidRDefault="00E51202" w:rsidP="00E51202">
      <w:pPr>
        <w:pStyle w:val="Point0"/>
        <w:rPr>
          <w:noProof/>
        </w:rPr>
      </w:pPr>
      <w:r>
        <w:rPr>
          <w:noProof/>
        </w:rPr>
        <w:t>3)</w:t>
      </w:r>
      <w:r>
        <w:rPr>
          <w:noProof/>
        </w:rPr>
        <w:tab/>
      </w:r>
      <w:r w:rsidR="00D521C5" w:rsidRPr="00107CD2">
        <w:rPr>
          <w:noProof/>
        </w:rPr>
        <w:t xml:space="preserve">Se insertan los artículos siguientes: </w:t>
      </w:r>
    </w:p>
    <w:p w14:paraId="79724601" w14:textId="431010AE" w:rsidR="00766826" w:rsidRPr="00107CD2" w:rsidRDefault="00BD416A" w:rsidP="00D521C5">
      <w:pPr>
        <w:pStyle w:val="Titrearticle"/>
        <w:rPr>
          <w:noProof/>
        </w:rPr>
      </w:pPr>
      <w:r w:rsidRPr="00107CD2">
        <w:rPr>
          <w:noProof/>
        </w:rPr>
        <w:t>«Artículo 2</w:t>
      </w:r>
    </w:p>
    <w:p w14:paraId="2FF488E1" w14:textId="77777777" w:rsidR="00766826" w:rsidRPr="00107CD2" w:rsidRDefault="00766826" w:rsidP="00766826">
      <w:pPr>
        <w:pStyle w:val="ManualNumPar1"/>
        <w:rPr>
          <w:noProof/>
        </w:rPr>
      </w:pPr>
      <w:r w:rsidRPr="00107CD2">
        <w:rPr>
          <w:noProof/>
        </w:rPr>
        <w:t>1.</w:t>
      </w:r>
      <w:r w:rsidRPr="00107CD2">
        <w:rPr>
          <w:noProof/>
        </w:rPr>
        <w:tab/>
        <w:t xml:space="preserve">Queda prohibido vender, suministrar, transferir o exportar, directa o indirectamente, productos y tecnología de doble uso, sean originarios o no de la Unión, a cualquier persona física o jurídica, entidad u organismo sitos en Rusia o para su utilización en ese país. </w:t>
      </w:r>
    </w:p>
    <w:p w14:paraId="5333E499" w14:textId="77777777" w:rsidR="00766826" w:rsidRPr="00107CD2" w:rsidRDefault="00942427" w:rsidP="00766826">
      <w:pPr>
        <w:pStyle w:val="ManualNumPar1"/>
        <w:rPr>
          <w:noProof/>
        </w:rPr>
      </w:pPr>
      <w:r w:rsidRPr="00107CD2">
        <w:rPr>
          <w:noProof/>
        </w:rPr>
        <w:t>2.</w:t>
      </w:r>
      <w:r w:rsidRPr="00107CD2">
        <w:rPr>
          <w:noProof/>
        </w:rPr>
        <w:tab/>
        <w:t>Queda prohibido:</w:t>
      </w:r>
    </w:p>
    <w:p w14:paraId="08D598A7" w14:textId="728E50FA" w:rsidR="00766826" w:rsidRPr="00107CD2" w:rsidRDefault="00E51202" w:rsidP="00E51202">
      <w:pPr>
        <w:pStyle w:val="Point1"/>
        <w:rPr>
          <w:noProof/>
        </w:rPr>
      </w:pPr>
      <w:r>
        <w:rPr>
          <w:noProof/>
        </w:rPr>
        <w:t>a)</w:t>
      </w:r>
      <w:r>
        <w:rPr>
          <w:noProof/>
        </w:rPr>
        <w:tab/>
      </w:r>
      <w:r w:rsidR="00766826" w:rsidRPr="00107CD2">
        <w:rPr>
          <w:noProof/>
        </w:rPr>
        <w:t>prestar asistencia técnica, servicios de intermediación u otros servicios en relación con los productos y tecnología mencionados en el apartado 1 y con el suministro, la fabricación, el mantenimiento y la utilización de dichos productos y tecnología, directa o indirectamente, a cualquier persona física o jurídica, entidad u organismo sitos en Rusia, o para su utilización en ese país;</w:t>
      </w:r>
    </w:p>
    <w:p w14:paraId="054DF4B2" w14:textId="58C58C1E" w:rsidR="00766826" w:rsidRPr="00107CD2" w:rsidRDefault="00E51202" w:rsidP="00E51202">
      <w:pPr>
        <w:pStyle w:val="Point1"/>
        <w:rPr>
          <w:noProof/>
        </w:rPr>
      </w:pPr>
      <w:r>
        <w:rPr>
          <w:noProof/>
        </w:rPr>
        <w:t>b)</w:t>
      </w:r>
      <w:r>
        <w:rPr>
          <w:noProof/>
        </w:rPr>
        <w:tab/>
      </w:r>
      <w:r w:rsidR="00766826" w:rsidRPr="00107CD2">
        <w:rPr>
          <w:noProof/>
        </w:rPr>
        <w:t>proporcionar financiación o asistencia financiera en relación con los productos y tecnología mencionados en el apartado 1 para cualquier operación de venta, suministro, transferencia o exportación de dichos productos y tecnología, o para prestar asistencia técnica conexa, servicios de intermediación u otros servicios, directa o indirectamente, a cualquier persona física o jurídica, entidad u organismo sitos en Rusia, o para su utilización en ese país.</w:t>
      </w:r>
    </w:p>
    <w:p w14:paraId="1AB102B8" w14:textId="267CC66C" w:rsidR="00766826" w:rsidRPr="00107CD2" w:rsidRDefault="00942427" w:rsidP="00942427">
      <w:pPr>
        <w:pStyle w:val="ManualNumPar1"/>
        <w:rPr>
          <w:noProof/>
        </w:rPr>
      </w:pPr>
      <w:r w:rsidRPr="00107CD2">
        <w:rPr>
          <w:noProof/>
        </w:rPr>
        <w:t>3.</w:t>
      </w:r>
      <w:r w:rsidRPr="00107CD2">
        <w:rPr>
          <w:noProof/>
        </w:rPr>
        <w:tab/>
        <w:t>Sin perjuicio de los requisitos de autorización en virtud del Reglamento (UE) 2021/821, las prohibiciones establecidas en los apartados 1 y 2 no se aplicarán a la venta, suministro, transferencia o exportación de productos y tecnología de doble uso o a la prestación de asistencia técnica o financiera conexas, para un uso no militar y para un usuario final no militar, que estén destinados a:</w:t>
      </w:r>
    </w:p>
    <w:p w14:paraId="13C20D36" w14:textId="2F1A253E" w:rsidR="00766826" w:rsidRPr="00107CD2" w:rsidRDefault="00E51202" w:rsidP="00E51202">
      <w:pPr>
        <w:pStyle w:val="Point1"/>
        <w:rPr>
          <w:noProof/>
        </w:rPr>
      </w:pPr>
      <w:r>
        <w:rPr>
          <w:noProof/>
        </w:rPr>
        <w:t>a)</w:t>
      </w:r>
      <w:r>
        <w:rPr>
          <w:noProof/>
        </w:rPr>
        <w:tab/>
      </w:r>
      <w:r w:rsidR="00766826" w:rsidRPr="00107CD2">
        <w:rPr>
          <w:noProof/>
        </w:rPr>
        <w:t xml:space="preserve">fines humanitarios, emergencias sanitarias, la urgente prevención o mitigación de un acaecimiento que pueda tener una repercusión grave e importante en la salud y seguridad humanas o en el medio ambiente, o como respuesta a catástrofes naturales; </w:t>
      </w:r>
    </w:p>
    <w:p w14:paraId="16818538" w14:textId="191377EB" w:rsidR="00766826" w:rsidRPr="00107CD2" w:rsidRDefault="00E51202" w:rsidP="00E51202">
      <w:pPr>
        <w:pStyle w:val="Point1"/>
        <w:rPr>
          <w:noProof/>
        </w:rPr>
      </w:pPr>
      <w:r>
        <w:rPr>
          <w:noProof/>
        </w:rPr>
        <w:t>b)</w:t>
      </w:r>
      <w:r>
        <w:rPr>
          <w:noProof/>
        </w:rPr>
        <w:tab/>
      </w:r>
      <w:r w:rsidR="00766826" w:rsidRPr="00107CD2">
        <w:rPr>
          <w:noProof/>
        </w:rPr>
        <w:t>fines médicos o farmacéuticos;</w:t>
      </w:r>
    </w:p>
    <w:p w14:paraId="01E07C74" w14:textId="1AEC3549" w:rsidR="00766826" w:rsidRPr="00107CD2" w:rsidRDefault="00E51202" w:rsidP="00E51202">
      <w:pPr>
        <w:pStyle w:val="Point1"/>
        <w:rPr>
          <w:noProof/>
        </w:rPr>
      </w:pPr>
      <w:r>
        <w:rPr>
          <w:noProof/>
        </w:rPr>
        <w:t>c)</w:t>
      </w:r>
      <w:r>
        <w:rPr>
          <w:noProof/>
        </w:rPr>
        <w:tab/>
      </w:r>
      <w:r w:rsidR="00766826" w:rsidRPr="00107CD2">
        <w:rPr>
          <w:noProof/>
        </w:rPr>
        <w:t>la exportación temporal de productos para su uso en medios informativos;</w:t>
      </w:r>
    </w:p>
    <w:p w14:paraId="1C133014" w14:textId="72C4ECDC" w:rsidR="00766826" w:rsidRPr="00107CD2" w:rsidRDefault="00E51202" w:rsidP="00E51202">
      <w:pPr>
        <w:pStyle w:val="Point1"/>
        <w:rPr>
          <w:noProof/>
        </w:rPr>
      </w:pPr>
      <w:r>
        <w:rPr>
          <w:noProof/>
        </w:rPr>
        <w:t>d)</w:t>
      </w:r>
      <w:r>
        <w:rPr>
          <w:noProof/>
        </w:rPr>
        <w:tab/>
      </w:r>
      <w:r w:rsidR="00766826" w:rsidRPr="00107CD2">
        <w:rPr>
          <w:noProof/>
        </w:rPr>
        <w:t>actualizaciones de programas informáticos (</w:t>
      </w:r>
      <w:r w:rsidR="00766826" w:rsidRPr="00107CD2">
        <w:rPr>
          <w:i/>
          <w:noProof/>
        </w:rPr>
        <w:t>software</w:t>
      </w:r>
      <w:r w:rsidR="00766826" w:rsidRPr="00107CD2">
        <w:rPr>
          <w:noProof/>
        </w:rPr>
        <w:t>);</w:t>
      </w:r>
    </w:p>
    <w:p w14:paraId="2728431D" w14:textId="07BFAEBC" w:rsidR="00766826" w:rsidRPr="00107CD2" w:rsidRDefault="00E51202" w:rsidP="00E51202">
      <w:pPr>
        <w:pStyle w:val="Point1"/>
        <w:rPr>
          <w:noProof/>
        </w:rPr>
      </w:pPr>
      <w:r>
        <w:rPr>
          <w:noProof/>
        </w:rPr>
        <w:lastRenderedPageBreak/>
        <w:t>e)</w:t>
      </w:r>
      <w:r>
        <w:rPr>
          <w:noProof/>
        </w:rPr>
        <w:tab/>
      </w:r>
      <w:r w:rsidR="00766826" w:rsidRPr="00107CD2">
        <w:rPr>
          <w:noProof/>
        </w:rPr>
        <w:t>su uso como dispositivos de comunicación de consumo;</w:t>
      </w:r>
    </w:p>
    <w:p w14:paraId="4EA383D4" w14:textId="5F9F0AAE" w:rsidR="00766826" w:rsidRPr="00107CD2" w:rsidRDefault="00E51202" w:rsidP="00E51202">
      <w:pPr>
        <w:pStyle w:val="Point1"/>
        <w:rPr>
          <w:noProof/>
        </w:rPr>
      </w:pPr>
      <w:r>
        <w:rPr>
          <w:noProof/>
        </w:rPr>
        <w:t>f)</w:t>
      </w:r>
      <w:r>
        <w:rPr>
          <w:noProof/>
        </w:rPr>
        <w:tab/>
      </w:r>
      <w:r w:rsidR="00766826" w:rsidRPr="00107CD2">
        <w:rPr>
          <w:noProof/>
        </w:rPr>
        <w:t>garantizar la ciberseguridad y la seguridad de la información de las personas físicas y jurídicas, las entidades y los organismos sitos en Rusia, excepto su gobierno y sus administraciones públicas y las empresas controladas directa o indirectamente por estos; o</w:t>
      </w:r>
    </w:p>
    <w:p w14:paraId="7205431D" w14:textId="7369B1BD" w:rsidR="00766826" w:rsidRPr="00107CD2" w:rsidRDefault="00E51202" w:rsidP="00E51202">
      <w:pPr>
        <w:pStyle w:val="Point1"/>
        <w:rPr>
          <w:noProof/>
        </w:rPr>
      </w:pPr>
      <w:r>
        <w:rPr>
          <w:noProof/>
        </w:rPr>
        <w:t>g)</w:t>
      </w:r>
      <w:r>
        <w:rPr>
          <w:noProof/>
        </w:rPr>
        <w:tab/>
      </w:r>
      <w:r w:rsidR="00766826" w:rsidRPr="00107CD2">
        <w:rPr>
          <w:noProof/>
        </w:rPr>
        <w:t xml:space="preserve">al uso personal de las personas físicas que viajan a Rusia o de su familia más cercana que viaja con ellos, y que se limitan a efectos personales, efectos domésticos, vehículos o herramientas profesionales propiedad de dichas personas físicas y que no están destinados a la venta. </w:t>
      </w:r>
    </w:p>
    <w:p w14:paraId="4EECAD57" w14:textId="77777777" w:rsidR="00766826" w:rsidRPr="00107CD2" w:rsidRDefault="00942427" w:rsidP="00942427">
      <w:pPr>
        <w:pStyle w:val="ManualNumPar1"/>
        <w:ind w:hanging="130"/>
        <w:rPr>
          <w:noProof/>
        </w:rPr>
      </w:pPr>
      <w:r w:rsidRPr="00107CD2">
        <w:rPr>
          <w:noProof/>
        </w:rPr>
        <w:t xml:space="preserve"> Con excepción de las letras f) y g) anteriores, el exportador declarará en la declaración aduanera que los productos están siendo exportados con arreglo a la excepción pertinente establecida en el presente apartado y notificará a la autoridad competente del Estado miembro en el que el exportador resida o esté establecido el primer uso de la excepción pertinente en un plazo de treinta días a partir de la fecha en que tuvo lugar la primera exportación.</w:t>
      </w:r>
    </w:p>
    <w:p w14:paraId="68C2BB8B" w14:textId="33D14FC3" w:rsidR="00766826" w:rsidRPr="00107CD2" w:rsidRDefault="00766826" w:rsidP="00942427">
      <w:pPr>
        <w:pStyle w:val="ManualNumPar1"/>
        <w:rPr>
          <w:noProof/>
        </w:rPr>
      </w:pPr>
      <w:r w:rsidRPr="00107CD2">
        <w:rPr>
          <w:noProof/>
        </w:rPr>
        <w:t xml:space="preserve">4. </w:t>
      </w:r>
      <w:r w:rsidRPr="00107CD2">
        <w:rPr>
          <w:noProof/>
        </w:rPr>
        <w:tab/>
        <w:t xml:space="preserve">No obstante lo dispuesto en los apartados 1 y 2, </w:t>
      </w:r>
      <w:r w:rsidRPr="00107CD2">
        <w:rPr>
          <w:noProof/>
          <w:color w:val="231F20"/>
          <w:szCs w:val="24"/>
        </w:rPr>
        <w:t>y sin perjuicio de los requisitos de autorización en virtud del Reglamento (UE) 2021/821,</w:t>
      </w:r>
      <w:r w:rsidRPr="00107CD2">
        <w:rPr>
          <w:noProof/>
        </w:rPr>
        <w:t xml:space="preserve"> las autoridades competentes podrán autorizar la venta, el suministro, la transferencia o la exportación de productos y tecnología de doble uso o la prestación de asistencia técnica o financiera conexas para un uso no militar y un usuario final no militar, tras haber determinado que dichos productos o tecnología o la asistencia técnica o financiera conexas:</w:t>
      </w:r>
    </w:p>
    <w:p w14:paraId="11A1B4A4" w14:textId="673C5EBC" w:rsidR="00766826" w:rsidRPr="00107CD2" w:rsidRDefault="00E51202" w:rsidP="00E51202">
      <w:pPr>
        <w:pStyle w:val="Point1"/>
        <w:rPr>
          <w:noProof/>
        </w:rPr>
      </w:pPr>
      <w:r>
        <w:rPr>
          <w:noProof/>
        </w:rPr>
        <w:t>a)</w:t>
      </w:r>
      <w:r>
        <w:rPr>
          <w:noProof/>
        </w:rPr>
        <w:tab/>
      </w:r>
      <w:r w:rsidR="00766826" w:rsidRPr="00107CD2">
        <w:rPr>
          <w:noProof/>
        </w:rPr>
        <w:t>están destinados a la cooperación entre la Unión, los gobiernos y administraciones públicas de los Estados miembros y el gobierno y administraciones públicas de Rusia en asuntos puramente civiles;</w:t>
      </w:r>
    </w:p>
    <w:p w14:paraId="039BB5B3" w14:textId="120B3A60" w:rsidR="00766826" w:rsidRPr="00107CD2" w:rsidRDefault="00E51202" w:rsidP="00E51202">
      <w:pPr>
        <w:pStyle w:val="Point1"/>
        <w:rPr>
          <w:noProof/>
        </w:rPr>
      </w:pPr>
      <w:r>
        <w:rPr>
          <w:noProof/>
        </w:rPr>
        <w:t>b)</w:t>
      </w:r>
      <w:r>
        <w:rPr>
          <w:noProof/>
        </w:rPr>
        <w:tab/>
      </w:r>
      <w:r w:rsidR="00766826" w:rsidRPr="00107CD2">
        <w:rPr>
          <w:noProof/>
        </w:rPr>
        <w:t>están destinados a la cooperación intergubernamental en programas espaciales;</w:t>
      </w:r>
    </w:p>
    <w:p w14:paraId="07963766" w14:textId="53CB33D0" w:rsidR="00766826" w:rsidRPr="00107CD2" w:rsidRDefault="00E51202" w:rsidP="00E51202">
      <w:pPr>
        <w:pStyle w:val="Point1"/>
        <w:rPr>
          <w:noProof/>
        </w:rPr>
      </w:pPr>
      <w:r>
        <w:rPr>
          <w:noProof/>
        </w:rPr>
        <w:t>c)</w:t>
      </w:r>
      <w:r>
        <w:rPr>
          <w:noProof/>
        </w:rPr>
        <w:tab/>
      </w:r>
      <w:r w:rsidR="00766826" w:rsidRPr="00107CD2">
        <w:rPr>
          <w:noProof/>
        </w:rPr>
        <w:t>están destinados a la explotación, el mantenimiento, el retratamiento de combustible y la seguridad de las capacidades nucleares civiles, así como a la cooperación nuclear civil, en particular en el ámbito de la investigación y el desarrollo;</w:t>
      </w:r>
    </w:p>
    <w:p w14:paraId="28D7ED58" w14:textId="358FA295" w:rsidR="00766826" w:rsidRPr="00107CD2" w:rsidRDefault="00E51202" w:rsidP="00E51202">
      <w:pPr>
        <w:pStyle w:val="Point1"/>
        <w:rPr>
          <w:noProof/>
        </w:rPr>
      </w:pPr>
      <w:r>
        <w:rPr>
          <w:noProof/>
        </w:rPr>
        <w:t>d)</w:t>
      </w:r>
      <w:r>
        <w:rPr>
          <w:noProof/>
        </w:rPr>
        <w:tab/>
      </w:r>
      <w:r w:rsidR="00766826" w:rsidRPr="00107CD2">
        <w:rPr>
          <w:noProof/>
        </w:rPr>
        <w:t>están destinados a la seguridad marítima;</w:t>
      </w:r>
    </w:p>
    <w:p w14:paraId="7EB8FFAA" w14:textId="625CF6CF" w:rsidR="00766826" w:rsidRPr="00107CD2" w:rsidRDefault="00E51202" w:rsidP="00E51202">
      <w:pPr>
        <w:pStyle w:val="Point1"/>
        <w:rPr>
          <w:noProof/>
        </w:rPr>
      </w:pPr>
      <w:r>
        <w:rPr>
          <w:noProof/>
        </w:rPr>
        <w:t>e)</w:t>
      </w:r>
      <w:r>
        <w:rPr>
          <w:noProof/>
        </w:rPr>
        <w:tab/>
      </w:r>
      <w:r w:rsidR="00766826" w:rsidRPr="00107CD2">
        <w:rPr>
          <w:noProof/>
        </w:rPr>
        <w:t>están destinados a redes civiles de telecomunicaciones, incluida la prestación de servicios de Internet;</w:t>
      </w:r>
    </w:p>
    <w:p w14:paraId="1A350D87" w14:textId="23754462" w:rsidR="00766826" w:rsidRPr="00107CD2" w:rsidRDefault="00E51202" w:rsidP="00E51202">
      <w:pPr>
        <w:pStyle w:val="Point1"/>
        <w:rPr>
          <w:noProof/>
        </w:rPr>
      </w:pPr>
      <w:r>
        <w:rPr>
          <w:noProof/>
        </w:rPr>
        <w:t>f)</w:t>
      </w:r>
      <w:r>
        <w:rPr>
          <w:noProof/>
        </w:rPr>
        <w:tab/>
      </w:r>
      <w:r w:rsidR="00766826" w:rsidRPr="00107CD2">
        <w:rPr>
          <w:noProof/>
        </w:rPr>
        <w:t>están destinados al uso exclusivo de entidades que sean propiedad o estén controladas individual o conjuntamente por una persona jurídica, entidad u organismo que esté establecido o constituido con arreglo a la legislación de un Estado miembro o de un país socio;</w:t>
      </w:r>
    </w:p>
    <w:p w14:paraId="0054B5C2" w14:textId="64CD2DA1" w:rsidR="00766826" w:rsidRPr="00107CD2" w:rsidRDefault="00E51202" w:rsidP="00E51202">
      <w:pPr>
        <w:pStyle w:val="Point1"/>
        <w:rPr>
          <w:noProof/>
        </w:rPr>
      </w:pPr>
      <w:r>
        <w:rPr>
          <w:noProof/>
        </w:rPr>
        <w:t>g)</w:t>
      </w:r>
      <w:r>
        <w:rPr>
          <w:noProof/>
        </w:rPr>
        <w:tab/>
      </w:r>
      <w:r w:rsidR="00766826" w:rsidRPr="00107CD2">
        <w:rPr>
          <w:noProof/>
        </w:rPr>
        <w:t>están destinados a las representaciones diplomáticas de la Unión, los Estados miembros y los países socios, incluidas las delegaciones, las embajadas y las misiones diplomáticas.</w:t>
      </w:r>
    </w:p>
    <w:p w14:paraId="4CCD926A" w14:textId="67825E5B" w:rsidR="00766826" w:rsidRPr="00107CD2" w:rsidRDefault="00766826" w:rsidP="009C7846">
      <w:pPr>
        <w:pStyle w:val="ManualNumPar1"/>
        <w:rPr>
          <w:noProof/>
        </w:rPr>
      </w:pPr>
      <w:r w:rsidRPr="00107CD2">
        <w:rPr>
          <w:noProof/>
        </w:rPr>
        <w:t xml:space="preserve">5. </w:t>
      </w:r>
      <w:r w:rsidRPr="00107CD2">
        <w:rPr>
          <w:noProof/>
        </w:rPr>
        <w:tab/>
        <w:t xml:space="preserve">No obstante lo dispuesto en los apartados 1 y 2, </w:t>
      </w:r>
      <w:r w:rsidRPr="00107CD2">
        <w:rPr>
          <w:noProof/>
          <w:color w:val="231F20"/>
          <w:szCs w:val="24"/>
        </w:rPr>
        <w:t>y sin perjuicio de los requisitos de autorización en virtud del Reglamento (UE) 2021/821,</w:t>
      </w:r>
      <w:r w:rsidRPr="00107CD2">
        <w:rPr>
          <w:noProof/>
        </w:rPr>
        <w:t xml:space="preserve"> las autoridades competentes podrán autorizar la venta, el suministro, la transferencia o la exportación de productos y tecnología de doble uso o la prestación de asistencia técnica o financiera conexas para un uso no militar y un usuario final no militar, tras haber determinado que dichos productos o tecnología o la asistencia técnica o financiera conexas </w:t>
      </w:r>
      <w:r w:rsidRPr="00107CD2">
        <w:rPr>
          <w:noProof/>
        </w:rPr>
        <w:lastRenderedPageBreak/>
        <w:t xml:space="preserve">constituyen obligaciones en virtud de contratos celebrados antes del [fecha de entrada en vigor del presente Reglamento], o de contratos auxiliares necesarios para la ejecución de tales contratos, a condición de que la autorización se solicite antes del [1 de mayo de 2022]. </w:t>
      </w:r>
    </w:p>
    <w:p w14:paraId="4DAE7D95" w14:textId="718FB792" w:rsidR="00837F9E" w:rsidRPr="00107CD2" w:rsidRDefault="00766826" w:rsidP="009C7846">
      <w:pPr>
        <w:pStyle w:val="ManualNumPar1"/>
        <w:rPr>
          <w:noProof/>
        </w:rPr>
      </w:pPr>
      <w:r w:rsidRPr="00107CD2">
        <w:rPr>
          <w:noProof/>
        </w:rPr>
        <w:t xml:space="preserve">6. </w:t>
      </w:r>
      <w:r w:rsidRPr="00107CD2">
        <w:rPr>
          <w:noProof/>
        </w:rPr>
        <w:tab/>
        <w:t xml:space="preserve">Todas las autorizaciones exigidas en virtud del presente artículo serán concedidas por las autoridades competentes de conformidad con las normas y procedimientos establecidos en el Reglamento (UE) 2021/821, que se aplicará </w:t>
      </w:r>
      <w:r w:rsidRPr="00107CD2">
        <w:rPr>
          <w:i/>
          <w:noProof/>
        </w:rPr>
        <w:t>mutatis mutandis</w:t>
      </w:r>
      <w:r w:rsidRPr="00107CD2">
        <w:rPr>
          <w:noProof/>
        </w:rPr>
        <w:t xml:space="preserve">. La autorización será válida en toda la Unión. </w:t>
      </w:r>
    </w:p>
    <w:p w14:paraId="0F299996" w14:textId="6F213819" w:rsidR="00EE2E5B" w:rsidRPr="00107CD2" w:rsidRDefault="00837F9E" w:rsidP="00EE2E5B">
      <w:pPr>
        <w:pStyle w:val="ManualNumPar1"/>
        <w:rPr>
          <w:noProof/>
        </w:rPr>
      </w:pPr>
      <w:r w:rsidRPr="00107CD2">
        <w:rPr>
          <w:noProof/>
        </w:rPr>
        <w:t>7.</w:t>
      </w:r>
      <w:r w:rsidRPr="00107CD2">
        <w:rPr>
          <w:noProof/>
        </w:rPr>
        <w:tab/>
        <w:t>A la hora de decidir sobre las solicitudes de autorización a las que se hace referencia en los apartados 4 y 5, las autoridades competentes no concederán autorizaciones si tienen motivos fundados para creer que:</w:t>
      </w:r>
    </w:p>
    <w:p w14:paraId="10F31289" w14:textId="77777777" w:rsidR="00EE2E5B" w:rsidRPr="00107CD2" w:rsidRDefault="00EE2E5B" w:rsidP="00D21705">
      <w:pPr>
        <w:pStyle w:val="ManualNumPar1"/>
        <w:ind w:firstLine="0"/>
        <w:rPr>
          <w:noProof/>
        </w:rPr>
      </w:pPr>
      <w:r w:rsidRPr="00107CD2">
        <w:rPr>
          <w:noProof/>
        </w:rPr>
        <w:t>i) el usuario final puede ser militar o una persona física o jurídica, entidad u organismo que figura en el anexo IV o que el uso final de los productos puede tener carácter militar; o</w:t>
      </w:r>
    </w:p>
    <w:p w14:paraId="069B989A" w14:textId="77777777" w:rsidR="00D21705" w:rsidRPr="00107CD2" w:rsidRDefault="002F3910" w:rsidP="00D21705">
      <w:pPr>
        <w:pStyle w:val="ManualNumPar1"/>
        <w:ind w:firstLine="0"/>
        <w:rPr>
          <w:noProof/>
        </w:rPr>
      </w:pPr>
      <w:r w:rsidRPr="00107CD2">
        <w:rPr>
          <w:noProof/>
        </w:rPr>
        <w:t xml:space="preserve">ii) la venta, el suministro, la transferencia o la exportación de los productos y la tecnología a que se refiere el apartado 1 o la prestación de la asistencia técnica o financiera conexa están destinados a la aviación o la industria espacial. </w:t>
      </w:r>
    </w:p>
    <w:p w14:paraId="0D7F5490" w14:textId="3E38081A" w:rsidR="009C7846" w:rsidRPr="00107CD2" w:rsidRDefault="00837F9E" w:rsidP="00D521C5">
      <w:pPr>
        <w:pStyle w:val="ManualNumPar1"/>
        <w:rPr>
          <w:noProof/>
        </w:rPr>
      </w:pPr>
      <w:r w:rsidRPr="00107CD2">
        <w:rPr>
          <w:noProof/>
        </w:rPr>
        <w:t xml:space="preserve">8. </w:t>
      </w:r>
      <w:r w:rsidRPr="00107CD2">
        <w:rPr>
          <w:noProof/>
        </w:rPr>
        <w:tab/>
        <w:t>Las autoridades competentes podrán anular, suspender, modificar o revocar una autorización que hayan concedido de conformidad con los apartados 4 y 5 si consideran que dicha anulación, suspensión, modificación o revocación es necesaria para la ejecución efectiva del presente Reglamento.</w:t>
      </w:r>
    </w:p>
    <w:p w14:paraId="68DBCA5D" w14:textId="77777777" w:rsidR="009C7846" w:rsidRPr="00107CD2" w:rsidRDefault="009C7846" w:rsidP="009C7846">
      <w:pPr>
        <w:pStyle w:val="Titrearticle"/>
        <w:rPr>
          <w:noProof/>
        </w:rPr>
      </w:pPr>
      <w:r w:rsidRPr="00107CD2">
        <w:rPr>
          <w:noProof/>
        </w:rPr>
        <w:t xml:space="preserve">Artículo 2 </w:t>
      </w:r>
      <w:r w:rsidRPr="00107CD2">
        <w:rPr>
          <w:i w:val="0"/>
          <w:noProof/>
        </w:rPr>
        <w:t>bis</w:t>
      </w:r>
    </w:p>
    <w:p w14:paraId="52EF3883" w14:textId="5E2455CE" w:rsidR="009C7846" w:rsidRPr="00107CD2" w:rsidRDefault="009C7846" w:rsidP="009C7846">
      <w:pPr>
        <w:pStyle w:val="ManualNumPar1"/>
        <w:rPr>
          <w:noProof/>
        </w:rPr>
      </w:pPr>
      <w:r w:rsidRPr="00107CD2">
        <w:rPr>
          <w:noProof/>
        </w:rPr>
        <w:t xml:space="preserve">1. </w:t>
      </w:r>
      <w:r w:rsidRPr="00107CD2">
        <w:rPr>
          <w:noProof/>
        </w:rPr>
        <w:tab/>
        <w:t>Queda prohibido vender, suministrar, transferir o exportar directa o indirectamente los productos y la tecnología que puedan contribuir a la mejora militar y tecnológica de Rusia, o al desarrollo del sector de la defensa y la seguridad, que figuran en el anexo VII, sean originarios o no de la Unión, a cualquier persona física o jurídica, entidad u organismo sitos en Rusia o para su utilización en ese país.</w:t>
      </w:r>
    </w:p>
    <w:p w14:paraId="3E57D48E" w14:textId="77777777" w:rsidR="009C7846" w:rsidRPr="00107CD2" w:rsidRDefault="009C7846" w:rsidP="009C7846">
      <w:pPr>
        <w:pStyle w:val="ManualNumPar1"/>
        <w:rPr>
          <w:noProof/>
        </w:rPr>
      </w:pPr>
      <w:r w:rsidRPr="00107CD2">
        <w:rPr>
          <w:noProof/>
        </w:rPr>
        <w:t xml:space="preserve">2. </w:t>
      </w:r>
      <w:r w:rsidRPr="00107CD2">
        <w:rPr>
          <w:noProof/>
        </w:rPr>
        <w:tab/>
        <w:t>Queda prohibido:</w:t>
      </w:r>
    </w:p>
    <w:p w14:paraId="4A8212B1" w14:textId="5F1DD62E" w:rsidR="009C7846" w:rsidRPr="00107CD2" w:rsidRDefault="00E51202" w:rsidP="00E51202">
      <w:pPr>
        <w:pStyle w:val="Point1"/>
        <w:rPr>
          <w:noProof/>
        </w:rPr>
      </w:pPr>
      <w:r>
        <w:rPr>
          <w:noProof/>
        </w:rPr>
        <w:t>a)</w:t>
      </w:r>
      <w:r>
        <w:rPr>
          <w:noProof/>
        </w:rPr>
        <w:tab/>
      </w:r>
      <w:r w:rsidR="009C7846" w:rsidRPr="00107CD2">
        <w:rPr>
          <w:noProof/>
        </w:rPr>
        <w:t>prestar asistencia técnica, servicios de intermediación u otros servicios en relación con los productos y tecnología mencionados en el apartado 1 y con el suministro, la fabricación, el mantenimiento y la utilización de dichos productos y tecnología, directa o indirectamente, a cualquier persona física o jurídica, entidad u organismo sitos en Rusia, o para su utilización en ese país;</w:t>
      </w:r>
    </w:p>
    <w:p w14:paraId="7B13F899" w14:textId="16AE8505" w:rsidR="009C7846" w:rsidRPr="00107CD2" w:rsidRDefault="00E51202" w:rsidP="00E51202">
      <w:pPr>
        <w:pStyle w:val="Point1"/>
        <w:rPr>
          <w:noProof/>
        </w:rPr>
      </w:pPr>
      <w:r>
        <w:rPr>
          <w:noProof/>
        </w:rPr>
        <w:t>b)</w:t>
      </w:r>
      <w:r>
        <w:rPr>
          <w:noProof/>
        </w:rPr>
        <w:tab/>
      </w:r>
      <w:r w:rsidR="009C7846" w:rsidRPr="00107CD2">
        <w:rPr>
          <w:noProof/>
        </w:rPr>
        <w:t>proporcionar financiación o asistencia financiera en relación con los productos y tecnología mencionados en el apartado 1 para cualquier operación de venta, suministro, transferencia o exportación de dichos productos y tecnología, o para prestar asistencia técnica conexa, servicios de intermediación u otros servicios, directa o indirectamente, a cualquier persona física o jurídica, entidad u organismo sitos en Rusia, o para su utilización en ese país.</w:t>
      </w:r>
    </w:p>
    <w:p w14:paraId="4834FFCA" w14:textId="77777777" w:rsidR="009C7846" w:rsidRPr="00107CD2" w:rsidRDefault="009C7846" w:rsidP="009C7846">
      <w:pPr>
        <w:pStyle w:val="ManualNumPar1"/>
        <w:rPr>
          <w:noProof/>
        </w:rPr>
      </w:pPr>
      <w:r w:rsidRPr="00107CD2">
        <w:rPr>
          <w:noProof/>
        </w:rPr>
        <w:t xml:space="preserve">3. </w:t>
      </w:r>
      <w:r w:rsidRPr="00107CD2">
        <w:rPr>
          <w:noProof/>
        </w:rPr>
        <w:tab/>
        <w:t>Las prohibiciones establecidas en los apartados 1 y 2 no se aplicarán a la venta, suministro, transferencia o exportación de productos y tecnología mencionados en el apartado 1 o a la prestación de asistencia técnica o financiera conexas, para un uso no militar y para un usuario final no militar, que estén destinados a:</w:t>
      </w:r>
    </w:p>
    <w:p w14:paraId="3445CC1D" w14:textId="49CA668D" w:rsidR="009C7846" w:rsidRPr="00107CD2" w:rsidRDefault="00E51202" w:rsidP="00E51202">
      <w:pPr>
        <w:pStyle w:val="Point1"/>
        <w:rPr>
          <w:noProof/>
        </w:rPr>
      </w:pPr>
      <w:r>
        <w:rPr>
          <w:noProof/>
        </w:rPr>
        <w:lastRenderedPageBreak/>
        <w:t>a)</w:t>
      </w:r>
      <w:r>
        <w:rPr>
          <w:noProof/>
        </w:rPr>
        <w:tab/>
      </w:r>
      <w:r w:rsidR="009C7846" w:rsidRPr="00107CD2">
        <w:rPr>
          <w:noProof/>
        </w:rPr>
        <w:t>fines humanitarios, emergencias sanitarias, la urgente prevención o mitigación de un acaecimiento que pueda tener una repercusión grave e importante en la salud y seguridad humanas o en el medio ambiente, o como respuesta a catástrofes naturales;</w:t>
      </w:r>
    </w:p>
    <w:p w14:paraId="74B4454E" w14:textId="74CD0516" w:rsidR="009C7846" w:rsidRPr="00107CD2" w:rsidRDefault="00E51202" w:rsidP="00E51202">
      <w:pPr>
        <w:pStyle w:val="Point1"/>
        <w:rPr>
          <w:noProof/>
        </w:rPr>
      </w:pPr>
      <w:r>
        <w:rPr>
          <w:noProof/>
        </w:rPr>
        <w:t>b)</w:t>
      </w:r>
      <w:r>
        <w:rPr>
          <w:noProof/>
        </w:rPr>
        <w:tab/>
      </w:r>
      <w:r w:rsidR="009C7846" w:rsidRPr="00107CD2">
        <w:rPr>
          <w:noProof/>
        </w:rPr>
        <w:t>fines médicos o farmacéuticos;</w:t>
      </w:r>
    </w:p>
    <w:p w14:paraId="42D3BA32" w14:textId="78492356" w:rsidR="009C7846" w:rsidRPr="00107CD2" w:rsidRDefault="00E51202" w:rsidP="00E51202">
      <w:pPr>
        <w:pStyle w:val="Point1"/>
        <w:rPr>
          <w:noProof/>
        </w:rPr>
      </w:pPr>
      <w:r>
        <w:rPr>
          <w:noProof/>
        </w:rPr>
        <w:t>c)</w:t>
      </w:r>
      <w:r>
        <w:rPr>
          <w:noProof/>
        </w:rPr>
        <w:tab/>
      </w:r>
      <w:r w:rsidR="009C7846" w:rsidRPr="00107CD2">
        <w:rPr>
          <w:noProof/>
        </w:rPr>
        <w:t>la exportación temporal de productos para su uso en medios informativos;</w:t>
      </w:r>
    </w:p>
    <w:p w14:paraId="4F9AE98E" w14:textId="28DD8E4F" w:rsidR="009C7846" w:rsidRPr="00107CD2" w:rsidRDefault="00E51202" w:rsidP="00E51202">
      <w:pPr>
        <w:pStyle w:val="Point1"/>
        <w:rPr>
          <w:noProof/>
        </w:rPr>
      </w:pPr>
      <w:r>
        <w:rPr>
          <w:noProof/>
        </w:rPr>
        <w:t>d)</w:t>
      </w:r>
      <w:r>
        <w:rPr>
          <w:noProof/>
        </w:rPr>
        <w:tab/>
      </w:r>
      <w:r w:rsidR="009C7846" w:rsidRPr="00107CD2">
        <w:rPr>
          <w:noProof/>
        </w:rPr>
        <w:t>actualizaciones de programas informáticos (</w:t>
      </w:r>
      <w:r w:rsidR="009C7846" w:rsidRPr="00107CD2">
        <w:rPr>
          <w:i/>
          <w:noProof/>
        </w:rPr>
        <w:t>software</w:t>
      </w:r>
      <w:r w:rsidR="009C7846" w:rsidRPr="00107CD2">
        <w:rPr>
          <w:noProof/>
        </w:rPr>
        <w:t>);</w:t>
      </w:r>
    </w:p>
    <w:p w14:paraId="04FEBAD1" w14:textId="56A92E1C" w:rsidR="009C7846" w:rsidRPr="00107CD2" w:rsidRDefault="00E51202" w:rsidP="00E51202">
      <w:pPr>
        <w:pStyle w:val="Point1"/>
        <w:rPr>
          <w:noProof/>
        </w:rPr>
      </w:pPr>
      <w:r>
        <w:rPr>
          <w:noProof/>
        </w:rPr>
        <w:t>e)</w:t>
      </w:r>
      <w:r>
        <w:rPr>
          <w:noProof/>
        </w:rPr>
        <w:tab/>
      </w:r>
      <w:r w:rsidR="009C7846" w:rsidRPr="00107CD2">
        <w:rPr>
          <w:noProof/>
        </w:rPr>
        <w:t>su uso como dispositivos de comunicación de consumo;</w:t>
      </w:r>
    </w:p>
    <w:p w14:paraId="3B518951" w14:textId="335AD7F7" w:rsidR="009C7846" w:rsidRPr="00107CD2" w:rsidRDefault="00E51202" w:rsidP="00E51202">
      <w:pPr>
        <w:pStyle w:val="Point1"/>
        <w:rPr>
          <w:noProof/>
        </w:rPr>
      </w:pPr>
      <w:r>
        <w:rPr>
          <w:noProof/>
        </w:rPr>
        <w:t>f)</w:t>
      </w:r>
      <w:r>
        <w:rPr>
          <w:noProof/>
        </w:rPr>
        <w:tab/>
      </w:r>
      <w:r w:rsidR="009C7846" w:rsidRPr="00107CD2">
        <w:rPr>
          <w:noProof/>
        </w:rPr>
        <w:t>garantizar la ciberseguridad y la seguridad de la información de las personas físicas y jurídicas, las entidades y los organismos sitos en Rusia, excepto su gobierno y sus administraciones públicas y las empresas controladas directa o indirectamente por estos; o</w:t>
      </w:r>
    </w:p>
    <w:p w14:paraId="420DB467" w14:textId="3F1BF8DF" w:rsidR="009C7846" w:rsidRPr="00107CD2" w:rsidRDefault="00E51202" w:rsidP="00E51202">
      <w:pPr>
        <w:pStyle w:val="Point1"/>
        <w:rPr>
          <w:noProof/>
        </w:rPr>
      </w:pPr>
      <w:r>
        <w:rPr>
          <w:noProof/>
        </w:rPr>
        <w:t>g)</w:t>
      </w:r>
      <w:r>
        <w:rPr>
          <w:noProof/>
        </w:rPr>
        <w:tab/>
      </w:r>
      <w:r w:rsidR="009C7846" w:rsidRPr="00107CD2">
        <w:rPr>
          <w:noProof/>
        </w:rPr>
        <w:t>al uso personal de las personas físicas que viajan a Rusia o de su familia más cercana que viaja con ellos, y que se limitan a efectos personales, efectos domésticos, vehículos o herramientas profesionales propiedad de dichas personas físicas y que no están destinados a la venta.</w:t>
      </w:r>
    </w:p>
    <w:p w14:paraId="22CEB44D" w14:textId="77777777" w:rsidR="009C7846" w:rsidRPr="00107CD2" w:rsidRDefault="009C7846" w:rsidP="009C7846">
      <w:pPr>
        <w:pStyle w:val="ManualNumPar1"/>
        <w:ind w:hanging="130"/>
        <w:rPr>
          <w:noProof/>
        </w:rPr>
      </w:pPr>
      <w:r w:rsidRPr="00107CD2">
        <w:rPr>
          <w:noProof/>
        </w:rPr>
        <w:t xml:space="preserve"> Con excepción de las letras f) y g) anteriores, el exportador declarará en la declaración aduanera que los productos están siendo exportados con arreglo a la excepción pertinente establecida en el presente apartado y notificará a la autoridad competente del Estado miembro en el que el exportador resida o esté establecido el primer uso de la excepción pertinente en un plazo de treinta días a partir de la fecha en que tuvo lugar la primera exportación.</w:t>
      </w:r>
    </w:p>
    <w:p w14:paraId="6EE7C27D" w14:textId="2DD10BCE" w:rsidR="009C7846" w:rsidRPr="00107CD2" w:rsidRDefault="009C7846" w:rsidP="009C7846">
      <w:pPr>
        <w:pStyle w:val="ManualNumPar1"/>
        <w:rPr>
          <w:noProof/>
        </w:rPr>
      </w:pPr>
      <w:r w:rsidRPr="00107CD2">
        <w:rPr>
          <w:noProof/>
        </w:rPr>
        <w:t xml:space="preserve">4. </w:t>
      </w:r>
      <w:r w:rsidRPr="00107CD2">
        <w:rPr>
          <w:noProof/>
        </w:rPr>
        <w:tab/>
        <w:t>No obstante lo dispuesto en los apartados 1 y 2, las autoridades competentes podrán autorizar la venta, el suministro, la transferencia o la exportación de productos y tecnología mencionados en el apartado 1 o la prestación de asistencia técnica o financiera conexas para un uso no militar y un usuario final no militar, tras haber determinado que dichos productos o tecnología o la asistencia técnica o financiera conexas:</w:t>
      </w:r>
    </w:p>
    <w:p w14:paraId="4C1D316B" w14:textId="5656A442" w:rsidR="009C7846" w:rsidRPr="00107CD2" w:rsidRDefault="00A452D7" w:rsidP="00A452D7">
      <w:pPr>
        <w:pStyle w:val="Point1"/>
        <w:rPr>
          <w:noProof/>
        </w:rPr>
      </w:pPr>
      <w:r>
        <w:rPr>
          <w:noProof/>
        </w:rPr>
        <w:t>a)</w:t>
      </w:r>
      <w:r>
        <w:rPr>
          <w:noProof/>
        </w:rPr>
        <w:tab/>
      </w:r>
      <w:r w:rsidR="009C7846" w:rsidRPr="00107CD2">
        <w:rPr>
          <w:noProof/>
        </w:rPr>
        <w:t>están destinados a la cooperación entre la Unión, los gobiernos y administraciones públicas de los Estados miembros y el gobierno y administraciones públicas de Rusia en asuntos puramente civiles;</w:t>
      </w:r>
    </w:p>
    <w:p w14:paraId="16FDA107" w14:textId="54E8624D" w:rsidR="009C7846" w:rsidRPr="00107CD2" w:rsidRDefault="00A452D7" w:rsidP="00A452D7">
      <w:pPr>
        <w:pStyle w:val="Point1"/>
        <w:rPr>
          <w:noProof/>
        </w:rPr>
      </w:pPr>
      <w:r>
        <w:rPr>
          <w:noProof/>
        </w:rPr>
        <w:t>b)</w:t>
      </w:r>
      <w:r>
        <w:rPr>
          <w:noProof/>
        </w:rPr>
        <w:tab/>
      </w:r>
      <w:r w:rsidR="009C7846" w:rsidRPr="00107CD2">
        <w:rPr>
          <w:noProof/>
        </w:rPr>
        <w:t>están destinados a la cooperación intergubernamental en programas espaciales;</w:t>
      </w:r>
    </w:p>
    <w:p w14:paraId="1B174424" w14:textId="720FF425" w:rsidR="009C7846" w:rsidRPr="00107CD2" w:rsidRDefault="00A452D7" w:rsidP="00A452D7">
      <w:pPr>
        <w:pStyle w:val="Point1"/>
        <w:rPr>
          <w:noProof/>
        </w:rPr>
      </w:pPr>
      <w:r>
        <w:rPr>
          <w:noProof/>
        </w:rPr>
        <w:t>c)</w:t>
      </w:r>
      <w:r>
        <w:rPr>
          <w:noProof/>
        </w:rPr>
        <w:tab/>
      </w:r>
      <w:r w:rsidR="009C7846" w:rsidRPr="00107CD2">
        <w:rPr>
          <w:noProof/>
        </w:rPr>
        <w:t>están destinados a la explotación, el mantenimiento, el retratamiento de combustible y la seguridad de las capacidades nucleares civiles, así como a la cooperación nuclear civil, en particular en el ámbito de la investigación y el desarrollo;</w:t>
      </w:r>
    </w:p>
    <w:p w14:paraId="669DCE33" w14:textId="691616EA" w:rsidR="009C7846" w:rsidRPr="00107CD2" w:rsidRDefault="00A452D7" w:rsidP="00A452D7">
      <w:pPr>
        <w:pStyle w:val="Point1"/>
        <w:rPr>
          <w:noProof/>
        </w:rPr>
      </w:pPr>
      <w:r>
        <w:rPr>
          <w:noProof/>
        </w:rPr>
        <w:t>d)</w:t>
      </w:r>
      <w:r>
        <w:rPr>
          <w:noProof/>
        </w:rPr>
        <w:tab/>
      </w:r>
      <w:r w:rsidR="009C7846" w:rsidRPr="00107CD2">
        <w:rPr>
          <w:noProof/>
        </w:rPr>
        <w:t>están destinados a la seguridad marítima;</w:t>
      </w:r>
    </w:p>
    <w:p w14:paraId="4EFC7269" w14:textId="0F7A095E" w:rsidR="009C7846" w:rsidRPr="00107CD2" w:rsidRDefault="00A452D7" w:rsidP="00A452D7">
      <w:pPr>
        <w:pStyle w:val="Point1"/>
        <w:rPr>
          <w:noProof/>
        </w:rPr>
      </w:pPr>
      <w:r>
        <w:rPr>
          <w:noProof/>
        </w:rPr>
        <w:t>e)</w:t>
      </w:r>
      <w:r>
        <w:rPr>
          <w:noProof/>
        </w:rPr>
        <w:tab/>
      </w:r>
      <w:r w:rsidR="009C7846" w:rsidRPr="00107CD2">
        <w:rPr>
          <w:noProof/>
        </w:rPr>
        <w:t>están destinados a redes civiles de telecomunicaciones, incluida la prestación de servicios de Internet;</w:t>
      </w:r>
    </w:p>
    <w:p w14:paraId="45BE17F6" w14:textId="57C62660" w:rsidR="009C7846" w:rsidRPr="00107CD2" w:rsidRDefault="00A452D7" w:rsidP="00A452D7">
      <w:pPr>
        <w:pStyle w:val="Point1"/>
        <w:rPr>
          <w:noProof/>
        </w:rPr>
      </w:pPr>
      <w:r>
        <w:rPr>
          <w:noProof/>
        </w:rPr>
        <w:t>f)</w:t>
      </w:r>
      <w:r>
        <w:rPr>
          <w:noProof/>
        </w:rPr>
        <w:tab/>
      </w:r>
      <w:r w:rsidR="009C7846" w:rsidRPr="00107CD2">
        <w:rPr>
          <w:noProof/>
        </w:rPr>
        <w:t>están destinados al uso exclusivo de entidades que sean propiedad o estén controladas individual o conjuntamente por una persona jurídica, entidad u organismo que esté establecido o constituido con arreglo a la legislación de un Estado miembro o de un país socio; o</w:t>
      </w:r>
    </w:p>
    <w:p w14:paraId="28AA0ED6" w14:textId="67BB18CC" w:rsidR="009C7846" w:rsidRPr="00107CD2" w:rsidRDefault="00A452D7" w:rsidP="00A452D7">
      <w:pPr>
        <w:pStyle w:val="Point1"/>
        <w:rPr>
          <w:noProof/>
        </w:rPr>
      </w:pPr>
      <w:r>
        <w:rPr>
          <w:noProof/>
        </w:rPr>
        <w:lastRenderedPageBreak/>
        <w:t>g)</w:t>
      </w:r>
      <w:r>
        <w:rPr>
          <w:noProof/>
        </w:rPr>
        <w:tab/>
      </w:r>
      <w:r w:rsidR="009C7846" w:rsidRPr="00107CD2">
        <w:rPr>
          <w:noProof/>
        </w:rPr>
        <w:t>están destinados a las representaciones diplomáticas de la Unión, los Estados miembros y los países socios, incluidas las delegaciones, las embajadas y las misiones diplomáticas.</w:t>
      </w:r>
    </w:p>
    <w:p w14:paraId="1F07F2BF" w14:textId="3537F3C4" w:rsidR="009C7846" w:rsidRPr="00107CD2" w:rsidRDefault="009C7846" w:rsidP="009C7846">
      <w:pPr>
        <w:pStyle w:val="ManualNumPar1"/>
        <w:rPr>
          <w:noProof/>
        </w:rPr>
      </w:pPr>
      <w:r w:rsidRPr="00107CD2">
        <w:rPr>
          <w:noProof/>
        </w:rPr>
        <w:t xml:space="preserve">5. </w:t>
      </w:r>
      <w:r w:rsidRPr="00107CD2">
        <w:rPr>
          <w:noProof/>
        </w:rPr>
        <w:tab/>
        <w:t>No obstante lo dispuesto en los apartados 1 y 2, las autoridades competentes podrán autorizar la venta, el suministro, la transferencia o la exportación de productos y tecnología mencionados en el apartado 1 o la prestación de asistencia técnica o financiera conexas para un uso no militar y un usuario final no militar, tras haber determinado que dichos productos o tecnología o la asistencia técnica o financiera conexas constituyen obligaciones en virtud de contratos celebrados antes del [fecha de entrada en vigor del presente Reglamento], o de contratos auxiliares necesarios para la ejecución de tales contratos, a condición de que la autorización se solicite antes del [1 de mayo de 2022].</w:t>
      </w:r>
    </w:p>
    <w:p w14:paraId="4AB169E3" w14:textId="602633B9" w:rsidR="00B618CE" w:rsidRPr="00107CD2" w:rsidRDefault="009C7846" w:rsidP="009C7846">
      <w:pPr>
        <w:pStyle w:val="ManualNumPar1"/>
        <w:rPr>
          <w:noProof/>
        </w:rPr>
      </w:pPr>
      <w:r w:rsidRPr="00107CD2">
        <w:rPr>
          <w:noProof/>
        </w:rPr>
        <w:t xml:space="preserve">6. </w:t>
      </w:r>
      <w:r w:rsidRPr="00107CD2">
        <w:rPr>
          <w:noProof/>
        </w:rPr>
        <w:tab/>
        <w:t xml:space="preserve">Todas las autorizaciones exigidas en virtud del presente artículo serán concedidas por las autoridades competentes de conformidad con las normas y procedimientos establecidos en el Reglamento (UE) 2021/821, que se aplicará </w:t>
      </w:r>
      <w:r w:rsidRPr="00107CD2">
        <w:rPr>
          <w:i/>
          <w:noProof/>
        </w:rPr>
        <w:t>mutatis mutandis</w:t>
      </w:r>
      <w:r w:rsidRPr="00107CD2">
        <w:rPr>
          <w:noProof/>
        </w:rPr>
        <w:t>. La autorización será válida en toda la Unión.</w:t>
      </w:r>
    </w:p>
    <w:p w14:paraId="1CCCA9A5" w14:textId="78699794" w:rsidR="002F3910" w:rsidRPr="00107CD2" w:rsidRDefault="00B618CE" w:rsidP="009C7846">
      <w:pPr>
        <w:pStyle w:val="ManualNumPar1"/>
        <w:rPr>
          <w:noProof/>
        </w:rPr>
      </w:pPr>
      <w:r w:rsidRPr="00107CD2">
        <w:rPr>
          <w:noProof/>
        </w:rPr>
        <w:t>7.</w:t>
      </w:r>
      <w:r w:rsidRPr="00107CD2">
        <w:rPr>
          <w:noProof/>
        </w:rPr>
        <w:tab/>
        <w:t>A la hora de decidir sobre las solicitudes de autorización a las que se hace referencia en los apartados 4 y 5, las autoridades competentes no concederán autorizaciones si tienen motivos fundados para creer que:</w:t>
      </w:r>
    </w:p>
    <w:p w14:paraId="34F77E80" w14:textId="77777777" w:rsidR="002F3910" w:rsidRPr="00107CD2" w:rsidRDefault="002F3910" w:rsidP="00D21705">
      <w:pPr>
        <w:pStyle w:val="ManualNumPar1"/>
        <w:ind w:firstLine="0"/>
        <w:rPr>
          <w:noProof/>
        </w:rPr>
      </w:pPr>
      <w:r w:rsidRPr="00107CD2">
        <w:rPr>
          <w:noProof/>
        </w:rPr>
        <w:t xml:space="preserve">i) el usuario final puede ser militar o una persona física o jurídica, entidad u organismo que figura en el anexo IV o que el uso final de los productos puede tener carácter militar; o </w:t>
      </w:r>
    </w:p>
    <w:p w14:paraId="0EF85C69" w14:textId="5615DD3E" w:rsidR="009C7846" w:rsidRPr="00107CD2" w:rsidRDefault="002F3910" w:rsidP="00D21705">
      <w:pPr>
        <w:pStyle w:val="ManualNumPar1"/>
        <w:ind w:firstLine="0"/>
        <w:rPr>
          <w:noProof/>
        </w:rPr>
      </w:pPr>
      <w:r w:rsidRPr="00107CD2">
        <w:rPr>
          <w:noProof/>
        </w:rPr>
        <w:t>ii) la venta, el suministro, la transferencia o la exportación de los productos y la tecnología a que se refiere el apartado 1 o la prestación de la asistencia técnica o financiera conexa están destinados a la industria de la aviación o espacial.</w:t>
      </w:r>
    </w:p>
    <w:p w14:paraId="68FDE582" w14:textId="594EB527" w:rsidR="009C7846" w:rsidRPr="00107CD2" w:rsidRDefault="00B618CE" w:rsidP="009C7846">
      <w:pPr>
        <w:pStyle w:val="ManualNumPar1"/>
        <w:rPr>
          <w:noProof/>
        </w:rPr>
      </w:pPr>
      <w:r w:rsidRPr="00107CD2">
        <w:rPr>
          <w:noProof/>
        </w:rPr>
        <w:t xml:space="preserve">8. </w:t>
      </w:r>
      <w:r w:rsidRPr="00107CD2">
        <w:rPr>
          <w:noProof/>
        </w:rPr>
        <w:tab/>
        <w:t>Las autoridades competentes podrán anular, suspender, modificar o revocar una autorización que hayan concedido de conformidad con los apartados 4 y 5 si consideran que dicha anulación, suspensión, modificación o revocación es necesaria para la ejecución efectiva del presente Reglamento.</w:t>
      </w:r>
    </w:p>
    <w:p w14:paraId="6F5AA35C" w14:textId="77777777" w:rsidR="009C7846" w:rsidRPr="00107CD2" w:rsidRDefault="009C7846" w:rsidP="009C7846">
      <w:pPr>
        <w:pStyle w:val="Titrearticle"/>
        <w:rPr>
          <w:noProof/>
        </w:rPr>
      </w:pPr>
      <w:r w:rsidRPr="00107CD2">
        <w:rPr>
          <w:noProof/>
        </w:rPr>
        <w:t xml:space="preserve">Artículo 2 </w:t>
      </w:r>
      <w:r w:rsidRPr="00107CD2">
        <w:rPr>
          <w:i w:val="0"/>
          <w:noProof/>
        </w:rPr>
        <w:t>ter</w:t>
      </w:r>
    </w:p>
    <w:p w14:paraId="0339F949" w14:textId="3B886D3D" w:rsidR="009C7846" w:rsidRPr="00107CD2" w:rsidRDefault="009C7846" w:rsidP="002D3DC6">
      <w:pPr>
        <w:pStyle w:val="ManualNumPar1"/>
        <w:rPr>
          <w:noProof/>
        </w:rPr>
      </w:pPr>
      <w:r w:rsidRPr="00107CD2">
        <w:rPr>
          <w:noProof/>
        </w:rPr>
        <w:t>1.</w:t>
      </w:r>
      <w:r w:rsidRPr="00107CD2">
        <w:rPr>
          <w:noProof/>
        </w:rPr>
        <w:tab/>
        <w:t xml:space="preserve">Por lo que respecta a las entidades que figuran en el anexo IV, no obstante lo dispuesto en los apartados 1 y 2 de los artículos 2 y 2 </w:t>
      </w:r>
      <w:r w:rsidRPr="00107CD2">
        <w:rPr>
          <w:i/>
          <w:noProof/>
        </w:rPr>
        <w:t>bis</w:t>
      </w:r>
      <w:r w:rsidRPr="00107CD2">
        <w:rPr>
          <w:noProof/>
        </w:rPr>
        <w:t xml:space="preserve">, </w:t>
      </w:r>
      <w:r w:rsidRPr="00107CD2">
        <w:rPr>
          <w:noProof/>
          <w:color w:val="231F20"/>
          <w:szCs w:val="24"/>
        </w:rPr>
        <w:t>y sin perjuicio de los requisitos de autorización en virtud del Reglamento (UE) 2021/821,</w:t>
      </w:r>
      <w:r w:rsidRPr="00107CD2">
        <w:rPr>
          <w:noProof/>
        </w:rPr>
        <w:t xml:space="preserve"> las autoridades competentes solo podrán autorizar la venta, el suministro, la transferencia o la exportación de los productos y tecnología de doble uso que figuran en el anexo VII o la prestación de asistencia técnica o financiera conexa tras haber determinado: </w:t>
      </w:r>
    </w:p>
    <w:p w14:paraId="621D188B" w14:textId="122F45FB" w:rsidR="009C7846" w:rsidRPr="00107CD2" w:rsidRDefault="002D3DC6" w:rsidP="002D3DC6">
      <w:pPr>
        <w:pStyle w:val="Point2"/>
        <w:rPr>
          <w:noProof/>
        </w:rPr>
      </w:pPr>
      <w:r w:rsidRPr="00107CD2">
        <w:rPr>
          <w:noProof/>
        </w:rPr>
        <w:t xml:space="preserve">a. </w:t>
      </w:r>
      <w:r w:rsidRPr="00107CD2">
        <w:rPr>
          <w:noProof/>
        </w:rPr>
        <w:tab/>
        <w:t>que tales productos o tecnología o la asistencia técnica o financiera conexa son necesarios para la urgente prevención o mitigación de un acaecimiento que pueda tener una repercusión grave e importante en la salud y seguridad humanas o en el medio ambiente; o</w:t>
      </w:r>
    </w:p>
    <w:p w14:paraId="11438117" w14:textId="3702FFC3" w:rsidR="009C7846" w:rsidRPr="00107CD2" w:rsidRDefault="002D3DC6" w:rsidP="002D3DC6">
      <w:pPr>
        <w:pStyle w:val="Point2"/>
        <w:rPr>
          <w:noProof/>
        </w:rPr>
      </w:pPr>
      <w:r w:rsidRPr="00107CD2">
        <w:rPr>
          <w:noProof/>
        </w:rPr>
        <w:t xml:space="preserve">b. </w:t>
      </w:r>
      <w:r w:rsidRPr="00107CD2">
        <w:rPr>
          <w:noProof/>
        </w:rPr>
        <w:tab/>
        <w:t>que tales productos o tecnología o la asistencia técnica o financiera conexa constituyen obligaciones en virtud de contratos celebrados antes del [fecha de entrada en vigor del presente Reglamento], o de contratos auxiliares necesarios para la ejecución de tales contratos, a condición de que la autorización se solicite antes del [1 de mayo de 2022].</w:t>
      </w:r>
    </w:p>
    <w:p w14:paraId="448A305D" w14:textId="01449DA3" w:rsidR="005B2DEB" w:rsidRPr="00107CD2" w:rsidRDefault="009C7846" w:rsidP="00785452">
      <w:pPr>
        <w:pStyle w:val="ManualNumPar1"/>
        <w:rPr>
          <w:noProof/>
        </w:rPr>
      </w:pPr>
      <w:r w:rsidRPr="00107CD2">
        <w:rPr>
          <w:noProof/>
        </w:rPr>
        <w:lastRenderedPageBreak/>
        <w:t>2.</w:t>
      </w:r>
      <w:r w:rsidRPr="00107CD2">
        <w:rPr>
          <w:noProof/>
        </w:rPr>
        <w:tab/>
        <w:t xml:space="preserve">Todas las autorizaciones exigidas en virtud del presente artículo serán concedidas por las autoridades competentes del Estado miembro de conformidad con las normas y procedimientos establecidos en el Reglamento (UE) 2021/821, que se aplicará </w:t>
      </w:r>
      <w:r w:rsidRPr="00107CD2">
        <w:rPr>
          <w:i/>
          <w:noProof/>
        </w:rPr>
        <w:t>mutatis mutandis</w:t>
      </w:r>
      <w:r w:rsidRPr="00107CD2">
        <w:rPr>
          <w:noProof/>
        </w:rPr>
        <w:t>. La autorización será válida en toda la Unión.</w:t>
      </w:r>
    </w:p>
    <w:p w14:paraId="65BC0BBF" w14:textId="7BD38F5A" w:rsidR="00785452" w:rsidRPr="00107CD2" w:rsidRDefault="005B2DEB" w:rsidP="00785452">
      <w:pPr>
        <w:pStyle w:val="ManualNumPar1"/>
        <w:rPr>
          <w:noProof/>
        </w:rPr>
      </w:pPr>
      <w:r w:rsidRPr="00107CD2">
        <w:rPr>
          <w:noProof/>
        </w:rPr>
        <w:t xml:space="preserve">3. </w:t>
      </w:r>
      <w:r w:rsidRPr="00107CD2">
        <w:rPr>
          <w:noProof/>
        </w:rPr>
        <w:tab/>
        <w:t>Las autoridades competentes podrán anular, suspender, modificar o revocar una autorización que hayan concedido de conformidad con el apartado 1 si consideran que dicha anulación, suspensión, modificación o revocación es necesaria para la ejecución efectiva del presente Reglamento.</w:t>
      </w:r>
    </w:p>
    <w:p w14:paraId="16C89DAE" w14:textId="1E9F6B3F" w:rsidR="00B9432F" w:rsidRPr="00107CD2" w:rsidRDefault="00B9432F" w:rsidP="00B9432F">
      <w:pPr>
        <w:pStyle w:val="Titrearticle"/>
        <w:rPr>
          <w:noProof/>
        </w:rPr>
      </w:pPr>
      <w:r w:rsidRPr="00107CD2">
        <w:rPr>
          <w:noProof/>
        </w:rPr>
        <w:t xml:space="preserve">Artículo 2 </w:t>
      </w:r>
      <w:r w:rsidRPr="00107CD2">
        <w:rPr>
          <w:i w:val="0"/>
          <w:noProof/>
        </w:rPr>
        <w:t>quater</w:t>
      </w:r>
    </w:p>
    <w:p w14:paraId="4E3A4FB7" w14:textId="1FF05697" w:rsidR="00B9432F" w:rsidRPr="00107CD2" w:rsidRDefault="00F02F80" w:rsidP="00F02F80">
      <w:pPr>
        <w:pStyle w:val="ManualNumPar1"/>
        <w:rPr>
          <w:noProof/>
        </w:rPr>
      </w:pPr>
      <w:r w:rsidRPr="00F02F80">
        <w:rPr>
          <w:noProof/>
        </w:rPr>
        <w:t>1.</w:t>
      </w:r>
      <w:r w:rsidRPr="00F02F80">
        <w:rPr>
          <w:noProof/>
        </w:rPr>
        <w:tab/>
      </w:r>
      <w:r w:rsidR="00B9432F" w:rsidRPr="00107CD2">
        <w:rPr>
          <w:noProof/>
        </w:rPr>
        <w:t xml:space="preserve">La notificación a la autoridad competente a que se refieren el artículo 2, apartado 3, y el artículo 2 </w:t>
      </w:r>
      <w:r w:rsidR="00B9432F" w:rsidRPr="00107CD2">
        <w:rPr>
          <w:i/>
          <w:noProof/>
        </w:rPr>
        <w:t>bis</w:t>
      </w:r>
      <w:r w:rsidR="00B9432F" w:rsidRPr="00107CD2">
        <w:rPr>
          <w:noProof/>
        </w:rPr>
        <w:t>, apartado 3, se presentará por medios electrónicos, siempre que sea posible, en formularios que contengan al menos todos los elementos de los modelos que figuran en el anexo IX y en el orden previsto en ellos.</w:t>
      </w:r>
    </w:p>
    <w:p w14:paraId="59936E44" w14:textId="6047074F" w:rsidR="00B9432F" w:rsidRPr="00107CD2" w:rsidRDefault="00F02F80" w:rsidP="00F02F80">
      <w:pPr>
        <w:pStyle w:val="ManualNumPar1"/>
        <w:rPr>
          <w:noProof/>
        </w:rPr>
      </w:pPr>
      <w:r w:rsidRPr="00F02F80">
        <w:rPr>
          <w:noProof/>
        </w:rPr>
        <w:t>2.</w:t>
      </w:r>
      <w:r w:rsidRPr="00F02F80">
        <w:rPr>
          <w:noProof/>
        </w:rPr>
        <w:tab/>
      </w:r>
      <w:r w:rsidR="00B9432F" w:rsidRPr="00107CD2">
        <w:rPr>
          <w:noProof/>
        </w:rPr>
        <w:t xml:space="preserve">Todas las autorizaciones a que se refieren los artículos 2, 2 </w:t>
      </w:r>
      <w:r w:rsidR="00B9432F" w:rsidRPr="00107CD2">
        <w:rPr>
          <w:i/>
          <w:noProof/>
        </w:rPr>
        <w:t>bis</w:t>
      </w:r>
      <w:r w:rsidR="00B9432F" w:rsidRPr="00107CD2">
        <w:rPr>
          <w:noProof/>
        </w:rPr>
        <w:t xml:space="preserve"> y 2 </w:t>
      </w:r>
      <w:r w:rsidR="00B9432F" w:rsidRPr="00107CD2">
        <w:rPr>
          <w:i/>
          <w:noProof/>
        </w:rPr>
        <w:t>ter</w:t>
      </w:r>
      <w:r w:rsidR="00B9432F" w:rsidRPr="00107CD2">
        <w:rPr>
          <w:noProof/>
        </w:rPr>
        <w:t xml:space="preserve"> se presentarán por medios electrónicos, siempre que sea posible, en formularios que contengan al menos todos los elementos de los modelos que figuran en el anexo IX y en el orden previsto en ellos.</w:t>
      </w:r>
    </w:p>
    <w:p w14:paraId="7A1B87A8" w14:textId="4FE11BD1" w:rsidR="00785452" w:rsidRPr="00107CD2" w:rsidRDefault="00785452" w:rsidP="00785452">
      <w:pPr>
        <w:pStyle w:val="Titrearticle"/>
        <w:rPr>
          <w:noProof/>
        </w:rPr>
      </w:pPr>
      <w:r w:rsidRPr="00107CD2">
        <w:rPr>
          <w:noProof/>
        </w:rPr>
        <w:t xml:space="preserve">Artículo 2 </w:t>
      </w:r>
      <w:r w:rsidRPr="00107CD2">
        <w:rPr>
          <w:i w:val="0"/>
          <w:noProof/>
        </w:rPr>
        <w:t>quinquies</w:t>
      </w:r>
    </w:p>
    <w:p w14:paraId="0D30401B" w14:textId="7E2F79DC" w:rsidR="00785452" w:rsidRPr="00107CD2" w:rsidRDefault="00785452" w:rsidP="00785452">
      <w:pPr>
        <w:pStyle w:val="ManualNumPar1"/>
        <w:rPr>
          <w:noProof/>
        </w:rPr>
      </w:pPr>
      <w:r w:rsidRPr="00107CD2">
        <w:rPr>
          <w:noProof/>
        </w:rPr>
        <w:t>1.</w:t>
      </w:r>
      <w:r w:rsidRPr="00107CD2">
        <w:rPr>
          <w:noProof/>
        </w:rPr>
        <w:tab/>
        <w:t xml:space="preserve">Las autoridades competentes intercambiarán sin demora con los demás Estados miembros y la Comisión información sobre las autorizaciones concedidas y las denegaciones emitidas de conformidad con los artículos 2, 2 </w:t>
      </w:r>
      <w:r w:rsidRPr="00107CD2">
        <w:rPr>
          <w:i/>
          <w:noProof/>
        </w:rPr>
        <w:t>bis</w:t>
      </w:r>
      <w:r w:rsidRPr="00107CD2">
        <w:rPr>
          <w:noProof/>
        </w:rPr>
        <w:t xml:space="preserve"> y 2 </w:t>
      </w:r>
      <w:r w:rsidRPr="00107CD2">
        <w:rPr>
          <w:i/>
          <w:noProof/>
        </w:rPr>
        <w:t>ter</w:t>
      </w:r>
      <w:r w:rsidRPr="00107CD2">
        <w:rPr>
          <w:noProof/>
        </w:rPr>
        <w:t>. El intercambio de información se realizará a través del sistema electrónico a que se refiere el artículo 23, apartado 6, del Reglamento (UE) 2021/821.</w:t>
      </w:r>
    </w:p>
    <w:p w14:paraId="0F17F9E5" w14:textId="637D7332" w:rsidR="00785452" w:rsidRPr="00107CD2" w:rsidRDefault="00785452" w:rsidP="00785452">
      <w:pPr>
        <w:pStyle w:val="ManualNumPar1"/>
        <w:rPr>
          <w:noProof/>
        </w:rPr>
      </w:pPr>
      <w:r w:rsidRPr="00107CD2">
        <w:rPr>
          <w:noProof/>
        </w:rPr>
        <w:t xml:space="preserve">2. </w:t>
      </w:r>
      <w:r w:rsidRPr="00107CD2">
        <w:rPr>
          <w:noProof/>
        </w:rPr>
        <w:tab/>
        <w:t>La información recibida en aplicación del presente artículo solo podrá utilizarse para el fin para el que haya sido solicitada, incluidos los intercambios de información mencionados en el apartado 4.</w:t>
      </w:r>
    </w:p>
    <w:p w14:paraId="25DA6E81" w14:textId="77777777" w:rsidR="00785452" w:rsidRPr="00107CD2" w:rsidRDefault="00785452" w:rsidP="00785452">
      <w:pPr>
        <w:pStyle w:val="ManualNumPar1"/>
        <w:ind w:firstLine="0"/>
        <w:rPr>
          <w:rFonts w:eastAsia="Times New Roman"/>
          <w:noProof/>
          <w:szCs w:val="24"/>
        </w:rPr>
      </w:pPr>
      <w:r w:rsidRPr="00107CD2">
        <w:rPr>
          <w:noProof/>
        </w:rPr>
        <w:t>Los Estados miembros y la Comisión velarán por la protección de la información confidencial obtenida en aplicación del presente artículo de conformidad con el Derecho de la Unión y las respectivas normativas nacionales.</w:t>
      </w:r>
    </w:p>
    <w:p w14:paraId="47CE1A10" w14:textId="77777777" w:rsidR="00785452" w:rsidRPr="00107CD2" w:rsidRDefault="00785452" w:rsidP="00785452">
      <w:pPr>
        <w:pStyle w:val="ManualNumPar1"/>
        <w:ind w:firstLine="0"/>
        <w:rPr>
          <w:noProof/>
        </w:rPr>
      </w:pPr>
      <w:r w:rsidRPr="00107CD2">
        <w:rPr>
          <w:noProof/>
        </w:rPr>
        <w:t>Los Estados miembros y la Comisión velarán por que la información clasificada que se haya facilitado o intercambiado con arreglo al presente artículo no sufra una reducción del grado de clasificación o la desclasificación sin el consentimiento previo por escrito del originador.</w:t>
      </w:r>
    </w:p>
    <w:p w14:paraId="230585BB" w14:textId="5118F6DD" w:rsidR="00785452" w:rsidRPr="00107CD2" w:rsidRDefault="00785452" w:rsidP="00D521C5">
      <w:pPr>
        <w:pStyle w:val="ManualNumPar1"/>
        <w:rPr>
          <w:noProof/>
        </w:rPr>
      </w:pPr>
      <w:r w:rsidRPr="00107CD2">
        <w:rPr>
          <w:noProof/>
        </w:rPr>
        <w:t xml:space="preserve">3. </w:t>
      </w:r>
      <w:r w:rsidRPr="00107CD2">
        <w:rPr>
          <w:noProof/>
        </w:rPr>
        <w:tab/>
        <w:t xml:space="preserve">Antes de conceder una autorización con arreglo los artículos 2, 2 </w:t>
      </w:r>
      <w:r w:rsidRPr="00107CD2">
        <w:rPr>
          <w:i/>
          <w:noProof/>
        </w:rPr>
        <w:t>bis</w:t>
      </w:r>
      <w:r w:rsidRPr="00107CD2">
        <w:rPr>
          <w:noProof/>
        </w:rPr>
        <w:t xml:space="preserve"> y 2 </w:t>
      </w:r>
      <w:r w:rsidRPr="00107CD2">
        <w:rPr>
          <w:i/>
          <w:noProof/>
        </w:rPr>
        <w:t>ter</w:t>
      </w:r>
      <w:r w:rsidRPr="00107CD2">
        <w:rPr>
          <w:noProof/>
        </w:rPr>
        <w:t xml:space="preserve"> para una operación fundamentalmente idéntica a otra objeto de una denegación que siga estando vigente, emitida por otro u otros Estados miembros, todo Estado miembro deberá consultar primero al Estado o Estados miembros que hayan emitido las denegaciones. Si, una vez efectuadas dichas consultas, el Estado miembro de que se trate decide conceder una autorización, informará de ello a los demás Estados miembros y a la Comisión y facilitará toda la información pertinente para explicar su decisión.</w:t>
      </w:r>
    </w:p>
    <w:p w14:paraId="25E81653" w14:textId="15D6A58A" w:rsidR="00785452" w:rsidRPr="00107CD2" w:rsidRDefault="00785452" w:rsidP="00785452">
      <w:pPr>
        <w:pStyle w:val="ManualNumPar1"/>
        <w:rPr>
          <w:noProof/>
        </w:rPr>
      </w:pPr>
      <w:r w:rsidRPr="00107CD2">
        <w:rPr>
          <w:noProof/>
        </w:rPr>
        <w:t xml:space="preserve">4. </w:t>
      </w:r>
      <w:r w:rsidRPr="00107CD2">
        <w:rPr>
          <w:noProof/>
        </w:rPr>
        <w:tab/>
        <w:t xml:space="preserve">La Comisión, en consulta con los Estados miembros, intercambiará, en aquellos casos en que proceda, información con los países socios, con el fin de reforzar la eficacia de las medidas de control de las exportaciones contempladas en el presente </w:t>
      </w:r>
      <w:r w:rsidRPr="00107CD2">
        <w:rPr>
          <w:noProof/>
        </w:rPr>
        <w:lastRenderedPageBreak/>
        <w:t>Reglamento y la aplicación coherente de las medidas de control de las exportaciones puestas en práctica por los países socios.</w:t>
      </w:r>
    </w:p>
    <w:p w14:paraId="53AD3B41" w14:textId="09F4F646" w:rsidR="00785452" w:rsidRPr="00107CD2" w:rsidRDefault="00785452" w:rsidP="00785452">
      <w:pPr>
        <w:pStyle w:val="Titrearticle"/>
        <w:rPr>
          <w:noProof/>
        </w:rPr>
      </w:pPr>
      <w:r w:rsidRPr="00107CD2">
        <w:rPr>
          <w:noProof/>
        </w:rPr>
        <w:t xml:space="preserve">Artículo 2 </w:t>
      </w:r>
      <w:r w:rsidRPr="00107CD2">
        <w:rPr>
          <w:i w:val="0"/>
          <w:noProof/>
        </w:rPr>
        <w:t>sexies</w:t>
      </w:r>
    </w:p>
    <w:p w14:paraId="37C702EE" w14:textId="77777777" w:rsidR="00785452" w:rsidRPr="00107CD2" w:rsidRDefault="00785452" w:rsidP="00785452">
      <w:pPr>
        <w:pStyle w:val="ManualNumPar1"/>
        <w:rPr>
          <w:noProof/>
        </w:rPr>
      </w:pPr>
      <w:r w:rsidRPr="00107CD2">
        <w:rPr>
          <w:noProof/>
        </w:rPr>
        <w:t xml:space="preserve">1. </w:t>
      </w:r>
      <w:r w:rsidRPr="00107CD2">
        <w:rPr>
          <w:noProof/>
        </w:rPr>
        <w:tab/>
        <w:t>Queda prohibido proporcionar financiación o asistencia financiera públicas para el comercio con Rusia o la inversión en ese país.</w:t>
      </w:r>
    </w:p>
    <w:p w14:paraId="68C847E3" w14:textId="77777777" w:rsidR="00785452" w:rsidRPr="00107CD2" w:rsidRDefault="00785452" w:rsidP="00785452">
      <w:pPr>
        <w:pStyle w:val="ManualNumPar1"/>
        <w:rPr>
          <w:noProof/>
        </w:rPr>
      </w:pPr>
      <w:r w:rsidRPr="00107CD2">
        <w:rPr>
          <w:noProof/>
        </w:rPr>
        <w:t xml:space="preserve">2. </w:t>
      </w:r>
      <w:r w:rsidRPr="00107CD2">
        <w:rPr>
          <w:noProof/>
        </w:rPr>
        <w:tab/>
        <w:t>La prohibición establecida en el apartado 1 no se aplicará:</w:t>
      </w:r>
    </w:p>
    <w:p w14:paraId="667AD117" w14:textId="79BCA663" w:rsidR="00785452" w:rsidRPr="00107CD2" w:rsidRDefault="00785452" w:rsidP="00785452">
      <w:pPr>
        <w:pStyle w:val="Point2"/>
        <w:rPr>
          <w:noProof/>
        </w:rPr>
      </w:pPr>
      <w:r w:rsidRPr="00107CD2">
        <w:rPr>
          <w:noProof/>
        </w:rPr>
        <w:t xml:space="preserve">a. </w:t>
      </w:r>
      <w:r w:rsidRPr="00107CD2">
        <w:rPr>
          <w:noProof/>
        </w:rPr>
        <w:tab/>
        <w:t>a los compromisos vinculantes de financiación o de asistencia financiera establecidos antes del [fecha de entrada en vigor del presente Reglamento];</w:t>
      </w:r>
    </w:p>
    <w:p w14:paraId="10B44257" w14:textId="36359745" w:rsidR="00785452" w:rsidRPr="00107CD2" w:rsidRDefault="00785452" w:rsidP="00785452">
      <w:pPr>
        <w:pStyle w:val="Point2"/>
        <w:rPr>
          <w:noProof/>
        </w:rPr>
      </w:pPr>
      <w:r w:rsidRPr="00107CD2">
        <w:rPr>
          <w:noProof/>
        </w:rPr>
        <w:t xml:space="preserve">b. </w:t>
      </w:r>
      <w:r w:rsidRPr="00107CD2">
        <w:rPr>
          <w:noProof/>
        </w:rPr>
        <w:tab/>
        <w:t>al suministro de financiación o asistencia financiera públicas por un importe máximo de 10 000 000 EUR por proyecto a las pequeñas y medianas empresas (pymes) establecidas en la Unión; o</w:t>
      </w:r>
    </w:p>
    <w:p w14:paraId="6E61B50E" w14:textId="7E62EB06" w:rsidR="00785452" w:rsidRPr="00107CD2" w:rsidRDefault="00785452" w:rsidP="00785452">
      <w:pPr>
        <w:pStyle w:val="Point2"/>
        <w:rPr>
          <w:noProof/>
        </w:rPr>
      </w:pPr>
      <w:r w:rsidRPr="00107CD2">
        <w:rPr>
          <w:noProof/>
        </w:rPr>
        <w:t xml:space="preserve">c. </w:t>
      </w:r>
      <w:r w:rsidRPr="00107CD2">
        <w:rPr>
          <w:noProof/>
        </w:rPr>
        <w:tab/>
        <w:t>al suministro de financiación o asistencia financiera públicas para el comercio de alimentos, o para fines agrícolas, médicos o humanitarios.».</w:t>
      </w:r>
    </w:p>
    <w:p w14:paraId="209F8742" w14:textId="54CB5578" w:rsidR="00BD416A" w:rsidRPr="00107CD2" w:rsidRDefault="000F0D5B" w:rsidP="000F0D5B">
      <w:pPr>
        <w:pStyle w:val="Point0"/>
        <w:rPr>
          <w:noProof/>
        </w:rPr>
      </w:pPr>
      <w:r>
        <w:rPr>
          <w:noProof/>
        </w:rPr>
        <w:t>4)</w:t>
      </w:r>
      <w:r>
        <w:rPr>
          <w:noProof/>
        </w:rPr>
        <w:tab/>
      </w:r>
      <w:r w:rsidR="00722336" w:rsidRPr="00107CD2">
        <w:rPr>
          <w:noProof/>
        </w:rPr>
        <w:t>En el artículo 3, apartado 2, los términos «artículo 11 del Reglamento (CE) n.º 428/2009» se sustituyen por «artículo 14 del Reglamento (UE) 2021/821».</w:t>
      </w:r>
    </w:p>
    <w:p w14:paraId="6033F2F6" w14:textId="179AC1D3" w:rsidR="00BD416A" w:rsidRPr="00107CD2" w:rsidRDefault="000F0D5B" w:rsidP="000F0D5B">
      <w:pPr>
        <w:pStyle w:val="Point0"/>
        <w:rPr>
          <w:noProof/>
        </w:rPr>
      </w:pPr>
      <w:r>
        <w:rPr>
          <w:noProof/>
        </w:rPr>
        <w:t>5)</w:t>
      </w:r>
      <w:r>
        <w:rPr>
          <w:noProof/>
        </w:rPr>
        <w:tab/>
      </w:r>
      <w:r w:rsidR="00722336" w:rsidRPr="00107CD2">
        <w:rPr>
          <w:noProof/>
        </w:rPr>
        <w:t xml:space="preserve">Se insertan los artículos siguientes: </w:t>
      </w:r>
    </w:p>
    <w:p w14:paraId="1707D994" w14:textId="6C90E0EB" w:rsidR="00E3190A" w:rsidRPr="00107CD2" w:rsidRDefault="00FE452E" w:rsidP="00E3190A">
      <w:pPr>
        <w:pStyle w:val="Titrearticle"/>
        <w:rPr>
          <w:noProof/>
        </w:rPr>
      </w:pPr>
      <w:r w:rsidRPr="00107CD2">
        <w:rPr>
          <w:noProof/>
        </w:rPr>
        <w:t xml:space="preserve"> «Artículo 3 </w:t>
      </w:r>
      <w:r w:rsidRPr="00107CD2">
        <w:rPr>
          <w:i w:val="0"/>
          <w:noProof/>
        </w:rPr>
        <w:t>ter</w:t>
      </w:r>
    </w:p>
    <w:p w14:paraId="2332BAD0" w14:textId="5C70A271" w:rsidR="00E3190A" w:rsidRPr="00107CD2" w:rsidRDefault="00E3190A" w:rsidP="00E3190A">
      <w:pPr>
        <w:pStyle w:val="ManualNumPar1"/>
        <w:rPr>
          <w:noProof/>
        </w:rPr>
      </w:pPr>
      <w:r w:rsidRPr="00107CD2">
        <w:rPr>
          <w:noProof/>
        </w:rPr>
        <w:t xml:space="preserve">1. </w:t>
      </w:r>
      <w:r w:rsidRPr="00107CD2">
        <w:rPr>
          <w:noProof/>
        </w:rPr>
        <w:tab/>
        <w:t>Queda prohibido vender, suministrar, transferir o exportar, directa o indirectamente, productos y tecnología adecuados para su uso en el refinado de petróleo, que figuran en el anexo X, sean originarios o no de la Unión, a cualquier persona física o jurídica, entidad u organismo sitos en Rusia o para su utilización en ese país.</w:t>
      </w:r>
    </w:p>
    <w:p w14:paraId="6C35924E" w14:textId="77777777" w:rsidR="00E3190A" w:rsidRPr="00107CD2" w:rsidRDefault="00E3190A" w:rsidP="00E3190A">
      <w:pPr>
        <w:pStyle w:val="ManualNumPar1"/>
        <w:rPr>
          <w:noProof/>
        </w:rPr>
      </w:pPr>
      <w:r w:rsidRPr="00107CD2">
        <w:rPr>
          <w:noProof/>
        </w:rPr>
        <w:t xml:space="preserve">2. </w:t>
      </w:r>
      <w:r w:rsidRPr="00107CD2">
        <w:rPr>
          <w:noProof/>
        </w:rPr>
        <w:tab/>
        <w:t>Queda prohibido:</w:t>
      </w:r>
    </w:p>
    <w:p w14:paraId="5E3AA4E2" w14:textId="06CED803" w:rsidR="00E3190A" w:rsidRPr="00107CD2" w:rsidRDefault="000F0D5B" w:rsidP="000F0D5B">
      <w:pPr>
        <w:pStyle w:val="Point1"/>
        <w:rPr>
          <w:noProof/>
        </w:rPr>
      </w:pPr>
      <w:r>
        <w:rPr>
          <w:noProof/>
        </w:rPr>
        <w:t>a)</w:t>
      </w:r>
      <w:r>
        <w:rPr>
          <w:noProof/>
        </w:rPr>
        <w:tab/>
      </w:r>
      <w:r w:rsidR="00E3190A" w:rsidRPr="00107CD2">
        <w:rPr>
          <w:noProof/>
        </w:rPr>
        <w:t>prestar asistencia técnica, servicios de intermediación u otros servicios en relación con los productos y tecnología mencionados en el apartado 1 y con el suministro, la fabricación, el mantenimiento y la utilización de dichos productos y tecnología, directa o indirectamente, a cualquier persona física o jurídica, entidad u organismo sitos en Rusia, o para su utilización en ese país;</w:t>
      </w:r>
    </w:p>
    <w:p w14:paraId="0AD45755" w14:textId="4841A349" w:rsidR="00E3190A" w:rsidRPr="00107CD2" w:rsidRDefault="000F0D5B" w:rsidP="000F0D5B">
      <w:pPr>
        <w:pStyle w:val="Point1"/>
        <w:rPr>
          <w:noProof/>
        </w:rPr>
      </w:pPr>
      <w:r>
        <w:rPr>
          <w:noProof/>
        </w:rPr>
        <w:t>b)</w:t>
      </w:r>
      <w:r>
        <w:rPr>
          <w:noProof/>
        </w:rPr>
        <w:tab/>
      </w:r>
      <w:r w:rsidR="00E3190A" w:rsidRPr="00107CD2">
        <w:rPr>
          <w:noProof/>
        </w:rPr>
        <w:t>proporcionar financiación o asistencia financiera en relación con los productos y tecnología mencionados en el apartado 1 para cualquier operación de venta, suministro, transferencia o exportación de dichos productos y tecnología, o para prestar asistencia técnica conexa, servicios de intermediación u otros servicios, directa o indirectamente, a cualquier persona, entidad u organismo sitos en Rusia, o para su utilización en ese país.</w:t>
      </w:r>
    </w:p>
    <w:p w14:paraId="444E695E" w14:textId="0D118E36" w:rsidR="004D4568" w:rsidRPr="00107CD2" w:rsidRDefault="00E3190A" w:rsidP="00E3190A">
      <w:pPr>
        <w:pStyle w:val="ManualNumPar1"/>
        <w:rPr>
          <w:noProof/>
        </w:rPr>
      </w:pPr>
      <w:r w:rsidRPr="00107CD2">
        <w:rPr>
          <w:noProof/>
        </w:rPr>
        <w:t xml:space="preserve">3. </w:t>
      </w:r>
      <w:r w:rsidRPr="00107CD2">
        <w:rPr>
          <w:noProof/>
        </w:rPr>
        <w:tab/>
        <w:t xml:space="preserve">Las prohibiciones establecidas en los apartados 1 y 2 no se aplicarán a la ejecución, hasta el [noventa días tras la entrada en vigor], de los contratos celebrados antes del [fecha de entrada en vigor] o de los contratos auxiliares necesarios para la ejecución de tales contratos. </w:t>
      </w:r>
      <w:r w:rsidRPr="00107CD2">
        <w:rPr>
          <w:noProof/>
        </w:rPr>
        <w:tab/>
      </w:r>
    </w:p>
    <w:p w14:paraId="0F271A92" w14:textId="61A2D051" w:rsidR="00E3190A" w:rsidRPr="00107CD2" w:rsidRDefault="004D4568" w:rsidP="00E3190A">
      <w:pPr>
        <w:pStyle w:val="ManualNumPar1"/>
        <w:rPr>
          <w:noProof/>
        </w:rPr>
      </w:pPr>
      <w:r w:rsidRPr="00107CD2">
        <w:rPr>
          <w:noProof/>
        </w:rPr>
        <w:t>4.</w:t>
      </w:r>
      <w:r w:rsidRPr="00107CD2">
        <w:rPr>
          <w:noProof/>
        </w:rPr>
        <w:tab/>
        <w:t xml:space="preserve">No obstante lo dispuesto en los apartados 1 y 2, las autoridades competentes podrán autorizar, en las condiciones que consideren apropiadas, la venta, el suministro, la transferencia o la exportación de los productos y tecnología que figuran en el anexo X o la prestación de la asistencia técnica o financiera conexa, tras haber </w:t>
      </w:r>
      <w:r w:rsidRPr="00107CD2">
        <w:rPr>
          <w:noProof/>
        </w:rPr>
        <w:lastRenderedPageBreak/>
        <w:t>determinado que dichos productos o tecnología o la prestación de la asistencia técnica o financiera conexa son necesarios para la urgente prevención o mitigación de un acaecimiento que pueda tener una repercusión grave e importante en la salud y seguridad humanas o en el medio ambiente.</w:t>
      </w:r>
    </w:p>
    <w:p w14:paraId="6A32F97A" w14:textId="11A6A6CB" w:rsidR="00E3190A" w:rsidRPr="00107CD2" w:rsidRDefault="004D4568" w:rsidP="00E3190A">
      <w:pPr>
        <w:pStyle w:val="ManualNumPar1"/>
        <w:ind w:hanging="130"/>
        <w:rPr>
          <w:rFonts w:eastAsia="Times New Roman"/>
          <w:noProof/>
          <w:szCs w:val="24"/>
        </w:rPr>
      </w:pPr>
      <w:r w:rsidRPr="00107CD2">
        <w:rPr>
          <w:noProof/>
        </w:rPr>
        <w:t xml:space="preserve"> </w:t>
      </w:r>
      <w:r w:rsidRPr="00107CD2">
        <w:rPr>
          <w:noProof/>
        </w:rPr>
        <w:tab/>
        <w:t>En casos urgentes debidamente justificados, la venta, el suministro, la transferencia o la exportación podrán efectuarse sin autorización previa siempre que el exportador lo notifique a la autoridad competente en un plazo de cinco días laborales a partir de la fecha de la venta, el suministro, la transferencia o la exportación, indicando las razones oportunas que justifiquen la venta, el suministro, la transferencia o la exportación sin autorización previa.</w:t>
      </w:r>
    </w:p>
    <w:p w14:paraId="40999E21" w14:textId="75896463" w:rsidR="00E3190A" w:rsidRPr="00107CD2" w:rsidRDefault="00E3190A" w:rsidP="00E3190A">
      <w:pPr>
        <w:pStyle w:val="Titrearticle"/>
        <w:rPr>
          <w:noProof/>
        </w:rPr>
      </w:pPr>
      <w:r w:rsidRPr="00107CD2">
        <w:rPr>
          <w:noProof/>
        </w:rPr>
        <w:t xml:space="preserve">Artículo 3 </w:t>
      </w:r>
      <w:r w:rsidRPr="00107CD2">
        <w:rPr>
          <w:i w:val="0"/>
          <w:noProof/>
        </w:rPr>
        <w:t>quater</w:t>
      </w:r>
    </w:p>
    <w:p w14:paraId="6054258A" w14:textId="0CA3DBE3" w:rsidR="00E3190A" w:rsidRPr="00107CD2" w:rsidRDefault="00E3190A" w:rsidP="00E3190A">
      <w:pPr>
        <w:pStyle w:val="ManualNumPar1"/>
        <w:rPr>
          <w:noProof/>
        </w:rPr>
      </w:pPr>
      <w:r w:rsidRPr="00107CD2">
        <w:rPr>
          <w:noProof/>
        </w:rPr>
        <w:t xml:space="preserve">1. </w:t>
      </w:r>
      <w:r w:rsidRPr="00107CD2">
        <w:rPr>
          <w:noProof/>
        </w:rPr>
        <w:tab/>
        <w:t>Queda prohibido vender, suministrar, transferir o exportar, directa o indirectamente, productos y tecnología adecuados para su uso en la aviación o en la industria espacial, que figuran en el anexo XI, sean originarios o no de la Unión, a cualquier persona física o jurídica, entidad u organismo sitos en Rusia o para su utilización en ese país.</w:t>
      </w:r>
    </w:p>
    <w:p w14:paraId="1730F8E6" w14:textId="1AAD6150" w:rsidR="00E3190A" w:rsidRPr="00107CD2" w:rsidRDefault="00E3190A" w:rsidP="00E3190A">
      <w:pPr>
        <w:pStyle w:val="ManualNumPar1"/>
        <w:rPr>
          <w:noProof/>
        </w:rPr>
      </w:pPr>
      <w:r w:rsidRPr="00107CD2">
        <w:rPr>
          <w:noProof/>
        </w:rPr>
        <w:t xml:space="preserve">2. </w:t>
      </w:r>
      <w:r w:rsidRPr="00107CD2">
        <w:rPr>
          <w:noProof/>
        </w:rPr>
        <w:tab/>
        <w:t>Queda prohibido proporcionar seguros y reaseguros, directa o indirectamente, en relación con los productos y la tecnología enumerados en el anexo XI a cualquier persona, entidad u organismo sitos en Rusia, o para uso en ese país.</w:t>
      </w:r>
    </w:p>
    <w:p w14:paraId="1D8DA32C" w14:textId="67667297" w:rsidR="00161188" w:rsidRPr="00107CD2" w:rsidRDefault="00F02F80" w:rsidP="00F02F80">
      <w:pPr>
        <w:pStyle w:val="ManualNumPar1"/>
        <w:rPr>
          <w:noProof/>
        </w:rPr>
      </w:pPr>
      <w:r w:rsidRPr="00F02F80">
        <w:rPr>
          <w:noProof/>
        </w:rPr>
        <w:t>3.</w:t>
      </w:r>
      <w:r w:rsidRPr="00F02F80">
        <w:rPr>
          <w:noProof/>
        </w:rPr>
        <w:tab/>
      </w:r>
      <w:r w:rsidR="00923CF0" w:rsidRPr="00107CD2">
        <w:rPr>
          <w:noProof/>
        </w:rPr>
        <w:t>Queda prohibida la prestación de una de las actividades siguientes o una combinación de estas: la revisión, la reparación, la inspección, la sustitución, la modificación o la rectificación de defectos de una aeronave o componente, con excepción de la inspección prevuelo, en relación con los productos y la tecnología enumerados en el anexo XI, directa o indirectamente, a cualquier persona, entidad u organismo sitos en Rusia o para su utilización en ese país.</w:t>
      </w:r>
    </w:p>
    <w:p w14:paraId="4CC95A42" w14:textId="59E954C8" w:rsidR="00E3190A" w:rsidRPr="00107CD2" w:rsidRDefault="00F02F80" w:rsidP="00F02F80">
      <w:pPr>
        <w:pStyle w:val="ManualNumPar1"/>
        <w:rPr>
          <w:noProof/>
        </w:rPr>
      </w:pPr>
      <w:r w:rsidRPr="00F02F80">
        <w:rPr>
          <w:noProof/>
        </w:rPr>
        <w:t>4.</w:t>
      </w:r>
      <w:r w:rsidRPr="00F02F80">
        <w:rPr>
          <w:noProof/>
        </w:rPr>
        <w:tab/>
      </w:r>
      <w:r w:rsidR="00E3190A" w:rsidRPr="00107CD2">
        <w:rPr>
          <w:noProof/>
        </w:rPr>
        <w:t>Queda prohibido:</w:t>
      </w:r>
    </w:p>
    <w:p w14:paraId="6398737C" w14:textId="7EFB9E43" w:rsidR="00E3190A" w:rsidRPr="00107CD2" w:rsidRDefault="000F0D5B" w:rsidP="000F0D5B">
      <w:pPr>
        <w:pStyle w:val="Point1"/>
        <w:rPr>
          <w:noProof/>
        </w:rPr>
      </w:pPr>
      <w:r>
        <w:rPr>
          <w:noProof/>
        </w:rPr>
        <w:t>a)</w:t>
      </w:r>
      <w:r>
        <w:rPr>
          <w:noProof/>
        </w:rPr>
        <w:tab/>
      </w:r>
      <w:r w:rsidR="00E3190A" w:rsidRPr="00107CD2">
        <w:rPr>
          <w:noProof/>
        </w:rPr>
        <w:t>prestar asistencia técnica, servicios de intermediación u otros servicios en relación con los productos y tecnología mencionados en el apartado 1 y con el suministro, la fabricación, el mantenimiento y la utilización de dichos productos y tecnología, directa o indirectamente, a cualquier persona física o jurídica, entidad u organismo sitos en Rusia, o para su utilización en ese país;</w:t>
      </w:r>
    </w:p>
    <w:p w14:paraId="307AE99E" w14:textId="15F363E2" w:rsidR="00E3190A" w:rsidRPr="00107CD2" w:rsidRDefault="000F0D5B" w:rsidP="000F0D5B">
      <w:pPr>
        <w:pStyle w:val="Point1"/>
        <w:rPr>
          <w:noProof/>
        </w:rPr>
      </w:pPr>
      <w:r>
        <w:rPr>
          <w:noProof/>
        </w:rPr>
        <w:t>b)</w:t>
      </w:r>
      <w:r>
        <w:rPr>
          <w:noProof/>
        </w:rPr>
        <w:tab/>
      </w:r>
      <w:r w:rsidR="00E3190A" w:rsidRPr="00107CD2">
        <w:rPr>
          <w:noProof/>
        </w:rPr>
        <w:t>proporcionar financiación o asistencia financiera en relación con los productos y tecnología mencionados en el apartado 1 para cualquier operación de venta, suministro, transferencia o exportación de dichos productos y tecnología, o para prestar asistencia técnica conexa, servicios de intermediación u otros servicios, directa o indirectamente, a cualquier persona física o jurídica, entidad u organismo sitos en Rusia, o para su utilización en ese país.</w:t>
      </w:r>
    </w:p>
    <w:p w14:paraId="575481EE" w14:textId="2B403977" w:rsidR="00722336" w:rsidRPr="00107CD2" w:rsidRDefault="00F02F80" w:rsidP="00F02F80">
      <w:pPr>
        <w:pStyle w:val="ManualNumPar1"/>
        <w:rPr>
          <w:noProof/>
        </w:rPr>
      </w:pPr>
      <w:r w:rsidRPr="00F02F80">
        <w:rPr>
          <w:noProof/>
        </w:rPr>
        <w:t>5.</w:t>
      </w:r>
      <w:r w:rsidRPr="00F02F80">
        <w:rPr>
          <w:noProof/>
        </w:rPr>
        <w:tab/>
      </w:r>
      <w:r w:rsidR="00E3190A" w:rsidRPr="00107CD2">
        <w:rPr>
          <w:noProof/>
        </w:rPr>
        <w:t>Con respecto a los productos que figuran en el anexo XI, las prohibiciones de los apartados 1 y 4 no se aplicarán a la ejecución [hasta treinta días tras la entrada en vigor] de los contratos celebrados antes del [fecha de entrada en vigor] o de los contratos auxiliares necesarios para la ejecución de tales contratos.</w:t>
      </w:r>
    </w:p>
    <w:p w14:paraId="363ACA27" w14:textId="3E0C5099" w:rsidR="00441E40" w:rsidRPr="00107CD2" w:rsidRDefault="000F0D5B" w:rsidP="000F0D5B">
      <w:pPr>
        <w:pStyle w:val="Point0"/>
        <w:rPr>
          <w:noProof/>
        </w:rPr>
      </w:pPr>
      <w:r>
        <w:rPr>
          <w:noProof/>
        </w:rPr>
        <w:t>6)</w:t>
      </w:r>
      <w:r>
        <w:rPr>
          <w:noProof/>
        </w:rPr>
        <w:tab/>
      </w:r>
      <w:r w:rsidR="00722336" w:rsidRPr="00107CD2">
        <w:rPr>
          <w:noProof/>
        </w:rPr>
        <w:t xml:space="preserve">En el artículo 4, apartado 2, «UE» se sustituye por «Unión». </w:t>
      </w:r>
    </w:p>
    <w:p w14:paraId="139C97DF" w14:textId="797CD446" w:rsidR="00441E40" w:rsidRPr="00107CD2" w:rsidRDefault="000F0D5B" w:rsidP="000F0D5B">
      <w:pPr>
        <w:pStyle w:val="Point0"/>
        <w:rPr>
          <w:noProof/>
        </w:rPr>
      </w:pPr>
      <w:r>
        <w:rPr>
          <w:noProof/>
        </w:rPr>
        <w:t>7)</w:t>
      </w:r>
      <w:r>
        <w:rPr>
          <w:noProof/>
        </w:rPr>
        <w:tab/>
      </w:r>
      <w:r w:rsidR="00441E40" w:rsidRPr="00107CD2">
        <w:rPr>
          <w:noProof/>
        </w:rPr>
        <w:t xml:space="preserve">El artículo 5 se sustituye por el texto siguiente: </w:t>
      </w:r>
    </w:p>
    <w:p w14:paraId="646875D3" w14:textId="77777777" w:rsidR="00441E40" w:rsidRPr="00107CD2" w:rsidRDefault="00441E40" w:rsidP="00D521C5">
      <w:pPr>
        <w:pStyle w:val="Text1"/>
        <w:ind w:left="0"/>
        <w:rPr>
          <w:noProof/>
        </w:rPr>
      </w:pPr>
    </w:p>
    <w:p w14:paraId="128B7F63" w14:textId="38CCD41A" w:rsidR="004772F5" w:rsidRPr="00107CD2" w:rsidRDefault="00441E40" w:rsidP="004772F5">
      <w:pPr>
        <w:pStyle w:val="Titrearticle"/>
        <w:rPr>
          <w:noProof/>
        </w:rPr>
      </w:pPr>
      <w:r w:rsidRPr="00107CD2">
        <w:rPr>
          <w:noProof/>
        </w:rPr>
        <w:lastRenderedPageBreak/>
        <w:t>«Artículo 5</w:t>
      </w:r>
    </w:p>
    <w:p w14:paraId="0CA2C2B3" w14:textId="77777777" w:rsidR="004772F5" w:rsidRPr="00107CD2" w:rsidRDefault="004772F5" w:rsidP="004772F5">
      <w:pPr>
        <w:pStyle w:val="ManualNumPar1"/>
        <w:rPr>
          <w:noProof/>
        </w:rPr>
      </w:pPr>
      <w:r w:rsidRPr="00107CD2">
        <w:rPr>
          <w:noProof/>
        </w:rPr>
        <w:t>1.</w:t>
      </w:r>
      <w:r w:rsidRPr="00107CD2">
        <w:rPr>
          <w:noProof/>
        </w:rPr>
        <w:tab/>
        <w:t>Quedan prohibidas las operaciones directas o indirectas de compra o venta, prestación de servicios de inversión o de asistencia en la emisión, o cualquier otra forma de negociación, en relación con valores negociables o instrumentos del mercado o dinero similares con vencimiento a más de noventa días, emitidos después del 1 de agosto de 2014 y hasta el 12 de septiembre de 2014, o con vencimiento a más de treinta días, emitidos después del 12 de septiembre de 2014 y hasta el [cuarenta y cinco días tras la entrada en vigor], o en relación con cualesquiera valores negociables e instrumentos del mercado del dinero similares emitidos después del [cuarenta y cinco días tras la entrada en vigor] por:</w:t>
      </w:r>
    </w:p>
    <w:p w14:paraId="5B13F650" w14:textId="09609551" w:rsidR="004772F5" w:rsidRPr="00107CD2" w:rsidRDefault="000F0D5B" w:rsidP="000F0D5B">
      <w:pPr>
        <w:pStyle w:val="Point1"/>
        <w:rPr>
          <w:noProof/>
        </w:rPr>
      </w:pPr>
      <w:r>
        <w:rPr>
          <w:noProof/>
        </w:rPr>
        <w:t>a)</w:t>
      </w:r>
      <w:r>
        <w:rPr>
          <w:noProof/>
        </w:rPr>
        <w:tab/>
      </w:r>
      <w:r w:rsidR="004772F5" w:rsidRPr="00107CD2">
        <w:rPr>
          <w:noProof/>
        </w:rPr>
        <w:t xml:space="preserve"> grandes entidades de crédito o de otro tipo que tengan mandato expreso de promover la competitividad de la economía rusa, su diversificación y el estímulo de la inversión, establecidas en Rusia, propiedad o bajo control del Estado ruso en más del 50 % a fecha de 1 de agosto de 2014, que figuren en la lista del anexo III; o</w:t>
      </w:r>
    </w:p>
    <w:p w14:paraId="27DD3820" w14:textId="594CFF65" w:rsidR="004772F5" w:rsidRPr="00107CD2" w:rsidRDefault="000F0D5B" w:rsidP="000F0D5B">
      <w:pPr>
        <w:pStyle w:val="Point1"/>
        <w:rPr>
          <w:noProof/>
        </w:rPr>
      </w:pPr>
      <w:r>
        <w:rPr>
          <w:noProof/>
        </w:rPr>
        <w:t>b)</w:t>
      </w:r>
      <w:r>
        <w:rPr>
          <w:noProof/>
        </w:rPr>
        <w:tab/>
      </w:r>
      <w:r w:rsidR="004772F5" w:rsidRPr="00107CD2">
        <w:rPr>
          <w:noProof/>
        </w:rPr>
        <w:t xml:space="preserve"> personas jurídicas, entidades u organismos establecidos fuera de la Unión cuyos derechos de propiedad pertenezcan directa o indirectamente en más del 50 % a una entidad que figure en la lista del anexo III; o</w:t>
      </w:r>
    </w:p>
    <w:p w14:paraId="6CBEEE07" w14:textId="79EE9DA7" w:rsidR="004772F5" w:rsidRPr="00107CD2" w:rsidRDefault="000F0D5B" w:rsidP="000F0D5B">
      <w:pPr>
        <w:pStyle w:val="Point1"/>
        <w:rPr>
          <w:noProof/>
        </w:rPr>
      </w:pPr>
      <w:r>
        <w:rPr>
          <w:noProof/>
        </w:rPr>
        <w:t>c)</w:t>
      </w:r>
      <w:r>
        <w:rPr>
          <w:noProof/>
        </w:rPr>
        <w:tab/>
      </w:r>
      <w:r w:rsidR="004772F5" w:rsidRPr="00107CD2">
        <w:rPr>
          <w:noProof/>
        </w:rPr>
        <w:t xml:space="preserve"> personas jurídicas, entidades u organismos que actúen en nombre o bajo la dirección de una entidad de las mencionadas en la letra b) del presente apartado o que figure en la lista del anexo III.</w:t>
      </w:r>
    </w:p>
    <w:p w14:paraId="73BE6A8A" w14:textId="77777777" w:rsidR="004772F5" w:rsidRPr="00107CD2" w:rsidRDefault="004772F5" w:rsidP="004772F5">
      <w:pPr>
        <w:pStyle w:val="ManualNumPar1"/>
        <w:rPr>
          <w:noProof/>
        </w:rPr>
      </w:pPr>
      <w:r w:rsidRPr="00107CD2">
        <w:rPr>
          <w:noProof/>
        </w:rPr>
        <w:t xml:space="preserve">2. </w:t>
      </w:r>
      <w:r w:rsidRPr="00107CD2">
        <w:rPr>
          <w:noProof/>
        </w:rPr>
        <w:tab/>
        <w:t>Quedan prohibidas las operaciones directas o indirectas de compra o venta, prestación de servicios de inversión o de asistencia en la emisión, o cualquier otra forma de negociación, en relación con valores negociables e instrumentos del mercado del dinero emitidos después del [cuarenta y cinco días tras la entrada en vigor] por:</w:t>
      </w:r>
    </w:p>
    <w:p w14:paraId="7D31AFC7" w14:textId="5FC63CAB" w:rsidR="004772F5" w:rsidRPr="00107CD2" w:rsidRDefault="000F0D5B" w:rsidP="000F0D5B">
      <w:pPr>
        <w:pStyle w:val="Point1"/>
        <w:rPr>
          <w:noProof/>
        </w:rPr>
      </w:pPr>
      <w:r>
        <w:rPr>
          <w:noProof/>
        </w:rPr>
        <w:t>a)</w:t>
      </w:r>
      <w:r>
        <w:rPr>
          <w:noProof/>
        </w:rPr>
        <w:tab/>
      </w:r>
      <w:r w:rsidR="004772F5" w:rsidRPr="00107CD2">
        <w:rPr>
          <w:noProof/>
        </w:rPr>
        <w:t>grandes entidades de crédito o de otro tipo con más de un 50 % de propiedad o control públicos a fecha de [fecha de entrada en vigor] o cualesquiera otras entidades de crédito que desempeñen un papel significativo en el apoyo a las actividades de Rusia, su gobierno y administraciones públicas o su Banco Central, establecidas en Rusia, que figuren en el anexo XII; o</w:t>
      </w:r>
    </w:p>
    <w:p w14:paraId="76317335" w14:textId="53125C4A" w:rsidR="004772F5" w:rsidRPr="00107CD2" w:rsidRDefault="000F0D5B" w:rsidP="000F0D5B">
      <w:pPr>
        <w:pStyle w:val="Point1"/>
        <w:rPr>
          <w:noProof/>
        </w:rPr>
      </w:pPr>
      <w:r>
        <w:rPr>
          <w:noProof/>
        </w:rPr>
        <w:t>b)</w:t>
      </w:r>
      <w:r>
        <w:rPr>
          <w:noProof/>
        </w:rPr>
        <w:tab/>
      </w:r>
      <w:r w:rsidR="004772F5" w:rsidRPr="00107CD2">
        <w:rPr>
          <w:noProof/>
        </w:rPr>
        <w:t>personas jurídicas, entidades u organismos establecidos fuera de la Unión cuyos derechos de propiedad pertenezcan directa o indirectamente en más del 50 % a una entidad que figure en la lista del anexo XII; o</w:t>
      </w:r>
    </w:p>
    <w:p w14:paraId="64BC7E7F" w14:textId="026B5981" w:rsidR="001109BD" w:rsidRPr="00107CD2" w:rsidRDefault="000F0D5B" w:rsidP="000F0D5B">
      <w:pPr>
        <w:pStyle w:val="Point1"/>
        <w:rPr>
          <w:noProof/>
        </w:rPr>
      </w:pPr>
      <w:r>
        <w:rPr>
          <w:noProof/>
        </w:rPr>
        <w:t>c)</w:t>
      </w:r>
      <w:r>
        <w:rPr>
          <w:noProof/>
        </w:rPr>
        <w:tab/>
      </w:r>
      <w:r w:rsidR="004772F5" w:rsidRPr="00107CD2">
        <w:rPr>
          <w:noProof/>
        </w:rPr>
        <w:t xml:space="preserve">personas jurídicas, entidades u organismos que actúen en nombre o bajo la dirección de una entidad de las mencionadas en las letras a) o b) del presente apartado. </w:t>
      </w:r>
    </w:p>
    <w:p w14:paraId="621D9EAE" w14:textId="73735992" w:rsidR="004772F5" w:rsidRPr="00107CD2" w:rsidRDefault="00F02F80" w:rsidP="00F02F80">
      <w:pPr>
        <w:pStyle w:val="ManualNumPar1"/>
        <w:rPr>
          <w:noProof/>
        </w:rPr>
      </w:pPr>
      <w:r w:rsidRPr="00F02F80">
        <w:rPr>
          <w:noProof/>
        </w:rPr>
        <w:t>3.</w:t>
      </w:r>
      <w:r w:rsidRPr="00F02F80">
        <w:rPr>
          <w:noProof/>
        </w:rPr>
        <w:tab/>
      </w:r>
      <w:r w:rsidR="004772F5" w:rsidRPr="00107CD2">
        <w:rPr>
          <w:noProof/>
        </w:rPr>
        <w:t>Quedan prohibidas las operaciones directas o indirectas de compra o venta, prestación de servicios de inversión o de asistencia en la emisión, o cualquier otra forma de negociación, en relación con valores negociables o instrumentos del mercado o dinero similares con vencimiento a más de treinta días, emitidos después del 12 de septiembre de 2014 y hasta el [cuarenta y cinco días tras la entrada en vigor], o en relación con cualesquiera valores negociables e instrumentos del mercado del dinero similares emitidos después del [cuarenta y cinco días tras la entrada en vigor] por:</w:t>
      </w:r>
    </w:p>
    <w:p w14:paraId="255D5EBE" w14:textId="7B0B4976" w:rsidR="004772F5" w:rsidRPr="00107CD2" w:rsidRDefault="000F0D5B" w:rsidP="000F0D5B">
      <w:pPr>
        <w:pStyle w:val="Point3"/>
        <w:rPr>
          <w:noProof/>
        </w:rPr>
      </w:pPr>
      <w:r>
        <w:rPr>
          <w:noProof/>
        </w:rPr>
        <w:lastRenderedPageBreak/>
        <w:t>a)</w:t>
      </w:r>
      <w:r>
        <w:rPr>
          <w:noProof/>
        </w:rPr>
        <w:tab/>
      </w:r>
      <w:r w:rsidR="004772F5" w:rsidRPr="00107CD2">
        <w:rPr>
          <w:noProof/>
        </w:rPr>
        <w:t>personas jurídicas, entidades u organismos establecidos en Rusia dedicados predominantemente y con actividades de gran importancia al diseño, producción, venta o exportación de equipo o servicios militares, que figuren en la lista del anexo V, excepto las personas jurídicas, entidades u organismos que operan en los sectores espacial o de la energía nuclear;</w:t>
      </w:r>
    </w:p>
    <w:p w14:paraId="0A085739" w14:textId="7B0E28FA" w:rsidR="004772F5" w:rsidRPr="00107CD2" w:rsidRDefault="000F0D5B" w:rsidP="000F0D5B">
      <w:pPr>
        <w:pStyle w:val="Point3"/>
        <w:rPr>
          <w:noProof/>
        </w:rPr>
      </w:pPr>
      <w:r>
        <w:rPr>
          <w:noProof/>
        </w:rPr>
        <w:t>b)</w:t>
      </w:r>
      <w:r>
        <w:rPr>
          <w:noProof/>
        </w:rPr>
        <w:tab/>
      </w:r>
      <w:r w:rsidR="004772F5" w:rsidRPr="00107CD2">
        <w:rPr>
          <w:noProof/>
        </w:rPr>
        <w:t>personas jurídicas, entidades u organismos establecidos en Rusia que estén sujetos a control público o con más de un 50 % de propiedad pública, y que posean activos estimados totales superiores a 1 billón RUB y cuyos ingresos estimados provengan en al menos un 50 % de la venta o del transporte de petróleo crudo o productos del petróleo que figuren en la lista del anexo VI;</w:t>
      </w:r>
    </w:p>
    <w:p w14:paraId="7D06E205" w14:textId="6946FB6D" w:rsidR="004772F5" w:rsidRPr="00107CD2" w:rsidRDefault="000F0D5B" w:rsidP="000F0D5B">
      <w:pPr>
        <w:pStyle w:val="Point3"/>
        <w:rPr>
          <w:noProof/>
        </w:rPr>
      </w:pPr>
      <w:r>
        <w:rPr>
          <w:noProof/>
        </w:rPr>
        <w:t>c)</w:t>
      </w:r>
      <w:r>
        <w:rPr>
          <w:noProof/>
        </w:rPr>
        <w:tab/>
      </w:r>
      <w:r w:rsidR="004772F5" w:rsidRPr="00107CD2">
        <w:rPr>
          <w:noProof/>
        </w:rPr>
        <w:t>personas jurídicas, entidades u organismos establecidos fuera de la Unión, cuyos derechos de propiedad pertenezcan, directa o indirectamente, en más del 50 % a una entidad de las enumeradas en las letras a) o b) del presente apartado; o</w:t>
      </w:r>
    </w:p>
    <w:p w14:paraId="0C19E27D" w14:textId="63286122" w:rsidR="004772F5" w:rsidRPr="00107CD2" w:rsidRDefault="000F0D5B" w:rsidP="000F0D5B">
      <w:pPr>
        <w:pStyle w:val="Point3"/>
        <w:rPr>
          <w:noProof/>
        </w:rPr>
      </w:pPr>
      <w:r>
        <w:rPr>
          <w:noProof/>
        </w:rPr>
        <w:t>d)</w:t>
      </w:r>
      <w:r>
        <w:rPr>
          <w:noProof/>
        </w:rPr>
        <w:tab/>
      </w:r>
      <w:r w:rsidR="004772F5" w:rsidRPr="00107CD2">
        <w:rPr>
          <w:noProof/>
        </w:rPr>
        <w:t>personas jurídicas, entidades u organismos que actúen en nombre o bajo la dirección de una entidad de las mencionadas en las letras a), b) o c) del presente apartado.</w:t>
      </w:r>
    </w:p>
    <w:p w14:paraId="581294E0" w14:textId="77777777" w:rsidR="004772F5" w:rsidRPr="00107CD2" w:rsidRDefault="004772F5" w:rsidP="004772F5">
      <w:pPr>
        <w:pStyle w:val="ManualNumPar1"/>
        <w:rPr>
          <w:noProof/>
        </w:rPr>
      </w:pPr>
      <w:r w:rsidRPr="00107CD2">
        <w:rPr>
          <w:noProof/>
        </w:rPr>
        <w:t xml:space="preserve">4. </w:t>
      </w:r>
      <w:r w:rsidRPr="00107CD2">
        <w:rPr>
          <w:noProof/>
        </w:rPr>
        <w:tab/>
        <w:t>Quedan prohibidas las operaciones directas o indirectas de compra o venta, prestación de servicios de inversión o de asistencia en la emisión, o cualquier otra forma de negociación, en relación con valores negociables e instrumentos del mercado del dinero emitidos después del [cuarenta y cinco días tras la entrada en vigor] por:</w:t>
      </w:r>
    </w:p>
    <w:p w14:paraId="5BE62971" w14:textId="18ACF41F" w:rsidR="004772F5" w:rsidRPr="00107CD2" w:rsidRDefault="000F0D5B" w:rsidP="000F0D5B">
      <w:pPr>
        <w:pStyle w:val="Point1"/>
        <w:rPr>
          <w:noProof/>
        </w:rPr>
      </w:pPr>
      <w:r>
        <w:rPr>
          <w:noProof/>
        </w:rPr>
        <w:t>a)</w:t>
      </w:r>
      <w:r>
        <w:rPr>
          <w:noProof/>
        </w:rPr>
        <w:tab/>
      </w:r>
      <w:r w:rsidR="004772F5" w:rsidRPr="00107CD2">
        <w:rPr>
          <w:noProof/>
        </w:rPr>
        <w:t>personas jurídicas, entidades u organismos establecidos en Rusia que estén sujetos a control público o con más de un 50 % de propiedad pública, y en las cuales una de las entidades a que se refiere el apartado 2, letras a) o b), tenga derecho a participar en los beneficios, o con las que tenga otra relación económica sustancial, enumeradas en el anexo XIII; o</w:t>
      </w:r>
    </w:p>
    <w:p w14:paraId="27D0CC9D" w14:textId="3E1E0847" w:rsidR="004772F5" w:rsidRPr="00107CD2" w:rsidRDefault="000F0D5B" w:rsidP="000F0D5B">
      <w:pPr>
        <w:pStyle w:val="Point1"/>
        <w:rPr>
          <w:noProof/>
        </w:rPr>
      </w:pPr>
      <w:r>
        <w:rPr>
          <w:noProof/>
        </w:rPr>
        <w:t>b)</w:t>
      </w:r>
      <w:r>
        <w:rPr>
          <w:noProof/>
        </w:rPr>
        <w:tab/>
      </w:r>
      <w:r w:rsidR="004772F5" w:rsidRPr="00107CD2">
        <w:rPr>
          <w:noProof/>
        </w:rPr>
        <w:t>personas jurídicas, entidades u organismos establecidos fuera de la Unión cuyos derechos de propiedad pertenezcan directa o indirectamente en más del 50 % a una entidad que figure en la lista del anexo XIII; o</w:t>
      </w:r>
    </w:p>
    <w:p w14:paraId="1046607B" w14:textId="21305C6B" w:rsidR="004772F5" w:rsidRPr="00107CD2" w:rsidRDefault="000F0D5B" w:rsidP="000F0D5B">
      <w:pPr>
        <w:pStyle w:val="Point1"/>
        <w:rPr>
          <w:noProof/>
        </w:rPr>
      </w:pPr>
      <w:r>
        <w:rPr>
          <w:noProof/>
        </w:rPr>
        <w:t>c)</w:t>
      </w:r>
      <w:r>
        <w:rPr>
          <w:noProof/>
        </w:rPr>
        <w:tab/>
      </w:r>
      <w:r w:rsidR="004772F5" w:rsidRPr="00107CD2">
        <w:rPr>
          <w:noProof/>
        </w:rPr>
        <w:t>personas jurídicas, entidades u organismos que actúen en nombre o bajo la dirección de una entidad de las mencionadas en las letras a) o b) del presente apartado.</w:t>
      </w:r>
    </w:p>
    <w:p w14:paraId="76F0000F" w14:textId="61116AD4" w:rsidR="004772F5" w:rsidRPr="00107CD2" w:rsidRDefault="004772F5" w:rsidP="002D1758">
      <w:pPr>
        <w:pStyle w:val="ManualNumPar1"/>
        <w:rPr>
          <w:noProof/>
        </w:rPr>
      </w:pPr>
      <w:r w:rsidRPr="00107CD2">
        <w:rPr>
          <w:noProof/>
        </w:rPr>
        <w:t xml:space="preserve">5. </w:t>
      </w:r>
      <w:r w:rsidRPr="00107CD2">
        <w:rPr>
          <w:noProof/>
        </w:rPr>
        <w:tab/>
        <w:t>Queda prohibido cotizar y prestar servicios a partir de [cuarenta y cinco días después de la entrada en vigor] en centros de negociación registrados o reconocidos en la Unión en relación con los valores negociables de cualquier persona jurídica, entidad u organismo establecidos en Rusia y con más del 50 % de propiedad pública.</w:t>
      </w:r>
    </w:p>
    <w:p w14:paraId="703F342F" w14:textId="77777777" w:rsidR="004772F5" w:rsidRPr="00107CD2" w:rsidRDefault="004772F5" w:rsidP="002D1758">
      <w:pPr>
        <w:pStyle w:val="ManualNumPar1"/>
        <w:rPr>
          <w:noProof/>
        </w:rPr>
      </w:pPr>
      <w:r w:rsidRPr="00107CD2">
        <w:rPr>
          <w:noProof/>
        </w:rPr>
        <w:t xml:space="preserve">6. </w:t>
      </w:r>
      <w:r w:rsidRPr="00107CD2">
        <w:rPr>
          <w:noProof/>
        </w:rPr>
        <w:tab/>
        <w:t xml:space="preserve">Queda prohibido celebrar un acuerdo, o ser parte en él, directa o indirectamente, cuyo fin sea otorgar: </w:t>
      </w:r>
    </w:p>
    <w:p w14:paraId="43C1EF47" w14:textId="33BE9CFF" w:rsidR="004772F5" w:rsidRPr="00107CD2" w:rsidRDefault="004772F5" w:rsidP="002D1758">
      <w:pPr>
        <w:pStyle w:val="Point2"/>
        <w:rPr>
          <w:noProof/>
        </w:rPr>
      </w:pPr>
      <w:r w:rsidRPr="00107CD2">
        <w:rPr>
          <w:noProof/>
        </w:rPr>
        <w:t xml:space="preserve">i) </w:t>
      </w:r>
      <w:r w:rsidRPr="00107CD2">
        <w:rPr>
          <w:noProof/>
        </w:rPr>
        <w:tab/>
        <w:t>nuevos préstamos o créditos con vencimiento a más de treinta días a cualquier persona jurídica, entidad u organismo de los mencionados en los apartados 1 o 3, después del 12 de septiembre de 2014 y hasta el [fecha de entrada en vigor]; o</w:t>
      </w:r>
    </w:p>
    <w:p w14:paraId="0205488B" w14:textId="4D95D4DD" w:rsidR="002D1758" w:rsidRPr="00107CD2" w:rsidRDefault="004772F5" w:rsidP="002D1758">
      <w:pPr>
        <w:pStyle w:val="Point2"/>
        <w:rPr>
          <w:noProof/>
        </w:rPr>
      </w:pPr>
      <w:r w:rsidRPr="00107CD2">
        <w:rPr>
          <w:noProof/>
        </w:rPr>
        <w:lastRenderedPageBreak/>
        <w:t xml:space="preserve">ii) </w:t>
      </w:r>
      <w:r w:rsidRPr="00107CD2">
        <w:rPr>
          <w:noProof/>
        </w:rPr>
        <w:tab/>
        <w:t>nuevos préstamos o créditos a cualquier persona jurídica, entidad u organismo de los mencionados en los apartados 1, 2, 3 o 4 después del [fecha de entrada en vigor].</w:t>
      </w:r>
    </w:p>
    <w:p w14:paraId="1FBCB67E" w14:textId="77777777" w:rsidR="004772F5" w:rsidRPr="00107CD2" w:rsidRDefault="002D1758" w:rsidP="002D1758">
      <w:pPr>
        <w:pStyle w:val="Point2"/>
        <w:ind w:left="0" w:firstLine="720"/>
        <w:rPr>
          <w:noProof/>
        </w:rPr>
      </w:pPr>
      <w:r w:rsidRPr="00107CD2">
        <w:rPr>
          <w:noProof/>
        </w:rPr>
        <w:t xml:space="preserve"> La prohibición no se aplicará a:</w:t>
      </w:r>
    </w:p>
    <w:p w14:paraId="25B1C9E2" w14:textId="56933057" w:rsidR="004772F5" w:rsidRPr="00107CD2" w:rsidRDefault="000F0D5B" w:rsidP="000F0D5B">
      <w:pPr>
        <w:pStyle w:val="Point1"/>
        <w:rPr>
          <w:noProof/>
        </w:rPr>
      </w:pPr>
      <w:r>
        <w:rPr>
          <w:noProof/>
        </w:rPr>
        <w:t>a)</w:t>
      </w:r>
      <w:r>
        <w:rPr>
          <w:noProof/>
        </w:rPr>
        <w:tab/>
      </w:r>
      <w:r w:rsidR="004772F5" w:rsidRPr="00107CD2">
        <w:rPr>
          <w:noProof/>
        </w:rPr>
        <w:t>los préstamos o créditos que tengan por objetivo específico y documentado facilitar financiación para la importación o exportación no prohibidas de productos y servicios no financieros entre la Unión y cualquier tercer Estado, incluido el gasto en concepto de productos y servicios procedentes de otro tercer Estado que sea necesario para ejecutar contratos de importación o exportación; o</w:t>
      </w:r>
    </w:p>
    <w:p w14:paraId="309A9FDF" w14:textId="67B24F3F" w:rsidR="004772F5" w:rsidRPr="00107CD2" w:rsidRDefault="000F0D5B" w:rsidP="000F0D5B">
      <w:pPr>
        <w:pStyle w:val="Point1"/>
        <w:rPr>
          <w:noProof/>
        </w:rPr>
      </w:pPr>
      <w:r>
        <w:rPr>
          <w:noProof/>
        </w:rPr>
        <w:t>b)</w:t>
      </w:r>
      <w:r>
        <w:rPr>
          <w:noProof/>
        </w:rPr>
        <w:tab/>
      </w:r>
      <w:r w:rsidR="004772F5" w:rsidRPr="00107CD2">
        <w:rPr>
          <w:noProof/>
        </w:rPr>
        <w:t>los préstamos que tengan por objetivo específico y documentado facilitar financiación urgente para cumplir criterios de solvencia y liquidez respecto de personas jurídicas establecidas en la Unión cuyos derechos de propiedad pertenezcan en más de un 50 % a una entidad de las mencionadas en el anexo III.</w:t>
      </w:r>
    </w:p>
    <w:p w14:paraId="36F3ED67" w14:textId="02C1A0F2" w:rsidR="004772F5" w:rsidRPr="00107CD2" w:rsidRDefault="004772F5" w:rsidP="002D1758">
      <w:pPr>
        <w:pStyle w:val="ManualNumPar1"/>
        <w:rPr>
          <w:noProof/>
        </w:rPr>
      </w:pPr>
      <w:r w:rsidRPr="00107CD2">
        <w:rPr>
          <w:noProof/>
        </w:rPr>
        <w:t xml:space="preserve">7. </w:t>
      </w:r>
      <w:r w:rsidRPr="00107CD2">
        <w:rPr>
          <w:noProof/>
        </w:rPr>
        <w:tab/>
        <w:t>La prohibición establecida en el apartado 6 no se aplicará a la utilización de fondos o los desembolsos derivados de un contrato celebrado antes del [fecha de entrada en vigor], siempre que se cumplan las siguientes condiciones:</w:t>
      </w:r>
    </w:p>
    <w:p w14:paraId="46E75585" w14:textId="6E2612B0" w:rsidR="004772F5" w:rsidRPr="00107CD2" w:rsidRDefault="000F0D5B" w:rsidP="000F0D5B">
      <w:pPr>
        <w:pStyle w:val="Point1"/>
        <w:rPr>
          <w:noProof/>
        </w:rPr>
      </w:pPr>
      <w:r>
        <w:rPr>
          <w:noProof/>
        </w:rPr>
        <w:t>a)</w:t>
      </w:r>
      <w:r>
        <w:rPr>
          <w:noProof/>
        </w:rPr>
        <w:tab/>
      </w:r>
      <w:r w:rsidR="004772F5" w:rsidRPr="00107CD2">
        <w:rPr>
          <w:noProof/>
        </w:rPr>
        <w:t>que todos los términos y condiciones aplicables a la utilización de fondos o el desembolso:</w:t>
      </w:r>
    </w:p>
    <w:p w14:paraId="459E5DC2" w14:textId="7862AFA8" w:rsidR="00324432" w:rsidRPr="00107CD2" w:rsidRDefault="00324432" w:rsidP="00324432">
      <w:pPr>
        <w:ind w:left="1428"/>
        <w:rPr>
          <w:noProof/>
        </w:rPr>
      </w:pPr>
      <w:r w:rsidRPr="00107CD2">
        <w:rPr>
          <w:noProof/>
        </w:rPr>
        <w:t>i) hayan sido acordados antes del [entrada en vigor]; y</w:t>
      </w:r>
    </w:p>
    <w:p w14:paraId="677FBF94" w14:textId="0BA865FA" w:rsidR="00324432" w:rsidRPr="00107CD2" w:rsidRDefault="00324432" w:rsidP="00324432">
      <w:pPr>
        <w:ind w:left="1428"/>
        <w:rPr>
          <w:noProof/>
        </w:rPr>
      </w:pPr>
      <w:r w:rsidRPr="00107CD2">
        <w:rPr>
          <w:noProof/>
        </w:rPr>
        <w:t>ii) no hayan sido modificados en esa fecha o posteriormente; y</w:t>
      </w:r>
    </w:p>
    <w:p w14:paraId="612E746B" w14:textId="5F8C118A" w:rsidR="004772F5" w:rsidRPr="00107CD2" w:rsidRDefault="000F0D5B" w:rsidP="000F0D5B">
      <w:pPr>
        <w:pStyle w:val="Point1"/>
        <w:rPr>
          <w:noProof/>
        </w:rPr>
      </w:pPr>
      <w:r>
        <w:rPr>
          <w:noProof/>
        </w:rPr>
        <w:t>b)</w:t>
      </w:r>
      <w:r>
        <w:rPr>
          <w:noProof/>
        </w:rPr>
        <w:tab/>
      </w:r>
      <w:r w:rsidR="004772F5" w:rsidRPr="00107CD2">
        <w:rPr>
          <w:noProof/>
        </w:rPr>
        <w:t>que se hubiera fijado antes del [entrada en vigor] una fecha de vencimiento contractual para el reembolso íntegro de todos los fondos puestos a disposición y para la cancelación de todos los compromisos, derechos y obligaciones contractuales; y</w:t>
      </w:r>
    </w:p>
    <w:p w14:paraId="4E350FDA" w14:textId="1B89B56D" w:rsidR="002D1758" w:rsidRPr="00107CD2" w:rsidRDefault="000F0D5B" w:rsidP="000F0D5B">
      <w:pPr>
        <w:pStyle w:val="Point1"/>
        <w:rPr>
          <w:noProof/>
        </w:rPr>
      </w:pPr>
      <w:r>
        <w:rPr>
          <w:noProof/>
        </w:rPr>
        <w:t>c)</w:t>
      </w:r>
      <w:r>
        <w:rPr>
          <w:noProof/>
        </w:rPr>
        <w:tab/>
      </w:r>
      <w:r w:rsidR="004772F5" w:rsidRPr="00107CD2">
        <w:rPr>
          <w:noProof/>
        </w:rPr>
        <w:t>que en el momento de su celebración, el contrato no infringiese las prohibiciones del presente Reglamento en vigor en aquel momento.</w:t>
      </w:r>
    </w:p>
    <w:p w14:paraId="64ADF602" w14:textId="6B5DD5CD" w:rsidR="004772F5" w:rsidRPr="00107CD2" w:rsidRDefault="004772F5" w:rsidP="00E95409">
      <w:pPr>
        <w:rPr>
          <w:noProof/>
        </w:rPr>
      </w:pPr>
      <w:r w:rsidRPr="00107CD2">
        <w:rPr>
          <w:noProof/>
        </w:rPr>
        <w:t>Los términos y condiciones aplicables a las utilizaciones de fondos y desembolsos a que se refiere la letra a) incluyen las disposiciones relativas a la duración del período de reembolso de cada utilización de fondos o desembolso, el tipo de interés aplicado o el método de cálculo del tipo de interés, así como el importe máximo.».</w:t>
      </w:r>
    </w:p>
    <w:p w14:paraId="09E01063" w14:textId="1DDCF596" w:rsidR="00441E40" w:rsidRPr="00107CD2" w:rsidRDefault="000F0D5B" w:rsidP="000F0D5B">
      <w:pPr>
        <w:pStyle w:val="Point0"/>
        <w:rPr>
          <w:noProof/>
        </w:rPr>
      </w:pPr>
      <w:r>
        <w:rPr>
          <w:noProof/>
        </w:rPr>
        <w:t>8)</w:t>
      </w:r>
      <w:r>
        <w:rPr>
          <w:noProof/>
        </w:rPr>
        <w:tab/>
      </w:r>
      <w:r w:rsidR="00300930" w:rsidRPr="00107CD2">
        <w:rPr>
          <w:noProof/>
        </w:rPr>
        <w:t xml:space="preserve">Se insertan los artículos siguientes: </w:t>
      </w:r>
    </w:p>
    <w:p w14:paraId="00C3A670" w14:textId="0814093E" w:rsidR="002D1758" w:rsidRPr="00107CD2" w:rsidRDefault="00441E40" w:rsidP="002D1758">
      <w:pPr>
        <w:pStyle w:val="Titrearticle"/>
        <w:rPr>
          <w:noProof/>
        </w:rPr>
      </w:pPr>
      <w:r w:rsidRPr="00107CD2">
        <w:rPr>
          <w:noProof/>
        </w:rPr>
        <w:t xml:space="preserve">«Artículo 5 </w:t>
      </w:r>
      <w:r w:rsidRPr="00107CD2">
        <w:rPr>
          <w:i w:val="0"/>
          <w:noProof/>
        </w:rPr>
        <w:t>ter</w:t>
      </w:r>
    </w:p>
    <w:p w14:paraId="053BBAAD" w14:textId="42D4B3AD" w:rsidR="008429A8" w:rsidRPr="00107CD2" w:rsidRDefault="002D1758" w:rsidP="002207C9">
      <w:pPr>
        <w:pStyle w:val="ManualNumPar1"/>
        <w:rPr>
          <w:noProof/>
        </w:rPr>
      </w:pPr>
      <w:r w:rsidRPr="00107CD2">
        <w:rPr>
          <w:noProof/>
        </w:rPr>
        <w:t xml:space="preserve">1. </w:t>
      </w:r>
      <w:r w:rsidRPr="00107CD2">
        <w:rPr>
          <w:noProof/>
        </w:rPr>
        <w:tab/>
        <w:t xml:space="preserve">Queda prohibido aceptar depósitos de nacionales rusos o de personas físicas que residan en Rusia, o de personas jurídicas, entidades u organismos establecidos en ese país, si el valor total de los depósitos de la persona física o jurídica, entidad u organismo por entidad de crédito es superior a 100 000 EUR. </w:t>
      </w:r>
    </w:p>
    <w:p w14:paraId="6CD4C5E4" w14:textId="1FA723B9" w:rsidR="002D1758" w:rsidRPr="00107CD2" w:rsidRDefault="002D1758" w:rsidP="002D1758">
      <w:pPr>
        <w:pStyle w:val="ManualNumPar1"/>
        <w:rPr>
          <w:noProof/>
        </w:rPr>
      </w:pPr>
    </w:p>
    <w:p w14:paraId="12A3AED2" w14:textId="6A1240E7" w:rsidR="002D1758" w:rsidRPr="00107CD2" w:rsidRDefault="002D1758" w:rsidP="002D1758">
      <w:pPr>
        <w:pStyle w:val="ManualNumPar1"/>
        <w:rPr>
          <w:noProof/>
        </w:rPr>
      </w:pPr>
      <w:r w:rsidRPr="00107CD2">
        <w:rPr>
          <w:noProof/>
        </w:rPr>
        <w:t xml:space="preserve">2. </w:t>
      </w:r>
      <w:r w:rsidRPr="00107CD2">
        <w:rPr>
          <w:noProof/>
        </w:rPr>
        <w:tab/>
        <w:t xml:space="preserve">El apartado 1 no se aplicará a los nacionales de un Estado miembro ni a las personas físicas que dispongan de un permiso de residencia temporal o permanente en un Estado miembro. </w:t>
      </w:r>
    </w:p>
    <w:p w14:paraId="2C766A29" w14:textId="56728E7D" w:rsidR="002D1758" w:rsidRPr="00107CD2" w:rsidRDefault="002D1758" w:rsidP="002D1758">
      <w:pPr>
        <w:pStyle w:val="ManualNumPar1"/>
        <w:rPr>
          <w:noProof/>
        </w:rPr>
      </w:pPr>
      <w:r w:rsidRPr="00107CD2">
        <w:rPr>
          <w:noProof/>
        </w:rPr>
        <w:lastRenderedPageBreak/>
        <w:t xml:space="preserve">3. </w:t>
      </w:r>
      <w:r w:rsidRPr="00107CD2">
        <w:rPr>
          <w:noProof/>
        </w:rPr>
        <w:tab/>
        <w:t xml:space="preserve">El apartado 1 no se aplicará a los depósitos que sean necesarios para el comercio transfronterizo no prohibido de productos y servicios entre la Unión y Rusia. </w:t>
      </w:r>
    </w:p>
    <w:p w14:paraId="55D35F64" w14:textId="03D13059" w:rsidR="002D1758" w:rsidRPr="00107CD2" w:rsidRDefault="002D1758" w:rsidP="002D1758">
      <w:pPr>
        <w:pStyle w:val="Titrearticle"/>
        <w:rPr>
          <w:noProof/>
        </w:rPr>
      </w:pPr>
      <w:r w:rsidRPr="00107CD2">
        <w:rPr>
          <w:noProof/>
        </w:rPr>
        <w:t xml:space="preserve">Artículo 5 </w:t>
      </w:r>
      <w:r w:rsidRPr="00107CD2">
        <w:rPr>
          <w:i w:val="0"/>
          <w:noProof/>
        </w:rPr>
        <w:t>quater</w:t>
      </w:r>
    </w:p>
    <w:p w14:paraId="28FF5785" w14:textId="0B387F22" w:rsidR="002D1758" w:rsidRPr="00107CD2" w:rsidRDefault="002D1758" w:rsidP="002D1758">
      <w:pPr>
        <w:pStyle w:val="ManualNumPar1"/>
        <w:rPr>
          <w:noProof/>
        </w:rPr>
      </w:pPr>
      <w:r w:rsidRPr="00107CD2">
        <w:rPr>
          <w:noProof/>
        </w:rPr>
        <w:t xml:space="preserve">1. </w:t>
      </w:r>
      <w:r w:rsidRPr="00107CD2">
        <w:rPr>
          <w:noProof/>
        </w:rPr>
        <w:tab/>
        <w:t>No obstante lo dispuesto en el artículo 5 </w:t>
      </w:r>
      <w:r w:rsidRPr="00107CD2">
        <w:rPr>
          <w:i/>
          <w:noProof/>
        </w:rPr>
        <w:t>ter</w:t>
      </w:r>
      <w:r w:rsidRPr="00107CD2">
        <w:rPr>
          <w:noProof/>
        </w:rPr>
        <w:t>, apartado 1, las autoridades competentes podrán autorizar la aceptación de tales depósitos, en las condiciones que consideren oportunas, tras haber determinado que estos:</w:t>
      </w:r>
    </w:p>
    <w:p w14:paraId="66CD5B23" w14:textId="0BE4AC3E" w:rsidR="002D1758" w:rsidRPr="00107CD2" w:rsidRDefault="000F0D5B" w:rsidP="000F0D5B">
      <w:pPr>
        <w:pStyle w:val="Point1"/>
        <w:rPr>
          <w:noProof/>
        </w:rPr>
      </w:pPr>
      <w:r>
        <w:rPr>
          <w:noProof/>
        </w:rPr>
        <w:t>a)</w:t>
      </w:r>
      <w:r>
        <w:rPr>
          <w:noProof/>
        </w:rPr>
        <w:tab/>
      </w:r>
      <w:r w:rsidR="002D1758" w:rsidRPr="00107CD2">
        <w:rPr>
          <w:noProof/>
        </w:rPr>
        <w:t xml:space="preserve">son necesarios para satisfacer las necesidades básicas de las personas físicas o jurídicas, entidades u organismos contemplados en el artículo 5 </w:t>
      </w:r>
      <w:r w:rsidR="002D1758" w:rsidRPr="00107CD2">
        <w:rPr>
          <w:i/>
          <w:noProof/>
        </w:rPr>
        <w:t>ter</w:t>
      </w:r>
      <w:r w:rsidR="002D1758" w:rsidRPr="00107CD2">
        <w:rPr>
          <w:noProof/>
        </w:rPr>
        <w:t>, apartado 1, y de los familiares a su cargo, como el pago de alimentos, alquileres o hipotecas, medicamentos y tratamientos médicos, impuestos, primas de seguros y tasas de servicios públicos;</w:t>
      </w:r>
    </w:p>
    <w:p w14:paraId="6F2E350A" w14:textId="5EB07521" w:rsidR="002D1758" w:rsidRPr="00107CD2" w:rsidRDefault="000F0D5B" w:rsidP="000F0D5B">
      <w:pPr>
        <w:pStyle w:val="Point1"/>
        <w:rPr>
          <w:noProof/>
        </w:rPr>
      </w:pPr>
      <w:r>
        <w:rPr>
          <w:noProof/>
        </w:rPr>
        <w:t>b)</w:t>
      </w:r>
      <w:r>
        <w:rPr>
          <w:noProof/>
        </w:rPr>
        <w:tab/>
      </w:r>
      <w:r w:rsidR="002D1758" w:rsidRPr="00107CD2">
        <w:rPr>
          <w:noProof/>
        </w:rPr>
        <w:t>se destinan exclusivamente al pago de honorarios profesionales razonables o al reembolso de gastos correspondientes a la prestación de servicios jurídicos;</w:t>
      </w:r>
    </w:p>
    <w:p w14:paraId="5AB5ACFA" w14:textId="328A4C14" w:rsidR="002D1758" w:rsidRPr="00107CD2" w:rsidRDefault="000F0D5B" w:rsidP="000F0D5B">
      <w:pPr>
        <w:pStyle w:val="Point1"/>
        <w:rPr>
          <w:noProof/>
        </w:rPr>
      </w:pPr>
      <w:r>
        <w:rPr>
          <w:noProof/>
        </w:rPr>
        <w:t>c)</w:t>
      </w:r>
      <w:r>
        <w:rPr>
          <w:noProof/>
        </w:rPr>
        <w:tab/>
      </w:r>
      <w:r w:rsidR="002D1758" w:rsidRPr="00107CD2">
        <w:rPr>
          <w:noProof/>
        </w:rPr>
        <w:t>son necesarios para sufragar gastos extraordinarios, siempre y cuando que la autoridad competente que corresponda haya notificado a las autoridades competentes de los demás Estados miembros y a la Comisión, al menos dos semanas antes de la autorización, los motivos por los cuales considera que debe concederse una autorización específica; o</w:t>
      </w:r>
    </w:p>
    <w:p w14:paraId="06B9E5D7" w14:textId="7E9573FA" w:rsidR="002D1758" w:rsidRPr="00107CD2" w:rsidRDefault="000F0D5B" w:rsidP="000F0D5B">
      <w:pPr>
        <w:pStyle w:val="Point1"/>
        <w:rPr>
          <w:noProof/>
        </w:rPr>
      </w:pPr>
      <w:r>
        <w:rPr>
          <w:noProof/>
        </w:rPr>
        <w:t>d)</w:t>
      </w:r>
      <w:r>
        <w:rPr>
          <w:noProof/>
        </w:rPr>
        <w:tab/>
      </w:r>
      <w:r w:rsidR="002D1758" w:rsidRPr="00107CD2">
        <w:rPr>
          <w:noProof/>
        </w:rPr>
        <w:t>son necesarios para fines oficiales de una misión diplomática, oficina consular u organización internacional.</w:t>
      </w:r>
    </w:p>
    <w:p w14:paraId="24B3159D" w14:textId="11272DBB" w:rsidR="002D1758" w:rsidRPr="00107CD2" w:rsidRDefault="002D1758" w:rsidP="002D1758">
      <w:pPr>
        <w:pStyle w:val="ManualNumPar1"/>
        <w:rPr>
          <w:noProof/>
        </w:rPr>
      </w:pPr>
      <w:r w:rsidRPr="00107CD2">
        <w:rPr>
          <w:noProof/>
        </w:rPr>
        <w:t xml:space="preserve">2. </w:t>
      </w:r>
      <w:r w:rsidRPr="00107CD2">
        <w:rPr>
          <w:noProof/>
        </w:rPr>
        <w:tab/>
        <w:t>El Estado miembro de que se trate informará a los demás Estados miembros y a la Comisión de cualquier autorización concedida en virtud del apartado 1, letras a), b) y d), en el plazo de dos semanas a partir de la autorización.</w:t>
      </w:r>
    </w:p>
    <w:p w14:paraId="0550FDD5" w14:textId="591261A3" w:rsidR="00A24153" w:rsidRPr="00107CD2" w:rsidRDefault="00A24153" w:rsidP="00A24153">
      <w:pPr>
        <w:pStyle w:val="Titrearticle"/>
        <w:rPr>
          <w:noProof/>
        </w:rPr>
      </w:pPr>
      <w:r w:rsidRPr="00107CD2">
        <w:rPr>
          <w:noProof/>
        </w:rPr>
        <w:t xml:space="preserve">Artículo 5 </w:t>
      </w:r>
      <w:r w:rsidRPr="00107CD2">
        <w:rPr>
          <w:i w:val="0"/>
          <w:noProof/>
        </w:rPr>
        <w:t>quinquies</w:t>
      </w:r>
    </w:p>
    <w:p w14:paraId="0F268709" w14:textId="3138930A" w:rsidR="00A24153" w:rsidRPr="00107CD2" w:rsidRDefault="00A24153" w:rsidP="00A24153">
      <w:pPr>
        <w:pStyle w:val="ManualNumPar1"/>
        <w:rPr>
          <w:noProof/>
        </w:rPr>
      </w:pPr>
      <w:r w:rsidRPr="00107CD2">
        <w:rPr>
          <w:noProof/>
        </w:rPr>
        <w:t xml:space="preserve">1. </w:t>
      </w:r>
      <w:r w:rsidRPr="00107CD2">
        <w:rPr>
          <w:noProof/>
        </w:rPr>
        <w:tab/>
        <w:t>No obstante lo dispuesto en el artículo 5 </w:t>
      </w:r>
      <w:r w:rsidRPr="00107CD2">
        <w:rPr>
          <w:i/>
          <w:noProof/>
        </w:rPr>
        <w:t>ter</w:t>
      </w:r>
      <w:r w:rsidRPr="00107CD2">
        <w:rPr>
          <w:noProof/>
        </w:rPr>
        <w:t>, apartado 1, las autoridades competentes podrán autorizar la aceptación de tales depósitos, en las condiciones que consideren oportunas, tras haber determinado que estos:</w:t>
      </w:r>
    </w:p>
    <w:p w14:paraId="54170FA7" w14:textId="2A3B25F1" w:rsidR="00A24153" w:rsidRPr="00107CD2" w:rsidRDefault="000F0D5B" w:rsidP="000F0D5B">
      <w:pPr>
        <w:pStyle w:val="Point1"/>
        <w:rPr>
          <w:noProof/>
        </w:rPr>
      </w:pPr>
      <w:r>
        <w:rPr>
          <w:noProof/>
        </w:rPr>
        <w:t>a)</w:t>
      </w:r>
      <w:r>
        <w:rPr>
          <w:noProof/>
        </w:rPr>
        <w:tab/>
      </w:r>
      <w:r w:rsidR="00A24153" w:rsidRPr="00107CD2">
        <w:rPr>
          <w:noProof/>
        </w:rPr>
        <w:t xml:space="preserve">son necesarios para fines humanitarios, tales como prestar o facilitar asistencia, incluidos los productos médicos y los alimentos, o el traslado de trabajadores humanitarios y la asistencia correspondiente, o para evacuaciones; o </w:t>
      </w:r>
    </w:p>
    <w:p w14:paraId="13C05A07" w14:textId="3A2B4D6B" w:rsidR="00A24153" w:rsidRPr="00107CD2" w:rsidRDefault="000F0D5B" w:rsidP="000F0D5B">
      <w:pPr>
        <w:pStyle w:val="Point1"/>
        <w:rPr>
          <w:noProof/>
        </w:rPr>
      </w:pPr>
      <w:r>
        <w:rPr>
          <w:noProof/>
        </w:rPr>
        <w:t>b)</w:t>
      </w:r>
      <w:r>
        <w:rPr>
          <w:noProof/>
        </w:rPr>
        <w:tab/>
      </w:r>
      <w:r w:rsidR="00A24153" w:rsidRPr="00107CD2">
        <w:rPr>
          <w:noProof/>
        </w:rPr>
        <w:t>son necesarios para las actividades de la sociedad civil que promuevan directamente la democracia, los derechos humanos o el Estado de Derecho en Rusia.</w:t>
      </w:r>
    </w:p>
    <w:p w14:paraId="554A88A5" w14:textId="77777777" w:rsidR="00A24153" w:rsidRPr="00107CD2" w:rsidRDefault="00A24153" w:rsidP="00A24153">
      <w:pPr>
        <w:pStyle w:val="ManualNumPar1"/>
        <w:rPr>
          <w:noProof/>
        </w:rPr>
      </w:pPr>
      <w:r w:rsidRPr="00107CD2">
        <w:rPr>
          <w:noProof/>
        </w:rPr>
        <w:t xml:space="preserve">2. </w:t>
      </w:r>
      <w:r w:rsidRPr="00107CD2">
        <w:rPr>
          <w:noProof/>
        </w:rPr>
        <w:tab/>
        <w:t>El Estado miembro de que se trate informará a los demás Estados miembros y a la Comisión de cualquier autorización concedida en virtud del apartado 1 en el plazo de dos semanas a partir de la autorización.</w:t>
      </w:r>
    </w:p>
    <w:p w14:paraId="2769146F" w14:textId="626DC4E4" w:rsidR="00A24153" w:rsidRPr="00107CD2" w:rsidRDefault="00A24153" w:rsidP="00A24153">
      <w:pPr>
        <w:pStyle w:val="Titrearticle"/>
        <w:rPr>
          <w:noProof/>
        </w:rPr>
      </w:pPr>
      <w:r w:rsidRPr="00107CD2">
        <w:rPr>
          <w:noProof/>
        </w:rPr>
        <w:t xml:space="preserve">Artículo 5 </w:t>
      </w:r>
      <w:r w:rsidRPr="00107CD2">
        <w:rPr>
          <w:i w:val="0"/>
          <w:noProof/>
        </w:rPr>
        <w:t>sexies</w:t>
      </w:r>
    </w:p>
    <w:p w14:paraId="0541AEC9" w14:textId="5ED18BC5" w:rsidR="00A24153" w:rsidRPr="00107CD2" w:rsidRDefault="00A24153" w:rsidP="00A24153">
      <w:pPr>
        <w:pStyle w:val="ManualNumPar1"/>
        <w:rPr>
          <w:noProof/>
        </w:rPr>
      </w:pPr>
      <w:r w:rsidRPr="00107CD2">
        <w:rPr>
          <w:noProof/>
        </w:rPr>
        <w:t xml:space="preserve">1. </w:t>
      </w:r>
      <w:r w:rsidRPr="00107CD2">
        <w:rPr>
          <w:noProof/>
        </w:rPr>
        <w:tab/>
        <w:t>Queda prohibido que los depositarios centrales de valores de la UE presten cualquier servicio, tal como se define en el anexo del Reglamento (UE) n.º 909/2014, para los valores negociables emitidos después del [cuarenta y cinco días después de la entrada en vigor] a cualquier nacional ruso o persona física que resida en Rusia, o a cualquier persona jurídica, entidad u organismo establecido en ese país.</w:t>
      </w:r>
    </w:p>
    <w:p w14:paraId="43DAFAEF" w14:textId="27EBF2A3" w:rsidR="00A24153" w:rsidRPr="00107CD2" w:rsidRDefault="00A24153" w:rsidP="00A24153">
      <w:pPr>
        <w:pStyle w:val="ManualNumPar1"/>
        <w:rPr>
          <w:noProof/>
        </w:rPr>
      </w:pPr>
      <w:r w:rsidRPr="00107CD2">
        <w:rPr>
          <w:noProof/>
        </w:rPr>
        <w:lastRenderedPageBreak/>
        <w:t xml:space="preserve">2. </w:t>
      </w:r>
      <w:r w:rsidRPr="00107CD2">
        <w:rPr>
          <w:noProof/>
        </w:rPr>
        <w:tab/>
        <w:t xml:space="preserve">El apartado 1 no se aplicará a los nacionales de un Estado miembro ni a las personas físicas que dispongan de un permiso de residencia temporal o permanente en un Estado miembro. </w:t>
      </w:r>
    </w:p>
    <w:p w14:paraId="42D97937" w14:textId="28274C00" w:rsidR="00A24153" w:rsidRPr="00107CD2" w:rsidRDefault="00A24153" w:rsidP="00A24153">
      <w:pPr>
        <w:pStyle w:val="Titrearticle"/>
        <w:rPr>
          <w:noProof/>
        </w:rPr>
      </w:pPr>
      <w:r w:rsidRPr="00107CD2">
        <w:rPr>
          <w:noProof/>
        </w:rPr>
        <w:t xml:space="preserve">Artículo 5 </w:t>
      </w:r>
      <w:r w:rsidRPr="00107CD2">
        <w:rPr>
          <w:i w:val="0"/>
          <w:noProof/>
        </w:rPr>
        <w:t>septies</w:t>
      </w:r>
    </w:p>
    <w:p w14:paraId="17A6687F" w14:textId="62D37454" w:rsidR="00511137" w:rsidRPr="00107CD2" w:rsidRDefault="00A24153" w:rsidP="00A24153">
      <w:pPr>
        <w:pStyle w:val="ManualNumPar1"/>
        <w:rPr>
          <w:noProof/>
        </w:rPr>
      </w:pPr>
      <w:r w:rsidRPr="00107CD2">
        <w:rPr>
          <w:noProof/>
        </w:rPr>
        <w:t xml:space="preserve">1.  </w:t>
      </w:r>
      <w:r w:rsidRPr="00107CD2">
        <w:rPr>
          <w:noProof/>
        </w:rPr>
        <w:tab/>
        <w:t>Queda prohibido vender valores negociables denominados en euros emitidos después del [cuarenta y cinco días tras la entrada en vigor] o participaciones en organismos de inversión colectiva que ofrezcan exposición a dichos valores, a cualquier nacional ruso o persona física que resida en Rusia o a cualquier persona jurídica, entidad u organismo establecido en ese país.</w:t>
      </w:r>
    </w:p>
    <w:p w14:paraId="2C0C1D61" w14:textId="5D03DF3B" w:rsidR="00A24153" w:rsidRPr="00107CD2" w:rsidRDefault="00A24153" w:rsidP="00A24153">
      <w:pPr>
        <w:pStyle w:val="ManualNumPar1"/>
        <w:rPr>
          <w:noProof/>
        </w:rPr>
      </w:pPr>
      <w:r w:rsidRPr="00107CD2">
        <w:rPr>
          <w:noProof/>
        </w:rPr>
        <w:t xml:space="preserve">2. </w:t>
      </w:r>
      <w:r w:rsidRPr="00107CD2">
        <w:rPr>
          <w:noProof/>
        </w:rPr>
        <w:tab/>
        <w:t xml:space="preserve">El apartado 1 no se aplicará a los nacionales de un Estado miembro ni a las personas físicas que dispongan de un permiso de residencia temporal o permanente en un Estado miembro. </w:t>
      </w:r>
    </w:p>
    <w:p w14:paraId="67CFE961" w14:textId="069B686E" w:rsidR="00A24153" w:rsidRPr="00107CD2" w:rsidRDefault="00A24153" w:rsidP="00A24153">
      <w:pPr>
        <w:pStyle w:val="Titrearticle"/>
        <w:rPr>
          <w:noProof/>
        </w:rPr>
      </w:pPr>
      <w:r w:rsidRPr="00107CD2">
        <w:rPr>
          <w:noProof/>
        </w:rPr>
        <w:t>Artículo 5 </w:t>
      </w:r>
      <w:r w:rsidRPr="00107CD2">
        <w:rPr>
          <w:i w:val="0"/>
          <w:noProof/>
        </w:rPr>
        <w:t>octies</w:t>
      </w:r>
    </w:p>
    <w:p w14:paraId="2E391198" w14:textId="77777777" w:rsidR="00A24153" w:rsidRPr="00107CD2" w:rsidRDefault="00A24153" w:rsidP="00A24153">
      <w:pPr>
        <w:pStyle w:val="ManualNumPar1"/>
        <w:rPr>
          <w:noProof/>
        </w:rPr>
      </w:pPr>
      <w:r w:rsidRPr="00107CD2">
        <w:rPr>
          <w:noProof/>
        </w:rPr>
        <w:t>1.   </w:t>
      </w:r>
      <w:r w:rsidRPr="00107CD2">
        <w:rPr>
          <w:noProof/>
        </w:rPr>
        <w:tab/>
        <w:t>Sin perjuicio de las normas aplicables en materia de comunicación de información, confidencialidad y secreto profesional, las entidades de crédito:</w:t>
      </w:r>
    </w:p>
    <w:p w14:paraId="5E64C883" w14:textId="1B25B597" w:rsidR="00A24153" w:rsidRPr="00107CD2" w:rsidRDefault="000F0D5B" w:rsidP="000F0D5B">
      <w:pPr>
        <w:pStyle w:val="Point1"/>
        <w:rPr>
          <w:noProof/>
        </w:rPr>
      </w:pPr>
      <w:r>
        <w:rPr>
          <w:noProof/>
        </w:rPr>
        <w:t>a)</w:t>
      </w:r>
      <w:r>
        <w:rPr>
          <w:noProof/>
        </w:rPr>
        <w:tab/>
      </w:r>
      <w:r w:rsidR="00A24153" w:rsidRPr="00107CD2">
        <w:rPr>
          <w:noProof/>
        </w:rPr>
        <w:t xml:space="preserve">facilitarán a la autoridad nacional competente del Estado miembro en el que estén situados o a la Comisión, a más tardar el [tres meses tras la entrada en vigor], una lista de los depósitos superiores a 100 000 EUR en poder de nacionales rusos o personas físicas que residan en Rusia, o de personas jurídicas, entidades u organismos establecidos en ese país. Facilitarán información actualizada con respecto a los importes de dichos depósitos cada doce meses; </w:t>
      </w:r>
    </w:p>
    <w:p w14:paraId="5B6D30B1" w14:textId="10B420E0" w:rsidR="00A24153" w:rsidRPr="00107CD2" w:rsidRDefault="000F0D5B" w:rsidP="000F0D5B">
      <w:pPr>
        <w:pStyle w:val="Point1"/>
        <w:rPr>
          <w:noProof/>
        </w:rPr>
      </w:pPr>
      <w:r>
        <w:rPr>
          <w:noProof/>
        </w:rPr>
        <w:t>b)</w:t>
      </w:r>
      <w:r>
        <w:rPr>
          <w:noProof/>
        </w:rPr>
        <w:tab/>
      </w:r>
      <w:r w:rsidR="00A24153" w:rsidRPr="00107CD2">
        <w:rPr>
          <w:noProof/>
        </w:rPr>
        <w:t>facilitarán a la autoridad nacional competente del Estado miembro en el que estén situados información sobre depósitos superiores a 100 000 EUR en poder de nacionales rusos o personas físicas que residan en Rusia que hayan adquirido la ciudadanía de un Estado miembro o derechos de residencia en un Estado miembro a través de un régimen de ciudadanía para inversores o de un programa de residencia para inversores, respectivamente.».</w:t>
      </w:r>
    </w:p>
    <w:p w14:paraId="5AFC26F3" w14:textId="5790E1A2" w:rsidR="00300930" w:rsidRPr="00107CD2" w:rsidRDefault="000F0D5B" w:rsidP="000F0D5B">
      <w:pPr>
        <w:pStyle w:val="Point0"/>
        <w:rPr>
          <w:noProof/>
        </w:rPr>
      </w:pPr>
      <w:r>
        <w:rPr>
          <w:noProof/>
        </w:rPr>
        <w:t>9)</w:t>
      </w:r>
      <w:r>
        <w:rPr>
          <w:noProof/>
        </w:rPr>
        <w:tab/>
      </w:r>
      <w:r w:rsidR="00441E40" w:rsidRPr="00107CD2">
        <w:rPr>
          <w:noProof/>
        </w:rPr>
        <w:t xml:space="preserve">Los artículos 6 y 7 se sustituyen por el texto siguiente: </w:t>
      </w:r>
    </w:p>
    <w:p w14:paraId="06F1CDBF" w14:textId="439F8D4A" w:rsidR="00A24153" w:rsidRPr="00107CD2" w:rsidRDefault="00441E40" w:rsidP="00A24153">
      <w:pPr>
        <w:pStyle w:val="Titrearticle"/>
        <w:rPr>
          <w:noProof/>
        </w:rPr>
      </w:pPr>
      <w:r w:rsidRPr="00107CD2">
        <w:rPr>
          <w:noProof/>
        </w:rPr>
        <w:t>«Artículo 6</w:t>
      </w:r>
    </w:p>
    <w:p w14:paraId="056ECAE4" w14:textId="77777777" w:rsidR="00A24153" w:rsidRPr="00107CD2" w:rsidRDefault="00A24153" w:rsidP="00A24153">
      <w:pPr>
        <w:pStyle w:val="ManualNumPar1"/>
        <w:rPr>
          <w:noProof/>
        </w:rPr>
      </w:pPr>
      <w:r w:rsidRPr="00107CD2">
        <w:rPr>
          <w:noProof/>
        </w:rPr>
        <w:t xml:space="preserve">1. </w:t>
      </w:r>
      <w:r w:rsidRPr="00107CD2">
        <w:rPr>
          <w:noProof/>
        </w:rPr>
        <w:tab/>
        <w:t>Los Estados miembros y la Comisión se comunicarán mutuamente las medidas adoptadas en aplicación del presente Reglamento y compartirán toda la información pertinente de que dispongan relacionada con el presente Reglamento, y en particular la referente a:</w:t>
      </w:r>
    </w:p>
    <w:p w14:paraId="066A50A4" w14:textId="20357B48" w:rsidR="00A24153" w:rsidRPr="00107CD2" w:rsidRDefault="000F0D5B" w:rsidP="000F0D5B">
      <w:pPr>
        <w:pStyle w:val="Point1"/>
        <w:rPr>
          <w:noProof/>
        </w:rPr>
      </w:pPr>
      <w:r>
        <w:rPr>
          <w:noProof/>
        </w:rPr>
        <w:t>a)</w:t>
      </w:r>
      <w:r>
        <w:rPr>
          <w:noProof/>
        </w:rPr>
        <w:tab/>
      </w:r>
      <w:r w:rsidR="00A24153" w:rsidRPr="00107CD2">
        <w:rPr>
          <w:noProof/>
        </w:rPr>
        <w:t>las autorizaciones concedidas en virtud del presente Reglamento;</w:t>
      </w:r>
    </w:p>
    <w:p w14:paraId="37A465D1" w14:textId="3EC7371F" w:rsidR="00A24153" w:rsidRPr="00107CD2" w:rsidRDefault="000F0D5B" w:rsidP="000F0D5B">
      <w:pPr>
        <w:pStyle w:val="Point1"/>
        <w:rPr>
          <w:noProof/>
        </w:rPr>
      </w:pPr>
      <w:r>
        <w:rPr>
          <w:noProof/>
        </w:rPr>
        <w:t>b)</w:t>
      </w:r>
      <w:r>
        <w:rPr>
          <w:noProof/>
        </w:rPr>
        <w:tab/>
      </w:r>
      <w:r w:rsidR="00A24153" w:rsidRPr="00107CD2">
        <w:rPr>
          <w:noProof/>
        </w:rPr>
        <w:t xml:space="preserve">la información recibida con arreglo al artículo 5 </w:t>
      </w:r>
      <w:r w:rsidR="00A24153" w:rsidRPr="00107CD2">
        <w:rPr>
          <w:i/>
          <w:noProof/>
        </w:rPr>
        <w:t>octies</w:t>
      </w:r>
      <w:r w:rsidR="00A24153" w:rsidRPr="00107CD2">
        <w:rPr>
          <w:noProof/>
        </w:rPr>
        <w:t>;</w:t>
      </w:r>
    </w:p>
    <w:p w14:paraId="38E2CC48" w14:textId="7B9A826A" w:rsidR="00A24153" w:rsidRPr="00107CD2" w:rsidRDefault="000F0D5B" w:rsidP="000F0D5B">
      <w:pPr>
        <w:pStyle w:val="Point1"/>
        <w:rPr>
          <w:noProof/>
        </w:rPr>
      </w:pPr>
      <w:r>
        <w:rPr>
          <w:noProof/>
        </w:rPr>
        <w:t>c)</w:t>
      </w:r>
      <w:r>
        <w:rPr>
          <w:noProof/>
        </w:rPr>
        <w:tab/>
      </w:r>
      <w:r w:rsidR="00A24153" w:rsidRPr="00107CD2">
        <w:rPr>
          <w:noProof/>
        </w:rPr>
        <w:t>los problemas de infracción y ejecución y las sentencias dictadas por los órganos jurisdiccionales nacionales.</w:t>
      </w:r>
    </w:p>
    <w:p w14:paraId="6FC3B953" w14:textId="77777777" w:rsidR="00A24153" w:rsidRPr="00107CD2" w:rsidRDefault="00A24153" w:rsidP="00A24153">
      <w:pPr>
        <w:pStyle w:val="ManualNumPar1"/>
        <w:rPr>
          <w:noProof/>
        </w:rPr>
      </w:pPr>
      <w:r w:rsidRPr="00107CD2">
        <w:rPr>
          <w:noProof/>
        </w:rPr>
        <w:t>2.</w:t>
      </w:r>
      <w:r w:rsidRPr="00107CD2">
        <w:rPr>
          <w:noProof/>
        </w:rPr>
        <w:tab/>
        <w:t>Los Estados miembros se comunicarán inmediatamente y comunicarán inmediatamente a la Comisión cualquier otra información pertinente de que tengan conocimiento y que pueda afectar a la aplicación efectiva del presente Reglamento.</w:t>
      </w:r>
    </w:p>
    <w:p w14:paraId="42A996D2" w14:textId="77777777" w:rsidR="00A24153" w:rsidRPr="00107CD2" w:rsidRDefault="00A24153" w:rsidP="00A24153">
      <w:pPr>
        <w:pStyle w:val="ManualNumPar1"/>
        <w:rPr>
          <w:noProof/>
        </w:rPr>
      </w:pPr>
      <w:r w:rsidRPr="00107CD2">
        <w:rPr>
          <w:noProof/>
        </w:rPr>
        <w:lastRenderedPageBreak/>
        <w:t xml:space="preserve">3. </w:t>
      </w:r>
      <w:r w:rsidRPr="00107CD2">
        <w:rPr>
          <w:noProof/>
        </w:rPr>
        <w:tab/>
        <w:t>Toda información proporcionada o recibida de conformidad con el presente artículo se utilizará solamente a los efectos para los que se haya proporcionado o recibido, así como para garantizar la eficacia de las medidas del presente Reglamento.</w:t>
      </w:r>
    </w:p>
    <w:p w14:paraId="7F0BBEE4" w14:textId="77777777" w:rsidR="00A24153" w:rsidRPr="00107CD2" w:rsidRDefault="00A24153" w:rsidP="00A24153">
      <w:pPr>
        <w:pStyle w:val="Titrearticle"/>
        <w:rPr>
          <w:noProof/>
        </w:rPr>
      </w:pPr>
      <w:r w:rsidRPr="00107CD2">
        <w:rPr>
          <w:noProof/>
        </w:rPr>
        <w:t>Artículo 7</w:t>
      </w:r>
    </w:p>
    <w:p w14:paraId="00A73169" w14:textId="4FA92F14" w:rsidR="00A24153" w:rsidRPr="00107CD2" w:rsidRDefault="00A24153" w:rsidP="00A24153">
      <w:pPr>
        <w:spacing w:before="240"/>
        <w:rPr>
          <w:rFonts w:eastAsia="Times New Roman"/>
          <w:noProof/>
          <w:szCs w:val="24"/>
        </w:rPr>
      </w:pPr>
      <w:r w:rsidRPr="00107CD2">
        <w:rPr>
          <w:noProof/>
        </w:rPr>
        <w:t>La Comisión estará facultada para modificar los anexos I, VII y IX atendiendo a la información facilitada por los Estados miembros.».</w:t>
      </w:r>
    </w:p>
    <w:p w14:paraId="3F881DEA" w14:textId="0D3498A1" w:rsidR="00441E40" w:rsidRPr="00107CD2" w:rsidRDefault="000F0D5B" w:rsidP="000F0D5B">
      <w:pPr>
        <w:pStyle w:val="Point0"/>
        <w:rPr>
          <w:noProof/>
        </w:rPr>
      </w:pPr>
      <w:r>
        <w:rPr>
          <w:noProof/>
        </w:rPr>
        <w:t>10)</w:t>
      </w:r>
      <w:r>
        <w:rPr>
          <w:noProof/>
        </w:rPr>
        <w:tab/>
      </w:r>
      <w:r w:rsidR="00441E40" w:rsidRPr="00107CD2">
        <w:rPr>
          <w:noProof/>
        </w:rPr>
        <w:t>Los artículos 11 y 12 se sustituyen por el texto siguiente:</w:t>
      </w:r>
    </w:p>
    <w:p w14:paraId="0B34CA65" w14:textId="2834DBCD" w:rsidR="0040566E" w:rsidRPr="00107CD2" w:rsidRDefault="00441E40" w:rsidP="0040566E">
      <w:pPr>
        <w:pStyle w:val="Titrearticle"/>
        <w:rPr>
          <w:noProof/>
        </w:rPr>
      </w:pPr>
      <w:r w:rsidRPr="00107CD2">
        <w:rPr>
          <w:noProof/>
        </w:rPr>
        <w:t>«Artículo 11</w:t>
      </w:r>
    </w:p>
    <w:p w14:paraId="03454210" w14:textId="77777777" w:rsidR="0040566E" w:rsidRPr="00107CD2" w:rsidRDefault="0040566E" w:rsidP="0040566E">
      <w:pPr>
        <w:pStyle w:val="ManualNumPar1"/>
        <w:rPr>
          <w:noProof/>
        </w:rPr>
      </w:pPr>
      <w:r w:rsidRPr="00107CD2">
        <w:rPr>
          <w:noProof/>
        </w:rPr>
        <w:t>1.</w:t>
      </w:r>
      <w:r w:rsidRPr="00107CD2">
        <w:rPr>
          <w:noProof/>
        </w:rPr>
        <w:tab/>
        <w:t>No se satisfará reclamación alguna relacionada con un contrato o transacción cuya ejecución se haya visto afectada, directa o indirectamente, total o parcialmente, por las medidas impuestas por el presente Reglamento, incluidas las reclamaciones de indemnización o cualquier otra petición de ese tipo, tales como las de resarcimiento de daños o a título de garantía, en particular cualquier reclamación que tenga por objeto la prórroga o el pago de una garantía o contragarantía, especialmente una garantía o contragarantía financieras, independientemente de la forma que adopte, si la presentan:</w:t>
      </w:r>
    </w:p>
    <w:p w14:paraId="13040A3A" w14:textId="7B68E9AC" w:rsidR="0040566E" w:rsidRPr="00107CD2" w:rsidRDefault="000F0D5B" w:rsidP="000F0D5B">
      <w:pPr>
        <w:pStyle w:val="Point1"/>
        <w:rPr>
          <w:noProof/>
        </w:rPr>
      </w:pPr>
      <w:r>
        <w:rPr>
          <w:noProof/>
        </w:rPr>
        <w:t>a)</w:t>
      </w:r>
      <w:r>
        <w:rPr>
          <w:noProof/>
        </w:rPr>
        <w:tab/>
      </w:r>
      <w:r w:rsidR="0040566E" w:rsidRPr="00107CD2">
        <w:rPr>
          <w:noProof/>
        </w:rPr>
        <w:t xml:space="preserve">las personas jurídicas, entidades u organismos que figuran en los anexos III, IV, V, VI, XII o XIII o a que se refieren el artículo 5, apartado 1, letras b) o c), el artículo 5, apartado 2, letras b) o c), el artículo 5, apartado 3, letras c) o d), el artículo 5, apartado 4, letras b) o c) y el artículo 5 </w:t>
      </w:r>
      <w:r w:rsidR="0040566E" w:rsidRPr="00107CD2">
        <w:rPr>
          <w:i/>
          <w:iCs/>
          <w:noProof/>
        </w:rPr>
        <w:t>bis</w:t>
      </w:r>
      <w:r w:rsidR="0040566E" w:rsidRPr="00107CD2">
        <w:rPr>
          <w:noProof/>
        </w:rPr>
        <w:t>, letras a), b) o c).</w:t>
      </w:r>
    </w:p>
    <w:p w14:paraId="1D08FF35" w14:textId="02D95CDB" w:rsidR="0040566E" w:rsidRPr="00107CD2" w:rsidRDefault="000F0D5B" w:rsidP="000F0D5B">
      <w:pPr>
        <w:pStyle w:val="Point1"/>
        <w:rPr>
          <w:noProof/>
        </w:rPr>
      </w:pPr>
      <w:r>
        <w:rPr>
          <w:noProof/>
        </w:rPr>
        <w:t>b)</w:t>
      </w:r>
      <w:r>
        <w:rPr>
          <w:noProof/>
        </w:rPr>
        <w:tab/>
      </w:r>
      <w:r w:rsidR="0040566E" w:rsidRPr="00107CD2">
        <w:rPr>
          <w:noProof/>
        </w:rPr>
        <w:t>cualquier otra persona, entidad u organismo rusos;</w:t>
      </w:r>
    </w:p>
    <w:p w14:paraId="7D335E34" w14:textId="67CBEA4A" w:rsidR="0040566E" w:rsidRPr="00107CD2" w:rsidRDefault="000F0D5B" w:rsidP="000F0D5B">
      <w:pPr>
        <w:pStyle w:val="Point1"/>
        <w:rPr>
          <w:noProof/>
        </w:rPr>
      </w:pPr>
      <w:r>
        <w:rPr>
          <w:noProof/>
        </w:rPr>
        <w:t>c)</w:t>
      </w:r>
      <w:r>
        <w:rPr>
          <w:noProof/>
        </w:rPr>
        <w:tab/>
      </w:r>
      <w:r w:rsidR="0040566E" w:rsidRPr="00107CD2">
        <w:rPr>
          <w:noProof/>
        </w:rPr>
        <w:t>cualquier persona, entidad u organismo que actúe a través o en nombre de una de las personas, entidades u organismos a que se refieren las letras a) o b) del presente apartado.</w:t>
      </w:r>
    </w:p>
    <w:p w14:paraId="36B1FBCF" w14:textId="77777777" w:rsidR="0040566E" w:rsidRPr="00107CD2" w:rsidRDefault="0040566E" w:rsidP="0040566E">
      <w:pPr>
        <w:pStyle w:val="ManualNumPar1"/>
        <w:rPr>
          <w:noProof/>
        </w:rPr>
      </w:pPr>
      <w:r w:rsidRPr="00107CD2">
        <w:rPr>
          <w:noProof/>
        </w:rPr>
        <w:t>2.</w:t>
      </w:r>
      <w:r w:rsidRPr="00107CD2">
        <w:rPr>
          <w:noProof/>
        </w:rPr>
        <w:tab/>
        <w:t>En cualquier procedimiento para dar curso a una reclamación, la carga de la prueba de que el apartado 1 no prohíbe tramitar la reclamación recaerá en la persona que reclama.</w:t>
      </w:r>
    </w:p>
    <w:p w14:paraId="7583B58D" w14:textId="4E0C65B3" w:rsidR="00511137" w:rsidRPr="00107CD2" w:rsidRDefault="0040566E" w:rsidP="00511137">
      <w:pPr>
        <w:pStyle w:val="Text1"/>
        <w:ind w:left="720" w:hanging="720"/>
        <w:rPr>
          <w:noProof/>
        </w:rPr>
      </w:pPr>
      <w:r w:rsidRPr="00107CD2">
        <w:rPr>
          <w:noProof/>
        </w:rPr>
        <w:t>3.</w:t>
      </w:r>
      <w:r w:rsidRPr="00107CD2">
        <w:rPr>
          <w:noProof/>
        </w:rPr>
        <w:tab/>
        <w:t>El presente artículo se entenderá sin perjuicio del derecho de las personas, entidades y organismos mencionados en el apartado 1 a que se examine en vía judicial la legalidad del incumplimiento de obligaciones contractuales con arreglo al presente Reglamento.</w:t>
      </w:r>
    </w:p>
    <w:p w14:paraId="18CC76D4" w14:textId="77777777" w:rsidR="0040566E" w:rsidRPr="00107CD2" w:rsidRDefault="0040566E" w:rsidP="0040566E">
      <w:pPr>
        <w:pStyle w:val="Titrearticle"/>
        <w:rPr>
          <w:noProof/>
        </w:rPr>
      </w:pPr>
      <w:r w:rsidRPr="00107CD2">
        <w:rPr>
          <w:noProof/>
        </w:rPr>
        <w:t>Artículo 12</w:t>
      </w:r>
    </w:p>
    <w:p w14:paraId="76F751D8" w14:textId="0EB9954C" w:rsidR="0040566E" w:rsidRPr="00107CD2" w:rsidRDefault="0040566E" w:rsidP="0040566E">
      <w:pPr>
        <w:spacing w:before="240"/>
        <w:rPr>
          <w:rFonts w:eastAsia="Times New Roman"/>
          <w:noProof/>
          <w:szCs w:val="24"/>
        </w:rPr>
      </w:pPr>
      <w:r w:rsidRPr="00107CD2">
        <w:rPr>
          <w:noProof/>
        </w:rPr>
        <w:t xml:space="preserve">Queda prohibido participar, consciente y deliberadamente, en actividades que tengan por objeto o efecto eludir las prohibiciones del presente Reglamento, como actuar en calidad de sustituto de las personas físicas o jurídicas, entidades u organismos a que se refieren los artículos 5, 5 </w:t>
      </w:r>
      <w:r w:rsidRPr="00107CD2">
        <w:rPr>
          <w:i/>
          <w:noProof/>
        </w:rPr>
        <w:t>bis</w:t>
      </w:r>
      <w:r w:rsidRPr="00107CD2">
        <w:rPr>
          <w:noProof/>
        </w:rPr>
        <w:t xml:space="preserve">, 5 </w:t>
      </w:r>
      <w:r w:rsidRPr="00107CD2">
        <w:rPr>
          <w:i/>
          <w:noProof/>
        </w:rPr>
        <w:t>ter</w:t>
      </w:r>
      <w:r w:rsidRPr="00107CD2">
        <w:rPr>
          <w:noProof/>
        </w:rPr>
        <w:t xml:space="preserve">, 5 </w:t>
      </w:r>
      <w:r w:rsidRPr="00107CD2">
        <w:rPr>
          <w:i/>
          <w:noProof/>
        </w:rPr>
        <w:t>sexies</w:t>
      </w:r>
      <w:r w:rsidRPr="00107CD2">
        <w:rPr>
          <w:noProof/>
        </w:rPr>
        <w:t xml:space="preserve"> y 5 </w:t>
      </w:r>
      <w:r w:rsidRPr="00107CD2">
        <w:rPr>
          <w:i/>
          <w:noProof/>
        </w:rPr>
        <w:t>septies</w:t>
      </w:r>
      <w:r w:rsidRPr="00107CD2">
        <w:rPr>
          <w:noProof/>
        </w:rPr>
        <w:t xml:space="preserve">, o actuar en su beneficio acogiéndose a las excepciones previstas en el artículo 5, apartado 6, en el artículo 5 </w:t>
      </w:r>
      <w:r w:rsidRPr="00107CD2">
        <w:rPr>
          <w:i/>
          <w:noProof/>
        </w:rPr>
        <w:t>bis</w:t>
      </w:r>
      <w:r w:rsidRPr="00107CD2">
        <w:rPr>
          <w:noProof/>
        </w:rPr>
        <w:t xml:space="preserve">, apartado 2, en el artículo 5 </w:t>
      </w:r>
      <w:r w:rsidRPr="00107CD2">
        <w:rPr>
          <w:i/>
          <w:noProof/>
        </w:rPr>
        <w:t>ter</w:t>
      </w:r>
      <w:r w:rsidRPr="00107CD2">
        <w:rPr>
          <w:noProof/>
        </w:rPr>
        <w:t xml:space="preserve">, apartado 2,en el artículo 5 </w:t>
      </w:r>
      <w:r w:rsidRPr="00107CD2">
        <w:rPr>
          <w:i/>
          <w:noProof/>
        </w:rPr>
        <w:t>sexies</w:t>
      </w:r>
      <w:r w:rsidRPr="00107CD2">
        <w:rPr>
          <w:noProof/>
        </w:rPr>
        <w:t xml:space="preserve">, apartado 2, o en el artículo 5 </w:t>
      </w:r>
      <w:r w:rsidRPr="00107CD2">
        <w:rPr>
          <w:i/>
          <w:noProof/>
        </w:rPr>
        <w:t>septies</w:t>
      </w:r>
      <w:r w:rsidRPr="00107CD2">
        <w:rPr>
          <w:noProof/>
        </w:rPr>
        <w:t>, apartado 2.».</w:t>
      </w:r>
    </w:p>
    <w:p w14:paraId="67BC743B" w14:textId="390184DD" w:rsidR="00441E40" w:rsidRPr="00107CD2" w:rsidRDefault="000F0D5B" w:rsidP="000F0D5B">
      <w:pPr>
        <w:pStyle w:val="Point0"/>
        <w:rPr>
          <w:noProof/>
        </w:rPr>
      </w:pPr>
      <w:r>
        <w:rPr>
          <w:noProof/>
        </w:rPr>
        <w:t>11)</w:t>
      </w:r>
      <w:r>
        <w:rPr>
          <w:noProof/>
        </w:rPr>
        <w:tab/>
      </w:r>
      <w:r w:rsidR="00300930" w:rsidRPr="00107CD2">
        <w:rPr>
          <w:noProof/>
        </w:rPr>
        <w:t>Se inserta el artículo siguiente:</w:t>
      </w:r>
    </w:p>
    <w:p w14:paraId="090BB978" w14:textId="1FEF960E" w:rsidR="0040566E" w:rsidRPr="00107CD2" w:rsidRDefault="00441E40" w:rsidP="0040566E">
      <w:pPr>
        <w:pStyle w:val="Titrearticle"/>
        <w:rPr>
          <w:noProof/>
        </w:rPr>
      </w:pPr>
      <w:r w:rsidRPr="00107CD2">
        <w:rPr>
          <w:noProof/>
        </w:rPr>
        <w:lastRenderedPageBreak/>
        <w:t xml:space="preserve">«Artículo 12 </w:t>
      </w:r>
      <w:r w:rsidRPr="00107CD2">
        <w:rPr>
          <w:i w:val="0"/>
          <w:noProof/>
        </w:rPr>
        <w:t>bis</w:t>
      </w:r>
    </w:p>
    <w:p w14:paraId="21D6D696" w14:textId="77777777" w:rsidR="0040566E" w:rsidRPr="00107CD2" w:rsidRDefault="0040566E" w:rsidP="0040566E">
      <w:pPr>
        <w:pStyle w:val="ManualNumPar1"/>
        <w:rPr>
          <w:noProof/>
        </w:rPr>
      </w:pPr>
      <w:r w:rsidRPr="00107CD2">
        <w:rPr>
          <w:noProof/>
        </w:rPr>
        <w:t xml:space="preserve">1. </w:t>
      </w:r>
      <w:r w:rsidRPr="00107CD2">
        <w:rPr>
          <w:noProof/>
        </w:rPr>
        <w:tab/>
        <w:t>La Comisión llevará a cabo el tratamiento de datos personales en el ejercicio de sus funciones conforme al presente Reglamento. Entre estas funciones figura el tratamiento de la información sobre los depósitos y la información sobre las autorizaciones concedidas por las autoridades competentes.</w:t>
      </w:r>
    </w:p>
    <w:p w14:paraId="49F2EF7D" w14:textId="36464940" w:rsidR="0040566E" w:rsidRPr="00107CD2" w:rsidRDefault="0040566E" w:rsidP="0040566E">
      <w:pPr>
        <w:pStyle w:val="ManualNumPar1"/>
        <w:rPr>
          <w:noProof/>
        </w:rPr>
      </w:pPr>
      <w:r w:rsidRPr="00107CD2">
        <w:rPr>
          <w:noProof/>
        </w:rPr>
        <w:t>2.</w:t>
      </w:r>
      <w:r w:rsidRPr="00107CD2">
        <w:rPr>
          <w:noProof/>
        </w:rPr>
        <w:tab/>
        <w:t>A efectos del presente Reglamento, se designa al servicio de la Comisión que figura en el anexo I como «responsable del tratamiento» para la Comisión en el sentido del artículo 3, apartado 8, del Reglamento (UE) 2018/1725 en relación con las actividades de tratamiento necesarias para llevar a cabo las funciones a que se refiere el apartado 1.».</w:t>
      </w:r>
    </w:p>
    <w:p w14:paraId="592B7181" w14:textId="1E0D917E" w:rsidR="00441E40" w:rsidRPr="00107CD2" w:rsidRDefault="000F0D5B" w:rsidP="000F0D5B">
      <w:pPr>
        <w:pStyle w:val="Point0"/>
        <w:rPr>
          <w:noProof/>
        </w:rPr>
      </w:pPr>
      <w:r>
        <w:rPr>
          <w:noProof/>
        </w:rPr>
        <w:t>1)</w:t>
      </w:r>
      <w:r>
        <w:rPr>
          <w:noProof/>
        </w:rPr>
        <w:tab/>
      </w:r>
      <w:r w:rsidR="00053ADC" w:rsidRPr="00107CD2">
        <w:rPr>
          <w:noProof/>
        </w:rPr>
        <w:t>El anexo I se sustituye por el anexo I del presente Reglamento.</w:t>
      </w:r>
    </w:p>
    <w:p w14:paraId="4FBDC511" w14:textId="099360E6" w:rsidR="00053ADC" w:rsidRPr="00107CD2" w:rsidRDefault="000F0D5B" w:rsidP="000F0D5B">
      <w:pPr>
        <w:pStyle w:val="Point0"/>
        <w:rPr>
          <w:noProof/>
        </w:rPr>
      </w:pPr>
      <w:r>
        <w:rPr>
          <w:noProof/>
        </w:rPr>
        <w:t>2)</w:t>
      </w:r>
      <w:r>
        <w:rPr>
          <w:noProof/>
        </w:rPr>
        <w:tab/>
      </w:r>
      <w:r w:rsidR="00053ADC" w:rsidRPr="00107CD2">
        <w:rPr>
          <w:noProof/>
        </w:rPr>
        <w:t xml:space="preserve">El anexo III se modifica de acuerdo con lo establecido en el anexo II del presente Reglamento. </w:t>
      </w:r>
    </w:p>
    <w:p w14:paraId="66A418D3" w14:textId="75F90E06" w:rsidR="00053ADC" w:rsidRPr="00107CD2" w:rsidRDefault="000F0D5B" w:rsidP="000F0D5B">
      <w:pPr>
        <w:pStyle w:val="Point0"/>
        <w:rPr>
          <w:noProof/>
        </w:rPr>
      </w:pPr>
      <w:r>
        <w:rPr>
          <w:noProof/>
        </w:rPr>
        <w:t>3)</w:t>
      </w:r>
      <w:r>
        <w:rPr>
          <w:noProof/>
        </w:rPr>
        <w:tab/>
      </w:r>
      <w:r w:rsidR="00053ADC" w:rsidRPr="00107CD2">
        <w:rPr>
          <w:noProof/>
        </w:rPr>
        <w:t xml:space="preserve">El anexo IV se sustituye por el anexo III del presente Reglamento. </w:t>
      </w:r>
    </w:p>
    <w:p w14:paraId="64AF6905" w14:textId="6E9BFE67" w:rsidR="00053ADC" w:rsidRPr="00107CD2" w:rsidRDefault="000F0D5B" w:rsidP="000F0D5B">
      <w:pPr>
        <w:pStyle w:val="Point0"/>
        <w:rPr>
          <w:noProof/>
        </w:rPr>
      </w:pPr>
      <w:r>
        <w:rPr>
          <w:noProof/>
        </w:rPr>
        <w:t>4)</w:t>
      </w:r>
      <w:r>
        <w:rPr>
          <w:noProof/>
        </w:rPr>
        <w:tab/>
      </w:r>
      <w:r w:rsidR="00053ADC" w:rsidRPr="00107CD2">
        <w:rPr>
          <w:noProof/>
        </w:rPr>
        <w:t>El anexo V se modifica de acuerdo con lo establecido en el anexo IV del presente Reglamento.</w:t>
      </w:r>
    </w:p>
    <w:p w14:paraId="48AA87ED" w14:textId="717BA9EE" w:rsidR="00053ADC" w:rsidRPr="00107CD2" w:rsidRDefault="000F0D5B" w:rsidP="000F0D5B">
      <w:pPr>
        <w:pStyle w:val="Point0"/>
        <w:rPr>
          <w:noProof/>
        </w:rPr>
      </w:pPr>
      <w:r>
        <w:rPr>
          <w:noProof/>
        </w:rPr>
        <w:t>5)</w:t>
      </w:r>
      <w:r>
        <w:rPr>
          <w:noProof/>
        </w:rPr>
        <w:tab/>
      </w:r>
      <w:r w:rsidR="00053ADC" w:rsidRPr="00107CD2">
        <w:rPr>
          <w:noProof/>
        </w:rPr>
        <w:t>El anexo VI se modifica de acuerdo con lo establecido en el anexo V del presente Reglamento.</w:t>
      </w:r>
    </w:p>
    <w:p w14:paraId="1FE86A9B" w14:textId="3032FAAF" w:rsidR="00053ADC" w:rsidRPr="00107CD2" w:rsidRDefault="000F0D5B" w:rsidP="000F0D5B">
      <w:pPr>
        <w:pStyle w:val="Point0"/>
        <w:rPr>
          <w:noProof/>
        </w:rPr>
      </w:pPr>
      <w:r>
        <w:rPr>
          <w:noProof/>
        </w:rPr>
        <w:t>6)</w:t>
      </w:r>
      <w:r>
        <w:rPr>
          <w:noProof/>
        </w:rPr>
        <w:tab/>
      </w:r>
      <w:r w:rsidR="00053ADC" w:rsidRPr="00107CD2">
        <w:rPr>
          <w:noProof/>
        </w:rPr>
        <w:t>El anexo VII se inserta de acuerdo con lo establecido en el anexo VI del presente Reglamento.</w:t>
      </w:r>
    </w:p>
    <w:p w14:paraId="5BF5F2B1" w14:textId="2EC7E2B8" w:rsidR="00053ADC" w:rsidRPr="00107CD2" w:rsidRDefault="000F0D5B" w:rsidP="000F0D5B">
      <w:pPr>
        <w:pStyle w:val="Point0"/>
        <w:rPr>
          <w:noProof/>
        </w:rPr>
      </w:pPr>
      <w:r>
        <w:rPr>
          <w:noProof/>
        </w:rPr>
        <w:t>7)</w:t>
      </w:r>
      <w:r>
        <w:rPr>
          <w:noProof/>
        </w:rPr>
        <w:tab/>
      </w:r>
      <w:r w:rsidR="00053ADC" w:rsidRPr="00107CD2">
        <w:rPr>
          <w:noProof/>
        </w:rPr>
        <w:t>El anexo VIII se inserta de acuerdo con lo establecido en el anexo VII del presente Reglamento.</w:t>
      </w:r>
    </w:p>
    <w:p w14:paraId="2AF0483A" w14:textId="455169D6" w:rsidR="00053ADC" w:rsidRPr="00107CD2" w:rsidRDefault="000F0D5B" w:rsidP="000F0D5B">
      <w:pPr>
        <w:pStyle w:val="Point0"/>
        <w:rPr>
          <w:noProof/>
        </w:rPr>
      </w:pPr>
      <w:r>
        <w:rPr>
          <w:noProof/>
        </w:rPr>
        <w:t>8)</w:t>
      </w:r>
      <w:r>
        <w:rPr>
          <w:noProof/>
        </w:rPr>
        <w:tab/>
      </w:r>
      <w:r w:rsidR="00053ADC" w:rsidRPr="00107CD2">
        <w:rPr>
          <w:noProof/>
        </w:rPr>
        <w:t>El anexo IX se inserta de acuerdo con lo establecido en el anexo VIII del presente Reglamento.</w:t>
      </w:r>
    </w:p>
    <w:p w14:paraId="228680D6" w14:textId="5F560B09" w:rsidR="00053ADC" w:rsidRPr="00107CD2" w:rsidRDefault="000F0D5B" w:rsidP="000F0D5B">
      <w:pPr>
        <w:pStyle w:val="Point0"/>
        <w:rPr>
          <w:noProof/>
        </w:rPr>
      </w:pPr>
      <w:r>
        <w:rPr>
          <w:noProof/>
        </w:rPr>
        <w:t>9)</w:t>
      </w:r>
      <w:r>
        <w:rPr>
          <w:noProof/>
        </w:rPr>
        <w:tab/>
      </w:r>
      <w:r w:rsidR="00053ADC" w:rsidRPr="00107CD2">
        <w:rPr>
          <w:noProof/>
        </w:rPr>
        <w:t>El anexo X se inserta de acuerdo con lo establecido en el anexo IX del presente Reglamento.</w:t>
      </w:r>
    </w:p>
    <w:p w14:paraId="06DAE1E3" w14:textId="02F23F60" w:rsidR="00053ADC" w:rsidRPr="00107CD2" w:rsidRDefault="000F0D5B" w:rsidP="000F0D5B">
      <w:pPr>
        <w:pStyle w:val="Point0"/>
        <w:rPr>
          <w:noProof/>
        </w:rPr>
      </w:pPr>
      <w:r>
        <w:rPr>
          <w:noProof/>
        </w:rPr>
        <w:t>10)</w:t>
      </w:r>
      <w:r>
        <w:rPr>
          <w:noProof/>
        </w:rPr>
        <w:tab/>
      </w:r>
      <w:r w:rsidR="00053ADC" w:rsidRPr="00107CD2">
        <w:rPr>
          <w:noProof/>
        </w:rPr>
        <w:t>El anexo XI se inserta de acuerdo con lo establecido en el anexo X del presente Reglamento.</w:t>
      </w:r>
    </w:p>
    <w:p w14:paraId="1B99D317" w14:textId="2275F6F5" w:rsidR="00053ADC" w:rsidRPr="00107CD2" w:rsidRDefault="000F0D5B" w:rsidP="000F0D5B">
      <w:pPr>
        <w:pStyle w:val="Point0"/>
        <w:rPr>
          <w:noProof/>
        </w:rPr>
      </w:pPr>
      <w:r>
        <w:rPr>
          <w:noProof/>
        </w:rPr>
        <w:t>11)</w:t>
      </w:r>
      <w:r>
        <w:rPr>
          <w:noProof/>
        </w:rPr>
        <w:tab/>
      </w:r>
      <w:r w:rsidR="00053ADC" w:rsidRPr="00107CD2">
        <w:rPr>
          <w:noProof/>
        </w:rPr>
        <w:t>El anexo XII se inserta de acuerdo con lo establecido en el anexo XI del presente Reglamento.</w:t>
      </w:r>
    </w:p>
    <w:p w14:paraId="04A8B5DD" w14:textId="228FC783" w:rsidR="00053ADC" w:rsidRPr="00107CD2" w:rsidRDefault="000F0D5B" w:rsidP="000F0D5B">
      <w:pPr>
        <w:pStyle w:val="Point0"/>
        <w:rPr>
          <w:noProof/>
        </w:rPr>
      </w:pPr>
      <w:r>
        <w:rPr>
          <w:noProof/>
        </w:rPr>
        <w:t>12)</w:t>
      </w:r>
      <w:r>
        <w:rPr>
          <w:noProof/>
        </w:rPr>
        <w:tab/>
      </w:r>
      <w:r w:rsidR="00053ADC" w:rsidRPr="00107CD2">
        <w:rPr>
          <w:noProof/>
        </w:rPr>
        <w:t>El anexo XIII se inserta de acuerdo con lo establecido en el anexo XII del presente Reglamento.</w:t>
      </w:r>
    </w:p>
    <w:p w14:paraId="71309BE3" w14:textId="50E19CEE" w:rsidR="0040566E" w:rsidRPr="00107CD2" w:rsidRDefault="0040566E" w:rsidP="0040566E">
      <w:pPr>
        <w:pStyle w:val="Titrearticle"/>
        <w:rPr>
          <w:noProof/>
        </w:rPr>
      </w:pPr>
      <w:r w:rsidRPr="00107CD2">
        <w:rPr>
          <w:noProof/>
        </w:rPr>
        <w:t>Artículo 2</w:t>
      </w:r>
    </w:p>
    <w:p w14:paraId="4DF6D4D9" w14:textId="77777777" w:rsidR="00441E40" w:rsidRPr="00107CD2" w:rsidRDefault="00441E40" w:rsidP="00480CC7">
      <w:pPr>
        <w:rPr>
          <w:noProof/>
        </w:rPr>
      </w:pPr>
    </w:p>
    <w:p w14:paraId="70D9571C" w14:textId="77777777" w:rsidR="00BB68A6" w:rsidRPr="00107CD2" w:rsidRDefault="000963EE" w:rsidP="00BB68A6">
      <w:pPr>
        <w:rPr>
          <w:noProof/>
        </w:rPr>
      </w:pPr>
      <w:r w:rsidRPr="00107CD2">
        <w:rPr>
          <w:noProof/>
        </w:rPr>
        <w:t xml:space="preserve">El presente Reglamento entrará en vigor el día siguiente de su publicación en el </w:t>
      </w:r>
      <w:r w:rsidRPr="00107CD2">
        <w:rPr>
          <w:i/>
          <w:noProof/>
        </w:rPr>
        <w:t>Diario Oficial de la Unión Europea</w:t>
      </w:r>
      <w:r w:rsidRPr="00107CD2">
        <w:rPr>
          <w:noProof/>
        </w:rPr>
        <w:t>.</w:t>
      </w:r>
    </w:p>
    <w:p w14:paraId="5CEFD2EB" w14:textId="77777777" w:rsidR="000963EE" w:rsidRPr="00107CD2" w:rsidRDefault="000963EE" w:rsidP="006D68C6">
      <w:pPr>
        <w:keepNext/>
        <w:keepLines/>
        <w:rPr>
          <w:noProof/>
        </w:rPr>
      </w:pPr>
      <w:r w:rsidRPr="00107CD2">
        <w:rPr>
          <w:noProof/>
        </w:rPr>
        <w:lastRenderedPageBreak/>
        <w:t>El presente Reglamento será obligatorio en todos sus elementos y directamente aplicable en cada Estado miembro.</w:t>
      </w:r>
    </w:p>
    <w:p w14:paraId="777B640C" w14:textId="75202CB9" w:rsidR="000963EE" w:rsidRPr="00107CD2" w:rsidRDefault="00254080" w:rsidP="00254080">
      <w:pPr>
        <w:pStyle w:val="Fait"/>
        <w:rPr>
          <w:noProof/>
        </w:rPr>
      </w:pPr>
      <w:r w:rsidRPr="00254080">
        <w:t>Hecho en Bruselas, el</w:t>
      </w:r>
    </w:p>
    <w:p w14:paraId="53BA2907" w14:textId="77777777" w:rsidR="000963EE" w:rsidRPr="00107CD2" w:rsidRDefault="000963EE" w:rsidP="004767E0">
      <w:pPr>
        <w:pStyle w:val="Institutionquisigne"/>
        <w:rPr>
          <w:noProof/>
        </w:rPr>
      </w:pPr>
      <w:r w:rsidRPr="00107CD2">
        <w:rPr>
          <w:noProof/>
        </w:rPr>
        <w:tab/>
        <w:t>Por el Consejo</w:t>
      </w:r>
    </w:p>
    <w:p w14:paraId="27C4D75F" w14:textId="77777777" w:rsidR="000963EE" w:rsidRPr="00107CD2" w:rsidRDefault="000963EE" w:rsidP="000963EE">
      <w:pPr>
        <w:pStyle w:val="Personnequisigne"/>
        <w:rPr>
          <w:noProof/>
        </w:rPr>
      </w:pPr>
      <w:r w:rsidRPr="00107CD2">
        <w:rPr>
          <w:noProof/>
        </w:rPr>
        <w:tab/>
        <w:t>El Presidente / La Presidenta</w:t>
      </w:r>
    </w:p>
    <w:sectPr w:rsidR="000963EE" w:rsidRPr="00107CD2" w:rsidSect="0025408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0757" w14:textId="77777777" w:rsidR="00D779F5" w:rsidRDefault="00D779F5" w:rsidP="000963EE">
      <w:pPr>
        <w:spacing w:before="0" w:after="0"/>
      </w:pPr>
      <w:r>
        <w:separator/>
      </w:r>
    </w:p>
  </w:endnote>
  <w:endnote w:type="continuationSeparator" w:id="0">
    <w:p w14:paraId="733BBAE2" w14:textId="77777777" w:rsidR="00D779F5" w:rsidRDefault="00D779F5" w:rsidP="000963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AB0D" w14:textId="77777777" w:rsidR="00254080" w:rsidRPr="00254080" w:rsidRDefault="00254080" w:rsidP="00254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8122" w14:textId="55432EC6" w:rsidR="00ED502D" w:rsidRPr="00254080" w:rsidRDefault="00254080" w:rsidP="00254080">
    <w:pPr>
      <w:pStyle w:val="Footer"/>
      <w:rPr>
        <w:rFonts w:ascii="Arial" w:hAnsi="Arial" w:cs="Arial"/>
        <w:b/>
        <w:sz w:val="48"/>
      </w:rPr>
    </w:pPr>
    <w:r w:rsidRPr="00254080">
      <w:rPr>
        <w:rFonts w:ascii="Arial" w:hAnsi="Arial" w:cs="Arial"/>
        <w:b/>
        <w:sz w:val="48"/>
      </w:rPr>
      <w:t>ES</w:t>
    </w:r>
    <w:r w:rsidRPr="00254080">
      <w:rPr>
        <w:rFonts w:ascii="Arial" w:hAnsi="Arial" w:cs="Arial"/>
        <w:b/>
        <w:sz w:val="48"/>
      </w:rPr>
      <w:tab/>
    </w:r>
    <w:r w:rsidRPr="00254080">
      <w:rPr>
        <w:rFonts w:ascii="Arial" w:hAnsi="Arial" w:cs="Arial"/>
        <w:b/>
        <w:sz w:val="48"/>
      </w:rPr>
      <w:tab/>
    </w:r>
    <w:r w:rsidRPr="00254080">
      <w:tab/>
    </w:r>
    <w:r w:rsidRPr="00254080">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F222" w14:textId="77777777" w:rsidR="00254080" w:rsidRPr="00254080" w:rsidRDefault="00254080" w:rsidP="00254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F345" w14:textId="22049FA4" w:rsidR="00ED502D" w:rsidRPr="00254080" w:rsidRDefault="00254080" w:rsidP="00254080">
    <w:pPr>
      <w:pStyle w:val="Footer"/>
      <w:rPr>
        <w:rFonts w:ascii="Arial" w:hAnsi="Arial" w:cs="Arial"/>
        <w:b/>
        <w:sz w:val="48"/>
      </w:rPr>
    </w:pPr>
    <w:r w:rsidRPr="00254080">
      <w:rPr>
        <w:rFonts w:ascii="Arial" w:hAnsi="Arial" w:cs="Arial"/>
        <w:b/>
        <w:sz w:val="48"/>
      </w:rPr>
      <w:t>ES</w:t>
    </w:r>
    <w:r w:rsidRPr="00254080">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rsidRPr="00254080">
      <w:tab/>
    </w:r>
    <w:r w:rsidRPr="00254080">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8C16" w14:textId="77777777" w:rsidR="00254080" w:rsidRPr="00254080" w:rsidRDefault="00254080" w:rsidP="0025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698A" w14:textId="77777777" w:rsidR="00D779F5" w:rsidRDefault="00D779F5" w:rsidP="000963EE">
      <w:pPr>
        <w:spacing w:before="0" w:after="0"/>
      </w:pPr>
      <w:r>
        <w:separator/>
      </w:r>
    </w:p>
  </w:footnote>
  <w:footnote w:type="continuationSeparator" w:id="0">
    <w:p w14:paraId="7F74B0C0" w14:textId="77777777" w:rsidR="00D779F5" w:rsidRDefault="00D779F5" w:rsidP="000963EE">
      <w:pPr>
        <w:spacing w:before="0" w:after="0"/>
      </w:pPr>
      <w:r>
        <w:continuationSeparator/>
      </w:r>
    </w:p>
  </w:footnote>
  <w:footnote w:id="1">
    <w:p w14:paraId="2F62787F" w14:textId="77124483" w:rsidR="00D779F5" w:rsidRPr="004B4693" w:rsidRDefault="00D779F5" w:rsidP="00E95409">
      <w:pPr>
        <w:pStyle w:val="FootnoteText"/>
      </w:pPr>
      <w:r>
        <w:rPr>
          <w:rStyle w:val="FootnoteReference"/>
        </w:rPr>
        <w:footnoteRef/>
      </w:r>
      <w:r>
        <w:tab/>
        <w:t>DO L  de , 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D19E" w14:textId="77777777" w:rsidR="00254080" w:rsidRPr="00254080" w:rsidRDefault="00254080" w:rsidP="0025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35F4" w14:textId="77777777" w:rsidR="00254080" w:rsidRPr="00254080" w:rsidRDefault="00254080" w:rsidP="00254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DCD6" w14:textId="77777777" w:rsidR="00254080" w:rsidRPr="00254080" w:rsidRDefault="00254080" w:rsidP="00254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B30B76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C28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C16C2F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2F4FAF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C62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E9CC1D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F642F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884D7A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num>
  <w:num w:numId="30">
    <w:abstractNumId w:val="14"/>
  </w:num>
  <w:num w:numId="31">
    <w:abstractNumId w:val="9"/>
  </w:num>
  <w:num w:numId="32">
    <w:abstractNumId w:val="9"/>
  </w:num>
  <w:num w:numId="33">
    <w:abstractNumId w:val="9"/>
  </w:num>
  <w:num w:numId="34">
    <w:abstractNumId w:val="20"/>
  </w:num>
  <w:num w:numId="35">
    <w:abstractNumId w:val="20"/>
  </w:num>
  <w:num w:numId="36">
    <w:abstractNumId w:val="20"/>
  </w:num>
  <w:num w:numId="37">
    <w:abstractNumId w:val="14"/>
  </w:num>
  <w:num w:numId="38">
    <w:abstractNumId w:val="9"/>
  </w:num>
  <w:num w:numId="39">
    <w:abstractNumId w:val="9"/>
  </w:num>
  <w:num w:numId="4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2-09-09 16:11:53"/>
    <w:docVar w:name="DQCNUMB_1" w:val="1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6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1E3C186B-EA8B-4B34-AB4F-85F82B9D2733"/>
    <w:docVar w:name="LW_COVERPAGE_TYPE" w:val="1"/>
    <w:docVar w:name="LW_CROSSREFERENCE" w:val="&lt;UNUSED&gt;"/>
    <w:docVar w:name="LW_DocType" w:val="COM"/>
    <w:docVar w:name="LW_EMISSION" w:val="24.2.2022"/>
    <w:docVar w:name="LW_EMISSION_ISODATE" w:val="2022-02-24"/>
    <w:docVar w:name="LW_EMISSION_LOCATION" w:val="BRX"/>
    <w:docVar w:name="LW_EMISSION_PREFIX" w:val="Bruselas,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ES"/>
    <w:docVar w:name="LW_LEVEL_OF_SENSITIVITY" w:val="Standard treatment"/>
    <w:docVar w:name="LW_NOM.INST" w:val="COMISIÓN EUROPEA"/>
    <w:docVar w:name="LW_NOM.INST_JOINTDOC" w:val="ALTO REPRESENTANTE_x000b_ DE LA UNIÓN PARA_x000b_ASUNTOS EXTERIORES Y_x000b_POLÍTICA DE SEGURIDAD"/>
    <w:docVar w:name="LW_PART_NBR" w:val="1"/>
    <w:docVar w:name="LW_PART_NBR_TOTAL" w:val="1"/>
    <w:docVar w:name="LW_REF.II.NEW.CP" w:val="NLE"/>
    <w:docVar w:name="LW_REF.II.NEW.CP_NUMBER" w:val="0058"/>
    <w:docVar w:name="LW_REF.II.NEW.CP_YEAR" w:val="2022"/>
    <w:docVar w:name="LW_REF.INST.NEW" w:val="JOIN"/>
    <w:docVar w:name="LW_REF.INST.NEW_ADOPTED" w:val="final/3                 Downgraded on 9.9.2022"/>
    <w:docVar w:name="LW_REF.INST.NEW_TEXT" w:val="(2022) 2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conjunta de"/>
    <w:docVar w:name="LW_SUPERTITRE" w:val="&lt;UNUSED&gt;"/>
    <w:docVar w:name="LW_TITRE.OBJ.CP" w:val="por el que se modifica el Reglamento (UE) n.º 833/2014 del Consejo, relativo a medidas restrictivas motivadas por acciones de Rusia que desestabilizan la situación en Ucrania"/>
    <w:docVar w:name="LW_TYPE.DOC.CP" w:val="REGLAMENTO DEL CONSEJO"/>
    <w:docVar w:name="LwApiVersions" w:val="LW4CoDe 1.23.2.0; LW 8.0, Build 20211117"/>
  </w:docVars>
  <w:rsids>
    <w:rsidRoot w:val="000963EE"/>
    <w:rsid w:val="00010251"/>
    <w:rsid w:val="00021A3A"/>
    <w:rsid w:val="00032B1A"/>
    <w:rsid w:val="00035934"/>
    <w:rsid w:val="000367D9"/>
    <w:rsid w:val="00045405"/>
    <w:rsid w:val="00053ADC"/>
    <w:rsid w:val="000622CD"/>
    <w:rsid w:val="00072BFD"/>
    <w:rsid w:val="00092E09"/>
    <w:rsid w:val="000963EE"/>
    <w:rsid w:val="00096ED5"/>
    <w:rsid w:val="000974EF"/>
    <w:rsid w:val="00097BB6"/>
    <w:rsid w:val="000A7517"/>
    <w:rsid w:val="000B0F99"/>
    <w:rsid w:val="000C367A"/>
    <w:rsid w:val="000E198E"/>
    <w:rsid w:val="000E4F56"/>
    <w:rsid w:val="000F0D5B"/>
    <w:rsid w:val="000F7492"/>
    <w:rsid w:val="00107CD2"/>
    <w:rsid w:val="001109BD"/>
    <w:rsid w:val="00110B5B"/>
    <w:rsid w:val="00114C05"/>
    <w:rsid w:val="00127F8D"/>
    <w:rsid w:val="00132695"/>
    <w:rsid w:val="0016087F"/>
    <w:rsid w:val="00161188"/>
    <w:rsid w:val="0017578D"/>
    <w:rsid w:val="001915F2"/>
    <w:rsid w:val="00196EF1"/>
    <w:rsid w:val="001C2816"/>
    <w:rsid w:val="001C4BD6"/>
    <w:rsid w:val="001C5FC2"/>
    <w:rsid w:val="00204B15"/>
    <w:rsid w:val="002119A1"/>
    <w:rsid w:val="002173C6"/>
    <w:rsid w:val="002207C9"/>
    <w:rsid w:val="00232E98"/>
    <w:rsid w:val="00251AEF"/>
    <w:rsid w:val="00254080"/>
    <w:rsid w:val="00281AB8"/>
    <w:rsid w:val="002D1758"/>
    <w:rsid w:val="002D3DC6"/>
    <w:rsid w:val="002E099A"/>
    <w:rsid w:val="002E2F7B"/>
    <w:rsid w:val="002F3910"/>
    <w:rsid w:val="00300930"/>
    <w:rsid w:val="00303B45"/>
    <w:rsid w:val="00304C48"/>
    <w:rsid w:val="00322335"/>
    <w:rsid w:val="00324432"/>
    <w:rsid w:val="003271E8"/>
    <w:rsid w:val="003365A3"/>
    <w:rsid w:val="00354F4D"/>
    <w:rsid w:val="003653C9"/>
    <w:rsid w:val="003666F5"/>
    <w:rsid w:val="00395900"/>
    <w:rsid w:val="003A3638"/>
    <w:rsid w:val="003B497E"/>
    <w:rsid w:val="003C051D"/>
    <w:rsid w:val="003D1CBC"/>
    <w:rsid w:val="003E0F7A"/>
    <w:rsid w:val="003F3AD6"/>
    <w:rsid w:val="0040566E"/>
    <w:rsid w:val="004156AD"/>
    <w:rsid w:val="00433FBF"/>
    <w:rsid w:val="00441E40"/>
    <w:rsid w:val="004431B8"/>
    <w:rsid w:val="004751A0"/>
    <w:rsid w:val="004767E0"/>
    <w:rsid w:val="004772F5"/>
    <w:rsid w:val="004776B1"/>
    <w:rsid w:val="00480CC7"/>
    <w:rsid w:val="004B07FF"/>
    <w:rsid w:val="004C2B98"/>
    <w:rsid w:val="004D4568"/>
    <w:rsid w:val="00511137"/>
    <w:rsid w:val="0052353C"/>
    <w:rsid w:val="005279DC"/>
    <w:rsid w:val="00527E4B"/>
    <w:rsid w:val="00530201"/>
    <w:rsid w:val="00534918"/>
    <w:rsid w:val="0054582C"/>
    <w:rsid w:val="0055597D"/>
    <w:rsid w:val="00562EAF"/>
    <w:rsid w:val="0056723D"/>
    <w:rsid w:val="005760AA"/>
    <w:rsid w:val="005862F4"/>
    <w:rsid w:val="005A01C9"/>
    <w:rsid w:val="005A4B0D"/>
    <w:rsid w:val="005B2DEB"/>
    <w:rsid w:val="005C6DFC"/>
    <w:rsid w:val="005D50EA"/>
    <w:rsid w:val="005E14CA"/>
    <w:rsid w:val="0060774A"/>
    <w:rsid w:val="00626199"/>
    <w:rsid w:val="00636C7D"/>
    <w:rsid w:val="00637287"/>
    <w:rsid w:val="006511BF"/>
    <w:rsid w:val="00657284"/>
    <w:rsid w:val="00667B47"/>
    <w:rsid w:val="00686358"/>
    <w:rsid w:val="00691B67"/>
    <w:rsid w:val="006A3F28"/>
    <w:rsid w:val="006B656C"/>
    <w:rsid w:val="006B7371"/>
    <w:rsid w:val="006B78DE"/>
    <w:rsid w:val="006D68C6"/>
    <w:rsid w:val="006D75E7"/>
    <w:rsid w:val="006F0B0E"/>
    <w:rsid w:val="0070128F"/>
    <w:rsid w:val="007101C9"/>
    <w:rsid w:val="00722336"/>
    <w:rsid w:val="007241E2"/>
    <w:rsid w:val="007309E2"/>
    <w:rsid w:val="007463ED"/>
    <w:rsid w:val="00766826"/>
    <w:rsid w:val="007707A5"/>
    <w:rsid w:val="0077157F"/>
    <w:rsid w:val="00785452"/>
    <w:rsid w:val="0078590E"/>
    <w:rsid w:val="0079438E"/>
    <w:rsid w:val="007975CC"/>
    <w:rsid w:val="007A544E"/>
    <w:rsid w:val="007A772F"/>
    <w:rsid w:val="007B0188"/>
    <w:rsid w:val="007B1B7A"/>
    <w:rsid w:val="007C06F6"/>
    <w:rsid w:val="007C7463"/>
    <w:rsid w:val="007E0B18"/>
    <w:rsid w:val="008031A7"/>
    <w:rsid w:val="00803C5C"/>
    <w:rsid w:val="0081661D"/>
    <w:rsid w:val="008211A3"/>
    <w:rsid w:val="008262B2"/>
    <w:rsid w:val="00837F9E"/>
    <w:rsid w:val="008429A8"/>
    <w:rsid w:val="00850D5E"/>
    <w:rsid w:val="00860476"/>
    <w:rsid w:val="00862FA5"/>
    <w:rsid w:val="008640CA"/>
    <w:rsid w:val="00887285"/>
    <w:rsid w:val="008C0D81"/>
    <w:rsid w:val="008D0413"/>
    <w:rsid w:val="008D6066"/>
    <w:rsid w:val="008F362D"/>
    <w:rsid w:val="009028B5"/>
    <w:rsid w:val="00923CF0"/>
    <w:rsid w:val="00942427"/>
    <w:rsid w:val="009578D0"/>
    <w:rsid w:val="00962627"/>
    <w:rsid w:val="00986B33"/>
    <w:rsid w:val="00987AD5"/>
    <w:rsid w:val="009B2A82"/>
    <w:rsid w:val="009B7138"/>
    <w:rsid w:val="009C06DB"/>
    <w:rsid w:val="009C11C3"/>
    <w:rsid w:val="009C4CB7"/>
    <w:rsid w:val="009C7846"/>
    <w:rsid w:val="00A10971"/>
    <w:rsid w:val="00A1339D"/>
    <w:rsid w:val="00A24153"/>
    <w:rsid w:val="00A452D7"/>
    <w:rsid w:val="00A57150"/>
    <w:rsid w:val="00A73452"/>
    <w:rsid w:val="00B618CE"/>
    <w:rsid w:val="00B761BD"/>
    <w:rsid w:val="00B93418"/>
    <w:rsid w:val="00B9432F"/>
    <w:rsid w:val="00B9665B"/>
    <w:rsid w:val="00BB68A6"/>
    <w:rsid w:val="00BD416A"/>
    <w:rsid w:val="00BE246D"/>
    <w:rsid w:val="00BF17AA"/>
    <w:rsid w:val="00C00A0F"/>
    <w:rsid w:val="00C14DE0"/>
    <w:rsid w:val="00C24556"/>
    <w:rsid w:val="00C47883"/>
    <w:rsid w:val="00C63961"/>
    <w:rsid w:val="00C7519F"/>
    <w:rsid w:val="00C85CCD"/>
    <w:rsid w:val="00CE4FE0"/>
    <w:rsid w:val="00CE7209"/>
    <w:rsid w:val="00D21705"/>
    <w:rsid w:val="00D278E6"/>
    <w:rsid w:val="00D447D6"/>
    <w:rsid w:val="00D521C5"/>
    <w:rsid w:val="00D779F5"/>
    <w:rsid w:val="00D84DFF"/>
    <w:rsid w:val="00DB06CC"/>
    <w:rsid w:val="00DB118C"/>
    <w:rsid w:val="00DB418B"/>
    <w:rsid w:val="00DB559C"/>
    <w:rsid w:val="00DB6D9A"/>
    <w:rsid w:val="00DB735A"/>
    <w:rsid w:val="00DD7BBD"/>
    <w:rsid w:val="00DF3FF3"/>
    <w:rsid w:val="00E01675"/>
    <w:rsid w:val="00E04AE5"/>
    <w:rsid w:val="00E07450"/>
    <w:rsid w:val="00E16A2D"/>
    <w:rsid w:val="00E204F0"/>
    <w:rsid w:val="00E22CEF"/>
    <w:rsid w:val="00E3190A"/>
    <w:rsid w:val="00E31EA9"/>
    <w:rsid w:val="00E41900"/>
    <w:rsid w:val="00E51202"/>
    <w:rsid w:val="00E54153"/>
    <w:rsid w:val="00E5717D"/>
    <w:rsid w:val="00E576B3"/>
    <w:rsid w:val="00E729E8"/>
    <w:rsid w:val="00E73959"/>
    <w:rsid w:val="00E77730"/>
    <w:rsid w:val="00E83204"/>
    <w:rsid w:val="00E86550"/>
    <w:rsid w:val="00E937B9"/>
    <w:rsid w:val="00E95409"/>
    <w:rsid w:val="00EC4805"/>
    <w:rsid w:val="00ED502D"/>
    <w:rsid w:val="00EE2E5B"/>
    <w:rsid w:val="00F0208D"/>
    <w:rsid w:val="00F02F80"/>
    <w:rsid w:val="00F20062"/>
    <w:rsid w:val="00F22615"/>
    <w:rsid w:val="00F60C18"/>
    <w:rsid w:val="00F8190E"/>
    <w:rsid w:val="00F829A2"/>
    <w:rsid w:val="00F93EE1"/>
    <w:rsid w:val="00FA67B2"/>
    <w:rsid w:val="00FB276D"/>
    <w:rsid w:val="00FB31CF"/>
    <w:rsid w:val="00FC3563"/>
    <w:rsid w:val="00FD0352"/>
    <w:rsid w:val="00FE2127"/>
    <w:rsid w:val="00FE2757"/>
    <w:rsid w:val="00FE452E"/>
    <w:rsid w:val="00FE58DB"/>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76DD684D"/>
  <w15:docId w15:val="{6470861D-187E-4302-BE32-D9A6D116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9B7138"/>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D278E6"/>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rsid w:val="00D278E6"/>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rsid w:val="00D278E6"/>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2BFD"/>
    <w:rPr>
      <w:sz w:val="16"/>
      <w:szCs w:val="16"/>
    </w:rPr>
  </w:style>
  <w:style w:type="paragraph" w:styleId="CommentText">
    <w:name w:val="annotation text"/>
    <w:basedOn w:val="Normal"/>
    <w:link w:val="CommentTextChar"/>
    <w:uiPriority w:val="99"/>
    <w:unhideWhenUsed/>
    <w:rsid w:val="00072BFD"/>
    <w:rPr>
      <w:sz w:val="20"/>
      <w:szCs w:val="20"/>
    </w:rPr>
  </w:style>
  <w:style w:type="character" w:customStyle="1" w:styleId="CommentTextChar">
    <w:name w:val="Comment Text Char"/>
    <w:basedOn w:val="DefaultParagraphFont"/>
    <w:link w:val="CommentText"/>
    <w:uiPriority w:val="99"/>
    <w:rsid w:val="00072BFD"/>
    <w:rPr>
      <w:rFonts w:ascii="Times New Roman" w:hAnsi="Times New Roman" w:cs="Times New Roman"/>
      <w:sz w:val="20"/>
      <w:szCs w:val="20"/>
      <w:lang w:val="es-ES"/>
    </w:rPr>
  </w:style>
  <w:style w:type="paragraph" w:styleId="BalloonText">
    <w:name w:val="Balloon Text"/>
    <w:basedOn w:val="Normal"/>
    <w:link w:val="BalloonTextChar"/>
    <w:uiPriority w:val="99"/>
    <w:semiHidden/>
    <w:unhideWhenUsed/>
    <w:rsid w:val="00072B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FD"/>
    <w:rPr>
      <w:rFonts w:ascii="Segoe UI" w:hAnsi="Segoe UI" w:cs="Segoe UI"/>
      <w:sz w:val="18"/>
      <w:szCs w:val="18"/>
      <w:lang w:val="es-ES"/>
    </w:rPr>
  </w:style>
  <w:style w:type="paragraph" w:styleId="ListParagraph">
    <w:name w:val="List Paragraph"/>
    <w:basedOn w:val="Normal"/>
    <w:uiPriority w:val="34"/>
    <w:qFormat/>
    <w:rsid w:val="00766826"/>
    <w:pPr>
      <w:spacing w:before="0" w:after="160" w:line="259" w:lineRule="auto"/>
      <w:ind w:left="720"/>
      <w:contextualSpacing/>
      <w:jc w:val="left"/>
    </w:pPr>
    <w:rPr>
      <w:rFonts w:asciiTheme="minorHAnsi" w:hAnsiTheme="minorHAnsi" w:cstheme="minorBidi"/>
      <w:sz w:val="22"/>
      <w:lang w:val="es-ES"/>
    </w:rPr>
  </w:style>
  <w:style w:type="paragraph" w:styleId="Caption">
    <w:name w:val="caption"/>
    <w:basedOn w:val="Normal"/>
    <w:next w:val="Normal"/>
    <w:uiPriority w:val="35"/>
    <w:semiHidden/>
    <w:unhideWhenUsed/>
    <w:qFormat/>
    <w:rsid w:val="00DB559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B559C"/>
    <w:pPr>
      <w:spacing w:after="0"/>
    </w:pPr>
  </w:style>
  <w:style w:type="paragraph" w:styleId="ListBullet">
    <w:name w:val="List Bullet"/>
    <w:basedOn w:val="Normal"/>
    <w:uiPriority w:val="99"/>
    <w:semiHidden/>
    <w:unhideWhenUsed/>
    <w:rsid w:val="00DB559C"/>
    <w:pPr>
      <w:numPr>
        <w:numId w:val="2"/>
      </w:numPr>
      <w:contextualSpacing/>
    </w:pPr>
  </w:style>
  <w:style w:type="paragraph" w:styleId="ListBullet2">
    <w:name w:val="List Bullet 2"/>
    <w:basedOn w:val="Normal"/>
    <w:uiPriority w:val="99"/>
    <w:semiHidden/>
    <w:unhideWhenUsed/>
    <w:rsid w:val="00DB559C"/>
    <w:pPr>
      <w:numPr>
        <w:numId w:val="3"/>
      </w:numPr>
      <w:contextualSpacing/>
    </w:pPr>
  </w:style>
  <w:style w:type="paragraph" w:styleId="ListBullet3">
    <w:name w:val="List Bullet 3"/>
    <w:basedOn w:val="Normal"/>
    <w:uiPriority w:val="99"/>
    <w:semiHidden/>
    <w:unhideWhenUsed/>
    <w:rsid w:val="00DB559C"/>
    <w:pPr>
      <w:numPr>
        <w:numId w:val="4"/>
      </w:numPr>
      <w:contextualSpacing/>
    </w:pPr>
  </w:style>
  <w:style w:type="paragraph" w:styleId="ListBullet4">
    <w:name w:val="List Bullet 4"/>
    <w:basedOn w:val="Normal"/>
    <w:uiPriority w:val="99"/>
    <w:semiHidden/>
    <w:unhideWhenUsed/>
    <w:rsid w:val="00DB559C"/>
    <w:pPr>
      <w:numPr>
        <w:numId w:val="5"/>
      </w:numPr>
      <w:contextualSpacing/>
    </w:pPr>
  </w:style>
  <w:style w:type="paragraph" w:styleId="ListNumber">
    <w:name w:val="List Number"/>
    <w:basedOn w:val="Normal"/>
    <w:uiPriority w:val="99"/>
    <w:semiHidden/>
    <w:unhideWhenUsed/>
    <w:rsid w:val="00DB559C"/>
    <w:pPr>
      <w:numPr>
        <w:numId w:val="6"/>
      </w:numPr>
      <w:contextualSpacing/>
    </w:pPr>
  </w:style>
  <w:style w:type="paragraph" w:styleId="ListNumber2">
    <w:name w:val="List Number 2"/>
    <w:basedOn w:val="Normal"/>
    <w:uiPriority w:val="99"/>
    <w:semiHidden/>
    <w:unhideWhenUsed/>
    <w:rsid w:val="00DB559C"/>
    <w:pPr>
      <w:numPr>
        <w:numId w:val="7"/>
      </w:numPr>
      <w:contextualSpacing/>
    </w:pPr>
  </w:style>
  <w:style w:type="paragraph" w:styleId="ListNumber3">
    <w:name w:val="List Number 3"/>
    <w:basedOn w:val="Normal"/>
    <w:uiPriority w:val="99"/>
    <w:semiHidden/>
    <w:unhideWhenUsed/>
    <w:rsid w:val="00DB559C"/>
    <w:pPr>
      <w:numPr>
        <w:numId w:val="8"/>
      </w:numPr>
      <w:contextualSpacing/>
    </w:pPr>
  </w:style>
  <w:style w:type="paragraph" w:styleId="ListNumber4">
    <w:name w:val="List Number 4"/>
    <w:basedOn w:val="Normal"/>
    <w:uiPriority w:val="99"/>
    <w:semiHidden/>
    <w:unhideWhenUsed/>
    <w:rsid w:val="00DB559C"/>
    <w:pPr>
      <w:numPr>
        <w:numId w:val="9"/>
      </w:numPr>
      <w:contextualSpacing/>
    </w:pPr>
  </w:style>
  <w:style w:type="paragraph" w:styleId="CommentSubject">
    <w:name w:val="annotation subject"/>
    <w:basedOn w:val="CommentText"/>
    <w:next w:val="CommentText"/>
    <w:link w:val="CommentSubjectChar"/>
    <w:uiPriority w:val="99"/>
    <w:semiHidden/>
    <w:unhideWhenUsed/>
    <w:rsid w:val="00E95409"/>
    <w:rPr>
      <w:b/>
      <w:bCs/>
    </w:rPr>
  </w:style>
  <w:style w:type="character" w:customStyle="1" w:styleId="CommentSubjectChar">
    <w:name w:val="Comment Subject Char"/>
    <w:basedOn w:val="CommentTextChar"/>
    <w:link w:val="CommentSubject"/>
    <w:uiPriority w:val="99"/>
    <w:semiHidden/>
    <w:rsid w:val="00E95409"/>
    <w:rPr>
      <w:rFonts w:ascii="Times New Roman" w:hAnsi="Times New Roman" w:cs="Times New Roman"/>
      <w:b/>
      <w:bCs/>
      <w:sz w:val="20"/>
      <w:szCs w:val="20"/>
      <w:lang w:val="es-ES"/>
    </w:rPr>
  </w:style>
  <w:style w:type="character" w:styleId="Hyperlink">
    <w:name w:val="Hyperlink"/>
    <w:basedOn w:val="DefaultParagraphFont"/>
    <w:uiPriority w:val="99"/>
    <w:unhideWhenUsed/>
    <w:rsid w:val="00E95409"/>
    <w:rPr>
      <w:color w:val="0000FF" w:themeColor="hyperlink"/>
      <w:u w:val="single"/>
    </w:rPr>
  </w:style>
  <w:style w:type="paragraph" w:styleId="Revision">
    <w:name w:val="Revision"/>
    <w:hidden/>
    <w:uiPriority w:val="99"/>
    <w:semiHidden/>
    <w:rsid w:val="00FB276D"/>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54080"/>
    <w:pPr>
      <w:tabs>
        <w:tab w:val="center" w:pos="4535"/>
        <w:tab w:val="right" w:pos="9071"/>
      </w:tabs>
      <w:spacing w:before="0"/>
    </w:pPr>
  </w:style>
  <w:style w:type="character" w:customStyle="1" w:styleId="HeaderChar">
    <w:name w:val="Header Char"/>
    <w:basedOn w:val="DefaultParagraphFont"/>
    <w:link w:val="Header"/>
    <w:uiPriority w:val="99"/>
    <w:rsid w:val="00254080"/>
    <w:rPr>
      <w:rFonts w:ascii="Times New Roman" w:hAnsi="Times New Roman" w:cs="Times New Roman"/>
      <w:sz w:val="24"/>
      <w:lang w:val="es-ES_tradnl"/>
    </w:rPr>
  </w:style>
  <w:style w:type="paragraph" w:styleId="Footer">
    <w:name w:val="footer"/>
    <w:basedOn w:val="Normal"/>
    <w:link w:val="FooterChar"/>
    <w:uiPriority w:val="99"/>
    <w:unhideWhenUsed/>
    <w:rsid w:val="002540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54080"/>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254080"/>
    <w:pPr>
      <w:tabs>
        <w:tab w:val="center" w:pos="7285"/>
        <w:tab w:val="right" w:pos="14003"/>
      </w:tabs>
      <w:spacing w:before="0"/>
    </w:pPr>
  </w:style>
  <w:style w:type="paragraph" w:customStyle="1" w:styleId="FooterLandscape">
    <w:name w:val="FooterLandscape"/>
    <w:basedOn w:val="Normal"/>
    <w:rsid w:val="002540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2540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54080"/>
    <w:pPr>
      <w:spacing w:before="0"/>
      <w:jc w:val="right"/>
    </w:pPr>
    <w:rPr>
      <w:sz w:val="28"/>
    </w:rPr>
  </w:style>
  <w:style w:type="paragraph" w:customStyle="1" w:styleId="FooterSensitivity">
    <w:name w:val="Footer Sensitivity"/>
    <w:basedOn w:val="Normal"/>
    <w:rsid w:val="002540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2"/>
      </w:numPr>
    </w:pPr>
  </w:style>
  <w:style w:type="paragraph" w:customStyle="1" w:styleId="Tiret1">
    <w:name w:val="Tiret 1"/>
    <w:basedOn w:val="Point1"/>
    <w:rsid w:val="009B7138"/>
    <w:pPr>
      <w:numPr>
        <w:numId w:val="13"/>
      </w:numPr>
    </w:pPr>
  </w:style>
  <w:style w:type="paragraph" w:customStyle="1" w:styleId="Tiret2">
    <w:name w:val="Tiret 2"/>
    <w:basedOn w:val="Point2"/>
    <w:rsid w:val="009B7138"/>
    <w:pPr>
      <w:numPr>
        <w:numId w:val="14"/>
      </w:numPr>
    </w:pPr>
  </w:style>
  <w:style w:type="paragraph" w:customStyle="1" w:styleId="Tiret3">
    <w:name w:val="Tiret 3"/>
    <w:basedOn w:val="Point3"/>
    <w:rsid w:val="009B7138"/>
    <w:pPr>
      <w:numPr>
        <w:numId w:val="15"/>
      </w:numPr>
    </w:pPr>
  </w:style>
  <w:style w:type="paragraph" w:customStyle="1" w:styleId="Tiret4">
    <w:name w:val="Tiret 4"/>
    <w:basedOn w:val="Point4"/>
    <w:rsid w:val="009B7138"/>
    <w:pPr>
      <w:numPr>
        <w:numId w:val="1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0"/>
      </w:numPr>
    </w:pPr>
  </w:style>
  <w:style w:type="paragraph" w:customStyle="1" w:styleId="NumPar2">
    <w:name w:val="NumPar 2"/>
    <w:basedOn w:val="Normal"/>
    <w:next w:val="Text1"/>
    <w:rsid w:val="009B7138"/>
    <w:pPr>
      <w:numPr>
        <w:ilvl w:val="1"/>
        <w:numId w:val="40"/>
      </w:numPr>
    </w:pPr>
  </w:style>
  <w:style w:type="paragraph" w:customStyle="1" w:styleId="NumPar3">
    <w:name w:val="NumPar 3"/>
    <w:basedOn w:val="Normal"/>
    <w:next w:val="Text1"/>
    <w:rsid w:val="009B7138"/>
    <w:pPr>
      <w:numPr>
        <w:ilvl w:val="2"/>
        <w:numId w:val="40"/>
      </w:numPr>
    </w:pPr>
  </w:style>
  <w:style w:type="paragraph" w:customStyle="1" w:styleId="NumPar4">
    <w:name w:val="NumPar 4"/>
    <w:basedOn w:val="Normal"/>
    <w:next w:val="Text1"/>
    <w:rsid w:val="009B7138"/>
    <w:pPr>
      <w:numPr>
        <w:ilvl w:val="3"/>
        <w:numId w:val="4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7B1B7A"/>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9"/>
      </w:numPr>
    </w:pPr>
  </w:style>
  <w:style w:type="paragraph" w:customStyle="1" w:styleId="Point1number">
    <w:name w:val="Point 1 (number)"/>
    <w:basedOn w:val="Normal"/>
    <w:rsid w:val="009B7138"/>
    <w:pPr>
      <w:numPr>
        <w:ilvl w:val="2"/>
        <w:numId w:val="19"/>
      </w:numPr>
    </w:pPr>
  </w:style>
  <w:style w:type="paragraph" w:customStyle="1" w:styleId="Point2number">
    <w:name w:val="Point 2 (number)"/>
    <w:basedOn w:val="Normal"/>
    <w:rsid w:val="009B7138"/>
    <w:pPr>
      <w:numPr>
        <w:ilvl w:val="4"/>
        <w:numId w:val="19"/>
      </w:numPr>
    </w:pPr>
  </w:style>
  <w:style w:type="paragraph" w:customStyle="1" w:styleId="Point3number">
    <w:name w:val="Point 3 (number)"/>
    <w:basedOn w:val="Normal"/>
    <w:rsid w:val="009B7138"/>
    <w:pPr>
      <w:numPr>
        <w:ilvl w:val="6"/>
        <w:numId w:val="19"/>
      </w:numPr>
    </w:pPr>
  </w:style>
  <w:style w:type="paragraph" w:customStyle="1" w:styleId="Point0letter">
    <w:name w:val="Point 0 (letter)"/>
    <w:basedOn w:val="Normal"/>
    <w:rsid w:val="009B7138"/>
    <w:pPr>
      <w:numPr>
        <w:ilvl w:val="1"/>
        <w:numId w:val="19"/>
      </w:numPr>
    </w:pPr>
  </w:style>
  <w:style w:type="paragraph" w:customStyle="1" w:styleId="Point1letter">
    <w:name w:val="Point 1 (letter)"/>
    <w:basedOn w:val="Normal"/>
    <w:rsid w:val="009B7138"/>
    <w:pPr>
      <w:numPr>
        <w:ilvl w:val="3"/>
        <w:numId w:val="19"/>
      </w:numPr>
    </w:pPr>
  </w:style>
  <w:style w:type="paragraph" w:customStyle="1" w:styleId="Point2letter">
    <w:name w:val="Point 2 (letter)"/>
    <w:basedOn w:val="Normal"/>
    <w:rsid w:val="009B7138"/>
    <w:pPr>
      <w:numPr>
        <w:ilvl w:val="5"/>
        <w:numId w:val="19"/>
      </w:numPr>
    </w:pPr>
  </w:style>
  <w:style w:type="paragraph" w:customStyle="1" w:styleId="Point3letter">
    <w:name w:val="Point 3 (letter)"/>
    <w:basedOn w:val="Normal"/>
    <w:rsid w:val="009B7138"/>
    <w:pPr>
      <w:numPr>
        <w:ilvl w:val="7"/>
        <w:numId w:val="19"/>
      </w:numPr>
    </w:pPr>
  </w:style>
  <w:style w:type="paragraph" w:customStyle="1" w:styleId="Point4letter">
    <w:name w:val="Point 4 (letter)"/>
    <w:basedOn w:val="Normal"/>
    <w:rsid w:val="009B7138"/>
    <w:pPr>
      <w:numPr>
        <w:ilvl w:val="8"/>
        <w:numId w:val="19"/>
      </w:numPr>
    </w:pPr>
  </w:style>
  <w:style w:type="paragraph" w:customStyle="1" w:styleId="Bullet0">
    <w:name w:val="Bullet 0"/>
    <w:basedOn w:val="Normal"/>
    <w:rsid w:val="009B7138"/>
    <w:pPr>
      <w:numPr>
        <w:numId w:val="20"/>
      </w:numPr>
    </w:pPr>
  </w:style>
  <w:style w:type="paragraph" w:customStyle="1" w:styleId="Bullet1">
    <w:name w:val="Bullet 1"/>
    <w:basedOn w:val="Normal"/>
    <w:rsid w:val="009B7138"/>
    <w:pPr>
      <w:numPr>
        <w:numId w:val="21"/>
      </w:numPr>
    </w:pPr>
  </w:style>
  <w:style w:type="paragraph" w:customStyle="1" w:styleId="Bullet2">
    <w:name w:val="Bullet 2"/>
    <w:basedOn w:val="Normal"/>
    <w:rsid w:val="009B7138"/>
    <w:pPr>
      <w:numPr>
        <w:numId w:val="22"/>
      </w:numPr>
    </w:pPr>
  </w:style>
  <w:style w:type="paragraph" w:customStyle="1" w:styleId="Bullet3">
    <w:name w:val="Bullet 3"/>
    <w:basedOn w:val="Normal"/>
    <w:rsid w:val="009B7138"/>
    <w:pPr>
      <w:numPr>
        <w:numId w:val="23"/>
      </w:numPr>
    </w:pPr>
  </w:style>
  <w:style w:type="paragraph" w:customStyle="1" w:styleId="Bullet4">
    <w:name w:val="Bullet 4"/>
    <w:basedOn w:val="Normal"/>
    <w:rsid w:val="009B7138"/>
    <w:pPr>
      <w:numPr>
        <w:numId w:val="2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D278E6"/>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D278E6"/>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D278E6"/>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D278E6"/>
    <w:pPr>
      <w:keepNext/>
      <w:tabs>
        <w:tab w:val="left" w:pos="1417"/>
      </w:tabs>
      <w:ind w:left="1417" w:hanging="1417"/>
      <w:outlineLvl w:val="4"/>
    </w:pPr>
  </w:style>
  <w:style w:type="paragraph" w:customStyle="1" w:styleId="ManualHeading6">
    <w:name w:val="Manual Heading 6"/>
    <w:basedOn w:val="Normal"/>
    <w:next w:val="Text2"/>
    <w:rsid w:val="00D278E6"/>
    <w:pPr>
      <w:keepNext/>
      <w:tabs>
        <w:tab w:val="left" w:pos="1417"/>
      </w:tabs>
      <w:ind w:left="1417" w:hanging="1417"/>
      <w:outlineLvl w:val="5"/>
    </w:pPr>
  </w:style>
  <w:style w:type="paragraph" w:customStyle="1" w:styleId="ManualHeading7">
    <w:name w:val="Manual Heading 7"/>
    <w:basedOn w:val="Normal"/>
    <w:next w:val="Text2"/>
    <w:rsid w:val="00D278E6"/>
    <w:pPr>
      <w:keepNext/>
      <w:tabs>
        <w:tab w:val="left" w:pos="1417"/>
      </w:tabs>
      <w:ind w:left="1417" w:hanging="1417"/>
      <w:outlineLvl w:val="6"/>
    </w:pPr>
  </w:style>
  <w:style w:type="paragraph" w:customStyle="1" w:styleId="Text5">
    <w:name w:val="Text 5"/>
    <w:basedOn w:val="Normal"/>
    <w:rsid w:val="00D278E6"/>
    <w:pPr>
      <w:ind w:left="3118"/>
    </w:pPr>
  </w:style>
  <w:style w:type="paragraph" w:customStyle="1" w:styleId="Text6">
    <w:name w:val="Text 6"/>
    <w:basedOn w:val="Normal"/>
    <w:rsid w:val="00D278E6"/>
    <w:pPr>
      <w:ind w:left="3685"/>
    </w:pPr>
  </w:style>
  <w:style w:type="paragraph" w:customStyle="1" w:styleId="Point5">
    <w:name w:val="Point 5"/>
    <w:basedOn w:val="Normal"/>
    <w:rsid w:val="00D278E6"/>
    <w:pPr>
      <w:ind w:left="3685" w:hanging="567"/>
    </w:pPr>
  </w:style>
  <w:style w:type="paragraph" w:customStyle="1" w:styleId="Tiret5">
    <w:name w:val="Tiret 5"/>
    <w:basedOn w:val="Point5"/>
    <w:rsid w:val="00D278E6"/>
    <w:pPr>
      <w:numPr>
        <w:numId w:val="37"/>
      </w:numPr>
    </w:pPr>
  </w:style>
  <w:style w:type="paragraph" w:customStyle="1" w:styleId="NumPar5">
    <w:name w:val="NumPar 5"/>
    <w:basedOn w:val="Normal"/>
    <w:next w:val="Text2"/>
    <w:rsid w:val="00D278E6"/>
    <w:pPr>
      <w:numPr>
        <w:ilvl w:val="4"/>
        <w:numId w:val="40"/>
      </w:numPr>
    </w:pPr>
  </w:style>
  <w:style w:type="paragraph" w:customStyle="1" w:styleId="NumPar6">
    <w:name w:val="NumPar 6"/>
    <w:basedOn w:val="Normal"/>
    <w:next w:val="Text2"/>
    <w:rsid w:val="00D278E6"/>
    <w:pPr>
      <w:numPr>
        <w:ilvl w:val="5"/>
        <w:numId w:val="40"/>
      </w:numPr>
    </w:pPr>
  </w:style>
  <w:style w:type="paragraph" w:customStyle="1" w:styleId="NumPar7">
    <w:name w:val="NumPar 7"/>
    <w:basedOn w:val="Normal"/>
    <w:next w:val="Text2"/>
    <w:rsid w:val="00D278E6"/>
    <w:pPr>
      <w:numPr>
        <w:ilvl w:val="6"/>
        <w:numId w:val="40"/>
      </w:numPr>
    </w:pPr>
  </w:style>
  <w:style w:type="paragraph" w:customStyle="1" w:styleId="ManualNumPar5">
    <w:name w:val="Manual NumPar 5"/>
    <w:basedOn w:val="Normal"/>
    <w:next w:val="Text2"/>
    <w:rsid w:val="00D278E6"/>
    <w:pPr>
      <w:ind w:left="1417" w:hanging="1417"/>
    </w:pPr>
  </w:style>
  <w:style w:type="paragraph" w:customStyle="1" w:styleId="ManualNumPar6">
    <w:name w:val="Manual NumPar 6"/>
    <w:basedOn w:val="Normal"/>
    <w:next w:val="Text2"/>
    <w:rsid w:val="00D278E6"/>
    <w:pPr>
      <w:ind w:left="1417" w:hanging="1417"/>
    </w:pPr>
  </w:style>
  <w:style w:type="paragraph" w:customStyle="1" w:styleId="ManualNumPar7">
    <w:name w:val="Manual NumPar 7"/>
    <w:basedOn w:val="Normal"/>
    <w:next w:val="Text2"/>
    <w:rsid w:val="00D278E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07668">
      <w:bodyDiv w:val="1"/>
      <w:marLeft w:val="0"/>
      <w:marRight w:val="0"/>
      <w:marTop w:val="0"/>
      <w:marBottom w:val="0"/>
      <w:divBdr>
        <w:top w:val="none" w:sz="0" w:space="0" w:color="auto"/>
        <w:left w:val="none" w:sz="0" w:space="0" w:color="auto"/>
        <w:bottom w:val="none" w:sz="0" w:space="0" w:color="auto"/>
        <w:right w:val="none" w:sz="0" w:space="0" w:color="auto"/>
      </w:divBdr>
    </w:div>
    <w:div w:id="19494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ECAB-C6C8-4A10-8676-2A86D85D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5</TotalTime>
  <Pages>23</Pages>
  <Words>9455</Words>
  <Characters>50023</Characters>
  <Application>Microsoft Office Word</Application>
  <DocSecurity>0</DocSecurity>
  <Lines>877</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KOUTZIAVASILI Dimitra (SG)</cp:lastModifiedBy>
  <cp:revision>73</cp:revision>
  <cp:lastPrinted>2022-02-23T11:22:00Z</cp:lastPrinted>
  <dcterms:created xsi:type="dcterms:W3CDTF">2022-02-24T19:50:00Z</dcterms:created>
  <dcterms:modified xsi:type="dcterms:W3CDTF">2022-09-09T14:28:00Z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8.0.1, Build 20220429</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SG-057</vt:lpwstr>
  </property>
  <property fmtid="{D5CDD505-2E9C-101B-9397-08002B2CF9AE}" pid="10" name="DQCStatus">
    <vt:lpwstr>Yellow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2022-09-09T14:22:34Z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16998856-5bc8-4337-9aa2-4500605e6ebf</vt:lpwstr>
  </property>
  <property fmtid="{D5CDD505-2E9C-101B-9397-08002B2CF9AE}" pid="17" name="MSIP_Label_6bd9ddd1-4d20-43f6-abfa-fc3c07406f94_ContentBits">
    <vt:lpwstr>0</vt:lpwstr>
  </property>
</Properties>
</file>