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8F2A2" w14:textId="07B1516D" w:rsidR="007D46C5" w:rsidRDefault="00DC2BB6" w:rsidP="00DC2BB6">
      <w:pPr>
        <w:pStyle w:val="Pagedecouverture"/>
        <w:rPr>
          <w:noProof/>
        </w:rPr>
      </w:pPr>
      <w:bookmarkStart w:id="0" w:name="LW_BM_COVERPAGE"/>
      <w:r>
        <w:rPr>
          <w:noProof/>
        </w:rPr>
        <w:pict w14:anchorId="274B3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AA2D25-134E-4B48-97E8-F303C5E72E30" style="width:455.25pt;height:351.75pt">
            <v:imagedata r:id="rId11" o:title=""/>
          </v:shape>
        </w:pict>
      </w:r>
    </w:p>
    <w:bookmarkEnd w:id="0"/>
    <w:p w14:paraId="7C611B52" w14:textId="77777777" w:rsidR="008704EC" w:rsidRDefault="008704EC" w:rsidP="008704EC">
      <w:pPr>
        <w:rPr>
          <w:noProof/>
        </w:rPr>
        <w:sectPr w:rsidR="008704EC" w:rsidSect="00DC2BB6">
          <w:headerReference w:type="even" r:id="rId12"/>
          <w:headerReference w:type="default" r:id="rId13"/>
          <w:footerReference w:type="even" r:id="rId14"/>
          <w:footerReference w:type="default" r:id="rId15"/>
          <w:headerReference w:type="first" r:id="rId16"/>
          <w:footerReference w:type="first" r:id="rId17"/>
          <w:pgSz w:w="11907" w:h="16839" w:code="9"/>
          <w:pgMar w:top="1134" w:right="1417" w:bottom="1134" w:left="1417" w:header="709" w:footer="709" w:gutter="0"/>
          <w:pgNumType w:start="0"/>
          <w:cols w:space="720"/>
          <w:docGrid w:linePitch="326"/>
        </w:sectPr>
      </w:pPr>
    </w:p>
    <w:p w14:paraId="18A0DA24" w14:textId="77777777" w:rsidR="00F92F03" w:rsidRPr="00F92F03" w:rsidRDefault="00F92F03" w:rsidP="00824FCF">
      <w:pPr>
        <w:rPr>
          <w:rFonts w:ascii="Verdana" w:hAnsi="Verdana"/>
          <w:noProof/>
          <w:sz w:val="16"/>
        </w:rPr>
      </w:pPr>
      <w:bookmarkStart w:id="1" w:name="_GoBack"/>
      <w:bookmarkEnd w:id="1"/>
    </w:p>
    <w:p w14:paraId="6DDD60BB" w14:textId="77777777" w:rsidR="00F92F03" w:rsidRPr="00F92F03" w:rsidRDefault="00F92F03" w:rsidP="00824FCF">
      <w:pPr>
        <w:rPr>
          <w:rFonts w:ascii="Verdana" w:hAnsi="Verdana"/>
          <w:noProof/>
          <w:sz w:val="16"/>
        </w:rPr>
      </w:pPr>
    </w:p>
    <w:p w14:paraId="60D4D4FA" w14:textId="77777777" w:rsidR="00BD415C" w:rsidRDefault="00BD415C" w:rsidP="00BD415C">
      <w:pPr>
        <w:pStyle w:val="Heading1"/>
        <w:numPr>
          <w:ilvl w:val="0"/>
          <w:numId w:val="0"/>
        </w:numPr>
        <w:ind w:left="482"/>
        <w:rPr>
          <w:noProof/>
        </w:rPr>
      </w:pPr>
      <w:r>
        <w:rPr>
          <w:noProof/>
        </w:rPr>
        <w:t>Käytetyt lyhenteet</w:t>
      </w:r>
    </w:p>
    <w:p w14:paraId="5FFB5C27" w14:textId="77777777" w:rsidR="00BD415C" w:rsidRDefault="00BD415C" w:rsidP="00BD415C">
      <w:pPr>
        <w:pStyle w:val="MBT"/>
        <w:rPr>
          <w:noProof/>
        </w:rPr>
      </w:pPr>
    </w:p>
    <w:p w14:paraId="490B1C22" w14:textId="77777777" w:rsidR="00BD415C" w:rsidRPr="00375A0A" w:rsidRDefault="00BD415C" w:rsidP="00BD415C">
      <w:pPr>
        <w:pStyle w:val="MBT"/>
        <w:rPr>
          <w:noProof/>
        </w:rPr>
      </w:pPr>
      <w:r>
        <w:rPr>
          <w:noProof/>
        </w:rPr>
        <w:t>BPR</w:t>
      </w:r>
      <w:r>
        <w:rPr>
          <w:noProof/>
        </w:rPr>
        <w:tab/>
      </w:r>
      <w:r>
        <w:rPr>
          <w:noProof/>
        </w:rPr>
        <w:tab/>
        <w:t xml:space="preserve">Biosidivalmisteasetus </w:t>
      </w:r>
    </w:p>
    <w:p w14:paraId="4A4327A2" w14:textId="77777777" w:rsidR="00BD415C" w:rsidRPr="00375A0A" w:rsidRDefault="00BD415C" w:rsidP="00BD415C">
      <w:pPr>
        <w:pStyle w:val="MBT"/>
        <w:rPr>
          <w:noProof/>
        </w:rPr>
      </w:pPr>
      <w:r>
        <w:rPr>
          <w:noProof/>
        </w:rPr>
        <w:t>CLP</w:t>
      </w:r>
      <w:r>
        <w:rPr>
          <w:noProof/>
        </w:rPr>
        <w:tab/>
      </w:r>
      <w:r>
        <w:rPr>
          <w:noProof/>
        </w:rPr>
        <w:tab/>
        <w:t xml:space="preserve">Luokitusta, merkintöjä ja pakkaamista koskeva asetus </w:t>
      </w:r>
    </w:p>
    <w:p w14:paraId="0D543F2E" w14:textId="77777777" w:rsidR="00BD415C" w:rsidRPr="00375A0A" w:rsidRDefault="00BD415C" w:rsidP="00BD415C">
      <w:pPr>
        <w:pStyle w:val="MBT"/>
        <w:rPr>
          <w:noProof/>
        </w:rPr>
      </w:pPr>
      <w:r>
        <w:rPr>
          <w:noProof/>
        </w:rPr>
        <w:t>DNA</w:t>
      </w:r>
      <w:r>
        <w:rPr>
          <w:noProof/>
        </w:rPr>
        <w:tab/>
      </w:r>
      <w:r>
        <w:rPr>
          <w:noProof/>
        </w:rPr>
        <w:tab/>
        <w:t xml:space="preserve">Nimetty kansallinen viranomainen </w:t>
      </w:r>
    </w:p>
    <w:p w14:paraId="74088C91" w14:textId="77777777" w:rsidR="00BD415C" w:rsidRDefault="00BD415C" w:rsidP="00BD415C">
      <w:pPr>
        <w:pStyle w:val="MBT"/>
        <w:rPr>
          <w:noProof/>
        </w:rPr>
      </w:pPr>
      <w:r>
        <w:rPr>
          <w:noProof/>
        </w:rPr>
        <w:t>ECHA</w:t>
      </w:r>
      <w:r>
        <w:rPr>
          <w:noProof/>
        </w:rPr>
        <w:tab/>
      </w:r>
      <w:r>
        <w:rPr>
          <w:noProof/>
        </w:rPr>
        <w:tab/>
        <w:t xml:space="preserve">Euroopan kemikaalivirasto </w:t>
      </w:r>
    </w:p>
    <w:p w14:paraId="0705941C" w14:textId="77777777" w:rsidR="00BD415C" w:rsidRPr="00375A0A" w:rsidRDefault="00BD415C" w:rsidP="00BD415C">
      <w:pPr>
        <w:pStyle w:val="MBT"/>
        <w:rPr>
          <w:noProof/>
        </w:rPr>
      </w:pPr>
      <w:r>
        <w:rPr>
          <w:noProof/>
        </w:rPr>
        <w:t>ePIC</w:t>
      </w:r>
      <w:r>
        <w:rPr>
          <w:noProof/>
        </w:rPr>
        <w:tab/>
      </w:r>
      <w:r>
        <w:rPr>
          <w:noProof/>
        </w:rPr>
        <w:tab/>
        <w:t>Asetuksen (EU) N:o 649/2012 täytäntöönpanosovellus</w:t>
      </w:r>
    </w:p>
    <w:p w14:paraId="7C0FAC57" w14:textId="77777777" w:rsidR="00763960" w:rsidRDefault="00763960" w:rsidP="00BD415C">
      <w:pPr>
        <w:pStyle w:val="MBT"/>
        <w:rPr>
          <w:noProof/>
        </w:rPr>
      </w:pPr>
      <w:r>
        <w:rPr>
          <w:noProof/>
        </w:rPr>
        <w:t>EU</w:t>
      </w:r>
      <w:r>
        <w:rPr>
          <w:noProof/>
        </w:rPr>
        <w:tab/>
      </w:r>
      <w:r>
        <w:rPr>
          <w:noProof/>
        </w:rPr>
        <w:tab/>
        <w:t>Euroopan unioni</w:t>
      </w:r>
    </w:p>
    <w:p w14:paraId="00539253" w14:textId="77777777" w:rsidR="0087252F" w:rsidRDefault="0087252F" w:rsidP="00BD415C">
      <w:pPr>
        <w:pStyle w:val="MBT"/>
        <w:rPr>
          <w:noProof/>
        </w:rPr>
      </w:pPr>
      <w:r>
        <w:rPr>
          <w:noProof/>
        </w:rPr>
        <w:t>FRA</w:t>
      </w:r>
      <w:r>
        <w:rPr>
          <w:noProof/>
        </w:rPr>
        <w:tab/>
      </w:r>
      <w:r>
        <w:rPr>
          <w:noProof/>
        </w:rPr>
        <w:tab/>
        <w:t>Lopullinen unionin sääntelytoimi</w:t>
      </w:r>
    </w:p>
    <w:p w14:paraId="2121326D" w14:textId="77777777" w:rsidR="00BD415C" w:rsidRPr="00375A0A" w:rsidRDefault="00BD415C" w:rsidP="00BD415C">
      <w:pPr>
        <w:pStyle w:val="MBT"/>
        <w:rPr>
          <w:noProof/>
        </w:rPr>
      </w:pPr>
      <w:r>
        <w:rPr>
          <w:noProof/>
        </w:rPr>
        <w:t>NEA</w:t>
      </w:r>
      <w:r>
        <w:rPr>
          <w:noProof/>
        </w:rPr>
        <w:tab/>
      </w:r>
      <w:r>
        <w:rPr>
          <w:noProof/>
        </w:rPr>
        <w:tab/>
        <w:t xml:space="preserve">Kansallinen täytäntöönpanoviranomainen </w:t>
      </w:r>
    </w:p>
    <w:p w14:paraId="119842E3" w14:textId="77777777" w:rsidR="00BD415C" w:rsidRPr="00375A0A" w:rsidRDefault="00BD415C" w:rsidP="00BD415C">
      <w:pPr>
        <w:pStyle w:val="MBT"/>
        <w:rPr>
          <w:noProof/>
        </w:rPr>
      </w:pPr>
      <w:r>
        <w:rPr>
          <w:noProof/>
        </w:rPr>
        <w:t>OECD</w:t>
      </w:r>
      <w:r>
        <w:rPr>
          <w:noProof/>
        </w:rPr>
        <w:tab/>
      </w:r>
      <w:r>
        <w:rPr>
          <w:noProof/>
        </w:rPr>
        <w:tab/>
        <w:t>Taloudellisen yhteistyön ja kehityksen järjestö</w:t>
      </w:r>
    </w:p>
    <w:p w14:paraId="194AC4AD" w14:textId="77777777" w:rsidR="00BD415C" w:rsidRPr="00375A0A" w:rsidRDefault="00BD415C" w:rsidP="00BD415C">
      <w:pPr>
        <w:pStyle w:val="MBT"/>
        <w:rPr>
          <w:noProof/>
        </w:rPr>
      </w:pPr>
      <w:r>
        <w:rPr>
          <w:noProof/>
        </w:rPr>
        <w:t xml:space="preserve">PIC </w:t>
      </w:r>
      <w:r>
        <w:rPr>
          <w:noProof/>
        </w:rPr>
        <w:tab/>
      </w:r>
      <w:r>
        <w:rPr>
          <w:noProof/>
        </w:rPr>
        <w:tab/>
        <w:t xml:space="preserve">Ilmoitettu ennakkosuostumus </w:t>
      </w:r>
    </w:p>
    <w:p w14:paraId="6467DBE4" w14:textId="77777777" w:rsidR="00BD415C" w:rsidRDefault="00BD415C" w:rsidP="00BD415C">
      <w:pPr>
        <w:pStyle w:val="MBT"/>
        <w:rPr>
          <w:noProof/>
        </w:rPr>
      </w:pPr>
      <w:r>
        <w:rPr>
          <w:noProof/>
        </w:rPr>
        <w:t>PPPR</w:t>
      </w:r>
      <w:r>
        <w:rPr>
          <w:noProof/>
        </w:rPr>
        <w:tab/>
      </w:r>
      <w:r>
        <w:rPr>
          <w:noProof/>
        </w:rPr>
        <w:tab/>
        <w:t xml:space="preserve">Kasvinsuojeluaineiden markkinoille saattamista koskeva asetus </w:t>
      </w:r>
    </w:p>
    <w:p w14:paraId="7F6B98C2" w14:textId="77777777" w:rsidR="00BD415C" w:rsidRPr="00375A0A" w:rsidRDefault="00BD415C" w:rsidP="00BD415C">
      <w:pPr>
        <w:pStyle w:val="MBT"/>
        <w:ind w:left="1440" w:hanging="1440"/>
        <w:rPr>
          <w:noProof/>
        </w:rPr>
      </w:pPr>
      <w:r>
        <w:rPr>
          <w:noProof/>
        </w:rPr>
        <w:t>REACH</w:t>
      </w:r>
      <w:r>
        <w:rPr>
          <w:noProof/>
        </w:rPr>
        <w:tab/>
        <w:t xml:space="preserve">Kemikaalien rekisteröintiä, arviointia, lupamenettelyjä ja rajoituksia koskeva asetus </w:t>
      </w:r>
    </w:p>
    <w:p w14:paraId="5DD04FFF" w14:textId="77777777" w:rsidR="00BD415C" w:rsidRPr="00375A0A" w:rsidRDefault="00BD415C" w:rsidP="00BD415C">
      <w:pPr>
        <w:pStyle w:val="MBT"/>
        <w:rPr>
          <w:noProof/>
        </w:rPr>
      </w:pPr>
      <w:r>
        <w:rPr>
          <w:noProof/>
        </w:rPr>
        <w:t>RIN</w:t>
      </w:r>
      <w:r>
        <w:rPr>
          <w:noProof/>
        </w:rPr>
        <w:tab/>
      </w:r>
      <w:r>
        <w:rPr>
          <w:noProof/>
        </w:rPr>
        <w:tab/>
        <w:t xml:space="preserve">Yksilöllinen viitenumero </w:t>
      </w:r>
    </w:p>
    <w:p w14:paraId="1B99DDDA" w14:textId="77777777" w:rsidR="00BD415C" w:rsidRDefault="00BD415C" w:rsidP="00BD415C">
      <w:pPr>
        <w:pStyle w:val="MBT"/>
        <w:rPr>
          <w:noProof/>
        </w:rPr>
      </w:pPr>
      <w:r>
        <w:rPr>
          <w:noProof/>
        </w:rPr>
        <w:t>SDS</w:t>
      </w:r>
      <w:r>
        <w:rPr>
          <w:noProof/>
        </w:rPr>
        <w:tab/>
      </w:r>
      <w:r>
        <w:rPr>
          <w:noProof/>
        </w:rPr>
        <w:tab/>
        <w:t xml:space="preserve">Käyttöturvallisuustiedote </w:t>
      </w:r>
    </w:p>
    <w:p w14:paraId="78E0C377" w14:textId="77777777" w:rsidR="00BD415C" w:rsidRDefault="00BD415C" w:rsidP="00BD415C">
      <w:pPr>
        <w:pStyle w:val="MBT"/>
        <w:rPr>
          <w:noProof/>
        </w:rPr>
      </w:pPr>
    </w:p>
    <w:p w14:paraId="61B7B32D" w14:textId="77777777" w:rsidR="00BD415C" w:rsidRDefault="00BD415C" w:rsidP="00BD415C">
      <w:pPr>
        <w:pStyle w:val="MBT"/>
        <w:rPr>
          <w:noProof/>
        </w:rPr>
      </w:pPr>
    </w:p>
    <w:p w14:paraId="5F61A46E" w14:textId="77777777" w:rsidR="00F92F03" w:rsidRPr="00BD415C" w:rsidRDefault="00F92F03" w:rsidP="00BD415C">
      <w:pPr>
        <w:pStyle w:val="MBT"/>
        <w:rPr>
          <w:noProof/>
        </w:rPr>
      </w:pPr>
    </w:p>
    <w:p w14:paraId="3FEDFD0F" w14:textId="77777777" w:rsidR="00BD415C" w:rsidRDefault="00BD415C" w:rsidP="00BD415C">
      <w:pPr>
        <w:pStyle w:val="Text1"/>
        <w:rPr>
          <w:noProof/>
        </w:rPr>
      </w:pPr>
      <w:r>
        <w:rPr>
          <w:noProof/>
        </w:rPr>
        <w:br w:type="page"/>
      </w:r>
    </w:p>
    <w:p w14:paraId="2811EDE9" w14:textId="77777777" w:rsidR="003F5BD0" w:rsidRDefault="003F5BD0" w:rsidP="003F5BD0">
      <w:pPr>
        <w:pStyle w:val="Heading1"/>
        <w:rPr>
          <w:noProof/>
        </w:rPr>
      </w:pPr>
      <w:r>
        <w:rPr>
          <w:noProof/>
        </w:rPr>
        <w:t xml:space="preserve">Johdanto </w:t>
      </w:r>
    </w:p>
    <w:p w14:paraId="52E0C5BB" w14:textId="77777777" w:rsidR="00945E49" w:rsidRPr="00375A0A" w:rsidRDefault="00945E49" w:rsidP="00945E49">
      <w:pPr>
        <w:pStyle w:val="Heading2"/>
        <w:spacing w:after="240"/>
        <w:ind w:left="1202"/>
        <w:rPr>
          <w:noProof/>
        </w:rPr>
      </w:pPr>
      <w:r>
        <w:rPr>
          <w:noProof/>
        </w:rPr>
        <w:t xml:space="preserve">PIC-asetus </w:t>
      </w:r>
    </w:p>
    <w:p w14:paraId="140E78B8" w14:textId="77777777" w:rsidR="00945E49" w:rsidRDefault="00945E49" w:rsidP="005F6C57">
      <w:pPr>
        <w:pStyle w:val="MBT"/>
        <w:spacing w:after="120" w:line="320" w:lineRule="atLeast"/>
        <w:rPr>
          <w:noProof/>
        </w:rPr>
      </w:pPr>
      <w:r>
        <w:rPr>
          <w:noProof/>
        </w:rPr>
        <w:t>Asetuksella (EU) N:o 649/2012</w:t>
      </w:r>
      <w:r>
        <w:rPr>
          <w:rStyle w:val="FootnoteReference"/>
          <w:noProof/>
        </w:rPr>
        <w:footnoteReference w:id="1"/>
      </w:r>
      <w:r>
        <w:rPr>
          <w:noProof/>
        </w:rPr>
        <w:t>, jäljempänä ’PIC-asetus’, pannaan täytäntöön Rotterdamin yleissopimus kansainvälisen kaupan kohteina olevia tiettyjä vaarallisia kemikaaleja ja torjunta-aineita koskevan ilmoitetun ennakkosuostumuksen (PIC) menettelystä. Asetuksen tavoitteena on edistää yhteisvastuuta ja yhteisiä ponnisteluja vaarallisten kemikaalien kansainvälisissä siirroissa sekä suojella ihmisten terveyttä ja ympäristöä mahdollisilta haitoilta helpottamalla vaarallisten kemikaalien ominaisuuksia koskevien tietojen vaihtoa, säätämällä kemikaalien tuontiin ja vientiin sovellettavasta unionin päätöksentekomenettelystä sekä ilmoittamalla päätöksistä osapuolille ja tapauksen mukaan muille maille.</w:t>
      </w:r>
    </w:p>
    <w:p w14:paraId="17F269F9" w14:textId="71A80E0D" w:rsidR="00DB1739" w:rsidRDefault="00945E49" w:rsidP="005F6C57">
      <w:pPr>
        <w:pStyle w:val="MBT"/>
        <w:spacing w:after="120" w:line="320" w:lineRule="atLeast"/>
        <w:rPr>
          <w:noProof/>
        </w:rPr>
      </w:pPr>
      <w:r>
        <w:rPr>
          <w:noProof/>
        </w:rPr>
        <w:t>PIC-asetusta sovelletaan Rotterdamin yleissopimuksen liitteessä III lueteltuihin kemikaaleihin sekä teollisuuskemikaaleihin (joita käyttävät ammattilaiset ja kuluttajat) ja torjunta-aineisiin (myös biosideihin), jotka ovat kiellettyjä tai ankarasti säänneltyjä unionin lainsäädännön nojalla terveyteen tai ympäristöön liittyvistä syistä. Asetus on yleissopimuksen vaatimuksia tiukempi, sillä sitä sovelletaan kaikkiin maihin kohdistuvaan vientiin, ja siinä edellytetään tuojamaan suostumusta paljon useampien kemikaalien kuin vain yleissopimuksessa lueteltujen kemikaalien osalta. Vientiä koskevia vaatimuksia sovelletaan myös tiettyihin seoksiin, jotka sisältävät lueteltuja kemikaaleja.</w:t>
      </w:r>
    </w:p>
    <w:p w14:paraId="694F1EBE" w14:textId="4EBD6234" w:rsidR="00A761A1" w:rsidRPr="00AA3B26" w:rsidRDefault="001422B6" w:rsidP="005F6C57">
      <w:pPr>
        <w:pStyle w:val="MBT"/>
        <w:spacing w:after="120" w:line="320" w:lineRule="atLeast"/>
        <w:rPr>
          <w:noProof/>
        </w:rPr>
      </w:pPr>
      <w:r>
        <w:rPr>
          <w:noProof/>
        </w:rPr>
        <w:t>Vienteihin sovelletaan PIC-asetuksen nojalla erilaisia vaatimuksia sen mukaan, miten ne on luetteloitu liitteessä I: liitteessä I olevassa 1 osassa luetelluista kemikaaleista on tehtävä vienti-ilmoitus tuojamaalle; liitteessä I olevassa 2 ja 3 osassa lueteltujen kemikaalien osalta on tehtävä vienti-ilmoitus tuojamaalle ja saatava tuojamaan nimenomainen suostumus, ellei niihin sovelleta yleissopimuksen mukaista PIC-menettelyä ja ellei niitä viedä sellaiselle osapuolelle, joka on antanut myönteisen tuontivastineen. Näitä velvollisuuksia sovelletaan myös seoksiin, jotka sisältävät asetuksen liitteessä I lueteltuja aineita sellaisina pitoisuuksina, joiden vuoksi ne on merkittävä luokitusta, merkintöjä ja pakkaamista koskevan asetuksen (EY) N:o 1272/2008 (CLP-asetus)</w:t>
      </w:r>
      <w:r>
        <w:rPr>
          <w:rStyle w:val="FootnoteReference"/>
          <w:noProof/>
        </w:rPr>
        <w:footnoteReference w:id="2"/>
      </w:r>
      <w:r>
        <w:rPr>
          <w:noProof/>
        </w:rPr>
        <w:t xml:space="preserve"> mukaisesti, ja tiettyihin esineisiin. </w:t>
      </w:r>
    </w:p>
    <w:p w14:paraId="19D73776" w14:textId="77777777" w:rsidR="007D007D" w:rsidRDefault="00945E49" w:rsidP="005F6C57">
      <w:pPr>
        <w:pStyle w:val="MBT"/>
        <w:spacing w:after="120" w:line="320" w:lineRule="atLeast"/>
        <w:rPr>
          <w:noProof/>
        </w:rPr>
      </w:pPr>
      <w:r>
        <w:rPr>
          <w:noProof/>
        </w:rPr>
        <w:t>PIC-asetuksessa asetetaan myös komissiolle velvollisuuksia ilmoittaa yleissopimuksen sihteeristölle kemikaaleista, jotka on kielletty tai joita säännellään ankarasti unionissa lopullisella unionin sääntelytoimella yhden yleissopimuksessa mainitun käyttökategorian osalta (teollisuuskemikaalit tai torjunta-aineet) ja jotka on lueteltu PIC-asetuksen liitteessä I olevassa 2 osassa. Tätä prosessia kutsutaan lopullista unionin sääntelytoimea koskevaksi ilmoitukseksi, ja se on perusta kemikaalien luettelemiselle yleissopimuksen liitteessä III.</w:t>
      </w:r>
    </w:p>
    <w:p w14:paraId="32527BF5" w14:textId="4B9563C5" w:rsidR="00945E49" w:rsidRDefault="00945E49" w:rsidP="005F6C57">
      <w:pPr>
        <w:pStyle w:val="MBT"/>
        <w:spacing w:after="120" w:line="320" w:lineRule="atLeast"/>
        <w:rPr>
          <w:noProof/>
        </w:rPr>
      </w:pPr>
      <w:r>
        <w:rPr>
          <w:noProof/>
        </w:rPr>
        <w:t>Liitteessä I olevassa 3 osassa (joka vastaa yleissopimuksen liitettä III) lueteltujen kemikaalien osalta komissio tekee unionin puolesta ja PIC-asetuksella annetuin valtuuksin tuontipäätöksen, jossa määritetään, voidaanko kemikaalia tuoda unioniin ja millä ehdoilla. Tämä päätös lähetetään yleissopimuksen sihteeristölle.</w:t>
      </w:r>
    </w:p>
    <w:p w14:paraId="216A2193" w14:textId="77777777" w:rsidR="00945E49" w:rsidRDefault="00945E49" w:rsidP="005F6C57">
      <w:pPr>
        <w:pStyle w:val="MBT"/>
        <w:spacing w:after="120" w:line="300" w:lineRule="atLeast"/>
        <w:rPr>
          <w:noProof/>
        </w:rPr>
      </w:pPr>
    </w:p>
    <w:p w14:paraId="7F96C762" w14:textId="77777777" w:rsidR="00945E49" w:rsidRPr="00A55D1D" w:rsidRDefault="00945E49" w:rsidP="00B411E7">
      <w:pPr>
        <w:pStyle w:val="Heading2"/>
        <w:spacing w:after="200"/>
        <w:ind w:left="1202"/>
        <w:rPr>
          <w:noProof/>
        </w:rPr>
      </w:pPr>
      <w:r>
        <w:rPr>
          <w:noProof/>
        </w:rPr>
        <w:t xml:space="preserve">Raportointi </w:t>
      </w:r>
    </w:p>
    <w:p w14:paraId="566C09A3" w14:textId="77777777" w:rsidR="00F31440" w:rsidRPr="00AF56FF" w:rsidRDefault="00F31440" w:rsidP="005F6C57">
      <w:pPr>
        <w:pStyle w:val="MBT"/>
        <w:spacing w:line="300" w:lineRule="atLeast"/>
        <w:rPr>
          <w:noProof/>
        </w:rPr>
      </w:pPr>
      <w:r>
        <w:rPr>
          <w:noProof/>
        </w:rPr>
        <w:t xml:space="preserve">PIC-asetuksen 22 artiklassa edellytetään, että komissio raportoi asetuksen mukaisista toimistaan joka kolmas vuosi ja laatii PIC-asetuksen toimivuudesta yhteenvetokertomuksen, johon kootaan seuraavat tiedot: </w:t>
      </w:r>
    </w:p>
    <w:p w14:paraId="09BAA8FB" w14:textId="77777777" w:rsidR="00F31440" w:rsidRPr="00AF56FF" w:rsidRDefault="00F31440" w:rsidP="005F6C57">
      <w:pPr>
        <w:pStyle w:val="MBT"/>
        <w:numPr>
          <w:ilvl w:val="0"/>
          <w:numId w:val="24"/>
        </w:numPr>
        <w:spacing w:line="300" w:lineRule="atLeast"/>
        <w:rPr>
          <w:noProof/>
        </w:rPr>
      </w:pPr>
      <w:r>
        <w:rPr>
          <w:noProof/>
        </w:rPr>
        <w:t>jäsenvaltioiden 22 artiklan 1 kohdan mukaisesti toimittamat tiedot asetuksessa säädettyjen menettelyjen toiminnasta, myös tullivalvonnasta, rikkomuksista, seuraamuksista ja korjaavista toimista,</w:t>
      </w:r>
    </w:p>
    <w:p w14:paraId="58F154D6" w14:textId="77777777" w:rsidR="00F31440" w:rsidRPr="00AF56FF" w:rsidRDefault="00F31440" w:rsidP="005F6C57">
      <w:pPr>
        <w:pStyle w:val="MBT"/>
        <w:numPr>
          <w:ilvl w:val="0"/>
          <w:numId w:val="24"/>
        </w:numPr>
        <w:spacing w:line="300" w:lineRule="atLeast"/>
        <w:rPr>
          <w:noProof/>
        </w:rPr>
      </w:pPr>
      <w:r>
        <w:rPr>
          <w:noProof/>
        </w:rPr>
        <w:t>Euroopan kemikaaliviraston (ECHA) 22 artiklan 1 kohdan mukaisesti toimittamat tiedot PIC-asetukseen perustuvien menettelyjen toimivuudesta.</w:t>
      </w:r>
    </w:p>
    <w:p w14:paraId="3165D13C" w14:textId="15853FF2" w:rsidR="009E672A" w:rsidRDefault="00D866BD" w:rsidP="005F6C57">
      <w:pPr>
        <w:pStyle w:val="MBT"/>
        <w:spacing w:before="120" w:after="120" w:line="300" w:lineRule="atLeast"/>
        <w:rPr>
          <w:noProof/>
        </w:rPr>
      </w:pPr>
      <w:r>
        <w:rPr>
          <w:noProof/>
        </w:rPr>
        <w:t>Tämä asiakirja on toinen PIC-asetuksen nojalla laadittu kertomus, ja se kattaa vuodet 2017–2019. Raportointiin tarkoitettu verkkokyselylomake asetettiin jäsenvaltioiden saataville 9. kesäkuuta 2021, ja se piti täyttää 27. elokuuta 2021 mennessä. Kaikki kertomukset toimitettiin vuoden 2021 marraskuun puoliväliin mennessä. ECHA julkaisi kertomuksensa PIC-asetuksen toiminnasta</w:t>
      </w:r>
      <w:r>
        <w:rPr>
          <w:rStyle w:val="FootnoteReference"/>
          <w:noProof/>
        </w:rPr>
        <w:footnoteReference w:id="3"/>
      </w:r>
      <w:r>
        <w:rPr>
          <w:noProof/>
        </w:rPr>
        <w:t xml:space="preserve"> vuosina 2017–2019 elokuussa 2020. Tämä kertomus on tiivistelmä yhteenvetokertomuksesta, ja siinä esitetään yhteenveto PIC-asetuksen täytäntöönpanosta vuosina 2017–2019. </w:t>
      </w:r>
    </w:p>
    <w:p w14:paraId="2A18B8E0" w14:textId="77777777" w:rsidR="009E672A" w:rsidRDefault="009E672A" w:rsidP="009E672A">
      <w:pPr>
        <w:pStyle w:val="Heading1"/>
        <w:rPr>
          <w:noProof/>
        </w:rPr>
      </w:pPr>
      <w:r>
        <w:rPr>
          <w:noProof/>
        </w:rPr>
        <w:t>PIC-asetuksen hallinnointi</w:t>
      </w:r>
    </w:p>
    <w:p w14:paraId="11792732" w14:textId="78FAEC3B" w:rsidR="009E672A" w:rsidRPr="00A55D1D" w:rsidRDefault="001078A0" w:rsidP="00B411E7">
      <w:pPr>
        <w:pStyle w:val="Heading2"/>
        <w:spacing w:after="200"/>
        <w:ind w:left="1202"/>
        <w:rPr>
          <w:noProof/>
        </w:rPr>
      </w:pPr>
      <w:r>
        <w:rPr>
          <w:noProof/>
        </w:rPr>
        <w:t xml:space="preserve">Komissio, ECHA ja nimetyt kansalliset viranomaiset katsovat, että niiden toimintaa PIC-asetuksen täytäntöön panemiseksi koordinoidaan tehokkaasti </w:t>
      </w:r>
    </w:p>
    <w:p w14:paraId="6FE15705" w14:textId="77777777" w:rsidR="009329FB" w:rsidRPr="004E0C5A" w:rsidRDefault="001756A6" w:rsidP="005F6C57">
      <w:pPr>
        <w:pStyle w:val="MBT"/>
        <w:spacing w:after="120" w:line="300" w:lineRule="atLeast"/>
        <w:rPr>
          <w:noProof/>
        </w:rPr>
      </w:pPr>
      <w:r>
        <w:rPr>
          <w:noProof/>
        </w:rPr>
        <w:t xml:space="preserve">Kansallisella tasolla jokaisen jäsenvaltion on nimettävä kansallinen viranomainen suorittamaan PIC-asetuksessa edellytetyt hallintotoimet. Kuten edelliselläkin raportointijaksolla, jäsenvaltiot katsoivat, että koordinointi on toimivaa sekä nimettyjen kansallisten viranomaisten ja komission että nimettyjen kansallisten viranomaisten ja ECHA:n välillä. Useat nimetyt kansalliset viranomaiset arvostivat komission ja ECHA:n antamaa ripeää ja laadukasta tukea. Myös ECHA katsoo, että yhteistyö nimettyjen kansallisten viranomaisten kanssa on ollut tehokasta myös erimielisyyksiä käsiteltäessä. Komissio on samalla linjalla: yhteistyö nimettyjen kansallisten viranomaisten kanssa on tehokasta, etenkin niiden keskustelujen ansiosta, joita käydään kahdesti vuodessa pidettävissä PIC-asioista vastaavien nimettyjen kansallisten viranomaisten kokouksissa. </w:t>
      </w:r>
    </w:p>
    <w:p w14:paraId="32D43AF3" w14:textId="60F4DD25" w:rsidR="00A308C2" w:rsidRDefault="007374A4" w:rsidP="005F6C57">
      <w:pPr>
        <w:pStyle w:val="MBT"/>
        <w:spacing w:after="120" w:line="300" w:lineRule="atLeast"/>
        <w:rPr>
          <w:noProof/>
        </w:rPr>
      </w:pPr>
      <w:r>
        <w:rPr>
          <w:noProof/>
        </w:rPr>
        <w:t>ECHA katsoo komission kanssa tehtävän yhteistyön olleen asianmukaista, vaikka muutamilla osa-alueilla onkin parantamisen varaa. Myös komissio katsoi, että yhteistyö ECHA:n kanssa on asianmukaista. Se mainitsi eritoten säännölliset keskustelut asetuksen täytäntöönpanon yhteydessä ilmenevistä tieteellisistä, teknisistä ja oikeudellisista kysymyksistä sekä täytäntöönpanosta käytännössä.</w:t>
      </w:r>
    </w:p>
    <w:p w14:paraId="12E657EB" w14:textId="77777777" w:rsidR="001F7D94" w:rsidRPr="00A55D1D" w:rsidRDefault="001F7D94" w:rsidP="00B411E7">
      <w:pPr>
        <w:pStyle w:val="Heading2"/>
        <w:spacing w:after="200"/>
        <w:ind w:left="1202"/>
        <w:rPr>
          <w:noProof/>
        </w:rPr>
      </w:pPr>
      <w:r>
        <w:rPr>
          <w:noProof/>
        </w:rPr>
        <w:t>PIC-asetukseen liittyvien toimien jatkuva lisääntyminen luo haasteita resurssien riittävyydelle</w:t>
      </w:r>
    </w:p>
    <w:p w14:paraId="673E3DCD" w14:textId="79424EF6" w:rsidR="001F7D94" w:rsidRDefault="001F7D94" w:rsidP="005F6C57">
      <w:pPr>
        <w:pStyle w:val="MBT"/>
        <w:spacing w:after="120" w:line="300" w:lineRule="atLeast"/>
        <w:rPr>
          <w:noProof/>
        </w:rPr>
      </w:pPr>
      <w:r>
        <w:rPr>
          <w:noProof/>
        </w:rPr>
        <w:t xml:space="preserve">Euroopan komission ja ECHA:n PIC-asetuksen täytäntöönpanoon osoittamat resurssit pysyivät melko vakaina edelliseen raportointijaksoon verrattuna, vaikka kumpikin laitos ilmoitti resurssien kasvaneen hieman. ECHA:n työmäärä raportointijaksolla vastasi ennustettua työmäärää. Käsiteltyjen vienti-ilmoitusten määrä on jatkanut kasvuaan ennusteen mukaisesti eli 10 prosenttia vuodessa. </w:t>
      </w:r>
    </w:p>
    <w:p w14:paraId="7CDAE00B" w14:textId="77777777" w:rsidR="001F7D94" w:rsidRPr="000063EA" w:rsidRDefault="00411863" w:rsidP="005F6C57">
      <w:pPr>
        <w:pStyle w:val="MBT"/>
        <w:spacing w:after="120" w:line="300" w:lineRule="atLeast"/>
        <w:rPr>
          <w:noProof/>
        </w:rPr>
      </w:pPr>
      <w:r>
        <w:rPr>
          <w:noProof/>
        </w:rPr>
        <w:t xml:space="preserve">Vienti-ilmoitusten lisääntyminen on johtanut siihen, että myös ECHA:lle kuuluvat käsittelytehtävät ovat lisääntyneet, samoin kuin sidosryhmille annettava tuki. ECHA:n antama tuki komissiolle sekä EU:n jäsenvaltioiden ja muiden valtioiden nimetyille kansallisille viranomaisille on raportointijaksolla vienyt noin 30–40 prosenttia henkilökunnan työajasta. Koska resurssien määrä ei kasva suhteessa työmäärään, ECHA korostaa raportissaan, että on varmistettava riittävät henkilö- ja taloudelliset resurssit sekä PIC-asetuksen täytäntöönpanoa että täytäntöönpanoon liittyvien käytäntöjen, prosessien ja työkalujen parantamista varten. </w:t>
      </w:r>
    </w:p>
    <w:p w14:paraId="73D1FC88" w14:textId="3C384485" w:rsidR="001F7D94" w:rsidRPr="00E82319" w:rsidRDefault="001F7D94" w:rsidP="005F6C57">
      <w:pPr>
        <w:pStyle w:val="MBT"/>
        <w:spacing w:after="120" w:line="300" w:lineRule="atLeast"/>
        <w:rPr>
          <w:noProof/>
        </w:rPr>
      </w:pPr>
      <w:r>
        <w:rPr>
          <w:noProof/>
        </w:rPr>
        <w:t xml:space="preserve">PIC-asioista vastaavat nimetyt kansalliset viranomaiset ilmoittivat PIC-asetuksen täytäntöönpanoon osoitettujen resurssien vaihdelleen 0,1–2 kokoaikavastaavan välillä. Siltä osin kuin resursseja voidaan vertailla, monilla nimetyillä kansallisilla viranomaisilla ne ovat pysyneet melko vakaina. Noin kahdeksan viranomaisen resurssit olivat pienentyneet. Samalla vienti-ilmoitusten käsittelyyn liittyvä työmäärä on kasvanut monissa jäsenvaltioissa (ks. kohta 4.2). Edelliseen raportointijaksoon verrattuna niitä jäsenvaltioita, jotka ilmoittivat, että niillä oli riittävät resurssit täytäntöönpanoon, oli nyt vähemmän (15 jäsenvaltiota 18:sta). </w:t>
      </w:r>
    </w:p>
    <w:p w14:paraId="59D1D508" w14:textId="77777777" w:rsidR="009E672A" w:rsidRPr="00A55D1D" w:rsidRDefault="009E672A" w:rsidP="009E672A">
      <w:pPr>
        <w:pStyle w:val="Heading1"/>
        <w:rPr>
          <w:noProof/>
        </w:rPr>
      </w:pPr>
      <w:r>
        <w:rPr>
          <w:noProof/>
        </w:rPr>
        <w:t xml:space="preserve">PIC-asetuksen liitteen I päivitykset </w:t>
      </w:r>
    </w:p>
    <w:p w14:paraId="61E675D6" w14:textId="77777777" w:rsidR="00E73EC4" w:rsidRDefault="00E73EC4" w:rsidP="005F6C57">
      <w:pPr>
        <w:pStyle w:val="MBT"/>
        <w:spacing w:after="120" w:line="300" w:lineRule="atLeast"/>
        <w:rPr>
          <w:noProof/>
        </w:rPr>
      </w:pPr>
      <w:r>
        <w:rPr>
          <w:noProof/>
        </w:rPr>
        <w:t>PIC-asetuksen 23 artiklan mukaan komissio tarkastelee liitteessä I olevaa kemikaaliluetteloa uudelleen vähintään kerran vuodessa sen kehityksen perusteella, jota on tapahtunut EU:n lainsäädännössä (pääasiassa REACH-asetuksessa</w:t>
      </w:r>
      <w:r>
        <w:rPr>
          <w:rStyle w:val="FootnoteReference"/>
          <w:noProof/>
        </w:rPr>
        <w:footnoteReference w:id="4"/>
      </w:r>
      <w:r>
        <w:rPr>
          <w:noProof/>
        </w:rPr>
        <w:t>, biosidivalmisteasetuksessa</w:t>
      </w:r>
      <w:r>
        <w:rPr>
          <w:rStyle w:val="FootnoteReference"/>
          <w:noProof/>
        </w:rPr>
        <w:footnoteReference w:id="5"/>
      </w:r>
      <w:r>
        <w:rPr>
          <w:noProof/>
        </w:rPr>
        <w:t xml:space="preserve"> ja kasvinsuojeluaineasetuksessa</w:t>
      </w:r>
      <w:r>
        <w:rPr>
          <w:rStyle w:val="FootnoteReference"/>
          <w:noProof/>
        </w:rPr>
        <w:footnoteReference w:id="6"/>
      </w:r>
      <w:r>
        <w:rPr>
          <w:noProof/>
        </w:rPr>
        <w:t xml:space="preserve"> sekä yleissopimuksessa. PIC-asetuksen liitteitä muutetaan komission antamilla delegoiduilla säädöksillä.</w:t>
      </w:r>
    </w:p>
    <w:p w14:paraId="61437C17" w14:textId="4C68649F" w:rsidR="00ED25A4" w:rsidRDefault="0070186B" w:rsidP="005F6C57">
      <w:pPr>
        <w:pStyle w:val="MBT"/>
        <w:spacing w:after="240" w:line="300" w:lineRule="atLeast"/>
        <w:rPr>
          <w:noProof/>
        </w:rPr>
      </w:pPr>
      <w:r>
        <w:rPr>
          <w:noProof/>
        </w:rPr>
        <w:t>Liitteessä I olevaan 1 osaan lisättiin raportointijaksolla 31 ainetta ja 2 osaan seitsemän ainetta. Näistä aineista 23 lisättiin sen jälkeen, kun niiden käyttö kasvinsuojeluaineina oli kielletty kasvinsuojeluaineasetuksen nojalla, ja viisi sen jälkeen, kun ne oli sisällytetty REACH-asetuksen liitteeseen XVII (taulukko 1). Liitteessä I olevaan 3 osaan lisättiin kuusi ainetta sen jälkeen, kun ne oli sisällytetty Rotterdamin yleissopimuksen liitteeseen III. Lyhytketjuisia kloorattuja parafiineja lukuun ottamatta ne oli jo sisällytetty PIC-asetuksen liitteessä I olevaan 1 ja 2 osaan.</w:t>
      </w:r>
    </w:p>
    <w:p w14:paraId="5BE90520" w14:textId="77777777" w:rsidR="00B411E7" w:rsidRDefault="00B411E7" w:rsidP="00B411E7">
      <w:pPr>
        <w:pStyle w:val="MBT"/>
        <w:spacing w:after="120" w:line="300" w:lineRule="atLeast"/>
        <w:rPr>
          <w:noProof/>
        </w:rPr>
      </w:pPr>
    </w:p>
    <w:p w14:paraId="74FC6707" w14:textId="77777777" w:rsidR="00297DA3" w:rsidRPr="005F6C57" w:rsidRDefault="00297DA3" w:rsidP="00297DA3">
      <w:pPr>
        <w:pStyle w:val="Caption"/>
        <w:rPr>
          <w:noProof/>
          <w:sz w:val="22"/>
        </w:rPr>
      </w:pPr>
      <w:r>
        <w:rPr>
          <w:noProof/>
          <w:sz w:val="22"/>
        </w:rPr>
        <w:t xml:space="preserve">Taulukko </w:t>
      </w:r>
      <w:r>
        <w:rPr>
          <w:noProof/>
          <w:sz w:val="22"/>
        </w:rPr>
        <w:fldChar w:fldCharType="begin"/>
      </w:r>
      <w:r>
        <w:rPr>
          <w:noProof/>
          <w:sz w:val="22"/>
        </w:rPr>
        <w:instrText xml:space="preserve"> SEQ Table \* ARABIC </w:instrText>
      </w:r>
      <w:r>
        <w:rPr>
          <w:noProof/>
          <w:sz w:val="22"/>
        </w:rPr>
        <w:fldChar w:fldCharType="separate"/>
      </w:r>
      <w:r>
        <w:rPr>
          <w:noProof/>
          <w:sz w:val="22"/>
        </w:rPr>
        <w:t>1</w:t>
      </w:r>
      <w:r>
        <w:rPr>
          <w:noProof/>
          <w:sz w:val="22"/>
        </w:rPr>
        <w:fldChar w:fldCharType="end"/>
      </w:r>
      <w:r>
        <w:rPr>
          <w:noProof/>
          <w:sz w:val="22"/>
        </w:rPr>
        <w:t>: Raportointijaksolla liitteeseen 1 lisätyt aineet</w:t>
      </w:r>
    </w:p>
    <w:tbl>
      <w:tblPr>
        <w:tblStyle w:val="TableGrid"/>
        <w:tblW w:w="9180" w:type="dxa"/>
        <w:tblLook w:val="04A0" w:firstRow="1" w:lastRow="0" w:firstColumn="1" w:lastColumn="0" w:noHBand="0" w:noVBand="1"/>
      </w:tblPr>
      <w:tblGrid>
        <w:gridCol w:w="1915"/>
        <w:gridCol w:w="2354"/>
        <w:gridCol w:w="1306"/>
        <w:gridCol w:w="1422"/>
        <w:gridCol w:w="2183"/>
      </w:tblGrid>
      <w:tr w:rsidR="00A34D59" w:rsidRPr="00C57C27" w14:paraId="7C26E3B5" w14:textId="77777777" w:rsidTr="00411863">
        <w:trPr>
          <w:cnfStyle w:val="100000000000" w:firstRow="1" w:lastRow="0" w:firstColumn="0" w:lastColumn="0" w:oddVBand="0" w:evenVBand="0" w:oddHBand="0" w:evenHBand="0" w:firstRowFirstColumn="0" w:firstRowLastColumn="0" w:lastRowFirstColumn="0" w:lastRowLastColumn="0"/>
          <w:tblHeader/>
        </w:trPr>
        <w:tc>
          <w:tcPr>
            <w:tcW w:w="2040" w:type="dxa"/>
            <w:tcBorders>
              <w:top w:val="single" w:sz="4" w:space="0" w:color="FFFFFF"/>
              <w:left w:val="single" w:sz="4" w:space="0" w:color="FFFFFF"/>
              <w:bottom w:val="single" w:sz="4" w:space="0" w:color="FFFFFF"/>
              <w:right w:val="single" w:sz="4" w:space="0" w:color="FFFFFF"/>
            </w:tcBorders>
            <w:shd w:val="clear" w:color="auto" w:fill="000099"/>
            <w:hideMark/>
          </w:tcPr>
          <w:p w14:paraId="12096E3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Delegoitu säädös</w:t>
            </w:r>
          </w:p>
        </w:tc>
        <w:tc>
          <w:tcPr>
            <w:tcW w:w="2463" w:type="dxa"/>
            <w:tcBorders>
              <w:top w:val="single" w:sz="4" w:space="0" w:color="FFFFFF"/>
              <w:left w:val="single" w:sz="4" w:space="0" w:color="FFFFFF"/>
              <w:bottom w:val="single" w:sz="4" w:space="0" w:color="FFFFFF"/>
              <w:right w:val="single" w:sz="4" w:space="0" w:color="FFFFFF"/>
            </w:tcBorders>
            <w:shd w:val="clear" w:color="auto" w:fill="000099"/>
            <w:hideMark/>
          </w:tcPr>
          <w:p w14:paraId="0ED69C7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Kemikaali </w:t>
            </w:r>
          </w:p>
        </w:tc>
        <w:tc>
          <w:tcPr>
            <w:tcW w:w="1559" w:type="dxa"/>
            <w:tcBorders>
              <w:top w:val="single" w:sz="4" w:space="0" w:color="FFFFFF"/>
              <w:left w:val="single" w:sz="4" w:space="0" w:color="FFFFFF"/>
              <w:bottom w:val="single" w:sz="4" w:space="0" w:color="FFFFFF"/>
              <w:right w:val="single" w:sz="4" w:space="0" w:color="FFFFFF"/>
            </w:tcBorders>
            <w:shd w:val="clear" w:color="auto" w:fill="000099"/>
          </w:tcPr>
          <w:p w14:paraId="5A3E0CB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CAS-numero</w:t>
            </w:r>
          </w:p>
        </w:tc>
        <w:tc>
          <w:tcPr>
            <w:tcW w:w="1511" w:type="dxa"/>
            <w:tcBorders>
              <w:top w:val="single" w:sz="4" w:space="0" w:color="FFFFFF"/>
              <w:left w:val="single" w:sz="4" w:space="0" w:color="FFFFFF"/>
              <w:bottom w:val="single" w:sz="4" w:space="0" w:color="FFFFFF"/>
              <w:right w:val="single" w:sz="4" w:space="0" w:color="FFFFFF"/>
            </w:tcBorders>
            <w:shd w:val="clear" w:color="auto" w:fill="000099"/>
            <w:hideMark/>
          </w:tcPr>
          <w:p w14:paraId="197B009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Liitteen I muuttaminen</w:t>
            </w:r>
          </w:p>
        </w:tc>
        <w:tc>
          <w:tcPr>
            <w:tcW w:w="1607" w:type="dxa"/>
            <w:tcBorders>
              <w:top w:val="single" w:sz="4" w:space="0" w:color="FFFFFF"/>
              <w:left w:val="single" w:sz="4" w:space="0" w:color="FFFFFF"/>
              <w:bottom w:val="single" w:sz="4" w:space="0" w:color="FFFFFF"/>
              <w:right w:val="single" w:sz="4" w:space="0" w:color="FFFFFF"/>
            </w:tcBorders>
            <w:shd w:val="clear" w:color="auto" w:fill="000099"/>
            <w:hideMark/>
          </w:tcPr>
          <w:p w14:paraId="1ED212C5" w14:textId="77777777" w:rsidR="00A34D59" w:rsidRPr="001948D5" w:rsidRDefault="00A34D59" w:rsidP="00411863">
            <w:pPr>
              <w:widowControl w:val="0"/>
              <w:spacing w:after="0"/>
              <w:jc w:val="left"/>
              <w:rPr>
                <w:rFonts w:ascii="Times New Roman" w:hAnsi="Times New Roman"/>
                <w:noProof/>
                <w:sz w:val="20"/>
              </w:rPr>
            </w:pPr>
            <w:r>
              <w:rPr>
                <w:rFonts w:ascii="Times New Roman" w:hAnsi="Times New Roman"/>
                <w:noProof/>
                <w:sz w:val="20"/>
              </w:rPr>
              <w:t xml:space="preserve">Lisäysperuste </w:t>
            </w:r>
          </w:p>
        </w:tc>
      </w:tr>
      <w:tr w:rsidR="00A34D59" w:rsidRPr="00C57C27" w14:paraId="00FA905F" w14:textId="77777777" w:rsidTr="00411863">
        <w:tc>
          <w:tcPr>
            <w:tcW w:w="2040" w:type="dxa"/>
            <w:vMerge w:val="restart"/>
            <w:tcBorders>
              <w:top w:val="single" w:sz="4" w:space="0" w:color="FFFFFF"/>
              <w:left w:val="single" w:sz="4" w:space="0" w:color="FFFFFF"/>
              <w:right w:val="single" w:sz="4" w:space="0" w:color="FFFFFF"/>
            </w:tcBorders>
          </w:tcPr>
          <w:p w14:paraId="7AFA964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Komission delegoitu asetus (EU) 2018/172, annettu 28 päivänä marraskuuta 2017, asetuksen (EU) N:o 649/2012 liitteiden I ja V muuttamisesta</w:t>
            </w:r>
          </w:p>
        </w:tc>
        <w:tc>
          <w:tcPr>
            <w:tcW w:w="2463" w:type="dxa"/>
            <w:tcBorders>
              <w:top w:val="single" w:sz="4" w:space="0" w:color="FFFFFF"/>
              <w:left w:val="single" w:sz="4" w:space="0" w:color="FFFFFF"/>
              <w:bottom w:val="single" w:sz="4" w:space="0" w:color="FFFFFF"/>
              <w:right w:val="single" w:sz="4" w:space="0" w:color="FFFFFF"/>
            </w:tcBorders>
          </w:tcPr>
          <w:p w14:paraId="7A6427F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3-deken-2-oni</w:t>
            </w:r>
          </w:p>
        </w:tc>
        <w:tc>
          <w:tcPr>
            <w:tcW w:w="1559" w:type="dxa"/>
            <w:tcBorders>
              <w:top w:val="single" w:sz="4" w:space="0" w:color="FFFFFF"/>
              <w:left w:val="single" w:sz="4" w:space="0" w:color="FFFFFF"/>
              <w:bottom w:val="single" w:sz="4" w:space="0" w:color="FFFFFF"/>
              <w:right w:val="single" w:sz="4" w:space="0" w:color="FFFFFF"/>
            </w:tcBorders>
          </w:tcPr>
          <w:p w14:paraId="6F5EFB0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10519-33-2</w:t>
            </w:r>
          </w:p>
        </w:tc>
        <w:tc>
          <w:tcPr>
            <w:tcW w:w="1511" w:type="dxa"/>
            <w:tcBorders>
              <w:top w:val="single" w:sz="4" w:space="0" w:color="FFFFFF"/>
              <w:left w:val="single" w:sz="4" w:space="0" w:color="FFFFFF"/>
              <w:bottom w:val="single" w:sz="4" w:space="0" w:color="FFFFFF"/>
              <w:right w:val="single" w:sz="4" w:space="0" w:color="FFFFFF"/>
            </w:tcBorders>
          </w:tcPr>
          <w:p w14:paraId="29D1784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640077A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15F7204E" w14:textId="77777777" w:rsidTr="00411863">
        <w:tc>
          <w:tcPr>
            <w:tcW w:w="2040" w:type="dxa"/>
            <w:vMerge/>
            <w:tcBorders>
              <w:left w:val="single" w:sz="4" w:space="0" w:color="FFFFFF"/>
              <w:right w:val="single" w:sz="4" w:space="0" w:color="FFFFFF"/>
            </w:tcBorders>
          </w:tcPr>
          <w:p w14:paraId="27812C0F"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18400F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5-tert-butyyli-2,4,6-trinitro-m-ksyleeni</w:t>
            </w:r>
          </w:p>
        </w:tc>
        <w:tc>
          <w:tcPr>
            <w:tcW w:w="1559" w:type="dxa"/>
            <w:tcBorders>
              <w:top w:val="single" w:sz="4" w:space="0" w:color="FFFFFF"/>
              <w:left w:val="single" w:sz="4" w:space="0" w:color="FFFFFF"/>
              <w:bottom w:val="single" w:sz="4" w:space="0" w:color="FFFFFF"/>
              <w:right w:val="single" w:sz="4" w:space="0" w:color="FFFFFF"/>
            </w:tcBorders>
          </w:tcPr>
          <w:p w14:paraId="6026981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81-15-2</w:t>
            </w:r>
          </w:p>
        </w:tc>
        <w:tc>
          <w:tcPr>
            <w:tcW w:w="1511" w:type="dxa"/>
            <w:tcBorders>
              <w:top w:val="single" w:sz="4" w:space="0" w:color="FFFFFF"/>
              <w:left w:val="single" w:sz="4" w:space="0" w:color="FFFFFF"/>
              <w:bottom w:val="single" w:sz="4" w:space="0" w:color="FFFFFF"/>
              <w:right w:val="single" w:sz="4" w:space="0" w:color="FFFFFF"/>
            </w:tcBorders>
          </w:tcPr>
          <w:p w14:paraId="43A609C1"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3D10D4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REACH-asetus</w:t>
            </w:r>
          </w:p>
        </w:tc>
      </w:tr>
      <w:tr w:rsidR="00A34D59" w:rsidRPr="00C57C27" w14:paraId="615D5009" w14:textId="77777777" w:rsidTr="00411863">
        <w:tc>
          <w:tcPr>
            <w:tcW w:w="2040" w:type="dxa"/>
            <w:vMerge/>
            <w:tcBorders>
              <w:left w:val="single" w:sz="4" w:space="0" w:color="FFFFFF"/>
              <w:right w:val="single" w:sz="4" w:space="0" w:color="FFFFFF"/>
            </w:tcBorders>
          </w:tcPr>
          <w:p w14:paraId="449F1D10"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72AC8A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Bentsyylibutyyliftalaatti</w:t>
            </w:r>
          </w:p>
        </w:tc>
        <w:tc>
          <w:tcPr>
            <w:tcW w:w="1559" w:type="dxa"/>
            <w:tcBorders>
              <w:top w:val="single" w:sz="4" w:space="0" w:color="FFFFFF"/>
              <w:left w:val="single" w:sz="4" w:space="0" w:color="FFFFFF"/>
              <w:bottom w:val="single" w:sz="4" w:space="0" w:color="FFFFFF"/>
              <w:right w:val="single" w:sz="4" w:space="0" w:color="FFFFFF"/>
            </w:tcBorders>
          </w:tcPr>
          <w:p w14:paraId="2F60805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85-68-7</w:t>
            </w:r>
          </w:p>
        </w:tc>
        <w:tc>
          <w:tcPr>
            <w:tcW w:w="1511" w:type="dxa"/>
            <w:tcBorders>
              <w:top w:val="single" w:sz="4" w:space="0" w:color="FFFFFF"/>
              <w:left w:val="single" w:sz="4" w:space="0" w:color="FFFFFF"/>
              <w:bottom w:val="single" w:sz="4" w:space="0" w:color="FFFFFF"/>
              <w:right w:val="single" w:sz="4" w:space="0" w:color="FFFFFF"/>
            </w:tcBorders>
          </w:tcPr>
          <w:p w14:paraId="242862F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3C6A9ED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REACH-asetus</w:t>
            </w:r>
          </w:p>
        </w:tc>
      </w:tr>
      <w:tr w:rsidR="00A34D59" w:rsidRPr="00C57C27" w14:paraId="0DCE1C56" w14:textId="77777777" w:rsidTr="00411863">
        <w:tc>
          <w:tcPr>
            <w:tcW w:w="2040" w:type="dxa"/>
            <w:vMerge/>
            <w:tcBorders>
              <w:left w:val="single" w:sz="4" w:space="0" w:color="FFFFFF"/>
              <w:right w:val="single" w:sz="4" w:space="0" w:color="FFFFFF"/>
            </w:tcBorders>
          </w:tcPr>
          <w:p w14:paraId="53D45B9C"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4CB508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Karbendatsiimi</w:t>
            </w:r>
          </w:p>
        </w:tc>
        <w:tc>
          <w:tcPr>
            <w:tcW w:w="1559" w:type="dxa"/>
            <w:tcBorders>
              <w:top w:val="single" w:sz="4" w:space="0" w:color="FFFFFF"/>
              <w:left w:val="single" w:sz="4" w:space="0" w:color="FFFFFF"/>
              <w:bottom w:val="single" w:sz="4" w:space="0" w:color="FFFFFF"/>
              <w:right w:val="single" w:sz="4" w:space="0" w:color="FFFFFF"/>
            </w:tcBorders>
          </w:tcPr>
          <w:p w14:paraId="56DE2C1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10605-21-7</w:t>
            </w:r>
          </w:p>
        </w:tc>
        <w:tc>
          <w:tcPr>
            <w:tcW w:w="1511" w:type="dxa"/>
            <w:tcBorders>
              <w:top w:val="single" w:sz="4" w:space="0" w:color="FFFFFF"/>
              <w:left w:val="single" w:sz="4" w:space="0" w:color="FFFFFF"/>
              <w:bottom w:val="single" w:sz="4" w:space="0" w:color="FFFFFF"/>
              <w:right w:val="single" w:sz="4" w:space="0" w:color="FFFFFF"/>
            </w:tcBorders>
          </w:tcPr>
          <w:p w14:paraId="244EDD7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osa</w:t>
            </w:r>
          </w:p>
        </w:tc>
        <w:tc>
          <w:tcPr>
            <w:tcW w:w="1607" w:type="dxa"/>
            <w:tcBorders>
              <w:top w:val="single" w:sz="4" w:space="0" w:color="FFFFFF"/>
              <w:left w:val="single" w:sz="4" w:space="0" w:color="FFFFFF"/>
              <w:bottom w:val="single" w:sz="4" w:space="0" w:color="FFFFFF"/>
              <w:right w:val="single" w:sz="4" w:space="0" w:color="FFFFFF"/>
            </w:tcBorders>
          </w:tcPr>
          <w:p w14:paraId="0092763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4585C463" w14:textId="77777777" w:rsidTr="00411863">
        <w:tc>
          <w:tcPr>
            <w:tcW w:w="2040" w:type="dxa"/>
            <w:vMerge/>
            <w:tcBorders>
              <w:left w:val="single" w:sz="4" w:space="0" w:color="FFFFFF"/>
              <w:right w:val="single" w:sz="4" w:space="0" w:color="FFFFFF"/>
            </w:tcBorders>
          </w:tcPr>
          <w:p w14:paraId="3721C87D"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615401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Sybutryyni</w:t>
            </w:r>
          </w:p>
        </w:tc>
        <w:tc>
          <w:tcPr>
            <w:tcW w:w="1559" w:type="dxa"/>
            <w:tcBorders>
              <w:top w:val="single" w:sz="4" w:space="0" w:color="FFFFFF"/>
              <w:left w:val="single" w:sz="4" w:space="0" w:color="FFFFFF"/>
              <w:bottom w:val="single" w:sz="4" w:space="0" w:color="FFFFFF"/>
              <w:right w:val="single" w:sz="4" w:space="0" w:color="FFFFFF"/>
            </w:tcBorders>
          </w:tcPr>
          <w:p w14:paraId="18475D1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28159-98-0</w:t>
            </w:r>
          </w:p>
        </w:tc>
        <w:tc>
          <w:tcPr>
            <w:tcW w:w="1511" w:type="dxa"/>
            <w:tcBorders>
              <w:top w:val="single" w:sz="4" w:space="0" w:color="FFFFFF"/>
              <w:left w:val="single" w:sz="4" w:space="0" w:color="FFFFFF"/>
              <w:bottom w:val="single" w:sz="4" w:space="0" w:color="FFFFFF"/>
              <w:right w:val="single" w:sz="4" w:space="0" w:color="FFFFFF"/>
            </w:tcBorders>
          </w:tcPr>
          <w:p w14:paraId="04CBD6F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1B02626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Biosidivalmisteasetus</w:t>
            </w:r>
          </w:p>
        </w:tc>
      </w:tr>
      <w:tr w:rsidR="00A34D59" w:rsidRPr="00C57C27" w14:paraId="52709A0E" w14:textId="77777777" w:rsidTr="00411863">
        <w:tc>
          <w:tcPr>
            <w:tcW w:w="2040" w:type="dxa"/>
            <w:vMerge/>
            <w:tcBorders>
              <w:left w:val="single" w:sz="4" w:space="0" w:color="FFFFFF"/>
              <w:right w:val="single" w:sz="4" w:space="0" w:color="FFFFFF"/>
            </w:tcBorders>
          </w:tcPr>
          <w:p w14:paraId="37CBE1EE"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3A74ABE"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Di-isobutyyliftalaatti</w:t>
            </w:r>
          </w:p>
        </w:tc>
        <w:tc>
          <w:tcPr>
            <w:tcW w:w="1559" w:type="dxa"/>
            <w:tcBorders>
              <w:top w:val="single" w:sz="4" w:space="0" w:color="FFFFFF"/>
              <w:left w:val="single" w:sz="4" w:space="0" w:color="FFFFFF"/>
              <w:bottom w:val="single" w:sz="4" w:space="0" w:color="FFFFFF"/>
              <w:right w:val="single" w:sz="4" w:space="0" w:color="FFFFFF"/>
            </w:tcBorders>
          </w:tcPr>
          <w:p w14:paraId="63EB285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84-69-5</w:t>
            </w:r>
          </w:p>
        </w:tc>
        <w:tc>
          <w:tcPr>
            <w:tcW w:w="1511" w:type="dxa"/>
            <w:tcBorders>
              <w:top w:val="single" w:sz="4" w:space="0" w:color="FFFFFF"/>
              <w:left w:val="single" w:sz="4" w:space="0" w:color="FFFFFF"/>
              <w:bottom w:val="single" w:sz="4" w:space="0" w:color="FFFFFF"/>
              <w:right w:val="single" w:sz="4" w:space="0" w:color="FFFFFF"/>
            </w:tcBorders>
          </w:tcPr>
          <w:p w14:paraId="4F77C98E"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417C23A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REACH-asetus</w:t>
            </w:r>
          </w:p>
        </w:tc>
      </w:tr>
      <w:tr w:rsidR="00A34D59" w:rsidRPr="00C57C27" w14:paraId="5B36F931" w14:textId="77777777" w:rsidTr="00411863">
        <w:tc>
          <w:tcPr>
            <w:tcW w:w="2040" w:type="dxa"/>
            <w:vMerge/>
            <w:tcBorders>
              <w:left w:val="single" w:sz="4" w:space="0" w:color="FFFFFF"/>
              <w:right w:val="single" w:sz="4" w:space="0" w:color="FFFFFF"/>
            </w:tcBorders>
          </w:tcPr>
          <w:p w14:paraId="44D2E380"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96E8C3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Diarseenipentaoksidi</w:t>
            </w:r>
          </w:p>
        </w:tc>
        <w:tc>
          <w:tcPr>
            <w:tcW w:w="1559" w:type="dxa"/>
            <w:tcBorders>
              <w:top w:val="single" w:sz="4" w:space="0" w:color="FFFFFF"/>
              <w:left w:val="single" w:sz="4" w:space="0" w:color="FFFFFF"/>
              <w:bottom w:val="single" w:sz="4" w:space="0" w:color="FFFFFF"/>
              <w:right w:val="single" w:sz="4" w:space="0" w:color="FFFFFF"/>
            </w:tcBorders>
          </w:tcPr>
          <w:p w14:paraId="5106680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1303-28-2</w:t>
            </w:r>
          </w:p>
        </w:tc>
        <w:tc>
          <w:tcPr>
            <w:tcW w:w="1511" w:type="dxa"/>
            <w:tcBorders>
              <w:top w:val="single" w:sz="4" w:space="0" w:color="FFFFFF"/>
              <w:left w:val="single" w:sz="4" w:space="0" w:color="FFFFFF"/>
              <w:bottom w:val="single" w:sz="4" w:space="0" w:color="FFFFFF"/>
              <w:right w:val="single" w:sz="4" w:space="0" w:color="FFFFFF"/>
            </w:tcBorders>
          </w:tcPr>
          <w:p w14:paraId="7DD1E85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78CC932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REACH-asetus</w:t>
            </w:r>
          </w:p>
        </w:tc>
      </w:tr>
      <w:tr w:rsidR="00A34D59" w:rsidRPr="00C57C27" w14:paraId="57A9945F" w14:textId="77777777" w:rsidTr="00411863">
        <w:tc>
          <w:tcPr>
            <w:tcW w:w="2040" w:type="dxa"/>
            <w:vMerge/>
            <w:tcBorders>
              <w:left w:val="single" w:sz="4" w:space="0" w:color="FFFFFF"/>
              <w:right w:val="single" w:sz="4" w:space="0" w:color="FFFFFF"/>
            </w:tcBorders>
          </w:tcPr>
          <w:p w14:paraId="6702B087"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D3B222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Tepraloksidiimi</w:t>
            </w:r>
          </w:p>
        </w:tc>
        <w:tc>
          <w:tcPr>
            <w:tcW w:w="1559" w:type="dxa"/>
            <w:tcBorders>
              <w:top w:val="single" w:sz="4" w:space="0" w:color="FFFFFF"/>
              <w:left w:val="single" w:sz="4" w:space="0" w:color="FFFFFF"/>
              <w:bottom w:val="single" w:sz="4" w:space="0" w:color="FFFFFF"/>
              <w:right w:val="single" w:sz="4" w:space="0" w:color="FFFFFF"/>
            </w:tcBorders>
          </w:tcPr>
          <w:p w14:paraId="109B113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149979-41-9</w:t>
            </w:r>
          </w:p>
        </w:tc>
        <w:tc>
          <w:tcPr>
            <w:tcW w:w="1511" w:type="dxa"/>
            <w:tcBorders>
              <w:top w:val="single" w:sz="4" w:space="0" w:color="FFFFFF"/>
              <w:left w:val="single" w:sz="4" w:space="0" w:color="FFFFFF"/>
              <w:bottom w:val="single" w:sz="4" w:space="0" w:color="FFFFFF"/>
              <w:right w:val="single" w:sz="4" w:space="0" w:color="FFFFFF"/>
            </w:tcBorders>
          </w:tcPr>
          <w:p w14:paraId="27EFF7A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3BFC432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1B74A8BC" w14:textId="77777777" w:rsidTr="00411863">
        <w:tc>
          <w:tcPr>
            <w:tcW w:w="2040" w:type="dxa"/>
            <w:vMerge/>
            <w:tcBorders>
              <w:left w:val="single" w:sz="4" w:space="0" w:color="FFFFFF"/>
              <w:right w:val="single" w:sz="4" w:space="0" w:color="FFFFFF"/>
            </w:tcBorders>
          </w:tcPr>
          <w:p w14:paraId="1FADF2D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F4A761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Triklosaani</w:t>
            </w:r>
          </w:p>
        </w:tc>
        <w:tc>
          <w:tcPr>
            <w:tcW w:w="1559" w:type="dxa"/>
            <w:tcBorders>
              <w:top w:val="single" w:sz="4" w:space="0" w:color="FFFFFF"/>
              <w:left w:val="single" w:sz="4" w:space="0" w:color="FFFFFF"/>
              <w:bottom w:val="single" w:sz="4" w:space="0" w:color="FFFFFF"/>
              <w:right w:val="single" w:sz="4" w:space="0" w:color="FFFFFF"/>
            </w:tcBorders>
          </w:tcPr>
          <w:p w14:paraId="16A0B1C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3380-34-5</w:t>
            </w:r>
          </w:p>
        </w:tc>
        <w:tc>
          <w:tcPr>
            <w:tcW w:w="1511" w:type="dxa"/>
            <w:tcBorders>
              <w:top w:val="single" w:sz="4" w:space="0" w:color="FFFFFF"/>
              <w:left w:val="single" w:sz="4" w:space="0" w:color="FFFFFF"/>
              <w:bottom w:val="single" w:sz="4" w:space="0" w:color="FFFFFF"/>
              <w:right w:val="single" w:sz="4" w:space="0" w:color="FFFFFF"/>
            </w:tcBorders>
          </w:tcPr>
          <w:p w14:paraId="2DD141A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4FD0E1D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Biosidivalmisteasetus</w:t>
            </w:r>
          </w:p>
        </w:tc>
      </w:tr>
      <w:tr w:rsidR="00A34D59" w:rsidRPr="00C57C27" w14:paraId="6AC5EEF9" w14:textId="77777777" w:rsidTr="00411863">
        <w:tc>
          <w:tcPr>
            <w:tcW w:w="2040" w:type="dxa"/>
            <w:vMerge/>
            <w:tcBorders>
              <w:left w:val="single" w:sz="4" w:space="0" w:color="FFFFFF"/>
              <w:right w:val="single" w:sz="4" w:space="0" w:color="FFFFFF"/>
            </w:tcBorders>
          </w:tcPr>
          <w:p w14:paraId="6579ED8A"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19ABEA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Triflumuroni</w:t>
            </w:r>
          </w:p>
        </w:tc>
        <w:tc>
          <w:tcPr>
            <w:tcW w:w="1559" w:type="dxa"/>
            <w:tcBorders>
              <w:top w:val="single" w:sz="4" w:space="0" w:color="FFFFFF"/>
              <w:left w:val="single" w:sz="4" w:space="0" w:color="FFFFFF"/>
              <w:bottom w:val="single" w:sz="4" w:space="0" w:color="FFFFFF"/>
              <w:right w:val="single" w:sz="4" w:space="0" w:color="FFFFFF"/>
            </w:tcBorders>
          </w:tcPr>
          <w:p w14:paraId="78908EE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64628-44-0</w:t>
            </w:r>
          </w:p>
        </w:tc>
        <w:tc>
          <w:tcPr>
            <w:tcW w:w="1511" w:type="dxa"/>
            <w:tcBorders>
              <w:top w:val="single" w:sz="4" w:space="0" w:color="FFFFFF"/>
              <w:left w:val="single" w:sz="4" w:space="0" w:color="FFFFFF"/>
              <w:bottom w:val="single" w:sz="4" w:space="0" w:color="FFFFFF"/>
              <w:right w:val="single" w:sz="4" w:space="0" w:color="FFFFFF"/>
            </w:tcBorders>
          </w:tcPr>
          <w:p w14:paraId="5CC7921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osa</w:t>
            </w:r>
          </w:p>
        </w:tc>
        <w:tc>
          <w:tcPr>
            <w:tcW w:w="1607" w:type="dxa"/>
            <w:tcBorders>
              <w:top w:val="single" w:sz="4" w:space="0" w:color="FFFFFF"/>
              <w:left w:val="single" w:sz="4" w:space="0" w:color="FFFFFF"/>
              <w:bottom w:val="single" w:sz="4" w:space="0" w:color="FFFFFF"/>
              <w:right w:val="single" w:sz="4" w:space="0" w:color="FFFFFF"/>
            </w:tcBorders>
          </w:tcPr>
          <w:p w14:paraId="6F3BF8D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Biosidivalmisteasetus</w:t>
            </w:r>
          </w:p>
        </w:tc>
      </w:tr>
      <w:tr w:rsidR="00A34D59" w:rsidRPr="00C57C27" w14:paraId="405EB29F" w14:textId="77777777" w:rsidTr="00411863">
        <w:tc>
          <w:tcPr>
            <w:tcW w:w="2040" w:type="dxa"/>
            <w:vMerge/>
            <w:tcBorders>
              <w:left w:val="single" w:sz="4" w:space="0" w:color="FFFFFF"/>
              <w:right w:val="single" w:sz="4" w:space="0" w:color="FFFFFF"/>
            </w:tcBorders>
          </w:tcPr>
          <w:p w14:paraId="466DC05E"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7B799E0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Tris(2-kloorietyyli)fosfaatti</w:t>
            </w:r>
          </w:p>
        </w:tc>
        <w:tc>
          <w:tcPr>
            <w:tcW w:w="1559" w:type="dxa"/>
            <w:tcBorders>
              <w:top w:val="single" w:sz="4" w:space="0" w:color="FFFFFF"/>
              <w:left w:val="single" w:sz="4" w:space="0" w:color="FFFFFF"/>
              <w:bottom w:val="single" w:sz="4" w:space="0" w:color="FFFFFF"/>
              <w:right w:val="single" w:sz="4" w:space="0" w:color="FFFFFF"/>
            </w:tcBorders>
          </w:tcPr>
          <w:p w14:paraId="03AF6DA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115-96-8</w:t>
            </w:r>
          </w:p>
        </w:tc>
        <w:tc>
          <w:tcPr>
            <w:tcW w:w="1511" w:type="dxa"/>
            <w:tcBorders>
              <w:top w:val="single" w:sz="4" w:space="0" w:color="FFFFFF"/>
              <w:left w:val="single" w:sz="4" w:space="0" w:color="FFFFFF"/>
              <w:bottom w:val="single" w:sz="4" w:space="0" w:color="FFFFFF"/>
              <w:right w:val="single" w:sz="4" w:space="0" w:color="FFFFFF"/>
            </w:tcBorders>
          </w:tcPr>
          <w:p w14:paraId="7C0D3DE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230CE29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REACH-asetus</w:t>
            </w:r>
          </w:p>
        </w:tc>
      </w:tr>
      <w:tr w:rsidR="00A34D59" w:rsidRPr="00C57C27" w14:paraId="43917B09" w14:textId="77777777" w:rsidTr="00411863">
        <w:tc>
          <w:tcPr>
            <w:tcW w:w="2040" w:type="dxa"/>
            <w:vMerge/>
            <w:tcBorders>
              <w:left w:val="single" w:sz="4" w:space="0" w:color="FFFFFF"/>
              <w:right w:val="single" w:sz="4" w:space="0" w:color="FFFFFF"/>
            </w:tcBorders>
          </w:tcPr>
          <w:p w14:paraId="0BF754D5"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A7E256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Metamidofossi</w:t>
            </w:r>
          </w:p>
        </w:tc>
        <w:tc>
          <w:tcPr>
            <w:tcW w:w="1559" w:type="dxa"/>
            <w:tcBorders>
              <w:top w:val="single" w:sz="4" w:space="0" w:color="FFFFFF"/>
              <w:left w:val="single" w:sz="4" w:space="0" w:color="FFFFFF"/>
              <w:bottom w:val="single" w:sz="4" w:space="0" w:color="FFFFFF"/>
              <w:right w:val="single" w:sz="4" w:space="0" w:color="FFFFFF"/>
            </w:tcBorders>
          </w:tcPr>
          <w:p w14:paraId="446DB8D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10265-92-6</w:t>
            </w:r>
          </w:p>
        </w:tc>
        <w:tc>
          <w:tcPr>
            <w:tcW w:w="1511" w:type="dxa"/>
            <w:tcBorders>
              <w:top w:val="single" w:sz="4" w:space="0" w:color="FFFFFF"/>
              <w:left w:val="single" w:sz="4" w:space="0" w:color="FFFFFF"/>
              <w:bottom w:val="single" w:sz="4" w:space="0" w:color="FFFFFF"/>
              <w:right w:val="single" w:sz="4" w:space="0" w:color="FFFFFF"/>
            </w:tcBorders>
          </w:tcPr>
          <w:p w14:paraId="4058AA1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3 osa</w:t>
            </w:r>
          </w:p>
        </w:tc>
        <w:tc>
          <w:tcPr>
            <w:tcW w:w="1607" w:type="dxa"/>
            <w:tcBorders>
              <w:top w:val="single" w:sz="4" w:space="0" w:color="FFFFFF"/>
              <w:left w:val="single" w:sz="4" w:space="0" w:color="FFFFFF"/>
              <w:bottom w:val="single" w:sz="4" w:space="0" w:color="FFFFFF"/>
              <w:right w:val="single" w:sz="4" w:space="0" w:color="FFFFFF"/>
            </w:tcBorders>
          </w:tcPr>
          <w:p w14:paraId="2482A8C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Rotterdamin yleissopimuksen liite III</w:t>
            </w:r>
          </w:p>
        </w:tc>
      </w:tr>
      <w:tr w:rsidR="00A34D59" w:rsidRPr="00C57C27" w14:paraId="794F49DE" w14:textId="77777777" w:rsidTr="00411863">
        <w:tc>
          <w:tcPr>
            <w:tcW w:w="2040" w:type="dxa"/>
            <w:vMerge w:val="restart"/>
            <w:tcBorders>
              <w:top w:val="single" w:sz="4" w:space="0" w:color="FFFFFF"/>
              <w:left w:val="single" w:sz="4" w:space="0" w:color="FFFFFF"/>
              <w:right w:val="single" w:sz="4" w:space="0" w:color="FFFFFF"/>
            </w:tcBorders>
          </w:tcPr>
          <w:p w14:paraId="3F29F09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Komission delegoitu asetus (EU) 2019/330, annettu 11 päivänä joulukuuta 2018, asetuksen (EU) N:o 649/2012 liitteiden I ja V muuttamisesta</w:t>
            </w:r>
          </w:p>
        </w:tc>
        <w:tc>
          <w:tcPr>
            <w:tcW w:w="2463" w:type="dxa"/>
            <w:tcBorders>
              <w:top w:val="single" w:sz="4" w:space="0" w:color="FFFFFF"/>
              <w:left w:val="single" w:sz="4" w:space="0" w:color="FFFFFF"/>
              <w:bottom w:val="single" w:sz="4" w:space="0" w:color="FFFFFF"/>
              <w:right w:val="single" w:sz="4" w:space="0" w:color="FFFFFF"/>
            </w:tcBorders>
          </w:tcPr>
          <w:p w14:paraId="46FEE4E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Amitroli</w:t>
            </w:r>
          </w:p>
        </w:tc>
        <w:tc>
          <w:tcPr>
            <w:tcW w:w="1559" w:type="dxa"/>
            <w:tcBorders>
              <w:top w:val="single" w:sz="4" w:space="0" w:color="FFFFFF"/>
              <w:left w:val="single" w:sz="4" w:space="0" w:color="FFFFFF"/>
              <w:bottom w:val="single" w:sz="4" w:space="0" w:color="FFFFFF"/>
              <w:right w:val="single" w:sz="4" w:space="0" w:color="FFFFFF"/>
            </w:tcBorders>
          </w:tcPr>
          <w:p w14:paraId="3B9F95C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61-82-5</w:t>
            </w:r>
          </w:p>
        </w:tc>
        <w:tc>
          <w:tcPr>
            <w:tcW w:w="1511" w:type="dxa"/>
            <w:tcBorders>
              <w:top w:val="single" w:sz="4" w:space="0" w:color="FFFFFF"/>
              <w:left w:val="single" w:sz="4" w:space="0" w:color="FFFFFF"/>
              <w:bottom w:val="single" w:sz="4" w:space="0" w:color="FFFFFF"/>
              <w:right w:val="single" w:sz="4" w:space="0" w:color="FFFFFF"/>
            </w:tcBorders>
          </w:tcPr>
          <w:p w14:paraId="7440FD4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7C4189C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5304CE1C" w14:textId="77777777" w:rsidTr="00411863">
        <w:tc>
          <w:tcPr>
            <w:tcW w:w="2040" w:type="dxa"/>
            <w:vMerge/>
            <w:tcBorders>
              <w:left w:val="single" w:sz="4" w:space="0" w:color="FFFFFF"/>
              <w:right w:val="single" w:sz="4" w:space="0" w:color="FFFFFF"/>
            </w:tcBorders>
          </w:tcPr>
          <w:p w14:paraId="71D1BADD"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5FA9BC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Beta-sypermetriini</w:t>
            </w:r>
          </w:p>
        </w:tc>
        <w:tc>
          <w:tcPr>
            <w:tcW w:w="1559" w:type="dxa"/>
            <w:tcBorders>
              <w:top w:val="single" w:sz="4" w:space="0" w:color="FFFFFF"/>
              <w:left w:val="single" w:sz="4" w:space="0" w:color="FFFFFF"/>
              <w:bottom w:val="single" w:sz="4" w:space="0" w:color="FFFFFF"/>
              <w:right w:val="single" w:sz="4" w:space="0" w:color="FFFFFF"/>
            </w:tcBorders>
          </w:tcPr>
          <w:p w14:paraId="4A3820D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65731-84-2</w:t>
            </w:r>
          </w:p>
        </w:tc>
        <w:tc>
          <w:tcPr>
            <w:tcW w:w="1511" w:type="dxa"/>
            <w:tcBorders>
              <w:top w:val="single" w:sz="4" w:space="0" w:color="FFFFFF"/>
              <w:left w:val="single" w:sz="4" w:space="0" w:color="FFFFFF"/>
              <w:bottom w:val="single" w:sz="4" w:space="0" w:color="FFFFFF"/>
              <w:right w:val="single" w:sz="4" w:space="0" w:color="FFFFFF"/>
            </w:tcBorders>
          </w:tcPr>
          <w:p w14:paraId="66511E1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0FB47F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624CCC4A" w14:textId="77777777" w:rsidTr="00411863">
        <w:tc>
          <w:tcPr>
            <w:tcW w:w="2040" w:type="dxa"/>
            <w:vMerge/>
            <w:tcBorders>
              <w:left w:val="single" w:sz="4" w:space="0" w:color="FFFFFF"/>
              <w:right w:val="single" w:sz="4" w:space="0" w:color="FFFFFF"/>
            </w:tcBorders>
          </w:tcPr>
          <w:p w14:paraId="7A63D9EA"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3ABECB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Karbofuraani</w:t>
            </w:r>
          </w:p>
        </w:tc>
        <w:tc>
          <w:tcPr>
            <w:tcW w:w="1559" w:type="dxa"/>
            <w:tcBorders>
              <w:top w:val="single" w:sz="4" w:space="0" w:color="FFFFFF"/>
              <w:left w:val="single" w:sz="4" w:space="0" w:color="FFFFFF"/>
              <w:bottom w:val="single" w:sz="4" w:space="0" w:color="FFFFFF"/>
              <w:right w:val="single" w:sz="4" w:space="0" w:color="FFFFFF"/>
            </w:tcBorders>
          </w:tcPr>
          <w:p w14:paraId="55A58C3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1563-66-2</w:t>
            </w:r>
          </w:p>
        </w:tc>
        <w:tc>
          <w:tcPr>
            <w:tcW w:w="1511" w:type="dxa"/>
            <w:tcBorders>
              <w:top w:val="single" w:sz="4" w:space="0" w:color="FFFFFF"/>
              <w:left w:val="single" w:sz="4" w:space="0" w:color="FFFFFF"/>
              <w:bottom w:val="single" w:sz="4" w:space="0" w:color="FFFFFF"/>
              <w:right w:val="single" w:sz="4" w:space="0" w:color="FFFFFF"/>
            </w:tcBorders>
          </w:tcPr>
          <w:p w14:paraId="4AFFE78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3 osa</w:t>
            </w:r>
          </w:p>
        </w:tc>
        <w:tc>
          <w:tcPr>
            <w:tcW w:w="1607" w:type="dxa"/>
            <w:tcBorders>
              <w:top w:val="single" w:sz="4" w:space="0" w:color="FFFFFF"/>
              <w:left w:val="single" w:sz="4" w:space="0" w:color="FFFFFF"/>
              <w:bottom w:val="single" w:sz="4" w:space="0" w:color="FFFFFF"/>
              <w:right w:val="single" w:sz="4" w:space="0" w:color="FFFFFF"/>
            </w:tcBorders>
          </w:tcPr>
          <w:p w14:paraId="5661001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r w:rsidR="00A34D59" w:rsidRPr="00C57C27" w14:paraId="5E44CFC5" w14:textId="77777777" w:rsidTr="00411863">
        <w:tc>
          <w:tcPr>
            <w:tcW w:w="2040" w:type="dxa"/>
            <w:vMerge/>
            <w:tcBorders>
              <w:left w:val="single" w:sz="4" w:space="0" w:color="FFFFFF"/>
              <w:right w:val="single" w:sz="4" w:space="0" w:color="FFFFFF"/>
            </w:tcBorders>
          </w:tcPr>
          <w:p w14:paraId="37462899"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99036C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DPX KE 459 (flupyrsulfuronimetyyli)</w:t>
            </w:r>
          </w:p>
        </w:tc>
        <w:tc>
          <w:tcPr>
            <w:tcW w:w="1559" w:type="dxa"/>
            <w:tcBorders>
              <w:top w:val="single" w:sz="4" w:space="0" w:color="FFFFFF"/>
              <w:left w:val="single" w:sz="4" w:space="0" w:color="FFFFFF"/>
              <w:bottom w:val="single" w:sz="4" w:space="0" w:color="FFFFFF"/>
              <w:right w:val="single" w:sz="4" w:space="0" w:color="FFFFFF"/>
            </w:tcBorders>
          </w:tcPr>
          <w:p w14:paraId="4C91FE7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150315-10-9</w:t>
            </w:r>
          </w:p>
          <w:p w14:paraId="17DB8EA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144740-54-5</w:t>
            </w:r>
          </w:p>
        </w:tc>
        <w:tc>
          <w:tcPr>
            <w:tcW w:w="1511" w:type="dxa"/>
            <w:tcBorders>
              <w:top w:val="single" w:sz="4" w:space="0" w:color="FFFFFF"/>
              <w:left w:val="single" w:sz="4" w:space="0" w:color="FFFFFF"/>
              <w:bottom w:val="single" w:sz="4" w:space="0" w:color="FFFFFF"/>
              <w:right w:val="single" w:sz="4" w:space="0" w:color="FFFFFF"/>
            </w:tcBorders>
          </w:tcPr>
          <w:p w14:paraId="5CFC15F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4DE4D17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4A9CD094" w14:textId="77777777" w:rsidTr="00411863">
        <w:tc>
          <w:tcPr>
            <w:tcW w:w="2040" w:type="dxa"/>
            <w:vMerge/>
            <w:tcBorders>
              <w:left w:val="single" w:sz="4" w:space="0" w:color="FFFFFF"/>
              <w:right w:val="single" w:sz="4" w:space="0" w:color="FFFFFF"/>
            </w:tcBorders>
          </w:tcPr>
          <w:p w14:paraId="10E396F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0623C991"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Fiproniili</w:t>
            </w:r>
          </w:p>
        </w:tc>
        <w:tc>
          <w:tcPr>
            <w:tcW w:w="1559" w:type="dxa"/>
            <w:tcBorders>
              <w:top w:val="single" w:sz="4" w:space="0" w:color="FFFFFF"/>
              <w:left w:val="single" w:sz="4" w:space="0" w:color="FFFFFF"/>
              <w:bottom w:val="single" w:sz="4" w:space="0" w:color="FFFFFF"/>
              <w:right w:val="single" w:sz="4" w:space="0" w:color="FFFFFF"/>
            </w:tcBorders>
          </w:tcPr>
          <w:p w14:paraId="25F883D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120068-37-3</w:t>
            </w:r>
          </w:p>
        </w:tc>
        <w:tc>
          <w:tcPr>
            <w:tcW w:w="1511" w:type="dxa"/>
            <w:tcBorders>
              <w:top w:val="single" w:sz="4" w:space="0" w:color="FFFFFF"/>
              <w:left w:val="single" w:sz="4" w:space="0" w:color="FFFFFF"/>
              <w:bottom w:val="single" w:sz="4" w:space="0" w:color="FFFFFF"/>
              <w:right w:val="single" w:sz="4" w:space="0" w:color="FFFFFF"/>
            </w:tcBorders>
          </w:tcPr>
          <w:p w14:paraId="49E7740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4F59FF1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7B7E24EF" w14:textId="77777777" w:rsidTr="00411863">
        <w:tc>
          <w:tcPr>
            <w:tcW w:w="2040" w:type="dxa"/>
            <w:vMerge/>
            <w:tcBorders>
              <w:left w:val="single" w:sz="4" w:space="0" w:color="FFFFFF"/>
              <w:right w:val="single" w:sz="4" w:space="0" w:color="FFFFFF"/>
            </w:tcBorders>
          </w:tcPr>
          <w:p w14:paraId="7CFA9DD2"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35857C3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Iprodioni</w:t>
            </w:r>
          </w:p>
        </w:tc>
        <w:tc>
          <w:tcPr>
            <w:tcW w:w="1559" w:type="dxa"/>
            <w:tcBorders>
              <w:top w:val="single" w:sz="4" w:space="0" w:color="FFFFFF"/>
              <w:left w:val="single" w:sz="4" w:space="0" w:color="FFFFFF"/>
              <w:bottom w:val="single" w:sz="4" w:space="0" w:color="FFFFFF"/>
              <w:right w:val="single" w:sz="4" w:space="0" w:color="FFFFFF"/>
            </w:tcBorders>
          </w:tcPr>
          <w:p w14:paraId="5CFC599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36734-19-7</w:t>
            </w:r>
          </w:p>
        </w:tc>
        <w:tc>
          <w:tcPr>
            <w:tcW w:w="1511" w:type="dxa"/>
            <w:tcBorders>
              <w:top w:val="single" w:sz="4" w:space="0" w:color="FFFFFF"/>
              <w:left w:val="single" w:sz="4" w:space="0" w:color="FFFFFF"/>
              <w:bottom w:val="single" w:sz="4" w:space="0" w:color="FFFFFF"/>
              <w:right w:val="single" w:sz="4" w:space="0" w:color="FFFFFF"/>
            </w:tcBorders>
          </w:tcPr>
          <w:p w14:paraId="58052A5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935AEC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71924EEE" w14:textId="77777777" w:rsidTr="00411863">
        <w:tc>
          <w:tcPr>
            <w:tcW w:w="2040" w:type="dxa"/>
            <w:vMerge/>
            <w:tcBorders>
              <w:left w:val="single" w:sz="4" w:space="0" w:color="FFFFFF"/>
              <w:right w:val="single" w:sz="4" w:space="0" w:color="FFFFFF"/>
            </w:tcBorders>
          </w:tcPr>
          <w:p w14:paraId="315BEA93"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E42C5B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Isoproturoni</w:t>
            </w:r>
          </w:p>
        </w:tc>
        <w:tc>
          <w:tcPr>
            <w:tcW w:w="1559" w:type="dxa"/>
            <w:tcBorders>
              <w:top w:val="single" w:sz="4" w:space="0" w:color="FFFFFF"/>
              <w:left w:val="single" w:sz="4" w:space="0" w:color="FFFFFF"/>
              <w:bottom w:val="single" w:sz="4" w:space="0" w:color="FFFFFF"/>
              <w:right w:val="single" w:sz="4" w:space="0" w:color="FFFFFF"/>
            </w:tcBorders>
          </w:tcPr>
          <w:p w14:paraId="52A8062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34123-59-6</w:t>
            </w:r>
          </w:p>
        </w:tc>
        <w:tc>
          <w:tcPr>
            <w:tcW w:w="1511" w:type="dxa"/>
            <w:tcBorders>
              <w:top w:val="single" w:sz="4" w:space="0" w:color="FFFFFF"/>
              <w:left w:val="single" w:sz="4" w:space="0" w:color="FFFFFF"/>
              <w:bottom w:val="single" w:sz="4" w:space="0" w:color="FFFFFF"/>
              <w:right w:val="single" w:sz="4" w:space="0" w:color="FFFFFF"/>
            </w:tcBorders>
          </w:tcPr>
          <w:p w14:paraId="1300C5A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1FAAABE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3D8F5CD9" w14:textId="77777777" w:rsidTr="00411863">
        <w:tc>
          <w:tcPr>
            <w:tcW w:w="2040" w:type="dxa"/>
            <w:vMerge/>
            <w:tcBorders>
              <w:left w:val="single" w:sz="4" w:space="0" w:color="FFFFFF"/>
              <w:right w:val="single" w:sz="4" w:space="0" w:color="FFFFFF"/>
            </w:tcBorders>
          </w:tcPr>
          <w:p w14:paraId="14EAE445"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243DC7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Linuroni</w:t>
            </w:r>
          </w:p>
        </w:tc>
        <w:tc>
          <w:tcPr>
            <w:tcW w:w="1559" w:type="dxa"/>
            <w:tcBorders>
              <w:top w:val="single" w:sz="4" w:space="0" w:color="FFFFFF"/>
              <w:left w:val="single" w:sz="4" w:space="0" w:color="FFFFFF"/>
              <w:bottom w:val="single" w:sz="4" w:space="0" w:color="FFFFFF"/>
              <w:right w:val="single" w:sz="4" w:space="0" w:color="FFFFFF"/>
            </w:tcBorders>
          </w:tcPr>
          <w:p w14:paraId="506CCFC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330-55-2</w:t>
            </w:r>
          </w:p>
        </w:tc>
        <w:tc>
          <w:tcPr>
            <w:tcW w:w="1511" w:type="dxa"/>
            <w:tcBorders>
              <w:top w:val="single" w:sz="4" w:space="0" w:color="FFFFFF"/>
              <w:left w:val="single" w:sz="4" w:space="0" w:color="FFFFFF"/>
              <w:bottom w:val="single" w:sz="4" w:space="0" w:color="FFFFFF"/>
              <w:right w:val="single" w:sz="4" w:space="0" w:color="FFFFFF"/>
            </w:tcBorders>
          </w:tcPr>
          <w:p w14:paraId="796C521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4B9566A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7CA1C6AC" w14:textId="77777777" w:rsidTr="00411863">
        <w:tc>
          <w:tcPr>
            <w:tcW w:w="2040" w:type="dxa"/>
            <w:vMerge/>
            <w:tcBorders>
              <w:left w:val="single" w:sz="4" w:space="0" w:color="FFFFFF"/>
              <w:right w:val="single" w:sz="4" w:space="0" w:color="FFFFFF"/>
            </w:tcBorders>
          </w:tcPr>
          <w:p w14:paraId="3FE9BE4F"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0536AF8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Manebi</w:t>
            </w:r>
          </w:p>
        </w:tc>
        <w:tc>
          <w:tcPr>
            <w:tcW w:w="1559" w:type="dxa"/>
            <w:tcBorders>
              <w:top w:val="single" w:sz="4" w:space="0" w:color="FFFFFF"/>
              <w:left w:val="single" w:sz="4" w:space="0" w:color="FFFFFF"/>
              <w:bottom w:val="single" w:sz="4" w:space="0" w:color="FFFFFF"/>
              <w:right w:val="single" w:sz="4" w:space="0" w:color="FFFFFF"/>
            </w:tcBorders>
          </w:tcPr>
          <w:p w14:paraId="1DF769F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12427-38-2</w:t>
            </w:r>
          </w:p>
        </w:tc>
        <w:tc>
          <w:tcPr>
            <w:tcW w:w="1511" w:type="dxa"/>
            <w:tcBorders>
              <w:top w:val="single" w:sz="4" w:space="0" w:color="FFFFFF"/>
              <w:left w:val="single" w:sz="4" w:space="0" w:color="FFFFFF"/>
              <w:bottom w:val="single" w:sz="4" w:space="0" w:color="FFFFFF"/>
              <w:right w:val="single" w:sz="4" w:space="0" w:color="FFFFFF"/>
            </w:tcBorders>
          </w:tcPr>
          <w:p w14:paraId="37A8DF81"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6493293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127158BC" w14:textId="77777777" w:rsidTr="00411863">
        <w:tc>
          <w:tcPr>
            <w:tcW w:w="2040" w:type="dxa"/>
            <w:vMerge/>
            <w:tcBorders>
              <w:left w:val="single" w:sz="4" w:space="0" w:color="FFFFFF"/>
              <w:right w:val="single" w:sz="4" w:space="0" w:color="FFFFFF"/>
            </w:tcBorders>
          </w:tcPr>
          <w:p w14:paraId="654FB98E"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3E8E6D3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Ortosulfamuroni</w:t>
            </w:r>
          </w:p>
        </w:tc>
        <w:tc>
          <w:tcPr>
            <w:tcW w:w="1559" w:type="dxa"/>
            <w:tcBorders>
              <w:top w:val="single" w:sz="4" w:space="0" w:color="FFFFFF"/>
              <w:left w:val="single" w:sz="4" w:space="0" w:color="FFFFFF"/>
              <w:bottom w:val="single" w:sz="4" w:space="0" w:color="FFFFFF"/>
              <w:right w:val="single" w:sz="4" w:space="0" w:color="FFFFFF"/>
            </w:tcBorders>
          </w:tcPr>
          <w:p w14:paraId="79003DF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213464-77-8</w:t>
            </w:r>
          </w:p>
        </w:tc>
        <w:tc>
          <w:tcPr>
            <w:tcW w:w="1511" w:type="dxa"/>
            <w:tcBorders>
              <w:top w:val="single" w:sz="4" w:space="0" w:color="FFFFFF"/>
              <w:left w:val="single" w:sz="4" w:space="0" w:color="FFFFFF"/>
              <w:bottom w:val="single" w:sz="4" w:space="0" w:color="FFFFFF"/>
              <w:right w:val="single" w:sz="4" w:space="0" w:color="FFFFFF"/>
            </w:tcBorders>
          </w:tcPr>
          <w:p w14:paraId="1955A03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04F0517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34CF9356" w14:textId="77777777" w:rsidTr="00411863">
        <w:tc>
          <w:tcPr>
            <w:tcW w:w="2040" w:type="dxa"/>
            <w:vMerge/>
            <w:tcBorders>
              <w:left w:val="single" w:sz="4" w:space="0" w:color="FFFFFF"/>
              <w:right w:val="single" w:sz="4" w:space="0" w:color="FFFFFF"/>
            </w:tcBorders>
          </w:tcPr>
          <w:p w14:paraId="2165E15E"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5C83880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Pikoksistrobiini</w:t>
            </w:r>
          </w:p>
        </w:tc>
        <w:tc>
          <w:tcPr>
            <w:tcW w:w="1559" w:type="dxa"/>
            <w:tcBorders>
              <w:top w:val="single" w:sz="4" w:space="0" w:color="FFFFFF"/>
              <w:left w:val="single" w:sz="4" w:space="0" w:color="FFFFFF"/>
              <w:bottom w:val="single" w:sz="4" w:space="0" w:color="FFFFFF"/>
              <w:right w:val="single" w:sz="4" w:space="0" w:color="FFFFFF"/>
            </w:tcBorders>
          </w:tcPr>
          <w:p w14:paraId="3D07175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117428-22-5</w:t>
            </w:r>
          </w:p>
        </w:tc>
        <w:tc>
          <w:tcPr>
            <w:tcW w:w="1511" w:type="dxa"/>
            <w:tcBorders>
              <w:top w:val="single" w:sz="4" w:space="0" w:color="FFFFFF"/>
              <w:left w:val="single" w:sz="4" w:space="0" w:color="FFFFFF"/>
              <w:bottom w:val="single" w:sz="4" w:space="0" w:color="FFFFFF"/>
              <w:right w:val="single" w:sz="4" w:space="0" w:color="FFFFFF"/>
            </w:tcBorders>
          </w:tcPr>
          <w:p w14:paraId="54173C6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1A75D09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5F2EFD94" w14:textId="77777777" w:rsidTr="00411863">
        <w:tc>
          <w:tcPr>
            <w:tcW w:w="2040" w:type="dxa"/>
            <w:vMerge/>
            <w:tcBorders>
              <w:left w:val="single" w:sz="4" w:space="0" w:color="FFFFFF"/>
              <w:right w:val="single" w:sz="4" w:space="0" w:color="FFFFFF"/>
            </w:tcBorders>
          </w:tcPr>
          <w:p w14:paraId="1A540E5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5B770C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Lyhytketjuiset klooratut parafiinit</w:t>
            </w:r>
          </w:p>
        </w:tc>
        <w:tc>
          <w:tcPr>
            <w:tcW w:w="1559" w:type="dxa"/>
            <w:tcBorders>
              <w:top w:val="single" w:sz="4" w:space="0" w:color="FFFFFF"/>
              <w:left w:val="single" w:sz="4" w:space="0" w:color="FFFFFF"/>
              <w:bottom w:val="single" w:sz="4" w:space="0" w:color="FFFFFF"/>
              <w:right w:val="single" w:sz="4" w:space="0" w:color="FFFFFF"/>
            </w:tcBorders>
          </w:tcPr>
          <w:p w14:paraId="096F6E1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85535-84-8</w:t>
            </w:r>
          </w:p>
        </w:tc>
        <w:tc>
          <w:tcPr>
            <w:tcW w:w="1511" w:type="dxa"/>
            <w:tcBorders>
              <w:top w:val="single" w:sz="4" w:space="0" w:color="FFFFFF"/>
              <w:left w:val="single" w:sz="4" w:space="0" w:color="FFFFFF"/>
              <w:bottom w:val="single" w:sz="4" w:space="0" w:color="FFFFFF"/>
              <w:right w:val="single" w:sz="4" w:space="0" w:color="FFFFFF"/>
            </w:tcBorders>
          </w:tcPr>
          <w:p w14:paraId="12DE7D3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 osa</w:t>
            </w:r>
          </w:p>
        </w:tc>
        <w:tc>
          <w:tcPr>
            <w:tcW w:w="1607" w:type="dxa"/>
            <w:tcBorders>
              <w:top w:val="single" w:sz="4" w:space="0" w:color="FFFFFF"/>
              <w:left w:val="single" w:sz="4" w:space="0" w:color="FFFFFF"/>
              <w:bottom w:val="single" w:sz="4" w:space="0" w:color="FFFFFF"/>
              <w:right w:val="single" w:sz="4" w:space="0" w:color="FFFFFF"/>
            </w:tcBorders>
          </w:tcPr>
          <w:p w14:paraId="7C763DD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r w:rsidR="00A34D59" w:rsidRPr="00C57C27" w14:paraId="0BABAB62" w14:textId="77777777" w:rsidTr="00411863">
        <w:tc>
          <w:tcPr>
            <w:tcW w:w="2040" w:type="dxa"/>
            <w:vMerge/>
            <w:tcBorders>
              <w:left w:val="single" w:sz="4" w:space="0" w:color="FFFFFF"/>
              <w:right w:val="single" w:sz="4" w:space="0" w:color="FFFFFF"/>
            </w:tcBorders>
          </w:tcPr>
          <w:p w14:paraId="28C2F181"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59B7BA6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Triasulfuroni</w:t>
            </w:r>
          </w:p>
        </w:tc>
        <w:tc>
          <w:tcPr>
            <w:tcW w:w="1559" w:type="dxa"/>
            <w:tcBorders>
              <w:top w:val="single" w:sz="4" w:space="0" w:color="FFFFFF"/>
              <w:left w:val="single" w:sz="4" w:space="0" w:color="FFFFFF"/>
              <w:bottom w:val="single" w:sz="4" w:space="0" w:color="FFFFFF"/>
              <w:right w:val="single" w:sz="4" w:space="0" w:color="FFFFFF"/>
            </w:tcBorders>
          </w:tcPr>
          <w:p w14:paraId="7877DC4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82097-50-5</w:t>
            </w:r>
          </w:p>
        </w:tc>
        <w:tc>
          <w:tcPr>
            <w:tcW w:w="1511" w:type="dxa"/>
            <w:tcBorders>
              <w:top w:val="single" w:sz="4" w:space="0" w:color="FFFFFF"/>
              <w:left w:val="single" w:sz="4" w:space="0" w:color="FFFFFF"/>
              <w:bottom w:val="single" w:sz="4" w:space="0" w:color="FFFFFF"/>
              <w:right w:val="single" w:sz="4" w:space="0" w:color="FFFFFF"/>
            </w:tcBorders>
          </w:tcPr>
          <w:p w14:paraId="2949C91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0EB332A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02E8A474" w14:textId="77777777" w:rsidTr="00411863">
        <w:tc>
          <w:tcPr>
            <w:tcW w:w="2040" w:type="dxa"/>
            <w:vMerge/>
            <w:tcBorders>
              <w:left w:val="single" w:sz="4" w:space="0" w:color="FFFFFF"/>
              <w:right w:val="single" w:sz="4" w:space="0" w:color="FFFFFF"/>
            </w:tcBorders>
          </w:tcPr>
          <w:p w14:paraId="53DA793C"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7F69DA3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Trikloorifoni</w:t>
            </w:r>
          </w:p>
        </w:tc>
        <w:tc>
          <w:tcPr>
            <w:tcW w:w="1559" w:type="dxa"/>
            <w:tcBorders>
              <w:top w:val="single" w:sz="4" w:space="0" w:color="FFFFFF"/>
              <w:left w:val="single" w:sz="4" w:space="0" w:color="FFFFFF"/>
              <w:bottom w:val="single" w:sz="4" w:space="0" w:color="FFFFFF"/>
              <w:right w:val="single" w:sz="4" w:space="0" w:color="FFFFFF"/>
            </w:tcBorders>
          </w:tcPr>
          <w:p w14:paraId="1AE4A37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52-68-6</w:t>
            </w:r>
          </w:p>
        </w:tc>
        <w:tc>
          <w:tcPr>
            <w:tcW w:w="1511" w:type="dxa"/>
            <w:tcBorders>
              <w:top w:val="single" w:sz="4" w:space="0" w:color="FFFFFF"/>
              <w:left w:val="single" w:sz="4" w:space="0" w:color="FFFFFF"/>
              <w:bottom w:val="single" w:sz="4" w:space="0" w:color="FFFFFF"/>
              <w:right w:val="single" w:sz="4" w:space="0" w:color="FFFFFF"/>
            </w:tcBorders>
          </w:tcPr>
          <w:p w14:paraId="50606E2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3 osa</w:t>
            </w:r>
          </w:p>
        </w:tc>
        <w:tc>
          <w:tcPr>
            <w:tcW w:w="1607" w:type="dxa"/>
            <w:tcBorders>
              <w:top w:val="single" w:sz="4" w:space="0" w:color="FFFFFF"/>
              <w:left w:val="single" w:sz="4" w:space="0" w:color="FFFFFF"/>
              <w:bottom w:val="single" w:sz="4" w:space="0" w:color="FFFFFF"/>
              <w:right w:val="single" w:sz="4" w:space="0" w:color="FFFFFF"/>
            </w:tcBorders>
          </w:tcPr>
          <w:p w14:paraId="1E6E275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r w:rsidR="00A34D59" w:rsidRPr="00C57C27" w14:paraId="563DF4ED" w14:textId="77777777" w:rsidTr="00411863">
        <w:tc>
          <w:tcPr>
            <w:tcW w:w="2040" w:type="dxa"/>
            <w:vMerge w:val="restart"/>
            <w:tcBorders>
              <w:top w:val="single" w:sz="4" w:space="0" w:color="FFFFFF"/>
              <w:left w:val="single" w:sz="4" w:space="0" w:color="FFFFFF"/>
              <w:right w:val="single" w:sz="4" w:space="0" w:color="FFFFFF"/>
            </w:tcBorders>
          </w:tcPr>
          <w:p w14:paraId="31F9BA2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Komission delegoitu asetus (EU) 2019/1701, annettu 23 päivänä heinäkuuta 2019, asetuksen (EU) N:o 649/2012 liitteiden I ja V muuttamisesta</w:t>
            </w:r>
          </w:p>
        </w:tc>
        <w:tc>
          <w:tcPr>
            <w:tcW w:w="2463" w:type="dxa"/>
            <w:tcBorders>
              <w:top w:val="single" w:sz="4" w:space="0" w:color="FFFFFF"/>
              <w:left w:val="single" w:sz="4" w:space="0" w:color="FFFFFF"/>
              <w:bottom w:val="single" w:sz="4" w:space="0" w:color="FFFFFF"/>
              <w:right w:val="single" w:sz="4" w:space="0" w:color="FFFFFF"/>
            </w:tcBorders>
          </w:tcPr>
          <w:p w14:paraId="5468277E"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2-naftyylioksietikkahappo </w:t>
            </w:r>
          </w:p>
        </w:tc>
        <w:tc>
          <w:tcPr>
            <w:tcW w:w="1559" w:type="dxa"/>
            <w:tcBorders>
              <w:top w:val="single" w:sz="4" w:space="0" w:color="FFFFFF"/>
              <w:left w:val="single" w:sz="4" w:space="0" w:color="FFFFFF"/>
              <w:bottom w:val="single" w:sz="4" w:space="0" w:color="FFFFFF"/>
              <w:right w:val="single" w:sz="4" w:space="0" w:color="FFFFFF"/>
            </w:tcBorders>
          </w:tcPr>
          <w:p w14:paraId="3ABFE0C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120-23-0</w:t>
            </w:r>
          </w:p>
        </w:tc>
        <w:tc>
          <w:tcPr>
            <w:tcW w:w="1511" w:type="dxa"/>
            <w:tcBorders>
              <w:top w:val="single" w:sz="4" w:space="0" w:color="FFFFFF"/>
              <w:left w:val="single" w:sz="4" w:space="0" w:color="FFFFFF"/>
              <w:bottom w:val="single" w:sz="4" w:space="0" w:color="FFFFFF"/>
              <w:right w:val="single" w:sz="4" w:space="0" w:color="FFFFFF"/>
            </w:tcBorders>
          </w:tcPr>
          <w:p w14:paraId="6E1EB0C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2 osa </w:t>
            </w:r>
          </w:p>
        </w:tc>
        <w:tc>
          <w:tcPr>
            <w:tcW w:w="1607" w:type="dxa"/>
            <w:tcBorders>
              <w:top w:val="single" w:sz="4" w:space="0" w:color="FFFFFF"/>
              <w:left w:val="single" w:sz="4" w:space="0" w:color="FFFFFF"/>
              <w:bottom w:val="single" w:sz="4" w:space="0" w:color="FFFFFF"/>
              <w:right w:val="single" w:sz="4" w:space="0" w:color="FFFFFF"/>
            </w:tcBorders>
          </w:tcPr>
          <w:p w14:paraId="2A7143A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305A9A8F" w14:textId="77777777" w:rsidTr="00411863">
        <w:tc>
          <w:tcPr>
            <w:tcW w:w="2040" w:type="dxa"/>
            <w:vMerge/>
            <w:tcBorders>
              <w:left w:val="single" w:sz="4" w:space="0" w:color="FFFFFF"/>
              <w:right w:val="single" w:sz="4" w:space="0" w:color="FFFFFF"/>
            </w:tcBorders>
          </w:tcPr>
          <w:p w14:paraId="21EA00F7"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2933C78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Asetokloori</w:t>
            </w:r>
          </w:p>
        </w:tc>
        <w:tc>
          <w:tcPr>
            <w:tcW w:w="1559" w:type="dxa"/>
            <w:tcBorders>
              <w:top w:val="single" w:sz="4" w:space="0" w:color="FFFFFF"/>
              <w:left w:val="single" w:sz="4" w:space="0" w:color="FFFFFF"/>
              <w:bottom w:val="single" w:sz="4" w:space="0" w:color="FFFFFF"/>
              <w:right w:val="single" w:sz="4" w:space="0" w:color="FFFFFF"/>
            </w:tcBorders>
          </w:tcPr>
          <w:p w14:paraId="427AE1B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34256-82-1</w:t>
            </w:r>
          </w:p>
        </w:tc>
        <w:tc>
          <w:tcPr>
            <w:tcW w:w="1511" w:type="dxa"/>
            <w:tcBorders>
              <w:top w:val="single" w:sz="4" w:space="0" w:color="FFFFFF"/>
              <w:left w:val="single" w:sz="4" w:space="0" w:color="FFFFFF"/>
              <w:bottom w:val="single" w:sz="4" w:space="0" w:color="FFFFFF"/>
              <w:right w:val="single" w:sz="4" w:space="0" w:color="FFFFFF"/>
            </w:tcBorders>
          </w:tcPr>
          <w:p w14:paraId="7F32B2A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6FC83D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3AC10606" w14:textId="77777777" w:rsidTr="00411863">
        <w:tc>
          <w:tcPr>
            <w:tcW w:w="2040" w:type="dxa"/>
            <w:vMerge/>
            <w:tcBorders>
              <w:left w:val="single" w:sz="4" w:space="0" w:color="FFFFFF"/>
              <w:right w:val="single" w:sz="4" w:space="0" w:color="FFFFFF"/>
            </w:tcBorders>
          </w:tcPr>
          <w:p w14:paraId="1EE8366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4D7C71E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Asulaami</w:t>
            </w:r>
          </w:p>
        </w:tc>
        <w:tc>
          <w:tcPr>
            <w:tcW w:w="1559" w:type="dxa"/>
            <w:tcBorders>
              <w:top w:val="single" w:sz="4" w:space="0" w:color="FFFFFF"/>
              <w:left w:val="single" w:sz="4" w:space="0" w:color="FFFFFF"/>
              <w:bottom w:val="single" w:sz="4" w:space="0" w:color="FFFFFF"/>
              <w:right w:val="single" w:sz="4" w:space="0" w:color="FFFFFF"/>
            </w:tcBorders>
          </w:tcPr>
          <w:p w14:paraId="3A29716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3337-71-1</w:t>
            </w:r>
          </w:p>
          <w:p w14:paraId="62F0136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2302-17-2</w:t>
            </w:r>
          </w:p>
        </w:tc>
        <w:tc>
          <w:tcPr>
            <w:tcW w:w="1511" w:type="dxa"/>
            <w:tcBorders>
              <w:top w:val="single" w:sz="4" w:space="0" w:color="FFFFFF"/>
              <w:left w:val="single" w:sz="4" w:space="0" w:color="FFFFFF"/>
              <w:bottom w:val="single" w:sz="4" w:space="0" w:color="FFFFFF"/>
              <w:right w:val="single" w:sz="4" w:space="0" w:color="FFFFFF"/>
            </w:tcBorders>
          </w:tcPr>
          <w:p w14:paraId="2F25E70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C1C0A3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57292AD6" w14:textId="77777777" w:rsidTr="00411863">
        <w:tc>
          <w:tcPr>
            <w:tcW w:w="2040" w:type="dxa"/>
            <w:vMerge/>
            <w:tcBorders>
              <w:left w:val="single" w:sz="4" w:space="0" w:color="FFFFFF"/>
              <w:right w:val="single" w:sz="4" w:space="0" w:color="FFFFFF"/>
            </w:tcBorders>
          </w:tcPr>
          <w:p w14:paraId="1A10DB70"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3BF279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Klooripikriini</w:t>
            </w:r>
          </w:p>
        </w:tc>
        <w:tc>
          <w:tcPr>
            <w:tcW w:w="1559" w:type="dxa"/>
            <w:tcBorders>
              <w:top w:val="single" w:sz="4" w:space="0" w:color="FFFFFF"/>
              <w:left w:val="single" w:sz="4" w:space="0" w:color="FFFFFF"/>
              <w:bottom w:val="single" w:sz="4" w:space="0" w:color="FFFFFF"/>
              <w:right w:val="single" w:sz="4" w:space="0" w:color="FFFFFF"/>
            </w:tcBorders>
          </w:tcPr>
          <w:p w14:paraId="275D8AE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76-06-2</w:t>
            </w:r>
          </w:p>
        </w:tc>
        <w:tc>
          <w:tcPr>
            <w:tcW w:w="1511" w:type="dxa"/>
            <w:tcBorders>
              <w:top w:val="single" w:sz="4" w:space="0" w:color="FFFFFF"/>
              <w:left w:val="single" w:sz="4" w:space="0" w:color="FFFFFF"/>
              <w:bottom w:val="single" w:sz="4" w:space="0" w:color="FFFFFF"/>
              <w:right w:val="single" w:sz="4" w:space="0" w:color="FFFFFF"/>
            </w:tcBorders>
          </w:tcPr>
          <w:p w14:paraId="4AA7176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073A004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7D8C8263" w14:textId="77777777" w:rsidTr="00411863">
        <w:tc>
          <w:tcPr>
            <w:tcW w:w="2040" w:type="dxa"/>
            <w:vMerge/>
            <w:tcBorders>
              <w:left w:val="single" w:sz="4" w:space="0" w:color="FFFFFF"/>
              <w:right w:val="single" w:sz="4" w:space="0" w:color="FFFFFF"/>
            </w:tcBorders>
          </w:tcPr>
          <w:p w14:paraId="615D306D"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4F17B9E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Difenyyliamiini</w:t>
            </w:r>
          </w:p>
        </w:tc>
        <w:tc>
          <w:tcPr>
            <w:tcW w:w="1559" w:type="dxa"/>
            <w:tcBorders>
              <w:top w:val="single" w:sz="4" w:space="0" w:color="FFFFFF"/>
              <w:left w:val="single" w:sz="4" w:space="0" w:color="FFFFFF"/>
              <w:bottom w:val="single" w:sz="4" w:space="0" w:color="FFFFFF"/>
              <w:right w:val="single" w:sz="4" w:space="0" w:color="FFFFFF"/>
            </w:tcBorders>
          </w:tcPr>
          <w:p w14:paraId="5C430FB5"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122-39-4</w:t>
            </w:r>
          </w:p>
        </w:tc>
        <w:tc>
          <w:tcPr>
            <w:tcW w:w="1511" w:type="dxa"/>
            <w:tcBorders>
              <w:top w:val="single" w:sz="4" w:space="0" w:color="FFFFFF"/>
              <w:left w:val="single" w:sz="4" w:space="0" w:color="FFFFFF"/>
              <w:bottom w:val="single" w:sz="4" w:space="0" w:color="FFFFFF"/>
              <w:right w:val="single" w:sz="4" w:space="0" w:color="FFFFFF"/>
            </w:tcBorders>
          </w:tcPr>
          <w:p w14:paraId="13BE6F3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 osa</w:t>
            </w:r>
          </w:p>
        </w:tc>
        <w:tc>
          <w:tcPr>
            <w:tcW w:w="1607" w:type="dxa"/>
            <w:tcBorders>
              <w:top w:val="single" w:sz="4" w:space="0" w:color="FFFFFF"/>
              <w:left w:val="single" w:sz="4" w:space="0" w:color="FFFFFF"/>
              <w:bottom w:val="single" w:sz="4" w:space="0" w:color="FFFFFF"/>
              <w:right w:val="single" w:sz="4" w:space="0" w:color="FFFFFF"/>
            </w:tcBorders>
          </w:tcPr>
          <w:p w14:paraId="0BBD705E"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08999251" w14:textId="77777777" w:rsidTr="00411863">
        <w:tc>
          <w:tcPr>
            <w:tcW w:w="2040" w:type="dxa"/>
            <w:vMerge/>
            <w:tcBorders>
              <w:left w:val="single" w:sz="4" w:space="0" w:color="FFFFFF"/>
              <w:right w:val="single" w:sz="4" w:space="0" w:color="FFFFFF"/>
            </w:tcBorders>
          </w:tcPr>
          <w:p w14:paraId="127311A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37990C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Flufenoksuroni</w:t>
            </w:r>
          </w:p>
        </w:tc>
        <w:tc>
          <w:tcPr>
            <w:tcW w:w="1559" w:type="dxa"/>
            <w:tcBorders>
              <w:top w:val="single" w:sz="4" w:space="0" w:color="FFFFFF"/>
              <w:left w:val="single" w:sz="4" w:space="0" w:color="FFFFFF"/>
              <w:bottom w:val="single" w:sz="4" w:space="0" w:color="FFFFFF"/>
              <w:right w:val="single" w:sz="4" w:space="0" w:color="FFFFFF"/>
            </w:tcBorders>
          </w:tcPr>
          <w:p w14:paraId="49B4235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101463-69-8</w:t>
            </w:r>
          </w:p>
        </w:tc>
        <w:tc>
          <w:tcPr>
            <w:tcW w:w="1511" w:type="dxa"/>
            <w:tcBorders>
              <w:top w:val="single" w:sz="4" w:space="0" w:color="FFFFFF"/>
              <w:left w:val="single" w:sz="4" w:space="0" w:color="FFFFFF"/>
              <w:bottom w:val="single" w:sz="4" w:space="0" w:color="FFFFFF"/>
              <w:right w:val="single" w:sz="4" w:space="0" w:color="FFFFFF"/>
            </w:tcBorders>
          </w:tcPr>
          <w:p w14:paraId="1EBBD26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2682F26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4BB55DEB" w14:textId="77777777" w:rsidTr="00411863">
        <w:tc>
          <w:tcPr>
            <w:tcW w:w="2040" w:type="dxa"/>
            <w:vMerge/>
            <w:tcBorders>
              <w:left w:val="single" w:sz="4" w:space="0" w:color="FFFFFF"/>
              <w:right w:val="single" w:sz="4" w:space="0" w:color="FFFFFF"/>
            </w:tcBorders>
          </w:tcPr>
          <w:p w14:paraId="068ED272"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302C088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Naledi</w:t>
            </w:r>
          </w:p>
        </w:tc>
        <w:tc>
          <w:tcPr>
            <w:tcW w:w="1559" w:type="dxa"/>
            <w:tcBorders>
              <w:top w:val="single" w:sz="4" w:space="0" w:color="FFFFFF"/>
              <w:left w:val="single" w:sz="4" w:space="0" w:color="FFFFFF"/>
              <w:bottom w:val="single" w:sz="4" w:space="0" w:color="FFFFFF"/>
              <w:right w:val="single" w:sz="4" w:space="0" w:color="FFFFFF"/>
            </w:tcBorders>
          </w:tcPr>
          <w:p w14:paraId="2450D859"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300-76-5</w:t>
            </w:r>
          </w:p>
        </w:tc>
        <w:tc>
          <w:tcPr>
            <w:tcW w:w="1511" w:type="dxa"/>
            <w:tcBorders>
              <w:top w:val="single" w:sz="4" w:space="0" w:color="FFFFFF"/>
              <w:left w:val="single" w:sz="4" w:space="0" w:color="FFFFFF"/>
              <w:bottom w:val="single" w:sz="4" w:space="0" w:color="FFFFFF"/>
              <w:right w:val="single" w:sz="4" w:space="0" w:color="FFFFFF"/>
            </w:tcBorders>
          </w:tcPr>
          <w:p w14:paraId="4C88A0F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30947E1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06577B82" w14:textId="77777777" w:rsidTr="00411863">
        <w:tc>
          <w:tcPr>
            <w:tcW w:w="2040" w:type="dxa"/>
            <w:vMerge/>
            <w:tcBorders>
              <w:left w:val="single" w:sz="4" w:space="0" w:color="FFFFFF"/>
              <w:right w:val="single" w:sz="4" w:space="0" w:color="FFFFFF"/>
            </w:tcBorders>
          </w:tcPr>
          <w:p w14:paraId="07E0D0FF"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56BE8B32"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Propaniili</w:t>
            </w:r>
          </w:p>
        </w:tc>
        <w:tc>
          <w:tcPr>
            <w:tcW w:w="1559" w:type="dxa"/>
            <w:tcBorders>
              <w:top w:val="single" w:sz="4" w:space="0" w:color="FFFFFF"/>
              <w:left w:val="single" w:sz="4" w:space="0" w:color="FFFFFF"/>
              <w:bottom w:val="single" w:sz="4" w:space="0" w:color="FFFFFF"/>
              <w:right w:val="single" w:sz="4" w:space="0" w:color="FFFFFF"/>
            </w:tcBorders>
          </w:tcPr>
          <w:p w14:paraId="66EEDEB8"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709-98-8</w:t>
            </w:r>
          </w:p>
        </w:tc>
        <w:tc>
          <w:tcPr>
            <w:tcW w:w="1511" w:type="dxa"/>
            <w:tcBorders>
              <w:top w:val="single" w:sz="4" w:space="0" w:color="FFFFFF"/>
              <w:left w:val="single" w:sz="4" w:space="0" w:color="FFFFFF"/>
              <w:bottom w:val="single" w:sz="4" w:space="0" w:color="FFFFFF"/>
              <w:right w:val="single" w:sz="4" w:space="0" w:color="FFFFFF"/>
            </w:tcBorders>
          </w:tcPr>
          <w:p w14:paraId="74E325B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 osa</w:t>
            </w:r>
          </w:p>
        </w:tc>
        <w:tc>
          <w:tcPr>
            <w:tcW w:w="1607" w:type="dxa"/>
            <w:tcBorders>
              <w:top w:val="single" w:sz="4" w:space="0" w:color="FFFFFF"/>
              <w:left w:val="single" w:sz="4" w:space="0" w:color="FFFFFF"/>
              <w:bottom w:val="single" w:sz="4" w:space="0" w:color="FFFFFF"/>
              <w:right w:val="single" w:sz="4" w:space="0" w:color="FFFFFF"/>
            </w:tcBorders>
          </w:tcPr>
          <w:p w14:paraId="492AB466"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64A02D21" w14:textId="77777777" w:rsidTr="00411863">
        <w:tc>
          <w:tcPr>
            <w:tcW w:w="2040" w:type="dxa"/>
            <w:vMerge/>
            <w:tcBorders>
              <w:left w:val="single" w:sz="4" w:space="0" w:color="FFFFFF"/>
              <w:right w:val="single" w:sz="4" w:space="0" w:color="FFFFFF"/>
            </w:tcBorders>
          </w:tcPr>
          <w:p w14:paraId="6529E485"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1330A84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Propargiitti</w:t>
            </w:r>
          </w:p>
        </w:tc>
        <w:tc>
          <w:tcPr>
            <w:tcW w:w="1559" w:type="dxa"/>
            <w:tcBorders>
              <w:top w:val="single" w:sz="4" w:space="0" w:color="FFFFFF"/>
              <w:left w:val="single" w:sz="4" w:space="0" w:color="FFFFFF"/>
              <w:bottom w:val="single" w:sz="4" w:space="0" w:color="FFFFFF"/>
              <w:right w:val="single" w:sz="4" w:space="0" w:color="FFFFFF"/>
            </w:tcBorders>
          </w:tcPr>
          <w:p w14:paraId="4CB5274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2312-35-8</w:t>
            </w:r>
          </w:p>
        </w:tc>
        <w:tc>
          <w:tcPr>
            <w:tcW w:w="1511" w:type="dxa"/>
            <w:tcBorders>
              <w:top w:val="single" w:sz="4" w:space="0" w:color="FFFFFF"/>
              <w:left w:val="single" w:sz="4" w:space="0" w:color="FFFFFF"/>
              <w:bottom w:val="single" w:sz="4" w:space="0" w:color="FFFFFF"/>
              <w:right w:val="single" w:sz="4" w:space="0" w:color="FFFFFF"/>
            </w:tcBorders>
          </w:tcPr>
          <w:p w14:paraId="5CAFB291"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 ja 2 osa</w:t>
            </w:r>
          </w:p>
        </w:tc>
        <w:tc>
          <w:tcPr>
            <w:tcW w:w="1607" w:type="dxa"/>
            <w:tcBorders>
              <w:top w:val="single" w:sz="4" w:space="0" w:color="FFFFFF"/>
              <w:left w:val="single" w:sz="4" w:space="0" w:color="FFFFFF"/>
              <w:bottom w:val="single" w:sz="4" w:space="0" w:color="FFFFFF"/>
              <w:right w:val="single" w:sz="4" w:space="0" w:color="FFFFFF"/>
            </w:tcBorders>
          </w:tcPr>
          <w:p w14:paraId="5B62493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Kasvinsuojeluaineasetus</w:t>
            </w:r>
          </w:p>
        </w:tc>
      </w:tr>
      <w:tr w:rsidR="00A34D59" w:rsidRPr="00C57C27" w14:paraId="6F9E5C54" w14:textId="77777777" w:rsidTr="00411863">
        <w:tc>
          <w:tcPr>
            <w:tcW w:w="2040" w:type="dxa"/>
            <w:vMerge/>
            <w:tcBorders>
              <w:left w:val="single" w:sz="4" w:space="0" w:color="FFFFFF"/>
              <w:right w:val="single" w:sz="4" w:space="0" w:color="FFFFFF"/>
            </w:tcBorders>
          </w:tcPr>
          <w:p w14:paraId="6FF03CE0"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E5C612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Alakloori</w:t>
            </w:r>
          </w:p>
        </w:tc>
        <w:tc>
          <w:tcPr>
            <w:tcW w:w="1559" w:type="dxa"/>
            <w:tcBorders>
              <w:top w:val="single" w:sz="4" w:space="0" w:color="FFFFFF"/>
              <w:left w:val="single" w:sz="4" w:space="0" w:color="FFFFFF"/>
              <w:bottom w:val="single" w:sz="4" w:space="0" w:color="FFFFFF"/>
              <w:right w:val="single" w:sz="4" w:space="0" w:color="FFFFFF"/>
            </w:tcBorders>
          </w:tcPr>
          <w:p w14:paraId="6908C24D"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15972-60-8</w:t>
            </w:r>
          </w:p>
        </w:tc>
        <w:tc>
          <w:tcPr>
            <w:tcW w:w="1511" w:type="dxa"/>
            <w:tcBorders>
              <w:top w:val="single" w:sz="4" w:space="0" w:color="FFFFFF"/>
              <w:left w:val="single" w:sz="4" w:space="0" w:color="FFFFFF"/>
              <w:bottom w:val="single" w:sz="4" w:space="0" w:color="FFFFFF"/>
              <w:right w:val="single" w:sz="4" w:space="0" w:color="FFFFFF"/>
            </w:tcBorders>
          </w:tcPr>
          <w:p w14:paraId="101304C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 osa</w:t>
            </w:r>
          </w:p>
        </w:tc>
        <w:tc>
          <w:tcPr>
            <w:tcW w:w="1607" w:type="dxa"/>
            <w:tcBorders>
              <w:top w:val="single" w:sz="4" w:space="0" w:color="FFFFFF"/>
              <w:left w:val="single" w:sz="4" w:space="0" w:color="FFFFFF"/>
              <w:bottom w:val="single" w:sz="4" w:space="0" w:color="FFFFFF"/>
              <w:right w:val="single" w:sz="4" w:space="0" w:color="FFFFFF"/>
            </w:tcBorders>
          </w:tcPr>
          <w:p w14:paraId="44AB02FC"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r w:rsidR="00A34D59" w:rsidRPr="00C57C27" w14:paraId="1B9F5EE4" w14:textId="77777777" w:rsidTr="00411863">
        <w:tc>
          <w:tcPr>
            <w:tcW w:w="2040" w:type="dxa"/>
            <w:vMerge/>
            <w:tcBorders>
              <w:left w:val="single" w:sz="4" w:space="0" w:color="FFFFFF"/>
              <w:right w:val="single" w:sz="4" w:space="0" w:color="FFFFFF"/>
            </w:tcBorders>
          </w:tcPr>
          <w:p w14:paraId="2948FA1A"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FAF8D63"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Aldikarbi</w:t>
            </w:r>
          </w:p>
        </w:tc>
        <w:tc>
          <w:tcPr>
            <w:tcW w:w="1559" w:type="dxa"/>
            <w:tcBorders>
              <w:top w:val="single" w:sz="4" w:space="0" w:color="FFFFFF"/>
              <w:left w:val="single" w:sz="4" w:space="0" w:color="FFFFFF"/>
              <w:bottom w:val="single" w:sz="4" w:space="0" w:color="FFFFFF"/>
              <w:right w:val="single" w:sz="4" w:space="0" w:color="FFFFFF"/>
            </w:tcBorders>
          </w:tcPr>
          <w:p w14:paraId="3CCFF5EB"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116-06-3</w:t>
            </w:r>
          </w:p>
        </w:tc>
        <w:tc>
          <w:tcPr>
            <w:tcW w:w="1511" w:type="dxa"/>
            <w:tcBorders>
              <w:top w:val="single" w:sz="4" w:space="0" w:color="FFFFFF"/>
              <w:left w:val="single" w:sz="4" w:space="0" w:color="FFFFFF"/>
              <w:bottom w:val="single" w:sz="4" w:space="0" w:color="FFFFFF"/>
              <w:right w:val="single" w:sz="4" w:space="0" w:color="FFFFFF"/>
            </w:tcBorders>
          </w:tcPr>
          <w:p w14:paraId="111A0207"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 osa</w:t>
            </w:r>
          </w:p>
        </w:tc>
        <w:tc>
          <w:tcPr>
            <w:tcW w:w="1607" w:type="dxa"/>
            <w:tcBorders>
              <w:top w:val="single" w:sz="4" w:space="0" w:color="FFFFFF"/>
              <w:left w:val="single" w:sz="4" w:space="0" w:color="FFFFFF"/>
              <w:bottom w:val="single" w:sz="4" w:space="0" w:color="FFFFFF"/>
              <w:right w:val="single" w:sz="4" w:space="0" w:color="FFFFFF"/>
            </w:tcBorders>
          </w:tcPr>
          <w:p w14:paraId="2DCC8F3A"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r w:rsidR="00A34D59" w:rsidRPr="00C57C27" w14:paraId="5BBEB7D6" w14:textId="77777777" w:rsidTr="00411863">
        <w:tc>
          <w:tcPr>
            <w:tcW w:w="2040" w:type="dxa"/>
            <w:vMerge/>
            <w:tcBorders>
              <w:left w:val="single" w:sz="4" w:space="0" w:color="FFFFFF"/>
              <w:bottom w:val="single" w:sz="4" w:space="0" w:color="FFFFFF"/>
              <w:right w:val="single" w:sz="4" w:space="0" w:color="FFFFFF"/>
            </w:tcBorders>
          </w:tcPr>
          <w:p w14:paraId="4C081ADB" w14:textId="77777777" w:rsidR="00A34D59" w:rsidRPr="001948D5" w:rsidRDefault="00A34D59" w:rsidP="00411863">
            <w:pPr>
              <w:widowControl w:val="0"/>
              <w:spacing w:after="0"/>
              <w:rPr>
                <w:rFonts w:ascii="Times New Roman" w:hAnsi="Times New Roman"/>
                <w:noProof/>
                <w:sz w:val="20"/>
              </w:rPr>
            </w:pPr>
          </w:p>
        </w:tc>
        <w:tc>
          <w:tcPr>
            <w:tcW w:w="2463" w:type="dxa"/>
            <w:tcBorders>
              <w:top w:val="single" w:sz="4" w:space="0" w:color="FFFFFF"/>
              <w:left w:val="single" w:sz="4" w:space="0" w:color="FFFFFF"/>
              <w:bottom w:val="single" w:sz="4" w:space="0" w:color="FFFFFF"/>
              <w:right w:val="single" w:sz="4" w:space="0" w:color="FFFFFF"/>
            </w:tcBorders>
          </w:tcPr>
          <w:p w14:paraId="6DFB2F1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Endosulfaani</w:t>
            </w:r>
          </w:p>
        </w:tc>
        <w:tc>
          <w:tcPr>
            <w:tcW w:w="1559" w:type="dxa"/>
            <w:tcBorders>
              <w:top w:val="single" w:sz="4" w:space="0" w:color="FFFFFF"/>
              <w:left w:val="single" w:sz="4" w:space="0" w:color="FFFFFF"/>
              <w:bottom w:val="single" w:sz="4" w:space="0" w:color="FFFFFF"/>
              <w:right w:val="single" w:sz="4" w:space="0" w:color="FFFFFF"/>
            </w:tcBorders>
          </w:tcPr>
          <w:p w14:paraId="584A0534"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115-29-7</w:t>
            </w:r>
          </w:p>
        </w:tc>
        <w:tc>
          <w:tcPr>
            <w:tcW w:w="1511" w:type="dxa"/>
            <w:tcBorders>
              <w:top w:val="single" w:sz="4" w:space="0" w:color="FFFFFF"/>
              <w:left w:val="single" w:sz="4" w:space="0" w:color="FFFFFF"/>
              <w:bottom w:val="single" w:sz="4" w:space="0" w:color="FFFFFF"/>
              <w:right w:val="single" w:sz="4" w:space="0" w:color="FFFFFF"/>
            </w:tcBorders>
          </w:tcPr>
          <w:p w14:paraId="2AB68E4F"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3 osa</w:t>
            </w:r>
          </w:p>
        </w:tc>
        <w:tc>
          <w:tcPr>
            <w:tcW w:w="1607" w:type="dxa"/>
            <w:tcBorders>
              <w:top w:val="single" w:sz="4" w:space="0" w:color="FFFFFF"/>
              <w:left w:val="single" w:sz="4" w:space="0" w:color="FFFFFF"/>
              <w:bottom w:val="single" w:sz="4" w:space="0" w:color="FFFFFF"/>
              <w:right w:val="single" w:sz="4" w:space="0" w:color="FFFFFF"/>
            </w:tcBorders>
          </w:tcPr>
          <w:p w14:paraId="387E2E30" w14:textId="77777777" w:rsidR="00A34D59" w:rsidRPr="001948D5" w:rsidRDefault="00A34D59" w:rsidP="00411863">
            <w:pPr>
              <w:widowControl w:val="0"/>
              <w:spacing w:after="0"/>
              <w:rPr>
                <w:rFonts w:ascii="Times New Roman" w:hAnsi="Times New Roman"/>
                <w:noProof/>
                <w:sz w:val="20"/>
              </w:rPr>
            </w:pPr>
            <w:r>
              <w:rPr>
                <w:rFonts w:ascii="Times New Roman" w:hAnsi="Times New Roman"/>
                <w:noProof/>
                <w:sz w:val="20"/>
              </w:rPr>
              <w:t xml:space="preserve">Rotterdamin yleissopimuksen liite III </w:t>
            </w:r>
          </w:p>
        </w:tc>
      </w:tr>
    </w:tbl>
    <w:p w14:paraId="3E9F62C3" w14:textId="1C2E27C4" w:rsidR="00A34D59" w:rsidRDefault="00A34D59" w:rsidP="00A34D59">
      <w:pPr>
        <w:widowControl w:val="0"/>
        <w:spacing w:after="0"/>
        <w:rPr>
          <w:rFonts w:ascii="Verdana" w:hAnsi="Verdana"/>
          <w:noProof/>
          <w:sz w:val="20"/>
        </w:rPr>
      </w:pPr>
    </w:p>
    <w:p w14:paraId="1F6D398E" w14:textId="77777777" w:rsidR="00881729" w:rsidRDefault="00881729" w:rsidP="00A34D59">
      <w:pPr>
        <w:widowControl w:val="0"/>
        <w:spacing w:after="0"/>
        <w:rPr>
          <w:rFonts w:ascii="Verdana" w:hAnsi="Verdana"/>
          <w:noProof/>
          <w:sz w:val="20"/>
        </w:rPr>
      </w:pPr>
    </w:p>
    <w:p w14:paraId="039C9A66" w14:textId="77777777" w:rsidR="007374A4" w:rsidRPr="003A7A15" w:rsidRDefault="003A3C0E" w:rsidP="00881729">
      <w:pPr>
        <w:pStyle w:val="MBT"/>
        <w:spacing w:line="300" w:lineRule="atLeast"/>
        <w:rPr>
          <w:noProof/>
        </w:rPr>
      </w:pPr>
      <w:r>
        <w:rPr>
          <w:noProof/>
        </w:rPr>
        <w:t xml:space="preserve">PIC-asetuksen 11 artiklan mukaan komission on ilmoitettava yleissopimuksen sihteeristölle kirjallisesti PIC-ilmoitusmenettelyyn kuuluvat kemikaalit, jotka on lueteltu liitteessä I olevassa 2 osassa. Raportointijaksolla yleissopimuksen sihteeristölle toimitettiin 10 ilmoitusta lopullisesta unionin sääntelytoimesta: </w:t>
      </w:r>
    </w:p>
    <w:p w14:paraId="29DC0071" w14:textId="77777777" w:rsidR="008462A1" w:rsidRPr="008462A1" w:rsidRDefault="008462A1" w:rsidP="00881729">
      <w:pPr>
        <w:pStyle w:val="MBT"/>
        <w:numPr>
          <w:ilvl w:val="0"/>
          <w:numId w:val="22"/>
        </w:numPr>
        <w:spacing w:line="300" w:lineRule="atLeast"/>
        <w:rPr>
          <w:noProof/>
        </w:rPr>
      </w:pPr>
      <w:r>
        <w:rPr>
          <w:noProof/>
        </w:rPr>
        <w:t>Asetokloori (2017)</w:t>
      </w:r>
      <w:r>
        <w:rPr>
          <w:noProof/>
          <w:vertAlign w:val="superscript"/>
        </w:rPr>
        <w:t xml:space="preserve"> </w:t>
      </w:r>
    </w:p>
    <w:p w14:paraId="7809AA2B" w14:textId="77777777" w:rsidR="008462A1" w:rsidRPr="008462A1" w:rsidRDefault="008462A1" w:rsidP="00881729">
      <w:pPr>
        <w:pStyle w:val="MBT"/>
        <w:numPr>
          <w:ilvl w:val="0"/>
          <w:numId w:val="22"/>
        </w:numPr>
        <w:spacing w:line="300" w:lineRule="atLeast"/>
        <w:rPr>
          <w:noProof/>
        </w:rPr>
      </w:pPr>
      <w:r>
        <w:rPr>
          <w:noProof/>
        </w:rPr>
        <w:t>Amitroli (2019)</w:t>
      </w:r>
    </w:p>
    <w:p w14:paraId="25D21987" w14:textId="77777777" w:rsidR="008462A1" w:rsidRPr="008462A1" w:rsidRDefault="008462A1" w:rsidP="00881729">
      <w:pPr>
        <w:pStyle w:val="MBT"/>
        <w:numPr>
          <w:ilvl w:val="0"/>
          <w:numId w:val="22"/>
        </w:numPr>
        <w:spacing w:line="300" w:lineRule="atLeast"/>
        <w:rPr>
          <w:noProof/>
        </w:rPr>
      </w:pPr>
      <w:r>
        <w:rPr>
          <w:noProof/>
        </w:rPr>
        <w:t>Beta-sypermetriini (2019)</w:t>
      </w:r>
      <w:r>
        <w:rPr>
          <w:noProof/>
          <w:vertAlign w:val="superscript"/>
        </w:rPr>
        <w:t xml:space="preserve"> </w:t>
      </w:r>
    </w:p>
    <w:p w14:paraId="082A04B9" w14:textId="3B15C043" w:rsidR="008462A1" w:rsidRPr="008462A1" w:rsidRDefault="008462A1" w:rsidP="00881729">
      <w:pPr>
        <w:pStyle w:val="MBT"/>
        <w:numPr>
          <w:ilvl w:val="0"/>
          <w:numId w:val="22"/>
        </w:numPr>
        <w:spacing w:line="300" w:lineRule="atLeast"/>
        <w:rPr>
          <w:noProof/>
        </w:rPr>
      </w:pPr>
      <w:r>
        <w:rPr>
          <w:noProof/>
        </w:rPr>
        <w:t>Sybutryyni (2019)</w:t>
      </w:r>
    </w:p>
    <w:p w14:paraId="4F03D4EB" w14:textId="77777777" w:rsidR="008462A1" w:rsidRPr="008462A1" w:rsidRDefault="008462A1" w:rsidP="00881729">
      <w:pPr>
        <w:pStyle w:val="MBT"/>
        <w:numPr>
          <w:ilvl w:val="0"/>
          <w:numId w:val="22"/>
        </w:numPr>
        <w:spacing w:line="300" w:lineRule="atLeast"/>
        <w:rPr>
          <w:noProof/>
        </w:rPr>
      </w:pPr>
      <w:r>
        <w:rPr>
          <w:noProof/>
        </w:rPr>
        <w:t>Flupyrsulfuroni-metyyli (2019)</w:t>
      </w:r>
    </w:p>
    <w:p w14:paraId="610C1F8C" w14:textId="77777777" w:rsidR="008462A1" w:rsidRPr="008462A1" w:rsidRDefault="008462A1" w:rsidP="00881729">
      <w:pPr>
        <w:pStyle w:val="MBT"/>
        <w:numPr>
          <w:ilvl w:val="0"/>
          <w:numId w:val="22"/>
        </w:numPr>
        <w:spacing w:line="300" w:lineRule="atLeast"/>
        <w:rPr>
          <w:noProof/>
        </w:rPr>
      </w:pPr>
      <w:r>
        <w:rPr>
          <w:noProof/>
        </w:rPr>
        <w:t>Iprodioni (2019)</w:t>
      </w:r>
    </w:p>
    <w:p w14:paraId="29233872" w14:textId="77777777" w:rsidR="008462A1" w:rsidRPr="008462A1" w:rsidRDefault="008462A1" w:rsidP="00881729">
      <w:pPr>
        <w:pStyle w:val="MBT"/>
        <w:numPr>
          <w:ilvl w:val="0"/>
          <w:numId w:val="22"/>
        </w:numPr>
        <w:spacing w:line="300" w:lineRule="atLeast"/>
        <w:rPr>
          <w:noProof/>
        </w:rPr>
      </w:pPr>
      <w:r>
        <w:rPr>
          <w:noProof/>
        </w:rPr>
        <w:t>Isoproturoni (2019)</w:t>
      </w:r>
    </w:p>
    <w:p w14:paraId="4739272F" w14:textId="77777777" w:rsidR="008462A1" w:rsidRPr="008462A1" w:rsidRDefault="008462A1" w:rsidP="00881729">
      <w:pPr>
        <w:pStyle w:val="MBT"/>
        <w:numPr>
          <w:ilvl w:val="0"/>
          <w:numId w:val="22"/>
        </w:numPr>
        <w:spacing w:line="300" w:lineRule="atLeast"/>
        <w:rPr>
          <w:noProof/>
        </w:rPr>
      </w:pPr>
      <w:r>
        <w:rPr>
          <w:noProof/>
        </w:rPr>
        <w:t>Ortosulfamuroni (2019)</w:t>
      </w:r>
    </w:p>
    <w:p w14:paraId="76A111A2" w14:textId="77777777" w:rsidR="008462A1" w:rsidRPr="008462A1" w:rsidRDefault="008462A1" w:rsidP="00881729">
      <w:pPr>
        <w:pStyle w:val="MBT"/>
        <w:numPr>
          <w:ilvl w:val="0"/>
          <w:numId w:val="22"/>
        </w:numPr>
        <w:spacing w:line="300" w:lineRule="atLeast"/>
        <w:rPr>
          <w:noProof/>
        </w:rPr>
      </w:pPr>
      <w:r>
        <w:rPr>
          <w:noProof/>
        </w:rPr>
        <w:t>Pikoksistrobiini (2019)</w:t>
      </w:r>
    </w:p>
    <w:p w14:paraId="1C2E72B5" w14:textId="77777777" w:rsidR="008462A1" w:rsidRPr="008462A1" w:rsidRDefault="008462A1" w:rsidP="00881729">
      <w:pPr>
        <w:pStyle w:val="MBT"/>
        <w:numPr>
          <w:ilvl w:val="0"/>
          <w:numId w:val="22"/>
        </w:numPr>
        <w:spacing w:line="300" w:lineRule="atLeast"/>
        <w:rPr>
          <w:noProof/>
        </w:rPr>
      </w:pPr>
      <w:r>
        <w:rPr>
          <w:noProof/>
        </w:rPr>
        <w:t>Triasulfuroni (2019)</w:t>
      </w:r>
    </w:p>
    <w:p w14:paraId="3CF35129" w14:textId="77777777" w:rsidR="00CE73E6" w:rsidRDefault="00CE73E6" w:rsidP="007374A4">
      <w:pPr>
        <w:pStyle w:val="MBT"/>
        <w:rPr>
          <w:noProof/>
        </w:rPr>
      </w:pPr>
    </w:p>
    <w:p w14:paraId="5D7D6FB4" w14:textId="77777777" w:rsidR="009E672A" w:rsidRDefault="009E672A" w:rsidP="009E672A">
      <w:pPr>
        <w:pStyle w:val="Heading1"/>
        <w:rPr>
          <w:noProof/>
        </w:rPr>
      </w:pPr>
      <w:r>
        <w:rPr>
          <w:noProof/>
        </w:rPr>
        <w:t xml:space="preserve">PIC-asetuksen toimivuus </w:t>
      </w:r>
    </w:p>
    <w:p w14:paraId="3033361E" w14:textId="77777777" w:rsidR="009E672A" w:rsidRPr="00A55D1D" w:rsidRDefault="00FE35C9" w:rsidP="00CB7B29">
      <w:pPr>
        <w:pStyle w:val="Heading2"/>
        <w:spacing w:after="240"/>
        <w:ind w:left="1202"/>
        <w:rPr>
          <w:noProof/>
        </w:rPr>
      </w:pPr>
      <w:r>
        <w:rPr>
          <w:noProof/>
        </w:rPr>
        <w:t>Nimettyjen kansallisten viranomaisten ja ECHA:n toteuttamat viejille suunnatut tiedotus- ja tukitoimet ovat parantaneet PIC-asetuksen noudattamista</w:t>
      </w:r>
    </w:p>
    <w:p w14:paraId="37AFDBB0" w14:textId="77777777" w:rsidR="00FE35C9" w:rsidRPr="00CA43FD" w:rsidRDefault="00E71FF4" w:rsidP="005F6C57">
      <w:pPr>
        <w:pStyle w:val="MBT"/>
        <w:spacing w:after="120" w:line="300" w:lineRule="atLeast"/>
        <w:rPr>
          <w:noProof/>
        </w:rPr>
      </w:pPr>
      <w:r>
        <w:rPr>
          <w:noProof/>
        </w:rPr>
        <w:t xml:space="preserve">Yhteensä 27 jäsenvaltiota toteutti raportointijaksolla viejille ja tuojille suunnattuja tiedotus- ja valistustoimia. Yleisintä oli verkossa tiedottaminen (verkkosivusto tai linkki ECHA:n PIC-asetusta koskeville verkkosivuille). Yhdessätoista jäsenvaltiossa tarjotaan myös neuvontapalveluja jo olemassa olevan neuvontapalvelun (esim. REACH, CLP, biosidivalmisteasetus) välityksellä, ja kuudessa jäsenvaltiossa toimii PIC-asioita käsittelevä kansallinen neuvontapalvelu. Kymmenen jäsenvaltiota on ilmoittanut, että niillä on tietty sähköpostiosoite, johon voi lähettää kysymyksiä tietovaatimuksista. Miltei kaikki jäsenvaltiot ilmoittivat, että näiden toimien ansiosta viejien ja tuojien on ollut aiempaa helpompi noudattaa PIC-asetusta. Jotkin nimetyt kansalliset viranomaiset totesivat, että saapuneiden vienti-ilmoitusten määrä lisääntyi ja niiden laatu parani, ePIC-sovellukseen rekisteröityneiden tai sitä käyttävien yritysten määrä kasvoi ja 10 artiklan mukaisia raportointivelvollisuuksia noudatettiin aiempaa paremmin. </w:t>
      </w:r>
    </w:p>
    <w:p w14:paraId="708BD104" w14:textId="08716621" w:rsidR="00FE35C9" w:rsidRPr="00AE1351" w:rsidRDefault="008A1A04" w:rsidP="005F6C57">
      <w:pPr>
        <w:pStyle w:val="MBT"/>
        <w:spacing w:after="120" w:line="300" w:lineRule="atLeast"/>
        <w:rPr>
          <w:noProof/>
        </w:rPr>
      </w:pPr>
      <w:r>
        <w:rPr>
          <w:noProof/>
        </w:rPr>
        <w:t>ECHA:n edellytetään antavan viejille ja tuojille apua sekä teknisiä ja tieteellisiä ohjeita ja välineitä (6 artiklan 1 kohta). ECHA antoi viejille ja tuojille tietoa ja tukea verkkosivuillaan sekä viikoittaisen e-News-tiedotteen tai ECHA Newsletter -tiedotteen välityksellä, sosiaalisessa mediassa, e-PIC-sovelluksen sisäisellä viestitoiminnolla ja ECHA:n neuvontapalvelujen välityksellä. ECHA julkaisi neljä ohjeasiakirjaa (”Lyhyesti” -asiakirjat), joiden tarkoituksena oli auttaa yrityksiä erityistä viitenumeroa (RIN) koskevissa pyynnöissä, vapautuksissa, raportoinnissa sekä vienti-ilmoitusten kohdan 6 (kielletyt ja sallitut käytöt) täyttämisessä. Lisäksi ECHA valmistautui brexitin jälkeisten vienti-ilmoitusten käsittelemiseen julkaisemalla oppaan nimeltä ”</w:t>
      </w:r>
      <w:hyperlink r:id="rId18" w:history="1">
        <w:r>
          <w:rPr>
            <w:rStyle w:val="Hyperlink"/>
            <w:noProof/>
          </w:rPr>
          <w:t xml:space="preserve">How to notify </w:t>
        </w:r>
        <w:r w:rsidR="00EA38CB">
          <w:rPr>
            <w:rStyle w:val="Hyperlink"/>
            <w:noProof/>
          </w:rPr>
          <w:t xml:space="preserve">PIC </w:t>
        </w:r>
        <w:r>
          <w:rPr>
            <w:rStyle w:val="Hyperlink"/>
            <w:noProof/>
          </w:rPr>
          <w:t>exports to the UK after the UK’s withdrawal from the EU</w:t>
        </w:r>
      </w:hyperlink>
      <w:r>
        <w:rPr>
          <w:noProof/>
        </w:rPr>
        <w:t xml:space="preserve">” ja suunnittelemalla manuaalisen ilmoitusmenettelyn (jota käytetään siihen saakka, kunnes nämä ilmoitukset voidaan tehdä ePIC-sovelluksessa). </w:t>
      </w:r>
    </w:p>
    <w:p w14:paraId="3EDE7DBD" w14:textId="77777777" w:rsidR="009E672A" w:rsidRPr="00A55D1D" w:rsidRDefault="002E3AAA" w:rsidP="00CB7B29">
      <w:pPr>
        <w:pStyle w:val="Heading2"/>
        <w:spacing w:after="240"/>
        <w:ind w:left="1202"/>
        <w:rPr>
          <w:noProof/>
        </w:rPr>
      </w:pPr>
      <w:r>
        <w:rPr>
          <w:noProof/>
        </w:rPr>
        <w:t xml:space="preserve">Nimettyjen kansallisten viranomaisten ja ECHA:n käsittelemien vienti-ilmoitusten määrä on kasvanut jatkuvasti vuodesta 2014, ja niiden käsittely on jakaantunut epätasaisesti jäsenvaltioiden kesken </w:t>
      </w:r>
    </w:p>
    <w:p w14:paraId="788A9C17" w14:textId="77777777" w:rsidR="0024318F" w:rsidRPr="0024318F" w:rsidRDefault="007859E6" w:rsidP="005F6C57">
      <w:pPr>
        <w:pStyle w:val="MBT"/>
        <w:spacing w:after="120" w:line="300" w:lineRule="atLeast"/>
        <w:rPr>
          <w:noProof/>
        </w:rPr>
      </w:pPr>
      <w:r>
        <w:rPr>
          <w:noProof/>
        </w:rPr>
        <w:t>Vienti-ilmoitus on väline, jolla maat vaihtavat tietoja kielletyistä tai ankarasti säännellyistä kemikaaleista. Kaikkien EU:ssa toimivien viejien on lähetettävä nimetyille kansallisille viranomaisilleen vienti-ilmoitus, jos ne aikovat viedä PIC-asetuksen liitteessä I olevassa 1 osassa lueteltuja kemikaaleja. Kun nimetty kansallinen viranomainen on tarkastanut ja hyväksynyt ilmoituksen, se välitetään edelleen ECHA:lle, joka myös tarkastaa ilmoituksen vaatimustenmukaisuuden ja toimittaa sen tuojamaan nimetylle kansalliselle viranomaiselle. Jos vastaanottoilmoitusta ei saada, ECHA lähettää ilmoituksen uudelleen. Menettely toteutetaan kokonaan ePIC-sovelluksessa, ja viejien on käytettävä järjestelmässä olevaa ilmoitusmallia. Tietyt viennit on vapautettu PIC-asetuksen soveltamisesta tai niistä ei vaadita vienti-ilmoitusta. Näiden vientien yhteydessä viejien on kuitenkin pyydettävä nimetyltä kansalliselta viranomaiseltaan erityinen viitenumero (RIN) ja käytettävä sitä tulli-ilmoituksessaan tulliselvityksen helpottamiseksi.</w:t>
      </w:r>
    </w:p>
    <w:p w14:paraId="789315CA" w14:textId="317965AB" w:rsidR="0024318F" w:rsidRDefault="0024318F" w:rsidP="005F6C57">
      <w:pPr>
        <w:pStyle w:val="MBT"/>
        <w:spacing w:after="120" w:line="300" w:lineRule="atLeast"/>
        <w:rPr>
          <w:noProof/>
        </w:rPr>
      </w:pPr>
      <w:r>
        <w:rPr>
          <w:noProof/>
        </w:rPr>
        <w:t>Vienti-ilmoitusten ja erityisten RIN-pyyntöjen määrä on kasvanut jatkuvasti vuodesta 2014 (kuva 1). ECHA ilmoitti vienti-ilmoitusten määrän kasvaneen siten, että kun vuonna 2017 tehtiin 8 455 ilmoitusta, vuonna 2019 tehtiin 10 009 ilmoitusta.</w:t>
      </w:r>
      <w:r>
        <w:rPr>
          <w:rStyle w:val="FootnoteReference"/>
          <w:noProof/>
        </w:rPr>
        <w:footnoteReference w:id="7"/>
      </w:r>
      <w:r>
        <w:rPr>
          <w:noProof/>
        </w:rPr>
        <w:t xml:space="preserve"> ECHA:n mukaan määrän kasvu johtuu siitä, että vaatimuksia noudatetaan aiempaa paremmin, sekä siitä, että liitteeseen I on lisätty uusia aineita. </w:t>
      </w:r>
    </w:p>
    <w:p w14:paraId="193E1D1A" w14:textId="77777777" w:rsidR="00C62FE9" w:rsidRDefault="00C62FE9" w:rsidP="00CB7B29">
      <w:pPr>
        <w:pStyle w:val="MBT"/>
        <w:spacing w:after="120"/>
        <w:rPr>
          <w:noProof/>
        </w:rPr>
      </w:pPr>
    </w:p>
    <w:p w14:paraId="3DB7D4E7" w14:textId="77777777" w:rsidR="00D84A54" w:rsidRDefault="00D84A54" w:rsidP="00822A1D">
      <w:pPr>
        <w:pStyle w:val="MBT"/>
        <w:rPr>
          <w:noProof/>
        </w:rPr>
      </w:pPr>
    </w:p>
    <w:p w14:paraId="506F78C2" w14:textId="0AB68558" w:rsidR="001F4ACF" w:rsidRPr="005F6C57" w:rsidRDefault="001F4ACF" w:rsidP="005F6C57">
      <w:pPr>
        <w:pStyle w:val="Caption"/>
        <w:ind w:left="1000" w:hanging="1000"/>
        <w:rPr>
          <w:noProof/>
          <w:sz w:val="22"/>
        </w:rPr>
      </w:pPr>
      <w:r>
        <w:rPr>
          <w:noProof/>
          <w:sz w:val="22"/>
        </w:rPr>
        <w:t xml:space="preserve">Kuva </w:t>
      </w:r>
      <w:r>
        <w:rPr>
          <w:noProof/>
          <w:sz w:val="22"/>
        </w:rPr>
        <w:fldChar w:fldCharType="begin"/>
      </w:r>
      <w:r>
        <w:rPr>
          <w:noProof/>
          <w:sz w:val="22"/>
        </w:rPr>
        <w:instrText xml:space="preserve"> SEQ Figure \* ARABIC </w:instrText>
      </w:r>
      <w:r>
        <w:rPr>
          <w:noProof/>
          <w:sz w:val="22"/>
        </w:rPr>
        <w:fldChar w:fldCharType="separate"/>
      </w:r>
      <w:r>
        <w:rPr>
          <w:noProof/>
          <w:sz w:val="22"/>
        </w:rPr>
        <w:t>1</w:t>
      </w:r>
      <w:r>
        <w:rPr>
          <w:noProof/>
          <w:sz w:val="22"/>
        </w:rPr>
        <w:fldChar w:fldCharType="end"/>
      </w:r>
      <w:r>
        <w:rPr>
          <w:noProof/>
          <w:sz w:val="22"/>
        </w:rPr>
        <w:t>:</w:t>
      </w:r>
      <w:r>
        <w:rPr>
          <w:noProof/>
        </w:rPr>
        <w:tab/>
      </w:r>
      <w:r>
        <w:rPr>
          <w:noProof/>
          <w:sz w:val="22"/>
        </w:rPr>
        <w:t>Nimettyjen kansallisten viranomaisten hyväksymien ja ECHA:lle välittämien vienti-ilmoitusten ja erityisten RIN-pyyntöjen vuotuinen kokonaismäärä vuodesta 2014 alkaen</w:t>
      </w:r>
      <w:r>
        <w:rPr>
          <w:rStyle w:val="FootnoteReference"/>
          <w:noProof/>
          <w:sz w:val="22"/>
        </w:rPr>
        <w:footnoteReference w:id="8"/>
      </w:r>
    </w:p>
    <w:p w14:paraId="5F789852" w14:textId="02789FE2" w:rsidR="00D84A54" w:rsidRDefault="004A6160" w:rsidP="00822A1D">
      <w:pPr>
        <w:pStyle w:val="MBT"/>
        <w:rPr>
          <w:noProof/>
        </w:rPr>
      </w:pPr>
      <w:r w:rsidRPr="004A6160">
        <w:rPr>
          <w:noProof/>
          <w:lang w:val="en-GB" w:eastAsia="en-GB"/>
        </w:rPr>
        <w:drawing>
          <wp:inline distT="0" distB="0" distL="0" distR="0" wp14:anchorId="39E9C6CF" wp14:editId="4BFDD597">
            <wp:extent cx="566737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838450"/>
                    </a:xfrm>
                    <a:prstGeom prst="rect">
                      <a:avLst/>
                    </a:prstGeom>
                    <a:noFill/>
                    <a:ln>
                      <a:noFill/>
                    </a:ln>
                  </pic:spPr>
                </pic:pic>
              </a:graphicData>
            </a:graphic>
          </wp:inline>
        </w:drawing>
      </w:r>
    </w:p>
    <w:p w14:paraId="30786692" w14:textId="77777777" w:rsidR="005D200F" w:rsidRDefault="005D200F" w:rsidP="00694EA9">
      <w:pPr>
        <w:pStyle w:val="MBT"/>
        <w:rPr>
          <w:noProof/>
        </w:rPr>
      </w:pPr>
    </w:p>
    <w:p w14:paraId="1603AE48" w14:textId="0E4B494E" w:rsidR="00CB7B29" w:rsidRDefault="00CB7B29" w:rsidP="00694EA9">
      <w:pPr>
        <w:pStyle w:val="MBT"/>
        <w:rPr>
          <w:noProof/>
        </w:rPr>
      </w:pPr>
    </w:p>
    <w:p w14:paraId="7947F6D2" w14:textId="77777777" w:rsidR="00C62FE9" w:rsidRDefault="00C62FE9" w:rsidP="00694EA9">
      <w:pPr>
        <w:pStyle w:val="MBT"/>
        <w:rPr>
          <w:noProof/>
        </w:rPr>
      </w:pPr>
    </w:p>
    <w:p w14:paraId="2641BF53" w14:textId="2D5D942C" w:rsidR="00694EA9" w:rsidRPr="00451B93" w:rsidRDefault="00694EA9" w:rsidP="005F6C57">
      <w:pPr>
        <w:pStyle w:val="MBT"/>
        <w:spacing w:after="120" w:line="300" w:lineRule="atLeast"/>
        <w:rPr>
          <w:noProof/>
        </w:rPr>
      </w:pPr>
      <w:r>
        <w:rPr>
          <w:noProof/>
        </w:rPr>
        <w:t>Kuten edelliselläkin raportointijaksolla, vienti-ilmoitusten ja erityisten RIN-pyyntöjen määrä vaihteli huomattavasti jäsenvaltioiden välillä (kuva 2). Eniten vienti-ilmoituksia käsiteltiin Saksassa (8 645 ilmoitusta) ja Ranskassa (6 855), Italiassa (2 453), Espanjassa (2 383) ja Yhdistyneessä kuningaskunnassa (2 207). Yhteensä 20 jäsenvaltiota käsitteli tällä raportointijaksolla enemmän vienti-ilmoituksia kuin edellisellä jaksolla, ja yhdeksässä jäsenvaltioissa tämä luku yli kaksinkertaistui kahden raportointijakson välisenä aikana. Tilanne on samankaltainen erityisten RIN-pyyntöjen osalta. Jäsenvaltioista 11 ei saanut yhtään erityistä RIN-pyyntöä, ja eniten niitä puolestaan käsiteltiin Saksassa, Belgiassa ja Ranskassa. Yhteensä 13 jäsenvaltiota käsitteli enemmän erityisiä RIN-pyyntöjä tällä raportointijaksolla kuin edellisellä jaksolla. Neljä jäsenvaltiota (Kreikka, Kypros, Luxemburg ja Malta) ei käsitellyt yhtään vienti-ilmoitusta.</w:t>
      </w:r>
    </w:p>
    <w:p w14:paraId="4181122F" w14:textId="77777777" w:rsidR="00C62FE9" w:rsidRDefault="00C62FE9" w:rsidP="002E3AAA">
      <w:pPr>
        <w:pStyle w:val="MBT"/>
        <w:rPr>
          <w:noProof/>
        </w:rPr>
      </w:pPr>
    </w:p>
    <w:p w14:paraId="43CFB803" w14:textId="1BF88788" w:rsidR="00452C58" w:rsidRPr="005F6C57" w:rsidRDefault="00452C58" w:rsidP="005F6C57">
      <w:pPr>
        <w:pStyle w:val="Caption"/>
        <w:keepNext/>
        <w:ind w:left="1000" w:hanging="1000"/>
        <w:rPr>
          <w:noProof/>
          <w:sz w:val="22"/>
        </w:rPr>
      </w:pPr>
      <w:r>
        <w:rPr>
          <w:noProof/>
          <w:sz w:val="22"/>
        </w:rPr>
        <w:t xml:space="preserve">Kuva </w:t>
      </w:r>
      <w:r>
        <w:rPr>
          <w:noProof/>
          <w:sz w:val="22"/>
        </w:rPr>
        <w:fldChar w:fldCharType="begin"/>
      </w:r>
      <w:r>
        <w:rPr>
          <w:noProof/>
          <w:sz w:val="22"/>
        </w:rPr>
        <w:instrText xml:space="preserve"> SEQ Figure \* ARABIC </w:instrText>
      </w:r>
      <w:r>
        <w:rPr>
          <w:noProof/>
          <w:sz w:val="22"/>
        </w:rPr>
        <w:fldChar w:fldCharType="separate"/>
      </w:r>
      <w:r>
        <w:rPr>
          <w:noProof/>
          <w:sz w:val="22"/>
        </w:rPr>
        <w:t>2</w:t>
      </w:r>
      <w:r>
        <w:rPr>
          <w:noProof/>
          <w:sz w:val="22"/>
        </w:rPr>
        <w:fldChar w:fldCharType="end"/>
      </w:r>
      <w:r>
        <w:rPr>
          <w:noProof/>
          <w:sz w:val="22"/>
        </w:rPr>
        <w:t>:</w:t>
      </w:r>
      <w:r>
        <w:rPr>
          <w:noProof/>
        </w:rPr>
        <w:tab/>
      </w:r>
      <w:r>
        <w:rPr>
          <w:noProof/>
          <w:sz w:val="22"/>
        </w:rPr>
        <w:t xml:space="preserve">Nimettyjen kansallisten viranomaisten hyväksymien vienti-ilmoitusten ja erityisten RIN-pyyntöjen kokonaismäärä raportointijaksolla </w:t>
      </w:r>
    </w:p>
    <w:p w14:paraId="12D32D66" w14:textId="77777777" w:rsidR="002E3AAA" w:rsidRPr="00A43BAE" w:rsidRDefault="006F3623" w:rsidP="002E3AAA">
      <w:pPr>
        <w:pStyle w:val="MBT"/>
        <w:rPr>
          <w:noProof/>
        </w:rPr>
      </w:pPr>
      <w:r>
        <w:rPr>
          <w:noProof/>
          <w:lang w:val="en-GB" w:eastAsia="en-GB"/>
        </w:rPr>
        <w:drawing>
          <wp:inline distT="0" distB="0" distL="0" distR="0" wp14:anchorId="215D6B88" wp14:editId="17F30E8F">
            <wp:extent cx="5760000" cy="2448000"/>
            <wp:effectExtent l="0" t="0" r="12700" b="9525"/>
            <wp:docPr id="1" name="Chart 1">
              <a:extLst xmlns:a="http://schemas.openxmlformats.org/drawingml/2006/main">
                <a:ext uri="{FF2B5EF4-FFF2-40B4-BE49-F238E27FC236}">
                  <a16:creationId xmlns:a16="http://schemas.microsoft.com/office/drawing/2014/main" id="{11D9D4AB-A6D7-46EE-9FE0-DCAC3F671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816185" w14:textId="2775592D" w:rsidR="002E3AAA" w:rsidRDefault="002E3AAA" w:rsidP="002E3AAA">
      <w:pPr>
        <w:pStyle w:val="MBT"/>
        <w:rPr>
          <w:noProof/>
        </w:rPr>
      </w:pPr>
    </w:p>
    <w:p w14:paraId="5BEACFAA" w14:textId="4285C4C4" w:rsidR="005F6C57" w:rsidRDefault="005F6C57" w:rsidP="002E3AAA">
      <w:pPr>
        <w:pStyle w:val="MBT"/>
        <w:rPr>
          <w:noProof/>
        </w:rPr>
      </w:pPr>
    </w:p>
    <w:p w14:paraId="20DA65DA" w14:textId="77777777" w:rsidR="00881729" w:rsidRDefault="00881729" w:rsidP="002E3AAA">
      <w:pPr>
        <w:pStyle w:val="MBT"/>
        <w:rPr>
          <w:noProof/>
        </w:rPr>
      </w:pPr>
    </w:p>
    <w:p w14:paraId="6086FF62" w14:textId="77777777" w:rsidR="002E3AAA" w:rsidRPr="00A55D1D" w:rsidRDefault="00557191" w:rsidP="00CB7B29">
      <w:pPr>
        <w:pStyle w:val="Heading2"/>
        <w:spacing w:after="240"/>
        <w:ind w:left="1202"/>
        <w:rPr>
          <w:noProof/>
        </w:rPr>
      </w:pPr>
      <w:r>
        <w:rPr>
          <w:noProof/>
        </w:rPr>
        <w:t>Virheellisesti täytetty vienti-ilmoituslomake kasvattaa yhä uudelleentoimittamispyyntöjen määrää</w:t>
      </w:r>
    </w:p>
    <w:p w14:paraId="36004B2A" w14:textId="77777777" w:rsidR="00D72CC8" w:rsidRDefault="00D72CC8" w:rsidP="005F6C57">
      <w:pPr>
        <w:pStyle w:val="MBT"/>
        <w:spacing w:after="120" w:line="300" w:lineRule="atLeast"/>
        <w:rPr>
          <w:noProof/>
        </w:rPr>
      </w:pPr>
      <w:r>
        <w:rPr>
          <w:noProof/>
        </w:rPr>
        <w:t xml:space="preserve">Raportointijaksolla jäsenvaltiot pyysivät viejiä toimittamaan 5 889 vienti-ilmoitusta uudelleen, ja ECHA pyysi toimittamaan 2 758 vienti-ilmoitusta uudelleen. Yleisimmät ongelmat liittyivät siihen, että vienti-ilmoituksen kohta 6.2 (kielletyt ja sallitut käytöt) ja kohta 3.3 (käyttötarkoitukset) oli täytetty epäselvästi tai virheellisesti. Toinen syy uudelleentoimittamispyynnölle oli se, että tuojan yhteystiedot olivat virheelliset tai puutteelliset. Nimetyt kansalliset viranomaiset ja ECHA mainitsivat, että myös käyttöturvallisuustiedotteen toimittaminen väärällä kielellä oli yksi ongelmista. </w:t>
      </w:r>
    </w:p>
    <w:p w14:paraId="56DB75C4" w14:textId="77777777" w:rsidR="00846A7C" w:rsidRPr="00A55D1D" w:rsidRDefault="00DE0D77" w:rsidP="00CB7B29">
      <w:pPr>
        <w:pStyle w:val="Heading2"/>
        <w:spacing w:after="240"/>
        <w:ind w:left="1202"/>
        <w:rPr>
          <w:noProof/>
        </w:rPr>
      </w:pPr>
      <w:r>
        <w:rPr>
          <w:noProof/>
        </w:rPr>
        <w:t>10 artiklan mukainen raportointi oli yleensä tehokasta, vaikka nimettyjen kansallisten viranomaisten raportoinnin laadussa on yhä parantamisen varaa</w:t>
      </w:r>
    </w:p>
    <w:p w14:paraId="3C41D4F1" w14:textId="77777777" w:rsidR="005A78F1" w:rsidRDefault="005A78F1" w:rsidP="005F6C57">
      <w:pPr>
        <w:pStyle w:val="MBT"/>
        <w:spacing w:after="120" w:line="300" w:lineRule="atLeast"/>
        <w:rPr>
          <w:noProof/>
        </w:rPr>
      </w:pPr>
      <w:r>
        <w:rPr>
          <w:noProof/>
        </w:rPr>
        <w:t>PIC-asetuksen 10 artiklassa asetetaan viejille ja tuojille velvollisuus ilmoittaa nimetylle kansalliselle viranomaiselle kunkin vuoden ensimmäisen vuosineljänneksen kuluessa niiden PIC-asetuksen liitteessä I lueteltujen kemikaalien määrä, jotka on viety kolmansiin maihin tai tuotu niistä edellisvuoden aikana. Viejien on ilmoitettava nimetylle kansalliselle viranomaiselle myös kunkin tuojan nimi ja osoite. Nimettyjen kansallisten viranomaisten on puolestaan toimitettava nämä tiedot vuosittain ECHA:lle, joka kokoaa tiedot yhteen EU:n tasolla ja asettaa ne julkisesti saataville tietokantaansa</w:t>
      </w:r>
      <w:r>
        <w:rPr>
          <w:rStyle w:val="FootnoteReference"/>
          <w:noProof/>
        </w:rPr>
        <w:footnoteReference w:id="9"/>
      </w:r>
      <w:r>
        <w:rPr>
          <w:noProof/>
        </w:rPr>
        <w:t>.</w:t>
      </w:r>
    </w:p>
    <w:p w14:paraId="4492FB3D" w14:textId="77777777" w:rsidR="00264D14" w:rsidRPr="002D7854" w:rsidRDefault="00DE0D77" w:rsidP="005F6C57">
      <w:pPr>
        <w:pStyle w:val="MBT"/>
        <w:spacing w:after="120" w:line="300" w:lineRule="atLeast"/>
        <w:rPr>
          <w:noProof/>
        </w:rPr>
      </w:pPr>
      <w:r>
        <w:rPr>
          <w:noProof/>
        </w:rPr>
        <w:t xml:space="preserve">ECHA:n ja nimettyjen kansallisten viranomaisten toimittamien tietojen mukaan 10 artiklan mukainen raportointimenettely toimi tehokkaasti. Edelliseen raportointijaksoon verrattuna sellaisia jäsenvaltioita oli nyt vähemmän (seitsemän), jotka ilmoittivat, että viejillä oli ollut viiveitä vietyjen kemikaalien määrää koskevien tietojen toimittamisessa, mutta nämä viiveet eivät kuitenkaan vaikuttaneet nimettyjen kansallisten viranomaisten raportoinnin valmistumiseen. ECHA:n mukaan nimettyjen kansallisten viranomaisten raportointi on parantunut, sillä nimetyt kansalliset viranomaiset ilmoittivat nyt vähemmän sellaisia tietoja, jotka eivät kuulu raportointivelvollisuuden piiriin. Joissakin nimettyjen kansallisten viranomaisten toimittamissa tiedoissa oli kuitenkin virheitä, jotka johtuivat teollisuustoimijoiden raportoinnista. Nimettyjen kansallisten viranomaisten oli korjattava virheet, koottava tiedot uudelleen ja toimitettava raportit uudelleen. Tämän vuoksi kokonaiskertomuksen laatiminen ei ole sujunut kovin tehokkaasti, ja siksi ECHA suosittelee, että nimetyt kansalliset viranomaiset tehostavat koottujen tietojen todentamista ennen niiden toimittamista. </w:t>
      </w:r>
    </w:p>
    <w:p w14:paraId="57E3EE9B" w14:textId="77777777" w:rsidR="00347B05" w:rsidRPr="00A55D1D" w:rsidRDefault="00347B05" w:rsidP="00CB7B29">
      <w:pPr>
        <w:pStyle w:val="Heading2"/>
        <w:spacing w:after="240"/>
        <w:ind w:left="1202"/>
        <w:rPr>
          <w:noProof/>
        </w:rPr>
      </w:pPr>
      <w:r>
        <w:rPr>
          <w:noProof/>
        </w:rPr>
        <w:t xml:space="preserve">EU:n tuontipäätöksiä on annettu neljästä Rotterdamin yleissopimuksen liitteessä III luetellusta aineesta </w:t>
      </w:r>
    </w:p>
    <w:p w14:paraId="5E45A425" w14:textId="73482084" w:rsidR="00145BDE" w:rsidRDefault="002E687D" w:rsidP="00FC70E8">
      <w:pPr>
        <w:pStyle w:val="MBT"/>
        <w:spacing w:after="120" w:line="300" w:lineRule="atLeast"/>
        <w:rPr>
          <w:noProof/>
        </w:rPr>
      </w:pPr>
      <w:r>
        <w:rPr>
          <w:noProof/>
        </w:rPr>
        <w:t xml:space="preserve">Yleissopimuksen 10 artiklan mukaan osapuolten on annettava tuontipäätös jokaisesta uudesta liitteen III kemikaalista ja toimitettava se sihteeristölle. PIC-asetuksen 13 artiklan mukaan unionin tuontipäätös hyväksytään komission täytäntöönpanosäädöksellä. Komission yksiköt laativat päätösluonnoksen ja toimittavat sen REACH-komitealle lausuntoa varten neuvoa-antavaa menettelyä noudattaen. Raportointijaksolla komissio antoi vuonna 2018 yhden täytäntöönpanopäätöksen, jolla hyväksyttiin neljää ainetta koskevat uudet tuontipäätökset ja muutettiin yhtä tuontipäätöstä (taulukko 2). </w:t>
      </w:r>
    </w:p>
    <w:p w14:paraId="3C3B741F" w14:textId="77777777" w:rsidR="008F68AA" w:rsidRDefault="008F68AA" w:rsidP="00CA43FD">
      <w:pPr>
        <w:pStyle w:val="MBT"/>
        <w:rPr>
          <w:noProof/>
        </w:rPr>
      </w:pPr>
    </w:p>
    <w:p w14:paraId="30B7189A" w14:textId="77777777" w:rsidR="006060F8" w:rsidRDefault="006060F8" w:rsidP="00145BDE">
      <w:pPr>
        <w:pStyle w:val="Body"/>
        <w:spacing w:after="120"/>
        <w:jc w:val="both"/>
        <w:rPr>
          <w:noProof/>
        </w:rPr>
      </w:pPr>
    </w:p>
    <w:p w14:paraId="7B379AC4" w14:textId="77777777" w:rsidR="007374A4" w:rsidRPr="00881729" w:rsidRDefault="007374A4" w:rsidP="007374A4">
      <w:pPr>
        <w:pStyle w:val="Caption"/>
        <w:rPr>
          <w:noProof/>
          <w:sz w:val="22"/>
        </w:rPr>
      </w:pPr>
      <w:r>
        <w:rPr>
          <w:noProof/>
          <w:sz w:val="22"/>
        </w:rPr>
        <w:t xml:space="preserve">Taulukko </w:t>
      </w:r>
      <w:r>
        <w:rPr>
          <w:noProof/>
          <w:sz w:val="22"/>
        </w:rPr>
        <w:fldChar w:fldCharType="begin"/>
      </w:r>
      <w:r>
        <w:rPr>
          <w:noProof/>
          <w:sz w:val="22"/>
        </w:rPr>
        <w:instrText xml:space="preserve"> SEQ Table \* ARABIC </w:instrText>
      </w:r>
      <w:r>
        <w:rPr>
          <w:noProof/>
          <w:sz w:val="22"/>
        </w:rPr>
        <w:fldChar w:fldCharType="separate"/>
      </w:r>
      <w:r>
        <w:rPr>
          <w:noProof/>
          <w:sz w:val="22"/>
        </w:rPr>
        <w:t>2</w:t>
      </w:r>
      <w:r>
        <w:rPr>
          <w:noProof/>
          <w:sz w:val="22"/>
        </w:rPr>
        <w:fldChar w:fldCharType="end"/>
      </w:r>
      <w:r>
        <w:rPr>
          <w:noProof/>
          <w:sz w:val="22"/>
        </w:rPr>
        <w:t xml:space="preserve">: Raportointijaksolla hyväksytyt unionin tuontipäätökset </w:t>
      </w:r>
    </w:p>
    <w:tbl>
      <w:tblPr>
        <w:tblStyle w:val="TableGrid"/>
        <w:tblW w:w="9160" w:type="dxa"/>
        <w:tblLook w:val="04A0" w:firstRow="1" w:lastRow="0" w:firstColumn="1" w:lastColumn="0" w:noHBand="0" w:noVBand="1"/>
      </w:tblPr>
      <w:tblGrid>
        <w:gridCol w:w="2049"/>
        <w:gridCol w:w="2050"/>
        <w:gridCol w:w="1156"/>
        <w:gridCol w:w="1039"/>
        <w:gridCol w:w="1261"/>
        <w:gridCol w:w="1605"/>
      </w:tblGrid>
      <w:tr w:rsidR="00957A1B" w:rsidRPr="009E58BB" w14:paraId="6EA5DD51" w14:textId="77777777" w:rsidTr="00957A1B">
        <w:trPr>
          <w:cnfStyle w:val="100000000000" w:firstRow="1" w:lastRow="0" w:firstColumn="0" w:lastColumn="0" w:oddVBand="0" w:evenVBand="0" w:oddHBand="0" w:evenHBand="0" w:firstRowFirstColumn="0" w:firstRowLastColumn="0" w:lastRowFirstColumn="0" w:lastRowLastColumn="0"/>
          <w:tblHeader/>
        </w:trPr>
        <w:tc>
          <w:tcPr>
            <w:tcW w:w="1532" w:type="dxa"/>
            <w:shd w:val="clear" w:color="auto" w:fill="000099"/>
          </w:tcPr>
          <w:p w14:paraId="1F3954B4" w14:textId="77777777" w:rsidR="00957A1B" w:rsidRPr="001948D5" w:rsidRDefault="00957A1B" w:rsidP="009E58BB">
            <w:pPr>
              <w:pStyle w:val="MBT"/>
              <w:rPr>
                <w:rFonts w:ascii="Times New Roman" w:hAnsi="Times New Roman"/>
                <w:noProof/>
                <w:sz w:val="20"/>
              </w:rPr>
            </w:pPr>
            <w:r>
              <w:rPr>
                <w:rFonts w:ascii="Times New Roman" w:hAnsi="Times New Roman"/>
                <w:noProof/>
                <w:sz w:val="20"/>
              </w:rPr>
              <w:t>Täytäntöönpanosäädös</w:t>
            </w:r>
          </w:p>
        </w:tc>
        <w:tc>
          <w:tcPr>
            <w:tcW w:w="1528" w:type="dxa"/>
            <w:shd w:val="clear" w:color="auto" w:fill="000099"/>
          </w:tcPr>
          <w:p w14:paraId="75734ED6" w14:textId="77777777" w:rsidR="00957A1B" w:rsidRPr="001948D5" w:rsidRDefault="00957A1B" w:rsidP="009E58BB">
            <w:pPr>
              <w:pStyle w:val="MBT"/>
              <w:rPr>
                <w:rFonts w:ascii="Times New Roman" w:hAnsi="Times New Roman"/>
                <w:noProof/>
                <w:sz w:val="20"/>
              </w:rPr>
            </w:pPr>
            <w:r>
              <w:rPr>
                <w:rFonts w:ascii="Times New Roman" w:hAnsi="Times New Roman"/>
                <w:noProof/>
                <w:sz w:val="20"/>
              </w:rPr>
              <w:t>Kemikaalit</w:t>
            </w:r>
          </w:p>
        </w:tc>
        <w:tc>
          <w:tcPr>
            <w:tcW w:w="2910" w:type="dxa"/>
            <w:gridSpan w:val="2"/>
            <w:shd w:val="clear" w:color="auto" w:fill="000099"/>
          </w:tcPr>
          <w:p w14:paraId="63A45297" w14:textId="77777777" w:rsidR="00957A1B" w:rsidRPr="001948D5" w:rsidRDefault="00957A1B" w:rsidP="009E58BB">
            <w:pPr>
              <w:pStyle w:val="MBT"/>
              <w:rPr>
                <w:rFonts w:ascii="Times New Roman" w:hAnsi="Times New Roman"/>
                <w:noProof/>
                <w:sz w:val="20"/>
              </w:rPr>
            </w:pPr>
            <w:r>
              <w:rPr>
                <w:rFonts w:ascii="Times New Roman" w:hAnsi="Times New Roman"/>
                <w:noProof/>
                <w:sz w:val="20"/>
              </w:rPr>
              <w:t xml:space="preserve">Päätöksen luonne/tila </w:t>
            </w:r>
          </w:p>
        </w:tc>
        <w:tc>
          <w:tcPr>
            <w:tcW w:w="1083" w:type="dxa"/>
            <w:shd w:val="clear" w:color="auto" w:fill="000099"/>
          </w:tcPr>
          <w:p w14:paraId="32014598" w14:textId="77777777" w:rsidR="00957A1B" w:rsidRPr="001948D5" w:rsidRDefault="00957A1B" w:rsidP="009E58BB">
            <w:pPr>
              <w:pStyle w:val="MBT"/>
              <w:rPr>
                <w:rFonts w:ascii="Times New Roman" w:hAnsi="Times New Roman"/>
                <w:noProof/>
                <w:sz w:val="20"/>
              </w:rPr>
            </w:pPr>
            <w:r>
              <w:rPr>
                <w:rFonts w:ascii="Times New Roman" w:hAnsi="Times New Roman"/>
                <w:noProof/>
                <w:sz w:val="20"/>
              </w:rPr>
              <w:t>Tuontipäätös</w:t>
            </w:r>
          </w:p>
        </w:tc>
        <w:tc>
          <w:tcPr>
            <w:tcW w:w="2107" w:type="dxa"/>
            <w:shd w:val="clear" w:color="auto" w:fill="000099"/>
          </w:tcPr>
          <w:p w14:paraId="75D7B0C8" w14:textId="77777777" w:rsidR="00957A1B" w:rsidRPr="001948D5" w:rsidRDefault="00957A1B" w:rsidP="009E58BB">
            <w:pPr>
              <w:pStyle w:val="MBT"/>
              <w:rPr>
                <w:rFonts w:ascii="Times New Roman" w:hAnsi="Times New Roman"/>
                <w:noProof/>
                <w:sz w:val="20"/>
              </w:rPr>
            </w:pPr>
            <w:r>
              <w:rPr>
                <w:rFonts w:ascii="Times New Roman" w:hAnsi="Times New Roman"/>
                <w:noProof/>
                <w:sz w:val="20"/>
              </w:rPr>
              <w:t>Päätöksen perustelut</w:t>
            </w:r>
          </w:p>
        </w:tc>
      </w:tr>
      <w:tr w:rsidR="00957A1B" w:rsidRPr="009E58BB" w14:paraId="6D15FFB9" w14:textId="77777777" w:rsidTr="00957A1B">
        <w:tc>
          <w:tcPr>
            <w:tcW w:w="1532" w:type="dxa"/>
            <w:vMerge w:val="restart"/>
          </w:tcPr>
          <w:p w14:paraId="6C286595"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Komission täytäntöönpanopäätös, annettu 10 päivänä lokakuuta 2018</w:t>
            </w:r>
          </w:p>
        </w:tc>
        <w:tc>
          <w:tcPr>
            <w:tcW w:w="1528" w:type="dxa"/>
          </w:tcPr>
          <w:p w14:paraId="64CDFA64"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Karbofuraani</w:t>
            </w:r>
          </w:p>
        </w:tc>
        <w:tc>
          <w:tcPr>
            <w:tcW w:w="1613" w:type="dxa"/>
          </w:tcPr>
          <w:p w14:paraId="4D0BB282"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1563-66-2</w:t>
            </w:r>
          </w:p>
        </w:tc>
        <w:tc>
          <w:tcPr>
            <w:tcW w:w="1297" w:type="dxa"/>
          </w:tcPr>
          <w:p w14:paraId="54CBF972"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Uusi päätös</w:t>
            </w:r>
          </w:p>
        </w:tc>
        <w:tc>
          <w:tcPr>
            <w:tcW w:w="1083" w:type="dxa"/>
          </w:tcPr>
          <w:p w14:paraId="302D6A8C"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Lopullinen </w:t>
            </w:r>
          </w:p>
        </w:tc>
        <w:tc>
          <w:tcPr>
            <w:tcW w:w="2107" w:type="dxa"/>
          </w:tcPr>
          <w:p w14:paraId="595D586C"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Tuonti kielletty</w:t>
            </w:r>
          </w:p>
        </w:tc>
      </w:tr>
      <w:tr w:rsidR="00957A1B" w:rsidRPr="009E58BB" w14:paraId="43529DBC" w14:textId="77777777" w:rsidTr="00957A1B">
        <w:tc>
          <w:tcPr>
            <w:tcW w:w="1532" w:type="dxa"/>
            <w:vMerge/>
          </w:tcPr>
          <w:p w14:paraId="000049E8" w14:textId="77777777" w:rsidR="00957A1B" w:rsidRPr="001948D5" w:rsidRDefault="00957A1B" w:rsidP="005115D0">
            <w:pPr>
              <w:pStyle w:val="MBT"/>
              <w:rPr>
                <w:rFonts w:ascii="Times New Roman" w:hAnsi="Times New Roman"/>
                <w:noProof/>
                <w:sz w:val="20"/>
              </w:rPr>
            </w:pPr>
          </w:p>
        </w:tc>
        <w:tc>
          <w:tcPr>
            <w:tcW w:w="1528" w:type="dxa"/>
          </w:tcPr>
          <w:p w14:paraId="261FF9C3"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Trikloorifoni</w:t>
            </w:r>
          </w:p>
        </w:tc>
        <w:tc>
          <w:tcPr>
            <w:tcW w:w="1613" w:type="dxa"/>
          </w:tcPr>
          <w:p w14:paraId="33BD7553"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52-68-6</w:t>
            </w:r>
          </w:p>
        </w:tc>
        <w:tc>
          <w:tcPr>
            <w:tcW w:w="1297" w:type="dxa"/>
          </w:tcPr>
          <w:p w14:paraId="064ABD5C"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Uusi päätös</w:t>
            </w:r>
          </w:p>
        </w:tc>
        <w:tc>
          <w:tcPr>
            <w:tcW w:w="1083" w:type="dxa"/>
          </w:tcPr>
          <w:p w14:paraId="7C4F1B7B"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Lopullinen </w:t>
            </w:r>
          </w:p>
        </w:tc>
        <w:tc>
          <w:tcPr>
            <w:tcW w:w="2107" w:type="dxa"/>
          </w:tcPr>
          <w:p w14:paraId="01DE2C35"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Tuonti kielletty</w:t>
            </w:r>
          </w:p>
        </w:tc>
      </w:tr>
      <w:tr w:rsidR="00957A1B" w:rsidRPr="00B411E7" w14:paraId="248D1CE2" w14:textId="77777777" w:rsidTr="00957A1B">
        <w:tc>
          <w:tcPr>
            <w:tcW w:w="1532" w:type="dxa"/>
            <w:vMerge/>
          </w:tcPr>
          <w:p w14:paraId="5379FCC8" w14:textId="77777777" w:rsidR="00957A1B" w:rsidRPr="001948D5" w:rsidRDefault="00957A1B" w:rsidP="005115D0">
            <w:pPr>
              <w:pStyle w:val="MBT"/>
              <w:rPr>
                <w:rFonts w:ascii="Times New Roman" w:hAnsi="Times New Roman"/>
                <w:noProof/>
                <w:sz w:val="20"/>
              </w:rPr>
            </w:pPr>
          </w:p>
        </w:tc>
        <w:tc>
          <w:tcPr>
            <w:tcW w:w="1528" w:type="dxa"/>
          </w:tcPr>
          <w:p w14:paraId="09E35A14"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Lyhytketjuiset klooratut parafiinit</w:t>
            </w:r>
          </w:p>
        </w:tc>
        <w:tc>
          <w:tcPr>
            <w:tcW w:w="1613" w:type="dxa"/>
          </w:tcPr>
          <w:p w14:paraId="72036770"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85535-84-8</w:t>
            </w:r>
          </w:p>
        </w:tc>
        <w:tc>
          <w:tcPr>
            <w:tcW w:w="1297" w:type="dxa"/>
          </w:tcPr>
          <w:p w14:paraId="07A41A0B"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Uusi päätös</w:t>
            </w:r>
          </w:p>
        </w:tc>
        <w:tc>
          <w:tcPr>
            <w:tcW w:w="1083" w:type="dxa"/>
          </w:tcPr>
          <w:p w14:paraId="3D87D045"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Lopullinen </w:t>
            </w:r>
          </w:p>
        </w:tc>
        <w:tc>
          <w:tcPr>
            <w:tcW w:w="2107" w:type="dxa"/>
          </w:tcPr>
          <w:p w14:paraId="1E4DAA5B"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Tuonti sallitaan tietyin edellytyksin</w:t>
            </w:r>
          </w:p>
        </w:tc>
      </w:tr>
      <w:tr w:rsidR="00957A1B" w:rsidRPr="00B411E7" w14:paraId="1B22A530" w14:textId="77777777" w:rsidTr="00957A1B">
        <w:tc>
          <w:tcPr>
            <w:tcW w:w="1532" w:type="dxa"/>
            <w:vMerge/>
          </w:tcPr>
          <w:p w14:paraId="5499C9F1" w14:textId="77777777" w:rsidR="00957A1B" w:rsidRPr="001948D5" w:rsidRDefault="00957A1B" w:rsidP="005115D0">
            <w:pPr>
              <w:pStyle w:val="MBT"/>
              <w:rPr>
                <w:rFonts w:ascii="Times New Roman" w:hAnsi="Times New Roman"/>
                <w:noProof/>
                <w:sz w:val="20"/>
              </w:rPr>
            </w:pPr>
          </w:p>
        </w:tc>
        <w:tc>
          <w:tcPr>
            <w:tcW w:w="1528" w:type="dxa"/>
          </w:tcPr>
          <w:p w14:paraId="2AE4F31A"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Tributyylitinayhdisteet </w:t>
            </w:r>
          </w:p>
        </w:tc>
        <w:tc>
          <w:tcPr>
            <w:tcW w:w="1613" w:type="dxa"/>
          </w:tcPr>
          <w:p w14:paraId="2C4EEA0A"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56-35-9; 1983-10-4; 2155-70-6; 4342-36-3; 1461-22-9; 24124-25-2; 85409-17-2</w:t>
            </w:r>
          </w:p>
        </w:tc>
        <w:tc>
          <w:tcPr>
            <w:tcW w:w="1297" w:type="dxa"/>
          </w:tcPr>
          <w:p w14:paraId="6A7540F2"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Uusi päätös</w:t>
            </w:r>
          </w:p>
        </w:tc>
        <w:tc>
          <w:tcPr>
            <w:tcW w:w="1083" w:type="dxa"/>
          </w:tcPr>
          <w:p w14:paraId="2F497069"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Lopullinen </w:t>
            </w:r>
          </w:p>
        </w:tc>
        <w:tc>
          <w:tcPr>
            <w:tcW w:w="2107" w:type="dxa"/>
          </w:tcPr>
          <w:p w14:paraId="2F6A4696"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Tuonti sallitaan tietyin edellytyksin</w:t>
            </w:r>
          </w:p>
        </w:tc>
      </w:tr>
      <w:tr w:rsidR="00957A1B" w:rsidRPr="00B411E7" w14:paraId="0670964C" w14:textId="77777777" w:rsidTr="00957A1B">
        <w:tc>
          <w:tcPr>
            <w:tcW w:w="1532" w:type="dxa"/>
            <w:vMerge/>
          </w:tcPr>
          <w:p w14:paraId="1B27DADC" w14:textId="77777777" w:rsidR="00957A1B" w:rsidRPr="001948D5" w:rsidRDefault="00957A1B" w:rsidP="005115D0">
            <w:pPr>
              <w:pStyle w:val="MBT"/>
              <w:rPr>
                <w:rFonts w:ascii="Times New Roman" w:hAnsi="Times New Roman"/>
                <w:noProof/>
                <w:sz w:val="20"/>
              </w:rPr>
            </w:pPr>
          </w:p>
        </w:tc>
        <w:tc>
          <w:tcPr>
            <w:tcW w:w="1528" w:type="dxa"/>
          </w:tcPr>
          <w:p w14:paraId="6303FB24"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Etyleenioksidi </w:t>
            </w:r>
          </w:p>
        </w:tc>
        <w:tc>
          <w:tcPr>
            <w:tcW w:w="1613" w:type="dxa"/>
          </w:tcPr>
          <w:p w14:paraId="2AC69063"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75-21-8</w:t>
            </w:r>
          </w:p>
        </w:tc>
        <w:tc>
          <w:tcPr>
            <w:tcW w:w="1297" w:type="dxa"/>
          </w:tcPr>
          <w:p w14:paraId="1E9DE68E"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Muutos</w:t>
            </w:r>
          </w:p>
        </w:tc>
        <w:tc>
          <w:tcPr>
            <w:tcW w:w="1083" w:type="dxa"/>
          </w:tcPr>
          <w:p w14:paraId="2AA29F18"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 xml:space="preserve">Lopullinen </w:t>
            </w:r>
          </w:p>
        </w:tc>
        <w:tc>
          <w:tcPr>
            <w:tcW w:w="2107" w:type="dxa"/>
          </w:tcPr>
          <w:p w14:paraId="3BBE1677" w14:textId="77777777" w:rsidR="00957A1B" w:rsidRPr="001948D5" w:rsidRDefault="00957A1B" w:rsidP="005115D0">
            <w:pPr>
              <w:pStyle w:val="MBT"/>
              <w:rPr>
                <w:rFonts w:ascii="Times New Roman" w:hAnsi="Times New Roman"/>
                <w:noProof/>
                <w:sz w:val="20"/>
              </w:rPr>
            </w:pPr>
            <w:r>
              <w:rPr>
                <w:rFonts w:ascii="Times New Roman" w:hAnsi="Times New Roman"/>
                <w:noProof/>
                <w:sz w:val="20"/>
              </w:rPr>
              <w:t>Tuonti sallitaan tietyin edellytyksin</w:t>
            </w:r>
          </w:p>
        </w:tc>
      </w:tr>
    </w:tbl>
    <w:p w14:paraId="28428487" w14:textId="7A0241D2" w:rsidR="009E58BB" w:rsidRDefault="009E58BB" w:rsidP="006060F8">
      <w:pPr>
        <w:pStyle w:val="MBT"/>
        <w:rPr>
          <w:noProof/>
        </w:rPr>
      </w:pPr>
    </w:p>
    <w:p w14:paraId="43A3FC64" w14:textId="77777777" w:rsidR="00FC70E8" w:rsidRDefault="00FC70E8" w:rsidP="006060F8">
      <w:pPr>
        <w:pStyle w:val="MBT"/>
        <w:rPr>
          <w:noProof/>
        </w:rPr>
      </w:pPr>
    </w:p>
    <w:p w14:paraId="1AE2FB3F" w14:textId="77777777" w:rsidR="00835753" w:rsidRPr="00A55D1D" w:rsidRDefault="00ED7A2D" w:rsidP="00CB7B29">
      <w:pPr>
        <w:pStyle w:val="Heading2"/>
        <w:spacing w:after="240"/>
        <w:ind w:left="1202"/>
        <w:rPr>
          <w:noProof/>
        </w:rPr>
      </w:pPr>
      <w:r>
        <w:rPr>
          <w:noProof/>
        </w:rPr>
        <w:t xml:space="preserve">Ongelmana on edelleen EU:n ulkopuolisten maiden alhainen vastausaste nimenomaista suostumusta koskeviin pyyntöihin, mutta monet ongelmat voidaan ratkaista tehokkaasti ECHA:n ja nimettyjen kansallisten viranomaisten toimien hyvällä koordinoinnilla </w:t>
      </w:r>
    </w:p>
    <w:p w14:paraId="10CD6F50" w14:textId="77777777" w:rsidR="00FB0E49" w:rsidRPr="00FB0E49" w:rsidRDefault="00FB0E49" w:rsidP="00FC70E8">
      <w:pPr>
        <w:pStyle w:val="MBT"/>
        <w:spacing w:after="120" w:line="300" w:lineRule="atLeast"/>
        <w:rPr>
          <w:noProof/>
        </w:rPr>
      </w:pPr>
      <w:r>
        <w:rPr>
          <w:noProof/>
        </w:rPr>
        <w:t xml:space="preserve">Asetuksen 14 artiklan mukaan tuojamaalta on saatava suostumus, ennen kuin liitteessä I olevassa 2 tai 3 osassa lueteltujen kemikaalien vienti voi toteutua. Viejän nimetty kansallinen viranomainen voi kuitenkin tapauskohtaisesti ja komissiota kuultuaan päättää, ettei nimenomaista suostumusta vaadita, jos PIC-ilmoituksen piiriin kuuluva kemikaali viedään OECD-maahan (14 artiklan 6 kohta) tai jos tuojamaalta ei ole saatu vastausta 60 päivän kuluessa tiettyjen ehtojen täyttyessä (14 artiklan 7 kohta). </w:t>
      </w:r>
    </w:p>
    <w:p w14:paraId="4D91F31C" w14:textId="77777777" w:rsidR="00D406E3" w:rsidRDefault="00890FD8" w:rsidP="00FC70E8">
      <w:pPr>
        <w:pStyle w:val="MBT"/>
        <w:spacing w:after="120" w:line="300" w:lineRule="atLeast"/>
        <w:rPr>
          <w:noProof/>
        </w:rPr>
      </w:pPr>
      <w:r>
        <w:rPr>
          <w:noProof/>
        </w:rPr>
        <w:t xml:space="preserve">Raportointijaksolla 19 jäsenvaltiota käsitteli sellaista vientiä, joihin liittyi 14 artiklan mukainen nimenomaista suostumusta koskeva menettely. Vuosina 2017–2019 nimetyt kansalliset viranomaiset käsittelivät yhteensä 5 058 nimenomaista suostumusta koskevaa pyyntöä, kun edellisellä raportointijaksolla niitä käsiteltiin 3 362. Yhteensä 15 jäsenvaltiossa (19:stä) pyyntöjen määrä oli suurempi kuin edellisellä raportointijaksolla. </w:t>
      </w:r>
    </w:p>
    <w:p w14:paraId="6EF99542" w14:textId="7CCE1F73" w:rsidR="008217A3" w:rsidRDefault="008217A3" w:rsidP="00FC70E8">
      <w:pPr>
        <w:pStyle w:val="MBT"/>
        <w:spacing w:after="120" w:line="300" w:lineRule="atLeast"/>
        <w:rPr>
          <w:noProof/>
        </w:rPr>
      </w:pPr>
      <w:r>
        <w:rPr>
          <w:noProof/>
        </w:rPr>
        <w:t>Kuten aiemminkin, nimetyt kansalliset viranomaiset pitivät suurimpana haasteena sitä, että tuojamaat vastasivat suostumusta koskeviin pyyntöihin myöhässä (eli 60 päivän vastausajan jälkeen) tai että vastausta ei saatu lainkaan. Vastausaste oli tällä raportointijaksolla edelleen melko matala. Nimenomaista suostumusta koskevia pyyntöjä tehtiin siis 5 058, ja niistä 54 prosenttiin vastattiin joko ensimmäisen pyynnön taikka ensimmäisen tai toisen muistutuksen jälkeen. Tämä vastausaste on suurin piirtein sama kuin aiemmin. Lisäksi nimetyt kansalliset viranomaiset totesivat, että saatu vastaus oli toisinaan epäselvä tai vaikeasti tulkittavissa ja että tiettyihin maihin oli erityisen vaikeaa saada yhteys.</w:t>
      </w:r>
    </w:p>
    <w:p w14:paraId="6428B603" w14:textId="77777777" w:rsidR="00721A97" w:rsidRDefault="007934C3" w:rsidP="00FC70E8">
      <w:pPr>
        <w:pStyle w:val="MBT"/>
        <w:spacing w:after="120" w:line="300" w:lineRule="atLeast"/>
        <w:rPr>
          <w:noProof/>
        </w:rPr>
      </w:pPr>
      <w:r>
        <w:rPr>
          <w:noProof/>
        </w:rPr>
        <w:t>ECHA katsoi, että tämä prosessi toimii sujuvasti ja että yhteistyö nimettyjen kansallisten viranomaisten kanssa on tehokasta. Matalasta vastausasteesta huolimatta prosessi on ECHA:n mukaan osaltaan parantanut tietojen yhdenmukaisuutta, ja kirjoitus- tai laskuvirheiden määrä on vähentynyt menettelyn aikana.</w:t>
      </w:r>
    </w:p>
    <w:p w14:paraId="697BC643" w14:textId="6244987B" w:rsidR="00A84FEA" w:rsidRDefault="00D76430" w:rsidP="00FC70E8">
      <w:pPr>
        <w:pStyle w:val="MBT"/>
        <w:spacing w:after="120" w:line="300" w:lineRule="atLeast"/>
        <w:rPr>
          <w:noProof/>
        </w:rPr>
      </w:pPr>
      <w:r>
        <w:rPr>
          <w:noProof/>
        </w:rPr>
        <w:t>Muutaman jäsenvaltion oli päätettävä, luopuako nimenomaisen suostumuksen vaatimuksesta vai ei (kahdeksassa päätöksessä oli kyse viennistä OECD-maahan ja 13 päätöksessä tuojamaan toimivaltaisen viranomaisen vastauksen puuttumisesta). Nimettyjen kansallisten viranomaisten antamat tiedot osoittivat, että täytäntöönpanossa oli ollut vain vähän ongelmia. Viidessätoista jäsenvaltiossa oli tapauksia, joissa viennin toteutuminen sallittiin sillä ehdolla, että uuteen nimenomaista suostumusta koskevaan pyyntöön saadaan vastaus (14 artiklan 8 kohta). ECHA:n mukaan 14 artiklan 8 kohdan täytäntöönpano oli edelleen haasteellista. Ongelmatapausten (tapaukset, joissa ECHA ja nimetyt kansalliset viranomaiset ovat eri mieltä tulkinnasta) määrä on kuitenkin vähentynyt huomattavasti sen jälkeen, kun asiasta keskusteltiin nimettyjen kansallisten viranomaisten kokouksessa ja kun ePIC-sovelluksen asiaan liittyvää toimintoa parannettiin.</w:t>
      </w:r>
    </w:p>
    <w:p w14:paraId="48F199D8" w14:textId="77777777" w:rsidR="00FF77F1" w:rsidRPr="00A55D1D" w:rsidRDefault="006074BC" w:rsidP="00CB7B29">
      <w:pPr>
        <w:pStyle w:val="Heading2"/>
        <w:spacing w:after="240"/>
        <w:ind w:left="1202"/>
        <w:rPr>
          <w:noProof/>
        </w:rPr>
      </w:pPr>
      <w:r>
        <w:rPr>
          <w:noProof/>
        </w:rPr>
        <w:t>Vain harvat jäsenvaltiot ilmoittivat kemikaalien vientiasiakirjoissa ilmoitettavien tietojen vaatimustenvastaisuudesta</w:t>
      </w:r>
    </w:p>
    <w:p w14:paraId="77A7CC68" w14:textId="5473BEF5" w:rsidR="003C3D25" w:rsidRDefault="00DD764F" w:rsidP="00FC70E8">
      <w:pPr>
        <w:pStyle w:val="MBT"/>
        <w:spacing w:after="120" w:line="300" w:lineRule="atLeast"/>
        <w:rPr>
          <w:noProof/>
        </w:rPr>
      </w:pPr>
      <w:r>
        <w:rPr>
          <w:noProof/>
        </w:rPr>
        <w:t>PIC-asetuksen 17 artiklan mukaan vientiin tarkoitetut kemikaalit on pakattava ja merkittävä niitä koskevien unionin säännösten mukaisesti, ellei tuojamaa edellytä muuta. Jokaiselle tuojalle on lähetettävä REACH-asetuksen liitteen II mukainen käyttöturvallisuustiedote kemikaalin mukana. Vain kuusi jäsenvaltiota ilmoitti kemikaalien vientiasiakirjoissa ilmoitettavia tietoja koskevista laiminlyönneistä, jotka liittyivät CLP-asetuksen mukaisiin pakkausvaatimuksiin ja käyttöturvallisuustiedotteeseen.</w:t>
      </w:r>
    </w:p>
    <w:p w14:paraId="38CC1C5D" w14:textId="77777777" w:rsidR="00610D25" w:rsidRPr="00A55D1D" w:rsidRDefault="00544EF4" w:rsidP="00CB7B29">
      <w:pPr>
        <w:pStyle w:val="Heading2"/>
        <w:spacing w:after="240"/>
        <w:ind w:left="1202"/>
        <w:rPr>
          <w:noProof/>
        </w:rPr>
      </w:pPr>
      <w:r>
        <w:rPr>
          <w:noProof/>
        </w:rPr>
        <w:t>Kaikissa jäsenvaltioissa on käytössä valvonta- ja täytäntöönpanojärjestelmä, mutta kolmasosalla ei ole täytäntöönpanostrategiaa</w:t>
      </w:r>
    </w:p>
    <w:p w14:paraId="0968F388" w14:textId="77777777" w:rsidR="00314602" w:rsidRDefault="003D4AAE" w:rsidP="00FC70E8">
      <w:pPr>
        <w:pStyle w:val="MBT"/>
        <w:spacing w:after="120" w:line="300" w:lineRule="atLeast"/>
        <w:rPr>
          <w:noProof/>
        </w:rPr>
      </w:pPr>
      <w:r>
        <w:rPr>
          <w:noProof/>
        </w:rPr>
        <w:t xml:space="preserve">PIC-asetuksen 18 artiklan mukaan jäsenvaltioiden on nimettävä viranomaisia, esimerkiksi tulliviranomaisia, valvomaan liitteessä I lueteltujen kemikaalien tuontia ja vientiä. Kaikki jäsenvaltiot ovat nimenneet nämä viranomaiset. Tulliviranomaiset osallistuvat PIC-asetuksen täytäntöönpanoon kaikissa muissa jäsenvaltioissa paitsi Maltalla (ja Yhdistyneessä kuningaskunnassa, jonka osalta raportointijakso päättyi 1. tammikuuta 2020). Kuudessa maassa tullihallinto on ainoa kansallinen täytäntöönpanoviranomainen. </w:t>
      </w:r>
    </w:p>
    <w:p w14:paraId="1BA6420D" w14:textId="598FA505" w:rsidR="00137865" w:rsidRDefault="00C82A97" w:rsidP="00FC70E8">
      <w:pPr>
        <w:pStyle w:val="MBT"/>
        <w:spacing w:after="120" w:line="300" w:lineRule="atLeast"/>
        <w:rPr>
          <w:noProof/>
        </w:rPr>
      </w:pPr>
      <w:r>
        <w:rPr>
          <w:noProof/>
        </w:rPr>
        <w:t>Viisitoista jäsenvaltiota (edellisellä raportointijaksolla 18) ilmoitti, että kansallisilla täytäntöönpanoviranomaisilla on riittävästi resursseja, jotta ne voivat täyttää PIC-asetuksen mukaiset velvollisuutensa. Niissä jäsenvaltioissa, jotka mainitsivat kansallisten täytäntöönpanoviranomaisten resurssiongelmista, kyse oli yleensä henkilöstöresurssien puutteesta. Seitsemäntoista jäsenvaltiota ilmoitti, että niillä on strategia PIC-asetuksen täytäntöönpanoa varten, ja 16 jäsenvaltiota on järjestänyt säännöllistä koulutusta tarkastajille.</w:t>
      </w:r>
    </w:p>
    <w:p w14:paraId="4F7988C0" w14:textId="0949F59F" w:rsidR="00E4234F" w:rsidRDefault="00846834" w:rsidP="00CB7B29">
      <w:pPr>
        <w:pStyle w:val="Heading2"/>
        <w:spacing w:after="240"/>
        <w:ind w:left="1202"/>
        <w:rPr>
          <w:noProof/>
        </w:rPr>
      </w:pPr>
      <w:r>
        <w:rPr>
          <w:noProof/>
        </w:rPr>
        <w:t>Raportointijaksolla on todettu vain vähän rikkomuksia</w:t>
      </w:r>
    </w:p>
    <w:p w14:paraId="0480008D" w14:textId="77777777" w:rsidR="007B491F" w:rsidRDefault="00795B42" w:rsidP="00FC70E8">
      <w:pPr>
        <w:pStyle w:val="MBT"/>
        <w:spacing w:after="120" w:line="300" w:lineRule="atLeast"/>
        <w:rPr>
          <w:noProof/>
        </w:rPr>
      </w:pPr>
      <w:r>
        <w:rPr>
          <w:noProof/>
        </w:rPr>
        <w:t xml:space="preserve">Virallisista valvontatoimista ilmoittaneiden jäsenvaltioiden määrä on jotakuinkin sama kuin edellisellä raportointijaksolla. Luku on yhä melko pieni, kun otetaan huomioon, että 24 jäsenvaltiota on ilmoittanut kaupankäyntitoimista. Ei voida päätellä, johtuuko tämä tiedonkeruuseen liittyvistä puutteista vai puutteellisista täytäntöönpanotoimista, jos jäsenvaltiot eivät ole täsmentäneet sitä raportissaan. Kymmenen jäsenvaltiota ilmoitti PIC-asetuksen soveltamisalaan kuuluvaan vientiin liittyvistä tullitarkastuksista; edellisellä raportointikaudella niistä ilmoitti 13 jäsenvaltiota. Yksitoista jäsenvaltiota ilmoitti tarkastajien tekemistä tarkastuksista. Tuonnin osalta neljä jäsenvaltiota ilmoitti tullitarkastuksista, ja 10 jäsenvaltiota ilmoitti tarkastajien tekemistä tarkastuksista. </w:t>
      </w:r>
    </w:p>
    <w:p w14:paraId="02C31BB7" w14:textId="3A537B2D" w:rsidR="0056791E" w:rsidRPr="007B491F" w:rsidRDefault="00570D18" w:rsidP="00FC70E8">
      <w:pPr>
        <w:pStyle w:val="MBT"/>
        <w:spacing w:after="120" w:line="300" w:lineRule="atLeast"/>
        <w:rPr>
          <w:noProof/>
        </w:rPr>
      </w:pPr>
      <w:r>
        <w:rPr>
          <w:noProof/>
        </w:rPr>
        <w:t>Raportointijaksolla tehtiin yhteensä 9 132 vientitarkastusta; vuodet 2014–2016 kattavalla jaksolla niitä tehtiin 6 474 (taulukko 3). Tuontitarkastuksia on tehty 1 463 (vuosina 2014–2016 niitä tehtiin 1 941), ja tämä johtuu enimmäkseen tuontia koskevien tullitarkastusten vähenemisestä. Kuten aiemminkin, tarkastuksista suurin osa on tullitarkastuksia. Tehtyjen tarkastusten määrä vaihteli jäsenvaltioittain suuresti, mikä voi johtua PIC-asetukseen kuuluvien kemikaalien viennin ja tuonnin määrästä kussakin maassa, tarkastusstrategiasta tai tehtyjen tarkastusten tyypeistä (esimerkiksi reaktiiviset tarkastukset vs. säännöllinen seuranta).</w:t>
      </w:r>
    </w:p>
    <w:p w14:paraId="3EC186A7" w14:textId="77777777" w:rsidR="00FC70E8" w:rsidRPr="007B491F" w:rsidRDefault="00FC70E8" w:rsidP="00FC70E8">
      <w:pPr>
        <w:pStyle w:val="MBT"/>
        <w:spacing w:line="300" w:lineRule="atLeast"/>
        <w:rPr>
          <w:noProof/>
        </w:rPr>
      </w:pPr>
      <w:r>
        <w:rPr>
          <w:noProof/>
        </w:rPr>
        <w:t xml:space="preserve">Toteutettujen täytäntöönpanotoimien tyyppien osalta todettakoon, että asiakirjatarkastuksia tehdään noin kahdessa kolmasosassa jäsenvaltioista (19), kun taas alle puolet jäsenvaltioista ilmoitti tekevänsä ennakoivia tarkastuksia tai paikan päällä tehtäviä tarkastuksia (kuva 3). </w:t>
      </w:r>
    </w:p>
    <w:p w14:paraId="120AE67E" w14:textId="77777777" w:rsidR="0056791E" w:rsidRDefault="0056791E" w:rsidP="001948D5">
      <w:pPr>
        <w:pStyle w:val="MBT"/>
        <w:rPr>
          <w:noProof/>
        </w:rPr>
      </w:pPr>
    </w:p>
    <w:p w14:paraId="47392D4B" w14:textId="48A3D678" w:rsidR="001F705C" w:rsidRPr="00FC70E8" w:rsidRDefault="001F705C" w:rsidP="00FC70E8">
      <w:pPr>
        <w:pStyle w:val="Caption"/>
        <w:ind w:left="900" w:hanging="900"/>
        <w:rPr>
          <w:noProof/>
          <w:sz w:val="22"/>
        </w:rPr>
      </w:pPr>
      <w:r>
        <w:rPr>
          <w:noProof/>
          <w:sz w:val="22"/>
        </w:rPr>
        <w:t xml:space="preserve">Taulukko </w:t>
      </w:r>
      <w:r>
        <w:rPr>
          <w:noProof/>
          <w:sz w:val="22"/>
        </w:rPr>
        <w:fldChar w:fldCharType="begin"/>
      </w:r>
      <w:r>
        <w:rPr>
          <w:noProof/>
          <w:sz w:val="22"/>
        </w:rPr>
        <w:instrText xml:space="preserve"> SEQ Table \* ARABIC </w:instrText>
      </w:r>
      <w:r>
        <w:rPr>
          <w:noProof/>
          <w:sz w:val="22"/>
        </w:rPr>
        <w:fldChar w:fldCharType="separate"/>
      </w:r>
      <w:r>
        <w:rPr>
          <w:noProof/>
          <w:sz w:val="22"/>
        </w:rPr>
        <w:t>3</w:t>
      </w:r>
      <w:r>
        <w:rPr>
          <w:noProof/>
          <w:sz w:val="22"/>
        </w:rPr>
        <w:fldChar w:fldCharType="end"/>
      </w:r>
      <w:r>
        <w:rPr>
          <w:noProof/>
          <w:sz w:val="22"/>
        </w:rPr>
        <w:t>:</w:t>
      </w:r>
      <w:r>
        <w:rPr>
          <w:noProof/>
        </w:rPr>
        <w:tab/>
      </w:r>
      <w:r>
        <w:rPr>
          <w:noProof/>
          <w:sz w:val="22"/>
        </w:rPr>
        <w:t>Sellaista vientiä ja tuontia koskevien virallisten tarkastusten kokonaismäärä, jotka kuuluvat PIC-asetuksen soveltamisalaan tai joiden osalta asetuksen täytäntöönpanoa valvottiin raportointijaksolla</w:t>
      </w:r>
    </w:p>
    <w:tbl>
      <w:tblPr>
        <w:tblStyle w:val="TableGrid"/>
        <w:tblW w:w="0" w:type="auto"/>
        <w:tblLook w:val="04A0" w:firstRow="1" w:lastRow="0" w:firstColumn="1" w:lastColumn="0" w:noHBand="0" w:noVBand="1"/>
      </w:tblPr>
      <w:tblGrid>
        <w:gridCol w:w="2265"/>
        <w:gridCol w:w="2265"/>
        <w:gridCol w:w="2265"/>
        <w:gridCol w:w="2266"/>
      </w:tblGrid>
      <w:tr w:rsidR="004F7300" w:rsidRPr="00B411E7" w14:paraId="2D9AB6C8" w14:textId="77777777" w:rsidTr="004F7300">
        <w:trPr>
          <w:cnfStyle w:val="100000000000" w:firstRow="1" w:lastRow="0" w:firstColumn="0" w:lastColumn="0" w:oddVBand="0" w:evenVBand="0" w:oddHBand="0" w:evenHBand="0" w:firstRowFirstColumn="0" w:firstRowLastColumn="0" w:lastRowFirstColumn="0" w:lastRowLastColumn="0"/>
        </w:trPr>
        <w:tc>
          <w:tcPr>
            <w:tcW w:w="2265" w:type="dxa"/>
            <w:shd w:val="clear" w:color="auto" w:fill="000099"/>
          </w:tcPr>
          <w:p w14:paraId="778B6598" w14:textId="77777777" w:rsidR="004F7300" w:rsidRPr="00856E3F" w:rsidRDefault="004F7300" w:rsidP="003F5BD0">
            <w:pPr>
              <w:pStyle w:val="Body"/>
              <w:rPr>
                <w:rFonts w:ascii="Times New Roman" w:hAnsi="Times New Roman"/>
                <w:noProof/>
              </w:rPr>
            </w:pPr>
          </w:p>
        </w:tc>
        <w:tc>
          <w:tcPr>
            <w:tcW w:w="2265" w:type="dxa"/>
            <w:shd w:val="clear" w:color="auto" w:fill="000099"/>
          </w:tcPr>
          <w:p w14:paraId="39C55FC5" w14:textId="77777777" w:rsidR="004F7300" w:rsidRPr="00856E3F" w:rsidRDefault="004F7300" w:rsidP="003F5BD0">
            <w:pPr>
              <w:pStyle w:val="Body"/>
              <w:rPr>
                <w:rFonts w:ascii="Times New Roman" w:hAnsi="Times New Roman"/>
                <w:noProof/>
              </w:rPr>
            </w:pPr>
            <w:r>
              <w:rPr>
                <w:rFonts w:ascii="Times New Roman" w:hAnsi="Times New Roman"/>
                <w:noProof/>
              </w:rPr>
              <w:t>Tulliviranomaisten tekemät tarkastukset</w:t>
            </w:r>
          </w:p>
        </w:tc>
        <w:tc>
          <w:tcPr>
            <w:tcW w:w="2265" w:type="dxa"/>
            <w:shd w:val="clear" w:color="auto" w:fill="000099"/>
          </w:tcPr>
          <w:p w14:paraId="63F7E39A" w14:textId="77777777" w:rsidR="004F7300" w:rsidRPr="00856E3F" w:rsidRDefault="004F7300" w:rsidP="003F5BD0">
            <w:pPr>
              <w:pStyle w:val="Body"/>
              <w:rPr>
                <w:rFonts w:ascii="Times New Roman" w:hAnsi="Times New Roman"/>
                <w:noProof/>
              </w:rPr>
            </w:pPr>
            <w:r>
              <w:rPr>
                <w:rFonts w:ascii="Times New Roman" w:hAnsi="Times New Roman"/>
                <w:noProof/>
              </w:rPr>
              <w:t xml:space="preserve">Tarkastajien tekemät tarkastukset </w:t>
            </w:r>
          </w:p>
        </w:tc>
        <w:tc>
          <w:tcPr>
            <w:tcW w:w="2266" w:type="dxa"/>
            <w:shd w:val="clear" w:color="auto" w:fill="000099"/>
          </w:tcPr>
          <w:p w14:paraId="37E37F62" w14:textId="77777777" w:rsidR="004F7300" w:rsidRPr="00856E3F" w:rsidRDefault="004F7300" w:rsidP="003F5BD0">
            <w:pPr>
              <w:pStyle w:val="Body"/>
              <w:rPr>
                <w:rFonts w:ascii="Times New Roman" w:hAnsi="Times New Roman"/>
                <w:noProof/>
              </w:rPr>
            </w:pPr>
            <w:r>
              <w:rPr>
                <w:rFonts w:ascii="Times New Roman" w:hAnsi="Times New Roman"/>
                <w:noProof/>
              </w:rPr>
              <w:t>Muiden viranomaisten tekemät tarkastukset</w:t>
            </w:r>
          </w:p>
        </w:tc>
      </w:tr>
      <w:tr w:rsidR="004F7300" w14:paraId="191EA6B6" w14:textId="77777777" w:rsidTr="004F7300">
        <w:tc>
          <w:tcPr>
            <w:tcW w:w="2265" w:type="dxa"/>
          </w:tcPr>
          <w:p w14:paraId="2362EAE1" w14:textId="77777777" w:rsidR="004F7300" w:rsidRPr="00856E3F" w:rsidRDefault="004F7300" w:rsidP="003F5BD0">
            <w:pPr>
              <w:pStyle w:val="Body"/>
              <w:rPr>
                <w:rFonts w:ascii="Times New Roman" w:hAnsi="Times New Roman"/>
                <w:noProof/>
              </w:rPr>
            </w:pPr>
            <w:r>
              <w:rPr>
                <w:rFonts w:ascii="Times New Roman" w:hAnsi="Times New Roman"/>
                <w:noProof/>
              </w:rPr>
              <w:t>Viralliset vientitarkastukset</w:t>
            </w:r>
          </w:p>
        </w:tc>
        <w:tc>
          <w:tcPr>
            <w:tcW w:w="2265" w:type="dxa"/>
          </w:tcPr>
          <w:p w14:paraId="24D97383" w14:textId="77777777" w:rsidR="004F7300" w:rsidRPr="00856E3F" w:rsidRDefault="004F7300" w:rsidP="003F5BD0">
            <w:pPr>
              <w:pStyle w:val="Body"/>
              <w:rPr>
                <w:rFonts w:ascii="Times New Roman" w:hAnsi="Times New Roman"/>
                <w:noProof/>
              </w:rPr>
            </w:pPr>
            <w:r>
              <w:rPr>
                <w:rFonts w:ascii="Times New Roman" w:hAnsi="Times New Roman"/>
                <w:noProof/>
              </w:rPr>
              <w:t>8 599</w:t>
            </w:r>
          </w:p>
        </w:tc>
        <w:tc>
          <w:tcPr>
            <w:tcW w:w="2265" w:type="dxa"/>
          </w:tcPr>
          <w:p w14:paraId="45311DCA" w14:textId="77777777" w:rsidR="004F7300" w:rsidRPr="00856E3F" w:rsidRDefault="004F7300" w:rsidP="003F5BD0">
            <w:pPr>
              <w:pStyle w:val="Body"/>
              <w:rPr>
                <w:rFonts w:ascii="Times New Roman" w:hAnsi="Times New Roman"/>
                <w:noProof/>
              </w:rPr>
            </w:pPr>
            <w:r>
              <w:rPr>
                <w:rFonts w:ascii="Times New Roman" w:hAnsi="Times New Roman"/>
                <w:noProof/>
              </w:rPr>
              <w:t>526</w:t>
            </w:r>
          </w:p>
        </w:tc>
        <w:tc>
          <w:tcPr>
            <w:tcW w:w="2266" w:type="dxa"/>
          </w:tcPr>
          <w:p w14:paraId="0850A6E0" w14:textId="77777777" w:rsidR="004F7300" w:rsidRPr="00856E3F" w:rsidRDefault="004F7300" w:rsidP="003F5BD0">
            <w:pPr>
              <w:pStyle w:val="Body"/>
              <w:rPr>
                <w:rFonts w:ascii="Times New Roman" w:hAnsi="Times New Roman"/>
                <w:noProof/>
              </w:rPr>
            </w:pPr>
            <w:r>
              <w:rPr>
                <w:rFonts w:ascii="Times New Roman" w:hAnsi="Times New Roman"/>
                <w:noProof/>
              </w:rPr>
              <w:t>7</w:t>
            </w:r>
          </w:p>
        </w:tc>
      </w:tr>
      <w:tr w:rsidR="004F7300" w14:paraId="2E894308" w14:textId="77777777" w:rsidTr="004F7300">
        <w:tc>
          <w:tcPr>
            <w:tcW w:w="2265" w:type="dxa"/>
          </w:tcPr>
          <w:p w14:paraId="47EE4498" w14:textId="77777777" w:rsidR="004F7300" w:rsidRPr="00856E3F" w:rsidRDefault="004F7300" w:rsidP="003F5BD0">
            <w:pPr>
              <w:pStyle w:val="Body"/>
              <w:rPr>
                <w:rFonts w:ascii="Times New Roman" w:hAnsi="Times New Roman"/>
                <w:noProof/>
              </w:rPr>
            </w:pPr>
            <w:r>
              <w:rPr>
                <w:rFonts w:ascii="Times New Roman" w:hAnsi="Times New Roman"/>
                <w:noProof/>
              </w:rPr>
              <w:t>Viralliset tuontitarkastukset</w:t>
            </w:r>
          </w:p>
        </w:tc>
        <w:tc>
          <w:tcPr>
            <w:tcW w:w="2265" w:type="dxa"/>
          </w:tcPr>
          <w:p w14:paraId="1ACA6911" w14:textId="77777777" w:rsidR="004F7300" w:rsidRPr="00856E3F" w:rsidRDefault="004F7300" w:rsidP="003F5BD0">
            <w:pPr>
              <w:pStyle w:val="Body"/>
              <w:rPr>
                <w:rFonts w:ascii="Times New Roman" w:hAnsi="Times New Roman"/>
                <w:noProof/>
              </w:rPr>
            </w:pPr>
            <w:r>
              <w:rPr>
                <w:rFonts w:ascii="Times New Roman" w:hAnsi="Times New Roman"/>
                <w:noProof/>
              </w:rPr>
              <w:t>237</w:t>
            </w:r>
          </w:p>
        </w:tc>
        <w:tc>
          <w:tcPr>
            <w:tcW w:w="2265" w:type="dxa"/>
          </w:tcPr>
          <w:p w14:paraId="622D6F97" w14:textId="77777777" w:rsidR="004F7300" w:rsidRPr="00856E3F" w:rsidRDefault="004F7300" w:rsidP="003F5BD0">
            <w:pPr>
              <w:pStyle w:val="Body"/>
              <w:rPr>
                <w:rFonts w:ascii="Times New Roman" w:hAnsi="Times New Roman"/>
                <w:noProof/>
              </w:rPr>
            </w:pPr>
            <w:r>
              <w:rPr>
                <w:rFonts w:ascii="Times New Roman" w:hAnsi="Times New Roman"/>
                <w:noProof/>
              </w:rPr>
              <w:t>1 193</w:t>
            </w:r>
          </w:p>
        </w:tc>
        <w:tc>
          <w:tcPr>
            <w:tcW w:w="2266" w:type="dxa"/>
          </w:tcPr>
          <w:p w14:paraId="041ED976" w14:textId="77777777" w:rsidR="004F7300" w:rsidRPr="00856E3F" w:rsidRDefault="004F7300" w:rsidP="003F5BD0">
            <w:pPr>
              <w:pStyle w:val="Body"/>
              <w:rPr>
                <w:rFonts w:ascii="Times New Roman" w:hAnsi="Times New Roman"/>
                <w:noProof/>
              </w:rPr>
            </w:pPr>
            <w:r>
              <w:rPr>
                <w:rFonts w:ascii="Times New Roman" w:hAnsi="Times New Roman"/>
                <w:noProof/>
              </w:rPr>
              <w:t>33</w:t>
            </w:r>
          </w:p>
        </w:tc>
      </w:tr>
    </w:tbl>
    <w:p w14:paraId="62DD6877" w14:textId="77777777" w:rsidR="004F7300" w:rsidRDefault="004F7300" w:rsidP="00856E3F">
      <w:pPr>
        <w:pStyle w:val="MBT"/>
        <w:rPr>
          <w:noProof/>
        </w:rPr>
      </w:pPr>
    </w:p>
    <w:p w14:paraId="3220EFF4" w14:textId="77777777" w:rsidR="004F7300" w:rsidRDefault="004F7300" w:rsidP="00856E3F">
      <w:pPr>
        <w:pStyle w:val="MBT"/>
        <w:rPr>
          <w:noProof/>
        </w:rPr>
      </w:pPr>
    </w:p>
    <w:p w14:paraId="34A2231B" w14:textId="77777777" w:rsidR="007B491F" w:rsidRPr="00FC70E8" w:rsidRDefault="007B491F" w:rsidP="00A55D1D">
      <w:pPr>
        <w:pStyle w:val="Caption"/>
        <w:keepNext/>
        <w:rPr>
          <w:noProof/>
          <w:sz w:val="22"/>
        </w:rPr>
      </w:pPr>
      <w:r>
        <w:rPr>
          <w:noProof/>
          <w:sz w:val="22"/>
        </w:rPr>
        <w:t xml:space="preserve">Kuva </w:t>
      </w:r>
      <w:r>
        <w:rPr>
          <w:noProof/>
          <w:sz w:val="22"/>
        </w:rPr>
        <w:fldChar w:fldCharType="begin"/>
      </w:r>
      <w:r>
        <w:rPr>
          <w:noProof/>
          <w:sz w:val="22"/>
        </w:rPr>
        <w:instrText xml:space="preserve"> SEQ Figure \* ARABIC </w:instrText>
      </w:r>
      <w:r>
        <w:rPr>
          <w:noProof/>
          <w:sz w:val="22"/>
        </w:rPr>
        <w:fldChar w:fldCharType="separate"/>
      </w:r>
      <w:r>
        <w:rPr>
          <w:noProof/>
          <w:sz w:val="22"/>
        </w:rPr>
        <w:t>3</w:t>
      </w:r>
      <w:r>
        <w:rPr>
          <w:noProof/>
          <w:sz w:val="22"/>
        </w:rPr>
        <w:fldChar w:fldCharType="end"/>
      </w:r>
      <w:r>
        <w:rPr>
          <w:noProof/>
          <w:sz w:val="22"/>
        </w:rPr>
        <w:t xml:space="preserve">: Jäsenvaltioissa toteutetut valvontatoimet </w:t>
      </w:r>
    </w:p>
    <w:p w14:paraId="4B2996E1" w14:textId="4F901688" w:rsidR="007B491F" w:rsidRPr="002D7854" w:rsidRDefault="009D71E4" w:rsidP="007B491F">
      <w:pPr>
        <w:pStyle w:val="MBT"/>
        <w:rPr>
          <w:noProof/>
        </w:rPr>
      </w:pPr>
      <w:r w:rsidRPr="009D71E4">
        <w:rPr>
          <w:noProof/>
          <w:lang w:val="en-GB" w:eastAsia="en-GB"/>
        </w:rPr>
        <w:drawing>
          <wp:inline distT="0" distB="0" distL="0" distR="0" wp14:anchorId="6AEBA92C" wp14:editId="47AE40DF">
            <wp:extent cx="5760085" cy="258321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2583214"/>
                    </a:xfrm>
                    <a:prstGeom prst="rect">
                      <a:avLst/>
                    </a:prstGeom>
                    <a:noFill/>
                    <a:ln>
                      <a:noFill/>
                    </a:ln>
                  </pic:spPr>
                </pic:pic>
              </a:graphicData>
            </a:graphic>
          </wp:inline>
        </w:drawing>
      </w:r>
    </w:p>
    <w:p w14:paraId="04D33FA2" w14:textId="27B6ADB8" w:rsidR="001F705C" w:rsidRPr="00B93D71" w:rsidRDefault="00D20D3C" w:rsidP="00FC70E8">
      <w:pPr>
        <w:pStyle w:val="MBT"/>
        <w:spacing w:after="120" w:line="300" w:lineRule="atLeast"/>
        <w:rPr>
          <w:noProof/>
        </w:rPr>
      </w:pPr>
      <w:r>
        <w:rPr>
          <w:noProof/>
        </w:rPr>
        <w:t xml:space="preserve">Todettujen rikkomusten määrä (138) on melko pieni verrattuna toteutettujen tarkastusten määrään. Viisi jäsenvaltiota ilmoitti, että rikkomuksia on havaittu tullitarkastuksissa, ja kuusi jäsenvaltiota ilmoitti, että niitä on havaittu tarkastajien tekemissä tarkastuksissa. Tulliviranomaisten toteamien rikkomusten yleisin kategoria oli RIN-numeron puuttuminen (13 rikkomusta) ja toiseksi yleisin se, ettei hallinnollisen yhtenäisasiakirjan kenttää 44 ollut täytetty oikein (12 rikkomusta). Kolmessa jäsenvaltiossa määrättiin seuraamuksia 29 rikkomustapauksessa. </w:t>
      </w:r>
    </w:p>
    <w:p w14:paraId="34B334CF" w14:textId="77777777" w:rsidR="00C53A64" w:rsidRPr="00A55D1D" w:rsidRDefault="00C53A64" w:rsidP="00CB7B29">
      <w:pPr>
        <w:pStyle w:val="Heading2"/>
        <w:spacing w:after="240"/>
        <w:ind w:left="1202"/>
        <w:rPr>
          <w:noProof/>
        </w:rPr>
      </w:pPr>
      <w:r>
        <w:rPr>
          <w:noProof/>
        </w:rPr>
        <w:t xml:space="preserve">Foorumi toteutti ensimmäisen PIC-asetuksen täytäntöönpanon valvontaa koskevan kokeiluhankkeen </w:t>
      </w:r>
    </w:p>
    <w:p w14:paraId="59FDC2E3" w14:textId="13EB50AA" w:rsidR="00846834" w:rsidRPr="002D7854" w:rsidRDefault="002819E9" w:rsidP="00FC70E8">
      <w:pPr>
        <w:pStyle w:val="MBT"/>
        <w:spacing w:after="120" w:line="300" w:lineRule="atLeast"/>
        <w:rPr>
          <w:noProof/>
        </w:rPr>
      </w:pPr>
      <w:r>
        <w:rPr>
          <w:noProof/>
        </w:rPr>
        <w:t>Täytäntöönpanon valvontaa koskeva tietojenvaihtofoorumi (foorumi) on REACH-, CLP-, PIC- ja POP-asetusten täytäntöönpanon valvonnasta vastaavien viranomaisten verkosto. Vuosina 2017–2018 foorumi toteutti PIC-asetuksen noudattamisen valvontaa koskevan kokeiluhankkeen, jossa keskityttiin vienti-ilmoituksiin (8, 14 ja 15 artikla) ja kemikaalien vientiasiakirjoissa ilmoitettaviin tietoihin (17 artikla). Kokeiluhankkeeseen osallistui 13 jäsenvaltiota. Jäsenvaltiot tekivät 296 tarkastusta, joihin sisältyi sekä paikan päällä tehtäviä tarkastuksia että asiakirjatarkastuksia.</w:t>
      </w:r>
      <w:r>
        <w:rPr>
          <w:rStyle w:val="FootnoteReference"/>
          <w:noProof/>
        </w:rPr>
        <w:footnoteReference w:id="10"/>
      </w:r>
      <w:r>
        <w:rPr>
          <w:noProof/>
        </w:rPr>
        <w:t xml:space="preserve"> Vuonna 2019 foorumi laati ”Practical enforcement guide for the control of PIC obligation” -nimisen oppaan, jossa kuvataan kokeiluhankkeen aikana kehitettyjä PIC-asetuksen 8, 14, 15 ja 17 artiklan täytäntöönpanoa koskevia hyviä käytäntöjä.</w:t>
      </w:r>
    </w:p>
    <w:p w14:paraId="30FA3DF2" w14:textId="77777777" w:rsidR="00846834" w:rsidRDefault="00846834" w:rsidP="00FC70E8">
      <w:pPr>
        <w:pStyle w:val="MBT"/>
        <w:spacing w:after="120" w:line="300" w:lineRule="atLeast"/>
        <w:rPr>
          <w:noProof/>
        </w:rPr>
      </w:pPr>
      <w:r>
        <w:rPr>
          <w:noProof/>
        </w:rPr>
        <w:t xml:space="preserve">Jäsenvaltiot ovat pääasiassa tyytyväisiä foorumin toteuttamiin toimiin. Monet nimetyt kansalliset viranomaiset korostivat palautteessaan kokeiluhankkeen hyötyjä ja ehdottivat, että tulevaisuudessa toteutettaisiin lisää kokeiluhankkeita. </w:t>
      </w:r>
    </w:p>
    <w:p w14:paraId="7AFAC0FE" w14:textId="77777777" w:rsidR="00FB011E" w:rsidRPr="00A55D1D" w:rsidRDefault="00FB011E" w:rsidP="00CB7B29">
      <w:pPr>
        <w:pStyle w:val="Heading2"/>
        <w:spacing w:after="240"/>
        <w:ind w:left="1202"/>
        <w:rPr>
          <w:noProof/>
        </w:rPr>
      </w:pPr>
      <w:r>
        <w:rPr>
          <w:noProof/>
        </w:rPr>
        <w:t xml:space="preserve">Monet nimetyt kansalliset viranomaiset ja ECHA ovat osallistuneet teknisen avun antamiseen </w:t>
      </w:r>
    </w:p>
    <w:p w14:paraId="00CAC158" w14:textId="77777777" w:rsidR="0089544E" w:rsidRDefault="0089544E" w:rsidP="00FC70E8">
      <w:pPr>
        <w:pStyle w:val="MBT"/>
        <w:spacing w:after="120" w:line="300" w:lineRule="atLeast"/>
        <w:rPr>
          <w:noProof/>
        </w:rPr>
      </w:pPr>
      <w:r>
        <w:rPr>
          <w:noProof/>
        </w:rPr>
        <w:t>PIC-asetuksen 21 artiklan mukaan komission, jäsenvaltioiden nimettyjen kansallisten viranomaisten ja kemikaaliviraston on tehtävä – erityisesti kehitysmaiden ja siirtymätalouden maiden tarpeet huomioon ottaen – yhteistyötä teknisen avun tarjoamiseksi, jotta nämä maat voivat kehittää infrastruktuureja, valmiuksia ja asiantuntemusta, joita tarvitaan kemikaalien asianmukaiseen hallinnointiin koko niiden elinkaaren ajan.</w:t>
      </w:r>
    </w:p>
    <w:p w14:paraId="1A75A0A0" w14:textId="77777777" w:rsidR="00427C72" w:rsidRDefault="00996705" w:rsidP="00FC70E8">
      <w:pPr>
        <w:pStyle w:val="MBT"/>
        <w:spacing w:after="120" w:line="300" w:lineRule="atLeast"/>
        <w:rPr>
          <w:noProof/>
        </w:rPr>
      </w:pPr>
      <w:r>
        <w:rPr>
          <w:noProof/>
        </w:rPr>
        <w:t>Viisi jäsenvaltiota osallistui yhteistyötoimiin ja neljä hankkeisiin tai kansainvälisiin toimiin, jotka liittyivät kemikaalien hallinnointia koskevien valmiuksien parantamiseen. Nimettyjen kansallisten viranomaisten toimia olivat muun muassa teknisen tiedon välittäminen työpajoissa, koulutus, kolmansien maiden asiantuntijavaltuuskuntien vierailut, yhteistyöhankkeet sekä nimettyjen kansallisten viranomaisten perustamiseen tai ylläpitämiseen liittyvä tuki. ECHA osallistui useisiin koulutustilaisuuksiin, joita järjestivät Rotterdamin yleissopimuksen sihteeristö, komissio tai nimetyt kansalliset viranomaiset. Lisäksi ECHA tuki liittymistä valmistelevia maita ja ehdokasmaita kemikaalien hallinnointia koskevien valmiuksien parantamisessa EU:n liittymistä valmistelevan tukivälineen (IPA) avulla.</w:t>
      </w:r>
    </w:p>
    <w:p w14:paraId="6626A40C" w14:textId="77777777" w:rsidR="008E098F" w:rsidRPr="00A55D1D" w:rsidRDefault="00B41633" w:rsidP="00CB7B29">
      <w:pPr>
        <w:pStyle w:val="Heading2"/>
        <w:spacing w:after="240"/>
        <w:ind w:left="1202"/>
        <w:rPr>
          <w:noProof/>
        </w:rPr>
      </w:pPr>
      <w:r>
        <w:rPr>
          <w:noProof/>
        </w:rPr>
        <w:t xml:space="preserve">Käyttäjät pitivät ePIC-sovellusta yleensä ottaen helppokäyttöisenä ja asianmukaisena tukena työlleen </w:t>
      </w:r>
    </w:p>
    <w:p w14:paraId="73704D61" w14:textId="6A17C769" w:rsidR="0089544E" w:rsidRPr="00637AEE" w:rsidRDefault="0089544E" w:rsidP="00FC70E8">
      <w:pPr>
        <w:pStyle w:val="MBT"/>
        <w:spacing w:after="120" w:line="300" w:lineRule="atLeast"/>
        <w:rPr>
          <w:noProof/>
        </w:rPr>
      </w:pPr>
      <w:r>
        <w:rPr>
          <w:noProof/>
        </w:rPr>
        <w:t xml:space="preserve">Kuten PIC-asetuksessa edellytetään, ECHA on kehittänyt tietoteknisen välineen (ePIC) täytäntöönpanon tueksi ja pitää sitä yllä. Raportointijaksolla ePIC-järjestelmään lisättiin monia uusia toimintoja, joilla parannettiin järjestelmän toimintaa ja käytettävyyttä. Järjestelmää käyttävät kaikki asiaankuuluvat viranomaiset, myös täytäntöönpanoviranomaiset ja tulliviranomaiset, sekä viejät ja tuojat. Teollisuuden käyttäjien, nimettyjen kansallisten viranomaisten ja kansallisten täytäntöönpanoviranomaisten määrä on kasvanut edelliseltä raportointijaksolta. </w:t>
      </w:r>
    </w:p>
    <w:p w14:paraId="0560CA15" w14:textId="77777777" w:rsidR="008E098F" w:rsidRDefault="00B41633" w:rsidP="00FC70E8">
      <w:pPr>
        <w:pStyle w:val="MBT"/>
        <w:spacing w:after="120" w:line="300" w:lineRule="atLeast"/>
        <w:rPr>
          <w:noProof/>
        </w:rPr>
      </w:pPr>
      <w:r>
        <w:rPr>
          <w:noProof/>
        </w:rPr>
        <w:t xml:space="preserve">Nimetyt kansalliset viranomaiset pitivät ePIC-sovellusta kaiken kaikkiaan helppokäyttöisenä, eikä niillä ollut ollut suurempia ongelmia sen käytössä. Nimetyt kansalliset viranomaiset ovat antaneet ePIC-järjestelmästä myönteisempää palautetta kuin edellisellä raportointijaksolla, ja nyt aiempaa useammilla nimetyillä kansallisilla viranomaisilla on kokemusta järjestelmästä. Teollisuuden käyttäjien palaute ECHA:lle ja nimetyille kansallisille viranomaisille oli niin ikään pääasiassa myönteistä, kuten myös tulliviranomaisten ja täytäntöönpanon valvonnasta vastaavien viranomaisten palaute. </w:t>
      </w:r>
    </w:p>
    <w:p w14:paraId="2BA28995" w14:textId="77777777" w:rsidR="00FB011E" w:rsidRPr="00A55D1D" w:rsidRDefault="00F144AA" w:rsidP="00CB7B29">
      <w:pPr>
        <w:pStyle w:val="Heading2"/>
        <w:spacing w:after="240"/>
        <w:ind w:left="1202"/>
        <w:rPr>
          <w:noProof/>
        </w:rPr>
      </w:pPr>
      <w:r>
        <w:rPr>
          <w:noProof/>
        </w:rPr>
        <w:t xml:space="preserve">Tietoja PIC-asetuksen täytäntöönpanosta on julkisesti saatavilla </w:t>
      </w:r>
    </w:p>
    <w:p w14:paraId="1584D2C0" w14:textId="77777777" w:rsidR="0029253F" w:rsidRPr="002D7854" w:rsidRDefault="0029253F" w:rsidP="00FC70E8">
      <w:pPr>
        <w:pStyle w:val="MBT"/>
        <w:spacing w:line="300" w:lineRule="atLeast"/>
        <w:rPr>
          <w:noProof/>
        </w:rPr>
      </w:pPr>
      <w:r>
        <w:rPr>
          <w:noProof/>
        </w:rPr>
        <w:t xml:space="preserve">PIC-asetuksen mukaan ECHA:n on asetettava seuraavat tiedot julkisesti saataville: </w:t>
      </w:r>
    </w:p>
    <w:p w14:paraId="2395DD61" w14:textId="77777777" w:rsidR="0029253F" w:rsidRPr="002D7854" w:rsidRDefault="0029253F" w:rsidP="00FC70E8">
      <w:pPr>
        <w:pStyle w:val="MBT"/>
        <w:numPr>
          <w:ilvl w:val="0"/>
          <w:numId w:val="23"/>
        </w:numPr>
        <w:spacing w:line="300" w:lineRule="atLeast"/>
        <w:rPr>
          <w:noProof/>
        </w:rPr>
      </w:pPr>
      <w:r>
        <w:rPr>
          <w:noProof/>
        </w:rPr>
        <w:t>luettelo liitteeseen I sisällytetyistä kemikaaleista (7 artikla)</w:t>
      </w:r>
    </w:p>
    <w:p w14:paraId="475A8C9B" w14:textId="77777777" w:rsidR="0029253F" w:rsidRPr="002D7854" w:rsidRDefault="0029253F" w:rsidP="00FC70E8">
      <w:pPr>
        <w:pStyle w:val="MBT"/>
        <w:numPr>
          <w:ilvl w:val="0"/>
          <w:numId w:val="23"/>
        </w:numPr>
        <w:spacing w:line="300" w:lineRule="atLeast"/>
        <w:rPr>
          <w:noProof/>
        </w:rPr>
      </w:pPr>
      <w:r>
        <w:rPr>
          <w:noProof/>
        </w:rPr>
        <w:t>ajan tasalle saatettu luettelo kemikaaleista, joista on tehtävä vienti-ilmoitus, sekä tuojaosapuolista ja muista tuontimaista jokaiselta kalenterivuodelta (8 artikla)</w:t>
      </w:r>
    </w:p>
    <w:p w14:paraId="77D10340" w14:textId="77777777" w:rsidR="0029253F" w:rsidRPr="002D7854" w:rsidRDefault="0029253F" w:rsidP="00FC70E8">
      <w:pPr>
        <w:pStyle w:val="MBT"/>
        <w:numPr>
          <w:ilvl w:val="0"/>
          <w:numId w:val="23"/>
        </w:numPr>
        <w:spacing w:line="300" w:lineRule="atLeast"/>
        <w:rPr>
          <w:noProof/>
        </w:rPr>
      </w:pPr>
      <w:r>
        <w:rPr>
          <w:noProof/>
        </w:rPr>
        <w:t>ilmoitukset PIC-asetuksen soveltamisalaan kuuluvien kemikaalien toteutuneista vienti- ja tuontimääristä (10 artikla)</w:t>
      </w:r>
    </w:p>
    <w:p w14:paraId="2876B280" w14:textId="77777777" w:rsidR="0029253F" w:rsidRPr="002D7854" w:rsidRDefault="0029253F" w:rsidP="00FC70E8">
      <w:pPr>
        <w:pStyle w:val="MBT"/>
        <w:numPr>
          <w:ilvl w:val="0"/>
          <w:numId w:val="23"/>
        </w:numPr>
        <w:spacing w:line="300" w:lineRule="atLeast"/>
        <w:rPr>
          <w:noProof/>
        </w:rPr>
      </w:pPr>
      <w:r>
        <w:rPr>
          <w:noProof/>
        </w:rPr>
        <w:t>tuontipäätökset (13 artikla)</w:t>
      </w:r>
    </w:p>
    <w:p w14:paraId="6CAAA2E7" w14:textId="77777777" w:rsidR="0029253F" w:rsidRPr="002D7854" w:rsidRDefault="0029253F" w:rsidP="00FC70E8">
      <w:pPr>
        <w:pStyle w:val="MBT"/>
        <w:numPr>
          <w:ilvl w:val="0"/>
          <w:numId w:val="23"/>
        </w:numPr>
        <w:spacing w:line="300" w:lineRule="atLeast"/>
        <w:rPr>
          <w:noProof/>
        </w:rPr>
      </w:pPr>
      <w:r>
        <w:rPr>
          <w:noProof/>
        </w:rPr>
        <w:t>muut kuin luottamukselliset tiedot EU:n ulkopuolisten maiden antamista nimenomaisista suostumuksista (14 artikla).</w:t>
      </w:r>
    </w:p>
    <w:p w14:paraId="69385FEB" w14:textId="77777777" w:rsidR="00142D50" w:rsidRDefault="00142D50" w:rsidP="003F5BD0">
      <w:pPr>
        <w:pStyle w:val="Body"/>
        <w:rPr>
          <w:noProof/>
        </w:rPr>
      </w:pPr>
    </w:p>
    <w:p w14:paraId="32C498B5" w14:textId="77777777" w:rsidR="00787CCC" w:rsidRDefault="00540AF3" w:rsidP="00FC70E8">
      <w:pPr>
        <w:pStyle w:val="MBT"/>
        <w:spacing w:before="120" w:after="120" w:line="300" w:lineRule="atLeast"/>
        <w:rPr>
          <w:noProof/>
        </w:rPr>
      </w:pPr>
      <w:r>
        <w:rPr>
          <w:noProof/>
        </w:rPr>
        <w:t xml:space="preserve">Nämä tiedot ovat saatavilla ECHA:n verkkosivustolla olevalla </w:t>
      </w:r>
      <w:hyperlink r:id="rId22" w:history="1">
        <w:r>
          <w:rPr>
            <w:rStyle w:val="Hyperlink"/>
            <w:noProof/>
          </w:rPr>
          <w:t>PIC-asetusta koskevalla sivulla</w:t>
        </w:r>
      </w:hyperlink>
      <w:r>
        <w:rPr>
          <w:noProof/>
        </w:rPr>
        <w:t xml:space="preserve"> sekä </w:t>
      </w:r>
      <w:hyperlink r:id="rId23" w:history="1">
        <w:r>
          <w:rPr>
            <w:rStyle w:val="Hyperlink"/>
            <w:noProof/>
          </w:rPr>
          <w:t>PIC-asetuksen soveltamisalaan kuuluvia kemikaaleja</w:t>
        </w:r>
      </w:hyperlink>
      <w:r>
        <w:rPr>
          <w:noProof/>
        </w:rPr>
        <w:t xml:space="preserve"> koskevalla verkkosivulla. Tällä sivulla on hakutietokanta PIC-asetuksen soveltamisalaan kuuluvista kemikaaleista, muuta kuin luottamuksellista tietoa EU:n vienti-ilmoituksista, EU:n ulkopuolisten maiden vienti-ilmoituksista ja näistä maista saaduista nimenomaisista suostumuksista sekä nimettyjen kansallisten viranomaisten yhteystiedot. Ilmoitukset PIC-asetuksen soveltamisalaan kuuluvien kemikaalien vienti- ja tuontimääristä (10 artiklan mukaisesti) ovat saatavilla sivulla </w:t>
      </w:r>
      <w:hyperlink r:id="rId24" w:history="1">
        <w:r>
          <w:rPr>
            <w:rStyle w:val="Hyperlink"/>
            <w:noProof/>
          </w:rPr>
          <w:t>Vuotuinen raportointi PIC-asetuksen piiriin kuuluvasta viennistä ja tuonnista</w:t>
        </w:r>
      </w:hyperlink>
      <w:r>
        <w:rPr>
          <w:noProof/>
        </w:rPr>
        <w:t xml:space="preserve">. Raportointijaksolla ECHA julkaisi ensimmäisen </w:t>
      </w:r>
      <w:hyperlink r:id="rId25" w:history="1">
        <w:r>
          <w:rPr>
            <w:rStyle w:val="Hyperlink"/>
            <w:noProof/>
          </w:rPr>
          <w:t>raportin PIC-asetuksen toimivuudesta</w:t>
        </w:r>
      </w:hyperlink>
      <w:r>
        <w:rPr>
          <w:noProof/>
        </w:rPr>
        <w:t xml:space="preserve"> (22 artiklan mukaisesti) vuonna 2017 ja </w:t>
      </w:r>
      <w:hyperlink r:id="rId26" w:history="1">
        <w:r>
          <w:rPr>
            <w:rStyle w:val="Hyperlink"/>
            <w:noProof/>
          </w:rPr>
          <w:t>toisen tietojenvaihtoa koskevan raportin</w:t>
        </w:r>
      </w:hyperlink>
      <w:r>
        <w:rPr>
          <w:noProof/>
        </w:rPr>
        <w:t xml:space="preserve"> (20 artiklan mukaisesti) vuonna 2018.</w:t>
      </w:r>
    </w:p>
    <w:p w14:paraId="4E639AB6" w14:textId="77777777" w:rsidR="00787CCC" w:rsidRDefault="00787CCC" w:rsidP="00A31E68">
      <w:pPr>
        <w:pStyle w:val="Heading1"/>
        <w:spacing w:before="360"/>
        <w:rPr>
          <w:noProof/>
        </w:rPr>
      </w:pPr>
      <w:r>
        <w:rPr>
          <w:noProof/>
        </w:rPr>
        <w:t>Päätelmät</w:t>
      </w:r>
    </w:p>
    <w:p w14:paraId="5E331CD2" w14:textId="17A126CA" w:rsidR="008A1A04" w:rsidRDefault="00F72AB6" w:rsidP="00FC70E8">
      <w:pPr>
        <w:pStyle w:val="MBT"/>
        <w:spacing w:after="120" w:line="300" w:lineRule="atLeast"/>
        <w:rPr>
          <w:noProof/>
        </w:rPr>
      </w:pPr>
      <w:r>
        <w:rPr>
          <w:noProof/>
        </w:rPr>
        <w:t>PIC-asetuksella pannaan täytäntöön Rotterdamin yleissopimus EU:ssa, ja sillä on samat tavoitteet kuin yleissopimuksella. PIC-asetuksen vaatimukset ovat kuitenkin yleissopimuksen vaatimuksia tiukemmat, jotta etenkin kehitysmaille ja siirtymätalouden maille voidaan tarjota laajempaa suojelua.</w:t>
      </w:r>
    </w:p>
    <w:p w14:paraId="24DC8163" w14:textId="05A24772" w:rsidR="0032786F" w:rsidRDefault="008A1A04" w:rsidP="00FC70E8">
      <w:pPr>
        <w:pStyle w:val="MBT"/>
        <w:spacing w:after="120" w:line="300" w:lineRule="atLeast"/>
        <w:rPr>
          <w:noProof/>
        </w:rPr>
      </w:pPr>
      <w:r>
        <w:rPr>
          <w:noProof/>
        </w:rPr>
        <w:t>Tämä kertomus osoittaa, että PIC-asetuksella luodut menettelyt toimivat hyvin ja että niiden toteuttaminen sujui hyvin. Täytäntöönpanon onnistumisen perusta oli nimettyjen kansallisten viranomaisten, ECHA:n ja komission toimien tehokas yhteen sovittaminen ja näiden toimijoiden välinen yhteistyö sekä EU:n sisäisen että kansainvälisen työn osalta.</w:t>
      </w:r>
    </w:p>
    <w:p w14:paraId="0679873A" w14:textId="77777777" w:rsidR="008A1A04" w:rsidRDefault="008A1A04" w:rsidP="00FC70E8">
      <w:pPr>
        <w:pStyle w:val="MBT"/>
        <w:spacing w:after="120" w:line="300" w:lineRule="atLeast"/>
        <w:rPr>
          <w:noProof/>
        </w:rPr>
      </w:pPr>
      <w:r>
        <w:rPr>
          <w:noProof/>
        </w:rPr>
        <w:t>Vienti-ilmoitusmenettelyn avulla tuojamaille annettiin tärkeitä tietoja monista kemikaaleista ja niiden viennistä. Vuonna 2019 tehtiin 10 000 vienti-ilmoitusta, ja niiden määrä on jatkanut kasvuaan. Tietojenvaihdon laajuus ja sen kasvupotentiaali on siis selvästi nähtävissä. Tähän liittyvästä työmäärästä selvitään vain asianmukaisilla henkilöresursseilla, kun otetaan huomioon tarve säilyttää käsittely- ja tukivalmiudet ja samalla varmistaa ECHA:n kehittämän ja ylläpitämän ePIC-sovelluksen toimivuus.</w:t>
      </w:r>
    </w:p>
    <w:p w14:paraId="2470AF92" w14:textId="77777777" w:rsidR="008A1A04" w:rsidRDefault="008A1A04" w:rsidP="00FC70E8">
      <w:pPr>
        <w:pStyle w:val="MBT"/>
        <w:spacing w:after="120" w:line="300" w:lineRule="atLeast"/>
        <w:rPr>
          <w:noProof/>
        </w:rPr>
      </w:pPr>
      <w:r>
        <w:rPr>
          <w:noProof/>
        </w:rPr>
        <w:t>Nimenomaista suostumusta koskeva menettely, jossa mennään yleissopimuksen vaatimuksia pidemmälle, on vakiomenettely tiettyjen kemikaalien viennissä. Raportointijaksolla sen avulla lähetettiin tuojamaihin valtava määrä – 5 058 kappaletta – nimenomaista suostumusta koskevia pyyntöjä. Monille tuojamaille näiden pyyntöjen käsittely oli haasteellista, mikä näkyy siinä, että 46 prosenttiin pyynnöistä ei saatu vastausta.</w:t>
      </w:r>
    </w:p>
    <w:p w14:paraId="7920AFEE" w14:textId="0E1C2D45" w:rsidR="008A1A04" w:rsidRDefault="008A1A04" w:rsidP="00FC70E8">
      <w:pPr>
        <w:pStyle w:val="MBT"/>
        <w:spacing w:after="120" w:line="300" w:lineRule="atLeast"/>
        <w:rPr>
          <w:noProof/>
        </w:rPr>
      </w:pPr>
      <w:r>
        <w:rPr>
          <w:noProof/>
        </w:rPr>
        <w:t>PIC-asetuksen soveltamisalaan kuuluvien kemikaalien viejät tunsivat velvollisuutensa yleensä ottaen hyvin ja pystyivät täyttämään ne. Ongelmien ilmetessä nimetyt kansalliset viranomaiset ja ECHA antoivat tarvittavaa apua, mikä on vaikuttanut siihen, että rikkomistapauksia oli vähän. Tällä raportointijaksolla tehtiin 9 132 vientitarkastusta ja 1 463 tuontitarkastusta. Rikkomuksia havaittiin 138, joista 29:ssä määrättiin seuraamuksia.</w:t>
      </w:r>
    </w:p>
    <w:p w14:paraId="00C741B3" w14:textId="474801A7" w:rsidR="008A1A04" w:rsidRDefault="008A1A04" w:rsidP="00FC70E8">
      <w:pPr>
        <w:pStyle w:val="MBT"/>
        <w:spacing w:after="120" w:line="300" w:lineRule="atLeast"/>
        <w:rPr>
          <w:noProof/>
        </w:rPr>
      </w:pPr>
      <w:r>
        <w:rPr>
          <w:noProof/>
        </w:rPr>
        <w:t>Yleisesti ottaen jäsenvaltiot täyttivät velvollisuutensa, joskin vienti-ilmoitusten sumasta johtunut suuri työmäärä vuoden lopussa oli muutamille jäsenvaltioille haasteellinen ja aiheutti toisinaan viivästyksiä. ECHA osallistui täytäntöönpanoon täysin PIC-asetuksen vaatimusten mukaisesti, mikä loi perustan asiaankuuluvien menettelyjen tehokkuudelle. Myös komissio täytti PIC-asetuksen mukaiset velvollisuutensa. Raportointijaksolla hyväksyttiin kolme komission delegoitua asetusta, joilla muutetaan liitettä I, sekä yksi komission täytäntöönpanopäätös, jolla hyväksytään unionin tuontipäätöksiä. Lisäksi komissio koordinoi unionin osallistumista kansainväliseen työhön ja edusti unionia yleissopimuksen yhteydessä.</w:t>
      </w:r>
    </w:p>
    <w:p w14:paraId="77302872" w14:textId="77777777" w:rsidR="004919EA" w:rsidRPr="00FF203A" w:rsidRDefault="004919EA">
      <w:pPr>
        <w:pStyle w:val="MBT"/>
        <w:rPr>
          <w:noProof/>
        </w:rPr>
      </w:pPr>
    </w:p>
    <w:sectPr w:rsidR="004919EA" w:rsidRPr="00FF203A" w:rsidSect="00482A71">
      <w:headerReference w:type="even" r:id="rId27"/>
      <w:headerReference w:type="default" r:id="rId28"/>
      <w:footerReference w:type="even" r:id="rId29"/>
      <w:footerReference w:type="default" r:id="rId30"/>
      <w:headerReference w:type="first" r:id="rId31"/>
      <w:footerReference w:type="first" r:id="rId32"/>
      <w:pgSz w:w="11907" w:h="16839" w:code="9"/>
      <w:pgMar w:top="1600" w:right="1418" w:bottom="1200" w:left="1418" w:header="240" w:footer="2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A20D" w14:textId="77777777" w:rsidR="009D5877" w:rsidRDefault="009D5877">
      <w:r>
        <w:separator/>
      </w:r>
    </w:p>
  </w:endnote>
  <w:endnote w:type="continuationSeparator" w:id="0">
    <w:p w14:paraId="072837AA" w14:textId="77777777" w:rsidR="009D5877" w:rsidRDefault="009D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F8C6" w14:textId="77777777" w:rsidR="00DC2BB6" w:rsidRPr="00DC2BB6" w:rsidRDefault="00DC2BB6" w:rsidP="00DC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480E" w14:textId="2BE0C92C" w:rsidR="002B2AA2" w:rsidRPr="00DC2BB6" w:rsidRDefault="00DC2BB6" w:rsidP="00DC2BB6">
    <w:pPr>
      <w:pStyle w:val="FooterCoverPage"/>
      <w:rPr>
        <w:rFonts w:ascii="Arial" w:hAnsi="Arial" w:cs="Arial"/>
        <w:b/>
        <w:sz w:val="48"/>
      </w:rPr>
    </w:pPr>
    <w:r w:rsidRPr="00DC2BB6">
      <w:rPr>
        <w:rFonts w:ascii="Arial" w:hAnsi="Arial" w:cs="Arial"/>
        <w:b/>
        <w:sz w:val="48"/>
      </w:rPr>
      <w:t>FI</w:t>
    </w:r>
    <w:r w:rsidRPr="00DC2BB6">
      <w:rPr>
        <w:rFonts w:ascii="Arial" w:hAnsi="Arial" w:cs="Arial"/>
        <w:b/>
        <w:sz w:val="48"/>
      </w:rPr>
      <w:tab/>
    </w:r>
    <w:r w:rsidRPr="00DC2BB6">
      <w:rPr>
        <w:rFonts w:ascii="Arial" w:hAnsi="Arial" w:cs="Arial"/>
        <w:b/>
        <w:sz w:val="48"/>
      </w:rPr>
      <w:tab/>
    </w:r>
    <w:r w:rsidRPr="00DC2BB6">
      <w:tab/>
    </w:r>
    <w:r w:rsidRPr="00DC2BB6">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8C93" w14:textId="77777777" w:rsidR="00DC2BB6" w:rsidRPr="00DC2BB6" w:rsidRDefault="00DC2BB6" w:rsidP="00DC2BB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31040"/>
      <w:docPartObj>
        <w:docPartGallery w:val="Page Numbers (Bottom of Page)"/>
        <w:docPartUnique/>
      </w:docPartObj>
    </w:sdtPr>
    <w:sdtEndPr/>
    <w:sdtContent>
      <w:p w14:paraId="0447062A" w14:textId="77777777" w:rsidR="00B42B28" w:rsidRDefault="00B42B28">
        <w:pPr>
          <w:pStyle w:val="Footer"/>
          <w:jc w:val="right"/>
        </w:pPr>
        <w:r>
          <w:fldChar w:fldCharType="begin"/>
        </w:r>
        <w:r>
          <w:instrText xml:space="preserve"> PAGE   \* MERGEFORMAT </w:instrText>
        </w:r>
        <w:r>
          <w:fldChar w:fldCharType="separate"/>
        </w:r>
        <w:r>
          <w:t>2</w:t>
        </w:r>
        <w:r>
          <w:fldChar w:fldCharType="end"/>
        </w:r>
      </w:p>
    </w:sdtContent>
  </w:sdt>
  <w:p w14:paraId="33C42AA3" w14:textId="77777777" w:rsidR="00B42B28" w:rsidRDefault="00B42B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51561"/>
      <w:docPartObj>
        <w:docPartGallery w:val="Page Numbers (Bottom of Page)"/>
        <w:docPartUnique/>
      </w:docPartObj>
    </w:sdtPr>
    <w:sdtEndPr/>
    <w:sdtContent>
      <w:p w14:paraId="4C72E38B" w14:textId="53F0E4E8" w:rsidR="00B42B28" w:rsidRDefault="00B42B28">
        <w:pPr>
          <w:pStyle w:val="Footer"/>
          <w:jc w:val="right"/>
        </w:pPr>
        <w:r>
          <w:fldChar w:fldCharType="begin"/>
        </w:r>
        <w:r>
          <w:instrText xml:space="preserve"> PAGE   \* MERGEFORMAT </w:instrText>
        </w:r>
        <w:r>
          <w:fldChar w:fldCharType="separate"/>
        </w:r>
        <w:r w:rsidR="00DC2BB6">
          <w:rPr>
            <w:noProof/>
          </w:rPr>
          <w:t>15</w:t>
        </w:r>
        <w:r>
          <w:fldChar w:fldCharType="end"/>
        </w:r>
      </w:p>
    </w:sdtContent>
  </w:sdt>
  <w:p w14:paraId="6E903598" w14:textId="77777777" w:rsidR="00B42B28" w:rsidRDefault="00B42B2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5CDF" w14:textId="77777777" w:rsidR="00B42B28" w:rsidRPr="00284BC8" w:rsidRDefault="00B42B28" w:rsidP="0028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D7BE8" w14:textId="77777777" w:rsidR="009D5877" w:rsidRDefault="009D5877">
      <w:r>
        <w:separator/>
      </w:r>
    </w:p>
  </w:footnote>
  <w:footnote w:type="continuationSeparator" w:id="0">
    <w:p w14:paraId="7987497B" w14:textId="77777777" w:rsidR="009D5877" w:rsidRDefault="009D5877">
      <w:r>
        <w:continuationSeparator/>
      </w:r>
    </w:p>
  </w:footnote>
  <w:footnote w:id="1">
    <w:p w14:paraId="323D9FC2" w14:textId="77777777" w:rsidR="00B42B28" w:rsidRPr="00A109C2" w:rsidRDefault="00B42B28" w:rsidP="00145BDE">
      <w:pPr>
        <w:pStyle w:val="FootnoteText"/>
        <w:spacing w:after="120"/>
      </w:pPr>
      <w:r>
        <w:rPr>
          <w:rStyle w:val="FootnoteReference"/>
        </w:rPr>
        <w:footnoteRef/>
      </w:r>
      <w:r>
        <w:t xml:space="preserve"> Euroopan parlamentin ja neuvoston asetus (EU) N:o 649/2012, annettu 4 päivänä heinäkuuta 2012, vaarallisten kemikaalien viennistä ja tuonnista (EUVL L 201, 27.7.2012, s. 60–106). </w:t>
      </w:r>
    </w:p>
  </w:footnote>
  <w:footnote w:id="2">
    <w:p w14:paraId="0126953F" w14:textId="77777777" w:rsidR="00B42B28" w:rsidRPr="00A109C2" w:rsidRDefault="00B42B28" w:rsidP="00145BDE">
      <w:pPr>
        <w:pStyle w:val="FootnoteText"/>
        <w:spacing w:after="120"/>
      </w:pPr>
      <w:r>
        <w:rPr>
          <w:rStyle w:val="FootnoteReference"/>
        </w:rPr>
        <w:footnoteRef/>
      </w:r>
      <w:r>
        <w:t xml:space="preserve"> Euroopan parlamentin ja neuvoston asetus (EY) N:o 1272/2008, annettu 16 päivänä joulukuuta 2008, aineiden ja seosten luokituksesta, merkinnöistä ja pakkaamisesta sekä direktiivien 67/548/ETY ja 1999/45/EY muuttamisesta ja kumoamisesta ja asetuksen (EY) N:o 1907/2006 muuttamisesta (EUVL L 353, 31.12.2008, s. 1–1355). </w:t>
      </w:r>
    </w:p>
  </w:footnote>
  <w:footnote w:id="3">
    <w:p w14:paraId="4038351A" w14:textId="77777777" w:rsidR="00B42B28" w:rsidRPr="00D866BD" w:rsidRDefault="00B42B28" w:rsidP="00D866BD">
      <w:pPr>
        <w:pStyle w:val="FootnoteText"/>
      </w:pPr>
      <w:r>
        <w:rPr>
          <w:rStyle w:val="FootnoteReference"/>
        </w:rPr>
        <w:footnoteRef/>
      </w:r>
      <w:r w:rsidRPr="002B2AA2">
        <w:rPr>
          <w:lang w:val="en-IE"/>
        </w:rPr>
        <w:t xml:space="preserve"> ECHA (2020) Report on the operation of the Prior Informed Consent (PIC) Regulation. </w:t>
      </w:r>
      <w:r>
        <w:t xml:space="preserve">ECHA-20-R-10-EN. </w:t>
      </w:r>
    </w:p>
  </w:footnote>
  <w:footnote w:id="4">
    <w:p w14:paraId="475A0E86" w14:textId="77777777" w:rsidR="00B42B28" w:rsidRPr="00BD415C" w:rsidRDefault="00B42B28" w:rsidP="00145BDE">
      <w:pPr>
        <w:pStyle w:val="FootnoteText"/>
        <w:spacing w:after="120"/>
      </w:pPr>
      <w:r>
        <w:rPr>
          <w:rStyle w:val="FootnoteReference"/>
        </w:rPr>
        <w:footnoteRef/>
      </w:r>
      <w:r>
        <w:t xml:space="preserve"> Euroopan parlamentin ja neuvoston asetus (EY) N:o 1907/2006, annettu 18 päivänä joulukuuta 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(EUVL L 396, 30.12.2006, s. 1–854). </w:t>
      </w:r>
    </w:p>
  </w:footnote>
  <w:footnote w:id="5">
    <w:p w14:paraId="64EBF515" w14:textId="77777777" w:rsidR="00B42B28" w:rsidRPr="00BD415C" w:rsidRDefault="00B42B28" w:rsidP="00145BDE">
      <w:pPr>
        <w:pStyle w:val="FootnoteText"/>
        <w:spacing w:after="120"/>
      </w:pPr>
      <w:r>
        <w:rPr>
          <w:rStyle w:val="FootnoteReference"/>
        </w:rPr>
        <w:footnoteRef/>
      </w:r>
      <w:r>
        <w:t xml:space="preserve"> Euroopan parlamentin ja neuvoston asetus (EU) N:o 528/2012, annettu 22 päivänä toukokuuta 2012, biosidivalmisteiden asettamisesta saataville markkinoilla ja niiden käytöstä (EUVL L 167, 27.6.2012, s. 1–123). </w:t>
      </w:r>
    </w:p>
  </w:footnote>
  <w:footnote w:id="6">
    <w:p w14:paraId="4B260EA1" w14:textId="77777777" w:rsidR="00B42B28" w:rsidRPr="00BD415C" w:rsidRDefault="00B42B28" w:rsidP="00145BDE">
      <w:pPr>
        <w:pStyle w:val="FootnoteText"/>
        <w:spacing w:after="120"/>
      </w:pPr>
      <w:r>
        <w:rPr>
          <w:rStyle w:val="FootnoteReference"/>
        </w:rPr>
        <w:footnoteRef/>
      </w:r>
      <w:r>
        <w:t xml:space="preserve"> Euroopan parlamentin ja neuvoston asetus (EY) N:o 1107/2009, annettu 21 päivänä lokakuuta 2009, kasvinsuojeluaineiden markkinoille saattamisesta sekä neuvoston direktiivien 79/117/ETY ja 91/414/ETY kumoamisesta (EUVL L 309, 24.11.2009, s. 1–50). </w:t>
      </w:r>
    </w:p>
  </w:footnote>
  <w:footnote w:id="7">
    <w:p w14:paraId="0E0C14D4" w14:textId="77777777" w:rsidR="00B42B28" w:rsidRPr="006074BC" w:rsidRDefault="00B42B28" w:rsidP="00B159BC">
      <w:pPr>
        <w:pStyle w:val="FootnoteText"/>
        <w:spacing w:after="120"/>
        <w:jc w:val="left"/>
      </w:pPr>
      <w:r>
        <w:rPr>
          <w:rStyle w:val="FootnoteReference"/>
        </w:rPr>
        <w:footnoteRef/>
      </w:r>
      <w:r>
        <w:t xml:space="preserve"> ECHA:aa koskevat luvut sisältävät ilmoitusten ensimmäiset toimitukset, uudelleentoimitukset ja hylkäykset.</w:t>
      </w:r>
    </w:p>
  </w:footnote>
  <w:footnote w:id="8">
    <w:p w14:paraId="0087B06F" w14:textId="77777777" w:rsidR="00B42B28" w:rsidRPr="001F4ACF" w:rsidRDefault="00B42B28" w:rsidP="001F4ACF">
      <w:pPr>
        <w:pStyle w:val="FootnoteText"/>
        <w:spacing w:after="120"/>
        <w:jc w:val="left"/>
      </w:pPr>
      <w:r>
        <w:rPr>
          <w:rStyle w:val="FootnoteReference"/>
        </w:rPr>
        <w:footnoteRef/>
      </w:r>
      <w:r>
        <w:t xml:space="preserve"> Vuoden 2014 osalta tiedot kattavat 1. maaliskuuta – 31. joulukuuta välisen ajan (koska PIC-asetusta alettiin soveltaa 1. maaliskuuta 2014).</w:t>
      </w:r>
    </w:p>
  </w:footnote>
  <w:footnote w:id="9">
    <w:p w14:paraId="70883444" w14:textId="249903ED" w:rsidR="00B42B28" w:rsidRPr="00145BDE" w:rsidRDefault="00B42B28" w:rsidP="00145BDE">
      <w:pPr>
        <w:pStyle w:val="FootnoteText"/>
        <w:spacing w:after="120"/>
      </w:pPr>
      <w:r>
        <w:rPr>
          <w:rStyle w:val="FootnoteReference"/>
        </w:rPr>
        <w:footnoteRef/>
      </w:r>
      <w:r>
        <w:t xml:space="preserve"> ECHA, vuotuinen raportointi PIC-asetuksen piiriin kuuluvasta viennistä ja tuonnista: </w:t>
      </w:r>
      <w:hyperlink r:id="rId1" w:history="1">
        <w:r>
          <w:rPr>
            <w:rStyle w:val="Hyperlink"/>
          </w:rPr>
          <w:t>https://echa.europa.eu/regulations/prior-informed-consent/annual-reporting-on-pic-exports-and-imports</w:t>
        </w:r>
      </w:hyperlink>
      <w:r>
        <w:t xml:space="preserve"> </w:t>
      </w:r>
    </w:p>
  </w:footnote>
  <w:footnote w:id="10">
    <w:p w14:paraId="3449F969" w14:textId="77777777" w:rsidR="00B42B28" w:rsidRPr="002B2AA2" w:rsidRDefault="00B42B28" w:rsidP="00846834">
      <w:pPr>
        <w:pStyle w:val="FootnoteText"/>
        <w:rPr>
          <w:lang w:val="en-IE"/>
        </w:rPr>
      </w:pPr>
      <w:r>
        <w:rPr>
          <w:rStyle w:val="FootnoteReference"/>
        </w:rPr>
        <w:footnoteRef/>
      </w:r>
      <w:r w:rsidRPr="002B2AA2">
        <w:rPr>
          <w:lang w:val="en-IE"/>
        </w:rPr>
        <w:t xml:space="preserve"> ECHA (2018) Final report of the Forum pilot project on the control of PIC.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D11D" w14:textId="77777777" w:rsidR="00DC2BB6" w:rsidRPr="00DC2BB6" w:rsidRDefault="00DC2BB6" w:rsidP="00DC2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BB497" w14:textId="77777777" w:rsidR="00DC2BB6" w:rsidRPr="00DC2BB6" w:rsidRDefault="00DC2BB6" w:rsidP="00DC2BB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250A" w14:textId="77777777" w:rsidR="00DC2BB6" w:rsidRPr="00DC2BB6" w:rsidRDefault="00DC2BB6" w:rsidP="00DC2BB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7653" w14:textId="77777777" w:rsidR="00B42B28" w:rsidRPr="00D902D5" w:rsidRDefault="00B42B28" w:rsidP="00D902D5">
    <w:pPr>
      <w:pStyle w:val="Header"/>
      <w:tabs>
        <w:tab w:val="left" w:pos="7513"/>
      </w:tabs>
      <w:spacing w:after="0"/>
      <w:ind w:left="4153" w:hanging="4153"/>
      <w:jc w:val="center"/>
    </w:pPr>
    <w:r>
      <w:rPr>
        <w:rFonts w:ascii="Verdana" w:hAnsi="Verdana"/>
        <w:color w:val="808080" w:themeColor="background1" w:themeShade="80"/>
        <w:sz w:val="20"/>
      </w:rPr>
      <w:t xml:space="preserve">Tiivistelmä PIC-asetuksen toimintaa koskevasta yhteenvetokertomuksesta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3FB3" w14:textId="77777777" w:rsidR="00B42B28" w:rsidRPr="00F7215D" w:rsidRDefault="00B42B28" w:rsidP="00F721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1DC0" w14:textId="77777777" w:rsidR="00B42B28" w:rsidRPr="00623ED0" w:rsidRDefault="00B42B28" w:rsidP="00623ED0">
    <w:pPr>
      <w:pStyle w:val="Header"/>
      <w:tabs>
        <w:tab w:val="left" w:pos="7513"/>
      </w:tabs>
      <w:spacing w:after="0"/>
      <w:jc w:val="center"/>
    </w:pPr>
    <w:r>
      <w:rPr>
        <w:noProof/>
        <w:lang w:val="en-GB" w:eastAsia="en-GB"/>
      </w:rPr>
      <mc:AlternateContent>
        <mc:Choice Requires="wps">
          <w:drawing>
            <wp:anchor distT="0" distB="0" distL="114300" distR="114300" simplePos="0" relativeHeight="251666432" behindDoc="0" locked="0" layoutInCell="1" allowOverlap="1" wp14:anchorId="40F89EAE" wp14:editId="1CEC59CC">
              <wp:simplePos x="0" y="0"/>
              <wp:positionH relativeFrom="margin">
                <wp:posOffset>5830570</wp:posOffset>
              </wp:positionH>
              <wp:positionV relativeFrom="page">
                <wp:posOffset>138430</wp:posOffset>
              </wp:positionV>
              <wp:extent cx="622300" cy="1229360"/>
              <wp:effectExtent l="1270" t="0" r="0" b="381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1D3E" w14:textId="77777777" w:rsidR="00B42B28" w:rsidRPr="00367149" w:rsidRDefault="00B42B28" w:rsidP="00367149">
                          <w:pPr>
                            <w:rPr>
                              <w:rFonts w:ascii="Verdana" w:hAnsi="Verdana"/>
                              <w:color w:val="FFFFFF" w:themeColor="background1"/>
                              <w:sz w:val="16"/>
                            </w:rPr>
                          </w:pPr>
                          <w:r>
                            <w:rPr>
                              <w:rFonts w:ascii="Verdana" w:hAnsi="Verdana"/>
                              <w:color w:val="FFFFFF" w:themeColor="background1"/>
                              <w:sz w:val="16"/>
                            </w:rPr>
                            <w:t>[Luettelonumero]</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89EAE" id="_x0000_t202" coordsize="21600,21600" o:spt="202" path="m,l,21600r21600,l21600,xe">
              <v:stroke joinstyle="miter"/>
              <v:path gradientshapeok="t" o:connecttype="rect"/>
            </v:shapetype>
            <v:shape id="Text Box 72" o:spid="_x0000_s1026" type="#_x0000_t202" style="position:absolute;left:0;text-align:left;margin-left:459.1pt;margin-top:10.9pt;width:49pt;height:9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" filled="f" fillcolor="black" stroked="f">
              <v:textbox style="layout-flow:vertical" inset="0,0,0,0">
                <w:txbxContent>
                  <w:p w14:paraId="214F1D3E" w14:textId="77777777" w:rsidR="00B42B28" w:rsidRPr="00367149" w:rsidRDefault="00B42B28" w:rsidP="00367149">
                    <w:pPr>
                      <w:rPr>
                        <w:rFonts w:ascii="Verdana" w:hAnsi="Verdana"/>
                        <w:color w:val="FFFFFF" w:themeColor="background1"/>
                        <w:sz w:val="16"/>
                      </w:rPr>
                    </w:pPr>
                    <w:r>
                      <w:rPr>
                        <w:rFonts w:ascii="Verdana" w:hAnsi="Verdana"/>
                        <w:color w:val="FFFFFF" w:themeColor="background1"/>
                        <w:sz w:val="16"/>
                      </w:rPr>
                      <w:t>[Luettelonumero]</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59C"/>
    <w:multiLevelType w:val="hybridMultilevel"/>
    <w:tmpl w:val="D0E4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920"/>
        </w:tabs>
        <w:ind w:left="192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5F7026BA"/>
    <w:multiLevelType w:val="hybridMultilevel"/>
    <w:tmpl w:val="B7C6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2073B01"/>
    <w:multiLevelType w:val="hybridMultilevel"/>
    <w:tmpl w:val="957897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0"/>
  </w:num>
  <w:num w:numId="8">
    <w:abstractNumId w:val="21"/>
  </w:num>
  <w:num w:numId="9">
    <w:abstractNumId w:val="9"/>
  </w:num>
  <w:num w:numId="10">
    <w:abstractNumId w:val="19"/>
  </w:num>
  <w:num w:numId="11">
    <w:abstractNumId w:val="17"/>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3"/>
  </w:num>
  <w:num w:numId="19">
    <w:abstractNumId w:val="14"/>
  </w:num>
  <w:num w:numId="20">
    <w:abstractNumId w:val="2"/>
  </w:num>
  <w:num w:numId="21">
    <w:abstractNumId w:val="15"/>
  </w:num>
  <w:num w:numId="22">
    <w:abstractNumId w:val="3"/>
  </w:num>
  <w:num w:numId="23">
    <w:abstractNumId w:val="2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i-FI"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241"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FAA2D25-134E-4B48-97E8-F303C5E72E30"/>
    <w:docVar w:name="LW_COVERPAGE_TYPE" w:val="1"/>
    <w:docVar w:name="LW_CROSSREFERENCE" w:val="{SWD(2022) 218 final}"/>
    <w:docVar w:name="LW_DocType" w:val="REP"/>
    <w:docVar w:name="LW_EMISSION" w:val="13.9.2022"/>
    <w:docVar w:name="LW_EMISSION_ISODATE" w:val="2022-09-13"/>
    <w:docVar w:name="LW_EMISSION_LOCATION" w:val="BRX"/>
    <w:docVar w:name="LW_EMISSION_PREFIX" w:val="Bryssel "/>
    <w:docVar w:name="LW_EMISSION_SUFFIX" w:val=" "/>
    <w:docVar w:name="LW_ID_DOCTYPE_NONLW" w:val="CP-008"/>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2)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iivistelmä vaarallisten kemikaalien viennistä ja tuonnista annetun asetuksen (EU) N:o 649/2012 toimintaa koskevasta yhteenvetokertomuksesta"/>
    <w:docVar w:name="LW_TYPE.DOC.CP" w:val="KOMISSION KERTOMUS EUROOPAN PARLAMENTILLE, NEUVOSTOLLE, EUROOPAN TALOUS- JA SOSIAALIKOMITEALLE JA ALUEIDEN KOMITEALLE"/>
    <w:docVar w:name="LwApiVersions" w:val="LW4CoDe 1.23.2.0; LW 8.0, Build 20211117"/>
  </w:docVars>
  <w:rsids>
    <w:rsidRoot w:val="00D63776"/>
    <w:rsid w:val="00001268"/>
    <w:rsid w:val="000063EA"/>
    <w:rsid w:val="00010E89"/>
    <w:rsid w:val="00012209"/>
    <w:rsid w:val="00016CC5"/>
    <w:rsid w:val="0001748A"/>
    <w:rsid w:val="0002439A"/>
    <w:rsid w:val="00030154"/>
    <w:rsid w:val="0003531E"/>
    <w:rsid w:val="00041E23"/>
    <w:rsid w:val="000420DD"/>
    <w:rsid w:val="000439C6"/>
    <w:rsid w:val="00050692"/>
    <w:rsid w:val="00052009"/>
    <w:rsid w:val="000535B3"/>
    <w:rsid w:val="00061687"/>
    <w:rsid w:val="000624B2"/>
    <w:rsid w:val="0007537A"/>
    <w:rsid w:val="000846B0"/>
    <w:rsid w:val="00086AB4"/>
    <w:rsid w:val="0009555A"/>
    <w:rsid w:val="00097276"/>
    <w:rsid w:val="000A26C4"/>
    <w:rsid w:val="000A2EF9"/>
    <w:rsid w:val="000A501C"/>
    <w:rsid w:val="000A5212"/>
    <w:rsid w:val="000A7FCF"/>
    <w:rsid w:val="000B62F1"/>
    <w:rsid w:val="000C5348"/>
    <w:rsid w:val="000D08C0"/>
    <w:rsid w:val="000D17BE"/>
    <w:rsid w:val="000D203C"/>
    <w:rsid w:val="000D52C0"/>
    <w:rsid w:val="000E2787"/>
    <w:rsid w:val="000E547E"/>
    <w:rsid w:val="000E7DB0"/>
    <w:rsid w:val="000F11AF"/>
    <w:rsid w:val="000F1813"/>
    <w:rsid w:val="000F232C"/>
    <w:rsid w:val="000F5BBF"/>
    <w:rsid w:val="000F653B"/>
    <w:rsid w:val="0010339F"/>
    <w:rsid w:val="001053D1"/>
    <w:rsid w:val="001078A0"/>
    <w:rsid w:val="0011400B"/>
    <w:rsid w:val="0011681E"/>
    <w:rsid w:val="00117546"/>
    <w:rsid w:val="00121ECE"/>
    <w:rsid w:val="00124562"/>
    <w:rsid w:val="00125CC5"/>
    <w:rsid w:val="0013023F"/>
    <w:rsid w:val="00131BE7"/>
    <w:rsid w:val="0013224A"/>
    <w:rsid w:val="00136138"/>
    <w:rsid w:val="00137865"/>
    <w:rsid w:val="00141116"/>
    <w:rsid w:val="00141E0C"/>
    <w:rsid w:val="001421AB"/>
    <w:rsid w:val="001422B6"/>
    <w:rsid w:val="00142D50"/>
    <w:rsid w:val="0014596A"/>
    <w:rsid w:val="00145BDE"/>
    <w:rsid w:val="00150783"/>
    <w:rsid w:val="001510A2"/>
    <w:rsid w:val="00153423"/>
    <w:rsid w:val="00157707"/>
    <w:rsid w:val="001636EC"/>
    <w:rsid w:val="00166DBA"/>
    <w:rsid w:val="00170190"/>
    <w:rsid w:val="00170246"/>
    <w:rsid w:val="00170557"/>
    <w:rsid w:val="001756A6"/>
    <w:rsid w:val="00176D39"/>
    <w:rsid w:val="00177A23"/>
    <w:rsid w:val="00186E52"/>
    <w:rsid w:val="001901AA"/>
    <w:rsid w:val="001948D5"/>
    <w:rsid w:val="00194EB0"/>
    <w:rsid w:val="0019591A"/>
    <w:rsid w:val="001A3654"/>
    <w:rsid w:val="001A621B"/>
    <w:rsid w:val="001B1A10"/>
    <w:rsid w:val="001C2D90"/>
    <w:rsid w:val="001D2088"/>
    <w:rsid w:val="001D2A51"/>
    <w:rsid w:val="001D33A8"/>
    <w:rsid w:val="001D690D"/>
    <w:rsid w:val="001D6AED"/>
    <w:rsid w:val="001E1E30"/>
    <w:rsid w:val="001E37B7"/>
    <w:rsid w:val="001E4396"/>
    <w:rsid w:val="001E6897"/>
    <w:rsid w:val="001E6AC6"/>
    <w:rsid w:val="001E741C"/>
    <w:rsid w:val="001F245A"/>
    <w:rsid w:val="001F4ACF"/>
    <w:rsid w:val="001F4CB2"/>
    <w:rsid w:val="001F62FA"/>
    <w:rsid w:val="001F705C"/>
    <w:rsid w:val="001F7C02"/>
    <w:rsid w:val="001F7D94"/>
    <w:rsid w:val="00203347"/>
    <w:rsid w:val="002067A1"/>
    <w:rsid w:val="00206A37"/>
    <w:rsid w:val="0020733C"/>
    <w:rsid w:val="0021201F"/>
    <w:rsid w:val="00213AE8"/>
    <w:rsid w:val="002146E5"/>
    <w:rsid w:val="00215A57"/>
    <w:rsid w:val="00216D6D"/>
    <w:rsid w:val="00221BF6"/>
    <w:rsid w:val="00223070"/>
    <w:rsid w:val="00225290"/>
    <w:rsid w:val="00233D99"/>
    <w:rsid w:val="00234AFB"/>
    <w:rsid w:val="002367E6"/>
    <w:rsid w:val="00241A4D"/>
    <w:rsid w:val="0024241F"/>
    <w:rsid w:val="0024318F"/>
    <w:rsid w:val="00250D57"/>
    <w:rsid w:val="00255775"/>
    <w:rsid w:val="00257F18"/>
    <w:rsid w:val="00264D14"/>
    <w:rsid w:val="0026522C"/>
    <w:rsid w:val="00266ED9"/>
    <w:rsid w:val="0026795B"/>
    <w:rsid w:val="00267BD3"/>
    <w:rsid w:val="00273643"/>
    <w:rsid w:val="0027385A"/>
    <w:rsid w:val="00277A20"/>
    <w:rsid w:val="002819E9"/>
    <w:rsid w:val="00282256"/>
    <w:rsid w:val="00282DDB"/>
    <w:rsid w:val="00284BC8"/>
    <w:rsid w:val="0029253F"/>
    <w:rsid w:val="00293AF5"/>
    <w:rsid w:val="00296C2F"/>
    <w:rsid w:val="00297DA3"/>
    <w:rsid w:val="002A055B"/>
    <w:rsid w:val="002A2B09"/>
    <w:rsid w:val="002A726D"/>
    <w:rsid w:val="002B2AA2"/>
    <w:rsid w:val="002B3DC2"/>
    <w:rsid w:val="002B5AE1"/>
    <w:rsid w:val="002B64D4"/>
    <w:rsid w:val="002D0223"/>
    <w:rsid w:val="002D143B"/>
    <w:rsid w:val="002D2C3E"/>
    <w:rsid w:val="002D2FB1"/>
    <w:rsid w:val="002D3219"/>
    <w:rsid w:val="002D52C0"/>
    <w:rsid w:val="002E2FBF"/>
    <w:rsid w:val="002E3AAA"/>
    <w:rsid w:val="002E4BA1"/>
    <w:rsid w:val="002E687D"/>
    <w:rsid w:val="002E782C"/>
    <w:rsid w:val="002F1390"/>
    <w:rsid w:val="002F1592"/>
    <w:rsid w:val="002F3A3C"/>
    <w:rsid w:val="0030325A"/>
    <w:rsid w:val="00303C67"/>
    <w:rsid w:val="00303D7D"/>
    <w:rsid w:val="00307D65"/>
    <w:rsid w:val="0031320E"/>
    <w:rsid w:val="00314602"/>
    <w:rsid w:val="00317EF9"/>
    <w:rsid w:val="003229AD"/>
    <w:rsid w:val="0032786F"/>
    <w:rsid w:val="00331BA5"/>
    <w:rsid w:val="003413E9"/>
    <w:rsid w:val="003416C6"/>
    <w:rsid w:val="003418C9"/>
    <w:rsid w:val="00342414"/>
    <w:rsid w:val="0034428F"/>
    <w:rsid w:val="0034518D"/>
    <w:rsid w:val="00347B05"/>
    <w:rsid w:val="00350D85"/>
    <w:rsid w:val="003566D6"/>
    <w:rsid w:val="003626AA"/>
    <w:rsid w:val="003662DA"/>
    <w:rsid w:val="00367149"/>
    <w:rsid w:val="0036777B"/>
    <w:rsid w:val="00373F31"/>
    <w:rsid w:val="003752F8"/>
    <w:rsid w:val="00382FF6"/>
    <w:rsid w:val="0038553A"/>
    <w:rsid w:val="003863FF"/>
    <w:rsid w:val="0039110A"/>
    <w:rsid w:val="00396052"/>
    <w:rsid w:val="00396B7A"/>
    <w:rsid w:val="003A220C"/>
    <w:rsid w:val="003A356C"/>
    <w:rsid w:val="003A3C0E"/>
    <w:rsid w:val="003A4447"/>
    <w:rsid w:val="003B0A37"/>
    <w:rsid w:val="003B20E3"/>
    <w:rsid w:val="003B39D2"/>
    <w:rsid w:val="003B4E4E"/>
    <w:rsid w:val="003C3D25"/>
    <w:rsid w:val="003C7A25"/>
    <w:rsid w:val="003D1D73"/>
    <w:rsid w:val="003D2384"/>
    <w:rsid w:val="003D4AAE"/>
    <w:rsid w:val="003D6E0A"/>
    <w:rsid w:val="003D7A4F"/>
    <w:rsid w:val="003E1C2A"/>
    <w:rsid w:val="003E1CCA"/>
    <w:rsid w:val="003E4DB9"/>
    <w:rsid w:val="003F02EE"/>
    <w:rsid w:val="003F5BD0"/>
    <w:rsid w:val="004010EE"/>
    <w:rsid w:val="004024AE"/>
    <w:rsid w:val="00407F28"/>
    <w:rsid w:val="00410301"/>
    <w:rsid w:val="00411576"/>
    <w:rsid w:val="00411863"/>
    <w:rsid w:val="004219E7"/>
    <w:rsid w:val="00424844"/>
    <w:rsid w:val="00427C72"/>
    <w:rsid w:val="00430977"/>
    <w:rsid w:val="004328E5"/>
    <w:rsid w:val="00437647"/>
    <w:rsid w:val="004437D7"/>
    <w:rsid w:val="0044503B"/>
    <w:rsid w:val="00445AB1"/>
    <w:rsid w:val="00446FD7"/>
    <w:rsid w:val="00452C58"/>
    <w:rsid w:val="00455233"/>
    <w:rsid w:val="0045622E"/>
    <w:rsid w:val="00456FC8"/>
    <w:rsid w:val="00457B27"/>
    <w:rsid w:val="00461D0A"/>
    <w:rsid w:val="00462166"/>
    <w:rsid w:val="004719C8"/>
    <w:rsid w:val="004749D1"/>
    <w:rsid w:val="00482A71"/>
    <w:rsid w:val="004849C6"/>
    <w:rsid w:val="0048531F"/>
    <w:rsid w:val="00490AC5"/>
    <w:rsid w:val="004919EA"/>
    <w:rsid w:val="00492D6B"/>
    <w:rsid w:val="004A4C16"/>
    <w:rsid w:val="004A6099"/>
    <w:rsid w:val="004A6160"/>
    <w:rsid w:val="004B378A"/>
    <w:rsid w:val="004B4D19"/>
    <w:rsid w:val="004C1D83"/>
    <w:rsid w:val="004E0C5A"/>
    <w:rsid w:val="004E26FB"/>
    <w:rsid w:val="004E4524"/>
    <w:rsid w:val="004E4C5D"/>
    <w:rsid w:val="004F7300"/>
    <w:rsid w:val="00503DA8"/>
    <w:rsid w:val="00506408"/>
    <w:rsid w:val="00507165"/>
    <w:rsid w:val="005115D0"/>
    <w:rsid w:val="00514931"/>
    <w:rsid w:val="00515F27"/>
    <w:rsid w:val="005270A2"/>
    <w:rsid w:val="00540AF3"/>
    <w:rsid w:val="00542908"/>
    <w:rsid w:val="00544EF4"/>
    <w:rsid w:val="0054698A"/>
    <w:rsid w:val="0054748A"/>
    <w:rsid w:val="0055434B"/>
    <w:rsid w:val="00556E53"/>
    <w:rsid w:val="00557191"/>
    <w:rsid w:val="00564348"/>
    <w:rsid w:val="0056442A"/>
    <w:rsid w:val="0056576A"/>
    <w:rsid w:val="00565FCD"/>
    <w:rsid w:val="00567747"/>
    <w:rsid w:val="005677CD"/>
    <w:rsid w:val="0056791E"/>
    <w:rsid w:val="00570D18"/>
    <w:rsid w:val="0057285D"/>
    <w:rsid w:val="005728A7"/>
    <w:rsid w:val="00577EC6"/>
    <w:rsid w:val="005816A2"/>
    <w:rsid w:val="00582E52"/>
    <w:rsid w:val="005848E1"/>
    <w:rsid w:val="00592685"/>
    <w:rsid w:val="005931F7"/>
    <w:rsid w:val="005A0D36"/>
    <w:rsid w:val="005A1872"/>
    <w:rsid w:val="005A59E2"/>
    <w:rsid w:val="005A6625"/>
    <w:rsid w:val="005A78F1"/>
    <w:rsid w:val="005B4538"/>
    <w:rsid w:val="005B652E"/>
    <w:rsid w:val="005B663C"/>
    <w:rsid w:val="005C252A"/>
    <w:rsid w:val="005C4F63"/>
    <w:rsid w:val="005C6427"/>
    <w:rsid w:val="005C672B"/>
    <w:rsid w:val="005D200F"/>
    <w:rsid w:val="005D3528"/>
    <w:rsid w:val="005D51A6"/>
    <w:rsid w:val="005F1B3E"/>
    <w:rsid w:val="005F49D5"/>
    <w:rsid w:val="005F6C57"/>
    <w:rsid w:val="00601B08"/>
    <w:rsid w:val="00605453"/>
    <w:rsid w:val="006060F8"/>
    <w:rsid w:val="006062C8"/>
    <w:rsid w:val="006074BC"/>
    <w:rsid w:val="00607B4C"/>
    <w:rsid w:val="00607E8E"/>
    <w:rsid w:val="00610D25"/>
    <w:rsid w:val="006167E0"/>
    <w:rsid w:val="00616AC8"/>
    <w:rsid w:val="00621371"/>
    <w:rsid w:val="00621510"/>
    <w:rsid w:val="00623C28"/>
    <w:rsid w:val="00623ED0"/>
    <w:rsid w:val="00633774"/>
    <w:rsid w:val="00635C9B"/>
    <w:rsid w:val="00637AEE"/>
    <w:rsid w:val="006400B7"/>
    <w:rsid w:val="00646ACE"/>
    <w:rsid w:val="00646C13"/>
    <w:rsid w:val="006517A9"/>
    <w:rsid w:val="00660F1F"/>
    <w:rsid w:val="0066342B"/>
    <w:rsid w:val="00663DA8"/>
    <w:rsid w:val="00667EF5"/>
    <w:rsid w:val="00677070"/>
    <w:rsid w:val="00681700"/>
    <w:rsid w:val="0068305C"/>
    <w:rsid w:val="006849FF"/>
    <w:rsid w:val="0068644C"/>
    <w:rsid w:val="006875E7"/>
    <w:rsid w:val="00690DA5"/>
    <w:rsid w:val="00690E99"/>
    <w:rsid w:val="006914AD"/>
    <w:rsid w:val="00692E63"/>
    <w:rsid w:val="00693978"/>
    <w:rsid w:val="006943F5"/>
    <w:rsid w:val="00694EA9"/>
    <w:rsid w:val="00696241"/>
    <w:rsid w:val="006A0E7C"/>
    <w:rsid w:val="006A22B1"/>
    <w:rsid w:val="006A41B0"/>
    <w:rsid w:val="006A6301"/>
    <w:rsid w:val="006B0602"/>
    <w:rsid w:val="006B2165"/>
    <w:rsid w:val="006B26AA"/>
    <w:rsid w:val="006C04A0"/>
    <w:rsid w:val="006D13C5"/>
    <w:rsid w:val="006D395B"/>
    <w:rsid w:val="006D578F"/>
    <w:rsid w:val="006E0645"/>
    <w:rsid w:val="006E23A8"/>
    <w:rsid w:val="006E32D9"/>
    <w:rsid w:val="006F3042"/>
    <w:rsid w:val="006F3623"/>
    <w:rsid w:val="006F6205"/>
    <w:rsid w:val="0070186B"/>
    <w:rsid w:val="00702291"/>
    <w:rsid w:val="00707F5B"/>
    <w:rsid w:val="0071242D"/>
    <w:rsid w:val="00713494"/>
    <w:rsid w:val="00715F11"/>
    <w:rsid w:val="0072093A"/>
    <w:rsid w:val="00721A97"/>
    <w:rsid w:val="00725E19"/>
    <w:rsid w:val="00726DF3"/>
    <w:rsid w:val="007270E7"/>
    <w:rsid w:val="00732E6E"/>
    <w:rsid w:val="00733151"/>
    <w:rsid w:val="007354C7"/>
    <w:rsid w:val="007374A4"/>
    <w:rsid w:val="00744E35"/>
    <w:rsid w:val="00746357"/>
    <w:rsid w:val="007517FF"/>
    <w:rsid w:val="00763960"/>
    <w:rsid w:val="007642B2"/>
    <w:rsid w:val="00773036"/>
    <w:rsid w:val="007760D9"/>
    <w:rsid w:val="00777049"/>
    <w:rsid w:val="00781294"/>
    <w:rsid w:val="007859E6"/>
    <w:rsid w:val="00785D4A"/>
    <w:rsid w:val="00787CCC"/>
    <w:rsid w:val="0079010D"/>
    <w:rsid w:val="007934C3"/>
    <w:rsid w:val="00795B42"/>
    <w:rsid w:val="00797F10"/>
    <w:rsid w:val="007A0562"/>
    <w:rsid w:val="007A0E3E"/>
    <w:rsid w:val="007A4813"/>
    <w:rsid w:val="007A7594"/>
    <w:rsid w:val="007A772C"/>
    <w:rsid w:val="007B0BB6"/>
    <w:rsid w:val="007B134E"/>
    <w:rsid w:val="007B23CB"/>
    <w:rsid w:val="007B491F"/>
    <w:rsid w:val="007B524D"/>
    <w:rsid w:val="007B6EF6"/>
    <w:rsid w:val="007C0ACB"/>
    <w:rsid w:val="007C1114"/>
    <w:rsid w:val="007D007D"/>
    <w:rsid w:val="007D46C5"/>
    <w:rsid w:val="007D78D3"/>
    <w:rsid w:val="007E4122"/>
    <w:rsid w:val="007E7290"/>
    <w:rsid w:val="007E7898"/>
    <w:rsid w:val="007F3473"/>
    <w:rsid w:val="007F55CC"/>
    <w:rsid w:val="007F69F7"/>
    <w:rsid w:val="00800CC5"/>
    <w:rsid w:val="00801EB4"/>
    <w:rsid w:val="0080396C"/>
    <w:rsid w:val="008056FA"/>
    <w:rsid w:val="0081471A"/>
    <w:rsid w:val="0081589A"/>
    <w:rsid w:val="008217A3"/>
    <w:rsid w:val="00822A1D"/>
    <w:rsid w:val="0082442A"/>
    <w:rsid w:val="00824FCF"/>
    <w:rsid w:val="008264CE"/>
    <w:rsid w:val="00832D56"/>
    <w:rsid w:val="00835753"/>
    <w:rsid w:val="00835DC8"/>
    <w:rsid w:val="00841A91"/>
    <w:rsid w:val="00841DEC"/>
    <w:rsid w:val="00844233"/>
    <w:rsid w:val="00844512"/>
    <w:rsid w:val="00845B29"/>
    <w:rsid w:val="008462A1"/>
    <w:rsid w:val="00846834"/>
    <w:rsid w:val="00846A7C"/>
    <w:rsid w:val="00851BB8"/>
    <w:rsid w:val="00852A36"/>
    <w:rsid w:val="00853DE4"/>
    <w:rsid w:val="00856E3F"/>
    <w:rsid w:val="008641C9"/>
    <w:rsid w:val="0086757F"/>
    <w:rsid w:val="008704EC"/>
    <w:rsid w:val="0087252F"/>
    <w:rsid w:val="0087524B"/>
    <w:rsid w:val="00875390"/>
    <w:rsid w:val="008805B1"/>
    <w:rsid w:val="00881729"/>
    <w:rsid w:val="008823C5"/>
    <w:rsid w:val="008835EE"/>
    <w:rsid w:val="0088671F"/>
    <w:rsid w:val="008879B3"/>
    <w:rsid w:val="00890FD8"/>
    <w:rsid w:val="00892A92"/>
    <w:rsid w:val="008947F3"/>
    <w:rsid w:val="0089544E"/>
    <w:rsid w:val="008962AF"/>
    <w:rsid w:val="008A1A04"/>
    <w:rsid w:val="008B0FCF"/>
    <w:rsid w:val="008B45BD"/>
    <w:rsid w:val="008B4C08"/>
    <w:rsid w:val="008B699F"/>
    <w:rsid w:val="008B6F74"/>
    <w:rsid w:val="008B7ABA"/>
    <w:rsid w:val="008C29AF"/>
    <w:rsid w:val="008C61ED"/>
    <w:rsid w:val="008D744B"/>
    <w:rsid w:val="008E098F"/>
    <w:rsid w:val="008E1E6B"/>
    <w:rsid w:val="008E4309"/>
    <w:rsid w:val="008F5CB4"/>
    <w:rsid w:val="008F68AA"/>
    <w:rsid w:val="008F739E"/>
    <w:rsid w:val="009020E9"/>
    <w:rsid w:val="009031F5"/>
    <w:rsid w:val="009036B1"/>
    <w:rsid w:val="0090373D"/>
    <w:rsid w:val="00904F6D"/>
    <w:rsid w:val="00910BEB"/>
    <w:rsid w:val="0092260A"/>
    <w:rsid w:val="009241B0"/>
    <w:rsid w:val="00925BB3"/>
    <w:rsid w:val="00931E7A"/>
    <w:rsid w:val="00932695"/>
    <w:rsid w:val="009329FB"/>
    <w:rsid w:val="009349E8"/>
    <w:rsid w:val="009356D2"/>
    <w:rsid w:val="009370CD"/>
    <w:rsid w:val="00942646"/>
    <w:rsid w:val="00945E49"/>
    <w:rsid w:val="009463FC"/>
    <w:rsid w:val="00946666"/>
    <w:rsid w:val="00946A54"/>
    <w:rsid w:val="00946D5B"/>
    <w:rsid w:val="0095201B"/>
    <w:rsid w:val="0095320D"/>
    <w:rsid w:val="00957A1B"/>
    <w:rsid w:val="00964470"/>
    <w:rsid w:val="00965B22"/>
    <w:rsid w:val="0096616A"/>
    <w:rsid w:val="00966491"/>
    <w:rsid w:val="0096722A"/>
    <w:rsid w:val="00970DD3"/>
    <w:rsid w:val="00971A55"/>
    <w:rsid w:val="00971D2B"/>
    <w:rsid w:val="00971E70"/>
    <w:rsid w:val="0097235F"/>
    <w:rsid w:val="00972EE7"/>
    <w:rsid w:val="00980638"/>
    <w:rsid w:val="00985D5C"/>
    <w:rsid w:val="00986C2C"/>
    <w:rsid w:val="0099299E"/>
    <w:rsid w:val="00996705"/>
    <w:rsid w:val="009A0B23"/>
    <w:rsid w:val="009A0B6F"/>
    <w:rsid w:val="009A3010"/>
    <w:rsid w:val="009B3772"/>
    <w:rsid w:val="009B6318"/>
    <w:rsid w:val="009B68E4"/>
    <w:rsid w:val="009C0575"/>
    <w:rsid w:val="009C128A"/>
    <w:rsid w:val="009C4388"/>
    <w:rsid w:val="009C7F27"/>
    <w:rsid w:val="009D2464"/>
    <w:rsid w:val="009D5877"/>
    <w:rsid w:val="009D71E4"/>
    <w:rsid w:val="009E03AE"/>
    <w:rsid w:val="009E041C"/>
    <w:rsid w:val="009E075A"/>
    <w:rsid w:val="009E29A7"/>
    <w:rsid w:val="009E58BB"/>
    <w:rsid w:val="009E672A"/>
    <w:rsid w:val="009F0219"/>
    <w:rsid w:val="009F65F3"/>
    <w:rsid w:val="009F74CF"/>
    <w:rsid w:val="00A04707"/>
    <w:rsid w:val="00A109C2"/>
    <w:rsid w:val="00A12886"/>
    <w:rsid w:val="00A15D8A"/>
    <w:rsid w:val="00A20D7A"/>
    <w:rsid w:val="00A20FF6"/>
    <w:rsid w:val="00A23822"/>
    <w:rsid w:val="00A255FF"/>
    <w:rsid w:val="00A25BEB"/>
    <w:rsid w:val="00A308C2"/>
    <w:rsid w:val="00A31981"/>
    <w:rsid w:val="00A31E68"/>
    <w:rsid w:val="00A321F1"/>
    <w:rsid w:val="00A349D7"/>
    <w:rsid w:val="00A34D59"/>
    <w:rsid w:val="00A36AFF"/>
    <w:rsid w:val="00A402FB"/>
    <w:rsid w:val="00A43BAE"/>
    <w:rsid w:val="00A43DFD"/>
    <w:rsid w:val="00A44841"/>
    <w:rsid w:val="00A45B0A"/>
    <w:rsid w:val="00A46DDD"/>
    <w:rsid w:val="00A4746C"/>
    <w:rsid w:val="00A50808"/>
    <w:rsid w:val="00A55D1D"/>
    <w:rsid w:val="00A62068"/>
    <w:rsid w:val="00A63766"/>
    <w:rsid w:val="00A72060"/>
    <w:rsid w:val="00A73378"/>
    <w:rsid w:val="00A75A69"/>
    <w:rsid w:val="00A761A1"/>
    <w:rsid w:val="00A77243"/>
    <w:rsid w:val="00A8228E"/>
    <w:rsid w:val="00A824C6"/>
    <w:rsid w:val="00A84566"/>
    <w:rsid w:val="00A84FEA"/>
    <w:rsid w:val="00A87C4F"/>
    <w:rsid w:val="00A92E21"/>
    <w:rsid w:val="00A943DB"/>
    <w:rsid w:val="00AA0923"/>
    <w:rsid w:val="00AA3B26"/>
    <w:rsid w:val="00AA4227"/>
    <w:rsid w:val="00AA7E68"/>
    <w:rsid w:val="00AB1329"/>
    <w:rsid w:val="00AB6965"/>
    <w:rsid w:val="00AC2A77"/>
    <w:rsid w:val="00AC2E71"/>
    <w:rsid w:val="00AC5C0D"/>
    <w:rsid w:val="00AC61CB"/>
    <w:rsid w:val="00AD0F44"/>
    <w:rsid w:val="00AD0FEC"/>
    <w:rsid w:val="00AD4D4B"/>
    <w:rsid w:val="00AD5CA9"/>
    <w:rsid w:val="00AE1351"/>
    <w:rsid w:val="00AE7C03"/>
    <w:rsid w:val="00AF198D"/>
    <w:rsid w:val="00B05580"/>
    <w:rsid w:val="00B06AD8"/>
    <w:rsid w:val="00B12480"/>
    <w:rsid w:val="00B14205"/>
    <w:rsid w:val="00B15429"/>
    <w:rsid w:val="00B155F2"/>
    <w:rsid w:val="00B159BC"/>
    <w:rsid w:val="00B1638C"/>
    <w:rsid w:val="00B2168F"/>
    <w:rsid w:val="00B21726"/>
    <w:rsid w:val="00B245A4"/>
    <w:rsid w:val="00B24D10"/>
    <w:rsid w:val="00B31214"/>
    <w:rsid w:val="00B33418"/>
    <w:rsid w:val="00B3378D"/>
    <w:rsid w:val="00B372DE"/>
    <w:rsid w:val="00B378AA"/>
    <w:rsid w:val="00B411E7"/>
    <w:rsid w:val="00B41633"/>
    <w:rsid w:val="00B425C0"/>
    <w:rsid w:val="00B42B28"/>
    <w:rsid w:val="00B55BCD"/>
    <w:rsid w:val="00B57D97"/>
    <w:rsid w:val="00B62FC0"/>
    <w:rsid w:val="00B631A9"/>
    <w:rsid w:val="00B67611"/>
    <w:rsid w:val="00B67936"/>
    <w:rsid w:val="00B70D46"/>
    <w:rsid w:val="00B80CDC"/>
    <w:rsid w:val="00B87695"/>
    <w:rsid w:val="00B9193E"/>
    <w:rsid w:val="00B92796"/>
    <w:rsid w:val="00B93D71"/>
    <w:rsid w:val="00B95205"/>
    <w:rsid w:val="00B956B9"/>
    <w:rsid w:val="00B97F14"/>
    <w:rsid w:val="00BA1308"/>
    <w:rsid w:val="00BA369B"/>
    <w:rsid w:val="00BA584B"/>
    <w:rsid w:val="00BA62BA"/>
    <w:rsid w:val="00BB2397"/>
    <w:rsid w:val="00BB3CD1"/>
    <w:rsid w:val="00BC08F1"/>
    <w:rsid w:val="00BC25E1"/>
    <w:rsid w:val="00BC413B"/>
    <w:rsid w:val="00BD415C"/>
    <w:rsid w:val="00BD6FE0"/>
    <w:rsid w:val="00BD7858"/>
    <w:rsid w:val="00BD7FB4"/>
    <w:rsid w:val="00BE08DA"/>
    <w:rsid w:val="00BE55E6"/>
    <w:rsid w:val="00BE73F1"/>
    <w:rsid w:val="00BF3CA8"/>
    <w:rsid w:val="00BF4729"/>
    <w:rsid w:val="00BF6AA3"/>
    <w:rsid w:val="00BF6CCA"/>
    <w:rsid w:val="00C018AF"/>
    <w:rsid w:val="00C01AAD"/>
    <w:rsid w:val="00C02386"/>
    <w:rsid w:val="00C026B8"/>
    <w:rsid w:val="00C0507D"/>
    <w:rsid w:val="00C05241"/>
    <w:rsid w:val="00C0654D"/>
    <w:rsid w:val="00C06A06"/>
    <w:rsid w:val="00C07B71"/>
    <w:rsid w:val="00C07E52"/>
    <w:rsid w:val="00C13690"/>
    <w:rsid w:val="00C270A9"/>
    <w:rsid w:val="00C304A5"/>
    <w:rsid w:val="00C41A09"/>
    <w:rsid w:val="00C429A6"/>
    <w:rsid w:val="00C479B6"/>
    <w:rsid w:val="00C53A64"/>
    <w:rsid w:val="00C57C27"/>
    <w:rsid w:val="00C62FE9"/>
    <w:rsid w:val="00C71F9E"/>
    <w:rsid w:val="00C758F0"/>
    <w:rsid w:val="00C76D0E"/>
    <w:rsid w:val="00C77B17"/>
    <w:rsid w:val="00C82117"/>
    <w:rsid w:val="00C82A97"/>
    <w:rsid w:val="00C84629"/>
    <w:rsid w:val="00C908F9"/>
    <w:rsid w:val="00C93BEA"/>
    <w:rsid w:val="00C93E4F"/>
    <w:rsid w:val="00C94311"/>
    <w:rsid w:val="00CA0164"/>
    <w:rsid w:val="00CA0F32"/>
    <w:rsid w:val="00CA43FD"/>
    <w:rsid w:val="00CA6BE4"/>
    <w:rsid w:val="00CB17F2"/>
    <w:rsid w:val="00CB34AC"/>
    <w:rsid w:val="00CB7B29"/>
    <w:rsid w:val="00CC1369"/>
    <w:rsid w:val="00CC2E6D"/>
    <w:rsid w:val="00CC4DA5"/>
    <w:rsid w:val="00CC5B54"/>
    <w:rsid w:val="00CC62B7"/>
    <w:rsid w:val="00CC6E86"/>
    <w:rsid w:val="00CC7008"/>
    <w:rsid w:val="00CD08CF"/>
    <w:rsid w:val="00CE73E6"/>
    <w:rsid w:val="00CF0228"/>
    <w:rsid w:val="00CF1237"/>
    <w:rsid w:val="00CF3624"/>
    <w:rsid w:val="00CF69F6"/>
    <w:rsid w:val="00D00B67"/>
    <w:rsid w:val="00D01759"/>
    <w:rsid w:val="00D02BAF"/>
    <w:rsid w:val="00D073F9"/>
    <w:rsid w:val="00D1387E"/>
    <w:rsid w:val="00D20D3C"/>
    <w:rsid w:val="00D21395"/>
    <w:rsid w:val="00D24A5A"/>
    <w:rsid w:val="00D268AA"/>
    <w:rsid w:val="00D363D0"/>
    <w:rsid w:val="00D3782E"/>
    <w:rsid w:val="00D401F7"/>
    <w:rsid w:val="00D406E3"/>
    <w:rsid w:val="00D56C86"/>
    <w:rsid w:val="00D62EBB"/>
    <w:rsid w:val="00D63776"/>
    <w:rsid w:val="00D72CC8"/>
    <w:rsid w:val="00D7496E"/>
    <w:rsid w:val="00D76430"/>
    <w:rsid w:val="00D811D2"/>
    <w:rsid w:val="00D84A54"/>
    <w:rsid w:val="00D866BD"/>
    <w:rsid w:val="00D902D5"/>
    <w:rsid w:val="00D93EE1"/>
    <w:rsid w:val="00D9540C"/>
    <w:rsid w:val="00DA348E"/>
    <w:rsid w:val="00DA7700"/>
    <w:rsid w:val="00DB0CB7"/>
    <w:rsid w:val="00DB14A0"/>
    <w:rsid w:val="00DB1739"/>
    <w:rsid w:val="00DB2744"/>
    <w:rsid w:val="00DC2BB6"/>
    <w:rsid w:val="00DC39C7"/>
    <w:rsid w:val="00DC3F69"/>
    <w:rsid w:val="00DD764F"/>
    <w:rsid w:val="00DE0D77"/>
    <w:rsid w:val="00DE4366"/>
    <w:rsid w:val="00DE5A91"/>
    <w:rsid w:val="00DE5D92"/>
    <w:rsid w:val="00DF2209"/>
    <w:rsid w:val="00DF235C"/>
    <w:rsid w:val="00DF404D"/>
    <w:rsid w:val="00DF6B9F"/>
    <w:rsid w:val="00DF79C0"/>
    <w:rsid w:val="00E00D73"/>
    <w:rsid w:val="00E013BD"/>
    <w:rsid w:val="00E1058C"/>
    <w:rsid w:val="00E130CB"/>
    <w:rsid w:val="00E146A8"/>
    <w:rsid w:val="00E15A8D"/>
    <w:rsid w:val="00E15C78"/>
    <w:rsid w:val="00E15F27"/>
    <w:rsid w:val="00E206C8"/>
    <w:rsid w:val="00E215A0"/>
    <w:rsid w:val="00E278AA"/>
    <w:rsid w:val="00E27E4D"/>
    <w:rsid w:val="00E35AF5"/>
    <w:rsid w:val="00E4234F"/>
    <w:rsid w:val="00E42F55"/>
    <w:rsid w:val="00E47A4F"/>
    <w:rsid w:val="00E52A1D"/>
    <w:rsid w:val="00E56B67"/>
    <w:rsid w:val="00E61645"/>
    <w:rsid w:val="00E67CD3"/>
    <w:rsid w:val="00E71118"/>
    <w:rsid w:val="00E71A2E"/>
    <w:rsid w:val="00E71FF4"/>
    <w:rsid w:val="00E73EC4"/>
    <w:rsid w:val="00E75495"/>
    <w:rsid w:val="00E83129"/>
    <w:rsid w:val="00E84FFB"/>
    <w:rsid w:val="00E90838"/>
    <w:rsid w:val="00EA2EA5"/>
    <w:rsid w:val="00EA375A"/>
    <w:rsid w:val="00EA38CB"/>
    <w:rsid w:val="00EB140B"/>
    <w:rsid w:val="00EB2FA2"/>
    <w:rsid w:val="00EB334C"/>
    <w:rsid w:val="00EC050F"/>
    <w:rsid w:val="00EC1072"/>
    <w:rsid w:val="00EC2158"/>
    <w:rsid w:val="00EC4C7B"/>
    <w:rsid w:val="00EC541D"/>
    <w:rsid w:val="00ED25A4"/>
    <w:rsid w:val="00ED2B11"/>
    <w:rsid w:val="00ED32A7"/>
    <w:rsid w:val="00ED7A2D"/>
    <w:rsid w:val="00ED7D13"/>
    <w:rsid w:val="00ED7DE3"/>
    <w:rsid w:val="00EE0D0E"/>
    <w:rsid w:val="00EE0DEC"/>
    <w:rsid w:val="00EE60CF"/>
    <w:rsid w:val="00EF2D45"/>
    <w:rsid w:val="00EF5D52"/>
    <w:rsid w:val="00EF7057"/>
    <w:rsid w:val="00F06094"/>
    <w:rsid w:val="00F127A9"/>
    <w:rsid w:val="00F144AA"/>
    <w:rsid w:val="00F14B5E"/>
    <w:rsid w:val="00F158A3"/>
    <w:rsid w:val="00F16F70"/>
    <w:rsid w:val="00F21AD6"/>
    <w:rsid w:val="00F22A7B"/>
    <w:rsid w:val="00F233C7"/>
    <w:rsid w:val="00F2386B"/>
    <w:rsid w:val="00F31440"/>
    <w:rsid w:val="00F33945"/>
    <w:rsid w:val="00F3394A"/>
    <w:rsid w:val="00F36108"/>
    <w:rsid w:val="00F42090"/>
    <w:rsid w:val="00F55526"/>
    <w:rsid w:val="00F5647F"/>
    <w:rsid w:val="00F57EDE"/>
    <w:rsid w:val="00F61557"/>
    <w:rsid w:val="00F62D7B"/>
    <w:rsid w:val="00F66037"/>
    <w:rsid w:val="00F7215D"/>
    <w:rsid w:val="00F72AB6"/>
    <w:rsid w:val="00F75497"/>
    <w:rsid w:val="00F804A3"/>
    <w:rsid w:val="00F85C4D"/>
    <w:rsid w:val="00F92F03"/>
    <w:rsid w:val="00FA3A21"/>
    <w:rsid w:val="00FA5E1E"/>
    <w:rsid w:val="00FB011E"/>
    <w:rsid w:val="00FB0647"/>
    <w:rsid w:val="00FB0E49"/>
    <w:rsid w:val="00FB177B"/>
    <w:rsid w:val="00FB3F5C"/>
    <w:rsid w:val="00FB6571"/>
    <w:rsid w:val="00FC0561"/>
    <w:rsid w:val="00FC36D7"/>
    <w:rsid w:val="00FC70E8"/>
    <w:rsid w:val="00FD4A88"/>
    <w:rsid w:val="00FD7517"/>
    <w:rsid w:val="00FE0A80"/>
    <w:rsid w:val="00FE115F"/>
    <w:rsid w:val="00FE35C9"/>
    <w:rsid w:val="00FE5338"/>
    <w:rsid w:val="00FE59A0"/>
    <w:rsid w:val="00FF0AD1"/>
    <w:rsid w:val="00FF203A"/>
    <w:rsid w:val="00FF77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vertical-relative:margin" fillcolor="#002395" stroke="f">
      <v:fill color="#002395"/>
      <v:stroke on="f"/>
    </o:shapedefaults>
    <o:shapelayout v:ext="edit">
      <o:idmap v:ext="edit" data="1"/>
    </o:shapelayout>
  </w:shapeDefaults>
  <w:decimalSymbol w:val=","/>
  <w:listSeparator w:val=";"/>
  <w14:docId w14:val="10BF51A7"/>
  <w15:docId w15:val="{62A7D021-FD43-4214-8E7C-7E3A669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1D0A"/>
    <w:pPr>
      <w:spacing w:after="240"/>
      <w:jc w:val="both"/>
    </w:pPr>
    <w:rPr>
      <w:sz w:val="24"/>
    </w:rPr>
  </w:style>
  <w:style w:type="paragraph" w:styleId="Heading1">
    <w:name w:val="heading 1"/>
    <w:basedOn w:val="Normal"/>
    <w:next w:val="Text1"/>
    <w:link w:val="Heading1Char"/>
    <w:uiPriority w:val="9"/>
    <w:qFormat/>
    <w:rsid w:val="001948D5"/>
    <w:pPr>
      <w:keepNext/>
      <w:numPr>
        <w:numId w:val="3"/>
      </w:numPr>
      <w:spacing w:before="240"/>
      <w:outlineLvl w:val="0"/>
    </w:pPr>
    <w:rPr>
      <w:b/>
      <w:smallCaps/>
      <w:sz w:val="32"/>
    </w:rPr>
  </w:style>
  <w:style w:type="paragraph" w:styleId="Heading2">
    <w:name w:val="heading 2"/>
    <w:basedOn w:val="Normal"/>
    <w:next w:val="Text2"/>
    <w:qFormat/>
    <w:rsid w:val="001948D5"/>
    <w:pPr>
      <w:keepNext/>
      <w:numPr>
        <w:ilvl w:val="1"/>
        <w:numId w:val="3"/>
      </w:numPr>
      <w:spacing w:before="240" w:after="60"/>
      <w:outlineLvl w:val="1"/>
    </w:pPr>
    <w:rPr>
      <w:b/>
    </w:rPr>
  </w:style>
  <w:style w:type="paragraph" w:styleId="Heading3">
    <w:name w:val="heading 3"/>
    <w:basedOn w:val="Normal"/>
    <w:next w:val="Text3"/>
    <w:qFormat/>
    <w:rsid w:val="00577EC6"/>
    <w:pPr>
      <w:keepNext/>
      <w:numPr>
        <w:ilvl w:val="2"/>
        <w:numId w:val="3"/>
      </w:numPr>
      <w:outlineLvl w:val="2"/>
    </w:pPr>
    <w:rPr>
      <w:i/>
    </w:rPr>
  </w:style>
  <w:style w:type="paragraph" w:styleId="Heading4">
    <w:name w:val="heading 4"/>
    <w:basedOn w:val="Normal"/>
    <w:next w:val="Text4"/>
    <w:qFormat/>
    <w:rsid w:val="00577EC6"/>
    <w:pPr>
      <w:keepNext/>
      <w:numPr>
        <w:ilvl w:val="3"/>
        <w:numId w:val="3"/>
      </w:numPr>
      <w:outlineLvl w:val="3"/>
    </w:pPr>
  </w:style>
  <w:style w:type="paragraph" w:styleId="Heading5">
    <w:name w:val="heading 5"/>
    <w:basedOn w:val="Normal"/>
    <w:next w:val="Normal"/>
    <w:rsid w:val="00461D0A"/>
    <w:pPr>
      <w:tabs>
        <w:tab w:val="num" w:pos="0"/>
      </w:tabs>
      <w:spacing w:before="240" w:after="60"/>
      <w:outlineLvl w:val="4"/>
    </w:pPr>
    <w:rPr>
      <w:rFonts w:ascii="Arial" w:hAnsi="Arial"/>
      <w:sz w:val="22"/>
    </w:rPr>
  </w:style>
  <w:style w:type="paragraph" w:styleId="Heading6">
    <w:name w:val="heading 6"/>
    <w:basedOn w:val="Normal"/>
    <w:next w:val="Normal"/>
    <w:rsid w:val="00461D0A"/>
    <w:pPr>
      <w:tabs>
        <w:tab w:val="num" w:pos="0"/>
      </w:tabs>
      <w:spacing w:before="240" w:after="60"/>
      <w:outlineLvl w:val="5"/>
    </w:pPr>
    <w:rPr>
      <w:rFonts w:ascii="Arial" w:hAnsi="Arial"/>
      <w:i/>
      <w:sz w:val="22"/>
    </w:rPr>
  </w:style>
  <w:style w:type="paragraph" w:styleId="Heading7">
    <w:name w:val="heading 7"/>
    <w:basedOn w:val="Normal"/>
    <w:next w:val="Normal"/>
    <w:rsid w:val="00461D0A"/>
    <w:pPr>
      <w:tabs>
        <w:tab w:val="num" w:pos="0"/>
      </w:tabs>
      <w:spacing w:before="240" w:after="60"/>
      <w:outlineLvl w:val="6"/>
    </w:pPr>
    <w:rPr>
      <w:rFonts w:ascii="Arial" w:hAnsi="Arial"/>
      <w:sz w:val="20"/>
    </w:rPr>
  </w:style>
  <w:style w:type="paragraph" w:styleId="Heading8">
    <w:name w:val="heading 8"/>
    <w:basedOn w:val="Normal"/>
    <w:next w:val="Normal"/>
    <w:rsid w:val="00461D0A"/>
    <w:pPr>
      <w:tabs>
        <w:tab w:val="num" w:pos="0"/>
      </w:tabs>
      <w:spacing w:before="240" w:after="60"/>
      <w:outlineLvl w:val="7"/>
    </w:pPr>
    <w:rPr>
      <w:rFonts w:ascii="Arial" w:hAnsi="Arial"/>
      <w:i/>
      <w:sz w:val="20"/>
    </w:rPr>
  </w:style>
  <w:style w:type="paragraph" w:styleId="Heading9">
    <w:name w:val="heading 9"/>
    <w:basedOn w:val="Normal"/>
    <w:next w:val="Normal"/>
    <w:rsid w:val="00461D0A"/>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rsid w:val="00461D0A"/>
    <w:pPr>
      <w:spacing w:after="120"/>
      <w:ind w:left="1440" w:right="1440"/>
    </w:pPr>
  </w:style>
  <w:style w:type="paragraph" w:styleId="BodyText">
    <w:name w:val="Body Text"/>
    <w:basedOn w:val="Normal"/>
    <w:rsid w:val="00461D0A"/>
    <w:pPr>
      <w:spacing w:after="120"/>
    </w:pPr>
  </w:style>
  <w:style w:type="paragraph" w:styleId="BodyText2">
    <w:name w:val="Body Text 2"/>
    <w:basedOn w:val="Normal"/>
    <w:rsid w:val="00461D0A"/>
    <w:pPr>
      <w:spacing w:after="120" w:line="480" w:lineRule="auto"/>
    </w:pPr>
  </w:style>
  <w:style w:type="paragraph" w:styleId="BodyText3">
    <w:name w:val="Body Text 3"/>
    <w:basedOn w:val="Normal"/>
    <w:rsid w:val="00461D0A"/>
    <w:pPr>
      <w:spacing w:after="120"/>
    </w:pPr>
    <w:rPr>
      <w:sz w:val="16"/>
    </w:rPr>
  </w:style>
  <w:style w:type="paragraph" w:styleId="BodyTextFirstIndent">
    <w:name w:val="Body Text First Indent"/>
    <w:basedOn w:val="BodyText"/>
    <w:rsid w:val="00461D0A"/>
    <w:pPr>
      <w:ind w:firstLine="210"/>
    </w:pPr>
  </w:style>
  <w:style w:type="paragraph" w:styleId="BodyTextIndent">
    <w:name w:val="Body Text Indent"/>
    <w:basedOn w:val="Normal"/>
    <w:rsid w:val="00461D0A"/>
    <w:pPr>
      <w:spacing w:after="120"/>
      <w:ind w:left="283"/>
    </w:pPr>
  </w:style>
  <w:style w:type="paragraph" w:styleId="BodyTextFirstIndent2">
    <w:name w:val="Body Text First Indent 2"/>
    <w:basedOn w:val="BodyTextIndent"/>
    <w:rsid w:val="00461D0A"/>
    <w:pPr>
      <w:ind w:firstLine="210"/>
    </w:pPr>
  </w:style>
  <w:style w:type="paragraph" w:styleId="BodyTextIndent2">
    <w:name w:val="Body Text Indent 2"/>
    <w:basedOn w:val="Normal"/>
    <w:rsid w:val="00461D0A"/>
    <w:pPr>
      <w:spacing w:after="120" w:line="480" w:lineRule="auto"/>
      <w:ind w:left="283"/>
    </w:pPr>
  </w:style>
  <w:style w:type="paragraph" w:styleId="BodyTextIndent3">
    <w:name w:val="Body Text Indent 3"/>
    <w:basedOn w:val="Normal"/>
    <w:rsid w:val="00461D0A"/>
    <w:pPr>
      <w:spacing w:after="120"/>
      <w:ind w:left="283"/>
    </w:pPr>
    <w:rPr>
      <w:sz w:val="16"/>
    </w:rPr>
  </w:style>
  <w:style w:type="paragraph" w:styleId="Caption">
    <w:name w:val="caption"/>
    <w:basedOn w:val="Normal"/>
    <w:next w:val="Normal"/>
    <w:qFormat/>
    <w:rsid w:val="001948D5"/>
    <w:pPr>
      <w:spacing w:before="120" w:after="120"/>
    </w:pPr>
    <w:rPr>
      <w:b/>
      <w:sz w:val="18"/>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rsid w:val="00461D0A"/>
    <w:pPr>
      <w:ind w:left="4252"/>
    </w:pPr>
  </w:style>
  <w:style w:type="paragraph" w:styleId="CommentText">
    <w:name w:val="annotation text"/>
    <w:basedOn w:val="Normal"/>
    <w:link w:val="CommentTextChar"/>
    <w:qFormat/>
    <w:rsid w:val="00461D0A"/>
    <w:rPr>
      <w:sz w:val="20"/>
    </w:rPr>
  </w:style>
  <w:style w:type="paragraph" w:styleId="Date">
    <w:name w:val="Date"/>
    <w:basedOn w:val="Normal"/>
    <w:next w:val="References"/>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semiHidden/>
    <w:rsid w:val="00461D0A"/>
    <w:rPr>
      <w:sz w:val="20"/>
    </w:rPr>
  </w:style>
  <w:style w:type="paragraph" w:styleId="EnvelopeAddress">
    <w:name w:val="envelope address"/>
    <w:basedOn w:val="Normal"/>
    <w:rsid w:val="00461D0A"/>
    <w:pPr>
      <w:framePr w:w="7920" w:h="1980" w:hRule="exact" w:hSpace="180" w:wrap="auto" w:hAnchor="page" w:xAlign="center" w:yAlign="bottom"/>
      <w:spacing w:after="0"/>
    </w:pPr>
  </w:style>
  <w:style w:type="paragraph" w:styleId="EnvelopeReturn">
    <w:name w:val="envelope return"/>
    <w:basedOn w:val="Normal"/>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basedOn w:val="Normal"/>
    <w:link w:val="FootnoteTextChar"/>
    <w:uiPriority w:val="99"/>
    <w:qFormat/>
    <w:rsid w:val="001948D5"/>
    <w:pPr>
      <w:ind w:left="357" w:hanging="357"/>
    </w:pPr>
    <w:rPr>
      <w:sz w:val="18"/>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semiHidden/>
    <w:rsid w:val="00461D0A"/>
    <w:pPr>
      <w:ind w:left="240" w:hanging="240"/>
    </w:pPr>
  </w:style>
  <w:style w:type="paragraph" w:styleId="Index2">
    <w:name w:val="index 2"/>
    <w:basedOn w:val="Normal"/>
    <w:next w:val="Normal"/>
    <w:autoRedefine/>
    <w:semiHidden/>
    <w:rsid w:val="00461D0A"/>
    <w:pPr>
      <w:ind w:left="480" w:hanging="240"/>
    </w:pPr>
  </w:style>
  <w:style w:type="paragraph" w:styleId="Index3">
    <w:name w:val="index 3"/>
    <w:basedOn w:val="Normal"/>
    <w:next w:val="Normal"/>
    <w:autoRedefine/>
    <w:semiHidden/>
    <w:rsid w:val="00461D0A"/>
    <w:pPr>
      <w:ind w:left="720" w:hanging="240"/>
    </w:pPr>
  </w:style>
  <w:style w:type="paragraph" w:styleId="Index4">
    <w:name w:val="index 4"/>
    <w:basedOn w:val="Normal"/>
    <w:next w:val="Normal"/>
    <w:autoRedefine/>
    <w:semiHidden/>
    <w:rsid w:val="00461D0A"/>
    <w:pPr>
      <w:ind w:left="960" w:hanging="240"/>
    </w:pPr>
  </w:style>
  <w:style w:type="paragraph" w:styleId="Index5">
    <w:name w:val="index 5"/>
    <w:basedOn w:val="Normal"/>
    <w:next w:val="Normal"/>
    <w:autoRedefine/>
    <w:semiHidden/>
    <w:rsid w:val="00461D0A"/>
    <w:pPr>
      <w:ind w:left="1200" w:hanging="240"/>
    </w:pPr>
  </w:style>
  <w:style w:type="paragraph" w:styleId="Index6">
    <w:name w:val="index 6"/>
    <w:basedOn w:val="Normal"/>
    <w:next w:val="Normal"/>
    <w:autoRedefine/>
    <w:semiHidden/>
    <w:rsid w:val="00461D0A"/>
    <w:pPr>
      <w:ind w:left="1440" w:hanging="240"/>
    </w:pPr>
  </w:style>
  <w:style w:type="paragraph" w:styleId="Index7">
    <w:name w:val="index 7"/>
    <w:basedOn w:val="Normal"/>
    <w:next w:val="Normal"/>
    <w:autoRedefine/>
    <w:semiHidden/>
    <w:rsid w:val="00461D0A"/>
    <w:pPr>
      <w:ind w:left="1680" w:hanging="240"/>
    </w:pPr>
  </w:style>
  <w:style w:type="paragraph" w:styleId="Index8">
    <w:name w:val="index 8"/>
    <w:basedOn w:val="Normal"/>
    <w:next w:val="Normal"/>
    <w:autoRedefine/>
    <w:semiHidden/>
    <w:rsid w:val="00461D0A"/>
    <w:pPr>
      <w:ind w:left="1920" w:hanging="240"/>
    </w:pPr>
  </w:style>
  <w:style w:type="paragraph" w:styleId="Index9">
    <w:name w:val="index 9"/>
    <w:basedOn w:val="Normal"/>
    <w:next w:val="Normal"/>
    <w:autoRedefine/>
    <w:semiHidden/>
    <w:rsid w:val="00461D0A"/>
    <w:pPr>
      <w:ind w:left="2160" w:hanging="240"/>
    </w:pPr>
  </w:style>
  <w:style w:type="paragraph" w:styleId="IndexHeading">
    <w:name w:val="index heading"/>
    <w:basedOn w:val="Normal"/>
    <w:next w:val="Index1"/>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rsid w:val="00461D0A"/>
    <w:pPr>
      <w:ind w:left="566" w:hanging="283"/>
    </w:pPr>
  </w:style>
  <w:style w:type="paragraph" w:styleId="List3">
    <w:name w:val="List 3"/>
    <w:basedOn w:val="Normal"/>
    <w:rsid w:val="00461D0A"/>
    <w:pPr>
      <w:ind w:left="849" w:hanging="283"/>
    </w:pPr>
  </w:style>
  <w:style w:type="paragraph" w:styleId="List4">
    <w:name w:val="List 4"/>
    <w:basedOn w:val="Normal"/>
    <w:rsid w:val="00461D0A"/>
    <w:pPr>
      <w:ind w:left="1132" w:hanging="283"/>
    </w:pPr>
  </w:style>
  <w:style w:type="paragraph" w:styleId="List5">
    <w:name w:val="List 5"/>
    <w:basedOn w:val="Normal"/>
    <w:rsid w:val="00461D0A"/>
    <w:pPr>
      <w:ind w:left="1415" w:hanging="283"/>
    </w:pPr>
  </w:style>
  <w:style w:type="paragraph" w:styleId="ListBullet">
    <w:name w:val="List Bullet"/>
    <w:basedOn w:val="Normal"/>
    <w:rsid w:val="00577EC6"/>
    <w:pPr>
      <w:numPr>
        <w:numId w:val="4"/>
      </w:numPr>
    </w:pPr>
  </w:style>
  <w:style w:type="paragraph" w:styleId="ListBullet2">
    <w:name w:val="List Bullet 2"/>
    <w:basedOn w:val="Text2"/>
    <w:rsid w:val="00577EC6"/>
    <w:pPr>
      <w:numPr>
        <w:numId w:val="6"/>
      </w:numPr>
      <w:tabs>
        <w:tab w:val="clear" w:pos="2302"/>
      </w:tabs>
    </w:pPr>
  </w:style>
  <w:style w:type="paragraph" w:styleId="ListBullet3">
    <w:name w:val="List Bullet 3"/>
    <w:basedOn w:val="Text3"/>
    <w:rsid w:val="00577EC6"/>
    <w:pPr>
      <w:numPr>
        <w:numId w:val="7"/>
      </w:numPr>
      <w:tabs>
        <w:tab w:val="clear" w:pos="2302"/>
      </w:tabs>
    </w:pPr>
  </w:style>
  <w:style w:type="paragraph" w:styleId="ListBullet4">
    <w:name w:val="List Bullet 4"/>
    <w:basedOn w:val="Text4"/>
    <w:rsid w:val="00577EC6"/>
    <w:pPr>
      <w:numPr>
        <w:numId w:val="8"/>
      </w:numPr>
      <w:tabs>
        <w:tab w:val="clear" w:pos="2302"/>
      </w:tabs>
    </w:pPr>
  </w:style>
  <w:style w:type="paragraph" w:styleId="ListBullet5">
    <w:name w:val="List Bullet 5"/>
    <w:basedOn w:val="Normal"/>
    <w:autoRedefine/>
    <w:rsid w:val="00577EC6"/>
    <w:pPr>
      <w:numPr>
        <w:numId w:val="1"/>
      </w:numPr>
    </w:pPr>
  </w:style>
  <w:style w:type="paragraph" w:styleId="ListContinue">
    <w:name w:val="List Continue"/>
    <w:basedOn w:val="Normal"/>
    <w:rsid w:val="00461D0A"/>
    <w:pPr>
      <w:spacing w:after="120"/>
      <w:ind w:left="283"/>
    </w:pPr>
  </w:style>
  <w:style w:type="paragraph" w:styleId="ListContinue2">
    <w:name w:val="List Continue 2"/>
    <w:basedOn w:val="Normal"/>
    <w:rsid w:val="00461D0A"/>
    <w:pPr>
      <w:spacing w:after="120"/>
      <w:ind w:left="566"/>
    </w:pPr>
  </w:style>
  <w:style w:type="paragraph" w:styleId="ListContinue3">
    <w:name w:val="List Continue 3"/>
    <w:basedOn w:val="Normal"/>
    <w:rsid w:val="00461D0A"/>
    <w:pPr>
      <w:spacing w:after="120"/>
      <w:ind w:left="849"/>
    </w:pPr>
  </w:style>
  <w:style w:type="paragraph" w:styleId="ListContinue4">
    <w:name w:val="List Continue 4"/>
    <w:basedOn w:val="Normal"/>
    <w:rsid w:val="00461D0A"/>
    <w:pPr>
      <w:spacing w:after="120"/>
      <w:ind w:left="1132"/>
    </w:pPr>
  </w:style>
  <w:style w:type="paragraph" w:styleId="ListContinue5">
    <w:name w:val="List Continue 5"/>
    <w:basedOn w:val="Normal"/>
    <w:rsid w:val="00461D0A"/>
    <w:pPr>
      <w:spacing w:after="120"/>
      <w:ind w:left="1415"/>
    </w:pPr>
  </w:style>
  <w:style w:type="paragraph" w:styleId="ListNumber">
    <w:name w:val="List Number"/>
    <w:basedOn w:val="Normal"/>
    <w:rsid w:val="00577EC6"/>
    <w:pPr>
      <w:numPr>
        <w:numId w:val="14"/>
      </w:numPr>
    </w:pPr>
  </w:style>
  <w:style w:type="paragraph" w:styleId="ListNumber2">
    <w:name w:val="List Number 2"/>
    <w:basedOn w:val="Text2"/>
    <w:rsid w:val="00577EC6"/>
    <w:pPr>
      <w:numPr>
        <w:numId w:val="16"/>
      </w:numPr>
      <w:tabs>
        <w:tab w:val="clear" w:pos="2302"/>
      </w:tabs>
    </w:pPr>
  </w:style>
  <w:style w:type="paragraph" w:styleId="ListNumber3">
    <w:name w:val="List Number 3"/>
    <w:basedOn w:val="Text3"/>
    <w:rsid w:val="00577EC6"/>
    <w:pPr>
      <w:numPr>
        <w:numId w:val="17"/>
      </w:numPr>
      <w:tabs>
        <w:tab w:val="clear" w:pos="2302"/>
      </w:tabs>
    </w:pPr>
  </w:style>
  <w:style w:type="paragraph" w:styleId="ListNumber4">
    <w:name w:val="List Number 4"/>
    <w:basedOn w:val="Text4"/>
    <w:rsid w:val="00577EC6"/>
    <w:pPr>
      <w:numPr>
        <w:numId w:val="18"/>
      </w:numPr>
      <w:tabs>
        <w:tab w:val="clear" w:pos="2302"/>
      </w:tabs>
    </w:pPr>
  </w:style>
  <w:style w:type="paragraph" w:styleId="ListNumber5">
    <w:name w:val="List Number 5"/>
    <w:basedOn w:val="Normal"/>
    <w:rsid w:val="00577EC6"/>
    <w:pPr>
      <w:numPr>
        <w:numId w:val="2"/>
      </w:numPr>
    </w:pPr>
  </w:style>
  <w:style w:type="paragraph" w:styleId="MacroText">
    <w:name w:val="macro"/>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1D0A"/>
    <w:pPr>
      <w:ind w:left="720"/>
    </w:pPr>
  </w:style>
  <w:style w:type="paragraph" w:styleId="NoteHeading">
    <w:name w:val="Note Heading"/>
    <w:basedOn w:val="Normal"/>
    <w:next w:val="Normal"/>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val="0"/>
      <w:smallCaps w:val="0"/>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val="0"/>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rsid w:val="00461D0A"/>
    <w:rPr>
      <w:rFonts w:ascii="Courier New" w:hAnsi="Courier New"/>
      <w:sz w:val="20"/>
    </w:rPr>
  </w:style>
  <w:style w:type="paragraph" w:styleId="Salutation">
    <w:name w:val="Salutation"/>
    <w:basedOn w:val="Normal"/>
    <w:next w:val="Normal"/>
    <w:rsid w:val="00461D0A"/>
  </w:style>
  <w:style w:type="paragraph" w:styleId="Signature">
    <w:name w:val="Signature"/>
    <w:basedOn w:val="Normal"/>
    <w:next w:val="Enclosures"/>
    <w:rsid w:val="00461D0A"/>
    <w:pPr>
      <w:tabs>
        <w:tab w:val="left" w:pos="5103"/>
      </w:tabs>
      <w:spacing w:before="1200" w:after="0"/>
      <w:ind w:left="5103"/>
      <w:jc w:val="center"/>
    </w:pPr>
  </w:style>
  <w:style w:type="paragraph" w:styleId="Subtitle">
    <w:name w:val="Subtitle"/>
    <w:basedOn w:val="Normal"/>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semiHidden/>
    <w:rsid w:val="00461D0A"/>
    <w:pPr>
      <w:ind w:left="240" w:hanging="240"/>
    </w:pPr>
  </w:style>
  <w:style w:type="paragraph" w:styleId="TableofFigures">
    <w:name w:val="table of figures"/>
    <w:basedOn w:val="Normal"/>
    <w:next w:val="Normal"/>
    <w:semiHidden/>
    <w:rsid w:val="00461D0A"/>
    <w:pPr>
      <w:ind w:left="480" w:hanging="480"/>
    </w:pPr>
  </w:style>
  <w:style w:type="paragraph" w:styleId="Title">
    <w:name w:val="Title"/>
    <w:basedOn w:val="Normal"/>
    <w:next w:val="SubTitle1"/>
    <w:rsid w:val="00461D0A"/>
    <w:pPr>
      <w:spacing w:after="480"/>
      <w:jc w:val="center"/>
    </w:pPr>
    <w:rPr>
      <w:b/>
      <w:kern w:val="28"/>
      <w:sz w:val="48"/>
    </w:rPr>
  </w:style>
  <w:style w:type="paragraph" w:styleId="TOAHeading">
    <w:name w:val="toa heading"/>
    <w:basedOn w:val="Normal"/>
    <w:next w:val="Normal"/>
    <w:semiHidden/>
    <w:rsid w:val="00461D0A"/>
    <w:pPr>
      <w:spacing w:before="120"/>
    </w:pPr>
    <w:rPr>
      <w:rFonts w:ascii="Arial" w:hAnsi="Arial"/>
      <w:b/>
    </w:rPr>
  </w:style>
  <w:style w:type="paragraph" w:styleId="TOC1">
    <w:name w:val="toc 1"/>
    <w:basedOn w:val="Normal"/>
    <w:next w:val="Normal"/>
    <w:uiPriority w:val="39"/>
    <w:rsid w:val="001D2A51"/>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rsid w:val="00461D0A"/>
    <w:pPr>
      <w:tabs>
        <w:tab w:val="right" w:leader="dot" w:pos="8640"/>
      </w:tabs>
      <w:spacing w:before="60" w:after="60"/>
      <w:ind w:left="1916" w:right="720" w:hanging="839"/>
    </w:pPr>
  </w:style>
  <w:style w:type="paragraph" w:styleId="TOC4">
    <w:name w:val="toc 4"/>
    <w:basedOn w:val="Normal"/>
    <w:next w:val="Normal"/>
    <w:semiHidden/>
    <w:rsid w:val="00461D0A"/>
    <w:pPr>
      <w:tabs>
        <w:tab w:val="right" w:leader="dot" w:pos="8641"/>
      </w:tabs>
      <w:spacing w:before="60" w:after="60"/>
      <w:ind w:left="2880" w:right="720" w:hanging="964"/>
    </w:pPr>
  </w:style>
  <w:style w:type="paragraph" w:styleId="TOC5">
    <w:name w:val="toc 5"/>
    <w:basedOn w:val="Normal"/>
    <w:next w:val="Normal"/>
    <w:semiHidden/>
    <w:rsid w:val="00461D0A"/>
    <w:pPr>
      <w:tabs>
        <w:tab w:val="right" w:leader="dot" w:pos="8641"/>
      </w:tabs>
      <w:spacing w:before="240" w:after="120"/>
      <w:ind w:right="720"/>
    </w:pPr>
    <w:rPr>
      <w:caps/>
    </w:rPr>
  </w:style>
  <w:style w:type="paragraph" w:styleId="TOC6">
    <w:name w:val="toc 6"/>
    <w:basedOn w:val="Normal"/>
    <w:next w:val="Normal"/>
    <w:autoRedefine/>
    <w:semiHidden/>
    <w:rsid w:val="00461D0A"/>
    <w:pPr>
      <w:ind w:left="1200"/>
    </w:pPr>
  </w:style>
  <w:style w:type="paragraph" w:styleId="TOC7">
    <w:name w:val="toc 7"/>
    <w:basedOn w:val="Normal"/>
    <w:next w:val="Normal"/>
    <w:autoRedefine/>
    <w:semiHidden/>
    <w:rsid w:val="00461D0A"/>
    <w:pPr>
      <w:ind w:left="1440"/>
    </w:pPr>
  </w:style>
  <w:style w:type="paragraph" w:styleId="TOC8">
    <w:name w:val="toc 8"/>
    <w:basedOn w:val="Normal"/>
    <w:next w:val="Normal"/>
    <w:autoRedefine/>
    <w:semiHidden/>
    <w:rsid w:val="00461D0A"/>
    <w:pPr>
      <w:ind w:left="1680"/>
    </w:pPr>
  </w:style>
  <w:style w:type="paragraph" w:styleId="TOC9">
    <w:name w:val="toc 9"/>
    <w:basedOn w:val="Normal"/>
    <w:next w:val="Normal"/>
    <w:autoRedefine/>
    <w:semiHidden/>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5"/>
      </w:numPr>
    </w:pPr>
  </w:style>
  <w:style w:type="paragraph" w:customStyle="1" w:styleId="ListDash">
    <w:name w:val="List Dash"/>
    <w:basedOn w:val="Normal"/>
    <w:rsid w:val="00577EC6"/>
    <w:pPr>
      <w:numPr>
        <w:numId w:val="9"/>
      </w:numPr>
    </w:pPr>
  </w:style>
  <w:style w:type="paragraph" w:customStyle="1" w:styleId="ListDash1">
    <w:name w:val="List Dash 1"/>
    <w:basedOn w:val="Text1"/>
    <w:rsid w:val="00577EC6"/>
    <w:pPr>
      <w:numPr>
        <w:numId w:val="10"/>
      </w:numPr>
    </w:pPr>
  </w:style>
  <w:style w:type="paragraph" w:customStyle="1" w:styleId="ListDash2">
    <w:name w:val="List Dash 2"/>
    <w:basedOn w:val="Text2"/>
    <w:rsid w:val="00577EC6"/>
    <w:pPr>
      <w:numPr>
        <w:numId w:val="11"/>
      </w:numPr>
      <w:tabs>
        <w:tab w:val="clear" w:pos="2302"/>
      </w:tabs>
    </w:pPr>
  </w:style>
  <w:style w:type="paragraph" w:customStyle="1" w:styleId="ListDash3">
    <w:name w:val="List Dash 3"/>
    <w:basedOn w:val="Text3"/>
    <w:rsid w:val="00577EC6"/>
    <w:pPr>
      <w:numPr>
        <w:numId w:val="12"/>
      </w:numPr>
      <w:tabs>
        <w:tab w:val="clear" w:pos="2302"/>
      </w:tabs>
    </w:pPr>
  </w:style>
  <w:style w:type="paragraph" w:customStyle="1" w:styleId="ListDash4">
    <w:name w:val="List Dash 4"/>
    <w:basedOn w:val="Text4"/>
    <w:rsid w:val="00577EC6"/>
    <w:pPr>
      <w:numPr>
        <w:numId w:val="13"/>
      </w:numPr>
      <w:tabs>
        <w:tab w:val="clear" w:pos="2302"/>
      </w:tabs>
    </w:pPr>
  </w:style>
  <w:style w:type="paragraph" w:customStyle="1" w:styleId="ListNumberLevel2">
    <w:name w:val="List Number (Level 2)"/>
    <w:basedOn w:val="Normal"/>
    <w:rsid w:val="00577EC6"/>
    <w:pPr>
      <w:numPr>
        <w:ilvl w:val="1"/>
        <w:numId w:val="14"/>
      </w:numPr>
    </w:pPr>
  </w:style>
  <w:style w:type="paragraph" w:customStyle="1" w:styleId="ListNumberLevel3">
    <w:name w:val="List Number (Level 3)"/>
    <w:basedOn w:val="Normal"/>
    <w:rsid w:val="00577EC6"/>
    <w:pPr>
      <w:numPr>
        <w:ilvl w:val="2"/>
        <w:numId w:val="14"/>
      </w:numPr>
    </w:pPr>
  </w:style>
  <w:style w:type="paragraph" w:customStyle="1" w:styleId="ListNumberLevel4">
    <w:name w:val="List Number (Level 4)"/>
    <w:basedOn w:val="Normal"/>
    <w:rsid w:val="00577EC6"/>
    <w:pPr>
      <w:numPr>
        <w:ilvl w:val="3"/>
        <w:numId w:val="14"/>
      </w:numPr>
    </w:pPr>
  </w:style>
  <w:style w:type="paragraph" w:customStyle="1" w:styleId="ListNumber1">
    <w:name w:val="List Number 1"/>
    <w:basedOn w:val="Text1"/>
    <w:rsid w:val="00577EC6"/>
    <w:pPr>
      <w:numPr>
        <w:numId w:val="15"/>
      </w:numPr>
    </w:pPr>
  </w:style>
  <w:style w:type="paragraph" w:customStyle="1" w:styleId="ListNumber1Level2">
    <w:name w:val="List Number 1 (Level 2)"/>
    <w:basedOn w:val="Text1"/>
    <w:rsid w:val="00577EC6"/>
    <w:pPr>
      <w:numPr>
        <w:ilvl w:val="1"/>
        <w:numId w:val="15"/>
      </w:numPr>
    </w:pPr>
  </w:style>
  <w:style w:type="paragraph" w:customStyle="1" w:styleId="ListNumber1Level3">
    <w:name w:val="List Number 1 (Level 3)"/>
    <w:basedOn w:val="Text1"/>
    <w:rsid w:val="00577EC6"/>
    <w:pPr>
      <w:numPr>
        <w:ilvl w:val="2"/>
        <w:numId w:val="15"/>
      </w:numPr>
    </w:pPr>
  </w:style>
  <w:style w:type="paragraph" w:customStyle="1" w:styleId="ListNumber1Level4">
    <w:name w:val="List Number 1 (Level 4)"/>
    <w:basedOn w:val="Text1"/>
    <w:rsid w:val="00577EC6"/>
    <w:pPr>
      <w:numPr>
        <w:ilvl w:val="3"/>
        <w:numId w:val="15"/>
      </w:numPr>
    </w:pPr>
  </w:style>
  <w:style w:type="paragraph" w:customStyle="1" w:styleId="ListNumber2Level2">
    <w:name w:val="List Number 2 (Level 2)"/>
    <w:basedOn w:val="Text2"/>
    <w:rsid w:val="00577EC6"/>
    <w:pPr>
      <w:numPr>
        <w:ilvl w:val="1"/>
        <w:numId w:val="16"/>
      </w:numPr>
      <w:tabs>
        <w:tab w:val="clear" w:pos="2302"/>
      </w:tabs>
    </w:pPr>
  </w:style>
  <w:style w:type="paragraph" w:customStyle="1" w:styleId="ListNumber2Level3">
    <w:name w:val="List Number 2 (Level 3)"/>
    <w:basedOn w:val="Text2"/>
    <w:rsid w:val="00577EC6"/>
    <w:pPr>
      <w:numPr>
        <w:ilvl w:val="2"/>
        <w:numId w:val="16"/>
      </w:numPr>
      <w:tabs>
        <w:tab w:val="clear" w:pos="2302"/>
      </w:tabs>
    </w:pPr>
  </w:style>
  <w:style w:type="paragraph" w:customStyle="1" w:styleId="ListNumber2Level4">
    <w:name w:val="List Number 2 (Level 4)"/>
    <w:basedOn w:val="Text2"/>
    <w:rsid w:val="00577EC6"/>
    <w:pPr>
      <w:numPr>
        <w:ilvl w:val="3"/>
        <w:numId w:val="16"/>
      </w:numPr>
      <w:tabs>
        <w:tab w:val="clear" w:pos="2302"/>
      </w:tabs>
    </w:pPr>
  </w:style>
  <w:style w:type="paragraph" w:customStyle="1" w:styleId="ListNumber3Level2">
    <w:name w:val="List Number 3 (Level 2)"/>
    <w:basedOn w:val="Text3"/>
    <w:rsid w:val="00577EC6"/>
    <w:pPr>
      <w:numPr>
        <w:ilvl w:val="1"/>
        <w:numId w:val="17"/>
      </w:numPr>
      <w:tabs>
        <w:tab w:val="clear" w:pos="2302"/>
      </w:tabs>
    </w:pPr>
  </w:style>
  <w:style w:type="paragraph" w:customStyle="1" w:styleId="ListNumber3Level3">
    <w:name w:val="List Number 3 (Level 3)"/>
    <w:basedOn w:val="Text3"/>
    <w:rsid w:val="00577EC6"/>
    <w:pPr>
      <w:numPr>
        <w:ilvl w:val="2"/>
        <w:numId w:val="17"/>
      </w:numPr>
      <w:tabs>
        <w:tab w:val="clear" w:pos="2302"/>
      </w:tabs>
    </w:pPr>
  </w:style>
  <w:style w:type="paragraph" w:customStyle="1" w:styleId="ListNumber3Level4">
    <w:name w:val="List Number 3 (Level 4)"/>
    <w:basedOn w:val="Text3"/>
    <w:rsid w:val="00577EC6"/>
    <w:pPr>
      <w:numPr>
        <w:ilvl w:val="3"/>
        <w:numId w:val="17"/>
      </w:numPr>
      <w:tabs>
        <w:tab w:val="clear" w:pos="2302"/>
      </w:tabs>
    </w:pPr>
  </w:style>
  <w:style w:type="paragraph" w:customStyle="1" w:styleId="ListNumber4Level2">
    <w:name w:val="List Number 4 (Level 2)"/>
    <w:basedOn w:val="Text4"/>
    <w:rsid w:val="00577EC6"/>
    <w:pPr>
      <w:numPr>
        <w:ilvl w:val="1"/>
        <w:numId w:val="18"/>
      </w:numPr>
      <w:tabs>
        <w:tab w:val="clear" w:pos="2302"/>
      </w:tabs>
    </w:pPr>
  </w:style>
  <w:style w:type="paragraph" w:customStyle="1" w:styleId="ListNumber4Level3">
    <w:name w:val="List Number 4 (Level 3)"/>
    <w:basedOn w:val="Text4"/>
    <w:rsid w:val="00577EC6"/>
    <w:pPr>
      <w:numPr>
        <w:ilvl w:val="2"/>
        <w:numId w:val="18"/>
      </w:numPr>
      <w:tabs>
        <w:tab w:val="clear" w:pos="2302"/>
      </w:tabs>
    </w:pPr>
  </w:style>
  <w:style w:type="paragraph" w:customStyle="1" w:styleId="ListNumber4Level4">
    <w:name w:val="List Number 4 (Level 4)"/>
    <w:basedOn w:val="Text4"/>
    <w:rsid w:val="00577EC6"/>
    <w:pPr>
      <w:numPr>
        <w:ilvl w:val="3"/>
        <w:numId w:val="18"/>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rPr>
  </w:style>
  <w:style w:type="character" w:styleId="Hyperlink">
    <w:name w:val="Hyperlink"/>
    <w:uiPriority w:val="99"/>
    <w:rsid w:val="006914AD"/>
    <w:rPr>
      <w:color w:val="0000FF"/>
      <w:u w:val="single"/>
    </w:rPr>
  </w:style>
  <w:style w:type="character" w:styleId="FootnoteReference">
    <w:name w:val="footnote reference"/>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i w:val="0"/>
        <w:iCs w:val="0"/>
        <w:color w:val="FFFFFF"/>
        <w:sz w:val="18"/>
      </w:rPr>
      <w:tblPr/>
      <w:tcPr>
        <w:shd w:val="clear" w:color="auto" w:fill="C00000"/>
      </w:tcPr>
    </w:tblStylePr>
    <w:tblStylePr w:type="lastRow">
      <w:rPr>
        <w:b/>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rPr>
  </w:style>
  <w:style w:type="character" w:customStyle="1" w:styleId="DocumentTitleChar">
    <w:name w:val="Document Title Char"/>
    <w:link w:val="DocumentTitle"/>
    <w:rsid w:val="001E6AC6"/>
    <w:rPr>
      <w:rFonts w:ascii="Verdana" w:hAnsi="Verdana"/>
      <w:b/>
      <w:sz w:val="52"/>
    </w:rPr>
  </w:style>
  <w:style w:type="paragraph" w:customStyle="1" w:styleId="FooterDate">
    <w:name w:val="Footer Date"/>
    <w:basedOn w:val="Footer"/>
    <w:link w:val="FooterDateChar"/>
    <w:rsid w:val="00EE60CF"/>
    <w:pPr>
      <w:tabs>
        <w:tab w:val="right" w:pos="9240"/>
      </w:tabs>
    </w:pPr>
    <w:rPr>
      <w:rFonts w:ascii="Verdana" w:hAnsi="Verdana"/>
    </w:rPr>
  </w:style>
  <w:style w:type="character" w:customStyle="1" w:styleId="FooterChar">
    <w:name w:val="Footer Char"/>
    <w:link w:val="Footer"/>
    <w:uiPriority w:val="99"/>
    <w:rsid w:val="00EE60CF"/>
    <w:rPr>
      <w:rFonts w:ascii="Arial" w:hAnsi="Arial"/>
      <w:sz w:val="16"/>
    </w:rPr>
  </w:style>
  <w:style w:type="character" w:customStyle="1" w:styleId="ApprovalfooterChar">
    <w:name w:val="Approval_footer Char"/>
    <w:basedOn w:val="FooterChar"/>
    <w:link w:val="Footerapproval"/>
    <w:rsid w:val="00EE60CF"/>
    <w:rPr>
      <w:rFonts w:ascii="Arial" w:hAnsi="Arial"/>
      <w:sz w:val="16"/>
    </w:rPr>
  </w:style>
  <w:style w:type="paragraph" w:customStyle="1" w:styleId="PageNumber1">
    <w:name w:val="Page Number1"/>
    <w:basedOn w:val="Footer"/>
    <w:link w:val="PagenumberChar"/>
    <w:rsid w:val="00EE60CF"/>
    <w:pPr>
      <w:tabs>
        <w:tab w:val="right" w:pos="9240"/>
      </w:tabs>
      <w:ind w:right="-622"/>
    </w:pPr>
    <w:rPr>
      <w:rFonts w:ascii="Verdana" w:hAnsi="Verdana"/>
    </w:rPr>
  </w:style>
  <w:style w:type="character" w:customStyle="1" w:styleId="FooterDateChar">
    <w:name w:val="Footer Date Char"/>
    <w:link w:val="FooterDate"/>
    <w:rsid w:val="00EE60CF"/>
    <w:rPr>
      <w:rFonts w:ascii="Verdana" w:hAnsi="Verdana"/>
      <w:sz w:val="16"/>
    </w:rPr>
  </w:style>
  <w:style w:type="character" w:customStyle="1" w:styleId="HeaderChar">
    <w:name w:val="Header Char"/>
    <w:link w:val="Header"/>
    <w:uiPriority w:val="99"/>
    <w:rsid w:val="00EE60CF"/>
    <w:rPr>
      <w:sz w:val="24"/>
    </w:rPr>
  </w:style>
  <w:style w:type="character" w:customStyle="1" w:styleId="PagenumberChar">
    <w:name w:val="Page number Char"/>
    <w:link w:val="PageNumber1"/>
    <w:rsid w:val="00EE60CF"/>
    <w:rPr>
      <w:rFonts w:ascii="Verdana" w:hAnsi="Verdana"/>
      <w:sz w:val="16"/>
    </w:rPr>
  </w:style>
  <w:style w:type="paragraph" w:customStyle="1" w:styleId="DocumentSubtitle">
    <w:name w:val="Document Subtitle"/>
    <w:basedOn w:val="DocumentTitle"/>
    <w:link w:val="DocumentSubtitleChar"/>
    <w:qFormat/>
    <w:rsid w:val="003C7A25"/>
    <w:rPr>
      <w:b w:val="0"/>
      <w:sz w:val="32"/>
    </w:rPr>
  </w:style>
  <w:style w:type="paragraph" w:customStyle="1" w:styleId="HeaderTitle">
    <w:name w:val="Header Title"/>
    <w:basedOn w:val="Normal"/>
    <w:link w:val="HeaderTitleChar"/>
    <w:rsid w:val="002A726D"/>
    <w:pPr>
      <w:jc w:val="center"/>
    </w:pPr>
    <w:rPr>
      <w:rFonts w:ascii="Verdana" w:hAnsi="Verdana"/>
      <w:b/>
      <w:color w:val="808080"/>
      <w:sz w:val="18"/>
    </w:rPr>
  </w:style>
  <w:style w:type="character" w:customStyle="1" w:styleId="DocumentSubtitleChar">
    <w:name w:val="Document Subtitle Char"/>
    <w:link w:val="DocumentSubtitle"/>
    <w:rsid w:val="003C7A25"/>
    <w:rPr>
      <w:rFonts w:ascii="Verdana" w:hAnsi="Verdana"/>
      <w:sz w:val="32"/>
    </w:rPr>
  </w:style>
  <w:style w:type="paragraph" w:customStyle="1" w:styleId="Bulletpoint1">
    <w:name w:val="Bullet point1"/>
    <w:basedOn w:val="NormalIndent"/>
    <w:link w:val="Bulletpoint1Char"/>
    <w:qFormat/>
    <w:rsid w:val="007F3473"/>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rPr>
  </w:style>
  <w:style w:type="paragraph" w:customStyle="1" w:styleId="Heading">
    <w:name w:val="Heading"/>
    <w:basedOn w:val="TOC1"/>
    <w:link w:val="HeadingChar"/>
    <w:qFormat/>
    <w:rsid w:val="009370CD"/>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7A4813"/>
    <w:rPr>
      <w:sz w:val="24"/>
    </w:rPr>
  </w:style>
  <w:style w:type="character" w:customStyle="1" w:styleId="Bulletpoint1Char">
    <w:name w:val="Bullet point1 Char"/>
    <w:basedOn w:val="NormalIndentChar"/>
    <w:link w:val="Bulletpoint1"/>
    <w:rsid w:val="007F3473"/>
    <w:rPr>
      <w:rFonts w:ascii="Verdana" w:hAnsi="Verdana"/>
      <w:sz w:val="18"/>
    </w:rPr>
  </w:style>
  <w:style w:type="paragraph" w:customStyle="1" w:styleId="BulletPoint2">
    <w:name w:val="Bullet Point 2"/>
    <w:basedOn w:val="NormalIndent"/>
    <w:link w:val="BulletPoint2Char"/>
    <w:qFormat/>
    <w:rsid w:val="00577EC6"/>
    <w:pPr>
      <w:numPr>
        <w:numId w:val="19"/>
      </w:numPr>
      <w:spacing w:after="120"/>
      <w:ind w:left="1077" w:hanging="357"/>
      <w:jc w:val="left"/>
    </w:pPr>
    <w:rPr>
      <w:rFonts w:ascii="Verdana" w:hAnsi="Verdana"/>
      <w:sz w:val="18"/>
    </w:rPr>
  </w:style>
  <w:style w:type="character" w:customStyle="1" w:styleId="HeadingChar">
    <w:name w:val="Heading Char"/>
    <w:link w:val="Heading"/>
    <w:rsid w:val="00B14205"/>
    <w:rPr>
      <w:rFonts w:ascii="Verdana" w:hAnsi="Verdana"/>
      <w:b/>
      <w:caps/>
      <w:u w:val="single"/>
    </w:rPr>
  </w:style>
  <w:style w:type="paragraph" w:customStyle="1" w:styleId="Body">
    <w:name w:val="Body"/>
    <w:basedOn w:val="Normal"/>
    <w:link w:val="BodyChar"/>
    <w:qFormat/>
    <w:rsid w:val="00157707"/>
    <w:pPr>
      <w:spacing w:after="40"/>
      <w:jc w:val="left"/>
    </w:pPr>
    <w:rPr>
      <w:rFonts w:ascii="Verdana" w:hAnsi="Verdana"/>
      <w:sz w:val="20"/>
    </w:rPr>
  </w:style>
  <w:style w:type="character" w:customStyle="1" w:styleId="BulletPoint2Char">
    <w:name w:val="Bullet Point 2 Char"/>
    <w:link w:val="BulletPoint2"/>
    <w:rsid w:val="00577EC6"/>
    <w:rPr>
      <w:rFonts w:ascii="Verdana" w:hAnsi="Verdana"/>
      <w:sz w:val="18"/>
    </w:rPr>
  </w:style>
  <w:style w:type="paragraph" w:customStyle="1" w:styleId="Heading20">
    <w:name w:val="Heading2"/>
    <w:basedOn w:val="Title2"/>
    <w:link w:val="Heading2Char"/>
    <w:qFormat/>
    <w:rsid w:val="009370CD"/>
    <w:pPr>
      <w:numPr>
        <w:numId w:val="0"/>
      </w:numPr>
    </w:pPr>
    <w:rPr>
      <w:rFonts w:ascii="Verdana" w:hAnsi="Verdana"/>
      <w:b/>
      <w:i/>
    </w:rPr>
  </w:style>
  <w:style w:type="character" w:customStyle="1" w:styleId="BodyChar">
    <w:name w:val="Body Char"/>
    <w:link w:val="Body"/>
    <w:rsid w:val="00157707"/>
    <w:rPr>
      <w:rFonts w:ascii="Verdana" w:hAnsi="Verdana"/>
    </w:rPr>
  </w:style>
  <w:style w:type="table" w:styleId="TableGrid">
    <w:name w:val="Table Grid"/>
    <w:basedOn w:val="TableNormal"/>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sid w:val="009370CD"/>
    <w:rPr>
      <w:rFonts w:ascii="Verdana" w:hAnsi="Verdana"/>
      <w:b/>
      <w:i/>
      <w:sz w:val="24"/>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F5647F"/>
    <w:pPr>
      <w:spacing w:after="0"/>
    </w:pPr>
    <w:rPr>
      <w:i/>
      <w:sz w:val="13"/>
    </w:rPr>
  </w:style>
  <w:style w:type="character" w:customStyle="1" w:styleId="FooterDocumentChar">
    <w:name w:val="Footer Document Char"/>
    <w:link w:val="FooterDocument"/>
    <w:rsid w:val="00F5647F"/>
    <w:rPr>
      <w:rFonts w:ascii="Verdana" w:hAnsi="Verdana"/>
      <w:i/>
      <w:sz w:val="13"/>
    </w:rPr>
  </w:style>
  <w:style w:type="paragraph" w:styleId="TOCHeading">
    <w:name w:val="TOC Heading"/>
    <w:basedOn w:val="Heading1"/>
    <w:next w:val="Normal"/>
    <w:uiPriority w:val="39"/>
    <w:unhideWhenUsed/>
    <w:qFormat/>
    <w:rsid w:val="003F5BD0"/>
    <w:pPr>
      <w:keepLines/>
      <w:numPr>
        <w:numId w:val="0"/>
      </w:numPr>
      <w:spacing w:before="480" w:after="0" w:line="276" w:lineRule="auto"/>
      <w:jc w:val="left"/>
      <w:outlineLvl w:val="9"/>
    </w:pPr>
    <w:rPr>
      <w:rFonts w:asciiTheme="majorHAnsi" w:eastAsiaTheme="majorEastAsia" w:hAnsiTheme="majorHAnsi" w:cstheme="majorBidi"/>
      <w:smallCaps w:val="0"/>
    </w:rPr>
  </w:style>
  <w:style w:type="paragraph" w:customStyle="1" w:styleId="Title2">
    <w:name w:val="Title 2"/>
    <w:basedOn w:val="Normal"/>
    <w:rsid w:val="00B14205"/>
    <w:pPr>
      <w:numPr>
        <w:numId w:val="21"/>
      </w:numPr>
    </w:pPr>
  </w:style>
  <w:style w:type="paragraph" w:customStyle="1" w:styleId="Subtitle0">
    <w:name w:val="Subtitle_"/>
    <w:basedOn w:val="TOC2"/>
    <w:link w:val="SubtitleChar"/>
    <w:qFormat/>
    <w:rsid w:val="001D2A51"/>
    <w:pPr>
      <w:ind w:left="0" w:firstLine="0"/>
    </w:pPr>
    <w:rPr>
      <w:b/>
      <w:i/>
      <w:sz w:val="20"/>
    </w:rPr>
  </w:style>
  <w:style w:type="character" w:customStyle="1" w:styleId="SubtitleChar">
    <w:name w:val="Subtitle_ Char"/>
    <w:basedOn w:val="Heading2Char"/>
    <w:link w:val="Subtitle0"/>
    <w:rsid w:val="001D2A51"/>
    <w:rPr>
      <w:rFonts w:ascii="Verdana" w:hAnsi="Verdana"/>
      <w:b/>
      <w:i/>
      <w:sz w:val="24"/>
    </w:rPr>
  </w:style>
  <w:style w:type="paragraph" w:customStyle="1" w:styleId="HeadingBody">
    <w:name w:val="Heading Body"/>
    <w:basedOn w:val="Normal"/>
    <w:link w:val="HeadingBodyChar"/>
    <w:qFormat/>
    <w:rsid w:val="001D2A51"/>
    <w:pPr>
      <w:spacing w:after="120"/>
    </w:pPr>
    <w:rPr>
      <w:rFonts w:ascii="Verdana" w:hAnsi="Verdana"/>
      <w:b/>
      <w:sz w:val="20"/>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rPr>
  </w:style>
  <w:style w:type="character" w:customStyle="1" w:styleId="HeadingBodyChar">
    <w:name w:val="Heading Body Char"/>
    <w:basedOn w:val="DefaultParagraphFont"/>
    <w:link w:val="HeadingBody"/>
    <w:rsid w:val="001D2A51"/>
    <w:rPr>
      <w:rFonts w:ascii="Verdana" w:hAnsi="Verdana"/>
      <w:b/>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rPr>
  </w:style>
  <w:style w:type="character" w:customStyle="1" w:styleId="BackcovercategoryChar">
    <w:name w:val="Backcover_category Char"/>
    <w:basedOn w:val="DefaultParagraphFont"/>
    <w:link w:val="Backcovercategory"/>
    <w:rsid w:val="001D2A51"/>
    <w:rPr>
      <w:rFonts w:ascii="Verdana" w:hAnsi="Verdana"/>
      <w:i/>
      <w:color w:val="FF0000"/>
      <w:sz w:val="18"/>
    </w:rPr>
  </w:style>
  <w:style w:type="paragraph" w:customStyle="1" w:styleId="MBT">
    <w:name w:val="M BT"/>
    <w:basedOn w:val="Normal"/>
    <w:link w:val="MBTChar"/>
    <w:qFormat/>
    <w:rsid w:val="001948D5"/>
    <w:pPr>
      <w:widowControl w:val="0"/>
      <w:spacing w:after="0"/>
    </w:pPr>
  </w:style>
  <w:style w:type="character" w:customStyle="1" w:styleId="MBTChar">
    <w:name w:val="M BT Char"/>
    <w:link w:val="MBT"/>
    <w:rsid w:val="001948D5"/>
    <w:rPr>
      <w:sz w:val="24"/>
    </w:rPr>
  </w:style>
  <w:style w:type="character" w:styleId="CommentReference">
    <w:name w:val="annotation reference"/>
    <w:basedOn w:val="DefaultParagraphFont"/>
    <w:unhideWhenUsed/>
    <w:rsid w:val="009E672A"/>
    <w:rPr>
      <w:sz w:val="16"/>
    </w:rPr>
  </w:style>
  <w:style w:type="character" w:customStyle="1" w:styleId="CommentTextChar">
    <w:name w:val="Comment Text Char"/>
    <w:basedOn w:val="DefaultParagraphFont"/>
    <w:link w:val="CommentText"/>
    <w:rsid w:val="002E3AAA"/>
  </w:style>
  <w:style w:type="character" w:customStyle="1" w:styleId="FootnoteTextChar">
    <w:name w:val="Footnote Text Char"/>
    <w:link w:val="FootnoteText"/>
    <w:uiPriority w:val="99"/>
    <w:rsid w:val="001948D5"/>
    <w:rPr>
      <w:sz w:val="18"/>
    </w:rPr>
  </w:style>
  <w:style w:type="paragraph" w:styleId="CommentSubject">
    <w:name w:val="annotation subject"/>
    <w:basedOn w:val="CommentText"/>
    <w:next w:val="CommentText"/>
    <w:link w:val="CommentSubjectChar"/>
    <w:semiHidden/>
    <w:unhideWhenUsed/>
    <w:rsid w:val="004E4C5D"/>
    <w:rPr>
      <w:b/>
    </w:rPr>
  </w:style>
  <w:style w:type="character" w:customStyle="1" w:styleId="CommentSubjectChar">
    <w:name w:val="Comment Subject Char"/>
    <w:basedOn w:val="CommentTextChar"/>
    <w:link w:val="CommentSubject"/>
    <w:semiHidden/>
    <w:rsid w:val="004E4C5D"/>
    <w:rPr>
      <w:b/>
    </w:rPr>
  </w:style>
  <w:style w:type="character" w:customStyle="1" w:styleId="Marker">
    <w:name w:val="Marker"/>
    <w:basedOn w:val="DefaultParagraphFont"/>
    <w:rsid w:val="008704EC"/>
    <w:rPr>
      <w:color w:val="0000FF"/>
      <w:shd w:val="clear" w:color="auto" w:fill="auto"/>
    </w:rPr>
  </w:style>
  <w:style w:type="paragraph" w:customStyle="1" w:styleId="Pagedecouverture">
    <w:name w:val="Page de couverture"/>
    <w:basedOn w:val="Normal"/>
    <w:next w:val="Normal"/>
    <w:rsid w:val="008704EC"/>
    <w:pPr>
      <w:spacing w:after="0"/>
    </w:pPr>
    <w:rPr>
      <w:rFonts w:eastAsiaTheme="minorHAnsi"/>
    </w:rPr>
  </w:style>
  <w:style w:type="paragraph" w:customStyle="1" w:styleId="FooterCoverPage">
    <w:name w:val="Footer Cover Page"/>
    <w:basedOn w:val="Normal"/>
    <w:link w:val="FooterCoverPageChar"/>
    <w:rsid w:val="008704EC"/>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8704EC"/>
    <w:rPr>
      <w:sz w:val="24"/>
    </w:rPr>
  </w:style>
  <w:style w:type="paragraph" w:customStyle="1" w:styleId="FooterSensitivity">
    <w:name w:val="Footer Sensitivity"/>
    <w:basedOn w:val="Normal"/>
    <w:link w:val="FooterSensitivityChar"/>
    <w:rsid w:val="008704E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8704EC"/>
    <w:rPr>
      <w:b/>
      <w:sz w:val="32"/>
    </w:rPr>
  </w:style>
  <w:style w:type="paragraph" w:customStyle="1" w:styleId="HeaderCoverPage">
    <w:name w:val="Header Cover Page"/>
    <w:basedOn w:val="Normal"/>
    <w:link w:val="HeaderCoverPageChar"/>
    <w:rsid w:val="008704EC"/>
    <w:pPr>
      <w:tabs>
        <w:tab w:val="center" w:pos="4535"/>
        <w:tab w:val="right" w:pos="9071"/>
      </w:tabs>
      <w:spacing w:after="120"/>
    </w:pPr>
  </w:style>
  <w:style w:type="character" w:customStyle="1" w:styleId="HeaderCoverPageChar">
    <w:name w:val="Header Cover Page Char"/>
    <w:basedOn w:val="DefaultParagraphFont"/>
    <w:link w:val="HeaderCoverPage"/>
    <w:rsid w:val="008704EC"/>
    <w:rPr>
      <w:sz w:val="24"/>
    </w:rPr>
  </w:style>
  <w:style w:type="paragraph" w:customStyle="1" w:styleId="HeaderSensitivity">
    <w:name w:val="Header Sensitivity"/>
    <w:basedOn w:val="Normal"/>
    <w:link w:val="HeaderSensitivityChar"/>
    <w:rsid w:val="008704EC"/>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8704EC"/>
    <w:rPr>
      <w:b/>
      <w:sz w:val="32"/>
    </w:rPr>
  </w:style>
  <w:style w:type="paragraph" w:customStyle="1" w:styleId="Disclaimer">
    <w:name w:val="Disclaimer"/>
    <w:basedOn w:val="Normal"/>
    <w:rsid w:val="00282DD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rPr>
  </w:style>
  <w:style w:type="character" w:customStyle="1" w:styleId="Heading1Char">
    <w:name w:val="Heading 1 Char"/>
    <w:basedOn w:val="DefaultParagraphFont"/>
    <w:link w:val="Heading1"/>
    <w:uiPriority w:val="9"/>
    <w:rsid w:val="001948D5"/>
    <w:rPr>
      <w:b/>
      <w:smallCaps/>
      <w:sz w:val="32"/>
    </w:rPr>
  </w:style>
  <w:style w:type="character" w:customStyle="1" w:styleId="UnresolvedMention1">
    <w:name w:val="Unresolved Mention1"/>
    <w:basedOn w:val="DefaultParagraphFont"/>
    <w:uiPriority w:val="99"/>
    <w:semiHidden/>
    <w:unhideWhenUsed/>
    <w:rsid w:val="00BC25E1"/>
    <w:rPr>
      <w:color w:val="808080"/>
      <w:shd w:val="clear" w:color="auto" w:fill="E6E6E6"/>
    </w:rPr>
  </w:style>
  <w:style w:type="paragraph" w:styleId="Revision">
    <w:name w:val="Revision"/>
    <w:hidden/>
    <w:uiPriority w:val="99"/>
    <w:semiHidden/>
    <w:rsid w:val="00AF198D"/>
    <w:rPr>
      <w:sz w:val="24"/>
    </w:rPr>
  </w:style>
  <w:style w:type="character" w:customStyle="1" w:styleId="UnresolvedMention2">
    <w:name w:val="Unresolved Mention2"/>
    <w:basedOn w:val="DefaultParagraphFont"/>
    <w:uiPriority w:val="99"/>
    <w:semiHidden/>
    <w:unhideWhenUsed/>
    <w:rsid w:val="00970DD3"/>
    <w:rPr>
      <w:color w:val="605E5C"/>
      <w:shd w:val="clear" w:color="auto" w:fill="E1DFDD"/>
    </w:rPr>
  </w:style>
  <w:style w:type="paragraph" w:customStyle="1" w:styleId="HeaderSensitivityRight">
    <w:name w:val="Header Sensitivity Right"/>
    <w:basedOn w:val="Normal"/>
    <w:link w:val="HeaderSensitivityRightChar"/>
    <w:rsid w:val="006062C8"/>
    <w:pPr>
      <w:spacing w:after="120"/>
      <w:jc w:val="right"/>
    </w:pPr>
    <w:rPr>
      <w:sz w:val="28"/>
    </w:rPr>
  </w:style>
  <w:style w:type="character" w:customStyle="1" w:styleId="HeaderSensitivityRightChar">
    <w:name w:val="Header Sensitivity Right Char"/>
    <w:basedOn w:val="DefaultParagraphFont"/>
    <w:link w:val="HeaderSensitivityRight"/>
    <w:rsid w:val="006062C8"/>
    <w:rPr>
      <w:sz w:val="28"/>
    </w:rPr>
  </w:style>
  <w:style w:type="character" w:styleId="FollowedHyperlink">
    <w:name w:val="FollowedHyperlink"/>
    <w:basedOn w:val="DefaultParagraphFont"/>
    <w:semiHidden/>
    <w:unhideWhenUsed/>
    <w:rsid w:val="00482A71"/>
    <w:rPr>
      <w:color w:val="800080" w:themeColor="followedHyperlink"/>
      <w:u w:val="single"/>
    </w:rPr>
  </w:style>
  <w:style w:type="character" w:customStyle="1" w:styleId="UnresolvedMention">
    <w:name w:val="Unresolved Mention"/>
    <w:basedOn w:val="DefaultParagraphFont"/>
    <w:uiPriority w:val="99"/>
    <w:semiHidden/>
    <w:unhideWhenUsed/>
    <w:rsid w:val="00482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9565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ha.europa.eu/-/how-to-notify-pic-exports-to-the-uk-after-uk-s-withdrawal-from-the-eu" TargetMode="External"/><Relationship Id="rId26" Type="http://schemas.openxmlformats.org/officeDocument/2006/relationships/hyperlink" Target="https://echa.europa.eu/regulations/prior-informed-consent-regulation/reporting-on-information-exchange"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ha.europa.eu/reports-on-the-operation-of-pic-regul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ha.europa.eu/regulations/prior-informed-consent/annual-reporting-on-pic-exports-and-imports"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ha.europa.eu/information-on-chemicals/pic/chemical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ha.europa.eu/regulations/prior-informed-consent/understanding-pic" TargetMode="Externa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regulations/prior-informed-consent/annual-reporting-on-pic-exports-and-impor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ilieu-srv\data\Projects\2305.21%20(2255.20)%20DG%20ENV%20Questionnaire%20and%20reporting%20on%20PIC%20regulation\Working%20docs\Task%203-4%20MS%20reporting\Data%20from%20ECHA\Compiled%20data.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000099"/>
              </a:solidFill>
              <a:ln w="9525">
                <a:noFill/>
              </a:ln>
              <a:effectLst/>
            </c:spPr>
          </c:marker>
          <c:dLbls>
            <c:dLbl>
              <c:idx val="2"/>
              <c:layout>
                <c:manualLayout>
                  <c:x val="-8.7475149105367814E-2"/>
                  <c:y val="-2.5396825396825473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32-4DDB-BBC6-C50C2E160797}"/>
                </c:ext>
              </c:extLst>
            </c:dLbl>
            <c:dLbl>
              <c:idx val="3"/>
              <c:layout>
                <c:manualLayout>
                  <c:x val="-1.8555334658714381E-2"/>
                  <c:y val="-2.5396825396825397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332-4DDB-BBC6-C50C2E160797}"/>
                </c:ext>
              </c:extLst>
            </c:dLbl>
            <c:dLbl>
              <c:idx val="5"/>
              <c:layout>
                <c:manualLayout>
                  <c:x val="-3.1809145129224697E-2"/>
                  <c:y val="2.1164021164021163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332-4DDB-BBC6-C50C2E160797}"/>
                </c:ext>
              </c:extLst>
            </c:dLbl>
            <c:dLbl>
              <c:idx val="19"/>
              <c:layout>
                <c:manualLayout>
                  <c:x val="-3.1809145129224746E-2"/>
                  <c:y val="-3.8095238095238133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332-4DDB-BBC6-C50C2E160797}"/>
                </c:ext>
              </c:extLst>
            </c:dLbl>
            <c:dLbl>
              <c:idx val="20"/>
              <c:layout>
                <c:manualLayout>
                  <c:x val="-5.3015241882042059E-3"/>
                  <c:y val="0"/>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332-4DDB-BBC6-C50C2E160797}"/>
                </c:ext>
              </c:extLst>
            </c:dLbl>
            <c:dLbl>
              <c:idx val="21"/>
              <c:layout>
                <c:manualLayout>
                  <c:x val="-2.6507620941019572E-3"/>
                  <c:y val="8.4656084656084662E-3"/>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332-4DDB-BBC6-C50C2E160797}"/>
                </c:ext>
              </c:extLst>
            </c:dLbl>
            <c:dLbl>
              <c:idx val="25"/>
              <c:layout>
                <c:manualLayout>
                  <c:x val="-3.7110669317428666E-2"/>
                  <c:y val="-3.8095238095238099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332-4DDB-BBC6-C50C2E160797}"/>
                </c:ext>
              </c:extLst>
            </c:dLbl>
            <c:dLbl>
              <c:idx val="27"/>
              <c:layout>
                <c:manualLayout>
                  <c:x val="0"/>
                  <c:y val="2.9629629629629669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332-4DDB-BBC6-C50C2E16079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'[Compiled data.xls]Q10-output agg'!$L$6:$L$33</c:f>
              <c:strCache>
                <c:ptCount val="28"/>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SI</c:v>
                </c:pt>
                <c:pt idx="25">
                  <c:v>ES</c:v>
                </c:pt>
                <c:pt idx="26">
                  <c:v>SE</c:v>
                </c:pt>
                <c:pt idx="27">
                  <c:v>UK</c:v>
                </c:pt>
              </c:strCache>
            </c:strRef>
          </c:xVal>
          <c:yVal>
            <c:numRef>
              <c:f>'[Compiled data.xls]Q10-output agg'!$M$6:$M$33</c:f>
              <c:numCache>
                <c:formatCode>General</c:formatCode>
                <c:ptCount val="28"/>
                <c:pt idx="0">
                  <c:v>1383</c:v>
                </c:pt>
                <c:pt idx="1">
                  <c:v>3916</c:v>
                </c:pt>
                <c:pt idx="2">
                  <c:v>227</c:v>
                </c:pt>
                <c:pt idx="3">
                  <c:v>207</c:v>
                </c:pt>
                <c:pt idx="4">
                  <c:v>0</c:v>
                </c:pt>
                <c:pt idx="5">
                  <c:v>143</c:v>
                </c:pt>
                <c:pt idx="6">
                  <c:v>202</c:v>
                </c:pt>
                <c:pt idx="7">
                  <c:v>1</c:v>
                </c:pt>
                <c:pt idx="8">
                  <c:v>103</c:v>
                </c:pt>
                <c:pt idx="9">
                  <c:v>8026</c:v>
                </c:pt>
                <c:pt idx="10">
                  <c:v>13541</c:v>
                </c:pt>
                <c:pt idx="11">
                  <c:v>0</c:v>
                </c:pt>
                <c:pt idx="12">
                  <c:v>365</c:v>
                </c:pt>
                <c:pt idx="13">
                  <c:v>67</c:v>
                </c:pt>
                <c:pt idx="14">
                  <c:v>2554</c:v>
                </c:pt>
                <c:pt idx="15">
                  <c:v>28</c:v>
                </c:pt>
                <c:pt idx="16">
                  <c:v>17</c:v>
                </c:pt>
                <c:pt idx="17">
                  <c:v>0</c:v>
                </c:pt>
                <c:pt idx="18">
                  <c:v>0</c:v>
                </c:pt>
                <c:pt idx="19">
                  <c:v>1068</c:v>
                </c:pt>
                <c:pt idx="20">
                  <c:v>1079</c:v>
                </c:pt>
                <c:pt idx="21">
                  <c:v>141</c:v>
                </c:pt>
                <c:pt idx="22">
                  <c:v>7</c:v>
                </c:pt>
                <c:pt idx="23">
                  <c:v>14</c:v>
                </c:pt>
                <c:pt idx="24">
                  <c:v>196</c:v>
                </c:pt>
                <c:pt idx="25">
                  <c:v>3006</c:v>
                </c:pt>
                <c:pt idx="26">
                  <c:v>433</c:v>
                </c:pt>
                <c:pt idx="27">
                  <c:v>3092</c:v>
                </c:pt>
              </c:numCache>
            </c:numRef>
          </c:yVal>
          <c:smooth val="0"/>
          <c:extLst>
            <c:ext xmlns:c16="http://schemas.microsoft.com/office/drawing/2014/chart" uri="{C3380CC4-5D6E-409C-BE32-E72D297353CC}">
              <c16:uniqueId val="{00000008-F332-4DDB-BBC6-C50C2E160797}"/>
            </c:ext>
          </c:extLst>
        </c:ser>
        <c:dLbls>
          <c:dLblPos val="r"/>
          <c:showLegendKey val="0"/>
          <c:showVal val="1"/>
          <c:showCatName val="0"/>
          <c:showSerName val="0"/>
          <c:showPercent val="0"/>
          <c:showBubbleSize val="0"/>
        </c:dLbls>
        <c:axId val="701259904"/>
        <c:axId val="587562240"/>
      </c:scatterChart>
      <c:valAx>
        <c:axId val="70125990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fi-FI" sz="700">
                    <a:latin typeface="Verdana" panose="020B0604030504040204" pitchFamily="34" charset="0"/>
                    <a:ea typeface="Verdana" panose="020B0604030504040204" pitchFamily="34" charset="0"/>
                  </a:rPr>
                  <a:t>Jäsenvaltiot</a:t>
                </a:r>
              </a:p>
            </c:rich>
          </c:tx>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majorTickMark val="none"/>
        <c:minorTickMark val="none"/>
        <c:tickLblPos val="nextTo"/>
        <c:crossAx val="587562240"/>
        <c:crosses val="autoZero"/>
        <c:crossBetween val="midCat"/>
      </c:valAx>
      <c:valAx>
        <c:axId val="587562240"/>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fi-FI" sz="700">
                    <a:latin typeface="Verdana" panose="020B0604030504040204" pitchFamily="34" charset="0"/>
                    <a:ea typeface="Verdana" panose="020B0604030504040204" pitchFamily="34" charset="0"/>
                  </a:rPr>
                  <a:t>Nimettyjen kansallisten viranomaisten käsittelemät vienti-ilmoitukset ja erityiset RIN-pyynnöt</a:t>
                </a:r>
              </a:p>
            </c:rich>
          </c:tx>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70125990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02e182b-7e46-4567-89e5-b76ccbd06361">Procedure/management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10B2-8F97-4246-916A-0F08FDFB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BC39629B-9B3F-41A9-B4F9-DEB7EDCBC451}">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4.xml><?xml version="1.0" encoding="utf-8"?>
<ds:datastoreItem xmlns:ds="http://schemas.openxmlformats.org/officeDocument/2006/customXml" ds:itemID="{0D0D177F-C4DD-4C38-8A01-FD01E361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4070</Words>
  <Characters>34070</Characters>
  <Application>Microsoft Office Word</Application>
  <DocSecurity>0</DocSecurity>
  <PresentationFormat>Microsoft Word 11.0</PresentationFormat>
  <Lines>792</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37784</CharactersWithSpaces>
  <SharedDoc>false</SharedDoc>
  <HyperlinkBase/>
  <HLinks>
    <vt:vector size="12" baseType="variant">
      <vt:variant>
        <vt:i4>3604494</vt:i4>
      </vt:variant>
      <vt:variant>
        <vt:i4>2387</vt:i4>
      </vt:variant>
      <vt:variant>
        <vt:i4>1025</vt:i4>
      </vt:variant>
      <vt:variant>
        <vt:i4>1</vt:i4>
      </vt:variant>
      <vt:variant>
        <vt:lpwstr>LOGO-CE for RTD EN Positive</vt:lpwstr>
      </vt:variant>
      <vt:variant>
        <vt:lpwstr/>
      </vt:variant>
      <vt:variant>
        <vt:i4>57</vt:i4>
      </vt:variant>
      <vt:variant>
        <vt:i4>-1</vt:i4>
      </vt:variant>
      <vt:variant>
        <vt:i4>2113</vt:i4>
      </vt:variant>
      <vt:variant>
        <vt:i4>1</vt:i4>
      </vt:variant>
      <vt:variant>
        <vt:lpwstr>Footer Box RTD 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EC CoDe</cp:lastModifiedBy>
  <cp:revision>39</cp:revision>
  <cp:lastPrinted>2022-02-20T17:06:00Z</cp:lastPrinted>
  <dcterms:created xsi:type="dcterms:W3CDTF">2022-07-01T07:49:00Z</dcterms:created>
  <dcterms:modified xsi:type="dcterms:W3CDTF">2022-09-06T07:10:00Z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4.1XL XL [20040326]</vt:lpwstr>
  </property>
  <property fmtid="{D5CDD505-2E9C-101B-9397-08002B2CF9AE}" pid="3" name="Last edited using">
    <vt:lpwstr>LW 8.0.1, Build 20220429</vt:lpwstr>
  </property>
  <property fmtid="{D5CDD505-2E9C-101B-9397-08002B2CF9AE}" pid="4" name="Language">
    <vt:lpwstr>FR</vt:lpwstr>
  </property>
  <property fmtid="{D5CDD505-2E9C-101B-9397-08002B2CF9AE}" pid="5" name="ContentTypeId">
    <vt:lpwstr>0x0101007DEA25F43B16034A890773D71A710A1D</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_LW_INVALIDATED_TemplateVersion">
    <vt:lpwstr>4.1.5.8</vt:lpwstr>
  </property>
  <property fmtid="{D5CDD505-2E9C-101B-9397-08002B2CF9AE}" pid="11" name="_LW_INVALIDATED_EurolookVersion">
    <vt:lpwstr>4.1</vt:lpwstr>
  </property>
  <property fmtid="{D5CDD505-2E9C-101B-9397-08002B2CF9AE}" pid="12" name="_LW_INVALIDATED_DocID_EU">
    <vt:lpwstr/>
  </property>
  <property fmtid="{D5CDD505-2E9C-101B-9397-08002B2CF9AE}" pid="13" name="_LW_INVALIDATED_Formatting">
    <vt:lpwstr>4.1</vt:lpwstr>
  </property>
  <property fmtid="{D5CDD505-2E9C-101B-9397-08002B2CF9AE}" pid="14" name="_LW_INVALIDATED_EL_Author">
    <vt:lpwstr>Yolande Petit</vt:lpwstr>
  </property>
  <property fmtid="{D5CDD505-2E9C-101B-9397-08002B2CF9AE}" pid="15" name="_LW_INVALIDATED_Type">
    <vt:lpwstr>Eurolook Report</vt:lpwstr>
  </property>
  <property fmtid="{D5CDD505-2E9C-101B-9397-08002B2CF9AE}" pid="16" name="_LW_INVALIDATED_EL_Language">
    <vt:lpwstr>FR</vt:lpwstr>
  </property>
  <property fmtid="{D5CDD505-2E9C-101B-9397-08002B2CF9AE}" pid="17" name="_LW_INVALIDATED_ELDocType">
    <vt:lpwstr>rep.dot</vt:lpwstr>
  </property>
  <property fmtid="{D5CDD505-2E9C-101B-9397-08002B2CF9AE}" pid="18" name="CPTemplateID">
    <vt:lpwstr>CP-008</vt:lpwstr>
  </property>
</Properties>
</file>