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1C9B4" w14:textId="1E59E050" w:rsidR="00A65B60" w:rsidRDefault="00D14FFB" w:rsidP="00D14FFB">
      <w:pPr>
        <w:pStyle w:val="Pagedecouverture"/>
        <w:rPr>
          <w:noProof/>
          <w:lang w:val="en-US" w:eastAsia="ja-JP"/>
        </w:rPr>
      </w:pPr>
      <w:bookmarkStart w:id="0" w:name="LW_BM_COVERPAGE"/>
      <w:r>
        <w:rPr>
          <w:noProof/>
          <w:lang w:val="en-US" w:eastAsia="ja-JP"/>
        </w:rPr>
        <w:pict w14:anchorId="4E626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E5B91549-1332-453C-849B-F28E00163D2A" style="width:455.25pt;height:336.75pt">
            <v:imagedata r:id="rId8" o:title=""/>
          </v:shape>
        </w:pict>
      </w:r>
    </w:p>
    <w:bookmarkEnd w:id="0"/>
    <w:p w14:paraId="52C3D921" w14:textId="77777777" w:rsidR="00A65B60" w:rsidRDefault="00A65B60" w:rsidP="00A65B60">
      <w:pPr>
        <w:rPr>
          <w:noProof/>
          <w:lang w:val="en-US" w:eastAsia="ja-JP"/>
        </w:rPr>
        <w:sectPr w:rsidR="00A65B60" w:rsidSect="00D14FFB">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p w14:paraId="3E6D9F8E" w14:textId="77777777" w:rsidR="0049046D" w:rsidRPr="00D659F6" w:rsidRDefault="006B4AF0">
      <w:pPr>
        <w:pStyle w:val="TOCHeading"/>
        <w:spacing w:before="0"/>
        <w:jc w:val="center"/>
        <w:rPr>
          <w:rFonts w:ascii="Times New Roman" w:hAnsi="Times New Roman"/>
          <w:noProof/>
          <w:color w:val="auto"/>
          <w:sz w:val="24"/>
          <w:szCs w:val="24"/>
          <w:lang w:val="en-GB"/>
        </w:rPr>
      </w:pPr>
      <w:bookmarkStart w:id="1" w:name="_Toc404941525"/>
      <w:bookmarkStart w:id="2" w:name="_GoBack"/>
      <w:bookmarkEnd w:id="2"/>
      <w:r w:rsidRPr="00D659F6">
        <w:rPr>
          <w:rFonts w:ascii="Times New Roman" w:hAnsi="Times New Roman"/>
          <w:noProof/>
          <w:color w:val="auto"/>
          <w:sz w:val="24"/>
          <w:szCs w:val="24"/>
          <w:lang w:val="en-GB"/>
        </w:rPr>
        <w:lastRenderedPageBreak/>
        <w:t>C</w:t>
      </w:r>
      <w:r w:rsidR="001F7678" w:rsidRPr="00D659F6">
        <w:rPr>
          <w:rFonts w:ascii="Times New Roman" w:hAnsi="Times New Roman"/>
          <w:noProof/>
          <w:color w:val="auto"/>
          <w:sz w:val="24"/>
          <w:szCs w:val="24"/>
          <w:lang w:val="en-GB"/>
        </w:rPr>
        <w:t>ontents</w:t>
      </w:r>
    </w:p>
    <w:p w14:paraId="0E8ED8E4" w14:textId="77777777" w:rsidR="0049046D" w:rsidRPr="00D659F6" w:rsidRDefault="0049046D">
      <w:pPr>
        <w:pStyle w:val="TOC1"/>
        <w:tabs>
          <w:tab w:val="right" w:leader="dot" w:pos="9062"/>
        </w:tabs>
        <w:rPr>
          <w:rFonts w:ascii="Times New Roman" w:hAnsi="Times New Roman"/>
          <w:noProof/>
          <w:sz w:val="24"/>
          <w:szCs w:val="24"/>
        </w:rPr>
      </w:pPr>
    </w:p>
    <w:p w14:paraId="19234F30" w14:textId="77777777" w:rsidR="00D659F6" w:rsidRPr="00D659F6" w:rsidRDefault="001F7678">
      <w:pPr>
        <w:pStyle w:val="TOC1"/>
        <w:tabs>
          <w:tab w:val="right" w:leader="dot" w:pos="9062"/>
        </w:tabs>
        <w:rPr>
          <w:rFonts w:ascii="Times New Roman" w:eastAsiaTheme="minorEastAsia" w:hAnsi="Times New Roman"/>
          <w:noProof/>
          <w:sz w:val="24"/>
          <w:szCs w:val="24"/>
          <w:lang w:eastAsia="en-GB"/>
        </w:rPr>
      </w:pPr>
      <w:r w:rsidRPr="00D659F6">
        <w:rPr>
          <w:rFonts w:ascii="Times New Roman" w:hAnsi="Times New Roman"/>
          <w:noProof/>
          <w:sz w:val="24"/>
          <w:szCs w:val="24"/>
        </w:rPr>
        <w:fldChar w:fldCharType="begin"/>
      </w:r>
      <w:r w:rsidRPr="00D659F6">
        <w:rPr>
          <w:rFonts w:ascii="Times New Roman" w:hAnsi="Times New Roman"/>
          <w:noProof/>
          <w:sz w:val="24"/>
          <w:szCs w:val="24"/>
        </w:rPr>
        <w:instrText xml:space="preserve"> TOC \o "1-2" \u </w:instrText>
      </w:r>
      <w:r w:rsidRPr="00D659F6">
        <w:rPr>
          <w:rFonts w:ascii="Times New Roman" w:hAnsi="Times New Roman"/>
          <w:noProof/>
          <w:sz w:val="24"/>
          <w:szCs w:val="24"/>
        </w:rPr>
        <w:fldChar w:fldCharType="separate"/>
      </w:r>
      <w:r w:rsidR="00D659F6" w:rsidRPr="00D659F6">
        <w:rPr>
          <w:rFonts w:ascii="Times New Roman" w:hAnsi="Times New Roman"/>
          <w:noProof/>
          <w:sz w:val="24"/>
          <w:szCs w:val="24"/>
        </w:rPr>
        <w:t>INTRODUCTION</w:t>
      </w:r>
      <w:r w:rsidR="00D659F6" w:rsidRPr="00D659F6">
        <w:rPr>
          <w:rFonts w:ascii="Times New Roman" w:hAnsi="Times New Roman"/>
          <w:noProof/>
          <w:sz w:val="24"/>
          <w:szCs w:val="24"/>
        </w:rPr>
        <w:tab/>
      </w:r>
      <w:r w:rsidR="00D659F6" w:rsidRPr="00D659F6">
        <w:rPr>
          <w:rFonts w:ascii="Times New Roman" w:hAnsi="Times New Roman"/>
          <w:noProof/>
          <w:sz w:val="24"/>
          <w:szCs w:val="24"/>
        </w:rPr>
        <w:fldChar w:fldCharType="begin"/>
      </w:r>
      <w:r w:rsidR="00D659F6" w:rsidRPr="00D659F6">
        <w:rPr>
          <w:rFonts w:ascii="Times New Roman" w:hAnsi="Times New Roman"/>
          <w:noProof/>
          <w:sz w:val="24"/>
          <w:szCs w:val="24"/>
        </w:rPr>
        <w:instrText xml:space="preserve"> PAGEREF _Toc98517782 \h </w:instrText>
      </w:r>
      <w:r w:rsidR="00D659F6" w:rsidRPr="00D659F6">
        <w:rPr>
          <w:rFonts w:ascii="Times New Roman" w:hAnsi="Times New Roman"/>
          <w:noProof/>
          <w:sz w:val="24"/>
          <w:szCs w:val="24"/>
        </w:rPr>
      </w:r>
      <w:r w:rsidR="00D659F6" w:rsidRPr="00D659F6">
        <w:rPr>
          <w:rFonts w:ascii="Times New Roman" w:hAnsi="Times New Roman"/>
          <w:noProof/>
          <w:sz w:val="24"/>
          <w:szCs w:val="24"/>
        </w:rPr>
        <w:fldChar w:fldCharType="separate"/>
      </w:r>
      <w:r w:rsidR="00D659F6" w:rsidRPr="00D659F6">
        <w:rPr>
          <w:rFonts w:ascii="Times New Roman" w:hAnsi="Times New Roman"/>
          <w:noProof/>
          <w:sz w:val="24"/>
          <w:szCs w:val="24"/>
        </w:rPr>
        <w:t>3</w:t>
      </w:r>
      <w:r w:rsidR="00D659F6" w:rsidRPr="00D659F6">
        <w:rPr>
          <w:rFonts w:ascii="Times New Roman" w:hAnsi="Times New Roman"/>
          <w:noProof/>
          <w:sz w:val="24"/>
          <w:szCs w:val="24"/>
        </w:rPr>
        <w:fldChar w:fldCharType="end"/>
      </w:r>
    </w:p>
    <w:p w14:paraId="7AA1AC4A" w14:textId="77777777" w:rsidR="00D659F6" w:rsidRPr="00D659F6" w:rsidRDefault="00D659F6">
      <w:pPr>
        <w:pStyle w:val="TOC1"/>
        <w:tabs>
          <w:tab w:val="left" w:pos="440"/>
          <w:tab w:val="right" w:leader="dot" w:pos="9062"/>
        </w:tabs>
        <w:rPr>
          <w:rFonts w:ascii="Times New Roman" w:eastAsiaTheme="minorEastAsia" w:hAnsi="Times New Roman"/>
          <w:noProof/>
          <w:sz w:val="24"/>
          <w:szCs w:val="24"/>
          <w:lang w:eastAsia="en-GB"/>
        </w:rPr>
      </w:pPr>
      <w:r w:rsidRPr="00D659F6">
        <w:rPr>
          <w:rFonts w:ascii="Times New Roman" w:hAnsi="Times New Roman"/>
          <w:noProof/>
          <w:sz w:val="24"/>
          <w:szCs w:val="24"/>
        </w:rPr>
        <w:t>1.</w:t>
      </w:r>
      <w:r w:rsidRPr="00D659F6">
        <w:rPr>
          <w:rFonts w:ascii="Times New Roman" w:eastAsiaTheme="minorEastAsia" w:hAnsi="Times New Roman"/>
          <w:noProof/>
          <w:sz w:val="24"/>
          <w:szCs w:val="24"/>
          <w:lang w:eastAsia="en-GB"/>
        </w:rPr>
        <w:tab/>
      </w:r>
      <w:r w:rsidRPr="00D659F6">
        <w:rPr>
          <w:rFonts w:ascii="Times New Roman" w:hAnsi="Times New Roman"/>
          <w:noProof/>
          <w:sz w:val="24"/>
          <w:szCs w:val="24"/>
        </w:rPr>
        <w:t>Developments 2016-2020</w:t>
      </w:r>
      <w:r w:rsidRPr="00D659F6">
        <w:rPr>
          <w:rFonts w:ascii="Times New Roman" w:hAnsi="Times New Roman"/>
          <w:noProof/>
          <w:sz w:val="24"/>
          <w:szCs w:val="24"/>
        </w:rPr>
        <w:tab/>
      </w:r>
      <w:r w:rsidRPr="00D659F6">
        <w:rPr>
          <w:rFonts w:ascii="Times New Roman" w:hAnsi="Times New Roman"/>
          <w:noProof/>
          <w:sz w:val="24"/>
          <w:szCs w:val="24"/>
        </w:rPr>
        <w:fldChar w:fldCharType="begin"/>
      </w:r>
      <w:r w:rsidRPr="00D659F6">
        <w:rPr>
          <w:rFonts w:ascii="Times New Roman" w:hAnsi="Times New Roman"/>
          <w:noProof/>
          <w:sz w:val="24"/>
          <w:szCs w:val="24"/>
        </w:rPr>
        <w:instrText xml:space="preserve"> PAGEREF _Toc98517783 \h </w:instrText>
      </w:r>
      <w:r w:rsidRPr="00D659F6">
        <w:rPr>
          <w:rFonts w:ascii="Times New Roman" w:hAnsi="Times New Roman"/>
          <w:noProof/>
          <w:sz w:val="24"/>
          <w:szCs w:val="24"/>
        </w:rPr>
      </w:r>
      <w:r w:rsidRPr="00D659F6">
        <w:rPr>
          <w:rFonts w:ascii="Times New Roman" w:hAnsi="Times New Roman"/>
          <w:noProof/>
          <w:sz w:val="24"/>
          <w:szCs w:val="24"/>
        </w:rPr>
        <w:fldChar w:fldCharType="separate"/>
      </w:r>
      <w:r w:rsidRPr="00D659F6">
        <w:rPr>
          <w:rFonts w:ascii="Times New Roman" w:hAnsi="Times New Roman"/>
          <w:noProof/>
          <w:sz w:val="24"/>
          <w:szCs w:val="24"/>
        </w:rPr>
        <w:t>4</w:t>
      </w:r>
      <w:r w:rsidRPr="00D659F6">
        <w:rPr>
          <w:rFonts w:ascii="Times New Roman" w:hAnsi="Times New Roman"/>
          <w:noProof/>
          <w:sz w:val="24"/>
          <w:szCs w:val="24"/>
        </w:rPr>
        <w:fldChar w:fldCharType="end"/>
      </w:r>
    </w:p>
    <w:p w14:paraId="275B9A81" w14:textId="77777777" w:rsidR="00D659F6" w:rsidRPr="00D659F6" w:rsidRDefault="00D659F6">
      <w:pPr>
        <w:pStyle w:val="TOC2"/>
        <w:rPr>
          <w:rFonts w:ascii="Times New Roman" w:eastAsiaTheme="minorEastAsia" w:hAnsi="Times New Roman"/>
          <w:noProof/>
          <w:sz w:val="24"/>
          <w:szCs w:val="24"/>
          <w:lang w:eastAsia="en-GB"/>
        </w:rPr>
      </w:pPr>
      <w:r w:rsidRPr="00D659F6">
        <w:rPr>
          <w:rFonts w:ascii="Times New Roman" w:eastAsia="Batang" w:hAnsi="Times New Roman"/>
          <w:i/>
          <w:noProof/>
          <w:sz w:val="24"/>
          <w:szCs w:val="24"/>
        </w:rPr>
        <w:t>1.1.</w:t>
      </w:r>
      <w:r w:rsidRPr="00D659F6">
        <w:rPr>
          <w:rFonts w:ascii="Times New Roman" w:eastAsiaTheme="minorEastAsia" w:hAnsi="Times New Roman"/>
          <w:noProof/>
          <w:sz w:val="24"/>
          <w:szCs w:val="24"/>
          <w:lang w:eastAsia="en-GB"/>
        </w:rPr>
        <w:tab/>
      </w:r>
      <w:r w:rsidRPr="00D659F6">
        <w:rPr>
          <w:rFonts w:ascii="Times New Roman" w:eastAsia="Batang" w:hAnsi="Times New Roman"/>
          <w:i/>
          <w:noProof/>
          <w:sz w:val="24"/>
          <w:szCs w:val="24"/>
        </w:rPr>
        <w:t>Improvements to the notification procedure</w:t>
      </w:r>
      <w:r w:rsidRPr="00D659F6">
        <w:rPr>
          <w:rFonts w:ascii="Times New Roman" w:hAnsi="Times New Roman"/>
          <w:noProof/>
          <w:sz w:val="24"/>
          <w:szCs w:val="24"/>
        </w:rPr>
        <w:tab/>
      </w:r>
      <w:r w:rsidRPr="00D659F6">
        <w:rPr>
          <w:rFonts w:ascii="Times New Roman" w:hAnsi="Times New Roman"/>
          <w:noProof/>
          <w:sz w:val="24"/>
          <w:szCs w:val="24"/>
        </w:rPr>
        <w:fldChar w:fldCharType="begin"/>
      </w:r>
      <w:r w:rsidRPr="00D659F6">
        <w:rPr>
          <w:rFonts w:ascii="Times New Roman" w:hAnsi="Times New Roman"/>
          <w:noProof/>
          <w:sz w:val="24"/>
          <w:szCs w:val="24"/>
        </w:rPr>
        <w:instrText xml:space="preserve"> PAGEREF _Toc98517784 \h </w:instrText>
      </w:r>
      <w:r w:rsidRPr="00D659F6">
        <w:rPr>
          <w:rFonts w:ascii="Times New Roman" w:hAnsi="Times New Roman"/>
          <w:noProof/>
          <w:sz w:val="24"/>
          <w:szCs w:val="24"/>
        </w:rPr>
      </w:r>
      <w:r w:rsidRPr="00D659F6">
        <w:rPr>
          <w:rFonts w:ascii="Times New Roman" w:hAnsi="Times New Roman"/>
          <w:noProof/>
          <w:sz w:val="24"/>
          <w:szCs w:val="24"/>
        </w:rPr>
        <w:fldChar w:fldCharType="separate"/>
      </w:r>
      <w:r w:rsidRPr="00D659F6">
        <w:rPr>
          <w:rFonts w:ascii="Times New Roman" w:hAnsi="Times New Roman"/>
          <w:noProof/>
          <w:sz w:val="24"/>
          <w:szCs w:val="24"/>
        </w:rPr>
        <w:t>4</w:t>
      </w:r>
      <w:r w:rsidRPr="00D659F6">
        <w:rPr>
          <w:rFonts w:ascii="Times New Roman" w:hAnsi="Times New Roman"/>
          <w:noProof/>
          <w:sz w:val="24"/>
          <w:szCs w:val="24"/>
        </w:rPr>
        <w:fldChar w:fldCharType="end"/>
      </w:r>
    </w:p>
    <w:p w14:paraId="00431804" w14:textId="77777777" w:rsidR="00D659F6" w:rsidRPr="00D659F6" w:rsidRDefault="00D659F6">
      <w:pPr>
        <w:pStyle w:val="TOC2"/>
        <w:rPr>
          <w:rFonts w:ascii="Times New Roman" w:eastAsiaTheme="minorEastAsia" w:hAnsi="Times New Roman"/>
          <w:noProof/>
          <w:sz w:val="24"/>
          <w:szCs w:val="24"/>
          <w:lang w:eastAsia="en-GB"/>
        </w:rPr>
      </w:pPr>
      <w:r w:rsidRPr="00D659F6">
        <w:rPr>
          <w:rFonts w:ascii="Times New Roman" w:hAnsi="Times New Roman"/>
          <w:i/>
          <w:noProof/>
          <w:sz w:val="24"/>
          <w:szCs w:val="24"/>
        </w:rPr>
        <w:t>1.2.</w:t>
      </w:r>
      <w:r w:rsidRPr="00D659F6">
        <w:rPr>
          <w:rFonts w:ascii="Times New Roman" w:eastAsiaTheme="minorEastAsia" w:hAnsi="Times New Roman"/>
          <w:noProof/>
          <w:sz w:val="24"/>
          <w:szCs w:val="24"/>
          <w:lang w:eastAsia="en-GB"/>
        </w:rPr>
        <w:tab/>
      </w:r>
      <w:r w:rsidRPr="00D659F6">
        <w:rPr>
          <w:rFonts w:ascii="Times New Roman" w:hAnsi="Times New Roman"/>
          <w:i/>
          <w:noProof/>
          <w:sz w:val="24"/>
          <w:szCs w:val="24"/>
        </w:rPr>
        <w:t>Use of the notification procedure within the context of ‘better regulation’ and mutual recognition</w:t>
      </w:r>
      <w:r w:rsidRPr="00D659F6">
        <w:rPr>
          <w:rFonts w:ascii="Times New Roman" w:hAnsi="Times New Roman"/>
          <w:noProof/>
          <w:sz w:val="24"/>
          <w:szCs w:val="24"/>
        </w:rPr>
        <w:tab/>
      </w:r>
      <w:r w:rsidRPr="00D659F6">
        <w:rPr>
          <w:rFonts w:ascii="Times New Roman" w:hAnsi="Times New Roman"/>
          <w:noProof/>
          <w:sz w:val="24"/>
          <w:szCs w:val="24"/>
        </w:rPr>
        <w:fldChar w:fldCharType="begin"/>
      </w:r>
      <w:r w:rsidRPr="00D659F6">
        <w:rPr>
          <w:rFonts w:ascii="Times New Roman" w:hAnsi="Times New Roman"/>
          <w:noProof/>
          <w:sz w:val="24"/>
          <w:szCs w:val="24"/>
        </w:rPr>
        <w:instrText xml:space="preserve"> PAGEREF _Toc98517785 \h </w:instrText>
      </w:r>
      <w:r w:rsidRPr="00D659F6">
        <w:rPr>
          <w:rFonts w:ascii="Times New Roman" w:hAnsi="Times New Roman"/>
          <w:noProof/>
          <w:sz w:val="24"/>
          <w:szCs w:val="24"/>
        </w:rPr>
      </w:r>
      <w:r w:rsidRPr="00D659F6">
        <w:rPr>
          <w:rFonts w:ascii="Times New Roman" w:hAnsi="Times New Roman"/>
          <w:noProof/>
          <w:sz w:val="24"/>
          <w:szCs w:val="24"/>
        </w:rPr>
        <w:fldChar w:fldCharType="separate"/>
      </w:r>
      <w:r w:rsidRPr="00D659F6">
        <w:rPr>
          <w:rFonts w:ascii="Times New Roman" w:hAnsi="Times New Roman"/>
          <w:noProof/>
          <w:sz w:val="24"/>
          <w:szCs w:val="24"/>
        </w:rPr>
        <w:t>5</w:t>
      </w:r>
      <w:r w:rsidRPr="00D659F6">
        <w:rPr>
          <w:rFonts w:ascii="Times New Roman" w:hAnsi="Times New Roman"/>
          <w:noProof/>
          <w:sz w:val="24"/>
          <w:szCs w:val="24"/>
        </w:rPr>
        <w:fldChar w:fldCharType="end"/>
      </w:r>
    </w:p>
    <w:p w14:paraId="28FCFA11" w14:textId="77777777" w:rsidR="00D659F6" w:rsidRPr="00D659F6" w:rsidRDefault="00D659F6">
      <w:pPr>
        <w:pStyle w:val="TOC1"/>
        <w:tabs>
          <w:tab w:val="left" w:pos="440"/>
          <w:tab w:val="right" w:leader="dot" w:pos="9062"/>
        </w:tabs>
        <w:rPr>
          <w:rFonts w:ascii="Times New Roman" w:eastAsiaTheme="minorEastAsia" w:hAnsi="Times New Roman"/>
          <w:noProof/>
          <w:sz w:val="24"/>
          <w:szCs w:val="24"/>
          <w:lang w:eastAsia="en-GB"/>
        </w:rPr>
      </w:pPr>
      <w:r w:rsidRPr="00D659F6">
        <w:rPr>
          <w:rFonts w:ascii="Times New Roman" w:hAnsi="Times New Roman"/>
          <w:noProof/>
          <w:sz w:val="24"/>
          <w:szCs w:val="24"/>
        </w:rPr>
        <w:t>2.</w:t>
      </w:r>
      <w:r w:rsidRPr="00D659F6">
        <w:rPr>
          <w:rFonts w:ascii="Times New Roman" w:eastAsiaTheme="minorEastAsia" w:hAnsi="Times New Roman"/>
          <w:noProof/>
          <w:sz w:val="24"/>
          <w:szCs w:val="24"/>
          <w:lang w:eastAsia="en-GB"/>
        </w:rPr>
        <w:tab/>
      </w:r>
      <w:r w:rsidRPr="00D659F6">
        <w:rPr>
          <w:rFonts w:ascii="Times New Roman" w:hAnsi="Times New Roman"/>
          <w:noProof/>
          <w:sz w:val="24"/>
          <w:szCs w:val="24"/>
        </w:rPr>
        <w:t>Application of the notification procedure</w:t>
      </w:r>
      <w:r w:rsidRPr="00D659F6">
        <w:rPr>
          <w:rFonts w:ascii="Times New Roman" w:hAnsi="Times New Roman"/>
          <w:noProof/>
          <w:sz w:val="24"/>
          <w:szCs w:val="24"/>
        </w:rPr>
        <w:tab/>
      </w:r>
      <w:r w:rsidRPr="00D659F6">
        <w:rPr>
          <w:rFonts w:ascii="Times New Roman" w:hAnsi="Times New Roman"/>
          <w:noProof/>
          <w:sz w:val="24"/>
          <w:szCs w:val="24"/>
        </w:rPr>
        <w:fldChar w:fldCharType="begin"/>
      </w:r>
      <w:r w:rsidRPr="00D659F6">
        <w:rPr>
          <w:rFonts w:ascii="Times New Roman" w:hAnsi="Times New Roman"/>
          <w:noProof/>
          <w:sz w:val="24"/>
          <w:szCs w:val="24"/>
        </w:rPr>
        <w:instrText xml:space="preserve"> PAGEREF _Toc98517786 \h </w:instrText>
      </w:r>
      <w:r w:rsidRPr="00D659F6">
        <w:rPr>
          <w:rFonts w:ascii="Times New Roman" w:hAnsi="Times New Roman"/>
          <w:noProof/>
          <w:sz w:val="24"/>
          <w:szCs w:val="24"/>
        </w:rPr>
      </w:r>
      <w:r w:rsidRPr="00D659F6">
        <w:rPr>
          <w:rFonts w:ascii="Times New Roman" w:hAnsi="Times New Roman"/>
          <w:noProof/>
          <w:sz w:val="24"/>
          <w:szCs w:val="24"/>
        </w:rPr>
        <w:fldChar w:fldCharType="separate"/>
      </w:r>
      <w:r w:rsidRPr="00D659F6">
        <w:rPr>
          <w:rFonts w:ascii="Times New Roman" w:hAnsi="Times New Roman"/>
          <w:noProof/>
          <w:sz w:val="24"/>
          <w:szCs w:val="24"/>
        </w:rPr>
        <w:t>5</w:t>
      </w:r>
      <w:r w:rsidRPr="00D659F6">
        <w:rPr>
          <w:rFonts w:ascii="Times New Roman" w:hAnsi="Times New Roman"/>
          <w:noProof/>
          <w:sz w:val="24"/>
          <w:szCs w:val="24"/>
        </w:rPr>
        <w:fldChar w:fldCharType="end"/>
      </w:r>
    </w:p>
    <w:p w14:paraId="0C1222E4" w14:textId="77777777" w:rsidR="00D659F6" w:rsidRPr="00D659F6" w:rsidRDefault="00D659F6">
      <w:pPr>
        <w:pStyle w:val="TOC2"/>
        <w:rPr>
          <w:rFonts w:ascii="Times New Roman" w:eastAsiaTheme="minorEastAsia" w:hAnsi="Times New Roman"/>
          <w:noProof/>
          <w:sz w:val="24"/>
          <w:szCs w:val="24"/>
          <w:lang w:eastAsia="en-GB"/>
        </w:rPr>
      </w:pPr>
      <w:r w:rsidRPr="00D659F6">
        <w:rPr>
          <w:rFonts w:ascii="Times New Roman" w:hAnsi="Times New Roman"/>
          <w:i/>
          <w:noProof/>
          <w:sz w:val="24"/>
          <w:szCs w:val="24"/>
        </w:rPr>
        <w:t>2.1</w:t>
      </w:r>
      <w:r w:rsidRPr="00D659F6">
        <w:rPr>
          <w:rFonts w:ascii="Times New Roman" w:eastAsiaTheme="minorEastAsia" w:hAnsi="Times New Roman"/>
          <w:noProof/>
          <w:sz w:val="24"/>
          <w:szCs w:val="24"/>
          <w:lang w:eastAsia="en-GB"/>
        </w:rPr>
        <w:tab/>
      </w:r>
      <w:r w:rsidRPr="00D659F6">
        <w:rPr>
          <w:rFonts w:ascii="Times New Roman" w:hAnsi="Times New Roman"/>
          <w:i/>
          <w:noProof/>
          <w:sz w:val="24"/>
          <w:szCs w:val="24"/>
        </w:rPr>
        <w:t>Effectiveness: general overview</w:t>
      </w:r>
      <w:r w:rsidRPr="00D659F6">
        <w:rPr>
          <w:rFonts w:ascii="Times New Roman" w:hAnsi="Times New Roman"/>
          <w:noProof/>
          <w:sz w:val="24"/>
          <w:szCs w:val="24"/>
        </w:rPr>
        <w:tab/>
      </w:r>
      <w:r w:rsidRPr="00D659F6">
        <w:rPr>
          <w:rFonts w:ascii="Times New Roman" w:hAnsi="Times New Roman"/>
          <w:noProof/>
          <w:sz w:val="24"/>
          <w:szCs w:val="24"/>
        </w:rPr>
        <w:fldChar w:fldCharType="begin"/>
      </w:r>
      <w:r w:rsidRPr="00D659F6">
        <w:rPr>
          <w:rFonts w:ascii="Times New Roman" w:hAnsi="Times New Roman"/>
          <w:noProof/>
          <w:sz w:val="24"/>
          <w:szCs w:val="24"/>
        </w:rPr>
        <w:instrText xml:space="preserve"> PAGEREF _Toc98517787 \h </w:instrText>
      </w:r>
      <w:r w:rsidRPr="00D659F6">
        <w:rPr>
          <w:rFonts w:ascii="Times New Roman" w:hAnsi="Times New Roman"/>
          <w:noProof/>
          <w:sz w:val="24"/>
          <w:szCs w:val="24"/>
        </w:rPr>
      </w:r>
      <w:r w:rsidRPr="00D659F6">
        <w:rPr>
          <w:rFonts w:ascii="Times New Roman" w:hAnsi="Times New Roman"/>
          <w:noProof/>
          <w:sz w:val="24"/>
          <w:szCs w:val="24"/>
        </w:rPr>
        <w:fldChar w:fldCharType="separate"/>
      </w:r>
      <w:r w:rsidRPr="00D659F6">
        <w:rPr>
          <w:rFonts w:ascii="Times New Roman" w:hAnsi="Times New Roman"/>
          <w:noProof/>
          <w:sz w:val="24"/>
          <w:szCs w:val="24"/>
        </w:rPr>
        <w:t>5</w:t>
      </w:r>
      <w:r w:rsidRPr="00D659F6">
        <w:rPr>
          <w:rFonts w:ascii="Times New Roman" w:hAnsi="Times New Roman"/>
          <w:noProof/>
          <w:sz w:val="24"/>
          <w:szCs w:val="24"/>
        </w:rPr>
        <w:fldChar w:fldCharType="end"/>
      </w:r>
    </w:p>
    <w:p w14:paraId="2ED135FC" w14:textId="77777777" w:rsidR="00D659F6" w:rsidRPr="00D659F6" w:rsidRDefault="00D659F6">
      <w:pPr>
        <w:pStyle w:val="TOC2"/>
        <w:rPr>
          <w:rFonts w:ascii="Times New Roman" w:eastAsiaTheme="minorEastAsia" w:hAnsi="Times New Roman"/>
          <w:noProof/>
          <w:sz w:val="24"/>
          <w:szCs w:val="24"/>
          <w:lang w:eastAsia="en-GB"/>
        </w:rPr>
      </w:pPr>
      <w:r w:rsidRPr="00D659F6">
        <w:rPr>
          <w:rFonts w:ascii="Times New Roman" w:hAnsi="Times New Roman"/>
          <w:i/>
          <w:noProof/>
          <w:sz w:val="24"/>
          <w:szCs w:val="24"/>
        </w:rPr>
        <w:t>2.2</w:t>
      </w:r>
      <w:r w:rsidRPr="00D659F6">
        <w:rPr>
          <w:rFonts w:ascii="Times New Roman" w:eastAsiaTheme="minorEastAsia" w:hAnsi="Times New Roman"/>
          <w:noProof/>
          <w:sz w:val="24"/>
          <w:szCs w:val="24"/>
          <w:lang w:eastAsia="en-GB"/>
        </w:rPr>
        <w:tab/>
      </w:r>
      <w:r w:rsidRPr="00D659F6">
        <w:rPr>
          <w:rFonts w:ascii="Times New Roman" w:hAnsi="Times New Roman"/>
          <w:i/>
          <w:noProof/>
          <w:sz w:val="24"/>
          <w:szCs w:val="24"/>
        </w:rPr>
        <w:t>Use of the urgency procedure</w:t>
      </w:r>
      <w:r w:rsidRPr="00D659F6">
        <w:rPr>
          <w:rFonts w:ascii="Times New Roman" w:hAnsi="Times New Roman"/>
          <w:noProof/>
          <w:sz w:val="24"/>
          <w:szCs w:val="24"/>
        </w:rPr>
        <w:tab/>
      </w:r>
      <w:r w:rsidRPr="00D659F6">
        <w:rPr>
          <w:rFonts w:ascii="Times New Roman" w:hAnsi="Times New Roman"/>
          <w:noProof/>
          <w:sz w:val="24"/>
          <w:szCs w:val="24"/>
        </w:rPr>
        <w:fldChar w:fldCharType="begin"/>
      </w:r>
      <w:r w:rsidRPr="00D659F6">
        <w:rPr>
          <w:rFonts w:ascii="Times New Roman" w:hAnsi="Times New Roman"/>
          <w:noProof/>
          <w:sz w:val="24"/>
          <w:szCs w:val="24"/>
        </w:rPr>
        <w:instrText xml:space="preserve"> PAGEREF _Toc98517788 \h </w:instrText>
      </w:r>
      <w:r w:rsidRPr="00D659F6">
        <w:rPr>
          <w:rFonts w:ascii="Times New Roman" w:hAnsi="Times New Roman"/>
          <w:noProof/>
          <w:sz w:val="24"/>
          <w:szCs w:val="24"/>
        </w:rPr>
      </w:r>
      <w:r w:rsidRPr="00D659F6">
        <w:rPr>
          <w:rFonts w:ascii="Times New Roman" w:hAnsi="Times New Roman"/>
          <w:noProof/>
          <w:sz w:val="24"/>
          <w:szCs w:val="24"/>
        </w:rPr>
        <w:fldChar w:fldCharType="separate"/>
      </w:r>
      <w:r w:rsidRPr="00D659F6">
        <w:rPr>
          <w:rFonts w:ascii="Times New Roman" w:hAnsi="Times New Roman"/>
          <w:noProof/>
          <w:sz w:val="24"/>
          <w:szCs w:val="24"/>
        </w:rPr>
        <w:t>12</w:t>
      </w:r>
      <w:r w:rsidRPr="00D659F6">
        <w:rPr>
          <w:rFonts w:ascii="Times New Roman" w:hAnsi="Times New Roman"/>
          <w:noProof/>
          <w:sz w:val="24"/>
          <w:szCs w:val="24"/>
        </w:rPr>
        <w:fldChar w:fldCharType="end"/>
      </w:r>
    </w:p>
    <w:p w14:paraId="2B10BE05" w14:textId="77777777" w:rsidR="00D659F6" w:rsidRPr="00D659F6" w:rsidRDefault="00D659F6">
      <w:pPr>
        <w:pStyle w:val="TOC2"/>
        <w:rPr>
          <w:rFonts w:ascii="Times New Roman" w:eastAsiaTheme="minorEastAsia" w:hAnsi="Times New Roman"/>
          <w:noProof/>
          <w:sz w:val="24"/>
          <w:szCs w:val="24"/>
          <w:lang w:eastAsia="en-GB"/>
        </w:rPr>
      </w:pPr>
      <w:r w:rsidRPr="00D659F6">
        <w:rPr>
          <w:rFonts w:ascii="Times New Roman" w:hAnsi="Times New Roman"/>
          <w:i/>
          <w:noProof/>
          <w:sz w:val="24"/>
          <w:szCs w:val="24"/>
        </w:rPr>
        <w:t>2.3</w:t>
      </w:r>
      <w:r w:rsidRPr="00D659F6">
        <w:rPr>
          <w:rFonts w:ascii="Times New Roman" w:eastAsiaTheme="minorEastAsia" w:hAnsi="Times New Roman"/>
          <w:noProof/>
          <w:sz w:val="24"/>
          <w:szCs w:val="24"/>
          <w:lang w:eastAsia="en-GB"/>
        </w:rPr>
        <w:tab/>
      </w:r>
      <w:r w:rsidRPr="00D659F6">
        <w:rPr>
          <w:rFonts w:ascii="Times New Roman" w:hAnsi="Times New Roman"/>
          <w:i/>
          <w:noProof/>
          <w:sz w:val="24"/>
          <w:szCs w:val="24"/>
        </w:rPr>
        <w:t>Notification of ‘fiscal or financial measures’</w:t>
      </w:r>
      <w:r w:rsidRPr="00D659F6">
        <w:rPr>
          <w:rFonts w:ascii="Times New Roman" w:hAnsi="Times New Roman"/>
          <w:noProof/>
          <w:sz w:val="24"/>
          <w:szCs w:val="24"/>
        </w:rPr>
        <w:tab/>
      </w:r>
      <w:r w:rsidRPr="00D659F6">
        <w:rPr>
          <w:rFonts w:ascii="Times New Roman" w:hAnsi="Times New Roman"/>
          <w:noProof/>
          <w:sz w:val="24"/>
          <w:szCs w:val="24"/>
        </w:rPr>
        <w:fldChar w:fldCharType="begin"/>
      </w:r>
      <w:r w:rsidRPr="00D659F6">
        <w:rPr>
          <w:rFonts w:ascii="Times New Roman" w:hAnsi="Times New Roman"/>
          <w:noProof/>
          <w:sz w:val="24"/>
          <w:szCs w:val="24"/>
        </w:rPr>
        <w:instrText xml:space="preserve"> PAGEREF _Toc98517789 \h </w:instrText>
      </w:r>
      <w:r w:rsidRPr="00D659F6">
        <w:rPr>
          <w:rFonts w:ascii="Times New Roman" w:hAnsi="Times New Roman"/>
          <w:noProof/>
          <w:sz w:val="24"/>
          <w:szCs w:val="24"/>
        </w:rPr>
      </w:r>
      <w:r w:rsidRPr="00D659F6">
        <w:rPr>
          <w:rFonts w:ascii="Times New Roman" w:hAnsi="Times New Roman"/>
          <w:noProof/>
          <w:sz w:val="24"/>
          <w:szCs w:val="24"/>
        </w:rPr>
        <w:fldChar w:fldCharType="separate"/>
      </w:r>
      <w:r w:rsidRPr="00D659F6">
        <w:rPr>
          <w:rFonts w:ascii="Times New Roman" w:hAnsi="Times New Roman"/>
          <w:noProof/>
          <w:sz w:val="24"/>
          <w:szCs w:val="24"/>
        </w:rPr>
        <w:t>12</w:t>
      </w:r>
      <w:r w:rsidRPr="00D659F6">
        <w:rPr>
          <w:rFonts w:ascii="Times New Roman" w:hAnsi="Times New Roman"/>
          <w:noProof/>
          <w:sz w:val="24"/>
          <w:szCs w:val="24"/>
        </w:rPr>
        <w:fldChar w:fldCharType="end"/>
      </w:r>
    </w:p>
    <w:p w14:paraId="3C568582" w14:textId="77777777" w:rsidR="00D659F6" w:rsidRPr="00D659F6" w:rsidRDefault="00D659F6">
      <w:pPr>
        <w:pStyle w:val="TOC2"/>
        <w:rPr>
          <w:rFonts w:ascii="Times New Roman" w:eastAsiaTheme="minorEastAsia" w:hAnsi="Times New Roman"/>
          <w:noProof/>
          <w:sz w:val="24"/>
          <w:szCs w:val="24"/>
          <w:lang w:eastAsia="en-GB"/>
        </w:rPr>
      </w:pPr>
      <w:r w:rsidRPr="00D659F6">
        <w:rPr>
          <w:rFonts w:ascii="Times New Roman" w:hAnsi="Times New Roman"/>
          <w:i/>
          <w:noProof/>
          <w:sz w:val="24"/>
          <w:szCs w:val="24"/>
        </w:rPr>
        <w:t>2.4</w:t>
      </w:r>
      <w:r w:rsidRPr="00D659F6">
        <w:rPr>
          <w:rFonts w:ascii="Times New Roman" w:eastAsiaTheme="minorEastAsia" w:hAnsi="Times New Roman"/>
          <w:noProof/>
          <w:sz w:val="24"/>
          <w:szCs w:val="24"/>
          <w:lang w:eastAsia="en-GB"/>
        </w:rPr>
        <w:tab/>
      </w:r>
      <w:r w:rsidRPr="00D659F6">
        <w:rPr>
          <w:rFonts w:ascii="Times New Roman" w:hAnsi="Times New Roman"/>
          <w:i/>
          <w:noProof/>
          <w:sz w:val="24"/>
          <w:szCs w:val="24"/>
        </w:rPr>
        <w:t>Follow-up to Commission reactions</w:t>
      </w:r>
      <w:r w:rsidRPr="00D659F6">
        <w:rPr>
          <w:rFonts w:ascii="Times New Roman" w:hAnsi="Times New Roman"/>
          <w:noProof/>
          <w:sz w:val="24"/>
          <w:szCs w:val="24"/>
        </w:rPr>
        <w:tab/>
      </w:r>
      <w:r w:rsidRPr="00D659F6">
        <w:rPr>
          <w:rFonts w:ascii="Times New Roman" w:hAnsi="Times New Roman"/>
          <w:noProof/>
          <w:sz w:val="24"/>
          <w:szCs w:val="24"/>
        </w:rPr>
        <w:fldChar w:fldCharType="begin"/>
      </w:r>
      <w:r w:rsidRPr="00D659F6">
        <w:rPr>
          <w:rFonts w:ascii="Times New Roman" w:hAnsi="Times New Roman"/>
          <w:noProof/>
          <w:sz w:val="24"/>
          <w:szCs w:val="24"/>
        </w:rPr>
        <w:instrText xml:space="preserve"> PAGEREF _Toc98517790 \h </w:instrText>
      </w:r>
      <w:r w:rsidRPr="00D659F6">
        <w:rPr>
          <w:rFonts w:ascii="Times New Roman" w:hAnsi="Times New Roman"/>
          <w:noProof/>
          <w:sz w:val="24"/>
          <w:szCs w:val="24"/>
        </w:rPr>
      </w:r>
      <w:r w:rsidRPr="00D659F6">
        <w:rPr>
          <w:rFonts w:ascii="Times New Roman" w:hAnsi="Times New Roman"/>
          <w:noProof/>
          <w:sz w:val="24"/>
          <w:szCs w:val="24"/>
        </w:rPr>
        <w:fldChar w:fldCharType="separate"/>
      </w:r>
      <w:r w:rsidRPr="00D659F6">
        <w:rPr>
          <w:rFonts w:ascii="Times New Roman" w:hAnsi="Times New Roman"/>
          <w:noProof/>
          <w:sz w:val="24"/>
          <w:szCs w:val="24"/>
        </w:rPr>
        <w:t>13</w:t>
      </w:r>
      <w:r w:rsidRPr="00D659F6">
        <w:rPr>
          <w:rFonts w:ascii="Times New Roman" w:hAnsi="Times New Roman"/>
          <w:noProof/>
          <w:sz w:val="24"/>
          <w:szCs w:val="24"/>
        </w:rPr>
        <w:fldChar w:fldCharType="end"/>
      </w:r>
    </w:p>
    <w:p w14:paraId="5E4C8ED6" w14:textId="77777777" w:rsidR="00D659F6" w:rsidRPr="00D659F6" w:rsidRDefault="00D659F6">
      <w:pPr>
        <w:pStyle w:val="TOC2"/>
        <w:rPr>
          <w:rFonts w:ascii="Times New Roman" w:eastAsiaTheme="minorEastAsia" w:hAnsi="Times New Roman"/>
          <w:noProof/>
          <w:sz w:val="24"/>
          <w:szCs w:val="24"/>
          <w:lang w:eastAsia="en-GB"/>
        </w:rPr>
      </w:pPr>
      <w:r w:rsidRPr="00D659F6">
        <w:rPr>
          <w:rFonts w:ascii="Times New Roman" w:hAnsi="Times New Roman"/>
          <w:i/>
          <w:noProof/>
          <w:sz w:val="24"/>
          <w:szCs w:val="24"/>
        </w:rPr>
        <w:t>2.5</w:t>
      </w:r>
      <w:r w:rsidRPr="00D659F6">
        <w:rPr>
          <w:rFonts w:ascii="Times New Roman" w:eastAsiaTheme="minorEastAsia" w:hAnsi="Times New Roman"/>
          <w:noProof/>
          <w:sz w:val="24"/>
          <w:szCs w:val="24"/>
          <w:lang w:eastAsia="en-GB"/>
        </w:rPr>
        <w:tab/>
      </w:r>
      <w:r w:rsidRPr="00D659F6">
        <w:rPr>
          <w:rFonts w:ascii="Times New Roman" w:hAnsi="Times New Roman"/>
          <w:i/>
          <w:noProof/>
          <w:sz w:val="24"/>
          <w:szCs w:val="24"/>
        </w:rPr>
        <w:t>Follow-up to the notification procedure</w:t>
      </w:r>
      <w:r w:rsidRPr="00D659F6">
        <w:rPr>
          <w:rFonts w:ascii="Times New Roman" w:hAnsi="Times New Roman"/>
          <w:noProof/>
          <w:sz w:val="24"/>
          <w:szCs w:val="24"/>
        </w:rPr>
        <w:tab/>
      </w:r>
      <w:r w:rsidRPr="00D659F6">
        <w:rPr>
          <w:rFonts w:ascii="Times New Roman" w:hAnsi="Times New Roman"/>
          <w:noProof/>
          <w:sz w:val="24"/>
          <w:szCs w:val="24"/>
        </w:rPr>
        <w:fldChar w:fldCharType="begin"/>
      </w:r>
      <w:r w:rsidRPr="00D659F6">
        <w:rPr>
          <w:rFonts w:ascii="Times New Roman" w:hAnsi="Times New Roman"/>
          <w:noProof/>
          <w:sz w:val="24"/>
          <w:szCs w:val="24"/>
        </w:rPr>
        <w:instrText xml:space="preserve"> PAGEREF _Toc98517791 \h </w:instrText>
      </w:r>
      <w:r w:rsidRPr="00D659F6">
        <w:rPr>
          <w:rFonts w:ascii="Times New Roman" w:hAnsi="Times New Roman"/>
          <w:noProof/>
          <w:sz w:val="24"/>
          <w:szCs w:val="24"/>
        </w:rPr>
      </w:r>
      <w:r w:rsidRPr="00D659F6">
        <w:rPr>
          <w:rFonts w:ascii="Times New Roman" w:hAnsi="Times New Roman"/>
          <w:noProof/>
          <w:sz w:val="24"/>
          <w:szCs w:val="24"/>
        </w:rPr>
        <w:fldChar w:fldCharType="separate"/>
      </w:r>
      <w:r w:rsidRPr="00D659F6">
        <w:rPr>
          <w:rFonts w:ascii="Times New Roman" w:hAnsi="Times New Roman"/>
          <w:noProof/>
          <w:sz w:val="24"/>
          <w:szCs w:val="24"/>
        </w:rPr>
        <w:t>13</w:t>
      </w:r>
      <w:r w:rsidRPr="00D659F6">
        <w:rPr>
          <w:rFonts w:ascii="Times New Roman" w:hAnsi="Times New Roman"/>
          <w:noProof/>
          <w:sz w:val="24"/>
          <w:szCs w:val="24"/>
        </w:rPr>
        <w:fldChar w:fldCharType="end"/>
      </w:r>
    </w:p>
    <w:p w14:paraId="3A1093F0" w14:textId="77777777" w:rsidR="00D659F6" w:rsidRPr="00D659F6" w:rsidRDefault="00D659F6">
      <w:pPr>
        <w:pStyle w:val="TOC2"/>
        <w:rPr>
          <w:rFonts w:ascii="Times New Roman" w:eastAsiaTheme="minorEastAsia" w:hAnsi="Times New Roman"/>
          <w:noProof/>
          <w:sz w:val="24"/>
          <w:szCs w:val="24"/>
          <w:lang w:eastAsia="en-GB"/>
        </w:rPr>
      </w:pPr>
      <w:r w:rsidRPr="00D659F6">
        <w:rPr>
          <w:rFonts w:ascii="Times New Roman" w:hAnsi="Times New Roman"/>
          <w:i/>
          <w:noProof/>
          <w:sz w:val="24"/>
          <w:szCs w:val="24"/>
        </w:rPr>
        <w:t>2.6</w:t>
      </w:r>
      <w:r w:rsidRPr="00D659F6">
        <w:rPr>
          <w:rFonts w:ascii="Times New Roman" w:eastAsiaTheme="minorEastAsia" w:hAnsi="Times New Roman"/>
          <w:noProof/>
          <w:sz w:val="24"/>
          <w:szCs w:val="24"/>
          <w:lang w:eastAsia="en-GB"/>
        </w:rPr>
        <w:tab/>
      </w:r>
      <w:r w:rsidRPr="00D659F6">
        <w:rPr>
          <w:rFonts w:ascii="Times New Roman" w:hAnsi="Times New Roman"/>
          <w:i/>
          <w:noProof/>
          <w:sz w:val="24"/>
          <w:szCs w:val="24"/>
        </w:rPr>
        <w:t>Structured exchanges with the Member States, EEA-EFTA countries, Switzerland and Turkey</w:t>
      </w:r>
      <w:r w:rsidRPr="00D659F6">
        <w:rPr>
          <w:rFonts w:ascii="Times New Roman" w:hAnsi="Times New Roman"/>
          <w:noProof/>
          <w:sz w:val="24"/>
          <w:szCs w:val="24"/>
        </w:rPr>
        <w:tab/>
      </w:r>
      <w:r w:rsidRPr="00D659F6">
        <w:rPr>
          <w:rFonts w:ascii="Times New Roman" w:hAnsi="Times New Roman"/>
          <w:noProof/>
          <w:sz w:val="24"/>
          <w:szCs w:val="24"/>
        </w:rPr>
        <w:fldChar w:fldCharType="begin"/>
      </w:r>
      <w:r w:rsidRPr="00D659F6">
        <w:rPr>
          <w:rFonts w:ascii="Times New Roman" w:hAnsi="Times New Roman"/>
          <w:noProof/>
          <w:sz w:val="24"/>
          <w:szCs w:val="24"/>
        </w:rPr>
        <w:instrText xml:space="preserve"> PAGEREF _Toc98517792 \h </w:instrText>
      </w:r>
      <w:r w:rsidRPr="00D659F6">
        <w:rPr>
          <w:rFonts w:ascii="Times New Roman" w:hAnsi="Times New Roman"/>
          <w:noProof/>
          <w:sz w:val="24"/>
          <w:szCs w:val="24"/>
        </w:rPr>
      </w:r>
      <w:r w:rsidRPr="00D659F6">
        <w:rPr>
          <w:rFonts w:ascii="Times New Roman" w:hAnsi="Times New Roman"/>
          <w:noProof/>
          <w:sz w:val="24"/>
          <w:szCs w:val="24"/>
        </w:rPr>
        <w:fldChar w:fldCharType="separate"/>
      </w:r>
      <w:r w:rsidRPr="00D659F6">
        <w:rPr>
          <w:rFonts w:ascii="Times New Roman" w:hAnsi="Times New Roman"/>
          <w:noProof/>
          <w:sz w:val="24"/>
          <w:szCs w:val="24"/>
        </w:rPr>
        <w:t>13</w:t>
      </w:r>
      <w:r w:rsidRPr="00D659F6">
        <w:rPr>
          <w:rFonts w:ascii="Times New Roman" w:hAnsi="Times New Roman"/>
          <w:noProof/>
          <w:sz w:val="24"/>
          <w:szCs w:val="24"/>
        </w:rPr>
        <w:fldChar w:fldCharType="end"/>
      </w:r>
    </w:p>
    <w:p w14:paraId="2908431E" w14:textId="77777777" w:rsidR="00D659F6" w:rsidRPr="00D659F6" w:rsidRDefault="00D659F6">
      <w:pPr>
        <w:pStyle w:val="TOC2"/>
        <w:rPr>
          <w:rFonts w:ascii="Times New Roman" w:eastAsiaTheme="minorEastAsia" w:hAnsi="Times New Roman"/>
          <w:noProof/>
          <w:sz w:val="24"/>
          <w:szCs w:val="24"/>
          <w:lang w:eastAsia="en-GB"/>
        </w:rPr>
      </w:pPr>
      <w:r w:rsidRPr="00D659F6">
        <w:rPr>
          <w:rFonts w:ascii="Times New Roman" w:hAnsi="Times New Roman"/>
          <w:i/>
          <w:noProof/>
          <w:sz w:val="24"/>
          <w:szCs w:val="24"/>
        </w:rPr>
        <w:t>2.7</w:t>
      </w:r>
      <w:r w:rsidRPr="00D659F6">
        <w:rPr>
          <w:rFonts w:ascii="Times New Roman" w:eastAsiaTheme="minorEastAsia" w:hAnsi="Times New Roman"/>
          <w:noProof/>
          <w:sz w:val="24"/>
          <w:szCs w:val="24"/>
          <w:lang w:eastAsia="en-GB"/>
        </w:rPr>
        <w:tab/>
      </w:r>
      <w:r w:rsidRPr="00D659F6">
        <w:rPr>
          <w:rFonts w:ascii="Times New Roman" w:hAnsi="Times New Roman"/>
          <w:i/>
          <w:noProof/>
          <w:sz w:val="24"/>
          <w:szCs w:val="24"/>
        </w:rPr>
        <w:t>Transparency</w:t>
      </w:r>
      <w:r w:rsidRPr="00D659F6">
        <w:rPr>
          <w:rFonts w:ascii="Times New Roman" w:hAnsi="Times New Roman"/>
          <w:noProof/>
          <w:sz w:val="24"/>
          <w:szCs w:val="24"/>
        </w:rPr>
        <w:tab/>
      </w:r>
      <w:r w:rsidRPr="00D659F6">
        <w:rPr>
          <w:rFonts w:ascii="Times New Roman" w:hAnsi="Times New Roman"/>
          <w:noProof/>
          <w:sz w:val="24"/>
          <w:szCs w:val="24"/>
        </w:rPr>
        <w:fldChar w:fldCharType="begin"/>
      </w:r>
      <w:r w:rsidRPr="00D659F6">
        <w:rPr>
          <w:rFonts w:ascii="Times New Roman" w:hAnsi="Times New Roman"/>
          <w:noProof/>
          <w:sz w:val="24"/>
          <w:szCs w:val="24"/>
        </w:rPr>
        <w:instrText xml:space="preserve"> PAGEREF _Toc98517793 \h </w:instrText>
      </w:r>
      <w:r w:rsidRPr="00D659F6">
        <w:rPr>
          <w:rFonts w:ascii="Times New Roman" w:hAnsi="Times New Roman"/>
          <w:noProof/>
          <w:sz w:val="24"/>
          <w:szCs w:val="24"/>
        </w:rPr>
      </w:r>
      <w:r w:rsidRPr="00D659F6">
        <w:rPr>
          <w:rFonts w:ascii="Times New Roman" w:hAnsi="Times New Roman"/>
          <w:noProof/>
          <w:sz w:val="24"/>
          <w:szCs w:val="24"/>
        </w:rPr>
        <w:fldChar w:fldCharType="separate"/>
      </w:r>
      <w:r w:rsidRPr="00D659F6">
        <w:rPr>
          <w:rFonts w:ascii="Times New Roman" w:hAnsi="Times New Roman"/>
          <w:noProof/>
          <w:sz w:val="24"/>
          <w:szCs w:val="24"/>
        </w:rPr>
        <w:t>15</w:t>
      </w:r>
      <w:r w:rsidRPr="00D659F6">
        <w:rPr>
          <w:rFonts w:ascii="Times New Roman" w:hAnsi="Times New Roman"/>
          <w:noProof/>
          <w:sz w:val="24"/>
          <w:szCs w:val="24"/>
        </w:rPr>
        <w:fldChar w:fldCharType="end"/>
      </w:r>
    </w:p>
    <w:p w14:paraId="3D03A313" w14:textId="77777777" w:rsidR="00D659F6" w:rsidRPr="00D659F6" w:rsidRDefault="00D659F6">
      <w:pPr>
        <w:pStyle w:val="TOC1"/>
        <w:tabs>
          <w:tab w:val="left" w:pos="440"/>
          <w:tab w:val="right" w:leader="dot" w:pos="9062"/>
        </w:tabs>
        <w:rPr>
          <w:rFonts w:ascii="Times New Roman" w:eastAsiaTheme="minorEastAsia" w:hAnsi="Times New Roman"/>
          <w:noProof/>
          <w:sz w:val="24"/>
          <w:szCs w:val="24"/>
          <w:lang w:eastAsia="en-GB"/>
        </w:rPr>
      </w:pPr>
      <w:r w:rsidRPr="00D659F6">
        <w:rPr>
          <w:rFonts w:ascii="Times New Roman" w:hAnsi="Times New Roman"/>
          <w:noProof/>
          <w:sz w:val="24"/>
          <w:szCs w:val="24"/>
        </w:rPr>
        <w:t>3.</w:t>
      </w:r>
      <w:r w:rsidRPr="00D659F6">
        <w:rPr>
          <w:rFonts w:ascii="Times New Roman" w:eastAsiaTheme="minorEastAsia" w:hAnsi="Times New Roman"/>
          <w:noProof/>
          <w:sz w:val="24"/>
          <w:szCs w:val="24"/>
          <w:lang w:eastAsia="en-GB"/>
        </w:rPr>
        <w:tab/>
      </w:r>
      <w:r w:rsidRPr="00D659F6">
        <w:rPr>
          <w:rFonts w:ascii="Times New Roman" w:hAnsi="Times New Roman"/>
          <w:noProof/>
          <w:sz w:val="24"/>
          <w:szCs w:val="24"/>
        </w:rPr>
        <w:t>Conclusion</w:t>
      </w:r>
      <w:r w:rsidRPr="00D659F6">
        <w:rPr>
          <w:rFonts w:ascii="Times New Roman" w:hAnsi="Times New Roman"/>
          <w:noProof/>
          <w:sz w:val="24"/>
          <w:szCs w:val="24"/>
        </w:rPr>
        <w:tab/>
      </w:r>
      <w:r w:rsidRPr="00D659F6">
        <w:rPr>
          <w:rFonts w:ascii="Times New Roman" w:hAnsi="Times New Roman"/>
          <w:noProof/>
          <w:sz w:val="24"/>
          <w:szCs w:val="24"/>
        </w:rPr>
        <w:fldChar w:fldCharType="begin"/>
      </w:r>
      <w:r w:rsidRPr="00D659F6">
        <w:rPr>
          <w:rFonts w:ascii="Times New Roman" w:hAnsi="Times New Roman"/>
          <w:noProof/>
          <w:sz w:val="24"/>
          <w:szCs w:val="24"/>
        </w:rPr>
        <w:instrText xml:space="preserve"> PAGEREF _Toc98517794 \h </w:instrText>
      </w:r>
      <w:r w:rsidRPr="00D659F6">
        <w:rPr>
          <w:rFonts w:ascii="Times New Roman" w:hAnsi="Times New Roman"/>
          <w:noProof/>
          <w:sz w:val="24"/>
          <w:szCs w:val="24"/>
        </w:rPr>
      </w:r>
      <w:r w:rsidRPr="00D659F6">
        <w:rPr>
          <w:rFonts w:ascii="Times New Roman" w:hAnsi="Times New Roman"/>
          <w:noProof/>
          <w:sz w:val="24"/>
          <w:szCs w:val="24"/>
        </w:rPr>
        <w:fldChar w:fldCharType="separate"/>
      </w:r>
      <w:r w:rsidRPr="00D659F6">
        <w:rPr>
          <w:rFonts w:ascii="Times New Roman" w:hAnsi="Times New Roman"/>
          <w:noProof/>
          <w:sz w:val="24"/>
          <w:szCs w:val="24"/>
        </w:rPr>
        <w:t>15</w:t>
      </w:r>
      <w:r w:rsidRPr="00D659F6">
        <w:rPr>
          <w:rFonts w:ascii="Times New Roman" w:hAnsi="Times New Roman"/>
          <w:noProof/>
          <w:sz w:val="24"/>
          <w:szCs w:val="24"/>
        </w:rPr>
        <w:fldChar w:fldCharType="end"/>
      </w:r>
    </w:p>
    <w:p w14:paraId="4F93ED30" w14:textId="77777777" w:rsidR="0049046D" w:rsidRPr="009848AB" w:rsidRDefault="001F7678">
      <w:pPr>
        <w:rPr>
          <w:rFonts w:ascii="Times New Roman" w:hAnsi="Times New Roman"/>
          <w:noProof/>
          <w:sz w:val="24"/>
          <w:szCs w:val="24"/>
        </w:rPr>
      </w:pPr>
      <w:r w:rsidRPr="00D659F6">
        <w:rPr>
          <w:rFonts w:ascii="Times New Roman" w:hAnsi="Times New Roman"/>
          <w:noProof/>
          <w:sz w:val="24"/>
          <w:szCs w:val="24"/>
        </w:rPr>
        <w:fldChar w:fldCharType="end"/>
      </w:r>
    </w:p>
    <w:p w14:paraId="78FF29BE" w14:textId="77777777" w:rsidR="0049046D" w:rsidRDefault="001F7678">
      <w:pPr>
        <w:rPr>
          <w:noProof/>
        </w:rPr>
      </w:pPr>
      <w:r w:rsidRPr="009848AB">
        <w:rPr>
          <w:rFonts w:ascii="Times New Roman" w:hAnsi="Times New Roman"/>
          <w:noProof/>
          <w:sz w:val="24"/>
          <w:szCs w:val="24"/>
        </w:rPr>
        <w:br w:type="page"/>
      </w:r>
      <w:r>
        <w:rPr>
          <w:rFonts w:ascii="Times New Roman" w:eastAsia="Times New Roman" w:hAnsi="Times New Roman"/>
          <w:b/>
          <w:smallCaps/>
          <w:noProof/>
          <w:sz w:val="24"/>
          <w:lang w:eastAsia="en-GB"/>
        </w:rPr>
        <w:t>Executive summary</w:t>
      </w:r>
    </w:p>
    <w:p w14:paraId="6FF16005" w14:textId="77777777" w:rsidR="0049046D" w:rsidRDefault="001F7678">
      <w:pPr>
        <w:spacing w:line="240" w:lineRule="auto"/>
        <w:jc w:val="both"/>
        <w:rPr>
          <w:rFonts w:ascii="Times New Roman" w:hAnsi="Times New Roman"/>
          <w:noProof/>
          <w:sz w:val="24"/>
          <w:szCs w:val="24"/>
        </w:rPr>
      </w:pPr>
      <w:r>
        <w:rPr>
          <w:rFonts w:ascii="Times New Roman" w:hAnsi="Times New Roman"/>
          <w:noProof/>
          <w:sz w:val="24"/>
          <w:szCs w:val="24"/>
        </w:rPr>
        <w:t xml:space="preserve">This report </w:t>
      </w:r>
      <w:r w:rsidR="003511D9" w:rsidRPr="003511D9">
        <w:rPr>
          <w:rFonts w:ascii="Times New Roman" w:hAnsi="Times New Roman"/>
          <w:noProof/>
          <w:sz w:val="24"/>
          <w:szCs w:val="24"/>
        </w:rPr>
        <w:t>is drafted an</w:t>
      </w:r>
      <w:r w:rsidR="00AF6DD9">
        <w:rPr>
          <w:rFonts w:ascii="Times New Roman" w:hAnsi="Times New Roman"/>
          <w:noProof/>
          <w:sz w:val="24"/>
          <w:szCs w:val="24"/>
        </w:rPr>
        <w:t>d submitted in compliance with A</w:t>
      </w:r>
      <w:r w:rsidR="003511D9" w:rsidRPr="003511D9">
        <w:rPr>
          <w:rFonts w:ascii="Times New Roman" w:hAnsi="Times New Roman"/>
          <w:noProof/>
          <w:sz w:val="24"/>
          <w:szCs w:val="24"/>
        </w:rPr>
        <w:t xml:space="preserve">rticle 8 </w:t>
      </w:r>
      <w:r w:rsidR="00AF6DD9">
        <w:rPr>
          <w:rFonts w:ascii="Times New Roman" w:hAnsi="Times New Roman"/>
          <w:noProof/>
          <w:sz w:val="24"/>
          <w:szCs w:val="24"/>
        </w:rPr>
        <w:t xml:space="preserve">of </w:t>
      </w:r>
      <w:r>
        <w:rPr>
          <w:rFonts w:ascii="Times New Roman" w:hAnsi="Times New Roman"/>
          <w:noProof/>
          <w:sz w:val="24"/>
          <w:szCs w:val="24"/>
        </w:rPr>
        <w:t>Directive (EU) 2015/1535</w:t>
      </w:r>
      <w:r>
        <w:rPr>
          <w:rStyle w:val="FootnoteReference"/>
          <w:rFonts w:ascii="Times New Roman" w:hAnsi="Times New Roman"/>
          <w:noProof/>
          <w:sz w:val="24"/>
          <w:szCs w:val="24"/>
        </w:rPr>
        <w:footnoteReference w:id="1"/>
      </w:r>
      <w:r>
        <w:rPr>
          <w:rFonts w:ascii="Times New Roman" w:hAnsi="Times New Roman"/>
          <w:noProof/>
          <w:sz w:val="24"/>
          <w:szCs w:val="24"/>
        </w:rPr>
        <w:t xml:space="preserve"> (the </w:t>
      </w:r>
      <w:r w:rsidR="003A3935">
        <w:rPr>
          <w:rFonts w:ascii="Times New Roman" w:hAnsi="Times New Roman"/>
          <w:noProof/>
          <w:sz w:val="24"/>
          <w:szCs w:val="24"/>
        </w:rPr>
        <w:t>‘</w:t>
      </w:r>
      <w:r w:rsidRPr="00512FFB">
        <w:rPr>
          <w:rFonts w:ascii="Times New Roman" w:hAnsi="Times New Roman"/>
          <w:noProof/>
          <w:sz w:val="24"/>
          <w:szCs w:val="24"/>
        </w:rPr>
        <w:t>Single Market Transparency Directive</w:t>
      </w:r>
      <w:r w:rsidR="003A3935">
        <w:rPr>
          <w:rFonts w:ascii="Times New Roman" w:hAnsi="Times New Roman"/>
          <w:noProof/>
          <w:sz w:val="24"/>
          <w:szCs w:val="24"/>
        </w:rPr>
        <w:t>’</w:t>
      </w:r>
      <w:r>
        <w:rPr>
          <w:rFonts w:ascii="Times New Roman" w:hAnsi="Times New Roman"/>
          <w:noProof/>
          <w:sz w:val="24"/>
          <w:szCs w:val="24"/>
        </w:rPr>
        <w:t xml:space="preserve">). </w:t>
      </w:r>
      <w:r w:rsidR="00AF6DD9">
        <w:rPr>
          <w:rFonts w:ascii="Times New Roman" w:hAnsi="Times New Roman"/>
          <w:noProof/>
          <w:sz w:val="24"/>
          <w:szCs w:val="24"/>
        </w:rPr>
        <w:t xml:space="preserve">It analyses the results of the application of one of the cornerstones of the </w:t>
      </w:r>
      <w:r w:rsidR="008837E1">
        <w:rPr>
          <w:rFonts w:ascii="Times New Roman" w:hAnsi="Times New Roman"/>
          <w:noProof/>
          <w:sz w:val="24"/>
          <w:szCs w:val="24"/>
        </w:rPr>
        <w:t>single</w:t>
      </w:r>
      <w:r w:rsidR="00AF6DD9">
        <w:rPr>
          <w:rFonts w:ascii="Times New Roman" w:hAnsi="Times New Roman"/>
          <w:noProof/>
          <w:sz w:val="24"/>
          <w:szCs w:val="24"/>
        </w:rPr>
        <w:t xml:space="preserve"> market from 2016 to 2020: the notification procedure laid down by</w:t>
      </w:r>
      <w:r w:rsidR="008837E1">
        <w:rPr>
          <w:rFonts w:ascii="Times New Roman" w:hAnsi="Times New Roman"/>
          <w:noProof/>
          <w:sz w:val="24"/>
          <w:szCs w:val="24"/>
        </w:rPr>
        <w:t xml:space="preserve"> the </w:t>
      </w:r>
      <w:r w:rsidR="008837E1" w:rsidRPr="00512FFB">
        <w:rPr>
          <w:rFonts w:ascii="Times New Roman" w:hAnsi="Times New Roman"/>
          <w:noProof/>
          <w:sz w:val="24"/>
          <w:szCs w:val="24"/>
        </w:rPr>
        <w:t>Single Market Transparency Directive</w:t>
      </w:r>
      <w:r w:rsidR="008837E1">
        <w:rPr>
          <w:rFonts w:ascii="Times New Roman" w:hAnsi="Times New Roman"/>
          <w:noProof/>
          <w:sz w:val="24"/>
          <w:szCs w:val="24"/>
        </w:rPr>
        <w:t>.</w:t>
      </w:r>
      <w:r w:rsidR="00AF6DD9">
        <w:rPr>
          <w:rFonts w:ascii="Times New Roman" w:hAnsi="Times New Roman"/>
          <w:noProof/>
          <w:sz w:val="24"/>
          <w:szCs w:val="24"/>
        </w:rPr>
        <w:t xml:space="preserve"> </w:t>
      </w:r>
      <w:r>
        <w:rPr>
          <w:rFonts w:ascii="Times New Roman" w:hAnsi="Times New Roman"/>
          <w:noProof/>
          <w:sz w:val="24"/>
          <w:szCs w:val="24"/>
        </w:rPr>
        <w:t xml:space="preserve">The report highlights the </w:t>
      </w:r>
      <w:r w:rsidR="009A2272">
        <w:rPr>
          <w:rFonts w:ascii="Times New Roman" w:hAnsi="Times New Roman"/>
          <w:noProof/>
          <w:sz w:val="24"/>
          <w:szCs w:val="24"/>
        </w:rPr>
        <w:t>notification procedure</w:t>
      </w:r>
      <w:r w:rsidR="00FC0F10">
        <w:rPr>
          <w:rFonts w:ascii="Times New Roman" w:hAnsi="Times New Roman"/>
          <w:noProof/>
          <w:sz w:val="24"/>
          <w:szCs w:val="24"/>
        </w:rPr>
        <w:t>’s</w:t>
      </w:r>
      <w:r w:rsidR="009A2272">
        <w:rPr>
          <w:rFonts w:ascii="Times New Roman" w:hAnsi="Times New Roman"/>
          <w:noProof/>
          <w:sz w:val="24"/>
          <w:szCs w:val="24"/>
        </w:rPr>
        <w:t xml:space="preserve"> </w:t>
      </w:r>
      <w:r>
        <w:rPr>
          <w:rFonts w:ascii="Times New Roman" w:hAnsi="Times New Roman"/>
          <w:noProof/>
          <w:sz w:val="24"/>
          <w:szCs w:val="24"/>
        </w:rPr>
        <w:t xml:space="preserve">important contribution to the functioning of the </w:t>
      </w:r>
      <w:r w:rsidR="00992F2D">
        <w:rPr>
          <w:rFonts w:ascii="Times New Roman" w:hAnsi="Times New Roman"/>
          <w:noProof/>
          <w:sz w:val="24"/>
          <w:szCs w:val="24"/>
        </w:rPr>
        <w:t>s</w:t>
      </w:r>
      <w:r>
        <w:rPr>
          <w:rFonts w:ascii="Times New Roman" w:hAnsi="Times New Roman"/>
          <w:noProof/>
          <w:sz w:val="24"/>
          <w:szCs w:val="24"/>
        </w:rPr>
        <w:t xml:space="preserve">ingle </w:t>
      </w:r>
      <w:r w:rsidR="00992F2D">
        <w:rPr>
          <w:rFonts w:ascii="Times New Roman" w:hAnsi="Times New Roman"/>
          <w:noProof/>
          <w:sz w:val="24"/>
          <w:szCs w:val="24"/>
        </w:rPr>
        <w:t>m</w:t>
      </w:r>
      <w:r>
        <w:rPr>
          <w:rFonts w:ascii="Times New Roman" w:hAnsi="Times New Roman"/>
          <w:noProof/>
          <w:sz w:val="24"/>
          <w:szCs w:val="24"/>
        </w:rPr>
        <w:t>arket and to implement</w:t>
      </w:r>
      <w:r w:rsidR="00FC0F10">
        <w:rPr>
          <w:rFonts w:ascii="Times New Roman" w:hAnsi="Times New Roman"/>
          <w:noProof/>
          <w:sz w:val="24"/>
          <w:szCs w:val="24"/>
        </w:rPr>
        <w:t>ing</w:t>
      </w:r>
      <w:r>
        <w:rPr>
          <w:rFonts w:ascii="Times New Roman" w:hAnsi="Times New Roman"/>
          <w:noProof/>
          <w:sz w:val="24"/>
          <w:szCs w:val="24"/>
        </w:rPr>
        <w:t xml:space="preserve"> the Better Regulation </w:t>
      </w:r>
      <w:r w:rsidR="00844CC8">
        <w:rPr>
          <w:rFonts w:ascii="Times New Roman" w:hAnsi="Times New Roman"/>
          <w:noProof/>
          <w:sz w:val="24"/>
          <w:szCs w:val="24"/>
        </w:rPr>
        <w:t>guidelines and toolbox</w:t>
      </w:r>
      <w:r>
        <w:rPr>
          <w:rStyle w:val="FootnoteReference"/>
          <w:rFonts w:ascii="Times New Roman" w:hAnsi="Times New Roman"/>
          <w:noProof/>
          <w:sz w:val="24"/>
          <w:szCs w:val="24"/>
        </w:rPr>
        <w:footnoteReference w:id="2"/>
      </w:r>
      <w:r w:rsidR="00921B15">
        <w:rPr>
          <w:rFonts w:ascii="Times New Roman" w:hAnsi="Times New Roman"/>
          <w:noProof/>
          <w:sz w:val="24"/>
          <w:szCs w:val="24"/>
        </w:rPr>
        <w:t>,</w:t>
      </w:r>
      <w:r w:rsidR="00392C71">
        <w:rPr>
          <w:rFonts w:ascii="Times New Roman" w:hAnsi="Times New Roman"/>
          <w:noProof/>
          <w:sz w:val="24"/>
          <w:szCs w:val="24"/>
        </w:rPr>
        <w:t xml:space="preserve"> </w:t>
      </w:r>
      <w:r w:rsidR="00921B15">
        <w:rPr>
          <w:rFonts w:ascii="Times New Roman" w:hAnsi="Times New Roman"/>
          <w:noProof/>
          <w:sz w:val="24"/>
          <w:szCs w:val="24"/>
        </w:rPr>
        <w:t>as well as</w:t>
      </w:r>
      <w:r w:rsidR="00392C71">
        <w:rPr>
          <w:rFonts w:ascii="Times New Roman" w:hAnsi="Times New Roman"/>
          <w:noProof/>
          <w:sz w:val="24"/>
          <w:szCs w:val="24"/>
        </w:rPr>
        <w:t xml:space="preserve"> its pivotal role during the COVID-19 </w:t>
      </w:r>
      <w:r w:rsidR="008837E1">
        <w:rPr>
          <w:rFonts w:ascii="Times New Roman" w:hAnsi="Times New Roman"/>
          <w:noProof/>
          <w:sz w:val="24"/>
          <w:szCs w:val="24"/>
        </w:rPr>
        <w:t>pandemic</w:t>
      </w:r>
      <w:r>
        <w:rPr>
          <w:rFonts w:ascii="Times New Roman" w:hAnsi="Times New Roman"/>
          <w:noProof/>
          <w:sz w:val="24"/>
          <w:szCs w:val="24"/>
        </w:rPr>
        <w:t xml:space="preserve">. </w:t>
      </w:r>
    </w:p>
    <w:p w14:paraId="031BACA9" w14:textId="6F9F566F" w:rsidR="00C47B69" w:rsidRPr="00972408" w:rsidRDefault="00C47B69" w:rsidP="00C47B69">
      <w:pPr>
        <w:spacing w:line="240" w:lineRule="auto"/>
        <w:jc w:val="both"/>
        <w:rPr>
          <w:rFonts w:ascii="Times New Roman" w:hAnsi="Times New Roman"/>
          <w:noProof/>
          <w:sz w:val="24"/>
          <w:szCs w:val="24"/>
        </w:rPr>
      </w:pPr>
      <w:r w:rsidRPr="003554FA">
        <w:rPr>
          <w:rFonts w:ascii="Times New Roman" w:hAnsi="Times New Roman"/>
          <w:noProof/>
          <w:sz w:val="24"/>
          <w:szCs w:val="24"/>
        </w:rPr>
        <w:t>Notifying the Commission of national technical regulations before their adoption has continued to be an important tool to address the emergence of barriers to trade, with the aim to prevent them.  It has also continued to be a good channel to ensure cooperation between the Commission and the Member States and among the Member States themselves</w:t>
      </w:r>
      <w:r w:rsidRPr="00892E98">
        <w:rPr>
          <w:rFonts w:ascii="Times New Roman" w:hAnsi="Times New Roman"/>
          <w:noProof/>
          <w:sz w:val="24"/>
          <w:szCs w:val="24"/>
        </w:rPr>
        <w:t>. T</w:t>
      </w:r>
      <w:r w:rsidRPr="00972408">
        <w:rPr>
          <w:rFonts w:ascii="Times New Roman" w:hAnsi="Times New Roman"/>
          <w:noProof/>
          <w:sz w:val="24"/>
          <w:szCs w:val="24"/>
        </w:rPr>
        <w:t>his is</w:t>
      </w:r>
      <w:r w:rsidRPr="003554FA">
        <w:rPr>
          <w:rFonts w:ascii="Times New Roman" w:hAnsi="Times New Roman"/>
          <w:noProof/>
          <w:sz w:val="24"/>
          <w:szCs w:val="24"/>
        </w:rPr>
        <w:t xml:space="preserve"> particularly important in critical and unforeseen circumstances </w:t>
      </w:r>
      <w:r w:rsidRPr="00892E98">
        <w:rPr>
          <w:rFonts w:ascii="Times New Roman" w:hAnsi="Times New Roman"/>
          <w:noProof/>
          <w:sz w:val="24"/>
          <w:szCs w:val="24"/>
        </w:rPr>
        <w:t>such as</w:t>
      </w:r>
      <w:r w:rsidRPr="003554FA">
        <w:rPr>
          <w:rFonts w:ascii="Times New Roman" w:hAnsi="Times New Roman"/>
          <w:noProof/>
          <w:sz w:val="24"/>
          <w:szCs w:val="24"/>
        </w:rPr>
        <w:t xml:space="preserve"> </w:t>
      </w:r>
      <w:r w:rsidRPr="00892E98">
        <w:rPr>
          <w:rFonts w:ascii="Times New Roman" w:hAnsi="Times New Roman"/>
          <w:noProof/>
          <w:sz w:val="24"/>
          <w:szCs w:val="24"/>
        </w:rPr>
        <w:t xml:space="preserve">during </w:t>
      </w:r>
      <w:r w:rsidRPr="003554FA">
        <w:rPr>
          <w:rFonts w:ascii="Times New Roman" w:hAnsi="Times New Roman"/>
          <w:noProof/>
          <w:sz w:val="24"/>
          <w:szCs w:val="24"/>
        </w:rPr>
        <w:t>the COVID-19 pandemic</w:t>
      </w:r>
      <w:r w:rsidRPr="00892E98">
        <w:rPr>
          <w:rFonts w:ascii="Times New Roman" w:hAnsi="Times New Roman"/>
          <w:noProof/>
          <w:sz w:val="24"/>
          <w:szCs w:val="24"/>
        </w:rPr>
        <w:t xml:space="preserve">. </w:t>
      </w:r>
      <w:r w:rsidRPr="003554FA">
        <w:rPr>
          <w:rFonts w:ascii="Times New Roman" w:hAnsi="Times New Roman"/>
          <w:noProof/>
          <w:sz w:val="24"/>
          <w:szCs w:val="24"/>
        </w:rPr>
        <w:t>Also</w:t>
      </w:r>
      <w:r w:rsidR="007803E0">
        <w:rPr>
          <w:rFonts w:ascii="Times New Roman" w:hAnsi="Times New Roman"/>
          <w:noProof/>
          <w:sz w:val="24"/>
          <w:szCs w:val="24"/>
        </w:rPr>
        <w:t>,</w:t>
      </w:r>
      <w:r w:rsidRPr="003554FA">
        <w:rPr>
          <w:rFonts w:ascii="Times New Roman" w:hAnsi="Times New Roman"/>
          <w:noProof/>
          <w:sz w:val="24"/>
          <w:szCs w:val="24"/>
        </w:rPr>
        <w:t xml:space="preserve"> technical regulations </w:t>
      </w:r>
      <w:r w:rsidRPr="00892E98">
        <w:rPr>
          <w:rFonts w:ascii="Times New Roman" w:hAnsi="Times New Roman"/>
          <w:noProof/>
          <w:sz w:val="24"/>
          <w:szCs w:val="24"/>
        </w:rPr>
        <w:t xml:space="preserve">are </w:t>
      </w:r>
      <w:r w:rsidRPr="003554FA">
        <w:rPr>
          <w:rFonts w:ascii="Times New Roman" w:hAnsi="Times New Roman"/>
          <w:noProof/>
          <w:sz w:val="24"/>
          <w:szCs w:val="24"/>
        </w:rPr>
        <w:t>notified to the Commission and the final text</w:t>
      </w:r>
      <w:r w:rsidRPr="00892E98">
        <w:rPr>
          <w:rFonts w:ascii="Times New Roman" w:hAnsi="Times New Roman"/>
          <w:noProof/>
          <w:sz w:val="24"/>
          <w:szCs w:val="24"/>
        </w:rPr>
        <w:t>s</w:t>
      </w:r>
      <w:r w:rsidRPr="003554FA">
        <w:rPr>
          <w:rFonts w:ascii="Times New Roman" w:hAnsi="Times New Roman"/>
          <w:noProof/>
          <w:sz w:val="24"/>
          <w:szCs w:val="24"/>
        </w:rPr>
        <w:t xml:space="preserve"> of the notified measures are translated into 23 official languages of the EU</w:t>
      </w:r>
      <w:r w:rsidRPr="00892E98">
        <w:rPr>
          <w:rStyle w:val="FootnoteReference"/>
          <w:rFonts w:ascii="Times New Roman" w:hAnsi="Times New Roman"/>
          <w:noProof/>
          <w:sz w:val="24"/>
          <w:szCs w:val="24"/>
        </w:rPr>
        <w:footnoteReference w:id="3"/>
      </w:r>
      <w:r w:rsidRPr="00892E98">
        <w:rPr>
          <w:rFonts w:ascii="Times New Roman" w:hAnsi="Times New Roman"/>
          <w:noProof/>
          <w:sz w:val="24"/>
          <w:szCs w:val="24"/>
        </w:rPr>
        <w:t xml:space="preserve">. </w:t>
      </w:r>
    </w:p>
    <w:p w14:paraId="32CB27BC" w14:textId="77777777" w:rsidR="0049046D" w:rsidRDefault="008E50E0">
      <w:pPr>
        <w:spacing w:line="240" w:lineRule="auto"/>
        <w:jc w:val="both"/>
        <w:rPr>
          <w:rFonts w:ascii="Times New Roman" w:hAnsi="Times New Roman"/>
          <w:noProof/>
          <w:sz w:val="24"/>
          <w:szCs w:val="24"/>
        </w:rPr>
      </w:pPr>
      <w:r>
        <w:rPr>
          <w:rFonts w:ascii="Times New Roman" w:hAnsi="Times New Roman"/>
          <w:noProof/>
          <w:sz w:val="24"/>
          <w:szCs w:val="24"/>
        </w:rPr>
        <w:t xml:space="preserve">Additionally, </w:t>
      </w:r>
      <w:r w:rsidRPr="008E50E0">
        <w:rPr>
          <w:rFonts w:ascii="Times New Roman" w:hAnsi="Times New Roman"/>
          <w:noProof/>
          <w:sz w:val="24"/>
          <w:szCs w:val="24"/>
        </w:rPr>
        <w:t xml:space="preserve">the implementation of the </w:t>
      </w:r>
      <w:r>
        <w:rPr>
          <w:rFonts w:ascii="Times New Roman" w:hAnsi="Times New Roman"/>
          <w:noProof/>
          <w:sz w:val="24"/>
          <w:szCs w:val="24"/>
        </w:rPr>
        <w:t>S</w:t>
      </w:r>
      <w:r w:rsidRPr="008E50E0">
        <w:rPr>
          <w:rFonts w:ascii="Times New Roman" w:hAnsi="Times New Roman"/>
          <w:noProof/>
          <w:sz w:val="24"/>
          <w:szCs w:val="24"/>
        </w:rPr>
        <w:t>ingle</w:t>
      </w:r>
      <w:r>
        <w:rPr>
          <w:rFonts w:ascii="Times New Roman" w:hAnsi="Times New Roman"/>
          <w:noProof/>
          <w:sz w:val="24"/>
          <w:szCs w:val="24"/>
        </w:rPr>
        <w:t xml:space="preserve"> M</w:t>
      </w:r>
      <w:r w:rsidRPr="008E50E0">
        <w:rPr>
          <w:rFonts w:ascii="Times New Roman" w:hAnsi="Times New Roman"/>
          <w:noProof/>
          <w:sz w:val="24"/>
          <w:szCs w:val="24"/>
        </w:rPr>
        <w:t>arket Transparency Directive</w:t>
      </w:r>
      <w:r w:rsidR="003D6518">
        <w:rPr>
          <w:rFonts w:ascii="Times New Roman" w:hAnsi="Times New Roman"/>
          <w:noProof/>
          <w:sz w:val="24"/>
          <w:szCs w:val="24"/>
        </w:rPr>
        <w:t xml:space="preserve"> </w:t>
      </w:r>
      <w:r w:rsidR="003D6518" w:rsidRPr="003D6518">
        <w:rPr>
          <w:rFonts w:ascii="Times New Roman" w:hAnsi="Times New Roman"/>
          <w:noProof/>
          <w:sz w:val="24"/>
          <w:szCs w:val="24"/>
        </w:rPr>
        <w:t>requires the Commission to follow up and monitor all notifications</w:t>
      </w:r>
      <w:r>
        <w:rPr>
          <w:rFonts w:ascii="Times New Roman" w:hAnsi="Times New Roman"/>
          <w:noProof/>
          <w:sz w:val="24"/>
          <w:szCs w:val="24"/>
        </w:rPr>
        <w:t xml:space="preserve"> </w:t>
      </w:r>
      <w:r w:rsidRPr="008E50E0">
        <w:rPr>
          <w:rFonts w:ascii="Times New Roman" w:hAnsi="Times New Roman"/>
          <w:noProof/>
          <w:sz w:val="24"/>
          <w:szCs w:val="24"/>
        </w:rPr>
        <w:t xml:space="preserve">raising concerns as to their </w:t>
      </w:r>
      <w:r>
        <w:rPr>
          <w:rFonts w:ascii="Times New Roman" w:hAnsi="Times New Roman"/>
          <w:noProof/>
          <w:sz w:val="24"/>
          <w:szCs w:val="24"/>
        </w:rPr>
        <w:t>compatibility with EU l</w:t>
      </w:r>
      <w:r w:rsidR="00F96EEC">
        <w:rPr>
          <w:rFonts w:ascii="Times New Roman" w:hAnsi="Times New Roman"/>
          <w:noProof/>
          <w:sz w:val="24"/>
          <w:szCs w:val="24"/>
        </w:rPr>
        <w:t>aw. In that context, the Commission pay</w:t>
      </w:r>
      <w:r w:rsidR="0025089B">
        <w:rPr>
          <w:rFonts w:ascii="Times New Roman" w:hAnsi="Times New Roman"/>
          <w:noProof/>
          <w:sz w:val="24"/>
          <w:szCs w:val="24"/>
        </w:rPr>
        <w:t>s</w:t>
      </w:r>
      <w:r>
        <w:rPr>
          <w:rFonts w:ascii="Times New Roman" w:hAnsi="Times New Roman"/>
          <w:noProof/>
          <w:sz w:val="24"/>
          <w:szCs w:val="24"/>
        </w:rPr>
        <w:t xml:space="preserve"> </w:t>
      </w:r>
      <w:r w:rsidRPr="008E50E0">
        <w:rPr>
          <w:rFonts w:ascii="Times New Roman" w:hAnsi="Times New Roman"/>
          <w:noProof/>
          <w:sz w:val="24"/>
          <w:szCs w:val="24"/>
        </w:rPr>
        <w:t>particular attention to measures having the highe</w:t>
      </w:r>
      <w:r>
        <w:rPr>
          <w:rFonts w:ascii="Times New Roman" w:hAnsi="Times New Roman"/>
          <w:noProof/>
          <w:sz w:val="24"/>
          <w:szCs w:val="24"/>
        </w:rPr>
        <w:t>st impact on the single market</w:t>
      </w:r>
      <w:r w:rsidR="00E25473">
        <w:rPr>
          <w:rStyle w:val="FootnoteReference"/>
          <w:rFonts w:ascii="Times New Roman" w:hAnsi="Times New Roman"/>
          <w:noProof/>
          <w:sz w:val="24"/>
          <w:szCs w:val="24"/>
        </w:rPr>
        <w:footnoteReference w:id="4"/>
      </w:r>
      <w:r>
        <w:rPr>
          <w:rFonts w:ascii="Times New Roman" w:hAnsi="Times New Roman"/>
          <w:noProof/>
          <w:sz w:val="24"/>
          <w:szCs w:val="24"/>
        </w:rPr>
        <w:t>.</w:t>
      </w:r>
      <w:r w:rsidRPr="008E50E0">
        <w:rPr>
          <w:rFonts w:ascii="Times New Roman" w:hAnsi="Times New Roman"/>
          <w:noProof/>
          <w:sz w:val="24"/>
          <w:szCs w:val="24"/>
        </w:rPr>
        <w:t xml:space="preserve"> </w:t>
      </w:r>
    </w:p>
    <w:p w14:paraId="36C0315D" w14:textId="77777777" w:rsidR="0049046D" w:rsidRDefault="001F7678">
      <w:pPr>
        <w:pStyle w:val="ManualHeading1"/>
        <w:tabs>
          <w:tab w:val="clear" w:pos="850"/>
          <w:tab w:val="left" w:pos="0"/>
        </w:tabs>
        <w:ind w:left="0" w:firstLine="0"/>
        <w:rPr>
          <w:noProof/>
        </w:rPr>
      </w:pPr>
      <w:r>
        <w:rPr>
          <w:noProof/>
          <w:szCs w:val="24"/>
        </w:rPr>
        <w:t xml:space="preserve"> </w:t>
      </w:r>
      <w:r>
        <w:rPr>
          <w:noProof/>
          <w:szCs w:val="24"/>
        </w:rPr>
        <w:br w:type="page"/>
      </w:r>
      <w:bookmarkStart w:id="3" w:name="_Toc98517782"/>
      <w:r>
        <w:rPr>
          <w:noProof/>
        </w:rPr>
        <w:t>INTRODUCTION</w:t>
      </w:r>
      <w:bookmarkEnd w:id="3"/>
    </w:p>
    <w:p w14:paraId="06327D01" w14:textId="77777777" w:rsidR="00E36B66" w:rsidRDefault="009A162F" w:rsidP="00E36B66">
      <w:pPr>
        <w:pStyle w:val="Default"/>
        <w:spacing w:before="120" w:after="120"/>
        <w:jc w:val="both"/>
        <w:rPr>
          <w:noProof/>
        </w:rPr>
      </w:pPr>
      <w:r>
        <w:rPr>
          <w:noProof/>
        </w:rPr>
        <w:t xml:space="preserve">As </w:t>
      </w:r>
      <w:r w:rsidRPr="00B91D25">
        <w:rPr>
          <w:noProof/>
        </w:rPr>
        <w:t>‘an engine for building a stronger and fairer EU economy’</w:t>
      </w:r>
      <w:r w:rsidR="003D4889">
        <w:rPr>
          <w:noProof/>
        </w:rPr>
        <w:t>,</w:t>
      </w:r>
      <w:r>
        <w:rPr>
          <w:noProof/>
        </w:rPr>
        <w:t xml:space="preserve">  t</w:t>
      </w:r>
      <w:r w:rsidR="001F7678" w:rsidRPr="00512FFB">
        <w:rPr>
          <w:noProof/>
        </w:rPr>
        <w:t xml:space="preserve">he </w:t>
      </w:r>
      <w:r w:rsidR="008837E1">
        <w:rPr>
          <w:noProof/>
        </w:rPr>
        <w:t>single</w:t>
      </w:r>
      <w:r w:rsidR="001F7678" w:rsidRPr="00512FFB">
        <w:rPr>
          <w:noProof/>
        </w:rPr>
        <w:t xml:space="preserve"> market is </w:t>
      </w:r>
      <w:r>
        <w:rPr>
          <w:noProof/>
        </w:rPr>
        <w:t xml:space="preserve">a key </w:t>
      </w:r>
      <w:r w:rsidR="009E6FB4" w:rsidRPr="00512FFB">
        <w:rPr>
          <w:noProof/>
        </w:rPr>
        <w:t>part</w:t>
      </w:r>
      <w:r w:rsidR="001F7678" w:rsidRPr="00512FFB">
        <w:rPr>
          <w:noProof/>
        </w:rPr>
        <w:t xml:space="preserve"> of the Commission</w:t>
      </w:r>
      <w:r w:rsidR="003C64C5">
        <w:rPr>
          <w:noProof/>
        </w:rPr>
        <w:t>’</w:t>
      </w:r>
      <w:r w:rsidR="001F7678" w:rsidRPr="00512FFB">
        <w:rPr>
          <w:noProof/>
        </w:rPr>
        <w:t xml:space="preserve">s </w:t>
      </w:r>
      <w:r w:rsidR="00346292">
        <w:rPr>
          <w:noProof/>
        </w:rPr>
        <w:t>six</w:t>
      </w:r>
      <w:r w:rsidR="001F7678" w:rsidRPr="00512FFB">
        <w:rPr>
          <w:noProof/>
        </w:rPr>
        <w:t xml:space="preserve"> priorities </w:t>
      </w:r>
      <w:r w:rsidR="009E6FB4" w:rsidRPr="00512FFB">
        <w:rPr>
          <w:noProof/>
        </w:rPr>
        <w:t>for 2019-2024</w:t>
      </w:r>
      <w:r w:rsidR="00346292" w:rsidRPr="00AB1395">
        <w:rPr>
          <w:rStyle w:val="FootnoteReference"/>
          <w:noProof/>
        </w:rPr>
        <w:footnoteReference w:id="5"/>
      </w:r>
      <w:r w:rsidR="001F7678" w:rsidRPr="00512FFB">
        <w:rPr>
          <w:noProof/>
        </w:rPr>
        <w:t xml:space="preserve">. </w:t>
      </w:r>
      <w:r w:rsidR="00E36B66">
        <w:rPr>
          <w:noProof/>
        </w:rPr>
        <w:t xml:space="preserve">The </w:t>
      </w:r>
      <w:r w:rsidR="008837E1">
        <w:rPr>
          <w:noProof/>
        </w:rPr>
        <w:t>single</w:t>
      </w:r>
      <w:r w:rsidR="00E36B66">
        <w:rPr>
          <w:noProof/>
        </w:rPr>
        <w:t xml:space="preserve"> market has improved prosperity and opportunities for businesses</w:t>
      </w:r>
      <w:r w:rsidR="00F71379">
        <w:rPr>
          <w:noProof/>
        </w:rPr>
        <w:t xml:space="preserve"> and the public in Europe</w:t>
      </w:r>
      <w:r w:rsidR="00E25174">
        <w:rPr>
          <w:noProof/>
        </w:rPr>
        <w:t xml:space="preserve">. </w:t>
      </w:r>
      <w:r w:rsidR="00E36B66">
        <w:rPr>
          <w:noProof/>
        </w:rPr>
        <w:t xml:space="preserve">A </w:t>
      </w:r>
      <w:r w:rsidR="008837E1">
        <w:rPr>
          <w:noProof/>
        </w:rPr>
        <w:t>well-</w:t>
      </w:r>
      <w:r w:rsidR="00E36B66">
        <w:rPr>
          <w:noProof/>
        </w:rPr>
        <w:t xml:space="preserve">functioning single market stimulates competition and trade, improves efficiency, raises quality and helps </w:t>
      </w:r>
      <w:r w:rsidR="008837E1">
        <w:rPr>
          <w:noProof/>
        </w:rPr>
        <w:t xml:space="preserve">reduce </w:t>
      </w:r>
      <w:r w:rsidR="00E36B66">
        <w:rPr>
          <w:noProof/>
        </w:rPr>
        <w:t>prices</w:t>
      </w:r>
      <w:r w:rsidR="008837E1">
        <w:rPr>
          <w:noProof/>
        </w:rPr>
        <w:t xml:space="preserve"> for businesses and consumers</w:t>
      </w:r>
      <w:r w:rsidR="00E36B66" w:rsidRPr="00B91D25">
        <w:rPr>
          <w:rStyle w:val="FootnoteReference"/>
          <w:noProof/>
        </w:rPr>
        <w:footnoteReference w:id="6"/>
      </w:r>
      <w:r w:rsidR="00E36B66">
        <w:rPr>
          <w:noProof/>
        </w:rPr>
        <w:t>.</w:t>
      </w:r>
    </w:p>
    <w:p w14:paraId="59F23606" w14:textId="77777777" w:rsidR="00E66A22" w:rsidRDefault="00E36B66" w:rsidP="00507CB4">
      <w:pPr>
        <w:pStyle w:val="NormalWeb"/>
        <w:jc w:val="both"/>
        <w:rPr>
          <w:noProof/>
        </w:rPr>
      </w:pPr>
      <w:r w:rsidRPr="00E36B66">
        <w:rPr>
          <w:noProof/>
        </w:rPr>
        <w:t xml:space="preserve">As part of the Commission’s March 2020 </w:t>
      </w:r>
      <w:r w:rsidR="00CC4DD8">
        <w:rPr>
          <w:noProof/>
        </w:rPr>
        <w:t>n</w:t>
      </w:r>
      <w:r w:rsidRPr="00E36B66">
        <w:rPr>
          <w:noProof/>
        </w:rPr>
        <w:t xml:space="preserve">ew </w:t>
      </w:r>
      <w:r w:rsidR="00CC4DD8">
        <w:rPr>
          <w:noProof/>
        </w:rPr>
        <w:t>i</w:t>
      </w:r>
      <w:r w:rsidRPr="00E36B66">
        <w:rPr>
          <w:noProof/>
        </w:rPr>
        <w:t xml:space="preserve">ndustry </w:t>
      </w:r>
      <w:r w:rsidR="00CC4DD8">
        <w:rPr>
          <w:noProof/>
        </w:rPr>
        <w:t>s</w:t>
      </w:r>
      <w:r w:rsidRPr="00E36B66">
        <w:rPr>
          <w:noProof/>
        </w:rPr>
        <w:t xml:space="preserve">trategy </w:t>
      </w:r>
      <w:r w:rsidR="00CC4DD8">
        <w:rPr>
          <w:noProof/>
        </w:rPr>
        <w:t>p</w:t>
      </w:r>
      <w:r w:rsidRPr="00E36B66">
        <w:rPr>
          <w:noProof/>
        </w:rPr>
        <w:t>ackage</w:t>
      </w:r>
      <w:r w:rsidR="00A9205F">
        <w:rPr>
          <w:rStyle w:val="FootnoteReference"/>
          <w:noProof/>
        </w:rPr>
        <w:footnoteReference w:id="7"/>
      </w:r>
      <w:r w:rsidR="00A9205F">
        <w:rPr>
          <w:noProof/>
        </w:rPr>
        <w:t>,</w:t>
      </w:r>
      <w:r w:rsidRPr="00E36B66">
        <w:rPr>
          <w:noProof/>
        </w:rPr>
        <w:t xml:space="preserve"> a </w:t>
      </w:r>
      <w:r w:rsidR="001F1AF0">
        <w:rPr>
          <w:noProof/>
        </w:rPr>
        <w:t>c</w:t>
      </w:r>
      <w:r w:rsidRPr="00E36B66">
        <w:rPr>
          <w:noProof/>
        </w:rPr>
        <w:t>ommunication on barriers</w:t>
      </w:r>
      <w:r w:rsidR="001D593E">
        <w:rPr>
          <w:rStyle w:val="FootnoteReference"/>
          <w:noProof/>
        </w:rPr>
        <w:footnoteReference w:id="8"/>
      </w:r>
      <w:r w:rsidRPr="00E36B66">
        <w:rPr>
          <w:noProof/>
        </w:rPr>
        <w:t xml:space="preserve"> and a</w:t>
      </w:r>
      <w:r w:rsidR="00A9205F">
        <w:rPr>
          <w:noProof/>
        </w:rPr>
        <w:t>n</w:t>
      </w:r>
      <w:r w:rsidRPr="00E36B66">
        <w:rPr>
          <w:noProof/>
        </w:rPr>
        <w:t xml:space="preserve"> </w:t>
      </w:r>
      <w:r w:rsidR="003C64C5">
        <w:rPr>
          <w:noProof/>
        </w:rPr>
        <w:t>a</w:t>
      </w:r>
      <w:r w:rsidR="00A9205F" w:rsidRPr="00E36B66">
        <w:rPr>
          <w:noProof/>
        </w:rPr>
        <w:t xml:space="preserve">ction plan </w:t>
      </w:r>
      <w:r w:rsidR="00A9205F">
        <w:rPr>
          <w:noProof/>
        </w:rPr>
        <w:t xml:space="preserve">on </w:t>
      </w:r>
      <w:r w:rsidR="003C64C5">
        <w:rPr>
          <w:noProof/>
        </w:rPr>
        <w:t>s</w:t>
      </w:r>
      <w:r w:rsidRPr="00E36B66">
        <w:rPr>
          <w:noProof/>
        </w:rPr>
        <w:t xml:space="preserve">ingle </w:t>
      </w:r>
      <w:r w:rsidR="003C64C5">
        <w:rPr>
          <w:noProof/>
        </w:rPr>
        <w:t>m</w:t>
      </w:r>
      <w:r w:rsidRPr="00E36B66">
        <w:rPr>
          <w:noProof/>
        </w:rPr>
        <w:t xml:space="preserve">arket </w:t>
      </w:r>
      <w:r w:rsidR="003C64C5">
        <w:rPr>
          <w:noProof/>
        </w:rPr>
        <w:t>e</w:t>
      </w:r>
      <w:r w:rsidRPr="00E36B66">
        <w:rPr>
          <w:noProof/>
        </w:rPr>
        <w:t>nforcement</w:t>
      </w:r>
      <w:r w:rsidR="00D92A66">
        <w:rPr>
          <w:rStyle w:val="FootnoteReference"/>
          <w:noProof/>
        </w:rPr>
        <w:footnoteReference w:id="9"/>
      </w:r>
      <w:r w:rsidRPr="00E36B66">
        <w:rPr>
          <w:noProof/>
        </w:rPr>
        <w:t xml:space="preserve"> were adopted to further improve</w:t>
      </w:r>
      <w:r w:rsidR="009D24C3">
        <w:rPr>
          <w:noProof/>
        </w:rPr>
        <w:t xml:space="preserve"> </w:t>
      </w:r>
      <w:r w:rsidR="009D24C3" w:rsidRPr="009D24C3">
        <w:rPr>
          <w:noProof/>
        </w:rPr>
        <w:t>competitiveness and facilit</w:t>
      </w:r>
      <w:r w:rsidR="009D24C3">
        <w:rPr>
          <w:noProof/>
        </w:rPr>
        <w:t>e</w:t>
      </w:r>
      <w:r w:rsidR="009D24C3" w:rsidRPr="009D24C3">
        <w:rPr>
          <w:noProof/>
        </w:rPr>
        <w:t xml:space="preserve"> the integration of companies of all sizes in E</w:t>
      </w:r>
      <w:r w:rsidR="00ED3792">
        <w:rPr>
          <w:noProof/>
        </w:rPr>
        <w:t>U</w:t>
      </w:r>
      <w:r w:rsidR="009D24C3" w:rsidRPr="009D24C3">
        <w:rPr>
          <w:noProof/>
        </w:rPr>
        <w:t xml:space="preserve"> and global value chains. </w:t>
      </w:r>
      <w:r w:rsidR="00E82918">
        <w:rPr>
          <w:noProof/>
        </w:rPr>
        <w:t xml:space="preserve">Action 10 of the Commission </w:t>
      </w:r>
      <w:r w:rsidR="003C64C5">
        <w:rPr>
          <w:noProof/>
        </w:rPr>
        <w:t>a</w:t>
      </w:r>
      <w:r w:rsidR="00E82918">
        <w:rPr>
          <w:noProof/>
        </w:rPr>
        <w:t xml:space="preserve">ction </w:t>
      </w:r>
      <w:r w:rsidR="003C64C5">
        <w:rPr>
          <w:noProof/>
        </w:rPr>
        <w:t>p</w:t>
      </w:r>
      <w:r w:rsidR="00E82918">
        <w:rPr>
          <w:noProof/>
        </w:rPr>
        <w:t xml:space="preserve">lan on </w:t>
      </w:r>
      <w:r w:rsidR="003C64C5">
        <w:rPr>
          <w:noProof/>
        </w:rPr>
        <w:t>s</w:t>
      </w:r>
      <w:r w:rsidR="00E82918">
        <w:rPr>
          <w:noProof/>
        </w:rPr>
        <w:t xml:space="preserve">ingle </w:t>
      </w:r>
      <w:r w:rsidR="003C64C5">
        <w:rPr>
          <w:noProof/>
        </w:rPr>
        <w:t>m</w:t>
      </w:r>
      <w:r w:rsidR="00E82918">
        <w:rPr>
          <w:noProof/>
        </w:rPr>
        <w:t xml:space="preserve">arket </w:t>
      </w:r>
      <w:r w:rsidR="003C64C5">
        <w:rPr>
          <w:noProof/>
        </w:rPr>
        <w:t>e</w:t>
      </w:r>
      <w:r w:rsidR="00E82918">
        <w:rPr>
          <w:noProof/>
        </w:rPr>
        <w:t>nforcement refers</w:t>
      </w:r>
      <w:r w:rsidR="00D9378F">
        <w:rPr>
          <w:noProof/>
        </w:rPr>
        <w:t xml:space="preserve"> t</w:t>
      </w:r>
      <w:r w:rsidR="00E82918">
        <w:rPr>
          <w:noProof/>
        </w:rPr>
        <w:t xml:space="preserve">o the Single Market Transparency Directive. </w:t>
      </w:r>
      <w:r w:rsidR="00B65376" w:rsidRPr="00B65376">
        <w:rPr>
          <w:noProof/>
        </w:rPr>
        <w:t xml:space="preserve">In </w:t>
      </w:r>
      <w:r w:rsidR="00E82918">
        <w:rPr>
          <w:noProof/>
        </w:rPr>
        <w:t xml:space="preserve">that context, </w:t>
      </w:r>
      <w:r w:rsidR="008B37A2" w:rsidRPr="00C70608">
        <w:rPr>
          <w:noProof/>
        </w:rPr>
        <w:t>‘</w:t>
      </w:r>
      <w:r w:rsidR="00E82918" w:rsidRPr="00C70608">
        <w:rPr>
          <w:noProof/>
        </w:rPr>
        <w:t xml:space="preserve">in </w:t>
      </w:r>
      <w:r w:rsidR="00B65376" w:rsidRPr="00C70608">
        <w:rPr>
          <w:noProof/>
        </w:rPr>
        <w:t xml:space="preserve">line with the more strategic approach for the Commission’s enforcement actions, the implementation of the Single Market Transparency Directive </w:t>
      </w:r>
      <w:r w:rsidR="00A67F54" w:rsidRPr="00C70608">
        <w:rPr>
          <w:noProof/>
        </w:rPr>
        <w:t xml:space="preserve">is </w:t>
      </w:r>
      <w:r w:rsidR="00B65376" w:rsidRPr="00C70608">
        <w:rPr>
          <w:noProof/>
        </w:rPr>
        <w:t xml:space="preserve">built on four axes:  </w:t>
      </w:r>
    </w:p>
    <w:p w14:paraId="3C0F79E5" w14:textId="77777777" w:rsidR="00E66A22" w:rsidRDefault="00B65376" w:rsidP="00B95DED">
      <w:pPr>
        <w:pStyle w:val="NormalWeb"/>
        <w:numPr>
          <w:ilvl w:val="0"/>
          <w:numId w:val="39"/>
        </w:numPr>
        <w:jc w:val="both"/>
        <w:rPr>
          <w:noProof/>
        </w:rPr>
      </w:pPr>
      <w:r w:rsidRPr="00C70608">
        <w:rPr>
          <w:noProof/>
        </w:rPr>
        <w:t xml:space="preserve">Member States notify </w:t>
      </w:r>
      <w:r w:rsidR="00F37B45">
        <w:rPr>
          <w:noProof/>
        </w:rPr>
        <w:t xml:space="preserve">to the Commission </w:t>
      </w:r>
      <w:r w:rsidRPr="00C70608">
        <w:rPr>
          <w:noProof/>
        </w:rPr>
        <w:t xml:space="preserve">all draft technical regulations  concerning  goods and information  society  services;  </w:t>
      </w:r>
    </w:p>
    <w:p w14:paraId="38C40761" w14:textId="77777777" w:rsidR="00E66A22" w:rsidRDefault="00B65376" w:rsidP="00B95DED">
      <w:pPr>
        <w:pStyle w:val="NormalWeb"/>
        <w:numPr>
          <w:ilvl w:val="0"/>
          <w:numId w:val="39"/>
        </w:numPr>
        <w:jc w:val="both"/>
        <w:rPr>
          <w:noProof/>
        </w:rPr>
      </w:pPr>
      <w:r w:rsidRPr="00C70608">
        <w:rPr>
          <w:noProof/>
        </w:rPr>
        <w:t>the Commission follow</w:t>
      </w:r>
      <w:r w:rsidR="00A67F54" w:rsidRPr="00C70608">
        <w:rPr>
          <w:noProof/>
        </w:rPr>
        <w:t>s</w:t>
      </w:r>
      <w:r w:rsidRPr="00C70608">
        <w:rPr>
          <w:noProof/>
        </w:rPr>
        <w:t xml:space="preserve"> up on all notifications raising concerns as to the their  compatibility  with  EU  law;  </w:t>
      </w:r>
    </w:p>
    <w:p w14:paraId="535BEF20" w14:textId="77777777" w:rsidR="00E66A22" w:rsidRDefault="00B65376" w:rsidP="00B95DED">
      <w:pPr>
        <w:pStyle w:val="NormalWeb"/>
        <w:numPr>
          <w:ilvl w:val="0"/>
          <w:numId w:val="39"/>
        </w:numPr>
        <w:jc w:val="both"/>
        <w:rPr>
          <w:noProof/>
        </w:rPr>
      </w:pPr>
      <w:r w:rsidRPr="00C70608">
        <w:rPr>
          <w:noProof/>
        </w:rPr>
        <w:t>in  calibrating its follow-up, the Commission pay</w:t>
      </w:r>
      <w:r w:rsidR="00A67F54" w:rsidRPr="00C70608">
        <w:rPr>
          <w:noProof/>
        </w:rPr>
        <w:t>s</w:t>
      </w:r>
      <w:r w:rsidRPr="00C70608">
        <w:rPr>
          <w:noProof/>
        </w:rPr>
        <w:t xml:space="preserve"> particular attention to  measures  having  the  highest  impact on the single market; </w:t>
      </w:r>
    </w:p>
    <w:p w14:paraId="08F18521" w14:textId="77777777" w:rsidR="00E66A22" w:rsidRDefault="00B65376" w:rsidP="00B95DED">
      <w:pPr>
        <w:pStyle w:val="NormalWeb"/>
        <w:numPr>
          <w:ilvl w:val="0"/>
          <w:numId w:val="39"/>
        </w:numPr>
        <w:jc w:val="both"/>
        <w:rPr>
          <w:noProof/>
        </w:rPr>
      </w:pPr>
      <w:r w:rsidRPr="00C70608">
        <w:rPr>
          <w:noProof/>
        </w:rPr>
        <w:t>the Commission monitor</w:t>
      </w:r>
      <w:r w:rsidR="00A67F54" w:rsidRPr="00C70608">
        <w:rPr>
          <w:noProof/>
        </w:rPr>
        <w:t>s</w:t>
      </w:r>
      <w:r w:rsidRPr="00C70608">
        <w:rPr>
          <w:noProof/>
        </w:rPr>
        <w:t xml:space="preserve"> legislation which was subject to a Commission reaction  under the </w:t>
      </w:r>
      <w:r w:rsidR="00A67F54" w:rsidRPr="00C70608">
        <w:rPr>
          <w:noProof/>
        </w:rPr>
        <w:t xml:space="preserve">Single Market Transparency </w:t>
      </w:r>
      <w:r w:rsidRPr="00C70608">
        <w:rPr>
          <w:noProof/>
        </w:rPr>
        <w:t>Directive and which, in the absence of appropriate adjustments, may give rise to infringement proceedings</w:t>
      </w:r>
      <w:r w:rsidR="008B37A2" w:rsidRPr="00C70608">
        <w:rPr>
          <w:noProof/>
        </w:rPr>
        <w:t>’</w:t>
      </w:r>
      <w:r w:rsidRPr="00C70608">
        <w:rPr>
          <w:noProof/>
        </w:rPr>
        <w:t>.</w:t>
      </w:r>
      <w:r w:rsidR="00644B1B" w:rsidRPr="00C70608">
        <w:rPr>
          <w:noProof/>
        </w:rPr>
        <w:t xml:space="preserve"> </w:t>
      </w:r>
    </w:p>
    <w:p w14:paraId="348D090C" w14:textId="77777777" w:rsidR="00B65376" w:rsidRDefault="00507F01" w:rsidP="00E66A22">
      <w:pPr>
        <w:pStyle w:val="NormalWeb"/>
        <w:jc w:val="both"/>
        <w:rPr>
          <w:noProof/>
        </w:rPr>
      </w:pPr>
      <w:r>
        <w:rPr>
          <w:noProof/>
        </w:rPr>
        <w:t xml:space="preserve">The </w:t>
      </w:r>
      <w:r w:rsidR="00AF51EA">
        <w:rPr>
          <w:noProof/>
        </w:rPr>
        <w:t>Commission put</w:t>
      </w:r>
      <w:r>
        <w:rPr>
          <w:noProof/>
        </w:rPr>
        <w:t>s</w:t>
      </w:r>
      <w:r w:rsidR="00AF51EA">
        <w:rPr>
          <w:noProof/>
        </w:rPr>
        <w:t xml:space="preserve"> </w:t>
      </w:r>
      <w:r w:rsidR="00463758">
        <w:rPr>
          <w:noProof/>
        </w:rPr>
        <w:t xml:space="preserve">a </w:t>
      </w:r>
      <w:r w:rsidRPr="00814415">
        <w:rPr>
          <w:noProof/>
        </w:rPr>
        <w:t xml:space="preserve">clear </w:t>
      </w:r>
      <w:r>
        <w:rPr>
          <w:noProof/>
        </w:rPr>
        <w:t xml:space="preserve">focus on </w:t>
      </w:r>
      <w:r w:rsidR="00814415" w:rsidRPr="00814415">
        <w:rPr>
          <w:noProof/>
        </w:rPr>
        <w:t>prevention and e</w:t>
      </w:r>
      <w:r>
        <w:rPr>
          <w:noProof/>
        </w:rPr>
        <w:t xml:space="preserve">nforcement in relation to cases </w:t>
      </w:r>
      <w:r w:rsidR="003C64C5">
        <w:rPr>
          <w:noProof/>
        </w:rPr>
        <w:t>with</w:t>
      </w:r>
      <w:r w:rsidR="00814415" w:rsidRPr="00814415">
        <w:rPr>
          <w:noProof/>
        </w:rPr>
        <w:t xml:space="preserve"> the most significant impact on the </w:t>
      </w:r>
      <w:r>
        <w:rPr>
          <w:noProof/>
        </w:rPr>
        <w:t>s</w:t>
      </w:r>
      <w:r w:rsidR="00814415" w:rsidRPr="00814415">
        <w:rPr>
          <w:noProof/>
        </w:rPr>
        <w:t xml:space="preserve">ingle </w:t>
      </w:r>
      <w:r>
        <w:rPr>
          <w:noProof/>
        </w:rPr>
        <w:t>m</w:t>
      </w:r>
      <w:r w:rsidR="00814415" w:rsidRPr="00814415">
        <w:rPr>
          <w:noProof/>
        </w:rPr>
        <w:t>arket</w:t>
      </w:r>
      <w:r w:rsidR="000E0794" w:rsidRPr="000E0794">
        <w:rPr>
          <w:noProof/>
        </w:rPr>
        <w:t xml:space="preserve"> </w:t>
      </w:r>
      <w:r w:rsidR="000E0794" w:rsidRPr="00814415">
        <w:rPr>
          <w:noProof/>
        </w:rPr>
        <w:t xml:space="preserve">economically or </w:t>
      </w:r>
      <w:r w:rsidR="007161C4">
        <w:rPr>
          <w:noProof/>
        </w:rPr>
        <w:t xml:space="preserve">in some </w:t>
      </w:r>
      <w:r w:rsidR="000E0794" w:rsidRPr="00814415">
        <w:rPr>
          <w:noProof/>
        </w:rPr>
        <w:t>other</w:t>
      </w:r>
      <w:r w:rsidR="007161C4">
        <w:rPr>
          <w:noProof/>
        </w:rPr>
        <w:t xml:space="preserve"> </w:t>
      </w:r>
      <w:r w:rsidR="007161C4" w:rsidRPr="00814415">
        <w:rPr>
          <w:noProof/>
        </w:rPr>
        <w:t>w</w:t>
      </w:r>
      <w:r w:rsidR="007161C4">
        <w:rPr>
          <w:noProof/>
        </w:rPr>
        <w:t>ay</w:t>
      </w:r>
      <w:r w:rsidR="00814415" w:rsidRPr="00814415">
        <w:rPr>
          <w:noProof/>
        </w:rPr>
        <w:t xml:space="preserve">. </w:t>
      </w:r>
    </w:p>
    <w:p w14:paraId="21A0E4D5" w14:textId="77777777" w:rsidR="0049046D" w:rsidRPr="00512FFB" w:rsidRDefault="001F7678">
      <w:pPr>
        <w:pStyle w:val="Text1"/>
        <w:ind w:left="0"/>
        <w:rPr>
          <w:noProof/>
        </w:rPr>
      </w:pPr>
      <w:r w:rsidRPr="00512FFB">
        <w:rPr>
          <w:noProof/>
        </w:rPr>
        <w:t xml:space="preserve">The Single Market Transparency Directive </w:t>
      </w:r>
      <w:r w:rsidR="0035088F">
        <w:rPr>
          <w:noProof/>
        </w:rPr>
        <w:t>aim</w:t>
      </w:r>
      <w:r w:rsidR="007F317E">
        <w:rPr>
          <w:noProof/>
        </w:rPr>
        <w:t>s</w:t>
      </w:r>
      <w:r w:rsidR="0035088F">
        <w:rPr>
          <w:noProof/>
        </w:rPr>
        <w:t xml:space="preserve"> to </w:t>
      </w:r>
      <w:r w:rsidRPr="00512FFB">
        <w:rPr>
          <w:noProof/>
        </w:rPr>
        <w:t xml:space="preserve">prevent the emergence of new barriers </w:t>
      </w:r>
      <w:r w:rsidR="005B7A50">
        <w:rPr>
          <w:noProof/>
        </w:rPr>
        <w:t>in</w:t>
      </w:r>
      <w:r w:rsidRPr="00512FFB">
        <w:rPr>
          <w:noProof/>
        </w:rPr>
        <w:t xml:space="preserve"> the </w:t>
      </w:r>
      <w:r w:rsidR="005B7A50">
        <w:rPr>
          <w:noProof/>
        </w:rPr>
        <w:t>s</w:t>
      </w:r>
      <w:r w:rsidRPr="00512FFB">
        <w:rPr>
          <w:noProof/>
        </w:rPr>
        <w:t xml:space="preserve">ingle </w:t>
      </w:r>
      <w:r w:rsidR="005B7A50">
        <w:rPr>
          <w:noProof/>
        </w:rPr>
        <w:t>m</w:t>
      </w:r>
      <w:r w:rsidRPr="00512FFB">
        <w:rPr>
          <w:noProof/>
        </w:rPr>
        <w:t>arket by focus</w:t>
      </w:r>
      <w:r w:rsidR="00C13707">
        <w:rPr>
          <w:noProof/>
        </w:rPr>
        <w:t>ing</w:t>
      </w:r>
      <w:r w:rsidRPr="00512FFB">
        <w:rPr>
          <w:noProof/>
        </w:rPr>
        <w:t xml:space="preserve"> on transparency, dialogue, prevention and better regulation. Member States </w:t>
      </w:r>
      <w:r w:rsidR="00CB0904">
        <w:rPr>
          <w:noProof/>
        </w:rPr>
        <w:t xml:space="preserve">can </w:t>
      </w:r>
      <w:r w:rsidRPr="00512FFB">
        <w:rPr>
          <w:noProof/>
        </w:rPr>
        <w:t>participate on an equal footing with the Commission in this procedure</w:t>
      </w:r>
      <w:r w:rsidR="00CB0904">
        <w:rPr>
          <w:noProof/>
        </w:rPr>
        <w:t>.</w:t>
      </w:r>
      <w:r w:rsidRPr="00512FFB">
        <w:rPr>
          <w:noProof/>
        </w:rPr>
        <w:t xml:space="preserve"> </w:t>
      </w:r>
      <w:r w:rsidR="00CB0904">
        <w:rPr>
          <w:noProof/>
        </w:rPr>
        <w:t>S</w:t>
      </w:r>
      <w:r w:rsidRPr="00512FFB">
        <w:rPr>
          <w:noProof/>
        </w:rPr>
        <w:t xml:space="preserve">takeholders have access to </w:t>
      </w:r>
      <w:r w:rsidR="00FF34FC">
        <w:rPr>
          <w:noProof/>
        </w:rPr>
        <w:t xml:space="preserve">both </w:t>
      </w:r>
      <w:r w:rsidRPr="00512FFB">
        <w:rPr>
          <w:noProof/>
        </w:rPr>
        <w:t>national technical regulations under preparation</w:t>
      </w:r>
      <w:r w:rsidR="00FF34FC">
        <w:rPr>
          <w:noProof/>
        </w:rPr>
        <w:t xml:space="preserve"> and the final texts of the notified measures</w:t>
      </w:r>
      <w:r w:rsidR="003C64C5">
        <w:rPr>
          <w:noProof/>
        </w:rPr>
        <w:t>,</w:t>
      </w:r>
      <w:r w:rsidRPr="00512FFB">
        <w:rPr>
          <w:noProof/>
        </w:rPr>
        <w:t xml:space="preserve"> translated in 23 official languages of the EU. </w:t>
      </w:r>
      <w:r w:rsidR="004D22D1">
        <w:rPr>
          <w:noProof/>
        </w:rPr>
        <w:t>T</w:t>
      </w:r>
      <w:r w:rsidR="004D22D1" w:rsidRPr="00723FBA">
        <w:rPr>
          <w:noProof/>
        </w:rPr>
        <w:t>herefore</w:t>
      </w:r>
      <w:r w:rsidR="004D22D1">
        <w:rPr>
          <w:noProof/>
        </w:rPr>
        <w:t>,</w:t>
      </w:r>
      <w:r w:rsidR="004D22D1" w:rsidRPr="00AD0102">
        <w:rPr>
          <w:noProof/>
        </w:rPr>
        <w:t xml:space="preserve"> </w:t>
      </w:r>
      <w:r w:rsidR="004D22D1">
        <w:rPr>
          <w:noProof/>
        </w:rPr>
        <w:t>e</w:t>
      </w:r>
      <w:r w:rsidRPr="00512FFB">
        <w:rPr>
          <w:noProof/>
        </w:rPr>
        <w:t>conomic operators can anticipate the creation of obstacles to trade and</w:t>
      </w:r>
      <w:r w:rsidR="000D25E1">
        <w:rPr>
          <w:noProof/>
        </w:rPr>
        <w:t xml:space="preserve"> </w:t>
      </w:r>
      <w:r w:rsidR="004D22D1">
        <w:rPr>
          <w:noProof/>
        </w:rPr>
        <w:t xml:space="preserve">avoid </w:t>
      </w:r>
      <w:r w:rsidRPr="00512FFB">
        <w:rPr>
          <w:noProof/>
        </w:rPr>
        <w:t>unnecessary and costly administrative burdens affect</w:t>
      </w:r>
      <w:r w:rsidR="003C64C5">
        <w:rPr>
          <w:noProof/>
        </w:rPr>
        <w:t>ing</w:t>
      </w:r>
      <w:r w:rsidRPr="00512FFB">
        <w:rPr>
          <w:noProof/>
        </w:rPr>
        <w:t xml:space="preserve"> their business.</w:t>
      </w:r>
    </w:p>
    <w:p w14:paraId="34778031" w14:textId="77777777" w:rsidR="00F030F3" w:rsidRPr="00512FFB" w:rsidRDefault="00F030F3" w:rsidP="00F030F3">
      <w:pPr>
        <w:spacing w:line="240" w:lineRule="auto"/>
        <w:jc w:val="both"/>
        <w:rPr>
          <w:rFonts w:ascii="Times New Roman" w:hAnsi="Times New Roman"/>
          <w:noProof/>
          <w:sz w:val="24"/>
          <w:szCs w:val="24"/>
        </w:rPr>
      </w:pPr>
      <w:r w:rsidRPr="00512FFB">
        <w:rPr>
          <w:rFonts w:ascii="Times New Roman" w:hAnsi="Times New Roman"/>
          <w:noProof/>
          <w:sz w:val="24"/>
          <w:szCs w:val="24"/>
        </w:rPr>
        <w:t xml:space="preserve">The notification procedure for national technical regulations </w:t>
      </w:r>
      <w:r>
        <w:rPr>
          <w:rFonts w:ascii="Times New Roman" w:hAnsi="Times New Roman"/>
          <w:noProof/>
          <w:sz w:val="24"/>
          <w:szCs w:val="24"/>
        </w:rPr>
        <w:t xml:space="preserve">under the Single Market Transparency Directive </w:t>
      </w:r>
      <w:r w:rsidRPr="00512FFB">
        <w:rPr>
          <w:rFonts w:ascii="Times New Roman" w:hAnsi="Times New Roman"/>
          <w:noProof/>
          <w:sz w:val="24"/>
          <w:szCs w:val="24"/>
        </w:rPr>
        <w:t>allows the Commission and the Member States to examine</w:t>
      </w:r>
      <w:r w:rsidR="008B363F">
        <w:rPr>
          <w:rFonts w:ascii="Times New Roman" w:hAnsi="Times New Roman"/>
          <w:noProof/>
          <w:sz w:val="24"/>
          <w:szCs w:val="24"/>
        </w:rPr>
        <w:t>,</w:t>
      </w:r>
      <w:r w:rsidRPr="00512FFB">
        <w:rPr>
          <w:rFonts w:ascii="Times New Roman" w:hAnsi="Times New Roman"/>
          <w:noProof/>
          <w:sz w:val="24"/>
          <w:szCs w:val="24"/>
        </w:rPr>
        <w:t xml:space="preserve"> before </w:t>
      </w:r>
      <w:r w:rsidR="00E66A22">
        <w:rPr>
          <w:rFonts w:ascii="Times New Roman" w:hAnsi="Times New Roman"/>
          <w:noProof/>
          <w:sz w:val="24"/>
          <w:szCs w:val="24"/>
        </w:rPr>
        <w:t xml:space="preserve">their </w:t>
      </w:r>
      <w:r w:rsidRPr="00512FFB">
        <w:rPr>
          <w:rFonts w:ascii="Times New Roman" w:hAnsi="Times New Roman"/>
          <w:noProof/>
          <w:sz w:val="24"/>
          <w:szCs w:val="24"/>
        </w:rPr>
        <w:t>adoption</w:t>
      </w:r>
      <w:r w:rsidR="008B363F">
        <w:rPr>
          <w:rFonts w:ascii="Times New Roman" w:hAnsi="Times New Roman"/>
          <w:noProof/>
          <w:sz w:val="24"/>
          <w:szCs w:val="24"/>
        </w:rPr>
        <w:t>,</w:t>
      </w:r>
      <w:r w:rsidRPr="00512FFB">
        <w:rPr>
          <w:rFonts w:ascii="Times New Roman" w:hAnsi="Times New Roman"/>
          <w:noProof/>
          <w:sz w:val="24"/>
          <w:szCs w:val="24"/>
        </w:rPr>
        <w:t xml:space="preserve"> the technical regulations</w:t>
      </w:r>
      <w:r w:rsidR="000E0794">
        <w:rPr>
          <w:rFonts w:ascii="Times New Roman" w:hAnsi="Times New Roman"/>
          <w:noProof/>
          <w:sz w:val="24"/>
          <w:szCs w:val="24"/>
        </w:rPr>
        <w:t xml:space="preserve"> any</w:t>
      </w:r>
      <w:r w:rsidRPr="00512FFB">
        <w:rPr>
          <w:rFonts w:ascii="Times New Roman" w:hAnsi="Times New Roman"/>
          <w:noProof/>
          <w:sz w:val="24"/>
          <w:szCs w:val="24"/>
        </w:rPr>
        <w:t xml:space="preserve"> Member State intend</w:t>
      </w:r>
      <w:r w:rsidR="000E0794">
        <w:rPr>
          <w:rFonts w:ascii="Times New Roman" w:hAnsi="Times New Roman"/>
          <w:noProof/>
          <w:sz w:val="24"/>
          <w:szCs w:val="24"/>
        </w:rPr>
        <w:t>s</w:t>
      </w:r>
      <w:r w:rsidRPr="00512FFB">
        <w:rPr>
          <w:rFonts w:ascii="Times New Roman" w:hAnsi="Times New Roman"/>
          <w:noProof/>
          <w:sz w:val="24"/>
          <w:szCs w:val="24"/>
        </w:rPr>
        <w:t xml:space="preserve"> to introduce for products (industrial, agricultural and fishery) and </w:t>
      </w:r>
      <w:r>
        <w:rPr>
          <w:rFonts w:ascii="Times New Roman" w:hAnsi="Times New Roman"/>
          <w:noProof/>
          <w:sz w:val="24"/>
          <w:szCs w:val="24"/>
        </w:rPr>
        <w:t>i</w:t>
      </w:r>
      <w:r w:rsidRPr="00512FFB">
        <w:rPr>
          <w:rFonts w:ascii="Times New Roman" w:hAnsi="Times New Roman"/>
          <w:noProof/>
          <w:sz w:val="24"/>
          <w:szCs w:val="24"/>
        </w:rPr>
        <w:t xml:space="preserve">nformation </w:t>
      </w:r>
      <w:r>
        <w:rPr>
          <w:rFonts w:ascii="Times New Roman" w:hAnsi="Times New Roman"/>
          <w:noProof/>
          <w:sz w:val="24"/>
          <w:szCs w:val="24"/>
        </w:rPr>
        <w:t>s</w:t>
      </w:r>
      <w:r w:rsidRPr="00512FFB">
        <w:rPr>
          <w:rFonts w:ascii="Times New Roman" w:hAnsi="Times New Roman"/>
          <w:noProof/>
          <w:sz w:val="24"/>
          <w:szCs w:val="24"/>
        </w:rPr>
        <w:t xml:space="preserve">ociety services (see </w:t>
      </w:r>
      <w:r w:rsidRPr="00502DAF">
        <w:rPr>
          <w:rFonts w:ascii="Times New Roman" w:hAnsi="Times New Roman"/>
          <w:noProof/>
          <w:sz w:val="24"/>
          <w:szCs w:val="24"/>
        </w:rPr>
        <w:t xml:space="preserve">Annex 1 to the Commission </w:t>
      </w:r>
      <w:r w:rsidR="003C64C5">
        <w:rPr>
          <w:rFonts w:ascii="Times New Roman" w:hAnsi="Times New Roman"/>
          <w:noProof/>
          <w:sz w:val="24"/>
          <w:szCs w:val="24"/>
        </w:rPr>
        <w:t>s</w:t>
      </w:r>
      <w:r w:rsidRPr="00502DAF">
        <w:rPr>
          <w:rFonts w:ascii="Times New Roman" w:hAnsi="Times New Roman"/>
          <w:noProof/>
          <w:sz w:val="24"/>
          <w:szCs w:val="24"/>
        </w:rPr>
        <w:t xml:space="preserve">taff </w:t>
      </w:r>
      <w:r w:rsidR="003C64C5">
        <w:rPr>
          <w:rFonts w:ascii="Times New Roman" w:hAnsi="Times New Roman"/>
          <w:noProof/>
          <w:sz w:val="24"/>
          <w:szCs w:val="24"/>
        </w:rPr>
        <w:t>w</w:t>
      </w:r>
      <w:r w:rsidRPr="00502DAF">
        <w:rPr>
          <w:rFonts w:ascii="Times New Roman" w:hAnsi="Times New Roman"/>
          <w:noProof/>
          <w:sz w:val="24"/>
          <w:szCs w:val="24"/>
        </w:rPr>
        <w:t xml:space="preserve">orking </w:t>
      </w:r>
      <w:r w:rsidR="003C64C5">
        <w:rPr>
          <w:rFonts w:ascii="Times New Roman" w:hAnsi="Times New Roman"/>
          <w:noProof/>
          <w:sz w:val="24"/>
          <w:szCs w:val="24"/>
        </w:rPr>
        <w:t>d</w:t>
      </w:r>
      <w:r w:rsidRPr="00502DAF">
        <w:rPr>
          <w:rFonts w:ascii="Times New Roman" w:hAnsi="Times New Roman"/>
          <w:noProof/>
          <w:sz w:val="24"/>
          <w:szCs w:val="24"/>
        </w:rPr>
        <w:t xml:space="preserve">ocument accompanying this report). </w:t>
      </w:r>
      <w:r w:rsidR="003C64C5">
        <w:rPr>
          <w:rFonts w:ascii="Times New Roman" w:hAnsi="Times New Roman"/>
          <w:noProof/>
          <w:sz w:val="24"/>
          <w:szCs w:val="24"/>
        </w:rPr>
        <w:t>The procedure</w:t>
      </w:r>
      <w:r w:rsidR="003C64C5" w:rsidRPr="00502DAF">
        <w:rPr>
          <w:rFonts w:ascii="Times New Roman" w:hAnsi="Times New Roman"/>
          <w:noProof/>
          <w:sz w:val="24"/>
          <w:szCs w:val="24"/>
        </w:rPr>
        <w:t xml:space="preserve"> </w:t>
      </w:r>
      <w:r w:rsidRPr="00502DAF">
        <w:rPr>
          <w:rFonts w:ascii="Times New Roman" w:hAnsi="Times New Roman"/>
          <w:noProof/>
          <w:sz w:val="24"/>
          <w:szCs w:val="24"/>
        </w:rPr>
        <w:t xml:space="preserve">applies in a simplified manner to European Free Trade Association (EFTA) </w:t>
      </w:r>
      <w:r w:rsidR="007161C4">
        <w:rPr>
          <w:rFonts w:ascii="Times New Roman" w:hAnsi="Times New Roman"/>
          <w:noProof/>
          <w:sz w:val="24"/>
          <w:szCs w:val="24"/>
        </w:rPr>
        <w:t>s</w:t>
      </w:r>
      <w:r w:rsidRPr="00502DAF">
        <w:rPr>
          <w:rFonts w:ascii="Times New Roman" w:hAnsi="Times New Roman"/>
          <w:noProof/>
          <w:sz w:val="24"/>
          <w:szCs w:val="24"/>
        </w:rPr>
        <w:t>tates which a</w:t>
      </w:r>
      <w:r w:rsidRPr="00512FFB">
        <w:rPr>
          <w:rFonts w:ascii="Times New Roman" w:hAnsi="Times New Roman"/>
          <w:noProof/>
          <w:sz w:val="24"/>
          <w:szCs w:val="24"/>
        </w:rPr>
        <w:t xml:space="preserve">re </w:t>
      </w:r>
      <w:r w:rsidR="005979EE">
        <w:rPr>
          <w:rFonts w:ascii="Times New Roman" w:hAnsi="Times New Roman"/>
          <w:noProof/>
          <w:sz w:val="24"/>
          <w:szCs w:val="24"/>
        </w:rPr>
        <w:t>parties</w:t>
      </w:r>
      <w:r w:rsidRPr="00512FFB">
        <w:rPr>
          <w:rFonts w:ascii="Times New Roman" w:hAnsi="Times New Roman"/>
          <w:noProof/>
          <w:sz w:val="24"/>
          <w:szCs w:val="24"/>
        </w:rPr>
        <w:t xml:space="preserve"> to the Agreement on the European Economic Area (EEA)</w:t>
      </w:r>
      <w:r w:rsidR="00DA6EC4">
        <w:rPr>
          <w:rFonts w:ascii="Times New Roman" w:hAnsi="Times New Roman"/>
          <w:noProof/>
          <w:sz w:val="24"/>
          <w:szCs w:val="24"/>
        </w:rPr>
        <w:t>,</w:t>
      </w:r>
      <w:r w:rsidRPr="00512FFB">
        <w:rPr>
          <w:rFonts w:ascii="Times New Roman" w:hAnsi="Times New Roman"/>
          <w:noProof/>
          <w:sz w:val="24"/>
          <w:szCs w:val="24"/>
        </w:rPr>
        <w:t xml:space="preserve"> to Switzerland</w:t>
      </w:r>
      <w:r w:rsidR="000E0794">
        <w:rPr>
          <w:rFonts w:ascii="Times New Roman" w:hAnsi="Times New Roman"/>
          <w:noProof/>
          <w:sz w:val="24"/>
          <w:szCs w:val="24"/>
        </w:rPr>
        <w:t>,</w:t>
      </w:r>
      <w:r w:rsidRPr="00512FFB">
        <w:rPr>
          <w:rFonts w:ascii="Times New Roman" w:hAnsi="Times New Roman"/>
          <w:noProof/>
          <w:sz w:val="24"/>
          <w:szCs w:val="24"/>
        </w:rPr>
        <w:t xml:space="preserve"> and</w:t>
      </w:r>
      <w:r w:rsidR="000E0794">
        <w:rPr>
          <w:rFonts w:ascii="Times New Roman" w:hAnsi="Times New Roman"/>
          <w:noProof/>
          <w:sz w:val="24"/>
          <w:szCs w:val="24"/>
        </w:rPr>
        <w:t xml:space="preserve"> to</w:t>
      </w:r>
      <w:r w:rsidRPr="00512FFB">
        <w:rPr>
          <w:rFonts w:ascii="Times New Roman" w:hAnsi="Times New Roman"/>
          <w:noProof/>
          <w:sz w:val="24"/>
          <w:szCs w:val="24"/>
        </w:rPr>
        <w:t xml:space="preserve"> Turkey (see </w:t>
      </w:r>
      <w:r w:rsidRPr="00502DAF">
        <w:rPr>
          <w:rFonts w:ascii="Times New Roman" w:hAnsi="Times New Roman"/>
          <w:noProof/>
          <w:sz w:val="24"/>
          <w:szCs w:val="24"/>
        </w:rPr>
        <w:t xml:space="preserve">Annex </w:t>
      </w:r>
      <w:r w:rsidR="00DA6EC4">
        <w:rPr>
          <w:rFonts w:ascii="Times New Roman" w:hAnsi="Times New Roman"/>
          <w:noProof/>
          <w:sz w:val="24"/>
          <w:szCs w:val="24"/>
        </w:rPr>
        <w:t>4</w:t>
      </w:r>
      <w:r w:rsidRPr="00502DAF">
        <w:rPr>
          <w:rFonts w:ascii="Times New Roman" w:hAnsi="Times New Roman"/>
          <w:noProof/>
          <w:sz w:val="24"/>
          <w:szCs w:val="24"/>
        </w:rPr>
        <w:t>).</w:t>
      </w:r>
      <w:r w:rsidRPr="00512FFB">
        <w:rPr>
          <w:rFonts w:ascii="Times New Roman" w:hAnsi="Times New Roman"/>
          <w:noProof/>
          <w:sz w:val="24"/>
          <w:szCs w:val="24"/>
        </w:rPr>
        <w:t xml:space="preserve"> </w:t>
      </w:r>
      <w:r>
        <w:rPr>
          <w:rFonts w:ascii="Times New Roman" w:hAnsi="Times New Roman"/>
          <w:noProof/>
          <w:sz w:val="24"/>
          <w:szCs w:val="24"/>
        </w:rPr>
        <w:t xml:space="preserve"> </w:t>
      </w:r>
    </w:p>
    <w:p w14:paraId="677DB635" w14:textId="77777777" w:rsidR="0049046D" w:rsidRDefault="001F7678">
      <w:pPr>
        <w:pStyle w:val="Default"/>
        <w:spacing w:after="120"/>
        <w:jc w:val="both"/>
        <w:rPr>
          <w:noProof/>
        </w:rPr>
      </w:pPr>
      <w:r w:rsidRPr="00512FFB">
        <w:rPr>
          <w:noProof/>
        </w:rPr>
        <w:t>The Single Market Transparency Directive also plays a</w:t>
      </w:r>
      <w:r w:rsidR="00F210CC">
        <w:rPr>
          <w:noProof/>
        </w:rPr>
        <w:t xml:space="preserve"> </w:t>
      </w:r>
      <w:r w:rsidR="003E5298" w:rsidRPr="00512FFB">
        <w:rPr>
          <w:noProof/>
        </w:rPr>
        <w:t>key</w:t>
      </w:r>
      <w:r w:rsidRPr="00512FFB">
        <w:rPr>
          <w:noProof/>
        </w:rPr>
        <w:t xml:space="preserve"> role in the </w:t>
      </w:r>
      <w:r w:rsidR="00445CD5">
        <w:rPr>
          <w:noProof/>
        </w:rPr>
        <w:t>‘</w:t>
      </w:r>
      <w:r w:rsidR="003C64C5">
        <w:rPr>
          <w:noProof/>
        </w:rPr>
        <w:t>c</w:t>
      </w:r>
      <w:r w:rsidR="003E5298" w:rsidRPr="00512FFB">
        <w:rPr>
          <w:noProof/>
        </w:rPr>
        <w:t>ountry knowledge’</w:t>
      </w:r>
      <w:r w:rsidRPr="00512FFB">
        <w:rPr>
          <w:noProof/>
        </w:rPr>
        <w:t xml:space="preserve"> </w:t>
      </w:r>
      <w:r w:rsidR="00E82918">
        <w:rPr>
          <w:noProof/>
        </w:rPr>
        <w:t xml:space="preserve">dialogue </w:t>
      </w:r>
      <w:r w:rsidR="000307BB">
        <w:rPr>
          <w:noProof/>
        </w:rPr>
        <w:t xml:space="preserve">meetings </w:t>
      </w:r>
      <w:r w:rsidRPr="00512FFB">
        <w:rPr>
          <w:noProof/>
        </w:rPr>
        <w:t>with Member States</w:t>
      </w:r>
      <w:r w:rsidR="003E5298" w:rsidRPr="00512FFB">
        <w:rPr>
          <w:noProof/>
        </w:rPr>
        <w:t xml:space="preserve"> and stakeholders</w:t>
      </w:r>
      <w:r w:rsidRPr="00512FFB">
        <w:rPr>
          <w:rStyle w:val="FootnoteReference"/>
          <w:noProof/>
        </w:rPr>
        <w:footnoteReference w:id="10"/>
      </w:r>
      <w:r w:rsidR="003C64C5">
        <w:rPr>
          <w:noProof/>
        </w:rPr>
        <w:t>.</w:t>
      </w:r>
      <w:r w:rsidRPr="00512FFB">
        <w:rPr>
          <w:noProof/>
        </w:rPr>
        <w:t xml:space="preserve"> </w:t>
      </w:r>
      <w:r w:rsidR="003C64C5">
        <w:rPr>
          <w:noProof/>
        </w:rPr>
        <w:t>Such meetings</w:t>
      </w:r>
      <w:r w:rsidR="003C64C5" w:rsidRPr="00512FFB">
        <w:rPr>
          <w:noProof/>
        </w:rPr>
        <w:t xml:space="preserve"> </w:t>
      </w:r>
      <w:r w:rsidR="000307BB">
        <w:rPr>
          <w:noProof/>
        </w:rPr>
        <w:t xml:space="preserve">are </w:t>
      </w:r>
      <w:r w:rsidRPr="00512FFB">
        <w:rPr>
          <w:noProof/>
        </w:rPr>
        <w:t>part of the</w:t>
      </w:r>
      <w:r w:rsidR="00CC678B">
        <w:rPr>
          <w:noProof/>
        </w:rPr>
        <w:t xml:space="preserve"> </w:t>
      </w:r>
      <w:r w:rsidR="00C34518">
        <w:rPr>
          <w:noProof/>
        </w:rPr>
        <w:t>s</w:t>
      </w:r>
      <w:r w:rsidRPr="00512FFB">
        <w:rPr>
          <w:noProof/>
        </w:rPr>
        <w:t xml:space="preserve">ingle </w:t>
      </w:r>
      <w:r w:rsidR="00C34518">
        <w:rPr>
          <w:noProof/>
        </w:rPr>
        <w:t>m</w:t>
      </w:r>
      <w:r w:rsidRPr="00512FFB">
        <w:rPr>
          <w:noProof/>
        </w:rPr>
        <w:t xml:space="preserve">arket </w:t>
      </w:r>
      <w:r w:rsidR="00C34518">
        <w:rPr>
          <w:noProof/>
        </w:rPr>
        <w:t>s</w:t>
      </w:r>
      <w:r w:rsidRPr="00512FFB">
        <w:rPr>
          <w:noProof/>
        </w:rPr>
        <w:t>trategy</w:t>
      </w:r>
      <w:r w:rsidR="00D300C0">
        <w:rPr>
          <w:noProof/>
        </w:rPr>
        <w:t xml:space="preserve">’s efforts to ensure a </w:t>
      </w:r>
      <w:r w:rsidR="00D300C0" w:rsidRPr="00D300C0">
        <w:rPr>
          <w:noProof/>
        </w:rPr>
        <w:t>culture of compliance and smart enforcement</w:t>
      </w:r>
      <w:r w:rsidRPr="00512FFB">
        <w:rPr>
          <w:rStyle w:val="FootnoteReference"/>
          <w:noProof/>
        </w:rPr>
        <w:footnoteReference w:id="11"/>
      </w:r>
      <w:r w:rsidRPr="00512FFB">
        <w:rPr>
          <w:noProof/>
        </w:rPr>
        <w:t xml:space="preserve">. The Commission sees these meetings as an opportunity for dialogue to improve </w:t>
      </w:r>
      <w:r w:rsidR="00A40B19">
        <w:rPr>
          <w:noProof/>
        </w:rPr>
        <w:t xml:space="preserve">the </w:t>
      </w:r>
      <w:r w:rsidRPr="00512FFB">
        <w:rPr>
          <w:noProof/>
        </w:rPr>
        <w:t>implementation</w:t>
      </w:r>
      <w:r w:rsidR="00715995">
        <w:rPr>
          <w:noProof/>
        </w:rPr>
        <w:t xml:space="preserve"> </w:t>
      </w:r>
      <w:r w:rsidR="00D24B1D" w:rsidRPr="00512FFB">
        <w:rPr>
          <w:noProof/>
        </w:rPr>
        <w:t>of the Single Market Transparency Directive</w:t>
      </w:r>
      <w:r w:rsidRPr="00512FFB">
        <w:rPr>
          <w:noProof/>
        </w:rPr>
        <w:t xml:space="preserve">. In this context, the dialogue under the Directive, combined with other indicators, enables the Commission to better identify the problematic sectors and structural problems in the Member States. </w:t>
      </w:r>
    </w:p>
    <w:p w14:paraId="5CC40A5C" w14:textId="77777777" w:rsidR="00E36B66" w:rsidRDefault="00E36B66">
      <w:pPr>
        <w:pStyle w:val="Default"/>
        <w:spacing w:after="120"/>
        <w:jc w:val="both"/>
        <w:rPr>
          <w:noProof/>
        </w:rPr>
      </w:pPr>
      <w:r w:rsidRPr="00E36B66">
        <w:rPr>
          <w:noProof/>
        </w:rPr>
        <w:t>Th</w:t>
      </w:r>
      <w:r w:rsidR="00A03472">
        <w:rPr>
          <w:noProof/>
        </w:rPr>
        <w:t>is</w:t>
      </w:r>
      <w:r w:rsidRPr="00E36B66">
        <w:rPr>
          <w:noProof/>
        </w:rPr>
        <w:t xml:space="preserve"> report</w:t>
      </w:r>
      <w:r w:rsidR="008837E1">
        <w:rPr>
          <w:noProof/>
        </w:rPr>
        <w:t xml:space="preserve"> drafted and submitted in compliance with the Single Market Transparency Directive</w:t>
      </w:r>
      <w:r w:rsidRPr="00E36B66">
        <w:rPr>
          <w:noProof/>
        </w:rPr>
        <w:t xml:space="preserve"> </w:t>
      </w:r>
      <w:r>
        <w:rPr>
          <w:noProof/>
        </w:rPr>
        <w:t xml:space="preserve">is </w:t>
      </w:r>
      <w:r w:rsidR="001D593E">
        <w:rPr>
          <w:noProof/>
        </w:rPr>
        <w:t>a snapshot of</w:t>
      </w:r>
      <w:r>
        <w:rPr>
          <w:noProof/>
        </w:rPr>
        <w:t xml:space="preserve"> </w:t>
      </w:r>
      <w:r w:rsidR="008837E1">
        <w:rPr>
          <w:noProof/>
        </w:rPr>
        <w:t xml:space="preserve">its </w:t>
      </w:r>
      <w:r>
        <w:rPr>
          <w:noProof/>
        </w:rPr>
        <w:t>operation from 2016 to 20</w:t>
      </w:r>
      <w:r w:rsidR="00B84808">
        <w:rPr>
          <w:noProof/>
        </w:rPr>
        <w:t>20</w:t>
      </w:r>
      <w:r>
        <w:rPr>
          <w:noProof/>
        </w:rPr>
        <w:t xml:space="preserve"> both from a qualitative and quantitative angle. </w:t>
      </w:r>
    </w:p>
    <w:p w14:paraId="67CE55F8" w14:textId="77777777" w:rsidR="00456E5F" w:rsidRPr="00512FFB" w:rsidRDefault="00456E5F" w:rsidP="00456E5F">
      <w:pPr>
        <w:pStyle w:val="Default"/>
        <w:spacing w:after="120"/>
        <w:jc w:val="both"/>
        <w:rPr>
          <w:noProof/>
        </w:rPr>
      </w:pPr>
      <w:r>
        <w:rPr>
          <w:noProof/>
        </w:rPr>
        <w:t>In 2020</w:t>
      </w:r>
      <w:r w:rsidR="000D71BF">
        <w:rPr>
          <w:noProof/>
        </w:rPr>
        <w:t>,</w:t>
      </w:r>
      <w:r>
        <w:rPr>
          <w:noProof/>
        </w:rPr>
        <w:t xml:space="preserve"> the notification procedure under </w:t>
      </w:r>
      <w:r w:rsidR="008837E1">
        <w:rPr>
          <w:noProof/>
        </w:rPr>
        <w:t xml:space="preserve">the Single Market Transparency </w:t>
      </w:r>
      <w:r>
        <w:rPr>
          <w:noProof/>
        </w:rPr>
        <w:t xml:space="preserve">Directive played a crucial role in the management of the COVID-19 </w:t>
      </w:r>
      <w:r w:rsidR="008837E1">
        <w:rPr>
          <w:noProof/>
        </w:rPr>
        <w:t>pandemic</w:t>
      </w:r>
      <w:r>
        <w:rPr>
          <w:noProof/>
        </w:rPr>
        <w:t xml:space="preserve"> and contributed to a coordinated approach to the health crisis throughout the EU. </w:t>
      </w:r>
      <w:r w:rsidRPr="00456E5F">
        <w:rPr>
          <w:noProof/>
        </w:rPr>
        <w:t>Th</w:t>
      </w:r>
      <w:r>
        <w:rPr>
          <w:noProof/>
        </w:rPr>
        <w:t>e spread of the virus caused the</w:t>
      </w:r>
      <w:r w:rsidRPr="00456E5F">
        <w:rPr>
          <w:noProof/>
        </w:rPr>
        <w:t xml:space="preserve"> disruption of global supply chains</w:t>
      </w:r>
      <w:r>
        <w:rPr>
          <w:noProof/>
        </w:rPr>
        <w:t>. During the pandemic</w:t>
      </w:r>
      <w:r w:rsidR="00D45A22">
        <w:rPr>
          <w:noProof/>
        </w:rPr>
        <w:t>,</w:t>
      </w:r>
      <w:r>
        <w:rPr>
          <w:noProof/>
        </w:rPr>
        <w:t xml:space="preserve"> the integrity of the </w:t>
      </w:r>
      <w:r w:rsidR="001F431D">
        <w:rPr>
          <w:noProof/>
        </w:rPr>
        <w:t>s</w:t>
      </w:r>
      <w:r>
        <w:rPr>
          <w:noProof/>
        </w:rPr>
        <w:t xml:space="preserve">ingle </w:t>
      </w:r>
      <w:r w:rsidR="001F431D">
        <w:rPr>
          <w:noProof/>
        </w:rPr>
        <w:t>m</w:t>
      </w:r>
      <w:r>
        <w:rPr>
          <w:noProof/>
        </w:rPr>
        <w:t>arket and</w:t>
      </w:r>
      <w:r w:rsidR="00D45A22">
        <w:rPr>
          <w:noProof/>
        </w:rPr>
        <w:t>,</w:t>
      </w:r>
      <w:r>
        <w:rPr>
          <w:noProof/>
        </w:rPr>
        <w:t xml:space="preserve"> more broadly</w:t>
      </w:r>
      <w:r w:rsidR="00D45A22">
        <w:rPr>
          <w:noProof/>
        </w:rPr>
        <w:t>,</w:t>
      </w:r>
      <w:r>
        <w:rPr>
          <w:noProof/>
        </w:rPr>
        <w:t xml:space="preserve"> the preservation of production and distribution value chains </w:t>
      </w:r>
      <w:r w:rsidR="00B95DED">
        <w:rPr>
          <w:noProof/>
        </w:rPr>
        <w:t>ensuring</w:t>
      </w:r>
      <w:r w:rsidR="004B76C8">
        <w:rPr>
          <w:noProof/>
        </w:rPr>
        <w:t xml:space="preserve"> </w:t>
      </w:r>
      <w:r>
        <w:rPr>
          <w:noProof/>
        </w:rPr>
        <w:t>the necessary supplies to our health systems</w:t>
      </w:r>
      <w:r w:rsidR="00B95DED" w:rsidRPr="00B95DED">
        <w:rPr>
          <w:noProof/>
        </w:rPr>
        <w:t xml:space="preserve"> </w:t>
      </w:r>
      <w:r w:rsidR="00D45A22">
        <w:rPr>
          <w:noProof/>
        </w:rPr>
        <w:t xml:space="preserve">were </w:t>
      </w:r>
      <w:r w:rsidR="00B95DED">
        <w:rPr>
          <w:noProof/>
        </w:rPr>
        <w:t>jeopardised</w:t>
      </w:r>
      <w:r>
        <w:rPr>
          <w:noProof/>
        </w:rPr>
        <w:t>.</w:t>
      </w:r>
      <w:r w:rsidR="0083775C">
        <w:rPr>
          <w:noProof/>
        </w:rPr>
        <w:t xml:space="preserve"> T</w:t>
      </w:r>
      <w:r w:rsidR="000E3599">
        <w:rPr>
          <w:noProof/>
        </w:rPr>
        <w:t>he Di</w:t>
      </w:r>
      <w:r w:rsidR="0083775C">
        <w:rPr>
          <w:noProof/>
        </w:rPr>
        <w:t xml:space="preserve">rective provided </w:t>
      </w:r>
      <w:r w:rsidR="0083775C" w:rsidRPr="0083775C">
        <w:rPr>
          <w:noProof/>
        </w:rPr>
        <w:t>a framework allowing Member States to act in a coordinated way.</w:t>
      </w:r>
      <w:r w:rsidR="000E3599">
        <w:rPr>
          <w:noProof/>
        </w:rPr>
        <w:t xml:space="preserve"> </w:t>
      </w:r>
    </w:p>
    <w:p w14:paraId="71C4F02B" w14:textId="77777777" w:rsidR="0049046D" w:rsidRDefault="001F7678" w:rsidP="007A45B9">
      <w:pPr>
        <w:pStyle w:val="ManualHeading1"/>
        <w:rPr>
          <w:noProof/>
        </w:rPr>
      </w:pPr>
      <w:bookmarkStart w:id="4" w:name="_Toc242246319"/>
      <w:bookmarkStart w:id="5" w:name="_Toc404941540"/>
      <w:bookmarkStart w:id="6" w:name="_Toc98517783"/>
      <w:bookmarkEnd w:id="1"/>
      <w:r>
        <w:rPr>
          <w:noProof/>
        </w:rPr>
        <w:t>1.</w:t>
      </w:r>
      <w:r>
        <w:rPr>
          <w:noProof/>
        </w:rPr>
        <w:tab/>
        <w:t>Developments 201</w:t>
      </w:r>
      <w:r w:rsidR="00F87424">
        <w:rPr>
          <w:noProof/>
        </w:rPr>
        <w:t>6</w:t>
      </w:r>
      <w:r>
        <w:rPr>
          <w:noProof/>
        </w:rPr>
        <w:t>-20</w:t>
      </w:r>
      <w:r w:rsidR="00B84808">
        <w:rPr>
          <w:noProof/>
        </w:rPr>
        <w:t>20</w:t>
      </w:r>
      <w:bookmarkEnd w:id="4"/>
      <w:bookmarkEnd w:id="5"/>
      <w:bookmarkEnd w:id="6"/>
    </w:p>
    <w:p w14:paraId="2B3EA319" w14:textId="77777777" w:rsidR="00311F92" w:rsidRPr="006902F9" w:rsidRDefault="001B5B85" w:rsidP="00311F92">
      <w:pPr>
        <w:pStyle w:val="Text1"/>
        <w:ind w:left="0"/>
        <w:rPr>
          <w:noProof/>
        </w:rPr>
      </w:pPr>
      <w:r w:rsidRPr="006902F9">
        <w:rPr>
          <w:noProof/>
        </w:rPr>
        <w:t xml:space="preserve">With </w:t>
      </w:r>
      <w:r w:rsidR="00B84808">
        <w:rPr>
          <w:noProof/>
        </w:rPr>
        <w:t>3</w:t>
      </w:r>
      <w:r w:rsidR="00D45A22">
        <w:rPr>
          <w:noProof/>
        </w:rPr>
        <w:t> </w:t>
      </w:r>
      <w:r w:rsidR="00B84808">
        <w:rPr>
          <w:noProof/>
        </w:rPr>
        <w:t>553</w:t>
      </w:r>
      <w:r w:rsidRPr="006902F9">
        <w:rPr>
          <w:noProof/>
        </w:rPr>
        <w:t xml:space="preserve"> notifications received in the </w:t>
      </w:r>
      <w:r w:rsidR="00D45A22">
        <w:rPr>
          <w:noProof/>
        </w:rPr>
        <w:t>5</w:t>
      </w:r>
      <w:r w:rsidR="000D71BF">
        <w:rPr>
          <w:noProof/>
        </w:rPr>
        <w:t>-</w:t>
      </w:r>
      <w:r w:rsidRPr="006902F9">
        <w:rPr>
          <w:noProof/>
        </w:rPr>
        <w:t>year period 2016-20</w:t>
      </w:r>
      <w:r w:rsidR="00B84808">
        <w:rPr>
          <w:noProof/>
        </w:rPr>
        <w:t>20</w:t>
      </w:r>
      <w:r w:rsidR="00795999" w:rsidRPr="006902F9">
        <w:rPr>
          <w:noProof/>
        </w:rPr>
        <w:t xml:space="preserve"> (</w:t>
      </w:r>
      <w:r w:rsidR="00FD3976" w:rsidRPr="006502C4">
        <w:rPr>
          <w:noProof/>
        </w:rPr>
        <w:t>see Annex 3</w:t>
      </w:r>
      <w:r w:rsidR="00795999" w:rsidRPr="006902F9">
        <w:rPr>
          <w:noProof/>
        </w:rPr>
        <w:t>.1)</w:t>
      </w:r>
      <w:r w:rsidRPr="006902F9">
        <w:rPr>
          <w:noProof/>
        </w:rPr>
        <w:t xml:space="preserve">, the dialogue </w:t>
      </w:r>
      <w:r w:rsidR="00654DB8" w:rsidRPr="006902F9">
        <w:rPr>
          <w:noProof/>
        </w:rPr>
        <w:t xml:space="preserve">that unfolded in the </w:t>
      </w:r>
      <w:r w:rsidR="000D71BF">
        <w:rPr>
          <w:noProof/>
        </w:rPr>
        <w:t>context</w:t>
      </w:r>
      <w:r w:rsidR="000D71BF" w:rsidRPr="006902F9">
        <w:rPr>
          <w:noProof/>
        </w:rPr>
        <w:t xml:space="preserve"> </w:t>
      </w:r>
      <w:r w:rsidR="00654DB8" w:rsidRPr="006902F9">
        <w:rPr>
          <w:noProof/>
        </w:rPr>
        <w:t xml:space="preserve">of the Single Market Transparency Directive </w:t>
      </w:r>
      <w:r w:rsidR="0075631C">
        <w:rPr>
          <w:noProof/>
        </w:rPr>
        <w:t>demonstrated</w:t>
      </w:r>
      <w:r w:rsidR="0075631C" w:rsidRPr="006902F9">
        <w:rPr>
          <w:noProof/>
        </w:rPr>
        <w:t xml:space="preserve"> </w:t>
      </w:r>
      <w:r w:rsidR="00366453" w:rsidRPr="006902F9">
        <w:rPr>
          <w:noProof/>
        </w:rPr>
        <w:t xml:space="preserve">a good level of participation by </w:t>
      </w:r>
      <w:r w:rsidR="00E42716" w:rsidRPr="006902F9">
        <w:rPr>
          <w:noProof/>
        </w:rPr>
        <w:t xml:space="preserve">the </w:t>
      </w:r>
      <w:r w:rsidR="00366453" w:rsidRPr="006902F9">
        <w:rPr>
          <w:noProof/>
        </w:rPr>
        <w:t xml:space="preserve">Member States, </w:t>
      </w:r>
      <w:r w:rsidR="00D00B91" w:rsidRPr="006902F9">
        <w:rPr>
          <w:noProof/>
        </w:rPr>
        <w:t xml:space="preserve">which issued </w:t>
      </w:r>
      <w:r w:rsidR="00B84808">
        <w:rPr>
          <w:noProof/>
        </w:rPr>
        <w:t>243</w:t>
      </w:r>
      <w:r w:rsidR="00D00B91" w:rsidRPr="006902F9">
        <w:rPr>
          <w:noProof/>
        </w:rPr>
        <w:t xml:space="preserve"> deta</w:t>
      </w:r>
      <w:r w:rsidR="00014BC0" w:rsidRPr="006902F9">
        <w:rPr>
          <w:noProof/>
        </w:rPr>
        <w:t xml:space="preserve">iled opinions and </w:t>
      </w:r>
      <w:r w:rsidR="00B84808">
        <w:rPr>
          <w:noProof/>
        </w:rPr>
        <w:t>475</w:t>
      </w:r>
      <w:r w:rsidR="00014BC0" w:rsidRPr="006902F9">
        <w:rPr>
          <w:noProof/>
        </w:rPr>
        <w:t xml:space="preserve"> comments</w:t>
      </w:r>
      <w:r w:rsidR="00795999" w:rsidRPr="006902F9">
        <w:rPr>
          <w:noProof/>
        </w:rPr>
        <w:t xml:space="preserve"> (</w:t>
      </w:r>
      <w:r w:rsidR="008F0546" w:rsidRPr="006502C4">
        <w:rPr>
          <w:noProof/>
        </w:rPr>
        <w:t>see Annex 3</w:t>
      </w:r>
      <w:r w:rsidR="00795999" w:rsidRPr="006902F9">
        <w:rPr>
          <w:noProof/>
        </w:rPr>
        <w:t>.6)</w:t>
      </w:r>
      <w:r w:rsidR="00014BC0" w:rsidRPr="006902F9">
        <w:rPr>
          <w:noProof/>
        </w:rPr>
        <w:t xml:space="preserve">. </w:t>
      </w:r>
      <w:r w:rsidR="00D00B91" w:rsidRPr="006902F9">
        <w:rPr>
          <w:noProof/>
        </w:rPr>
        <w:t xml:space="preserve">This </w:t>
      </w:r>
      <w:r w:rsidR="00D45A22">
        <w:rPr>
          <w:noProof/>
        </w:rPr>
        <w:t>was</w:t>
      </w:r>
      <w:r w:rsidR="00D45A22" w:rsidRPr="006902F9">
        <w:rPr>
          <w:noProof/>
        </w:rPr>
        <w:t xml:space="preserve"> </w:t>
      </w:r>
      <w:r w:rsidR="00366453" w:rsidRPr="006902F9">
        <w:rPr>
          <w:noProof/>
        </w:rPr>
        <w:t>coupled with frequent reactions by the Commission on the notified technical regulations</w:t>
      </w:r>
      <w:r w:rsidR="00D00B91" w:rsidRPr="006902F9">
        <w:rPr>
          <w:noProof/>
        </w:rPr>
        <w:t xml:space="preserve">, notably </w:t>
      </w:r>
      <w:r w:rsidR="00222DD9">
        <w:rPr>
          <w:noProof/>
        </w:rPr>
        <w:t>21</w:t>
      </w:r>
      <w:r w:rsidR="00F836A8">
        <w:rPr>
          <w:noProof/>
        </w:rPr>
        <w:t>2</w:t>
      </w:r>
      <w:r w:rsidR="00D00B91" w:rsidRPr="006902F9">
        <w:rPr>
          <w:noProof/>
        </w:rPr>
        <w:t xml:space="preserve"> detailed opinions and </w:t>
      </w:r>
      <w:r w:rsidR="00222DD9">
        <w:rPr>
          <w:noProof/>
        </w:rPr>
        <w:t>816</w:t>
      </w:r>
      <w:r w:rsidR="00D00B91" w:rsidRPr="006902F9">
        <w:rPr>
          <w:noProof/>
        </w:rPr>
        <w:t xml:space="preserve"> comments issued by the Commission</w:t>
      </w:r>
      <w:r w:rsidR="008F0546" w:rsidRPr="006502C4">
        <w:rPr>
          <w:noProof/>
        </w:rPr>
        <w:t xml:space="preserve"> (see Annex 3.4</w:t>
      </w:r>
      <w:r w:rsidR="00795999" w:rsidRPr="006902F9">
        <w:rPr>
          <w:noProof/>
        </w:rPr>
        <w:t>)</w:t>
      </w:r>
      <w:r w:rsidR="00D00B91" w:rsidRPr="006902F9">
        <w:rPr>
          <w:noProof/>
        </w:rPr>
        <w:t xml:space="preserve">. </w:t>
      </w:r>
      <w:r w:rsidR="00E42716" w:rsidRPr="006902F9">
        <w:rPr>
          <w:noProof/>
        </w:rPr>
        <w:t xml:space="preserve">The </w:t>
      </w:r>
      <w:r w:rsidR="00014BC0" w:rsidRPr="006902F9">
        <w:rPr>
          <w:noProof/>
        </w:rPr>
        <w:t xml:space="preserve">highest number of </w:t>
      </w:r>
      <w:r w:rsidR="00E42716" w:rsidRPr="006902F9">
        <w:rPr>
          <w:noProof/>
        </w:rPr>
        <w:t xml:space="preserve">reactions of the Commission and the EU Member States </w:t>
      </w:r>
      <w:r w:rsidR="00B74CE5">
        <w:rPr>
          <w:noProof/>
        </w:rPr>
        <w:t xml:space="preserve">concerned </w:t>
      </w:r>
      <w:r w:rsidR="00FC474B">
        <w:rPr>
          <w:noProof/>
        </w:rPr>
        <w:t>agriculture,</w:t>
      </w:r>
      <w:r w:rsidR="00352485">
        <w:rPr>
          <w:noProof/>
        </w:rPr>
        <w:t xml:space="preserve"> </w:t>
      </w:r>
      <w:r w:rsidR="00352485" w:rsidRPr="006902F9">
        <w:rPr>
          <w:noProof/>
        </w:rPr>
        <w:t>fishing and foodstuffs</w:t>
      </w:r>
      <w:r w:rsidR="00352485">
        <w:rPr>
          <w:noProof/>
        </w:rPr>
        <w:t xml:space="preserve"> and</w:t>
      </w:r>
      <w:r w:rsidR="00FC474B">
        <w:rPr>
          <w:noProof/>
        </w:rPr>
        <w:t xml:space="preserve"> </w:t>
      </w:r>
      <w:r w:rsidR="00E42716" w:rsidRPr="006902F9">
        <w:rPr>
          <w:noProof/>
        </w:rPr>
        <w:t>construction</w:t>
      </w:r>
      <w:r w:rsidR="00B74CE5">
        <w:rPr>
          <w:noProof/>
        </w:rPr>
        <w:t xml:space="preserve"> products</w:t>
      </w:r>
      <w:r w:rsidR="00E42716" w:rsidRPr="006902F9">
        <w:rPr>
          <w:noProof/>
        </w:rPr>
        <w:t xml:space="preserve">. </w:t>
      </w:r>
    </w:p>
    <w:p w14:paraId="1D03CB21" w14:textId="77777777" w:rsidR="00311F92" w:rsidRPr="006902F9" w:rsidRDefault="00311F92" w:rsidP="00311F92">
      <w:pPr>
        <w:pStyle w:val="Text1"/>
        <w:ind w:left="0"/>
        <w:rPr>
          <w:noProof/>
        </w:rPr>
      </w:pPr>
      <w:r w:rsidRPr="006902F9">
        <w:rPr>
          <w:noProof/>
        </w:rPr>
        <w:t xml:space="preserve">The introduction of new </w:t>
      </w:r>
      <w:r w:rsidR="000D71BF">
        <w:rPr>
          <w:noProof/>
        </w:rPr>
        <w:t>IT</w:t>
      </w:r>
      <w:r w:rsidRPr="006902F9">
        <w:rPr>
          <w:noProof/>
        </w:rPr>
        <w:t xml:space="preserve"> tools</w:t>
      </w:r>
      <w:r w:rsidR="00F6322D" w:rsidRPr="006902F9">
        <w:rPr>
          <w:noProof/>
        </w:rPr>
        <w:t xml:space="preserve"> over the reference period</w:t>
      </w:r>
      <w:r w:rsidRPr="006902F9">
        <w:rPr>
          <w:noProof/>
        </w:rPr>
        <w:t>, as described in the paragraphs</w:t>
      </w:r>
      <w:r w:rsidR="000D71BF" w:rsidRPr="000D71BF">
        <w:rPr>
          <w:noProof/>
        </w:rPr>
        <w:t xml:space="preserve"> </w:t>
      </w:r>
      <w:r w:rsidR="000D71BF" w:rsidRPr="006902F9">
        <w:rPr>
          <w:noProof/>
        </w:rPr>
        <w:t>below</w:t>
      </w:r>
      <w:r w:rsidRPr="006902F9">
        <w:rPr>
          <w:noProof/>
        </w:rPr>
        <w:t xml:space="preserve">, facilitated </w:t>
      </w:r>
      <w:r w:rsidR="000D71BF" w:rsidRPr="006902F9">
        <w:rPr>
          <w:noProof/>
        </w:rPr>
        <w:t>economic operators</w:t>
      </w:r>
      <w:r w:rsidR="000D71BF">
        <w:rPr>
          <w:noProof/>
        </w:rPr>
        <w:t>’</w:t>
      </w:r>
      <w:r w:rsidRPr="006902F9">
        <w:rPr>
          <w:noProof/>
        </w:rPr>
        <w:t xml:space="preserve"> participation in the Single Market Transparency Directive procedure.</w:t>
      </w:r>
    </w:p>
    <w:p w14:paraId="35946AAF" w14:textId="77777777" w:rsidR="00845F5C" w:rsidRPr="00845F5C" w:rsidRDefault="00445CD5" w:rsidP="00E82918">
      <w:pPr>
        <w:pStyle w:val="Text1"/>
        <w:ind w:left="0"/>
        <w:rPr>
          <w:noProof/>
        </w:rPr>
      </w:pPr>
      <w:r w:rsidRPr="006502C4">
        <w:rPr>
          <w:noProof/>
        </w:rPr>
        <w:t>T</w:t>
      </w:r>
      <w:r w:rsidR="0071349A" w:rsidRPr="006902F9">
        <w:rPr>
          <w:noProof/>
        </w:rPr>
        <w:t>he case</w:t>
      </w:r>
      <w:r w:rsidR="000D71BF">
        <w:rPr>
          <w:noProof/>
        </w:rPr>
        <w:t>-</w:t>
      </w:r>
      <w:r w:rsidR="0071349A" w:rsidRPr="006902F9">
        <w:rPr>
          <w:noProof/>
        </w:rPr>
        <w:t xml:space="preserve">law of the Court of Justice of the European Union (CJEU) </w:t>
      </w:r>
      <w:r w:rsidR="00301C94" w:rsidRPr="006902F9">
        <w:rPr>
          <w:noProof/>
        </w:rPr>
        <w:t>shed light on some interpretative conundrums o</w:t>
      </w:r>
      <w:r w:rsidR="0075631C">
        <w:rPr>
          <w:noProof/>
        </w:rPr>
        <w:t>f</w:t>
      </w:r>
      <w:r w:rsidR="00301C94" w:rsidRPr="006902F9">
        <w:rPr>
          <w:noProof/>
        </w:rPr>
        <w:t xml:space="preserve"> the Single Market Transparency Directive</w:t>
      </w:r>
      <w:r w:rsidR="000D71BF">
        <w:rPr>
          <w:noProof/>
        </w:rPr>
        <w:t>. These included</w:t>
      </w:r>
      <w:r w:rsidR="00C3798E" w:rsidRPr="006902F9">
        <w:rPr>
          <w:noProof/>
        </w:rPr>
        <w:t xml:space="preserve"> </w:t>
      </w:r>
      <w:r w:rsidR="00D9378F" w:rsidRPr="006502C4">
        <w:rPr>
          <w:noProof/>
        </w:rPr>
        <w:t xml:space="preserve">the definition of technical regulations, </w:t>
      </w:r>
      <w:r w:rsidR="00C3798E" w:rsidRPr="006902F9">
        <w:rPr>
          <w:noProof/>
        </w:rPr>
        <w:t>the classification of</w:t>
      </w:r>
      <w:r w:rsidR="00301C94" w:rsidRPr="006902F9">
        <w:rPr>
          <w:noProof/>
        </w:rPr>
        <w:t xml:space="preserve"> </w:t>
      </w:r>
      <w:r w:rsidR="00AD2044" w:rsidRPr="006502C4">
        <w:rPr>
          <w:noProof/>
        </w:rPr>
        <w:t xml:space="preserve">new intermediation </w:t>
      </w:r>
      <w:r w:rsidR="00301C94" w:rsidRPr="006902F9">
        <w:rPr>
          <w:noProof/>
        </w:rPr>
        <w:t xml:space="preserve">services </w:t>
      </w:r>
      <w:r w:rsidR="00C3798E" w:rsidRPr="006902F9">
        <w:rPr>
          <w:noProof/>
        </w:rPr>
        <w:t xml:space="preserve">in emerging sectors </w:t>
      </w:r>
      <w:r w:rsidR="00212C00" w:rsidRPr="006902F9">
        <w:rPr>
          <w:noProof/>
        </w:rPr>
        <w:t>related to collaborative economy models</w:t>
      </w:r>
      <w:r w:rsidR="00D9378F" w:rsidRPr="006502C4">
        <w:rPr>
          <w:noProof/>
        </w:rPr>
        <w:t xml:space="preserve">, the </w:t>
      </w:r>
      <w:r w:rsidR="00DC1791" w:rsidRPr="006502C4">
        <w:rPr>
          <w:noProof/>
        </w:rPr>
        <w:t>right of access to documents in relation to the Single Market Transparency Directive procedure</w:t>
      </w:r>
      <w:r w:rsidR="00743EDA" w:rsidRPr="006502C4">
        <w:rPr>
          <w:noProof/>
        </w:rPr>
        <w:t xml:space="preserve"> and the </w:t>
      </w:r>
      <w:r w:rsidR="000D71BF">
        <w:rPr>
          <w:noProof/>
        </w:rPr>
        <w:t>penalty</w:t>
      </w:r>
      <w:r w:rsidR="000D71BF" w:rsidRPr="006502C4">
        <w:rPr>
          <w:noProof/>
        </w:rPr>
        <w:t xml:space="preserve"> </w:t>
      </w:r>
      <w:r w:rsidR="00743EDA" w:rsidRPr="006502C4">
        <w:rPr>
          <w:noProof/>
        </w:rPr>
        <w:t>for non-notification</w:t>
      </w:r>
      <w:r w:rsidR="00DC1791" w:rsidRPr="006502C4">
        <w:rPr>
          <w:rStyle w:val="FootnoteReference"/>
          <w:noProof/>
        </w:rPr>
        <w:footnoteReference w:id="12"/>
      </w:r>
      <w:r w:rsidR="00212C00" w:rsidRPr="006902F9">
        <w:rPr>
          <w:noProof/>
        </w:rPr>
        <w:t>.</w:t>
      </w:r>
    </w:p>
    <w:p w14:paraId="19CD902C" w14:textId="77777777" w:rsidR="0071349A" w:rsidRDefault="0071349A" w:rsidP="00C7731D">
      <w:pPr>
        <w:pStyle w:val="Heading2"/>
        <w:tabs>
          <w:tab w:val="num" w:pos="851"/>
        </w:tabs>
        <w:ind w:hanging="1560"/>
        <w:rPr>
          <w:rFonts w:eastAsia="Batang"/>
          <w:i/>
          <w:noProof/>
        </w:rPr>
      </w:pPr>
      <w:bookmarkStart w:id="7" w:name="_Toc98517784"/>
      <w:bookmarkStart w:id="8" w:name="_Toc242246321"/>
      <w:bookmarkStart w:id="9" w:name="_Toc404941541"/>
      <w:r>
        <w:rPr>
          <w:rFonts w:eastAsia="Batang"/>
          <w:i/>
          <w:noProof/>
        </w:rPr>
        <w:t>Improvements to the notification procedure</w:t>
      </w:r>
      <w:bookmarkEnd w:id="7"/>
    </w:p>
    <w:p w14:paraId="7E209E3B" w14:textId="77777777" w:rsidR="0071349A" w:rsidRDefault="0071349A" w:rsidP="0071349A">
      <w:pPr>
        <w:pStyle w:val="ListBullet"/>
        <w:numPr>
          <w:ilvl w:val="0"/>
          <w:numId w:val="0"/>
        </w:numPr>
        <w:rPr>
          <w:noProof/>
          <w:szCs w:val="24"/>
        </w:rPr>
      </w:pPr>
      <w:r>
        <w:rPr>
          <w:noProof/>
          <w:szCs w:val="24"/>
        </w:rPr>
        <w:t xml:space="preserve">One of the </w:t>
      </w:r>
      <w:r w:rsidR="000D71BF">
        <w:rPr>
          <w:noProof/>
          <w:szCs w:val="24"/>
        </w:rPr>
        <w:t xml:space="preserve">Single Market Transparency Directive’s </w:t>
      </w:r>
      <w:r>
        <w:rPr>
          <w:noProof/>
          <w:szCs w:val="24"/>
        </w:rPr>
        <w:t xml:space="preserve">objectives is to inform economic operators, including small and medium-sized enterprises, </w:t>
      </w:r>
      <w:r w:rsidR="000D71BF">
        <w:rPr>
          <w:noProof/>
          <w:szCs w:val="24"/>
        </w:rPr>
        <w:t xml:space="preserve">in advance </w:t>
      </w:r>
      <w:r>
        <w:rPr>
          <w:noProof/>
          <w:szCs w:val="24"/>
        </w:rPr>
        <w:t xml:space="preserve">of planned technical regulations before their adoption by the Member States. This allows economic operators to make their voices heard and to adapt their activities </w:t>
      </w:r>
      <w:r w:rsidR="000D71BF">
        <w:rPr>
          <w:noProof/>
          <w:szCs w:val="24"/>
        </w:rPr>
        <w:t xml:space="preserve">in good time </w:t>
      </w:r>
      <w:r>
        <w:rPr>
          <w:noProof/>
          <w:szCs w:val="24"/>
        </w:rPr>
        <w:t>to future technical regulations</w:t>
      </w:r>
      <w:r>
        <w:rPr>
          <w:rStyle w:val="FootnoteReference"/>
          <w:noProof/>
          <w:szCs w:val="24"/>
        </w:rPr>
        <w:footnoteReference w:id="13"/>
      </w:r>
      <w:r>
        <w:rPr>
          <w:noProof/>
          <w:szCs w:val="24"/>
        </w:rPr>
        <w:t xml:space="preserve">. </w:t>
      </w:r>
      <w:r w:rsidRPr="006C0951">
        <w:rPr>
          <w:noProof/>
          <w:szCs w:val="24"/>
        </w:rPr>
        <w:t xml:space="preserve">The high number of contributions on notifications sent by stakeholders shows that this right of scrutiny is exercised extensively and </w:t>
      </w:r>
      <w:r w:rsidR="000D71BF" w:rsidRPr="006C0951">
        <w:rPr>
          <w:noProof/>
          <w:szCs w:val="24"/>
        </w:rPr>
        <w:t xml:space="preserve">is </w:t>
      </w:r>
      <w:r w:rsidR="000D71BF" w:rsidRPr="009A5708">
        <w:rPr>
          <w:noProof/>
          <w:szCs w:val="24"/>
        </w:rPr>
        <w:t xml:space="preserve">helping </w:t>
      </w:r>
      <w:r w:rsidRPr="00367AB7">
        <w:rPr>
          <w:noProof/>
          <w:szCs w:val="24"/>
        </w:rPr>
        <w:t>the Commission and national authorities to detect barriers to trade.</w:t>
      </w:r>
      <w:r>
        <w:rPr>
          <w:noProof/>
          <w:szCs w:val="24"/>
        </w:rPr>
        <w:t xml:space="preserve"> </w:t>
      </w:r>
    </w:p>
    <w:p w14:paraId="44632AC1" w14:textId="77777777" w:rsidR="0071349A" w:rsidRDefault="0071349A" w:rsidP="0071349A">
      <w:pPr>
        <w:spacing w:line="240" w:lineRule="auto"/>
        <w:jc w:val="both"/>
        <w:rPr>
          <w:rFonts w:ascii="Times New Roman" w:eastAsia="Batang" w:hAnsi="Times New Roman"/>
          <w:noProof/>
          <w:sz w:val="24"/>
          <w:szCs w:val="24"/>
          <w:lang w:eastAsia="ko-KR"/>
        </w:rPr>
      </w:pPr>
      <w:r>
        <w:rPr>
          <w:rFonts w:ascii="Times New Roman" w:eastAsia="Batang" w:hAnsi="Times New Roman"/>
          <w:noProof/>
          <w:sz w:val="24"/>
          <w:szCs w:val="24"/>
          <w:lang w:eastAsia="ko-KR"/>
        </w:rPr>
        <w:t xml:space="preserve">In an ever-evolving effort towards transparency and efficiency, in 2015 the Commission worked </w:t>
      </w:r>
      <w:r w:rsidR="00D45A22">
        <w:rPr>
          <w:rFonts w:ascii="Times New Roman" w:eastAsia="Batang" w:hAnsi="Times New Roman"/>
          <w:noProof/>
          <w:sz w:val="24"/>
          <w:szCs w:val="24"/>
          <w:lang w:eastAsia="ko-KR"/>
        </w:rPr>
        <w:t>to</w:t>
      </w:r>
      <w:r w:rsidR="000D71BF">
        <w:rPr>
          <w:rFonts w:ascii="Times New Roman" w:eastAsia="Batang" w:hAnsi="Times New Roman"/>
          <w:noProof/>
          <w:sz w:val="24"/>
          <w:szCs w:val="24"/>
          <w:lang w:eastAsia="ko-KR"/>
        </w:rPr>
        <w:t xml:space="preserve"> develop </w:t>
      </w:r>
      <w:r>
        <w:rPr>
          <w:rFonts w:ascii="Times New Roman" w:eastAsia="Batang" w:hAnsi="Times New Roman"/>
          <w:noProof/>
          <w:sz w:val="24"/>
          <w:szCs w:val="24"/>
          <w:lang w:eastAsia="ko-KR"/>
        </w:rPr>
        <w:t xml:space="preserve">a </w:t>
      </w:r>
      <w:r w:rsidR="000D71BF">
        <w:rPr>
          <w:rFonts w:ascii="Times New Roman" w:eastAsia="Batang" w:hAnsi="Times New Roman"/>
          <w:noProof/>
          <w:sz w:val="24"/>
          <w:szCs w:val="24"/>
          <w:lang w:eastAsia="ko-KR"/>
        </w:rPr>
        <w:t xml:space="preserve">new </w:t>
      </w:r>
      <w:r>
        <w:rPr>
          <w:rFonts w:ascii="Times New Roman" w:eastAsia="Batang" w:hAnsi="Times New Roman"/>
          <w:noProof/>
          <w:sz w:val="24"/>
          <w:szCs w:val="24"/>
          <w:lang w:eastAsia="ko-KR"/>
        </w:rPr>
        <w:t>function on the Technical Regulation Information System (TRIS) website</w:t>
      </w:r>
      <w:r>
        <w:rPr>
          <w:rStyle w:val="FootnoteReference"/>
          <w:rFonts w:ascii="Times New Roman" w:eastAsia="Times New Roman" w:hAnsi="Times New Roman"/>
          <w:noProof/>
          <w:sz w:val="24"/>
          <w:lang w:eastAsia="en-GB"/>
        </w:rPr>
        <w:footnoteReference w:id="14"/>
      </w:r>
      <w:r>
        <w:rPr>
          <w:rFonts w:ascii="Times New Roman" w:eastAsia="Batang" w:hAnsi="Times New Roman"/>
          <w:noProof/>
          <w:sz w:val="24"/>
          <w:szCs w:val="24"/>
          <w:lang w:eastAsia="ko-KR"/>
        </w:rPr>
        <w:t xml:space="preserve">. This function was put in place in 2016 and allows any person to use the TRIS website to submit contributions on any notification during the standstill period provided for </w:t>
      </w:r>
      <w:r w:rsidRPr="00CC4B1B">
        <w:rPr>
          <w:rFonts w:ascii="Times New Roman" w:eastAsia="Batang" w:hAnsi="Times New Roman"/>
          <w:noProof/>
          <w:sz w:val="24"/>
          <w:szCs w:val="24"/>
          <w:lang w:eastAsia="ko-KR"/>
        </w:rPr>
        <w:t xml:space="preserve">under Article 6 of the Single Market Transparency Directive. </w:t>
      </w:r>
      <w:r w:rsidR="0075631C">
        <w:rPr>
          <w:rFonts w:ascii="Times New Roman" w:eastAsia="Batang" w:hAnsi="Times New Roman"/>
          <w:noProof/>
          <w:sz w:val="24"/>
          <w:szCs w:val="24"/>
          <w:lang w:eastAsia="ko-KR"/>
        </w:rPr>
        <w:t>From</w:t>
      </w:r>
      <w:r w:rsidRPr="00CC4B1B">
        <w:rPr>
          <w:rFonts w:ascii="Times New Roman" w:eastAsia="Batang" w:hAnsi="Times New Roman"/>
          <w:noProof/>
          <w:sz w:val="24"/>
          <w:szCs w:val="24"/>
          <w:lang w:eastAsia="ko-KR"/>
        </w:rPr>
        <w:t xml:space="preserve"> 2016-20</w:t>
      </w:r>
      <w:r w:rsidR="00FC474B">
        <w:rPr>
          <w:rFonts w:ascii="Times New Roman" w:eastAsia="Batang" w:hAnsi="Times New Roman"/>
          <w:noProof/>
          <w:sz w:val="24"/>
          <w:szCs w:val="24"/>
          <w:lang w:eastAsia="ko-KR"/>
        </w:rPr>
        <w:t>20</w:t>
      </w:r>
      <w:r w:rsidRPr="008128A6">
        <w:rPr>
          <w:rFonts w:ascii="Times New Roman" w:eastAsia="Batang" w:hAnsi="Times New Roman"/>
          <w:noProof/>
          <w:sz w:val="24"/>
          <w:szCs w:val="24"/>
          <w:lang w:eastAsia="ko-KR"/>
        </w:rPr>
        <w:t xml:space="preserve">, the Commission received </w:t>
      </w:r>
      <w:r w:rsidR="00761D82">
        <w:rPr>
          <w:rFonts w:ascii="Times New Roman" w:eastAsia="Batang" w:hAnsi="Times New Roman"/>
          <w:noProof/>
          <w:sz w:val="24"/>
          <w:szCs w:val="24"/>
          <w:lang w:eastAsia="ko-KR"/>
        </w:rPr>
        <w:t>1</w:t>
      </w:r>
      <w:r w:rsidR="00146018">
        <w:rPr>
          <w:rFonts w:ascii="Times New Roman" w:eastAsia="Batang" w:hAnsi="Times New Roman"/>
          <w:noProof/>
          <w:sz w:val="24"/>
          <w:szCs w:val="24"/>
          <w:lang w:eastAsia="ko-KR"/>
        </w:rPr>
        <w:t xml:space="preserve"> </w:t>
      </w:r>
      <w:r w:rsidR="00761D82">
        <w:rPr>
          <w:rFonts w:ascii="Times New Roman" w:eastAsia="Batang" w:hAnsi="Times New Roman"/>
          <w:noProof/>
          <w:sz w:val="24"/>
          <w:szCs w:val="24"/>
          <w:lang w:eastAsia="ko-KR"/>
        </w:rPr>
        <w:t>618</w:t>
      </w:r>
      <w:r w:rsidR="00BB0D5E">
        <w:rPr>
          <w:rFonts w:ascii="Times New Roman" w:eastAsia="Batang" w:hAnsi="Times New Roman"/>
          <w:noProof/>
          <w:sz w:val="24"/>
          <w:szCs w:val="24"/>
          <w:lang w:eastAsia="ko-KR"/>
        </w:rPr>
        <w:t xml:space="preserve"> </w:t>
      </w:r>
      <w:r w:rsidRPr="00CC4B1B">
        <w:rPr>
          <w:rFonts w:ascii="Times New Roman" w:eastAsia="Batang" w:hAnsi="Times New Roman"/>
          <w:noProof/>
          <w:sz w:val="24"/>
          <w:szCs w:val="24"/>
          <w:lang w:eastAsia="ko-KR"/>
        </w:rPr>
        <w:t>contributions via this function</w:t>
      </w:r>
      <w:r>
        <w:rPr>
          <w:rFonts w:ascii="Times New Roman" w:eastAsia="Batang" w:hAnsi="Times New Roman"/>
          <w:noProof/>
          <w:sz w:val="24"/>
          <w:szCs w:val="24"/>
          <w:lang w:eastAsia="ko-KR"/>
        </w:rPr>
        <w:t xml:space="preserve"> </w:t>
      </w:r>
      <w:r w:rsidRPr="006902F9">
        <w:rPr>
          <w:rFonts w:ascii="Times New Roman" w:eastAsia="Batang" w:hAnsi="Times New Roman"/>
          <w:noProof/>
          <w:sz w:val="24"/>
          <w:szCs w:val="24"/>
          <w:lang w:eastAsia="ko-KR"/>
        </w:rPr>
        <w:t>(144 in 2016, 421 in 2017, 175 in 2018</w:t>
      </w:r>
      <w:r w:rsidR="00FC474B">
        <w:rPr>
          <w:rFonts w:ascii="Times New Roman" w:eastAsia="Batang" w:hAnsi="Times New Roman"/>
          <w:noProof/>
          <w:sz w:val="24"/>
          <w:szCs w:val="24"/>
          <w:lang w:eastAsia="ko-KR"/>
        </w:rPr>
        <w:t>,</w:t>
      </w:r>
      <w:r w:rsidRPr="006902F9">
        <w:rPr>
          <w:rFonts w:ascii="Times New Roman" w:eastAsia="Batang" w:hAnsi="Times New Roman"/>
          <w:noProof/>
          <w:sz w:val="24"/>
          <w:szCs w:val="24"/>
          <w:lang w:eastAsia="ko-KR"/>
        </w:rPr>
        <w:t xml:space="preserve"> 281 in 2019</w:t>
      </w:r>
      <w:r w:rsidR="00FC474B">
        <w:rPr>
          <w:rFonts w:ascii="Times New Roman" w:eastAsia="Batang" w:hAnsi="Times New Roman"/>
          <w:noProof/>
          <w:sz w:val="24"/>
          <w:szCs w:val="24"/>
          <w:lang w:eastAsia="ko-KR"/>
        </w:rPr>
        <w:t xml:space="preserve"> and</w:t>
      </w:r>
      <w:r w:rsidR="00761D82">
        <w:rPr>
          <w:rFonts w:ascii="Times New Roman" w:eastAsia="Batang" w:hAnsi="Times New Roman"/>
          <w:noProof/>
          <w:sz w:val="24"/>
          <w:szCs w:val="24"/>
          <w:lang w:eastAsia="ko-KR"/>
        </w:rPr>
        <w:t xml:space="preserve"> 597</w:t>
      </w:r>
      <w:r w:rsidR="00FC474B">
        <w:rPr>
          <w:rFonts w:ascii="Times New Roman" w:eastAsia="Batang" w:hAnsi="Times New Roman"/>
          <w:noProof/>
          <w:sz w:val="24"/>
          <w:szCs w:val="24"/>
          <w:lang w:eastAsia="ko-KR"/>
        </w:rPr>
        <w:t xml:space="preserve"> in 2020</w:t>
      </w:r>
      <w:r w:rsidRPr="006902F9">
        <w:rPr>
          <w:rFonts w:ascii="Times New Roman" w:eastAsia="Batang" w:hAnsi="Times New Roman"/>
          <w:noProof/>
          <w:sz w:val="24"/>
          <w:szCs w:val="24"/>
          <w:lang w:eastAsia="ko-KR"/>
        </w:rPr>
        <w:t>).</w:t>
      </w:r>
    </w:p>
    <w:p w14:paraId="2B6C088E" w14:textId="77777777" w:rsidR="0049046D" w:rsidRDefault="001F7678">
      <w:pPr>
        <w:pStyle w:val="Heading2"/>
        <w:ind w:left="851" w:hanging="851"/>
        <w:rPr>
          <w:i/>
          <w:noProof/>
        </w:rPr>
      </w:pPr>
      <w:bookmarkStart w:id="10" w:name="_Toc98517785"/>
      <w:r>
        <w:rPr>
          <w:i/>
          <w:noProof/>
        </w:rPr>
        <w:t xml:space="preserve">Use of the notification procedure within the context of </w:t>
      </w:r>
      <w:r w:rsidR="00BB5577">
        <w:rPr>
          <w:i/>
          <w:noProof/>
        </w:rPr>
        <w:t>‘</w:t>
      </w:r>
      <w:r w:rsidR="001F1AF0">
        <w:rPr>
          <w:i/>
          <w:noProof/>
        </w:rPr>
        <w:t>b</w:t>
      </w:r>
      <w:r>
        <w:rPr>
          <w:i/>
          <w:noProof/>
        </w:rPr>
        <w:t>etter regulation</w:t>
      </w:r>
      <w:bookmarkEnd w:id="8"/>
      <w:bookmarkEnd w:id="9"/>
      <w:r w:rsidR="00BB5577">
        <w:rPr>
          <w:i/>
          <w:noProof/>
        </w:rPr>
        <w:t>’</w:t>
      </w:r>
      <w:r>
        <w:rPr>
          <w:i/>
          <w:noProof/>
        </w:rPr>
        <w:t xml:space="preserve"> and </w:t>
      </w:r>
      <w:r w:rsidR="001E1898">
        <w:rPr>
          <w:i/>
          <w:noProof/>
        </w:rPr>
        <w:t>mutual recognition</w:t>
      </w:r>
      <w:bookmarkEnd w:id="10"/>
    </w:p>
    <w:p w14:paraId="6A90EC47" w14:textId="77777777" w:rsidR="0049046D" w:rsidRDefault="00445CD5" w:rsidP="006502C4">
      <w:pPr>
        <w:spacing w:line="240" w:lineRule="auto"/>
        <w:jc w:val="both"/>
        <w:rPr>
          <w:i/>
          <w:noProof/>
        </w:rPr>
      </w:pPr>
      <w:r>
        <w:rPr>
          <w:rFonts w:ascii="Times New Roman" w:hAnsi="Times New Roman"/>
          <w:noProof/>
          <w:sz w:val="24"/>
          <w:szCs w:val="24"/>
        </w:rPr>
        <w:t>I</w:t>
      </w:r>
      <w:r w:rsidR="001F7678">
        <w:rPr>
          <w:rFonts w:ascii="Times New Roman" w:hAnsi="Times New Roman"/>
          <w:noProof/>
          <w:sz w:val="24"/>
          <w:szCs w:val="24"/>
        </w:rPr>
        <w:t xml:space="preserve">n its Communication </w:t>
      </w:r>
      <w:r w:rsidR="001F7678" w:rsidRPr="00D659F6">
        <w:rPr>
          <w:rFonts w:ascii="Times New Roman" w:hAnsi="Times New Roman"/>
          <w:i/>
          <w:noProof/>
          <w:sz w:val="24"/>
          <w:szCs w:val="24"/>
        </w:rPr>
        <w:t>Better regulation for growth and jobs in the EU</w:t>
      </w:r>
      <w:r w:rsidR="001F7678">
        <w:rPr>
          <w:rStyle w:val="FootnoteReference"/>
          <w:rFonts w:ascii="Times New Roman" w:hAnsi="Times New Roman"/>
          <w:noProof/>
          <w:sz w:val="24"/>
          <w:szCs w:val="24"/>
        </w:rPr>
        <w:footnoteReference w:id="15"/>
      </w:r>
      <w:r w:rsidR="000D71BF">
        <w:rPr>
          <w:rFonts w:ascii="Times New Roman" w:hAnsi="Times New Roman"/>
          <w:noProof/>
          <w:sz w:val="24"/>
          <w:szCs w:val="24"/>
        </w:rPr>
        <w:t xml:space="preserve">, </w:t>
      </w:r>
      <w:r w:rsidR="001F7678">
        <w:rPr>
          <w:rFonts w:ascii="Times New Roman" w:hAnsi="Times New Roman"/>
          <w:noProof/>
          <w:sz w:val="24"/>
          <w:szCs w:val="24"/>
        </w:rPr>
        <w:t xml:space="preserve">the Commission highlighted that the preventive control mechanism established by the Single Market Transparency Directive contributes to improving the quality of national regulations on products and </w:t>
      </w:r>
      <w:r w:rsidR="00BB5577">
        <w:rPr>
          <w:rFonts w:ascii="Times New Roman" w:hAnsi="Times New Roman"/>
          <w:noProof/>
          <w:sz w:val="24"/>
          <w:szCs w:val="24"/>
        </w:rPr>
        <w:t>i</w:t>
      </w:r>
      <w:r w:rsidR="001F7678">
        <w:rPr>
          <w:rFonts w:ascii="Times New Roman" w:hAnsi="Times New Roman"/>
          <w:noProof/>
          <w:sz w:val="24"/>
          <w:szCs w:val="24"/>
        </w:rPr>
        <w:t xml:space="preserve">nformation </w:t>
      </w:r>
      <w:r w:rsidR="00BB5577">
        <w:rPr>
          <w:rFonts w:ascii="Times New Roman" w:hAnsi="Times New Roman"/>
          <w:noProof/>
          <w:sz w:val="24"/>
          <w:szCs w:val="24"/>
        </w:rPr>
        <w:t>s</w:t>
      </w:r>
      <w:r w:rsidR="001F7678">
        <w:rPr>
          <w:rFonts w:ascii="Times New Roman" w:hAnsi="Times New Roman"/>
          <w:noProof/>
          <w:sz w:val="24"/>
          <w:szCs w:val="24"/>
        </w:rPr>
        <w:t>ociety services. The cooperation between the Commission and the Member States within the context of the notification procedure aims to ensure a clearer regulatory framework for economic operators.</w:t>
      </w:r>
    </w:p>
    <w:p w14:paraId="54C53E94" w14:textId="77777777" w:rsidR="009F4CCD" w:rsidRDefault="001F7678" w:rsidP="002940AD">
      <w:pPr>
        <w:pStyle w:val="Default"/>
        <w:jc w:val="both"/>
        <w:rPr>
          <w:noProof/>
        </w:rPr>
      </w:pPr>
      <w:r w:rsidRPr="00BB6990">
        <w:rPr>
          <w:noProof/>
        </w:rPr>
        <w:t>The Single</w:t>
      </w:r>
      <w:r>
        <w:rPr>
          <w:noProof/>
        </w:rPr>
        <w:t xml:space="preserve"> Market Transparency Directive </w:t>
      </w:r>
      <w:r w:rsidR="009F4CCD">
        <w:rPr>
          <w:noProof/>
        </w:rPr>
        <w:t xml:space="preserve">also </w:t>
      </w:r>
      <w:r>
        <w:rPr>
          <w:noProof/>
        </w:rPr>
        <w:t xml:space="preserve">contributes to better mutual recognition. </w:t>
      </w:r>
      <w:r w:rsidR="00F10C3C" w:rsidRPr="00F10C3C">
        <w:rPr>
          <w:noProof/>
        </w:rPr>
        <w:t>The mutual recognition principle</w:t>
      </w:r>
      <w:r w:rsidR="0075631C">
        <w:rPr>
          <w:noProof/>
        </w:rPr>
        <w:t>, which derives from the case-law of the CJ</w:t>
      </w:r>
      <w:r w:rsidR="008A7CDE">
        <w:rPr>
          <w:noProof/>
        </w:rPr>
        <w:t>EU</w:t>
      </w:r>
      <w:r w:rsidR="0075631C">
        <w:rPr>
          <w:noProof/>
        </w:rPr>
        <w:t xml:space="preserve"> on Articles 34 to 36 TFEU,</w:t>
      </w:r>
      <w:r w:rsidR="00F10C3C" w:rsidRPr="00F10C3C">
        <w:rPr>
          <w:noProof/>
        </w:rPr>
        <w:t xml:space="preserve"> ensures market access for goods that are not, or are only partly</w:t>
      </w:r>
      <w:r w:rsidR="00BB6990">
        <w:rPr>
          <w:noProof/>
        </w:rPr>
        <w:t>,</w:t>
      </w:r>
      <w:r w:rsidR="00F10C3C" w:rsidRPr="00F10C3C">
        <w:rPr>
          <w:noProof/>
        </w:rPr>
        <w:t xml:space="preserve"> subject to EU harmonisation legislation. It guarantees that any good lawfully </w:t>
      </w:r>
      <w:r w:rsidR="00942F33">
        <w:rPr>
          <w:noProof/>
        </w:rPr>
        <w:t>marketed</w:t>
      </w:r>
      <w:r w:rsidR="00F10C3C" w:rsidRPr="00F10C3C">
        <w:rPr>
          <w:noProof/>
        </w:rPr>
        <w:t xml:space="preserve"> in one </w:t>
      </w:r>
      <w:r w:rsidR="0075631C">
        <w:rPr>
          <w:noProof/>
        </w:rPr>
        <w:t>Member State</w:t>
      </w:r>
      <w:r w:rsidR="00F10C3C" w:rsidRPr="00F10C3C">
        <w:rPr>
          <w:noProof/>
        </w:rPr>
        <w:t xml:space="preserve"> can </w:t>
      </w:r>
      <w:r w:rsidR="0075631C">
        <w:rPr>
          <w:noProof/>
        </w:rPr>
        <w:t>in principle</w:t>
      </w:r>
      <w:r w:rsidR="00CA1218">
        <w:rPr>
          <w:noProof/>
        </w:rPr>
        <w:t xml:space="preserve"> </w:t>
      </w:r>
      <w:r w:rsidR="00F10C3C" w:rsidRPr="00F10C3C">
        <w:rPr>
          <w:noProof/>
        </w:rPr>
        <w:t xml:space="preserve">be sold in another. </w:t>
      </w:r>
      <w:r>
        <w:rPr>
          <w:noProof/>
        </w:rPr>
        <w:t xml:space="preserve">The </w:t>
      </w:r>
      <w:r w:rsidR="00CE3544">
        <w:rPr>
          <w:noProof/>
        </w:rPr>
        <w:t>assessment</w:t>
      </w:r>
      <w:r>
        <w:rPr>
          <w:noProof/>
        </w:rPr>
        <w:t xml:space="preserve"> of national regulations before their </w:t>
      </w:r>
      <w:r w:rsidRPr="00CB6792">
        <w:rPr>
          <w:noProof/>
        </w:rPr>
        <w:t>adoption</w:t>
      </w:r>
      <w:r w:rsidR="00A22F34" w:rsidRPr="00CB6792">
        <w:rPr>
          <w:noProof/>
        </w:rPr>
        <w:t xml:space="preserve"> helps minimi</w:t>
      </w:r>
      <w:r w:rsidR="00B95DED" w:rsidRPr="00CB6792">
        <w:rPr>
          <w:noProof/>
        </w:rPr>
        <w:t>s</w:t>
      </w:r>
      <w:r w:rsidR="00A22F34" w:rsidRPr="00CB6792">
        <w:rPr>
          <w:noProof/>
        </w:rPr>
        <w:t>e the risk that these rules raise unjustified regulatory barriers to trade, notably</w:t>
      </w:r>
      <w:r w:rsidRPr="00CB6792">
        <w:rPr>
          <w:noProof/>
        </w:rPr>
        <w:t xml:space="preserve"> in the light of the mutual recognition principle</w:t>
      </w:r>
      <w:r w:rsidR="00BB6990">
        <w:rPr>
          <w:noProof/>
        </w:rPr>
        <w:t>. This is</w:t>
      </w:r>
      <w:r w:rsidR="00F57C95" w:rsidRPr="00CB6792">
        <w:rPr>
          <w:noProof/>
        </w:rPr>
        <w:t xml:space="preserve"> </w:t>
      </w:r>
      <w:r w:rsidR="001A7985" w:rsidRPr="00CB6792">
        <w:rPr>
          <w:noProof/>
        </w:rPr>
        <w:t>because</w:t>
      </w:r>
      <w:r w:rsidRPr="00CB6792">
        <w:rPr>
          <w:noProof/>
        </w:rPr>
        <w:t xml:space="preserve"> the Commission </w:t>
      </w:r>
      <w:r w:rsidR="00542A5F" w:rsidRPr="00CB6792">
        <w:rPr>
          <w:noProof/>
        </w:rPr>
        <w:t>can</w:t>
      </w:r>
      <w:r w:rsidR="00144ED0">
        <w:rPr>
          <w:noProof/>
        </w:rPr>
        <w:t>: (i)</w:t>
      </w:r>
      <w:r w:rsidR="00542A5F" w:rsidRPr="00CB6792">
        <w:rPr>
          <w:noProof/>
        </w:rPr>
        <w:t xml:space="preserve"> correct </w:t>
      </w:r>
      <w:r w:rsidR="00F57C95" w:rsidRPr="00CB6792">
        <w:rPr>
          <w:noProof/>
        </w:rPr>
        <w:t xml:space="preserve">the </w:t>
      </w:r>
      <w:r w:rsidR="00542A5F" w:rsidRPr="00CB6792">
        <w:rPr>
          <w:noProof/>
        </w:rPr>
        <w:t>text</w:t>
      </w:r>
      <w:r w:rsidR="00F57C95" w:rsidRPr="00CB6792">
        <w:rPr>
          <w:noProof/>
        </w:rPr>
        <w:t xml:space="preserve"> of the</w:t>
      </w:r>
      <w:r w:rsidR="001A7985" w:rsidRPr="00CB6792">
        <w:rPr>
          <w:noProof/>
        </w:rPr>
        <w:t xml:space="preserve"> single market</w:t>
      </w:r>
      <w:r w:rsidR="00F57C95" w:rsidRPr="00CB6792">
        <w:rPr>
          <w:noProof/>
        </w:rPr>
        <w:t xml:space="preserve"> clauses in drafts notified by the Member States </w:t>
      </w:r>
      <w:r w:rsidR="00BB6990">
        <w:rPr>
          <w:noProof/>
        </w:rPr>
        <w:t xml:space="preserve">under </w:t>
      </w:r>
      <w:r w:rsidR="00F57C95" w:rsidRPr="00CB6792">
        <w:rPr>
          <w:noProof/>
        </w:rPr>
        <w:t>the Single Market Transparency Directive procedure</w:t>
      </w:r>
      <w:r w:rsidR="00144ED0">
        <w:rPr>
          <w:noProof/>
        </w:rPr>
        <w:t>;</w:t>
      </w:r>
      <w:r w:rsidR="00F57C95" w:rsidRPr="00CB6792">
        <w:rPr>
          <w:noProof/>
        </w:rPr>
        <w:t xml:space="preserve"> and </w:t>
      </w:r>
      <w:r w:rsidR="00144ED0">
        <w:rPr>
          <w:noProof/>
        </w:rPr>
        <w:t xml:space="preserve">(ii) </w:t>
      </w:r>
      <w:r w:rsidR="00144ED0" w:rsidRPr="00144ED0">
        <w:rPr>
          <w:noProof/>
        </w:rPr>
        <w:t>recommend that the Member States insert the single market clause in notified draft national measures when it is missing in the notified drafts</w:t>
      </w:r>
      <w:r w:rsidR="00144ED0">
        <w:rPr>
          <w:noProof/>
        </w:rPr>
        <w:t xml:space="preserve">. </w:t>
      </w:r>
      <w:r w:rsidR="00CA1218">
        <w:rPr>
          <w:noProof/>
        </w:rPr>
        <w:t xml:space="preserve"> </w:t>
      </w:r>
      <w:r>
        <w:rPr>
          <w:noProof/>
        </w:rPr>
        <w:t xml:space="preserve"> </w:t>
      </w:r>
    </w:p>
    <w:p w14:paraId="2DFE84FD" w14:textId="77777777" w:rsidR="0049046D" w:rsidRPr="00614955" w:rsidRDefault="001F7678">
      <w:pPr>
        <w:pStyle w:val="ManualHeading1"/>
        <w:rPr>
          <w:noProof/>
        </w:rPr>
      </w:pPr>
      <w:bookmarkStart w:id="11" w:name="_Toc242246323"/>
      <w:bookmarkStart w:id="12" w:name="_Toc404941544"/>
      <w:bookmarkStart w:id="13" w:name="_Toc98517786"/>
      <w:r w:rsidRPr="00614955">
        <w:rPr>
          <w:noProof/>
        </w:rPr>
        <w:t>2.</w:t>
      </w:r>
      <w:r w:rsidRPr="00614955">
        <w:rPr>
          <w:noProof/>
        </w:rPr>
        <w:tab/>
        <w:t xml:space="preserve">Application of the </w:t>
      </w:r>
      <w:bookmarkEnd w:id="11"/>
      <w:bookmarkEnd w:id="12"/>
      <w:r w:rsidRPr="00614955">
        <w:rPr>
          <w:noProof/>
        </w:rPr>
        <w:t>notification procedure</w:t>
      </w:r>
      <w:bookmarkEnd w:id="13"/>
    </w:p>
    <w:p w14:paraId="1840B3DB" w14:textId="77777777" w:rsidR="0049046D" w:rsidRPr="00614955" w:rsidRDefault="001F7678" w:rsidP="00512FFB">
      <w:pPr>
        <w:pStyle w:val="Heading2"/>
        <w:numPr>
          <w:ilvl w:val="1"/>
          <w:numId w:val="36"/>
        </w:numPr>
        <w:ind w:left="851" w:hanging="851"/>
        <w:rPr>
          <w:i/>
          <w:noProof/>
        </w:rPr>
      </w:pPr>
      <w:bookmarkStart w:id="14" w:name="_Toc242246324"/>
      <w:bookmarkStart w:id="15" w:name="_Toc404941545"/>
      <w:bookmarkStart w:id="16" w:name="_Toc98517787"/>
      <w:r w:rsidRPr="00614955">
        <w:rPr>
          <w:i/>
          <w:noProof/>
        </w:rPr>
        <w:t>Effectiveness: general overview</w:t>
      </w:r>
      <w:bookmarkEnd w:id="14"/>
      <w:bookmarkEnd w:id="15"/>
      <w:bookmarkEnd w:id="16"/>
      <w:r w:rsidRPr="00614955">
        <w:rPr>
          <w:i/>
          <w:noProof/>
        </w:rPr>
        <w:t xml:space="preserve"> </w:t>
      </w:r>
    </w:p>
    <w:p w14:paraId="05409927" w14:textId="77777777" w:rsidR="0049046D" w:rsidRPr="00F907A5" w:rsidRDefault="001F7678">
      <w:pPr>
        <w:spacing w:line="240" w:lineRule="auto"/>
        <w:jc w:val="both"/>
        <w:rPr>
          <w:rFonts w:ascii="Times New Roman" w:hAnsi="Times New Roman"/>
          <w:b/>
          <w:noProof/>
          <w:sz w:val="24"/>
          <w:szCs w:val="24"/>
          <w:u w:val="single"/>
        </w:rPr>
      </w:pPr>
      <w:r w:rsidRPr="00F907A5">
        <w:rPr>
          <w:rFonts w:ascii="Times New Roman" w:hAnsi="Times New Roman"/>
          <w:noProof/>
          <w:sz w:val="24"/>
          <w:szCs w:val="24"/>
        </w:rPr>
        <w:t xml:space="preserve">► </w:t>
      </w:r>
      <w:r w:rsidRPr="00F907A5">
        <w:rPr>
          <w:rFonts w:ascii="Times New Roman" w:hAnsi="Times New Roman"/>
          <w:b/>
          <w:noProof/>
          <w:sz w:val="24"/>
          <w:szCs w:val="24"/>
          <w:u w:val="single"/>
        </w:rPr>
        <w:t>Volume of notifications and sectors involved</w:t>
      </w:r>
    </w:p>
    <w:p w14:paraId="1A401050" w14:textId="77777777" w:rsidR="0049046D" w:rsidRDefault="001F7678">
      <w:pPr>
        <w:pStyle w:val="ListBullet"/>
        <w:numPr>
          <w:ilvl w:val="0"/>
          <w:numId w:val="0"/>
        </w:numPr>
        <w:rPr>
          <w:noProof/>
          <w:szCs w:val="24"/>
        </w:rPr>
      </w:pPr>
      <w:r w:rsidRPr="00F907A5">
        <w:rPr>
          <w:noProof/>
          <w:szCs w:val="24"/>
        </w:rPr>
        <w:t>From 201</w:t>
      </w:r>
      <w:r w:rsidR="00A13102" w:rsidRPr="00512FFB">
        <w:rPr>
          <w:noProof/>
          <w:szCs w:val="24"/>
        </w:rPr>
        <w:t>6</w:t>
      </w:r>
      <w:r w:rsidRPr="00614955">
        <w:rPr>
          <w:noProof/>
          <w:szCs w:val="24"/>
        </w:rPr>
        <w:t xml:space="preserve"> to 20</w:t>
      </w:r>
      <w:r w:rsidR="00FC474B">
        <w:rPr>
          <w:noProof/>
          <w:szCs w:val="24"/>
        </w:rPr>
        <w:t>20</w:t>
      </w:r>
      <w:r w:rsidRPr="00614955">
        <w:rPr>
          <w:noProof/>
          <w:szCs w:val="24"/>
        </w:rPr>
        <w:t xml:space="preserve">, the Commission received </w:t>
      </w:r>
      <w:r w:rsidR="00FC474B">
        <w:rPr>
          <w:noProof/>
          <w:szCs w:val="24"/>
        </w:rPr>
        <w:t>3</w:t>
      </w:r>
      <w:r w:rsidR="00D45A22">
        <w:rPr>
          <w:noProof/>
          <w:szCs w:val="24"/>
        </w:rPr>
        <w:t> </w:t>
      </w:r>
      <w:r w:rsidR="00FC474B">
        <w:rPr>
          <w:noProof/>
          <w:szCs w:val="24"/>
        </w:rPr>
        <w:t>553</w:t>
      </w:r>
      <w:r w:rsidR="00A13102" w:rsidRPr="00512FFB">
        <w:rPr>
          <w:noProof/>
          <w:szCs w:val="24"/>
        </w:rPr>
        <w:t xml:space="preserve"> </w:t>
      </w:r>
      <w:r w:rsidRPr="00614955">
        <w:rPr>
          <w:noProof/>
          <w:szCs w:val="24"/>
        </w:rPr>
        <w:t>notifications (</w:t>
      </w:r>
      <w:r w:rsidR="00A13102" w:rsidRPr="00512FFB">
        <w:rPr>
          <w:noProof/>
          <w:szCs w:val="24"/>
        </w:rPr>
        <w:t>700</w:t>
      </w:r>
      <w:r w:rsidRPr="00614955">
        <w:rPr>
          <w:noProof/>
          <w:szCs w:val="24"/>
        </w:rPr>
        <w:t xml:space="preserve"> in 201</w:t>
      </w:r>
      <w:r w:rsidR="00A13102" w:rsidRPr="00512FFB">
        <w:rPr>
          <w:noProof/>
          <w:szCs w:val="24"/>
        </w:rPr>
        <w:t>6</w:t>
      </w:r>
      <w:r w:rsidRPr="00614955">
        <w:rPr>
          <w:noProof/>
          <w:szCs w:val="24"/>
        </w:rPr>
        <w:t xml:space="preserve">, </w:t>
      </w:r>
      <w:r w:rsidR="00A13102" w:rsidRPr="00512FFB">
        <w:rPr>
          <w:noProof/>
          <w:szCs w:val="24"/>
        </w:rPr>
        <w:t>676</w:t>
      </w:r>
      <w:r w:rsidRPr="00614955">
        <w:rPr>
          <w:noProof/>
          <w:szCs w:val="24"/>
        </w:rPr>
        <w:t xml:space="preserve"> in 201</w:t>
      </w:r>
      <w:r w:rsidR="00A13102" w:rsidRPr="00512FFB">
        <w:rPr>
          <w:noProof/>
          <w:szCs w:val="24"/>
        </w:rPr>
        <w:t xml:space="preserve">7, </w:t>
      </w:r>
      <w:r w:rsidR="003A3935" w:rsidRPr="00512FFB">
        <w:rPr>
          <w:noProof/>
          <w:szCs w:val="24"/>
        </w:rPr>
        <w:t>666 in 2018</w:t>
      </w:r>
      <w:r w:rsidR="00FC474B">
        <w:rPr>
          <w:noProof/>
          <w:szCs w:val="24"/>
        </w:rPr>
        <w:t>,</w:t>
      </w:r>
      <w:r w:rsidR="003A3935" w:rsidRPr="00512FFB">
        <w:rPr>
          <w:noProof/>
          <w:szCs w:val="24"/>
        </w:rPr>
        <w:t xml:space="preserve"> 657 in 2019</w:t>
      </w:r>
      <w:r w:rsidR="00FC474B">
        <w:rPr>
          <w:noProof/>
          <w:szCs w:val="24"/>
        </w:rPr>
        <w:t xml:space="preserve"> and 854 in 2020</w:t>
      </w:r>
      <w:r w:rsidRPr="00614955">
        <w:rPr>
          <w:noProof/>
          <w:szCs w:val="24"/>
        </w:rPr>
        <w:t>)</w:t>
      </w:r>
      <w:r w:rsidRPr="00614955">
        <w:rPr>
          <w:rStyle w:val="FootnoteReference"/>
          <w:noProof/>
          <w:szCs w:val="24"/>
        </w:rPr>
        <w:footnoteReference w:id="16"/>
      </w:r>
      <w:r w:rsidRPr="00614955">
        <w:rPr>
          <w:noProof/>
          <w:szCs w:val="24"/>
        </w:rPr>
        <w:t xml:space="preserve">. </w:t>
      </w:r>
    </w:p>
    <w:p w14:paraId="26BE87CF" w14:textId="77777777" w:rsidR="0049046D" w:rsidRDefault="001F7678" w:rsidP="008C7654">
      <w:pPr>
        <w:pStyle w:val="ListBullet"/>
        <w:numPr>
          <w:ilvl w:val="0"/>
          <w:numId w:val="0"/>
        </w:numPr>
        <w:rPr>
          <w:noProof/>
          <w:szCs w:val="24"/>
        </w:rPr>
      </w:pPr>
      <w:r w:rsidRPr="00614955">
        <w:rPr>
          <w:noProof/>
          <w:szCs w:val="24"/>
        </w:rPr>
        <w:t xml:space="preserve">Marked differences </w:t>
      </w:r>
      <w:r w:rsidR="00BB6990" w:rsidRPr="00614955">
        <w:rPr>
          <w:noProof/>
          <w:szCs w:val="24"/>
        </w:rPr>
        <w:t xml:space="preserve">have been noticed </w:t>
      </w:r>
      <w:r w:rsidRPr="00614955">
        <w:rPr>
          <w:noProof/>
          <w:szCs w:val="24"/>
        </w:rPr>
        <w:t>in the number of notifications among Member States, with some carrying out on average more than 50 notifications per year and others notifying less than 10 per year</w:t>
      </w:r>
      <w:r w:rsidR="0083452B">
        <w:rPr>
          <w:noProof/>
          <w:szCs w:val="24"/>
        </w:rPr>
        <w:t xml:space="preserve"> (see Annex </w:t>
      </w:r>
      <w:r w:rsidR="00F21DBA">
        <w:rPr>
          <w:noProof/>
          <w:szCs w:val="24"/>
        </w:rPr>
        <w:t>3</w:t>
      </w:r>
      <w:r w:rsidR="0083452B">
        <w:rPr>
          <w:noProof/>
          <w:szCs w:val="24"/>
        </w:rPr>
        <w:t>.2)</w:t>
      </w:r>
      <w:r w:rsidRPr="00614955">
        <w:rPr>
          <w:noProof/>
          <w:szCs w:val="24"/>
        </w:rPr>
        <w:t xml:space="preserve">. </w:t>
      </w:r>
      <w:r w:rsidR="00A02FF0">
        <w:rPr>
          <w:noProof/>
          <w:szCs w:val="24"/>
        </w:rPr>
        <w:t>While</w:t>
      </w:r>
      <w:r w:rsidR="00A02FF0" w:rsidRPr="00614955">
        <w:rPr>
          <w:noProof/>
          <w:szCs w:val="24"/>
        </w:rPr>
        <w:t xml:space="preserve"> </w:t>
      </w:r>
      <w:r w:rsidRPr="00614955">
        <w:rPr>
          <w:noProof/>
          <w:szCs w:val="24"/>
        </w:rPr>
        <w:t xml:space="preserve">this gap can be partly explained with </w:t>
      </w:r>
      <w:r w:rsidR="00A02FF0">
        <w:rPr>
          <w:noProof/>
          <w:szCs w:val="24"/>
        </w:rPr>
        <w:t xml:space="preserve">reference to the way the state organisation is structured in </w:t>
      </w:r>
      <w:r w:rsidRPr="00614955">
        <w:rPr>
          <w:noProof/>
          <w:szCs w:val="24"/>
        </w:rPr>
        <w:t xml:space="preserve">different </w:t>
      </w:r>
      <w:r w:rsidR="00A02FF0">
        <w:rPr>
          <w:noProof/>
          <w:szCs w:val="24"/>
        </w:rPr>
        <w:t>countries</w:t>
      </w:r>
      <w:r w:rsidRPr="00614955">
        <w:rPr>
          <w:noProof/>
          <w:szCs w:val="24"/>
        </w:rPr>
        <w:t xml:space="preserve"> (e.g. presence of reg</w:t>
      </w:r>
      <w:r w:rsidRPr="00F907A5">
        <w:rPr>
          <w:noProof/>
          <w:szCs w:val="24"/>
        </w:rPr>
        <w:t xml:space="preserve">ional/local authorities with regulatory powers), </w:t>
      </w:r>
      <w:r w:rsidR="00BB6990">
        <w:rPr>
          <w:noProof/>
          <w:szCs w:val="24"/>
        </w:rPr>
        <w:t xml:space="preserve">by </w:t>
      </w:r>
      <w:r w:rsidRPr="00F907A5">
        <w:rPr>
          <w:noProof/>
          <w:szCs w:val="24"/>
        </w:rPr>
        <w:t>lack of awar</w:t>
      </w:r>
      <w:r w:rsidR="00BB6990">
        <w:rPr>
          <w:noProof/>
          <w:szCs w:val="24"/>
        </w:rPr>
        <w:t>e</w:t>
      </w:r>
      <w:r w:rsidRPr="00F907A5">
        <w:rPr>
          <w:noProof/>
          <w:szCs w:val="24"/>
        </w:rPr>
        <w:t xml:space="preserve">ness or </w:t>
      </w:r>
      <w:r w:rsidR="00BB6990">
        <w:rPr>
          <w:noProof/>
          <w:szCs w:val="24"/>
        </w:rPr>
        <w:t>by</w:t>
      </w:r>
      <w:r w:rsidR="00BB6990" w:rsidRPr="00F907A5">
        <w:rPr>
          <w:noProof/>
          <w:szCs w:val="24"/>
        </w:rPr>
        <w:t xml:space="preserve"> </w:t>
      </w:r>
      <w:r w:rsidRPr="00F907A5">
        <w:rPr>
          <w:noProof/>
          <w:szCs w:val="24"/>
        </w:rPr>
        <w:t xml:space="preserve">a higher/lower degree of regulatory activity, </w:t>
      </w:r>
      <w:r w:rsidRPr="00CB6792">
        <w:rPr>
          <w:noProof/>
          <w:szCs w:val="24"/>
        </w:rPr>
        <w:t>this wide discrepancy raise</w:t>
      </w:r>
      <w:r w:rsidR="008C7654" w:rsidRPr="00CB6792">
        <w:rPr>
          <w:noProof/>
          <w:szCs w:val="24"/>
        </w:rPr>
        <w:t>d</w:t>
      </w:r>
      <w:r w:rsidRPr="00CB6792">
        <w:rPr>
          <w:noProof/>
          <w:szCs w:val="24"/>
        </w:rPr>
        <w:t xml:space="preserve"> doubts </w:t>
      </w:r>
      <w:r w:rsidR="00BB6990">
        <w:rPr>
          <w:noProof/>
          <w:szCs w:val="24"/>
        </w:rPr>
        <w:t>as to whether there has been</w:t>
      </w:r>
      <w:r w:rsidRPr="00CB6792">
        <w:rPr>
          <w:noProof/>
          <w:szCs w:val="24"/>
        </w:rPr>
        <w:t xml:space="preserve"> full compliance with the notification obligations. </w:t>
      </w:r>
      <w:r w:rsidR="004219A3" w:rsidRPr="00CB6792">
        <w:rPr>
          <w:noProof/>
          <w:szCs w:val="24"/>
        </w:rPr>
        <w:t xml:space="preserve">Analysis showed that in 2017, 2018 and 2019 </w:t>
      </w:r>
      <w:r w:rsidR="008C7654" w:rsidRPr="00CB6792">
        <w:rPr>
          <w:noProof/>
          <w:szCs w:val="24"/>
        </w:rPr>
        <w:t xml:space="preserve">almost all Member States did not notify </w:t>
      </w:r>
      <w:r w:rsidR="0042745E" w:rsidRPr="00CB6792">
        <w:rPr>
          <w:noProof/>
          <w:szCs w:val="24"/>
        </w:rPr>
        <w:t>n</w:t>
      </w:r>
      <w:r w:rsidR="008C7654" w:rsidRPr="00CB6792">
        <w:rPr>
          <w:noProof/>
          <w:szCs w:val="24"/>
        </w:rPr>
        <w:t>or re-notify draft technical regulations</w:t>
      </w:r>
      <w:r w:rsidR="0042745E" w:rsidRPr="00CB6792">
        <w:rPr>
          <w:noProof/>
          <w:szCs w:val="24"/>
        </w:rPr>
        <w:t>.</w:t>
      </w:r>
      <w:r w:rsidR="00BE3140" w:rsidRPr="00CB6792">
        <w:rPr>
          <w:noProof/>
          <w:szCs w:val="24"/>
        </w:rPr>
        <w:t xml:space="preserve"> </w:t>
      </w:r>
      <w:r w:rsidR="0042745E" w:rsidRPr="00CB6792">
        <w:rPr>
          <w:noProof/>
          <w:szCs w:val="24"/>
        </w:rPr>
        <w:t>H</w:t>
      </w:r>
      <w:r w:rsidR="00A03472" w:rsidRPr="00CB6792">
        <w:rPr>
          <w:noProof/>
          <w:szCs w:val="24"/>
        </w:rPr>
        <w:t>owever</w:t>
      </w:r>
      <w:r w:rsidR="00A03472" w:rsidRPr="00A03472">
        <w:rPr>
          <w:noProof/>
          <w:szCs w:val="24"/>
        </w:rPr>
        <w:t xml:space="preserve">, </w:t>
      </w:r>
      <w:r w:rsidR="00A03472">
        <w:rPr>
          <w:noProof/>
          <w:szCs w:val="24"/>
        </w:rPr>
        <w:t xml:space="preserve">the </w:t>
      </w:r>
      <w:r w:rsidR="0075631C">
        <w:rPr>
          <w:noProof/>
          <w:szCs w:val="24"/>
        </w:rPr>
        <w:t xml:space="preserve">vast </w:t>
      </w:r>
      <w:r w:rsidR="00A03472">
        <w:rPr>
          <w:noProof/>
          <w:szCs w:val="24"/>
        </w:rPr>
        <w:t>majority of</w:t>
      </w:r>
      <w:r w:rsidR="00A03472" w:rsidRPr="00A03472">
        <w:rPr>
          <w:noProof/>
          <w:szCs w:val="24"/>
        </w:rPr>
        <w:t xml:space="preserve"> Member States had </w:t>
      </w:r>
      <w:r w:rsidR="00A03472">
        <w:rPr>
          <w:noProof/>
          <w:szCs w:val="24"/>
        </w:rPr>
        <w:t xml:space="preserve">relatively </w:t>
      </w:r>
      <w:r w:rsidR="00A03472" w:rsidRPr="00A03472">
        <w:rPr>
          <w:noProof/>
          <w:szCs w:val="24"/>
        </w:rPr>
        <w:t xml:space="preserve">low numbers of non-notified drafts, equal </w:t>
      </w:r>
      <w:r w:rsidR="0075631C">
        <w:rPr>
          <w:noProof/>
          <w:szCs w:val="24"/>
        </w:rPr>
        <w:t xml:space="preserve">to </w:t>
      </w:r>
      <w:r w:rsidR="00A03472" w:rsidRPr="00A03472">
        <w:rPr>
          <w:noProof/>
          <w:szCs w:val="24"/>
        </w:rPr>
        <w:t>or below 10 per year.</w:t>
      </w:r>
    </w:p>
    <w:p w14:paraId="766CD342" w14:textId="77777777" w:rsidR="008661BA" w:rsidRDefault="008661BA" w:rsidP="008661BA">
      <w:pPr>
        <w:pStyle w:val="ListBullet"/>
        <w:numPr>
          <w:ilvl w:val="0"/>
          <w:numId w:val="0"/>
        </w:numPr>
        <w:rPr>
          <w:noProof/>
          <w:szCs w:val="24"/>
        </w:rPr>
      </w:pPr>
      <w:r w:rsidRPr="00614955">
        <w:rPr>
          <w:noProof/>
          <w:szCs w:val="24"/>
        </w:rPr>
        <w:t>A correlation between the size of the Member States and the number of notifications can be observed</w:t>
      </w:r>
      <w:r w:rsidR="00F21DBA">
        <w:rPr>
          <w:noProof/>
          <w:szCs w:val="24"/>
        </w:rPr>
        <w:t xml:space="preserve"> in Annex 3.2 (Table 1)</w:t>
      </w:r>
      <w:r w:rsidRPr="00614955">
        <w:rPr>
          <w:noProof/>
          <w:szCs w:val="24"/>
        </w:rPr>
        <w:t>, with the biggest Member States notifying in general more than the medium</w:t>
      </w:r>
      <w:r w:rsidR="00BB6990">
        <w:rPr>
          <w:noProof/>
          <w:szCs w:val="24"/>
        </w:rPr>
        <w:t>-sized</w:t>
      </w:r>
      <w:r w:rsidRPr="00614955">
        <w:rPr>
          <w:noProof/>
          <w:szCs w:val="24"/>
        </w:rPr>
        <w:t xml:space="preserve"> and small ones. This can be partly explained </w:t>
      </w:r>
      <w:r w:rsidR="0075631C">
        <w:rPr>
          <w:noProof/>
          <w:szCs w:val="24"/>
        </w:rPr>
        <w:t>by</w:t>
      </w:r>
      <w:r w:rsidR="0075631C" w:rsidRPr="00614955">
        <w:rPr>
          <w:noProof/>
          <w:szCs w:val="24"/>
        </w:rPr>
        <w:t xml:space="preserve"> </w:t>
      </w:r>
      <w:r w:rsidRPr="00614955">
        <w:rPr>
          <w:noProof/>
          <w:szCs w:val="24"/>
        </w:rPr>
        <w:t xml:space="preserve">a higher number of regional and local authorities </w:t>
      </w:r>
      <w:r w:rsidR="00A52D29">
        <w:rPr>
          <w:noProof/>
          <w:szCs w:val="24"/>
        </w:rPr>
        <w:t>that</w:t>
      </w:r>
      <w:r w:rsidRPr="00614955">
        <w:rPr>
          <w:noProof/>
          <w:szCs w:val="24"/>
        </w:rPr>
        <w:t xml:space="preserve"> have an obligation to notify their draft technical regulations. However, this is not always the case: for instance, in some cases</w:t>
      </w:r>
      <w:r w:rsidR="0042745E">
        <w:rPr>
          <w:noProof/>
          <w:szCs w:val="24"/>
        </w:rPr>
        <w:t>,</w:t>
      </w:r>
      <w:r w:rsidRPr="00614955">
        <w:rPr>
          <w:noProof/>
          <w:szCs w:val="24"/>
        </w:rPr>
        <w:t xml:space="preserve"> medium-sized Member States notified more than </w:t>
      </w:r>
      <w:r w:rsidR="0075631C">
        <w:rPr>
          <w:noProof/>
          <w:szCs w:val="24"/>
        </w:rPr>
        <w:t>certain</w:t>
      </w:r>
      <w:r w:rsidR="0075631C" w:rsidRPr="00614955">
        <w:rPr>
          <w:noProof/>
          <w:szCs w:val="24"/>
        </w:rPr>
        <w:t xml:space="preserve"> </w:t>
      </w:r>
      <w:r w:rsidRPr="00614955">
        <w:rPr>
          <w:noProof/>
          <w:szCs w:val="24"/>
        </w:rPr>
        <w:t>bigger Member States</w:t>
      </w:r>
      <w:r w:rsidR="00A36AB3">
        <w:rPr>
          <w:noProof/>
          <w:szCs w:val="24"/>
        </w:rPr>
        <w:t xml:space="preserve"> and bigger Member States with </w:t>
      </w:r>
      <w:r w:rsidR="00BB6990">
        <w:rPr>
          <w:noProof/>
          <w:szCs w:val="24"/>
        </w:rPr>
        <w:t xml:space="preserve">a </w:t>
      </w:r>
      <w:r w:rsidR="00A36AB3">
        <w:rPr>
          <w:noProof/>
          <w:szCs w:val="24"/>
        </w:rPr>
        <w:t xml:space="preserve">centralised structure notified more than </w:t>
      </w:r>
      <w:r w:rsidR="0075631C">
        <w:rPr>
          <w:noProof/>
          <w:szCs w:val="24"/>
        </w:rPr>
        <w:t>Member States</w:t>
      </w:r>
      <w:r w:rsidR="008E6AC2">
        <w:rPr>
          <w:noProof/>
          <w:szCs w:val="24"/>
        </w:rPr>
        <w:t xml:space="preserve"> with </w:t>
      </w:r>
      <w:r w:rsidR="00BB6990">
        <w:rPr>
          <w:noProof/>
          <w:szCs w:val="24"/>
        </w:rPr>
        <w:t xml:space="preserve">a </w:t>
      </w:r>
      <w:r w:rsidR="008E6AC2">
        <w:rPr>
          <w:noProof/>
          <w:szCs w:val="24"/>
        </w:rPr>
        <w:t>decentralised structure</w:t>
      </w:r>
      <w:r w:rsidRPr="00614955">
        <w:rPr>
          <w:noProof/>
          <w:szCs w:val="24"/>
        </w:rPr>
        <w:t>.</w:t>
      </w:r>
      <w:r w:rsidR="00E47CF2">
        <w:rPr>
          <w:noProof/>
          <w:szCs w:val="24"/>
        </w:rPr>
        <w:t xml:space="preserve"> </w:t>
      </w:r>
    </w:p>
    <w:p w14:paraId="47F17A9F" w14:textId="77777777" w:rsidR="00147F8D" w:rsidRPr="004F772C" w:rsidRDefault="001F7678" w:rsidP="007B19A7">
      <w:pPr>
        <w:pStyle w:val="ListBullet"/>
        <w:numPr>
          <w:ilvl w:val="0"/>
          <w:numId w:val="0"/>
        </w:numPr>
        <w:rPr>
          <w:b/>
          <w:noProof/>
          <w:szCs w:val="24"/>
        </w:rPr>
      </w:pPr>
      <w:r w:rsidRPr="00660338">
        <w:rPr>
          <w:b/>
          <w:noProof/>
          <w:szCs w:val="24"/>
        </w:rPr>
        <w:t xml:space="preserve">As in the previous reporting period, </w:t>
      </w:r>
      <w:r w:rsidR="00147F8D" w:rsidRPr="0043766B">
        <w:rPr>
          <w:b/>
          <w:noProof/>
          <w:szCs w:val="24"/>
        </w:rPr>
        <w:t>the highest number of</w:t>
      </w:r>
      <w:r w:rsidR="00147F8D" w:rsidRPr="0043766B">
        <w:rPr>
          <w:noProof/>
          <w:szCs w:val="24"/>
        </w:rPr>
        <w:t xml:space="preserve"> </w:t>
      </w:r>
      <w:r w:rsidR="00147F8D" w:rsidRPr="00A2014A">
        <w:rPr>
          <w:b/>
          <w:noProof/>
          <w:szCs w:val="24"/>
        </w:rPr>
        <w:t>notifications</w:t>
      </w:r>
      <w:r w:rsidR="00147F8D" w:rsidRPr="0043766B">
        <w:rPr>
          <w:noProof/>
          <w:szCs w:val="24"/>
        </w:rPr>
        <w:t xml:space="preserve"> </w:t>
      </w:r>
      <w:r w:rsidR="00985269" w:rsidRPr="0043766B">
        <w:rPr>
          <w:noProof/>
          <w:szCs w:val="24"/>
        </w:rPr>
        <w:t xml:space="preserve">over </w:t>
      </w:r>
      <w:r w:rsidR="00621FF0">
        <w:rPr>
          <w:noProof/>
          <w:szCs w:val="24"/>
        </w:rPr>
        <w:t>2016-20</w:t>
      </w:r>
      <w:r w:rsidR="001045F5">
        <w:rPr>
          <w:noProof/>
          <w:szCs w:val="24"/>
        </w:rPr>
        <w:t>20</w:t>
      </w:r>
      <w:r w:rsidR="00621FF0">
        <w:rPr>
          <w:noProof/>
          <w:szCs w:val="24"/>
        </w:rPr>
        <w:t xml:space="preserve"> </w:t>
      </w:r>
      <w:r w:rsidR="001D419A">
        <w:rPr>
          <w:noProof/>
          <w:szCs w:val="24"/>
        </w:rPr>
        <w:t>concerned</w:t>
      </w:r>
      <w:r w:rsidR="00985269">
        <w:rPr>
          <w:noProof/>
          <w:szCs w:val="24"/>
        </w:rPr>
        <w:t xml:space="preserve"> </w:t>
      </w:r>
      <w:r w:rsidR="00985269">
        <w:rPr>
          <w:b/>
          <w:noProof/>
          <w:szCs w:val="24"/>
        </w:rPr>
        <w:t xml:space="preserve">the </w:t>
      </w:r>
      <w:r w:rsidR="00985269" w:rsidRPr="00615C7F">
        <w:rPr>
          <w:b/>
          <w:noProof/>
          <w:szCs w:val="24"/>
        </w:rPr>
        <w:t>construction</w:t>
      </w:r>
      <w:r w:rsidR="00985269" w:rsidRPr="00147F8D">
        <w:rPr>
          <w:b/>
          <w:noProof/>
          <w:szCs w:val="24"/>
        </w:rPr>
        <w:t xml:space="preserve"> </w:t>
      </w:r>
      <w:r w:rsidR="00985269" w:rsidRPr="0043766B">
        <w:rPr>
          <w:b/>
          <w:noProof/>
          <w:szCs w:val="24"/>
        </w:rPr>
        <w:t>sector</w:t>
      </w:r>
      <w:r w:rsidR="008356C9">
        <w:rPr>
          <w:b/>
          <w:noProof/>
          <w:szCs w:val="24"/>
        </w:rPr>
        <w:t xml:space="preserve">, followed by </w:t>
      </w:r>
      <w:r w:rsidR="008356C9">
        <w:rPr>
          <w:noProof/>
          <w:szCs w:val="24"/>
        </w:rPr>
        <w:t xml:space="preserve">the </w:t>
      </w:r>
      <w:r w:rsidR="008356C9" w:rsidRPr="004F772C">
        <w:rPr>
          <w:noProof/>
          <w:szCs w:val="24"/>
        </w:rPr>
        <w:t>notifications in the area of</w:t>
      </w:r>
      <w:r w:rsidR="008356C9" w:rsidRPr="004F772C">
        <w:rPr>
          <w:b/>
          <w:noProof/>
          <w:szCs w:val="24"/>
        </w:rPr>
        <w:t xml:space="preserve"> </w:t>
      </w:r>
      <w:r w:rsidR="008356C9" w:rsidRPr="00512FFB">
        <w:rPr>
          <w:b/>
          <w:noProof/>
          <w:szCs w:val="24"/>
        </w:rPr>
        <w:t>agricultural</w:t>
      </w:r>
      <w:r w:rsidR="008356C9" w:rsidRPr="004F772C">
        <w:rPr>
          <w:b/>
          <w:noProof/>
          <w:szCs w:val="24"/>
        </w:rPr>
        <w:t xml:space="preserve"> products</w:t>
      </w:r>
      <w:r w:rsidR="008356C9" w:rsidRPr="00512FFB">
        <w:rPr>
          <w:b/>
          <w:noProof/>
          <w:szCs w:val="24"/>
        </w:rPr>
        <w:t>, fishery, aquaculture and other foodstuffs</w:t>
      </w:r>
      <w:r w:rsidR="00147F8D" w:rsidRPr="0043766B">
        <w:rPr>
          <w:noProof/>
          <w:szCs w:val="24"/>
        </w:rPr>
        <w:t>.</w:t>
      </w:r>
      <w:r w:rsidR="00147F8D" w:rsidRPr="00902FF6">
        <w:rPr>
          <w:b/>
          <w:noProof/>
          <w:szCs w:val="24"/>
        </w:rPr>
        <w:t xml:space="preserve"> </w:t>
      </w:r>
    </w:p>
    <w:p w14:paraId="15F9F21E" w14:textId="77777777" w:rsidR="0049046D" w:rsidRPr="0043766B" w:rsidRDefault="004B161D">
      <w:pPr>
        <w:pStyle w:val="ListBullet"/>
        <w:numPr>
          <w:ilvl w:val="0"/>
          <w:numId w:val="0"/>
        </w:numPr>
        <w:rPr>
          <w:noProof/>
          <w:szCs w:val="24"/>
        </w:rPr>
      </w:pPr>
      <w:r w:rsidRPr="004B161D">
        <w:rPr>
          <w:noProof/>
          <w:szCs w:val="24"/>
        </w:rPr>
        <w:t xml:space="preserve">Numerous notifications were also made in the area of </w:t>
      </w:r>
      <w:r w:rsidRPr="00512FFB">
        <w:rPr>
          <w:b/>
          <w:noProof/>
          <w:szCs w:val="24"/>
        </w:rPr>
        <w:t>information society services</w:t>
      </w:r>
      <w:r>
        <w:rPr>
          <w:noProof/>
          <w:szCs w:val="24"/>
        </w:rPr>
        <w:t xml:space="preserve">, </w:t>
      </w:r>
      <w:r w:rsidR="008356C9">
        <w:rPr>
          <w:noProof/>
          <w:szCs w:val="24"/>
        </w:rPr>
        <w:t xml:space="preserve">in </w:t>
      </w:r>
      <w:r w:rsidR="001F7678" w:rsidRPr="0043766B">
        <w:rPr>
          <w:noProof/>
          <w:szCs w:val="24"/>
        </w:rPr>
        <w:t xml:space="preserve">the </w:t>
      </w:r>
      <w:r w:rsidR="001F7678" w:rsidRPr="0043766B">
        <w:rPr>
          <w:b/>
          <w:noProof/>
          <w:szCs w:val="24"/>
        </w:rPr>
        <w:t>environment</w:t>
      </w:r>
      <w:r w:rsidR="00D16A01" w:rsidRPr="00512FFB">
        <w:rPr>
          <w:b/>
          <w:noProof/>
          <w:szCs w:val="24"/>
        </w:rPr>
        <w:t>al</w:t>
      </w:r>
      <w:r w:rsidR="008E1D65" w:rsidRPr="00512FFB">
        <w:rPr>
          <w:b/>
          <w:noProof/>
          <w:szCs w:val="24"/>
        </w:rPr>
        <w:t xml:space="preserve"> and chemical</w:t>
      </w:r>
      <w:r w:rsidR="001F7678" w:rsidRPr="0043766B">
        <w:rPr>
          <w:b/>
          <w:noProof/>
          <w:szCs w:val="24"/>
        </w:rPr>
        <w:t xml:space="preserve"> sector</w:t>
      </w:r>
      <w:r w:rsidR="008E1D65" w:rsidRPr="00512FFB">
        <w:rPr>
          <w:b/>
          <w:noProof/>
          <w:szCs w:val="24"/>
        </w:rPr>
        <w:t>s</w:t>
      </w:r>
      <w:r w:rsidR="001F7678" w:rsidRPr="0043766B">
        <w:rPr>
          <w:b/>
          <w:noProof/>
          <w:szCs w:val="24"/>
        </w:rPr>
        <w:t xml:space="preserve"> </w:t>
      </w:r>
      <w:r w:rsidR="001F7678" w:rsidRPr="00A7426D">
        <w:rPr>
          <w:noProof/>
          <w:szCs w:val="24"/>
        </w:rPr>
        <w:t xml:space="preserve">(mainly </w:t>
      </w:r>
      <w:r w:rsidR="008356C9">
        <w:rPr>
          <w:noProof/>
          <w:szCs w:val="24"/>
        </w:rPr>
        <w:t>on</w:t>
      </w:r>
      <w:r w:rsidR="00EE34E3">
        <w:rPr>
          <w:noProof/>
          <w:szCs w:val="24"/>
        </w:rPr>
        <w:t xml:space="preserve"> </w:t>
      </w:r>
      <w:r w:rsidR="001F7678" w:rsidRPr="00A7426D">
        <w:rPr>
          <w:noProof/>
          <w:szCs w:val="24"/>
        </w:rPr>
        <w:t xml:space="preserve">packaging and packaging waste, </w:t>
      </w:r>
      <w:r w:rsidR="00832404" w:rsidRPr="00512FFB">
        <w:rPr>
          <w:noProof/>
          <w:szCs w:val="24"/>
        </w:rPr>
        <w:t xml:space="preserve">plastic products, </w:t>
      </w:r>
      <w:r w:rsidR="00D16A01" w:rsidRPr="00512FFB">
        <w:rPr>
          <w:noProof/>
          <w:szCs w:val="24"/>
        </w:rPr>
        <w:t>fertili</w:t>
      </w:r>
      <w:r w:rsidR="001F1AF0">
        <w:rPr>
          <w:noProof/>
          <w:szCs w:val="24"/>
        </w:rPr>
        <w:t>s</w:t>
      </w:r>
      <w:r w:rsidR="00D16A01" w:rsidRPr="00512FFB">
        <w:rPr>
          <w:noProof/>
          <w:szCs w:val="24"/>
        </w:rPr>
        <w:t xml:space="preserve">ers, </w:t>
      </w:r>
      <w:r w:rsidR="00832404" w:rsidRPr="00512FFB">
        <w:rPr>
          <w:noProof/>
          <w:szCs w:val="24"/>
        </w:rPr>
        <w:t>plant p</w:t>
      </w:r>
      <w:r w:rsidR="00D17690">
        <w:rPr>
          <w:noProof/>
          <w:szCs w:val="24"/>
        </w:rPr>
        <w:t>r</w:t>
      </w:r>
      <w:r w:rsidR="00832404" w:rsidRPr="00512FFB">
        <w:rPr>
          <w:noProof/>
          <w:szCs w:val="24"/>
        </w:rPr>
        <w:t>otection products containing glyphosate or neonicotinoid</w:t>
      </w:r>
      <w:r w:rsidR="00D17690">
        <w:rPr>
          <w:noProof/>
          <w:szCs w:val="24"/>
        </w:rPr>
        <w:t>s</w:t>
      </w:r>
      <w:r w:rsidR="008C709C" w:rsidRPr="00512FFB">
        <w:rPr>
          <w:noProof/>
          <w:szCs w:val="24"/>
        </w:rPr>
        <w:t>, emission standards</w:t>
      </w:r>
      <w:r w:rsidR="00080320">
        <w:rPr>
          <w:noProof/>
          <w:szCs w:val="24"/>
        </w:rPr>
        <w:t>, cosmetic products containing microplastics</w:t>
      </w:r>
      <w:r w:rsidR="001F7678" w:rsidRPr="0043766B">
        <w:rPr>
          <w:noProof/>
          <w:szCs w:val="24"/>
        </w:rPr>
        <w:t xml:space="preserve">) </w:t>
      </w:r>
      <w:r w:rsidR="00660338">
        <w:rPr>
          <w:noProof/>
          <w:szCs w:val="24"/>
        </w:rPr>
        <w:t xml:space="preserve">and </w:t>
      </w:r>
      <w:r w:rsidR="00660338" w:rsidRPr="00512FFB">
        <w:rPr>
          <w:b/>
          <w:noProof/>
          <w:szCs w:val="24"/>
        </w:rPr>
        <w:t>transport</w:t>
      </w:r>
      <w:r w:rsidR="00660338">
        <w:rPr>
          <w:noProof/>
          <w:szCs w:val="24"/>
        </w:rPr>
        <w:t xml:space="preserve"> </w:t>
      </w:r>
      <w:r w:rsidR="0043766B" w:rsidRPr="00531E68">
        <w:rPr>
          <w:noProof/>
          <w:szCs w:val="24"/>
        </w:rPr>
        <w:t xml:space="preserve">(e.g. </w:t>
      </w:r>
      <w:r w:rsidR="00D17690">
        <w:rPr>
          <w:noProof/>
          <w:szCs w:val="24"/>
        </w:rPr>
        <w:t xml:space="preserve">on </w:t>
      </w:r>
      <w:r w:rsidR="0043766B" w:rsidRPr="00531E68">
        <w:rPr>
          <w:noProof/>
          <w:szCs w:val="24"/>
        </w:rPr>
        <w:t xml:space="preserve">electric vehicles, special equipment for </w:t>
      </w:r>
      <w:r w:rsidR="00531E68" w:rsidRPr="00512FFB">
        <w:rPr>
          <w:noProof/>
          <w:szCs w:val="24"/>
        </w:rPr>
        <w:t xml:space="preserve">passenger vehicles and </w:t>
      </w:r>
      <w:r w:rsidR="0043766B" w:rsidRPr="00531E68">
        <w:rPr>
          <w:noProof/>
          <w:szCs w:val="24"/>
        </w:rPr>
        <w:t>taxi</w:t>
      </w:r>
      <w:r w:rsidR="00531E68" w:rsidRPr="00512FFB">
        <w:rPr>
          <w:noProof/>
          <w:szCs w:val="24"/>
        </w:rPr>
        <w:t>s</w:t>
      </w:r>
      <w:r w:rsidR="0043766B" w:rsidRPr="00531E68">
        <w:rPr>
          <w:noProof/>
          <w:szCs w:val="24"/>
        </w:rPr>
        <w:t xml:space="preserve">, </w:t>
      </w:r>
      <w:r w:rsidR="00531E68" w:rsidRPr="00512FFB">
        <w:rPr>
          <w:noProof/>
          <w:szCs w:val="24"/>
        </w:rPr>
        <w:t>snow mobiles</w:t>
      </w:r>
      <w:r w:rsidR="00B721B8" w:rsidRPr="00512FFB">
        <w:rPr>
          <w:noProof/>
          <w:szCs w:val="24"/>
        </w:rPr>
        <w:t>, e</w:t>
      </w:r>
      <w:r w:rsidR="00BB6990">
        <w:rPr>
          <w:noProof/>
          <w:szCs w:val="24"/>
        </w:rPr>
        <w:noBreakHyphen/>
      </w:r>
      <w:r w:rsidR="00B721B8" w:rsidRPr="00512FFB">
        <w:rPr>
          <w:noProof/>
          <w:szCs w:val="24"/>
        </w:rPr>
        <w:t>scooters</w:t>
      </w:r>
      <w:r w:rsidR="00531E68" w:rsidRPr="00512FFB">
        <w:rPr>
          <w:noProof/>
          <w:szCs w:val="24"/>
        </w:rPr>
        <w:t xml:space="preserve">, </w:t>
      </w:r>
      <w:r w:rsidR="00531E68" w:rsidRPr="00531E68">
        <w:rPr>
          <w:noProof/>
          <w:szCs w:val="24"/>
        </w:rPr>
        <w:t>ships and recreational craft</w:t>
      </w:r>
      <w:r w:rsidR="00C6480F">
        <w:rPr>
          <w:noProof/>
          <w:szCs w:val="24"/>
        </w:rPr>
        <w:t xml:space="preserve">, </w:t>
      </w:r>
      <w:r w:rsidR="00531E68" w:rsidRPr="00531E68">
        <w:rPr>
          <w:noProof/>
          <w:szCs w:val="24"/>
        </w:rPr>
        <w:t>drones</w:t>
      </w:r>
      <w:r w:rsidR="00D1707A" w:rsidRPr="00531E68">
        <w:rPr>
          <w:noProof/>
          <w:szCs w:val="24"/>
        </w:rPr>
        <w:t>)</w:t>
      </w:r>
      <w:r w:rsidR="00D1707A">
        <w:rPr>
          <w:noProof/>
          <w:szCs w:val="24"/>
        </w:rPr>
        <w:t xml:space="preserve"> </w:t>
      </w:r>
      <w:r w:rsidR="001F7678" w:rsidRPr="00502DAF">
        <w:rPr>
          <w:noProof/>
          <w:szCs w:val="24"/>
        </w:rPr>
        <w:t xml:space="preserve">(see Annex </w:t>
      </w:r>
      <w:r w:rsidR="00F071DB">
        <w:rPr>
          <w:noProof/>
          <w:szCs w:val="24"/>
        </w:rPr>
        <w:t>3</w:t>
      </w:r>
      <w:r w:rsidR="001F7678" w:rsidRPr="00502DAF">
        <w:rPr>
          <w:noProof/>
          <w:szCs w:val="24"/>
        </w:rPr>
        <w:t>.3</w:t>
      </w:r>
      <w:r w:rsidR="001F7678" w:rsidRPr="0043766B">
        <w:rPr>
          <w:noProof/>
          <w:szCs w:val="24"/>
        </w:rPr>
        <w:t xml:space="preserve">). </w:t>
      </w:r>
    </w:p>
    <w:p w14:paraId="30CA1FE6" w14:textId="77777777" w:rsidR="0049046D" w:rsidRPr="00A7426D" w:rsidRDefault="001F7678">
      <w:pPr>
        <w:spacing w:line="240" w:lineRule="auto"/>
        <w:jc w:val="both"/>
        <w:rPr>
          <w:rFonts w:ascii="Times New Roman" w:hAnsi="Times New Roman"/>
          <w:b/>
          <w:noProof/>
          <w:sz w:val="24"/>
          <w:szCs w:val="24"/>
          <w:u w:val="single"/>
        </w:rPr>
      </w:pPr>
      <w:r w:rsidRPr="00A7426D">
        <w:rPr>
          <w:rFonts w:ascii="Times New Roman" w:hAnsi="Times New Roman"/>
          <w:b/>
          <w:noProof/>
          <w:sz w:val="24"/>
          <w:szCs w:val="24"/>
        </w:rPr>
        <w:t xml:space="preserve">► </w:t>
      </w:r>
      <w:r w:rsidRPr="00A7426D">
        <w:rPr>
          <w:rFonts w:ascii="Times New Roman" w:hAnsi="Times New Roman"/>
          <w:b/>
          <w:noProof/>
          <w:sz w:val="24"/>
          <w:szCs w:val="24"/>
          <w:u w:val="single"/>
        </w:rPr>
        <w:t>Issues addressed by the Commission in its reactions</w:t>
      </w:r>
    </w:p>
    <w:p w14:paraId="55367A78" w14:textId="77777777" w:rsidR="00A83226" w:rsidRDefault="001F7678" w:rsidP="00942F33">
      <w:pPr>
        <w:spacing w:after="120" w:line="240" w:lineRule="auto"/>
        <w:jc w:val="both"/>
        <w:rPr>
          <w:rFonts w:ascii="Times New Roman" w:hAnsi="Times New Roman"/>
          <w:noProof/>
          <w:sz w:val="24"/>
          <w:szCs w:val="24"/>
        </w:rPr>
      </w:pPr>
      <w:r w:rsidRPr="00B06874">
        <w:rPr>
          <w:rFonts w:ascii="Times New Roman" w:hAnsi="Times New Roman"/>
          <w:noProof/>
          <w:sz w:val="24"/>
          <w:szCs w:val="24"/>
        </w:rPr>
        <w:t xml:space="preserve">In the </w:t>
      </w:r>
      <w:r w:rsidRPr="00B06874">
        <w:rPr>
          <w:rFonts w:ascii="Times New Roman" w:hAnsi="Times New Roman"/>
          <w:b/>
          <w:noProof/>
          <w:sz w:val="24"/>
          <w:szCs w:val="24"/>
        </w:rPr>
        <w:t>non</w:t>
      </w:r>
      <w:r w:rsidRPr="00A7426D">
        <w:rPr>
          <w:rFonts w:ascii="Times New Roman" w:hAnsi="Times New Roman"/>
          <w:b/>
          <w:noProof/>
          <w:sz w:val="24"/>
          <w:szCs w:val="24"/>
        </w:rPr>
        <w:t>-harmonised areas</w:t>
      </w:r>
      <w:r w:rsidRPr="00A7426D">
        <w:rPr>
          <w:rFonts w:ascii="Times New Roman" w:hAnsi="Times New Roman"/>
          <w:noProof/>
          <w:sz w:val="24"/>
          <w:szCs w:val="24"/>
        </w:rPr>
        <w:t xml:space="preserve">, </w:t>
      </w:r>
      <w:r w:rsidR="00004580" w:rsidRPr="00004580">
        <w:rPr>
          <w:rFonts w:ascii="Times New Roman" w:hAnsi="Times New Roman"/>
          <w:noProof/>
          <w:sz w:val="24"/>
          <w:szCs w:val="24"/>
        </w:rPr>
        <w:t xml:space="preserve">i.e. </w:t>
      </w:r>
      <w:r w:rsidR="00B06874">
        <w:rPr>
          <w:rFonts w:ascii="Times New Roman" w:hAnsi="Times New Roman"/>
          <w:noProof/>
          <w:sz w:val="24"/>
          <w:szCs w:val="24"/>
        </w:rPr>
        <w:t>those</w:t>
      </w:r>
      <w:r w:rsidR="00004580" w:rsidRPr="00004580">
        <w:rPr>
          <w:rFonts w:ascii="Times New Roman" w:hAnsi="Times New Roman"/>
          <w:noProof/>
          <w:sz w:val="24"/>
          <w:szCs w:val="24"/>
        </w:rPr>
        <w:t xml:space="preserve"> in which national measures </w:t>
      </w:r>
      <w:r w:rsidRPr="00A7426D">
        <w:rPr>
          <w:rFonts w:ascii="Times New Roman" w:hAnsi="Times New Roman"/>
          <w:noProof/>
          <w:sz w:val="24"/>
          <w:szCs w:val="24"/>
        </w:rPr>
        <w:t xml:space="preserve">in </w:t>
      </w:r>
      <w:r w:rsidR="00B06874">
        <w:rPr>
          <w:rFonts w:ascii="Times New Roman" w:hAnsi="Times New Roman"/>
          <w:noProof/>
          <w:sz w:val="24"/>
          <w:szCs w:val="24"/>
        </w:rPr>
        <w:t xml:space="preserve">the </w:t>
      </w:r>
      <w:r w:rsidRPr="00A7426D">
        <w:rPr>
          <w:rFonts w:ascii="Times New Roman" w:hAnsi="Times New Roman"/>
          <w:noProof/>
          <w:sz w:val="24"/>
          <w:szCs w:val="24"/>
        </w:rPr>
        <w:t>absence of secondary legislation are subject to compliance with Articles 34 to 36 (free movement of goods) and 49 and 56 (right of establishment and freedom to provide services</w:t>
      </w:r>
      <w:r w:rsidR="00A36AB3">
        <w:rPr>
          <w:rFonts w:ascii="Times New Roman" w:hAnsi="Times New Roman"/>
          <w:noProof/>
          <w:sz w:val="24"/>
          <w:szCs w:val="24"/>
        </w:rPr>
        <w:t xml:space="preserve"> connected to </w:t>
      </w:r>
      <w:r w:rsidR="002C0AED">
        <w:rPr>
          <w:rFonts w:ascii="Times New Roman" w:hAnsi="Times New Roman"/>
          <w:noProof/>
          <w:sz w:val="24"/>
          <w:szCs w:val="24"/>
        </w:rPr>
        <w:t xml:space="preserve">the </w:t>
      </w:r>
      <w:r w:rsidR="00A36AB3">
        <w:rPr>
          <w:rFonts w:ascii="Times New Roman" w:hAnsi="Times New Roman"/>
          <w:noProof/>
          <w:sz w:val="24"/>
          <w:szCs w:val="24"/>
        </w:rPr>
        <w:t>information society</w:t>
      </w:r>
      <w:r w:rsidRPr="00A7426D">
        <w:rPr>
          <w:rFonts w:ascii="Times New Roman" w:hAnsi="Times New Roman"/>
          <w:noProof/>
          <w:sz w:val="24"/>
          <w:szCs w:val="24"/>
        </w:rPr>
        <w:t xml:space="preserve">) TFEU, the </w:t>
      </w:r>
      <w:r w:rsidR="00082204" w:rsidRPr="00947CCA">
        <w:rPr>
          <w:rFonts w:ascii="Times New Roman" w:hAnsi="Times New Roman"/>
          <w:noProof/>
          <w:sz w:val="24"/>
          <w:szCs w:val="24"/>
        </w:rPr>
        <w:t>Commission</w:t>
      </w:r>
      <w:r w:rsidR="00082204">
        <w:rPr>
          <w:rFonts w:ascii="Times New Roman" w:hAnsi="Times New Roman"/>
          <w:noProof/>
          <w:sz w:val="24"/>
          <w:szCs w:val="24"/>
        </w:rPr>
        <w:t>’s reactions</w:t>
      </w:r>
      <w:r w:rsidR="00082204" w:rsidRPr="00A7426D">
        <w:rPr>
          <w:rFonts w:ascii="Times New Roman" w:hAnsi="Times New Roman"/>
          <w:noProof/>
          <w:sz w:val="24"/>
          <w:szCs w:val="24"/>
        </w:rPr>
        <w:t xml:space="preserve"> </w:t>
      </w:r>
      <w:r w:rsidRPr="00A7426D">
        <w:rPr>
          <w:rFonts w:ascii="Times New Roman" w:hAnsi="Times New Roman"/>
          <w:noProof/>
          <w:sz w:val="24"/>
          <w:szCs w:val="24"/>
        </w:rPr>
        <w:t xml:space="preserve">were intended to draw </w:t>
      </w:r>
      <w:r w:rsidR="00082204">
        <w:rPr>
          <w:rFonts w:ascii="Times New Roman" w:hAnsi="Times New Roman"/>
          <w:noProof/>
          <w:sz w:val="24"/>
          <w:szCs w:val="24"/>
        </w:rPr>
        <w:t xml:space="preserve">the </w:t>
      </w:r>
      <w:r w:rsidRPr="00A7426D">
        <w:rPr>
          <w:rFonts w:ascii="Times New Roman" w:hAnsi="Times New Roman"/>
          <w:noProof/>
          <w:sz w:val="24"/>
          <w:szCs w:val="24"/>
        </w:rPr>
        <w:t xml:space="preserve">Member States’ attention to potential </w:t>
      </w:r>
      <w:r w:rsidR="008E1AA3">
        <w:rPr>
          <w:rFonts w:ascii="Times New Roman" w:hAnsi="Times New Roman"/>
          <w:noProof/>
          <w:sz w:val="24"/>
          <w:szCs w:val="24"/>
        </w:rPr>
        <w:t xml:space="preserve">non-justified </w:t>
      </w:r>
      <w:r w:rsidRPr="00A7426D">
        <w:rPr>
          <w:rFonts w:ascii="Times New Roman" w:hAnsi="Times New Roman"/>
          <w:noProof/>
          <w:sz w:val="24"/>
          <w:szCs w:val="24"/>
        </w:rPr>
        <w:t>obstacles to trade after assessing the necessity and the proportionality of the measure in line with the case</w:t>
      </w:r>
      <w:r w:rsidR="00B06874">
        <w:rPr>
          <w:rFonts w:ascii="Times New Roman" w:hAnsi="Times New Roman"/>
          <w:noProof/>
          <w:sz w:val="24"/>
          <w:szCs w:val="24"/>
        </w:rPr>
        <w:t>-</w:t>
      </w:r>
      <w:r w:rsidRPr="00A7426D">
        <w:rPr>
          <w:rFonts w:ascii="Times New Roman" w:hAnsi="Times New Roman"/>
          <w:noProof/>
          <w:sz w:val="24"/>
          <w:szCs w:val="24"/>
        </w:rPr>
        <w:t>law of the</w:t>
      </w:r>
      <w:r w:rsidR="009037A5">
        <w:rPr>
          <w:rFonts w:ascii="Times New Roman" w:hAnsi="Times New Roman"/>
          <w:noProof/>
          <w:sz w:val="24"/>
          <w:szCs w:val="24"/>
        </w:rPr>
        <w:t xml:space="preserve"> </w:t>
      </w:r>
      <w:r w:rsidR="00B95DED">
        <w:rPr>
          <w:rFonts w:ascii="Times New Roman" w:hAnsi="Times New Roman"/>
          <w:noProof/>
          <w:sz w:val="24"/>
          <w:szCs w:val="24"/>
        </w:rPr>
        <w:t>Court of Justice of the European Union</w:t>
      </w:r>
      <w:r w:rsidRPr="00A7426D">
        <w:rPr>
          <w:rFonts w:ascii="Times New Roman" w:hAnsi="Times New Roman"/>
          <w:noProof/>
          <w:sz w:val="24"/>
          <w:szCs w:val="24"/>
        </w:rPr>
        <w:t xml:space="preserve">. </w:t>
      </w:r>
    </w:p>
    <w:p w14:paraId="2605251D" w14:textId="77777777" w:rsidR="0049046D" w:rsidRDefault="001F7678" w:rsidP="00942F33">
      <w:pPr>
        <w:spacing w:after="120" w:line="240" w:lineRule="auto"/>
        <w:jc w:val="both"/>
        <w:rPr>
          <w:rFonts w:ascii="Times New Roman" w:hAnsi="Times New Roman"/>
          <w:noProof/>
          <w:sz w:val="24"/>
          <w:szCs w:val="24"/>
        </w:rPr>
      </w:pPr>
      <w:r w:rsidRPr="00A7426D">
        <w:rPr>
          <w:rFonts w:ascii="Times New Roman" w:hAnsi="Times New Roman"/>
          <w:noProof/>
          <w:sz w:val="24"/>
          <w:szCs w:val="24"/>
        </w:rPr>
        <w:t xml:space="preserve">When national measures partially </w:t>
      </w:r>
      <w:r w:rsidR="0030576A">
        <w:rPr>
          <w:rFonts w:ascii="Times New Roman" w:hAnsi="Times New Roman"/>
          <w:noProof/>
          <w:sz w:val="24"/>
          <w:szCs w:val="24"/>
        </w:rPr>
        <w:t xml:space="preserve">or </w:t>
      </w:r>
      <w:r w:rsidR="00AE3151">
        <w:rPr>
          <w:rFonts w:ascii="Times New Roman" w:hAnsi="Times New Roman"/>
          <w:noProof/>
          <w:sz w:val="24"/>
          <w:szCs w:val="24"/>
        </w:rPr>
        <w:t>entirely</w:t>
      </w:r>
      <w:r w:rsidR="0030576A">
        <w:rPr>
          <w:rFonts w:ascii="Times New Roman" w:hAnsi="Times New Roman"/>
          <w:noProof/>
          <w:sz w:val="24"/>
          <w:szCs w:val="24"/>
        </w:rPr>
        <w:t xml:space="preserve"> </w:t>
      </w:r>
      <w:r w:rsidRPr="00A7426D">
        <w:rPr>
          <w:rFonts w:ascii="Times New Roman" w:hAnsi="Times New Roman"/>
          <w:noProof/>
          <w:sz w:val="24"/>
          <w:szCs w:val="24"/>
        </w:rPr>
        <w:t>f</w:t>
      </w:r>
      <w:r w:rsidR="00C153EF">
        <w:rPr>
          <w:rFonts w:ascii="Times New Roman" w:hAnsi="Times New Roman"/>
          <w:noProof/>
          <w:sz w:val="24"/>
          <w:szCs w:val="24"/>
        </w:rPr>
        <w:t>e</w:t>
      </w:r>
      <w:r w:rsidRPr="00A7426D">
        <w:rPr>
          <w:rFonts w:ascii="Times New Roman" w:hAnsi="Times New Roman"/>
          <w:noProof/>
          <w:sz w:val="24"/>
          <w:szCs w:val="24"/>
        </w:rPr>
        <w:t xml:space="preserve">ll under </w:t>
      </w:r>
      <w:r w:rsidRPr="00A7426D">
        <w:rPr>
          <w:rFonts w:ascii="Times New Roman" w:hAnsi="Times New Roman"/>
          <w:b/>
          <w:noProof/>
          <w:sz w:val="24"/>
          <w:szCs w:val="24"/>
        </w:rPr>
        <w:t>harmonised areas</w:t>
      </w:r>
      <w:r w:rsidRPr="00A7426D">
        <w:rPr>
          <w:rFonts w:ascii="Times New Roman" w:hAnsi="Times New Roman"/>
          <w:noProof/>
          <w:sz w:val="24"/>
          <w:szCs w:val="24"/>
        </w:rPr>
        <w:t>, the reactions were intended to ensure that national measures were compatible with EU secondary legislation.</w:t>
      </w:r>
    </w:p>
    <w:p w14:paraId="2E6D8302" w14:textId="77777777" w:rsidR="00092E93" w:rsidRPr="00A44AB3" w:rsidRDefault="00092E93" w:rsidP="00092E93">
      <w:pPr>
        <w:pStyle w:val="Text1"/>
        <w:numPr>
          <w:ilvl w:val="0"/>
          <w:numId w:val="7"/>
        </w:numPr>
        <w:ind w:left="851" w:hanging="567"/>
        <w:rPr>
          <w:noProof/>
          <w:szCs w:val="24"/>
        </w:rPr>
      </w:pPr>
      <w:r w:rsidRPr="00A44AB3">
        <w:rPr>
          <w:noProof/>
          <w:szCs w:val="24"/>
        </w:rPr>
        <w:t>In 2016-20</w:t>
      </w:r>
      <w:r w:rsidR="001045F5">
        <w:rPr>
          <w:noProof/>
          <w:szCs w:val="24"/>
        </w:rPr>
        <w:t>20</w:t>
      </w:r>
      <w:r w:rsidR="00813606">
        <w:rPr>
          <w:noProof/>
          <w:szCs w:val="24"/>
        </w:rPr>
        <w:t>,</w:t>
      </w:r>
      <w:r w:rsidRPr="00A44AB3">
        <w:rPr>
          <w:noProof/>
          <w:szCs w:val="24"/>
        </w:rPr>
        <w:t xml:space="preserve"> Member States notified </w:t>
      </w:r>
      <w:r w:rsidR="000F4B7C">
        <w:rPr>
          <w:noProof/>
          <w:szCs w:val="24"/>
        </w:rPr>
        <w:t>765</w:t>
      </w:r>
      <w:r w:rsidRPr="00A44AB3">
        <w:rPr>
          <w:noProof/>
          <w:szCs w:val="24"/>
        </w:rPr>
        <w:t xml:space="preserve"> draft technical regulations in the field of </w:t>
      </w:r>
      <w:r w:rsidRPr="00A44AB3">
        <w:rPr>
          <w:b/>
          <w:noProof/>
          <w:szCs w:val="24"/>
        </w:rPr>
        <w:t>construction</w:t>
      </w:r>
      <w:r>
        <w:rPr>
          <w:b/>
          <w:noProof/>
          <w:szCs w:val="24"/>
        </w:rPr>
        <w:t xml:space="preserve"> </w:t>
      </w:r>
      <w:r w:rsidRPr="00974F4F">
        <w:rPr>
          <w:noProof/>
          <w:szCs w:val="24"/>
        </w:rPr>
        <w:t>(</w:t>
      </w:r>
      <w:r>
        <w:rPr>
          <w:noProof/>
          <w:szCs w:val="24"/>
        </w:rPr>
        <w:t>131 in 2016, 181 in 2017, 139 in 2018</w:t>
      </w:r>
      <w:r w:rsidR="001045F5">
        <w:rPr>
          <w:noProof/>
          <w:szCs w:val="24"/>
        </w:rPr>
        <w:t>,</w:t>
      </w:r>
      <w:r w:rsidRPr="00974F4F">
        <w:rPr>
          <w:noProof/>
          <w:szCs w:val="24"/>
        </w:rPr>
        <w:t xml:space="preserve"> 15</w:t>
      </w:r>
      <w:r>
        <w:rPr>
          <w:noProof/>
          <w:szCs w:val="24"/>
        </w:rPr>
        <w:t>8</w:t>
      </w:r>
      <w:r w:rsidRPr="00974F4F">
        <w:rPr>
          <w:noProof/>
          <w:szCs w:val="24"/>
        </w:rPr>
        <w:t xml:space="preserve"> in 201</w:t>
      </w:r>
      <w:r>
        <w:rPr>
          <w:noProof/>
          <w:szCs w:val="24"/>
        </w:rPr>
        <w:t>9</w:t>
      </w:r>
      <w:r w:rsidR="001045F5">
        <w:rPr>
          <w:noProof/>
          <w:szCs w:val="24"/>
        </w:rPr>
        <w:t xml:space="preserve"> and 1</w:t>
      </w:r>
      <w:r w:rsidR="000F4B7C">
        <w:rPr>
          <w:noProof/>
          <w:szCs w:val="24"/>
        </w:rPr>
        <w:t>56</w:t>
      </w:r>
      <w:r w:rsidR="001045F5">
        <w:rPr>
          <w:noProof/>
          <w:szCs w:val="24"/>
        </w:rPr>
        <w:t xml:space="preserve"> in 2020</w:t>
      </w:r>
      <w:r w:rsidR="00AB1327">
        <w:rPr>
          <w:rStyle w:val="FootnoteReference"/>
          <w:noProof/>
          <w:szCs w:val="24"/>
        </w:rPr>
        <w:footnoteReference w:id="17"/>
      </w:r>
      <w:r w:rsidRPr="00974F4F">
        <w:rPr>
          <w:noProof/>
          <w:szCs w:val="24"/>
        </w:rPr>
        <w:t>)</w:t>
      </w:r>
      <w:r w:rsidRPr="00A44AB3">
        <w:rPr>
          <w:noProof/>
          <w:szCs w:val="24"/>
        </w:rPr>
        <w:t xml:space="preserve">. These drafts concerned all types of construction products, </w:t>
      </w:r>
      <w:r w:rsidR="00C2569F">
        <w:rPr>
          <w:noProof/>
          <w:szCs w:val="24"/>
        </w:rPr>
        <w:t>including</w:t>
      </w:r>
      <w:r w:rsidRPr="00A44AB3">
        <w:rPr>
          <w:noProof/>
          <w:szCs w:val="24"/>
        </w:rPr>
        <w:t xml:space="preserve"> bridge structures and concrete road structures, pitched roof coverings for buildings, fire-fighting and rescue equipment, thermal insulation, synthetic fill materials, concrete structures, electrical installations on and in concrete structures, </w:t>
      </w:r>
      <w:r w:rsidR="00B06874">
        <w:rPr>
          <w:noProof/>
          <w:szCs w:val="24"/>
        </w:rPr>
        <w:t xml:space="preserve">and </w:t>
      </w:r>
      <w:r w:rsidRPr="00A44AB3">
        <w:rPr>
          <w:noProof/>
          <w:szCs w:val="24"/>
        </w:rPr>
        <w:t xml:space="preserve">metallic materials in contact with drinking water. </w:t>
      </w:r>
    </w:p>
    <w:p w14:paraId="3A47A36B" w14:textId="77777777" w:rsidR="00092E93" w:rsidRPr="00A44AB3" w:rsidRDefault="00092E93" w:rsidP="00092E93">
      <w:pPr>
        <w:pStyle w:val="Text1"/>
        <w:ind w:left="851"/>
        <w:rPr>
          <w:noProof/>
          <w:szCs w:val="24"/>
        </w:rPr>
      </w:pPr>
      <w:r w:rsidRPr="00A44AB3">
        <w:rPr>
          <w:noProof/>
          <w:szCs w:val="24"/>
        </w:rPr>
        <w:t>In particular, the Commission examined draft technical regulations setting additional technical requirements or tests for construction products impeding the free movement of products labelled with the CE mark. The notified drafts were examined mainly under Regulation (EU) No 305/2011 laying down harmonised conditions for the marketing of construction products</w:t>
      </w:r>
      <w:r w:rsidRPr="00A44AB3">
        <w:rPr>
          <w:rStyle w:val="FootnoteReference"/>
          <w:noProof/>
          <w:szCs w:val="24"/>
        </w:rPr>
        <w:footnoteReference w:id="18"/>
      </w:r>
      <w:r w:rsidRPr="00A44AB3">
        <w:rPr>
          <w:noProof/>
          <w:szCs w:val="24"/>
        </w:rPr>
        <w:t xml:space="preserve">. </w:t>
      </w:r>
    </w:p>
    <w:p w14:paraId="6955027B" w14:textId="77777777" w:rsidR="00092E93" w:rsidRPr="00A44AB3" w:rsidRDefault="00092E93" w:rsidP="00092E93">
      <w:pPr>
        <w:autoSpaceDE w:val="0"/>
        <w:autoSpaceDN w:val="0"/>
        <w:spacing w:line="240" w:lineRule="auto"/>
        <w:ind w:left="851"/>
        <w:jc w:val="both"/>
        <w:rPr>
          <w:rFonts w:ascii="Times New Roman" w:hAnsi="Times New Roman"/>
          <w:noProof/>
          <w:sz w:val="24"/>
          <w:szCs w:val="24"/>
        </w:rPr>
      </w:pPr>
      <w:r w:rsidRPr="00A44AB3">
        <w:rPr>
          <w:rFonts w:ascii="Times New Roman" w:hAnsi="Times New Roman"/>
          <w:noProof/>
          <w:sz w:val="24"/>
          <w:szCs w:val="24"/>
        </w:rPr>
        <w:t>The Commission examined draft legislation prohibiting the installation of fossil oil furnaces and natural gas furnaces in new buildings except when oil and gas furnaces use only renewable energy. The notified draft was examined under Directive 2009/142/EC on gas appliances (GAD)</w:t>
      </w:r>
      <w:r w:rsidRPr="00A44AB3">
        <w:rPr>
          <w:rStyle w:val="FootnoteReference"/>
          <w:rFonts w:ascii="Times New Roman" w:hAnsi="Times New Roman"/>
          <w:noProof/>
          <w:sz w:val="24"/>
          <w:szCs w:val="24"/>
        </w:rPr>
        <w:footnoteReference w:id="19"/>
      </w:r>
      <w:r w:rsidRPr="00A44AB3">
        <w:rPr>
          <w:rFonts w:ascii="Times New Roman" w:hAnsi="Times New Roman"/>
          <w:noProof/>
          <w:sz w:val="24"/>
          <w:szCs w:val="24"/>
        </w:rPr>
        <w:t xml:space="preserve"> and Directive 92/42/EEC on efficiency requirements for new hot-water boilers fired with liquid or gaseous fuels</w:t>
      </w:r>
      <w:r w:rsidRPr="00A44AB3">
        <w:rPr>
          <w:rStyle w:val="FootnoteReference"/>
          <w:rFonts w:ascii="Times New Roman" w:hAnsi="Times New Roman"/>
          <w:noProof/>
          <w:sz w:val="24"/>
          <w:szCs w:val="24"/>
        </w:rPr>
        <w:footnoteReference w:id="20"/>
      </w:r>
      <w:r w:rsidRPr="00A44AB3">
        <w:rPr>
          <w:rFonts w:ascii="Times New Roman" w:hAnsi="Times New Roman"/>
          <w:noProof/>
          <w:sz w:val="24"/>
          <w:szCs w:val="24"/>
        </w:rPr>
        <w:t>.</w:t>
      </w:r>
    </w:p>
    <w:p w14:paraId="7D4D14E0" w14:textId="77777777" w:rsidR="00092E93" w:rsidRPr="00A44AB3" w:rsidRDefault="00092E93" w:rsidP="00092E93">
      <w:pPr>
        <w:pStyle w:val="Text1"/>
        <w:ind w:left="851"/>
        <w:rPr>
          <w:noProof/>
          <w:szCs w:val="24"/>
        </w:rPr>
      </w:pPr>
      <w:r w:rsidRPr="00A44AB3">
        <w:rPr>
          <w:noProof/>
          <w:szCs w:val="24"/>
        </w:rPr>
        <w:t xml:space="preserve">Technical regulations relating to </w:t>
      </w:r>
      <w:r w:rsidR="00813606" w:rsidRPr="00A44AB3">
        <w:rPr>
          <w:noProof/>
          <w:szCs w:val="24"/>
        </w:rPr>
        <w:t>buildings</w:t>
      </w:r>
      <w:r w:rsidR="00813606">
        <w:rPr>
          <w:noProof/>
          <w:szCs w:val="24"/>
        </w:rPr>
        <w:t>’</w:t>
      </w:r>
      <w:r w:rsidR="00813606" w:rsidRPr="00A44AB3">
        <w:rPr>
          <w:noProof/>
          <w:szCs w:val="24"/>
        </w:rPr>
        <w:t xml:space="preserve"> </w:t>
      </w:r>
      <w:r w:rsidRPr="00A44AB3">
        <w:rPr>
          <w:noProof/>
          <w:szCs w:val="24"/>
        </w:rPr>
        <w:t>energy efficiency were assessed under Directive 2012/27/EU on energy efficiency</w:t>
      </w:r>
      <w:r w:rsidRPr="00A44AB3">
        <w:rPr>
          <w:rStyle w:val="FootnoteReference"/>
          <w:noProof/>
          <w:szCs w:val="24"/>
        </w:rPr>
        <w:footnoteReference w:id="21"/>
      </w:r>
      <w:r w:rsidRPr="00A44AB3">
        <w:rPr>
          <w:noProof/>
          <w:szCs w:val="24"/>
        </w:rPr>
        <w:t>, Directive 2010/31/EU on the energy performance of buildings</w:t>
      </w:r>
      <w:r w:rsidRPr="00A44AB3">
        <w:rPr>
          <w:rStyle w:val="FootnoteReference"/>
          <w:noProof/>
          <w:szCs w:val="24"/>
        </w:rPr>
        <w:footnoteReference w:id="22"/>
      </w:r>
      <w:r w:rsidRPr="00A44AB3">
        <w:rPr>
          <w:noProof/>
          <w:szCs w:val="24"/>
        </w:rPr>
        <w:t xml:space="preserve"> and Directive 2009/125/EC establishing a framework for the setting of ecodesign requirements for energy-related products</w:t>
      </w:r>
      <w:r w:rsidRPr="00A44AB3">
        <w:rPr>
          <w:rStyle w:val="FootnoteReference"/>
          <w:noProof/>
          <w:szCs w:val="24"/>
        </w:rPr>
        <w:footnoteReference w:id="23"/>
      </w:r>
      <w:r w:rsidRPr="00A44AB3">
        <w:rPr>
          <w:noProof/>
          <w:szCs w:val="24"/>
        </w:rPr>
        <w:t>.</w:t>
      </w:r>
    </w:p>
    <w:p w14:paraId="1126E0AB" w14:textId="77777777" w:rsidR="00092E93" w:rsidRDefault="00092E93" w:rsidP="00512FFB">
      <w:pPr>
        <w:spacing w:line="240" w:lineRule="auto"/>
        <w:ind w:left="851"/>
        <w:jc w:val="both"/>
        <w:rPr>
          <w:rFonts w:ascii="Times New Roman" w:hAnsi="Times New Roman"/>
          <w:noProof/>
          <w:sz w:val="24"/>
          <w:szCs w:val="24"/>
        </w:rPr>
      </w:pPr>
      <w:r w:rsidRPr="00A44AB3">
        <w:rPr>
          <w:rFonts w:ascii="Times New Roman" w:eastAsia="Times New Roman" w:hAnsi="Times New Roman"/>
          <w:noProof/>
          <w:sz w:val="24"/>
          <w:szCs w:val="24"/>
          <w:lang w:eastAsia="en-GB"/>
        </w:rPr>
        <w:t xml:space="preserve">The Commission also </w:t>
      </w:r>
      <w:r w:rsidR="005E1E5E">
        <w:rPr>
          <w:rFonts w:ascii="Times New Roman" w:eastAsia="Times New Roman" w:hAnsi="Times New Roman"/>
          <w:noProof/>
          <w:sz w:val="24"/>
          <w:szCs w:val="24"/>
          <w:lang w:eastAsia="en-GB"/>
        </w:rPr>
        <w:t xml:space="preserve">assessed </w:t>
      </w:r>
      <w:r w:rsidRPr="00A44AB3">
        <w:rPr>
          <w:rFonts w:ascii="Times New Roman" w:eastAsia="Times New Roman" w:hAnsi="Times New Roman"/>
          <w:noProof/>
          <w:sz w:val="24"/>
          <w:szCs w:val="24"/>
          <w:lang w:eastAsia="en-GB"/>
        </w:rPr>
        <w:t xml:space="preserve">draft legislation concerning requirements for motorway communications equipment. The draft </w:t>
      </w:r>
      <w:r w:rsidR="00813606" w:rsidRPr="00A44AB3">
        <w:rPr>
          <w:rFonts w:ascii="Times New Roman" w:eastAsia="Times New Roman" w:hAnsi="Times New Roman"/>
          <w:noProof/>
          <w:sz w:val="24"/>
          <w:szCs w:val="24"/>
          <w:lang w:eastAsia="en-GB"/>
        </w:rPr>
        <w:t xml:space="preserve">notified </w:t>
      </w:r>
      <w:r w:rsidRPr="00A44AB3">
        <w:rPr>
          <w:rFonts w:ascii="Times New Roman" w:eastAsia="Times New Roman" w:hAnsi="Times New Roman"/>
          <w:noProof/>
          <w:sz w:val="24"/>
          <w:szCs w:val="24"/>
          <w:lang w:eastAsia="en-GB"/>
        </w:rPr>
        <w:t>was examined under Directive</w:t>
      </w:r>
      <w:r w:rsidR="00B06874">
        <w:rPr>
          <w:rFonts w:ascii="Times New Roman" w:eastAsia="Times New Roman" w:hAnsi="Times New Roman"/>
          <w:noProof/>
          <w:sz w:val="24"/>
          <w:szCs w:val="24"/>
          <w:lang w:eastAsia="en-GB"/>
        </w:rPr>
        <w:t>s</w:t>
      </w:r>
      <w:r w:rsidRPr="00A44AB3">
        <w:rPr>
          <w:rFonts w:ascii="Times New Roman" w:eastAsia="Times New Roman" w:hAnsi="Times New Roman"/>
          <w:noProof/>
          <w:sz w:val="24"/>
          <w:szCs w:val="24"/>
          <w:lang w:eastAsia="en-GB"/>
        </w:rPr>
        <w:t xml:space="preserve"> 1999/5/EC</w:t>
      </w:r>
      <w:r w:rsidRPr="00A44AB3">
        <w:rPr>
          <w:rStyle w:val="FootnoteReference"/>
          <w:rFonts w:ascii="Times New Roman" w:eastAsia="Times New Roman" w:hAnsi="Times New Roman"/>
          <w:noProof/>
          <w:sz w:val="24"/>
          <w:szCs w:val="24"/>
          <w:lang w:eastAsia="en-GB"/>
        </w:rPr>
        <w:footnoteReference w:id="24"/>
      </w:r>
      <w:r w:rsidRPr="00A44AB3">
        <w:rPr>
          <w:rFonts w:ascii="Times New Roman" w:eastAsia="Times New Roman" w:hAnsi="Times New Roman"/>
          <w:noProof/>
          <w:sz w:val="24"/>
          <w:szCs w:val="24"/>
          <w:lang w:eastAsia="en-GB"/>
        </w:rPr>
        <w:t>, 2006/95/EC</w:t>
      </w:r>
      <w:r w:rsidRPr="00A44AB3">
        <w:rPr>
          <w:rStyle w:val="FootnoteReference"/>
          <w:rFonts w:ascii="Times New Roman" w:eastAsia="Times New Roman" w:hAnsi="Times New Roman"/>
          <w:noProof/>
          <w:sz w:val="24"/>
          <w:szCs w:val="24"/>
          <w:lang w:eastAsia="en-GB"/>
        </w:rPr>
        <w:footnoteReference w:id="25"/>
      </w:r>
      <w:r w:rsidRPr="00A44AB3">
        <w:rPr>
          <w:rFonts w:ascii="Times New Roman" w:eastAsia="Times New Roman" w:hAnsi="Times New Roman"/>
          <w:noProof/>
          <w:sz w:val="24"/>
          <w:szCs w:val="24"/>
          <w:lang w:eastAsia="en-GB"/>
        </w:rPr>
        <w:t xml:space="preserve"> and 2004/108/EC</w:t>
      </w:r>
      <w:r w:rsidRPr="00A44AB3">
        <w:rPr>
          <w:rStyle w:val="FootnoteReference"/>
          <w:rFonts w:ascii="Times New Roman" w:eastAsia="Times New Roman" w:hAnsi="Times New Roman"/>
          <w:noProof/>
          <w:sz w:val="24"/>
          <w:szCs w:val="24"/>
          <w:lang w:eastAsia="en-GB"/>
        </w:rPr>
        <w:footnoteReference w:id="26"/>
      </w:r>
      <w:r w:rsidRPr="00A44AB3">
        <w:rPr>
          <w:rFonts w:ascii="Times New Roman" w:eastAsia="Times New Roman" w:hAnsi="Times New Roman"/>
          <w:noProof/>
          <w:sz w:val="24"/>
          <w:szCs w:val="24"/>
          <w:lang w:eastAsia="en-GB"/>
        </w:rPr>
        <w:t>.</w:t>
      </w:r>
    </w:p>
    <w:p w14:paraId="1B85CD60" w14:textId="77777777" w:rsidR="004E6EB4" w:rsidRPr="00512FFB" w:rsidRDefault="00361826" w:rsidP="004E6EB4">
      <w:pPr>
        <w:pStyle w:val="Bullet0"/>
        <w:ind w:hanging="566"/>
        <w:rPr>
          <w:noProof/>
          <w:szCs w:val="24"/>
        </w:rPr>
      </w:pPr>
      <w:r w:rsidRPr="00CB6792">
        <w:rPr>
          <w:noProof/>
          <w:szCs w:val="24"/>
        </w:rPr>
        <w:t>On</w:t>
      </w:r>
      <w:r>
        <w:rPr>
          <w:noProof/>
          <w:szCs w:val="24"/>
        </w:rPr>
        <w:t xml:space="preserve"> </w:t>
      </w:r>
      <w:r w:rsidR="007F7146" w:rsidRPr="00512FFB">
        <w:rPr>
          <w:b/>
          <w:noProof/>
          <w:szCs w:val="24"/>
        </w:rPr>
        <w:t>agricultural</w:t>
      </w:r>
      <w:r w:rsidR="007F7146" w:rsidRPr="004F772C">
        <w:rPr>
          <w:b/>
          <w:noProof/>
          <w:szCs w:val="24"/>
        </w:rPr>
        <w:t xml:space="preserve"> products</w:t>
      </w:r>
      <w:r w:rsidR="007F7146" w:rsidRPr="00512FFB">
        <w:rPr>
          <w:b/>
          <w:noProof/>
          <w:szCs w:val="24"/>
        </w:rPr>
        <w:t>, fishery, aquaculture and other foodstuffs</w:t>
      </w:r>
      <w:r w:rsidR="004E6EB4" w:rsidRPr="00512FFB">
        <w:rPr>
          <w:noProof/>
          <w:szCs w:val="24"/>
        </w:rPr>
        <w:t>, from 2016 to 20</w:t>
      </w:r>
      <w:r w:rsidR="00D364A9">
        <w:rPr>
          <w:noProof/>
          <w:szCs w:val="24"/>
        </w:rPr>
        <w:t>20</w:t>
      </w:r>
      <w:r w:rsidR="004E6EB4" w:rsidRPr="00512FFB">
        <w:rPr>
          <w:noProof/>
          <w:szCs w:val="24"/>
        </w:rPr>
        <w:t xml:space="preserve"> Member States notified </w:t>
      </w:r>
      <w:r w:rsidR="000F4B7C">
        <w:rPr>
          <w:noProof/>
          <w:szCs w:val="24"/>
        </w:rPr>
        <w:t>693</w:t>
      </w:r>
      <w:r w:rsidR="004E6EB4" w:rsidRPr="00512FFB">
        <w:rPr>
          <w:noProof/>
          <w:szCs w:val="24"/>
        </w:rPr>
        <w:t xml:space="preserve"> draft technical regulations (1</w:t>
      </w:r>
      <w:r w:rsidR="008052EE" w:rsidRPr="00512FFB">
        <w:rPr>
          <w:noProof/>
          <w:szCs w:val="24"/>
        </w:rPr>
        <w:t>45</w:t>
      </w:r>
      <w:r w:rsidR="004E6EB4" w:rsidRPr="00512FFB">
        <w:rPr>
          <w:noProof/>
          <w:szCs w:val="24"/>
        </w:rPr>
        <w:t xml:space="preserve"> in 201</w:t>
      </w:r>
      <w:r w:rsidR="008052EE" w:rsidRPr="00512FFB">
        <w:rPr>
          <w:noProof/>
          <w:szCs w:val="24"/>
        </w:rPr>
        <w:t>6, 106 in 2017, 146 in 2018</w:t>
      </w:r>
      <w:r w:rsidR="00D364A9">
        <w:rPr>
          <w:noProof/>
          <w:szCs w:val="24"/>
        </w:rPr>
        <w:t>,</w:t>
      </w:r>
      <w:r w:rsidR="008052EE" w:rsidRPr="00512FFB">
        <w:rPr>
          <w:noProof/>
          <w:szCs w:val="24"/>
        </w:rPr>
        <w:t xml:space="preserve"> 161 in 2019</w:t>
      </w:r>
      <w:r w:rsidR="00D364A9">
        <w:rPr>
          <w:noProof/>
          <w:szCs w:val="24"/>
        </w:rPr>
        <w:t xml:space="preserve"> and 1</w:t>
      </w:r>
      <w:r w:rsidR="000F4B7C">
        <w:rPr>
          <w:noProof/>
          <w:szCs w:val="24"/>
        </w:rPr>
        <w:t>35</w:t>
      </w:r>
      <w:r w:rsidR="00D364A9">
        <w:rPr>
          <w:noProof/>
          <w:szCs w:val="24"/>
        </w:rPr>
        <w:t xml:space="preserve"> in 2020</w:t>
      </w:r>
      <w:r w:rsidR="00795999">
        <w:rPr>
          <w:rStyle w:val="FootnoteReference"/>
          <w:noProof/>
          <w:szCs w:val="24"/>
        </w:rPr>
        <w:footnoteReference w:id="27"/>
      </w:r>
      <w:r w:rsidR="004E6EB4" w:rsidRPr="00512FFB">
        <w:rPr>
          <w:noProof/>
          <w:szCs w:val="24"/>
        </w:rPr>
        <w:t>). The</w:t>
      </w:r>
      <w:r w:rsidR="002F3BA3">
        <w:rPr>
          <w:noProof/>
          <w:szCs w:val="24"/>
        </w:rPr>
        <w:t xml:space="preserve"> areas covered by these</w:t>
      </w:r>
      <w:r w:rsidR="004E6EB4" w:rsidRPr="00512FFB">
        <w:rPr>
          <w:noProof/>
          <w:szCs w:val="24"/>
        </w:rPr>
        <w:t xml:space="preserve"> drafts </w:t>
      </w:r>
      <w:r w:rsidR="002F3BA3">
        <w:rPr>
          <w:noProof/>
          <w:szCs w:val="24"/>
        </w:rPr>
        <w:t>included</w:t>
      </w:r>
      <w:r w:rsidR="008A3657">
        <w:rPr>
          <w:noProof/>
          <w:szCs w:val="24"/>
        </w:rPr>
        <w:t>, for instance,</w:t>
      </w:r>
      <w:r w:rsidR="004E6EB4" w:rsidRPr="00512FFB">
        <w:rPr>
          <w:noProof/>
          <w:szCs w:val="24"/>
        </w:rPr>
        <w:t xml:space="preserve"> materials coming into contact with foodstuffs, energy drinks, trans fats in food products, wine and spirits, quality marks for foodstuffs, the well-being of animals and the marketing of fur products.</w:t>
      </w:r>
    </w:p>
    <w:p w14:paraId="772499C3" w14:textId="77777777" w:rsidR="004E6EB4" w:rsidRPr="00512FFB" w:rsidRDefault="004E6EB4" w:rsidP="004E6EB4">
      <w:pPr>
        <w:pStyle w:val="Bullet0"/>
        <w:numPr>
          <w:ilvl w:val="0"/>
          <w:numId w:val="0"/>
        </w:numPr>
        <w:ind w:left="851" w:hanging="851"/>
        <w:rPr>
          <w:noProof/>
          <w:szCs w:val="24"/>
        </w:rPr>
      </w:pPr>
      <w:r w:rsidRPr="00512FFB">
        <w:rPr>
          <w:noProof/>
          <w:szCs w:val="24"/>
        </w:rPr>
        <w:tab/>
      </w:r>
      <w:r w:rsidRPr="0050546C">
        <w:rPr>
          <w:noProof/>
          <w:szCs w:val="24"/>
        </w:rPr>
        <w:t>Certain Member</w:t>
      </w:r>
      <w:r w:rsidRPr="00512FFB">
        <w:rPr>
          <w:noProof/>
          <w:szCs w:val="24"/>
        </w:rPr>
        <w:t xml:space="preserve"> States notified draft regulations setting up marks linking the quality of a product with its origin. These notifications </w:t>
      </w:r>
      <w:r w:rsidR="000548E6">
        <w:rPr>
          <w:noProof/>
          <w:szCs w:val="24"/>
        </w:rPr>
        <w:t xml:space="preserve">were </w:t>
      </w:r>
      <w:r w:rsidRPr="00512FFB">
        <w:rPr>
          <w:noProof/>
          <w:szCs w:val="24"/>
        </w:rPr>
        <w:t>examined under the T</w:t>
      </w:r>
      <w:r w:rsidR="004005D4">
        <w:rPr>
          <w:noProof/>
          <w:szCs w:val="24"/>
        </w:rPr>
        <w:t>FEU</w:t>
      </w:r>
      <w:r w:rsidRPr="00512FFB">
        <w:rPr>
          <w:noProof/>
          <w:szCs w:val="24"/>
        </w:rPr>
        <w:t xml:space="preserve"> provisions on the free movement of goods and Regulation (EU) No 1151/2012 on quality schemes for agricultural products and foodstuffs</w:t>
      </w:r>
      <w:r w:rsidR="00415812" w:rsidRPr="00852D8C">
        <w:rPr>
          <w:rStyle w:val="FootnoteReference"/>
          <w:noProof/>
          <w:szCs w:val="24"/>
        </w:rPr>
        <w:footnoteReference w:id="28"/>
      </w:r>
      <w:r w:rsidRPr="00512FFB">
        <w:rPr>
          <w:noProof/>
          <w:szCs w:val="24"/>
        </w:rPr>
        <w:t xml:space="preserve">. </w:t>
      </w:r>
    </w:p>
    <w:p w14:paraId="522BCF64" w14:textId="77777777" w:rsidR="004E6EB4" w:rsidRPr="00512FFB" w:rsidRDefault="004E6EB4" w:rsidP="004E6EB4">
      <w:pPr>
        <w:pStyle w:val="Bullet0"/>
        <w:numPr>
          <w:ilvl w:val="0"/>
          <w:numId w:val="0"/>
        </w:numPr>
        <w:ind w:left="850" w:hanging="850"/>
        <w:rPr>
          <w:noProof/>
          <w:szCs w:val="24"/>
        </w:rPr>
      </w:pPr>
      <w:r w:rsidRPr="00512FFB">
        <w:rPr>
          <w:noProof/>
          <w:szCs w:val="24"/>
        </w:rPr>
        <w:tab/>
        <w:t>During the relevant period, the Commission examined notifications concerning the hygiene of foodstuffs and issued detailed opinions and comments concerning their compliance with Regulation (EC) No 852/2004 on the hygiene of foodstuffs</w:t>
      </w:r>
      <w:r w:rsidRPr="00512FFB">
        <w:rPr>
          <w:rStyle w:val="FootnoteReference"/>
          <w:noProof/>
          <w:szCs w:val="24"/>
        </w:rPr>
        <w:footnoteReference w:id="29"/>
      </w:r>
      <w:r w:rsidRPr="00512FFB">
        <w:rPr>
          <w:noProof/>
          <w:szCs w:val="24"/>
        </w:rPr>
        <w:t>, Regulation (EC) No 853/2004 laying down specific hygiene rules for food of animal origin</w:t>
      </w:r>
      <w:r w:rsidRPr="00512FFB">
        <w:rPr>
          <w:rStyle w:val="FootnoteReference"/>
          <w:noProof/>
          <w:szCs w:val="24"/>
        </w:rPr>
        <w:footnoteReference w:id="30"/>
      </w:r>
      <w:r w:rsidRPr="00512FFB">
        <w:rPr>
          <w:noProof/>
          <w:szCs w:val="24"/>
        </w:rPr>
        <w:t xml:space="preserve"> and Regulation (EC) No 854/2004 laying down specific rules for the organisation of official controls on products of animal origin intended for human consumption</w:t>
      </w:r>
      <w:r w:rsidRPr="00512FFB">
        <w:rPr>
          <w:rStyle w:val="FootnoteReference"/>
          <w:noProof/>
          <w:szCs w:val="24"/>
        </w:rPr>
        <w:footnoteReference w:id="31"/>
      </w:r>
      <w:r w:rsidRPr="00512FFB">
        <w:rPr>
          <w:noProof/>
          <w:szCs w:val="24"/>
        </w:rPr>
        <w:t>.</w:t>
      </w:r>
    </w:p>
    <w:p w14:paraId="75C00B69" w14:textId="77777777" w:rsidR="004E6EB4" w:rsidRPr="00512FFB" w:rsidRDefault="004E6EB4" w:rsidP="004E6EB4">
      <w:pPr>
        <w:spacing w:line="240" w:lineRule="auto"/>
        <w:ind w:left="851" w:hanging="851"/>
        <w:jc w:val="both"/>
        <w:rPr>
          <w:rFonts w:ascii="Times New Roman" w:hAnsi="Times New Roman"/>
          <w:noProof/>
          <w:sz w:val="24"/>
          <w:szCs w:val="24"/>
        </w:rPr>
      </w:pPr>
      <w:r w:rsidRPr="00512FFB">
        <w:rPr>
          <w:rFonts w:ascii="Times New Roman" w:hAnsi="Times New Roman"/>
          <w:noProof/>
          <w:sz w:val="24"/>
          <w:szCs w:val="24"/>
        </w:rPr>
        <w:tab/>
        <w:t>Other notifications concerned the labelling of foodstuff</w:t>
      </w:r>
      <w:r w:rsidR="00004580">
        <w:rPr>
          <w:rFonts w:ascii="Times New Roman" w:hAnsi="Times New Roman"/>
          <w:noProof/>
          <w:sz w:val="24"/>
          <w:szCs w:val="24"/>
        </w:rPr>
        <w:t>s</w:t>
      </w:r>
      <w:r w:rsidR="0050546C">
        <w:rPr>
          <w:rFonts w:ascii="Times New Roman" w:hAnsi="Times New Roman"/>
          <w:noProof/>
          <w:sz w:val="24"/>
          <w:szCs w:val="24"/>
        </w:rPr>
        <w:t>.</w:t>
      </w:r>
      <w:r w:rsidRPr="00512FFB">
        <w:rPr>
          <w:rFonts w:ascii="Times New Roman" w:hAnsi="Times New Roman"/>
          <w:noProof/>
          <w:sz w:val="24"/>
          <w:szCs w:val="24"/>
        </w:rPr>
        <w:t xml:space="preserve"> </w:t>
      </w:r>
      <w:r w:rsidR="0050546C">
        <w:rPr>
          <w:rFonts w:ascii="Times New Roman" w:hAnsi="Times New Roman"/>
          <w:noProof/>
          <w:sz w:val="24"/>
          <w:szCs w:val="24"/>
        </w:rPr>
        <w:t>T</w:t>
      </w:r>
      <w:r w:rsidRPr="00512FFB">
        <w:rPr>
          <w:rFonts w:ascii="Times New Roman" w:hAnsi="Times New Roman"/>
          <w:noProof/>
          <w:sz w:val="24"/>
          <w:szCs w:val="24"/>
        </w:rPr>
        <w:t>he Commission assessed their compatibility with Regulation (EU) No 1169/2011 on the provision of food information to consumers</w:t>
      </w:r>
      <w:r w:rsidR="00BC6719" w:rsidRPr="00887F3B">
        <w:rPr>
          <w:rStyle w:val="FootnoteReference"/>
          <w:rFonts w:ascii="Times New Roman" w:hAnsi="Times New Roman"/>
          <w:noProof/>
          <w:sz w:val="24"/>
          <w:szCs w:val="24"/>
        </w:rPr>
        <w:footnoteReference w:id="32"/>
      </w:r>
      <w:r w:rsidRPr="00512FFB">
        <w:rPr>
          <w:rFonts w:ascii="Times New Roman" w:hAnsi="Times New Roman"/>
          <w:noProof/>
          <w:sz w:val="24"/>
          <w:szCs w:val="24"/>
        </w:rPr>
        <w:t>,</w:t>
      </w:r>
      <w:r w:rsidRPr="00512FFB">
        <w:rPr>
          <w:noProof/>
          <w:sz w:val="24"/>
          <w:szCs w:val="24"/>
        </w:rPr>
        <w:t xml:space="preserve"> </w:t>
      </w:r>
      <w:r w:rsidRPr="00512FFB">
        <w:rPr>
          <w:rFonts w:ascii="Times New Roman" w:hAnsi="Times New Roman"/>
          <w:noProof/>
          <w:sz w:val="24"/>
          <w:szCs w:val="24"/>
        </w:rPr>
        <w:t>in particular with the provisions on nutritional declarations, or other sector-specific provisions on consumer information</w:t>
      </w:r>
      <w:r w:rsidR="000B10A4" w:rsidRPr="00204A43">
        <w:rPr>
          <w:rStyle w:val="FootnoteReference"/>
          <w:rFonts w:ascii="Times New Roman" w:hAnsi="Times New Roman"/>
          <w:noProof/>
          <w:sz w:val="24"/>
          <w:szCs w:val="24"/>
        </w:rPr>
        <w:footnoteReference w:id="33"/>
      </w:r>
      <w:r w:rsidRPr="00512FFB">
        <w:rPr>
          <w:rFonts w:ascii="Times New Roman" w:hAnsi="Times New Roman"/>
          <w:noProof/>
          <w:sz w:val="24"/>
          <w:szCs w:val="24"/>
        </w:rPr>
        <w:t xml:space="preserve">. </w:t>
      </w:r>
    </w:p>
    <w:p w14:paraId="6382C469" w14:textId="77777777" w:rsidR="00D44A41" w:rsidRDefault="001F7678" w:rsidP="00F6570F">
      <w:pPr>
        <w:pStyle w:val="Text1"/>
        <w:numPr>
          <w:ilvl w:val="0"/>
          <w:numId w:val="7"/>
        </w:numPr>
        <w:tabs>
          <w:tab w:val="left" w:pos="851"/>
        </w:tabs>
        <w:ind w:left="851" w:hanging="567"/>
        <w:rPr>
          <w:noProof/>
          <w:szCs w:val="24"/>
        </w:rPr>
      </w:pPr>
      <w:r w:rsidRPr="00512FFB">
        <w:rPr>
          <w:noProof/>
          <w:szCs w:val="24"/>
        </w:rPr>
        <w:t xml:space="preserve">In the </w:t>
      </w:r>
      <w:r w:rsidR="002A36B5">
        <w:rPr>
          <w:b/>
          <w:noProof/>
          <w:szCs w:val="24"/>
        </w:rPr>
        <w:t>i</w:t>
      </w:r>
      <w:r w:rsidRPr="00512FFB">
        <w:rPr>
          <w:b/>
          <w:noProof/>
          <w:szCs w:val="24"/>
        </w:rPr>
        <w:t xml:space="preserve">nformation </w:t>
      </w:r>
      <w:r w:rsidR="002A36B5">
        <w:rPr>
          <w:b/>
          <w:noProof/>
          <w:szCs w:val="24"/>
        </w:rPr>
        <w:t>s</w:t>
      </w:r>
      <w:r w:rsidRPr="00512FFB">
        <w:rPr>
          <w:b/>
          <w:noProof/>
          <w:szCs w:val="24"/>
        </w:rPr>
        <w:t>ociety services sector</w:t>
      </w:r>
      <w:r w:rsidR="00B06874">
        <w:rPr>
          <w:noProof/>
          <w:szCs w:val="24"/>
        </w:rPr>
        <w:t xml:space="preserve">, </w:t>
      </w:r>
      <w:r w:rsidR="00A96FED">
        <w:rPr>
          <w:noProof/>
          <w:szCs w:val="24"/>
        </w:rPr>
        <w:t>Member States notified</w:t>
      </w:r>
      <w:r w:rsidRPr="00512FFB">
        <w:rPr>
          <w:noProof/>
          <w:szCs w:val="24"/>
        </w:rPr>
        <w:t xml:space="preserve"> </w:t>
      </w:r>
      <w:r w:rsidR="00D364A9">
        <w:rPr>
          <w:noProof/>
          <w:szCs w:val="24"/>
        </w:rPr>
        <w:t>2</w:t>
      </w:r>
      <w:r w:rsidR="000F4B7C">
        <w:rPr>
          <w:noProof/>
          <w:szCs w:val="24"/>
        </w:rPr>
        <w:t>5</w:t>
      </w:r>
      <w:r w:rsidR="00D364A9">
        <w:rPr>
          <w:noProof/>
          <w:szCs w:val="24"/>
        </w:rPr>
        <w:t>5</w:t>
      </w:r>
      <w:r w:rsidRPr="00512FFB">
        <w:rPr>
          <w:noProof/>
          <w:szCs w:val="24"/>
        </w:rPr>
        <w:t xml:space="preserve"> </w:t>
      </w:r>
      <w:r w:rsidR="00A96FED">
        <w:rPr>
          <w:noProof/>
          <w:szCs w:val="24"/>
        </w:rPr>
        <w:t xml:space="preserve">measures </w:t>
      </w:r>
      <w:r w:rsidR="00116670" w:rsidRPr="00512FFB">
        <w:rPr>
          <w:noProof/>
          <w:szCs w:val="24"/>
        </w:rPr>
        <w:t>(</w:t>
      </w:r>
      <w:r w:rsidR="00092E93">
        <w:rPr>
          <w:noProof/>
          <w:szCs w:val="24"/>
        </w:rPr>
        <w:t>58</w:t>
      </w:r>
      <w:r w:rsidR="00116670" w:rsidRPr="00512FFB">
        <w:rPr>
          <w:noProof/>
          <w:szCs w:val="24"/>
        </w:rPr>
        <w:t xml:space="preserve"> in 2016, 43 in 2017, 34 in 2018</w:t>
      </w:r>
      <w:r w:rsidR="00D364A9">
        <w:rPr>
          <w:noProof/>
          <w:szCs w:val="24"/>
        </w:rPr>
        <w:t>,</w:t>
      </w:r>
      <w:r w:rsidR="00116670" w:rsidRPr="00512FFB">
        <w:rPr>
          <w:noProof/>
          <w:szCs w:val="24"/>
        </w:rPr>
        <w:t xml:space="preserve"> 57 in 2019</w:t>
      </w:r>
      <w:r w:rsidR="00D364A9">
        <w:rPr>
          <w:noProof/>
          <w:szCs w:val="24"/>
        </w:rPr>
        <w:t xml:space="preserve"> and 6</w:t>
      </w:r>
      <w:r w:rsidR="000F4B7C">
        <w:rPr>
          <w:noProof/>
          <w:szCs w:val="24"/>
        </w:rPr>
        <w:t>3</w:t>
      </w:r>
      <w:r w:rsidR="00D364A9">
        <w:rPr>
          <w:noProof/>
          <w:szCs w:val="24"/>
        </w:rPr>
        <w:t xml:space="preserve"> in 2020</w:t>
      </w:r>
      <w:r w:rsidR="00795999">
        <w:rPr>
          <w:rStyle w:val="FootnoteReference"/>
          <w:noProof/>
          <w:szCs w:val="24"/>
        </w:rPr>
        <w:footnoteReference w:id="34"/>
      </w:r>
      <w:r w:rsidR="00116670" w:rsidRPr="00512FFB">
        <w:rPr>
          <w:noProof/>
          <w:szCs w:val="24"/>
        </w:rPr>
        <w:t>)</w:t>
      </w:r>
      <w:r w:rsidR="00B06874">
        <w:rPr>
          <w:noProof/>
          <w:szCs w:val="24"/>
        </w:rPr>
        <w:t>,</w:t>
      </w:r>
      <w:r w:rsidR="00D44A41">
        <w:rPr>
          <w:noProof/>
          <w:szCs w:val="24"/>
        </w:rPr>
        <w:t xml:space="preserve"> </w:t>
      </w:r>
      <w:r w:rsidR="00D44A41" w:rsidRPr="00D44A41">
        <w:rPr>
          <w:noProof/>
          <w:szCs w:val="24"/>
        </w:rPr>
        <w:t xml:space="preserve">with the bulk of notifications concerning draft legislation affecting electronic commerce, social media and online platform operators, net neutrality and media pluralism, fake news and online hate speech, as well as other rules on information society services falling </w:t>
      </w:r>
      <w:r w:rsidR="00004580">
        <w:rPr>
          <w:noProof/>
          <w:szCs w:val="24"/>
        </w:rPr>
        <w:t>within</w:t>
      </w:r>
      <w:r w:rsidR="00004580" w:rsidRPr="00D44A41">
        <w:rPr>
          <w:noProof/>
          <w:szCs w:val="24"/>
        </w:rPr>
        <w:t xml:space="preserve"> </w:t>
      </w:r>
      <w:r w:rsidR="00D44A41" w:rsidRPr="00D44A41">
        <w:rPr>
          <w:noProof/>
          <w:szCs w:val="24"/>
        </w:rPr>
        <w:t>the scope of Directive</w:t>
      </w:r>
      <w:r w:rsidR="00D44A41">
        <w:rPr>
          <w:noProof/>
          <w:szCs w:val="24"/>
        </w:rPr>
        <w:t xml:space="preserve"> </w:t>
      </w:r>
      <w:r w:rsidR="00D44A41" w:rsidRPr="00D44A41">
        <w:rPr>
          <w:noProof/>
          <w:szCs w:val="24"/>
        </w:rPr>
        <w:t>2000/31/EC (</w:t>
      </w:r>
      <w:r w:rsidR="0023335A">
        <w:rPr>
          <w:noProof/>
          <w:szCs w:val="24"/>
        </w:rPr>
        <w:t>‘</w:t>
      </w:r>
      <w:r w:rsidR="00B06874">
        <w:rPr>
          <w:noProof/>
          <w:szCs w:val="24"/>
        </w:rPr>
        <w:t xml:space="preserve">the </w:t>
      </w:r>
      <w:r w:rsidR="00004580">
        <w:rPr>
          <w:noProof/>
          <w:szCs w:val="24"/>
        </w:rPr>
        <w:t xml:space="preserve">e-Commerce </w:t>
      </w:r>
      <w:r w:rsidR="00D44A41" w:rsidRPr="00D44A41">
        <w:rPr>
          <w:noProof/>
          <w:szCs w:val="24"/>
        </w:rPr>
        <w:t>Directive</w:t>
      </w:r>
      <w:r w:rsidR="0023335A">
        <w:rPr>
          <w:noProof/>
          <w:szCs w:val="24"/>
        </w:rPr>
        <w:t>’</w:t>
      </w:r>
      <w:r w:rsidR="00D44A41" w:rsidRPr="00C6163C">
        <w:rPr>
          <w:noProof/>
          <w:szCs w:val="24"/>
        </w:rPr>
        <w:t>)</w:t>
      </w:r>
      <w:r w:rsidR="00C6163C" w:rsidRPr="00512FFB">
        <w:rPr>
          <w:noProof/>
          <w:szCs w:val="24"/>
          <w:vertAlign w:val="superscript"/>
        </w:rPr>
        <w:footnoteReference w:id="35"/>
      </w:r>
      <w:r w:rsidR="00D44A41" w:rsidRPr="00C6163C">
        <w:rPr>
          <w:noProof/>
          <w:szCs w:val="24"/>
        </w:rPr>
        <w:t xml:space="preserve"> and </w:t>
      </w:r>
      <w:r w:rsidR="00A14F13">
        <w:rPr>
          <w:noProof/>
          <w:szCs w:val="24"/>
        </w:rPr>
        <w:t xml:space="preserve">rules </w:t>
      </w:r>
      <w:r w:rsidR="00D44A41" w:rsidRPr="00C6163C">
        <w:rPr>
          <w:noProof/>
          <w:szCs w:val="24"/>
        </w:rPr>
        <w:t xml:space="preserve">related </w:t>
      </w:r>
      <w:r w:rsidR="00A14F13">
        <w:rPr>
          <w:noProof/>
          <w:szCs w:val="24"/>
        </w:rPr>
        <w:t xml:space="preserve">to </w:t>
      </w:r>
      <w:r w:rsidR="00D44A41" w:rsidRPr="00C6163C">
        <w:rPr>
          <w:noProof/>
          <w:szCs w:val="24"/>
        </w:rPr>
        <w:t xml:space="preserve">audiovisual media services falling </w:t>
      </w:r>
      <w:r w:rsidR="00004580">
        <w:rPr>
          <w:noProof/>
          <w:szCs w:val="24"/>
        </w:rPr>
        <w:t>within</w:t>
      </w:r>
      <w:r w:rsidR="00004580" w:rsidRPr="00C6163C">
        <w:rPr>
          <w:noProof/>
          <w:szCs w:val="24"/>
        </w:rPr>
        <w:t xml:space="preserve"> </w:t>
      </w:r>
      <w:r w:rsidR="00D44A41" w:rsidRPr="00C6163C">
        <w:rPr>
          <w:noProof/>
          <w:szCs w:val="24"/>
        </w:rPr>
        <w:t>the scope of Directive (EU) 2018/1808 (the revised Audiovisual Media Services Directive)</w:t>
      </w:r>
      <w:r w:rsidR="00D44A41" w:rsidRPr="00512FFB">
        <w:rPr>
          <w:noProof/>
          <w:szCs w:val="24"/>
          <w:vertAlign w:val="superscript"/>
        </w:rPr>
        <w:footnoteReference w:id="36"/>
      </w:r>
      <w:r w:rsidR="00D44A41" w:rsidRPr="00512FFB">
        <w:rPr>
          <w:noProof/>
          <w:szCs w:val="24"/>
        </w:rPr>
        <w:t xml:space="preserve">. </w:t>
      </w:r>
      <w:r w:rsidR="00D44A41" w:rsidRPr="00C6163C">
        <w:rPr>
          <w:noProof/>
          <w:szCs w:val="24"/>
        </w:rPr>
        <w:t xml:space="preserve"> </w:t>
      </w:r>
    </w:p>
    <w:p w14:paraId="2AB5E75B" w14:textId="77777777" w:rsidR="0049046D" w:rsidRPr="00512FFB" w:rsidRDefault="00C6163C" w:rsidP="00512FFB">
      <w:pPr>
        <w:pStyle w:val="Text1"/>
        <w:ind w:left="851"/>
        <w:rPr>
          <w:noProof/>
          <w:szCs w:val="24"/>
        </w:rPr>
      </w:pPr>
      <w:r w:rsidRPr="00512FFB">
        <w:rPr>
          <w:noProof/>
          <w:szCs w:val="24"/>
        </w:rPr>
        <w:t xml:space="preserve">Other Commission reactions were issued in relation to notified draft </w:t>
      </w:r>
      <w:r w:rsidR="00D527CE">
        <w:rPr>
          <w:noProof/>
          <w:szCs w:val="24"/>
        </w:rPr>
        <w:t>measures</w:t>
      </w:r>
      <w:r w:rsidRPr="00512FFB">
        <w:rPr>
          <w:noProof/>
          <w:szCs w:val="24"/>
        </w:rPr>
        <w:t xml:space="preserve"> concerning rules on information society services focusing on electronic identification and trust services falling under the scope of Regulation (EU) 910/2014 (</w:t>
      </w:r>
      <w:r w:rsidR="00004580">
        <w:rPr>
          <w:noProof/>
          <w:szCs w:val="24"/>
        </w:rPr>
        <w:t>the ‘</w:t>
      </w:r>
      <w:r w:rsidRPr="00512FFB">
        <w:rPr>
          <w:noProof/>
          <w:szCs w:val="24"/>
        </w:rPr>
        <w:t>eIDAS Regulation</w:t>
      </w:r>
      <w:r w:rsidR="00004580">
        <w:rPr>
          <w:noProof/>
          <w:szCs w:val="24"/>
        </w:rPr>
        <w:t>’</w:t>
      </w:r>
      <w:r w:rsidRPr="00512FFB">
        <w:rPr>
          <w:noProof/>
          <w:szCs w:val="24"/>
        </w:rPr>
        <w:t>)</w:t>
      </w:r>
      <w:r w:rsidRPr="00512FFB">
        <w:rPr>
          <w:rStyle w:val="FootnoteReference"/>
          <w:noProof/>
          <w:szCs w:val="24"/>
        </w:rPr>
        <w:footnoteReference w:id="37"/>
      </w:r>
      <w:r w:rsidR="003A5FDD">
        <w:rPr>
          <w:noProof/>
          <w:szCs w:val="24"/>
        </w:rPr>
        <w:t xml:space="preserve"> and</w:t>
      </w:r>
      <w:r w:rsidRPr="00512FFB">
        <w:rPr>
          <w:noProof/>
          <w:szCs w:val="24"/>
        </w:rPr>
        <w:t xml:space="preserve"> the free flow of non-personal data as regulated under Regulation (EU) 2018/1807</w:t>
      </w:r>
      <w:r w:rsidRPr="00512FFB">
        <w:rPr>
          <w:rStyle w:val="FootnoteReference"/>
          <w:noProof/>
          <w:szCs w:val="24"/>
        </w:rPr>
        <w:footnoteReference w:id="38"/>
      </w:r>
      <w:r w:rsidR="00B06874">
        <w:rPr>
          <w:noProof/>
          <w:szCs w:val="24"/>
        </w:rPr>
        <w:t>.</w:t>
      </w:r>
      <w:r w:rsidRPr="00512FFB">
        <w:rPr>
          <w:noProof/>
          <w:szCs w:val="24"/>
        </w:rPr>
        <w:t xml:space="preserve"> </w:t>
      </w:r>
      <w:r w:rsidR="00B06874">
        <w:rPr>
          <w:noProof/>
          <w:szCs w:val="24"/>
        </w:rPr>
        <w:t>There were also</w:t>
      </w:r>
      <w:r w:rsidRPr="00512FFB">
        <w:rPr>
          <w:noProof/>
          <w:szCs w:val="24"/>
        </w:rPr>
        <w:t xml:space="preserve"> notifications </w:t>
      </w:r>
      <w:r w:rsidR="00B06874">
        <w:rPr>
          <w:noProof/>
          <w:szCs w:val="24"/>
        </w:rPr>
        <w:t>on</w:t>
      </w:r>
      <w:r w:rsidRPr="00512FFB">
        <w:rPr>
          <w:noProof/>
          <w:szCs w:val="24"/>
        </w:rPr>
        <w:t xml:space="preserve"> digital data privacy, cybersecurity, data retention, electronic invoicing, copyright, telecom and electronic communications (including 5</w:t>
      </w:r>
      <w:r w:rsidR="001F1AF0">
        <w:rPr>
          <w:noProof/>
          <w:szCs w:val="24"/>
        </w:rPr>
        <w:t> G</w:t>
      </w:r>
      <w:r w:rsidRPr="00512FFB">
        <w:rPr>
          <w:noProof/>
          <w:szCs w:val="24"/>
        </w:rPr>
        <w:t>), safer internet for kids, e-books, online gambling and in several cases linked, in explicit or in ancillary terms, to the free movement of services and freedom of establishment (</w:t>
      </w:r>
      <w:r w:rsidR="00F47003">
        <w:rPr>
          <w:noProof/>
          <w:szCs w:val="24"/>
        </w:rPr>
        <w:t xml:space="preserve">Articles </w:t>
      </w:r>
      <w:r w:rsidRPr="00512FFB">
        <w:rPr>
          <w:noProof/>
          <w:szCs w:val="24"/>
        </w:rPr>
        <w:t>49 and 56</w:t>
      </w:r>
      <w:r w:rsidR="00AC5456" w:rsidRPr="00AC5456">
        <w:rPr>
          <w:noProof/>
          <w:szCs w:val="24"/>
        </w:rPr>
        <w:t xml:space="preserve"> </w:t>
      </w:r>
      <w:r w:rsidR="00AC5456" w:rsidRPr="007704E6">
        <w:rPr>
          <w:noProof/>
          <w:szCs w:val="24"/>
        </w:rPr>
        <w:t>TFEU</w:t>
      </w:r>
      <w:r w:rsidRPr="00512FFB">
        <w:rPr>
          <w:noProof/>
          <w:szCs w:val="24"/>
        </w:rPr>
        <w:t>, as well as</w:t>
      </w:r>
      <w:r w:rsidRPr="00512FFB">
        <w:rPr>
          <w:noProof/>
        </w:rPr>
        <w:t xml:space="preserve"> </w:t>
      </w:r>
      <w:r w:rsidR="00A40B19">
        <w:rPr>
          <w:noProof/>
        </w:rPr>
        <w:t xml:space="preserve">the Services </w:t>
      </w:r>
      <w:r w:rsidRPr="00512FFB">
        <w:rPr>
          <w:noProof/>
          <w:szCs w:val="24"/>
        </w:rPr>
        <w:t>Directive</w:t>
      </w:r>
      <w:r w:rsidR="00DC47C5">
        <w:rPr>
          <w:rStyle w:val="FootnoteReference"/>
          <w:noProof/>
          <w:szCs w:val="24"/>
        </w:rPr>
        <w:footnoteReference w:id="39"/>
      </w:r>
      <w:r w:rsidRPr="00512FFB">
        <w:rPr>
          <w:noProof/>
          <w:szCs w:val="24"/>
        </w:rPr>
        <w:t>), to consumer rights under Directive 2011/83/EU</w:t>
      </w:r>
      <w:r w:rsidRPr="00512FFB">
        <w:rPr>
          <w:rStyle w:val="FootnoteReference"/>
          <w:noProof/>
          <w:szCs w:val="24"/>
        </w:rPr>
        <w:footnoteReference w:id="40"/>
      </w:r>
      <w:r w:rsidRPr="00512FFB">
        <w:rPr>
          <w:noProof/>
          <w:szCs w:val="24"/>
        </w:rPr>
        <w:t xml:space="preserve">, to the protection of personal data under the General Data Protection Regulation </w:t>
      </w:r>
      <w:r w:rsidR="00063A38">
        <w:rPr>
          <w:noProof/>
          <w:szCs w:val="24"/>
        </w:rPr>
        <w:t xml:space="preserve">(EU) </w:t>
      </w:r>
      <w:r w:rsidRPr="00512FFB">
        <w:rPr>
          <w:noProof/>
          <w:szCs w:val="24"/>
        </w:rPr>
        <w:t>2016/679</w:t>
      </w:r>
      <w:r w:rsidRPr="00512FFB">
        <w:rPr>
          <w:rStyle w:val="FootnoteReference"/>
          <w:noProof/>
          <w:szCs w:val="24"/>
        </w:rPr>
        <w:footnoteReference w:id="41"/>
      </w:r>
      <w:r w:rsidRPr="00512FFB">
        <w:rPr>
          <w:noProof/>
          <w:szCs w:val="24"/>
        </w:rPr>
        <w:t xml:space="preserve">, </w:t>
      </w:r>
      <w:r w:rsidR="006A5DDB">
        <w:rPr>
          <w:noProof/>
          <w:szCs w:val="24"/>
        </w:rPr>
        <w:t xml:space="preserve">and </w:t>
      </w:r>
      <w:r w:rsidRPr="00512FFB">
        <w:rPr>
          <w:noProof/>
          <w:szCs w:val="24"/>
        </w:rPr>
        <w:t xml:space="preserve">to the freedom of expression and the freedom to conduct a business as enshrined in the Charter of Fundamental Rights of the European Union. </w:t>
      </w:r>
    </w:p>
    <w:p w14:paraId="1F796786" w14:textId="77777777" w:rsidR="0049046D" w:rsidRPr="00512FFB" w:rsidRDefault="001F7678">
      <w:pPr>
        <w:pStyle w:val="Bullet0"/>
        <w:numPr>
          <w:ilvl w:val="0"/>
          <w:numId w:val="7"/>
        </w:numPr>
        <w:ind w:left="851" w:hanging="567"/>
        <w:rPr>
          <w:noProof/>
          <w:szCs w:val="24"/>
        </w:rPr>
      </w:pPr>
      <w:r w:rsidRPr="00512FFB">
        <w:rPr>
          <w:noProof/>
          <w:szCs w:val="24"/>
        </w:rPr>
        <w:t xml:space="preserve">In the </w:t>
      </w:r>
      <w:r w:rsidRPr="00512FFB">
        <w:rPr>
          <w:b/>
          <w:noProof/>
          <w:szCs w:val="24"/>
        </w:rPr>
        <w:t>chemicals</w:t>
      </w:r>
      <w:r w:rsidRPr="00512FFB">
        <w:rPr>
          <w:noProof/>
          <w:szCs w:val="24"/>
        </w:rPr>
        <w:t xml:space="preserve"> sector</w:t>
      </w:r>
      <w:r w:rsidR="006A5DDB">
        <w:rPr>
          <w:noProof/>
          <w:szCs w:val="24"/>
        </w:rPr>
        <w:t>,</w:t>
      </w:r>
      <w:r w:rsidRPr="00512FFB">
        <w:rPr>
          <w:noProof/>
          <w:szCs w:val="24"/>
        </w:rPr>
        <w:t xml:space="preserve"> the Commission received </w:t>
      </w:r>
      <w:r w:rsidR="00D364A9">
        <w:rPr>
          <w:noProof/>
          <w:szCs w:val="24"/>
        </w:rPr>
        <w:t>1</w:t>
      </w:r>
      <w:r w:rsidR="000F4B7C">
        <w:rPr>
          <w:noProof/>
          <w:szCs w:val="24"/>
        </w:rPr>
        <w:t>67</w:t>
      </w:r>
      <w:r w:rsidRPr="00512FFB">
        <w:rPr>
          <w:noProof/>
          <w:szCs w:val="24"/>
        </w:rPr>
        <w:t xml:space="preserve"> notifications</w:t>
      </w:r>
      <w:r w:rsidR="00116670" w:rsidRPr="00512FFB">
        <w:rPr>
          <w:noProof/>
          <w:szCs w:val="24"/>
        </w:rPr>
        <w:t xml:space="preserve"> (3</w:t>
      </w:r>
      <w:r w:rsidR="00B721B8" w:rsidRPr="00512FFB">
        <w:rPr>
          <w:noProof/>
          <w:szCs w:val="24"/>
        </w:rPr>
        <w:t>2</w:t>
      </w:r>
      <w:r w:rsidR="00116670" w:rsidRPr="00512FFB">
        <w:rPr>
          <w:noProof/>
          <w:szCs w:val="24"/>
        </w:rPr>
        <w:t xml:space="preserve"> in 201</w:t>
      </w:r>
      <w:r w:rsidR="007F57D4">
        <w:rPr>
          <w:noProof/>
          <w:szCs w:val="24"/>
        </w:rPr>
        <w:t>6, 32 in 2017, 28 in 2018</w:t>
      </w:r>
      <w:r w:rsidR="00D364A9">
        <w:rPr>
          <w:noProof/>
          <w:szCs w:val="24"/>
        </w:rPr>
        <w:t>,</w:t>
      </w:r>
      <w:r w:rsidR="007F57D4">
        <w:rPr>
          <w:noProof/>
          <w:szCs w:val="24"/>
        </w:rPr>
        <w:t xml:space="preserve"> 27</w:t>
      </w:r>
      <w:r w:rsidR="00116670" w:rsidRPr="00512FFB">
        <w:rPr>
          <w:noProof/>
          <w:szCs w:val="24"/>
        </w:rPr>
        <w:t xml:space="preserve"> in 201</w:t>
      </w:r>
      <w:r w:rsidR="007F57D4">
        <w:rPr>
          <w:noProof/>
          <w:szCs w:val="24"/>
        </w:rPr>
        <w:t>9</w:t>
      </w:r>
      <w:r w:rsidR="00D364A9">
        <w:rPr>
          <w:noProof/>
          <w:szCs w:val="24"/>
        </w:rPr>
        <w:t xml:space="preserve"> and 48 in 2020</w:t>
      </w:r>
      <w:r w:rsidR="00795999">
        <w:rPr>
          <w:rStyle w:val="FootnoteReference"/>
          <w:noProof/>
          <w:szCs w:val="24"/>
        </w:rPr>
        <w:footnoteReference w:id="42"/>
      </w:r>
      <w:r w:rsidR="00116670" w:rsidRPr="00512FFB">
        <w:rPr>
          <w:noProof/>
          <w:szCs w:val="24"/>
        </w:rPr>
        <w:t>)</w:t>
      </w:r>
      <w:r w:rsidR="004D753E">
        <w:rPr>
          <w:noProof/>
          <w:szCs w:val="24"/>
        </w:rPr>
        <w:t>, regarding</w:t>
      </w:r>
      <w:r w:rsidR="006A5DDB">
        <w:rPr>
          <w:noProof/>
          <w:szCs w:val="24"/>
        </w:rPr>
        <w:t xml:space="preserve"> areas such as</w:t>
      </w:r>
      <w:r w:rsidRPr="00512FFB">
        <w:rPr>
          <w:noProof/>
          <w:szCs w:val="24"/>
        </w:rPr>
        <w:t xml:space="preserve"> biocidal products, plant protection products and products </w:t>
      </w:r>
      <w:r w:rsidRPr="00CB6792">
        <w:rPr>
          <w:noProof/>
          <w:szCs w:val="24"/>
        </w:rPr>
        <w:t xml:space="preserve">falling </w:t>
      </w:r>
      <w:r w:rsidR="0090022C" w:rsidRPr="00CB6792">
        <w:rPr>
          <w:noProof/>
          <w:szCs w:val="24"/>
        </w:rPr>
        <w:t>within</w:t>
      </w:r>
      <w:r w:rsidRPr="00CB6792">
        <w:rPr>
          <w:noProof/>
          <w:szCs w:val="24"/>
        </w:rPr>
        <w:t xml:space="preserve"> the</w:t>
      </w:r>
      <w:r w:rsidRPr="00512FFB">
        <w:rPr>
          <w:noProof/>
          <w:szCs w:val="24"/>
        </w:rPr>
        <w:t xml:space="preserve"> scope of </w:t>
      </w:r>
      <w:r w:rsidR="00B721B8" w:rsidRPr="00512FFB">
        <w:rPr>
          <w:noProof/>
          <w:szCs w:val="24"/>
        </w:rPr>
        <w:t>Regulation (EC) No 1907/2006 concerning the Registration, Evaluation, Authorisation and Restriction of Chemicals (</w:t>
      </w:r>
      <w:r w:rsidR="00802C6D">
        <w:rPr>
          <w:noProof/>
          <w:szCs w:val="24"/>
        </w:rPr>
        <w:t>‘</w:t>
      </w:r>
      <w:r w:rsidR="00B721B8" w:rsidRPr="00512FFB">
        <w:rPr>
          <w:noProof/>
          <w:szCs w:val="24"/>
        </w:rPr>
        <w:t>REACH</w:t>
      </w:r>
      <w:r w:rsidR="00802C6D">
        <w:rPr>
          <w:noProof/>
          <w:szCs w:val="24"/>
        </w:rPr>
        <w:t>’</w:t>
      </w:r>
      <w:r w:rsidR="00B721B8" w:rsidRPr="00512FFB">
        <w:rPr>
          <w:noProof/>
          <w:szCs w:val="24"/>
        </w:rPr>
        <w:t>)</w:t>
      </w:r>
      <w:r w:rsidR="00B721B8" w:rsidRPr="00512FFB">
        <w:rPr>
          <w:noProof/>
          <w:vertAlign w:val="superscript"/>
        </w:rPr>
        <w:footnoteReference w:id="43"/>
      </w:r>
      <w:r w:rsidR="003D77D7">
        <w:rPr>
          <w:noProof/>
          <w:szCs w:val="24"/>
        </w:rPr>
        <w:t>, which</w:t>
      </w:r>
      <w:r w:rsidRPr="00512FFB">
        <w:rPr>
          <w:noProof/>
          <w:szCs w:val="24"/>
        </w:rPr>
        <w:t xml:space="preserve"> were mainly examined under</w:t>
      </w:r>
      <w:r w:rsidR="00B721B8" w:rsidRPr="00512FFB">
        <w:rPr>
          <w:noProof/>
          <w:szCs w:val="24"/>
        </w:rPr>
        <w:t xml:space="preserve"> </w:t>
      </w:r>
      <w:r w:rsidRPr="00512FFB">
        <w:rPr>
          <w:noProof/>
          <w:szCs w:val="24"/>
        </w:rPr>
        <w:t>the Biocidal Products Regulation</w:t>
      </w:r>
      <w:r w:rsidRPr="00512FFB">
        <w:rPr>
          <w:rStyle w:val="FootnoteReference"/>
          <w:noProof/>
          <w:szCs w:val="24"/>
        </w:rPr>
        <w:footnoteReference w:id="44"/>
      </w:r>
      <w:r w:rsidR="00A13D51">
        <w:rPr>
          <w:noProof/>
          <w:szCs w:val="24"/>
        </w:rPr>
        <w:t>,</w:t>
      </w:r>
      <w:r w:rsidRPr="00512FFB">
        <w:rPr>
          <w:noProof/>
          <w:szCs w:val="24"/>
        </w:rPr>
        <w:t xml:space="preserve"> Regulation (EC) No 1107/2009 concerning the placing of plant protection products on the market</w:t>
      </w:r>
      <w:r w:rsidRPr="00512FFB">
        <w:rPr>
          <w:noProof/>
          <w:vertAlign w:val="superscript"/>
        </w:rPr>
        <w:footnoteReference w:id="45"/>
      </w:r>
      <w:r w:rsidR="00B721B8" w:rsidRPr="00512FFB">
        <w:rPr>
          <w:noProof/>
          <w:szCs w:val="24"/>
        </w:rPr>
        <w:t xml:space="preserve"> and</w:t>
      </w:r>
      <w:r w:rsidRPr="00512FFB">
        <w:rPr>
          <w:noProof/>
          <w:szCs w:val="24"/>
        </w:rPr>
        <w:t xml:space="preserve"> </w:t>
      </w:r>
      <w:r w:rsidR="003A5FDD">
        <w:rPr>
          <w:noProof/>
          <w:szCs w:val="24"/>
        </w:rPr>
        <w:t xml:space="preserve">under </w:t>
      </w:r>
      <w:r w:rsidR="00B721B8" w:rsidRPr="00512FFB">
        <w:rPr>
          <w:noProof/>
          <w:szCs w:val="24"/>
        </w:rPr>
        <w:t>REACH.</w:t>
      </w:r>
    </w:p>
    <w:p w14:paraId="0F8554E0" w14:textId="77777777" w:rsidR="0049046D" w:rsidRDefault="001F7678" w:rsidP="00F6570F">
      <w:pPr>
        <w:pStyle w:val="Bullet0"/>
        <w:numPr>
          <w:ilvl w:val="0"/>
          <w:numId w:val="7"/>
        </w:numPr>
        <w:ind w:left="851" w:hanging="567"/>
        <w:rPr>
          <w:noProof/>
          <w:szCs w:val="24"/>
        </w:rPr>
      </w:pPr>
      <w:r w:rsidRPr="00512FFB">
        <w:rPr>
          <w:noProof/>
          <w:szCs w:val="24"/>
        </w:rPr>
        <w:t xml:space="preserve">In the </w:t>
      </w:r>
      <w:r w:rsidRPr="00512FFB">
        <w:rPr>
          <w:b/>
          <w:noProof/>
          <w:szCs w:val="24"/>
        </w:rPr>
        <w:t>environmental sector</w:t>
      </w:r>
      <w:r w:rsidR="006A5DDB">
        <w:rPr>
          <w:noProof/>
          <w:szCs w:val="24"/>
        </w:rPr>
        <w:t xml:space="preserve">, </w:t>
      </w:r>
      <w:r w:rsidRPr="00512FFB">
        <w:rPr>
          <w:noProof/>
          <w:szCs w:val="24"/>
        </w:rPr>
        <w:t xml:space="preserve">the Commission examined </w:t>
      </w:r>
      <w:r w:rsidR="00D364A9">
        <w:rPr>
          <w:noProof/>
          <w:szCs w:val="24"/>
        </w:rPr>
        <w:t>2</w:t>
      </w:r>
      <w:r w:rsidR="000F4B7C">
        <w:rPr>
          <w:noProof/>
          <w:szCs w:val="24"/>
        </w:rPr>
        <w:t>06</w:t>
      </w:r>
      <w:r w:rsidR="00D364A9">
        <w:rPr>
          <w:noProof/>
          <w:szCs w:val="24"/>
        </w:rPr>
        <w:t xml:space="preserve"> </w:t>
      </w:r>
      <w:r w:rsidRPr="00512FFB">
        <w:rPr>
          <w:noProof/>
          <w:szCs w:val="24"/>
        </w:rPr>
        <w:t xml:space="preserve">draft </w:t>
      </w:r>
      <w:r w:rsidR="004D753E">
        <w:rPr>
          <w:noProof/>
          <w:szCs w:val="24"/>
        </w:rPr>
        <w:t>measures</w:t>
      </w:r>
      <w:r w:rsidR="00FE2C8C">
        <w:rPr>
          <w:noProof/>
          <w:szCs w:val="24"/>
        </w:rPr>
        <w:t xml:space="preserve"> </w:t>
      </w:r>
      <w:r w:rsidR="00092E93">
        <w:rPr>
          <w:noProof/>
          <w:szCs w:val="24"/>
        </w:rPr>
        <w:t>(55</w:t>
      </w:r>
      <w:r w:rsidR="00266280">
        <w:rPr>
          <w:noProof/>
          <w:szCs w:val="24"/>
        </w:rPr>
        <w:t xml:space="preserve"> in 2016, 39 in 2017, 28 in 2018</w:t>
      </w:r>
      <w:r w:rsidR="00D364A9">
        <w:rPr>
          <w:noProof/>
          <w:szCs w:val="24"/>
        </w:rPr>
        <w:t>,</w:t>
      </w:r>
      <w:r w:rsidR="00266280">
        <w:rPr>
          <w:noProof/>
          <w:szCs w:val="24"/>
        </w:rPr>
        <w:t xml:space="preserve"> 33</w:t>
      </w:r>
      <w:r w:rsidR="00FE2C8C" w:rsidRPr="000F6DF2">
        <w:rPr>
          <w:noProof/>
          <w:szCs w:val="24"/>
        </w:rPr>
        <w:t xml:space="preserve"> in 201</w:t>
      </w:r>
      <w:r w:rsidR="00266280">
        <w:rPr>
          <w:noProof/>
          <w:szCs w:val="24"/>
        </w:rPr>
        <w:t>9</w:t>
      </w:r>
      <w:r w:rsidR="00D364A9">
        <w:rPr>
          <w:noProof/>
          <w:szCs w:val="24"/>
        </w:rPr>
        <w:t xml:space="preserve"> and 51 in 2020</w:t>
      </w:r>
      <w:r w:rsidR="00795999">
        <w:rPr>
          <w:rStyle w:val="FootnoteReference"/>
          <w:noProof/>
          <w:szCs w:val="24"/>
        </w:rPr>
        <w:footnoteReference w:id="46"/>
      </w:r>
      <w:r w:rsidR="00FE2C8C" w:rsidRPr="000F6DF2">
        <w:rPr>
          <w:noProof/>
          <w:szCs w:val="24"/>
        </w:rPr>
        <w:t>)</w:t>
      </w:r>
      <w:r w:rsidRPr="00512FFB">
        <w:rPr>
          <w:noProof/>
          <w:szCs w:val="24"/>
        </w:rPr>
        <w:t xml:space="preserve">. Some notified drafts concerned packaging waste </w:t>
      </w:r>
      <w:r w:rsidR="00802C6D">
        <w:rPr>
          <w:noProof/>
          <w:szCs w:val="24"/>
        </w:rPr>
        <w:t xml:space="preserve">and disposable plastic products </w:t>
      </w:r>
      <w:r w:rsidRPr="00512FFB">
        <w:rPr>
          <w:noProof/>
          <w:szCs w:val="24"/>
        </w:rPr>
        <w:t>and raised problems of compatibility with Directive 94/62/EC on packaging and packaging waste</w:t>
      </w:r>
      <w:r w:rsidRPr="00512FFB">
        <w:rPr>
          <w:noProof/>
          <w:vertAlign w:val="superscript"/>
        </w:rPr>
        <w:footnoteReference w:id="47"/>
      </w:r>
      <w:r w:rsidRPr="00512FFB">
        <w:rPr>
          <w:noProof/>
          <w:szCs w:val="24"/>
        </w:rPr>
        <w:t xml:space="preserve"> (for example with regard to the requirements for banning lightweight plastic carrier bags)</w:t>
      </w:r>
      <w:r w:rsidR="00170FE3">
        <w:rPr>
          <w:noProof/>
          <w:szCs w:val="24"/>
        </w:rPr>
        <w:t xml:space="preserve"> and </w:t>
      </w:r>
      <w:r w:rsidR="00877D23" w:rsidRPr="00877D23">
        <w:rPr>
          <w:noProof/>
          <w:szCs w:val="24"/>
        </w:rPr>
        <w:t>Directive (EU) 2019/904 on the reduction of the impact of certain plastic products on the environ</w:t>
      </w:r>
      <w:r w:rsidR="00877D23">
        <w:rPr>
          <w:noProof/>
          <w:szCs w:val="24"/>
        </w:rPr>
        <w:t>ment</w:t>
      </w:r>
      <w:r w:rsidR="00877D23">
        <w:rPr>
          <w:rStyle w:val="FootnoteReference"/>
          <w:noProof/>
          <w:szCs w:val="24"/>
        </w:rPr>
        <w:footnoteReference w:id="48"/>
      </w:r>
      <w:r w:rsidR="00877D23">
        <w:rPr>
          <w:noProof/>
          <w:szCs w:val="24"/>
        </w:rPr>
        <w:t xml:space="preserve"> </w:t>
      </w:r>
      <w:r w:rsidR="00802C6D">
        <w:rPr>
          <w:noProof/>
          <w:szCs w:val="24"/>
        </w:rPr>
        <w:t>(for example as regards the definitions of ‘plastic’)</w:t>
      </w:r>
      <w:r w:rsidRPr="00512FFB">
        <w:rPr>
          <w:noProof/>
          <w:szCs w:val="24"/>
        </w:rPr>
        <w:t xml:space="preserve">.  </w:t>
      </w:r>
    </w:p>
    <w:p w14:paraId="0915DD03" w14:textId="77777777" w:rsidR="0049046D" w:rsidRPr="00512FFB" w:rsidRDefault="001F7678">
      <w:pPr>
        <w:pStyle w:val="Bullet0"/>
        <w:numPr>
          <w:ilvl w:val="0"/>
          <w:numId w:val="0"/>
        </w:numPr>
        <w:rPr>
          <w:noProof/>
          <w:szCs w:val="24"/>
        </w:rPr>
      </w:pPr>
      <w:r w:rsidRPr="00512FFB">
        <w:rPr>
          <w:noProof/>
          <w:szCs w:val="24"/>
        </w:rPr>
        <w:t xml:space="preserve">The notification procedure also allowed the Commission to intervene in sectors where harmonisation was envisaged or under way at </w:t>
      </w:r>
      <w:r w:rsidR="006A5DDB">
        <w:rPr>
          <w:noProof/>
          <w:szCs w:val="24"/>
        </w:rPr>
        <w:t>EU</w:t>
      </w:r>
      <w:r w:rsidRPr="00512FFB">
        <w:rPr>
          <w:noProof/>
          <w:szCs w:val="24"/>
        </w:rPr>
        <w:t xml:space="preserve"> level and thus prevented Member States from introducing divergent national measures. Pursuant to Articles 6(3) and 6(4) of the Single Market Transparency Directive, the Commission requested the notifying Member State</w:t>
      </w:r>
      <w:r w:rsidR="001D4E5B">
        <w:rPr>
          <w:noProof/>
          <w:szCs w:val="24"/>
        </w:rPr>
        <w:t>s</w:t>
      </w:r>
      <w:r w:rsidRPr="00512FFB">
        <w:rPr>
          <w:noProof/>
          <w:szCs w:val="24"/>
        </w:rPr>
        <w:t xml:space="preserve"> to postpone the adoption of notified draft </w:t>
      </w:r>
      <w:r w:rsidR="001D4E5B">
        <w:rPr>
          <w:noProof/>
          <w:szCs w:val="24"/>
        </w:rPr>
        <w:t xml:space="preserve">technical regulations </w:t>
      </w:r>
      <w:r w:rsidRPr="00512FFB">
        <w:rPr>
          <w:noProof/>
          <w:szCs w:val="24"/>
        </w:rPr>
        <w:t xml:space="preserve">for </w:t>
      </w:r>
      <w:r w:rsidR="006A5DDB">
        <w:rPr>
          <w:noProof/>
          <w:szCs w:val="24"/>
        </w:rPr>
        <w:t>12</w:t>
      </w:r>
      <w:r w:rsidR="006A5DDB" w:rsidRPr="00512FFB">
        <w:rPr>
          <w:noProof/>
          <w:szCs w:val="24"/>
        </w:rPr>
        <w:t xml:space="preserve"> </w:t>
      </w:r>
      <w:r w:rsidRPr="00512FFB">
        <w:rPr>
          <w:noProof/>
          <w:szCs w:val="24"/>
        </w:rPr>
        <w:t xml:space="preserve">months from the date of notification in the fields of </w:t>
      </w:r>
      <w:r w:rsidR="00ED1787" w:rsidRPr="00ED1787">
        <w:rPr>
          <w:noProof/>
          <w:szCs w:val="24"/>
        </w:rPr>
        <w:t>organic production of plants, animals and aquaculture products and foodstuffs</w:t>
      </w:r>
      <w:r w:rsidR="00ED1787">
        <w:rPr>
          <w:noProof/>
          <w:szCs w:val="24"/>
        </w:rPr>
        <w:t xml:space="preserve"> (notification 2018/190/BG), </w:t>
      </w:r>
      <w:r w:rsidR="00ED1787" w:rsidRPr="00ED1787">
        <w:rPr>
          <w:noProof/>
          <w:szCs w:val="24"/>
        </w:rPr>
        <w:t>organic production of rabbit</w:t>
      </w:r>
      <w:r w:rsidR="005D5CC1">
        <w:rPr>
          <w:noProof/>
          <w:szCs w:val="24"/>
        </w:rPr>
        <w:t xml:space="preserve"> meat</w:t>
      </w:r>
      <w:r w:rsidR="00BF118B">
        <w:rPr>
          <w:noProof/>
          <w:szCs w:val="24"/>
        </w:rPr>
        <w:t xml:space="preserve"> </w:t>
      </w:r>
      <w:r w:rsidR="00ED1787">
        <w:rPr>
          <w:noProof/>
          <w:szCs w:val="24"/>
        </w:rPr>
        <w:t xml:space="preserve">(notification 2018/219/E), </w:t>
      </w:r>
      <w:r w:rsidR="00E41C0A" w:rsidRPr="00E41C0A">
        <w:rPr>
          <w:noProof/>
          <w:szCs w:val="24"/>
        </w:rPr>
        <w:t>organic broiler quails</w:t>
      </w:r>
      <w:r w:rsidR="00E41C0A">
        <w:rPr>
          <w:noProof/>
          <w:szCs w:val="24"/>
        </w:rPr>
        <w:t xml:space="preserve"> (notification 2018/666/F)</w:t>
      </w:r>
      <w:r w:rsidR="00EA4674">
        <w:rPr>
          <w:noProof/>
          <w:szCs w:val="24"/>
        </w:rPr>
        <w:t xml:space="preserve"> and disposable plastic products (notifications 2018/665/B and 2019/9/UK)</w:t>
      </w:r>
      <w:r w:rsidRPr="00512FFB">
        <w:rPr>
          <w:noProof/>
          <w:szCs w:val="24"/>
        </w:rPr>
        <w:t xml:space="preserve">. </w:t>
      </w:r>
    </w:p>
    <w:p w14:paraId="26CC6215" w14:textId="77777777" w:rsidR="0049046D" w:rsidRPr="00707D44" w:rsidRDefault="001F7678">
      <w:pPr>
        <w:spacing w:line="240" w:lineRule="auto"/>
        <w:jc w:val="both"/>
        <w:rPr>
          <w:rFonts w:ascii="Times New Roman" w:hAnsi="Times New Roman"/>
          <w:b/>
          <w:noProof/>
          <w:sz w:val="24"/>
          <w:szCs w:val="24"/>
          <w:u w:val="single"/>
        </w:rPr>
      </w:pPr>
      <w:r>
        <w:rPr>
          <w:rFonts w:ascii="Times New Roman" w:hAnsi="Times New Roman"/>
          <w:b/>
          <w:noProof/>
          <w:sz w:val="24"/>
          <w:szCs w:val="24"/>
        </w:rPr>
        <w:t xml:space="preserve">► </w:t>
      </w:r>
      <w:r w:rsidRPr="00512FFB">
        <w:rPr>
          <w:rFonts w:ascii="Times New Roman" w:hAnsi="Times New Roman"/>
          <w:b/>
          <w:noProof/>
          <w:sz w:val="24"/>
          <w:szCs w:val="24"/>
          <w:u w:val="single"/>
        </w:rPr>
        <w:t xml:space="preserve">Positive examples showcasing the impact of the Single Market Transparency </w:t>
      </w:r>
      <w:r w:rsidRPr="00707D44">
        <w:rPr>
          <w:rFonts w:ascii="Times New Roman" w:hAnsi="Times New Roman"/>
          <w:b/>
          <w:noProof/>
          <w:sz w:val="24"/>
          <w:szCs w:val="24"/>
          <w:u w:val="single"/>
        </w:rPr>
        <w:t>Directive</w:t>
      </w:r>
    </w:p>
    <w:p w14:paraId="09DB76A1" w14:textId="77777777" w:rsidR="00DC64B0" w:rsidRDefault="00DC64B0">
      <w:pPr>
        <w:spacing w:line="240" w:lineRule="auto"/>
        <w:jc w:val="both"/>
        <w:rPr>
          <w:rFonts w:ascii="Times New Roman" w:hAnsi="Times New Roman"/>
          <w:noProof/>
          <w:sz w:val="24"/>
          <w:szCs w:val="24"/>
        </w:rPr>
      </w:pPr>
      <w:r w:rsidRPr="00707D44">
        <w:rPr>
          <w:rFonts w:ascii="Times New Roman" w:hAnsi="Times New Roman"/>
          <w:noProof/>
          <w:sz w:val="24"/>
          <w:szCs w:val="24"/>
        </w:rPr>
        <w:t>During the reporting</w:t>
      </w:r>
      <w:r w:rsidRPr="006502C4">
        <w:rPr>
          <w:rFonts w:ascii="Times New Roman" w:hAnsi="Times New Roman"/>
          <w:noProof/>
          <w:sz w:val="24"/>
          <w:szCs w:val="24"/>
        </w:rPr>
        <w:t xml:space="preserve"> period</w:t>
      </w:r>
      <w:r w:rsidR="006A5DDB">
        <w:rPr>
          <w:rFonts w:ascii="Times New Roman" w:hAnsi="Times New Roman"/>
          <w:noProof/>
          <w:sz w:val="24"/>
          <w:szCs w:val="24"/>
        </w:rPr>
        <w:t>,</w:t>
      </w:r>
      <w:r w:rsidRPr="006502C4">
        <w:rPr>
          <w:rFonts w:ascii="Times New Roman" w:hAnsi="Times New Roman"/>
          <w:noProof/>
          <w:sz w:val="24"/>
          <w:szCs w:val="24"/>
        </w:rPr>
        <w:t xml:space="preserve"> the Sin</w:t>
      </w:r>
      <w:r w:rsidR="008C3CB3" w:rsidRPr="006502C4">
        <w:rPr>
          <w:rFonts w:ascii="Times New Roman" w:hAnsi="Times New Roman"/>
          <w:noProof/>
          <w:sz w:val="24"/>
          <w:szCs w:val="24"/>
        </w:rPr>
        <w:t>gle Market Transparency Directive proved to be effective</w:t>
      </w:r>
      <w:r w:rsidR="008C3CB3">
        <w:rPr>
          <w:rFonts w:ascii="Times New Roman" w:hAnsi="Times New Roman"/>
          <w:noProof/>
          <w:sz w:val="24"/>
          <w:szCs w:val="24"/>
        </w:rPr>
        <w:t xml:space="preserve"> in numerous cases </w:t>
      </w:r>
      <w:r w:rsidR="00C83657">
        <w:rPr>
          <w:rFonts w:ascii="Times New Roman" w:hAnsi="Times New Roman"/>
          <w:noProof/>
          <w:sz w:val="24"/>
          <w:szCs w:val="24"/>
        </w:rPr>
        <w:t xml:space="preserve">as </w:t>
      </w:r>
      <w:r w:rsidR="008C3CB3">
        <w:rPr>
          <w:rFonts w:ascii="Times New Roman" w:hAnsi="Times New Roman"/>
          <w:noProof/>
          <w:sz w:val="24"/>
          <w:szCs w:val="24"/>
        </w:rPr>
        <w:t xml:space="preserve">the national authorities redrafted the notified drafts according to the Commission’s recommendations or withdrew them. </w:t>
      </w:r>
      <w:r w:rsidR="00CB0904">
        <w:rPr>
          <w:rFonts w:ascii="Times New Roman" w:hAnsi="Times New Roman"/>
          <w:noProof/>
          <w:sz w:val="24"/>
          <w:szCs w:val="24"/>
        </w:rPr>
        <w:t xml:space="preserve">A case in point </w:t>
      </w:r>
      <w:r w:rsidR="00707D44">
        <w:rPr>
          <w:rFonts w:ascii="Times New Roman" w:hAnsi="Times New Roman"/>
          <w:noProof/>
          <w:sz w:val="24"/>
          <w:szCs w:val="24"/>
        </w:rPr>
        <w:t>was the</w:t>
      </w:r>
      <w:r w:rsidR="00707D44" w:rsidRPr="008C3CB3">
        <w:rPr>
          <w:rFonts w:ascii="Times New Roman" w:hAnsi="Times New Roman"/>
          <w:noProof/>
          <w:sz w:val="24"/>
          <w:szCs w:val="24"/>
        </w:rPr>
        <w:t xml:space="preserve"> </w:t>
      </w:r>
      <w:r w:rsidR="002E25BF">
        <w:rPr>
          <w:rFonts w:ascii="Times New Roman" w:hAnsi="Times New Roman"/>
          <w:noProof/>
          <w:sz w:val="24"/>
          <w:szCs w:val="24"/>
        </w:rPr>
        <w:t xml:space="preserve">notification concerning a </w:t>
      </w:r>
      <w:r w:rsidR="008C3CB3" w:rsidRPr="008C3CB3">
        <w:rPr>
          <w:rFonts w:ascii="Times New Roman" w:hAnsi="Times New Roman"/>
          <w:noProof/>
          <w:sz w:val="24"/>
          <w:szCs w:val="24"/>
        </w:rPr>
        <w:t>draft decree obliging car drivers residing in Italy and transporting with them children under 4 years of age to use specific car seat reminder alarm devices that prevent minors from being left behind in the vehicle.</w:t>
      </w:r>
      <w:r w:rsidR="008C3CB3">
        <w:rPr>
          <w:rFonts w:ascii="Times New Roman" w:hAnsi="Times New Roman"/>
          <w:noProof/>
          <w:sz w:val="24"/>
          <w:szCs w:val="24"/>
        </w:rPr>
        <w:t xml:space="preserve"> </w:t>
      </w:r>
      <w:r w:rsidR="008C3CB3" w:rsidRPr="008C3CB3">
        <w:rPr>
          <w:rFonts w:ascii="Times New Roman" w:hAnsi="Times New Roman"/>
          <w:noProof/>
          <w:sz w:val="24"/>
          <w:szCs w:val="24"/>
        </w:rPr>
        <w:t xml:space="preserve">In its detailed opinion, the Commission pointed out that several requirements of the notified draft were in conflict with </w:t>
      </w:r>
      <w:r w:rsidR="0050546C">
        <w:rPr>
          <w:rFonts w:ascii="Times New Roman" w:hAnsi="Times New Roman"/>
          <w:noProof/>
          <w:sz w:val="24"/>
          <w:szCs w:val="24"/>
        </w:rPr>
        <w:t>EU</w:t>
      </w:r>
      <w:r w:rsidR="0050546C" w:rsidRPr="008C3CB3">
        <w:rPr>
          <w:rFonts w:ascii="Times New Roman" w:hAnsi="Times New Roman"/>
          <w:noProof/>
          <w:sz w:val="24"/>
          <w:szCs w:val="24"/>
        </w:rPr>
        <w:t xml:space="preserve"> </w:t>
      </w:r>
      <w:r w:rsidR="008C3CB3" w:rsidRPr="008C3CB3">
        <w:rPr>
          <w:rFonts w:ascii="Times New Roman" w:hAnsi="Times New Roman"/>
          <w:noProof/>
          <w:sz w:val="24"/>
          <w:szCs w:val="24"/>
        </w:rPr>
        <w:t>harmonisation rules and with the free movement of goods (Articles 34-36 TFEU)</w:t>
      </w:r>
      <w:r w:rsidR="001624AA">
        <w:rPr>
          <w:rFonts w:ascii="Times New Roman" w:hAnsi="Times New Roman"/>
          <w:noProof/>
          <w:sz w:val="24"/>
          <w:szCs w:val="24"/>
        </w:rPr>
        <w:t>. This was</w:t>
      </w:r>
      <w:r w:rsidR="008C3CB3" w:rsidRPr="008C3CB3">
        <w:rPr>
          <w:rFonts w:ascii="Times New Roman" w:hAnsi="Times New Roman"/>
          <w:noProof/>
          <w:sz w:val="24"/>
          <w:szCs w:val="24"/>
        </w:rPr>
        <w:t xml:space="preserve"> due to the lack of evidence </w:t>
      </w:r>
      <w:r w:rsidR="00707D44">
        <w:rPr>
          <w:rFonts w:ascii="Times New Roman" w:hAnsi="Times New Roman"/>
          <w:noProof/>
          <w:sz w:val="24"/>
          <w:szCs w:val="24"/>
        </w:rPr>
        <w:t>for:</w:t>
      </w:r>
      <w:r w:rsidR="00707D44" w:rsidRPr="008C3CB3">
        <w:rPr>
          <w:rFonts w:ascii="Times New Roman" w:hAnsi="Times New Roman"/>
          <w:noProof/>
          <w:sz w:val="24"/>
          <w:szCs w:val="24"/>
        </w:rPr>
        <w:t xml:space="preserve"> </w:t>
      </w:r>
      <w:r w:rsidR="00707D44">
        <w:rPr>
          <w:rFonts w:ascii="Times New Roman" w:hAnsi="Times New Roman"/>
          <w:noProof/>
          <w:sz w:val="24"/>
          <w:szCs w:val="24"/>
        </w:rPr>
        <w:t xml:space="preserve">(i) </w:t>
      </w:r>
      <w:r w:rsidR="008C3CB3" w:rsidRPr="008C3CB3">
        <w:rPr>
          <w:rFonts w:ascii="Times New Roman" w:hAnsi="Times New Roman"/>
          <w:noProof/>
          <w:sz w:val="24"/>
          <w:szCs w:val="24"/>
        </w:rPr>
        <w:t>the proportionality of the requirement concerning the prior approval procedure for car seat reminder alarm devices lawfully manufactured in other Member States</w:t>
      </w:r>
      <w:r w:rsidR="00707D44">
        <w:rPr>
          <w:rFonts w:ascii="Times New Roman" w:hAnsi="Times New Roman"/>
          <w:noProof/>
          <w:sz w:val="24"/>
          <w:szCs w:val="24"/>
        </w:rPr>
        <w:t>;</w:t>
      </w:r>
      <w:r w:rsidR="00707D44" w:rsidRPr="008C3CB3">
        <w:rPr>
          <w:rFonts w:ascii="Times New Roman" w:hAnsi="Times New Roman"/>
          <w:noProof/>
          <w:sz w:val="24"/>
          <w:szCs w:val="24"/>
        </w:rPr>
        <w:t xml:space="preserve"> </w:t>
      </w:r>
      <w:r w:rsidR="008C3CB3" w:rsidRPr="008C3CB3">
        <w:rPr>
          <w:rFonts w:ascii="Times New Roman" w:hAnsi="Times New Roman"/>
          <w:noProof/>
          <w:sz w:val="24"/>
          <w:szCs w:val="24"/>
        </w:rPr>
        <w:t xml:space="preserve">and </w:t>
      </w:r>
      <w:r w:rsidR="00707D44">
        <w:rPr>
          <w:rFonts w:ascii="Times New Roman" w:hAnsi="Times New Roman"/>
          <w:noProof/>
          <w:sz w:val="24"/>
          <w:szCs w:val="24"/>
        </w:rPr>
        <w:t xml:space="preserve">(ii) </w:t>
      </w:r>
      <w:r w:rsidR="008C3CB3" w:rsidRPr="008C3CB3">
        <w:rPr>
          <w:rFonts w:ascii="Times New Roman" w:hAnsi="Times New Roman"/>
          <w:noProof/>
          <w:sz w:val="24"/>
          <w:szCs w:val="24"/>
        </w:rPr>
        <w:t xml:space="preserve">the obligation to equip those devices with an automatic communication system for sending messages or calls via mobile wireless communication networks to at least three different phone numbers. </w:t>
      </w:r>
      <w:r w:rsidR="00AF51EA">
        <w:rPr>
          <w:rFonts w:ascii="Times New Roman" w:hAnsi="Times New Roman"/>
          <w:noProof/>
          <w:sz w:val="24"/>
          <w:szCs w:val="24"/>
        </w:rPr>
        <w:t>T</w:t>
      </w:r>
      <w:r w:rsidR="008C3CB3" w:rsidRPr="008C3CB3">
        <w:rPr>
          <w:rFonts w:ascii="Times New Roman" w:hAnsi="Times New Roman"/>
          <w:noProof/>
          <w:sz w:val="24"/>
          <w:szCs w:val="24"/>
        </w:rPr>
        <w:t>he Commission highlighted that the ‘prior authorisation procedure’ obliging ‘accredited bodies’ to appl</w:t>
      </w:r>
      <w:r w:rsidR="001F1AF0">
        <w:rPr>
          <w:rFonts w:ascii="Times New Roman" w:hAnsi="Times New Roman"/>
          <w:noProof/>
          <w:sz w:val="24"/>
          <w:szCs w:val="24"/>
        </w:rPr>
        <w:t>y</w:t>
      </w:r>
      <w:r w:rsidR="008C3CB3" w:rsidRPr="008C3CB3">
        <w:rPr>
          <w:rFonts w:ascii="Times New Roman" w:hAnsi="Times New Roman"/>
          <w:noProof/>
          <w:sz w:val="24"/>
          <w:szCs w:val="24"/>
        </w:rPr>
        <w:t xml:space="preserve"> for recognition to the Italian Directorate-General for Motor Vehicles could be in conflict with the principle of free provision of </w:t>
      </w:r>
      <w:r w:rsidR="008C3CB3" w:rsidRPr="008009C1">
        <w:rPr>
          <w:rFonts w:ascii="Times New Roman" w:hAnsi="Times New Roman"/>
          <w:noProof/>
          <w:sz w:val="24"/>
          <w:szCs w:val="24"/>
        </w:rPr>
        <w:t xml:space="preserve">services within the </w:t>
      </w:r>
      <w:r w:rsidR="008C3CB3" w:rsidRPr="00CB6792">
        <w:rPr>
          <w:rFonts w:ascii="Times New Roman" w:hAnsi="Times New Roman"/>
          <w:noProof/>
          <w:sz w:val="24"/>
          <w:szCs w:val="24"/>
        </w:rPr>
        <w:t>Union (Article 56 TFEU). The Italian authorities redrafted the proposed decree according to the Commission’s remarks</w:t>
      </w:r>
      <w:r w:rsidR="00143092" w:rsidRPr="00CB6792">
        <w:rPr>
          <w:rFonts w:ascii="Times New Roman" w:hAnsi="Times New Roman"/>
          <w:noProof/>
          <w:sz w:val="24"/>
          <w:szCs w:val="24"/>
        </w:rPr>
        <w:t xml:space="preserve">, while ensuring that the notified draft measure could attain the objective of </w:t>
      </w:r>
      <w:r w:rsidR="00707D44">
        <w:rPr>
          <w:rFonts w:ascii="Times New Roman" w:hAnsi="Times New Roman"/>
          <w:noProof/>
          <w:sz w:val="24"/>
          <w:szCs w:val="24"/>
        </w:rPr>
        <w:t xml:space="preserve">children’s </w:t>
      </w:r>
      <w:r w:rsidR="00143092" w:rsidRPr="00CB6792">
        <w:rPr>
          <w:rFonts w:ascii="Times New Roman" w:hAnsi="Times New Roman"/>
          <w:noProof/>
          <w:sz w:val="24"/>
          <w:szCs w:val="24"/>
        </w:rPr>
        <w:t>safety</w:t>
      </w:r>
      <w:r w:rsidR="008C3CB3" w:rsidRPr="00CB6792">
        <w:rPr>
          <w:rFonts w:ascii="Times New Roman" w:hAnsi="Times New Roman"/>
          <w:noProof/>
          <w:sz w:val="24"/>
          <w:szCs w:val="24"/>
        </w:rPr>
        <w:t xml:space="preserve">. </w:t>
      </w:r>
    </w:p>
    <w:p w14:paraId="4362BE67" w14:textId="77777777" w:rsidR="008C3CB3" w:rsidRDefault="008C3CB3">
      <w:pPr>
        <w:spacing w:line="240" w:lineRule="auto"/>
        <w:jc w:val="both"/>
        <w:rPr>
          <w:rFonts w:ascii="Times New Roman" w:hAnsi="Times New Roman"/>
          <w:noProof/>
          <w:sz w:val="24"/>
          <w:szCs w:val="24"/>
        </w:rPr>
      </w:pPr>
      <w:r>
        <w:rPr>
          <w:rFonts w:ascii="Times New Roman" w:hAnsi="Times New Roman"/>
          <w:noProof/>
          <w:sz w:val="24"/>
          <w:szCs w:val="24"/>
        </w:rPr>
        <w:t>Similarly, i</w:t>
      </w:r>
      <w:r w:rsidRPr="008C3CB3">
        <w:rPr>
          <w:rFonts w:ascii="Times New Roman" w:hAnsi="Times New Roman"/>
          <w:noProof/>
          <w:sz w:val="24"/>
          <w:szCs w:val="24"/>
        </w:rPr>
        <w:t>n 2016, 2017 and 2018</w:t>
      </w:r>
      <w:r w:rsidR="0050546C">
        <w:rPr>
          <w:rFonts w:ascii="Times New Roman" w:hAnsi="Times New Roman"/>
          <w:noProof/>
          <w:sz w:val="24"/>
          <w:szCs w:val="24"/>
        </w:rPr>
        <w:t>,</w:t>
      </w:r>
      <w:r w:rsidRPr="008C3CB3">
        <w:rPr>
          <w:rFonts w:ascii="Times New Roman" w:hAnsi="Times New Roman"/>
          <w:noProof/>
          <w:sz w:val="24"/>
          <w:szCs w:val="24"/>
        </w:rPr>
        <w:t xml:space="preserve"> </w:t>
      </w:r>
      <w:r>
        <w:rPr>
          <w:rFonts w:ascii="Times New Roman" w:hAnsi="Times New Roman"/>
          <w:noProof/>
          <w:sz w:val="24"/>
          <w:szCs w:val="24"/>
        </w:rPr>
        <w:t xml:space="preserve">the Commission received </w:t>
      </w:r>
      <w:r w:rsidRPr="008C3CB3">
        <w:rPr>
          <w:rFonts w:ascii="Times New Roman" w:hAnsi="Times New Roman"/>
          <w:noProof/>
          <w:sz w:val="24"/>
          <w:szCs w:val="24"/>
        </w:rPr>
        <w:t>several notifications concern</w:t>
      </w:r>
      <w:r>
        <w:rPr>
          <w:rFonts w:ascii="Times New Roman" w:hAnsi="Times New Roman"/>
          <w:noProof/>
          <w:sz w:val="24"/>
          <w:szCs w:val="24"/>
        </w:rPr>
        <w:t>ing</w:t>
      </w:r>
      <w:r w:rsidRPr="008C3CB3">
        <w:rPr>
          <w:rFonts w:ascii="Times New Roman" w:hAnsi="Times New Roman"/>
          <w:noProof/>
          <w:sz w:val="24"/>
          <w:szCs w:val="24"/>
        </w:rPr>
        <w:t xml:space="preserve"> the characteristics and specific equipment of unmanned aircraft (drones). In its reactions, the Commi</w:t>
      </w:r>
      <w:r w:rsidR="00CD7529">
        <w:rPr>
          <w:rFonts w:ascii="Times New Roman" w:hAnsi="Times New Roman"/>
          <w:noProof/>
          <w:sz w:val="24"/>
          <w:szCs w:val="24"/>
        </w:rPr>
        <w:t>ssion recalled the on</w:t>
      </w:r>
      <w:r w:rsidRPr="008C3CB3">
        <w:rPr>
          <w:rFonts w:ascii="Times New Roman" w:hAnsi="Times New Roman"/>
          <w:noProof/>
          <w:sz w:val="24"/>
          <w:szCs w:val="24"/>
        </w:rPr>
        <w:t xml:space="preserve">going harmonisation process at </w:t>
      </w:r>
      <w:r w:rsidR="00D546BC">
        <w:rPr>
          <w:rFonts w:ascii="Times New Roman" w:hAnsi="Times New Roman"/>
          <w:noProof/>
          <w:sz w:val="24"/>
          <w:szCs w:val="24"/>
        </w:rPr>
        <w:t xml:space="preserve">EU </w:t>
      </w:r>
      <w:r w:rsidRPr="008C3CB3">
        <w:rPr>
          <w:rFonts w:ascii="Times New Roman" w:hAnsi="Times New Roman"/>
          <w:noProof/>
          <w:sz w:val="24"/>
          <w:szCs w:val="24"/>
        </w:rPr>
        <w:t xml:space="preserve">level and invited the Member States </w:t>
      </w:r>
      <w:r w:rsidR="007B452D" w:rsidRPr="008C3CB3">
        <w:rPr>
          <w:rFonts w:ascii="Times New Roman" w:hAnsi="Times New Roman"/>
          <w:noProof/>
          <w:sz w:val="24"/>
          <w:szCs w:val="24"/>
        </w:rPr>
        <w:t xml:space="preserve">concerned </w:t>
      </w:r>
      <w:r w:rsidRPr="008C3CB3">
        <w:rPr>
          <w:rFonts w:ascii="Times New Roman" w:hAnsi="Times New Roman"/>
          <w:noProof/>
          <w:sz w:val="24"/>
          <w:szCs w:val="24"/>
        </w:rPr>
        <w:t xml:space="preserve">to cooperate </w:t>
      </w:r>
      <w:r w:rsidR="00707D44">
        <w:rPr>
          <w:rFonts w:ascii="Times New Roman" w:hAnsi="Times New Roman"/>
          <w:noProof/>
          <w:sz w:val="24"/>
          <w:szCs w:val="24"/>
        </w:rPr>
        <w:t>to</w:t>
      </w:r>
      <w:r w:rsidRPr="008C3CB3">
        <w:rPr>
          <w:rFonts w:ascii="Times New Roman" w:hAnsi="Times New Roman"/>
          <w:noProof/>
          <w:sz w:val="24"/>
          <w:szCs w:val="24"/>
        </w:rPr>
        <w:t xml:space="preserve"> establish a</w:t>
      </w:r>
      <w:r w:rsidR="00E23D16">
        <w:rPr>
          <w:rFonts w:ascii="Times New Roman" w:hAnsi="Times New Roman"/>
          <w:noProof/>
          <w:sz w:val="24"/>
          <w:szCs w:val="24"/>
        </w:rPr>
        <w:t>n</w:t>
      </w:r>
      <w:r w:rsidRPr="008C3CB3">
        <w:rPr>
          <w:rFonts w:ascii="Times New Roman" w:hAnsi="Times New Roman"/>
          <w:noProof/>
          <w:sz w:val="24"/>
          <w:szCs w:val="24"/>
        </w:rPr>
        <w:t xml:space="preserve"> E</w:t>
      </w:r>
      <w:r w:rsidR="00E23D16">
        <w:rPr>
          <w:rFonts w:ascii="Times New Roman" w:hAnsi="Times New Roman"/>
          <w:noProof/>
          <w:sz w:val="24"/>
          <w:szCs w:val="24"/>
        </w:rPr>
        <w:t>U</w:t>
      </w:r>
      <w:r w:rsidRPr="008C3CB3">
        <w:rPr>
          <w:rFonts w:ascii="Times New Roman" w:hAnsi="Times New Roman"/>
          <w:noProof/>
          <w:sz w:val="24"/>
          <w:szCs w:val="24"/>
        </w:rPr>
        <w:t xml:space="preserve"> regulatory framework applicable to unmanned aircraft which </w:t>
      </w:r>
      <w:r w:rsidR="00707D44">
        <w:rPr>
          <w:rFonts w:ascii="Times New Roman" w:hAnsi="Times New Roman"/>
          <w:noProof/>
          <w:sz w:val="24"/>
          <w:szCs w:val="24"/>
        </w:rPr>
        <w:t>would</w:t>
      </w:r>
      <w:r w:rsidR="00707D44" w:rsidRPr="008C3CB3">
        <w:rPr>
          <w:rFonts w:ascii="Times New Roman" w:hAnsi="Times New Roman"/>
          <w:noProof/>
          <w:sz w:val="24"/>
          <w:szCs w:val="24"/>
        </w:rPr>
        <w:t xml:space="preserve"> </w:t>
      </w:r>
      <w:r w:rsidRPr="008C3CB3">
        <w:rPr>
          <w:rFonts w:ascii="Times New Roman" w:hAnsi="Times New Roman"/>
          <w:noProof/>
          <w:sz w:val="24"/>
          <w:szCs w:val="24"/>
        </w:rPr>
        <w:t xml:space="preserve">ensure a high level of safety with regard to the operation of </w:t>
      </w:r>
      <w:r w:rsidR="0050546C">
        <w:rPr>
          <w:rFonts w:ascii="Times New Roman" w:hAnsi="Times New Roman"/>
          <w:noProof/>
          <w:sz w:val="24"/>
          <w:szCs w:val="24"/>
        </w:rPr>
        <w:t>such</w:t>
      </w:r>
      <w:r w:rsidR="0050546C" w:rsidRPr="008C3CB3">
        <w:rPr>
          <w:rFonts w:ascii="Times New Roman" w:hAnsi="Times New Roman"/>
          <w:noProof/>
          <w:sz w:val="24"/>
          <w:szCs w:val="24"/>
        </w:rPr>
        <w:t xml:space="preserve"> </w:t>
      </w:r>
      <w:r w:rsidRPr="008C3CB3">
        <w:rPr>
          <w:rFonts w:ascii="Times New Roman" w:hAnsi="Times New Roman"/>
          <w:noProof/>
          <w:sz w:val="24"/>
          <w:szCs w:val="24"/>
        </w:rPr>
        <w:t xml:space="preserve">aircraft and </w:t>
      </w:r>
      <w:r w:rsidR="00707D44">
        <w:rPr>
          <w:rFonts w:ascii="Times New Roman" w:hAnsi="Times New Roman"/>
          <w:noProof/>
          <w:sz w:val="24"/>
          <w:szCs w:val="24"/>
        </w:rPr>
        <w:t>make it possible</w:t>
      </w:r>
      <w:r w:rsidR="00707D44" w:rsidRPr="008C3CB3">
        <w:rPr>
          <w:rFonts w:ascii="Times New Roman" w:hAnsi="Times New Roman"/>
          <w:noProof/>
          <w:sz w:val="24"/>
          <w:szCs w:val="24"/>
        </w:rPr>
        <w:t xml:space="preserve"> </w:t>
      </w:r>
      <w:r w:rsidRPr="008C3CB3">
        <w:rPr>
          <w:rFonts w:ascii="Times New Roman" w:hAnsi="Times New Roman"/>
          <w:noProof/>
          <w:sz w:val="24"/>
          <w:szCs w:val="24"/>
        </w:rPr>
        <w:t xml:space="preserve">to manage the associated risks relating to safety, the protection of privacy and of personal data. The Member States </w:t>
      </w:r>
      <w:r w:rsidR="007B452D">
        <w:rPr>
          <w:rFonts w:ascii="Times New Roman" w:hAnsi="Times New Roman"/>
          <w:noProof/>
          <w:sz w:val="24"/>
          <w:szCs w:val="24"/>
        </w:rPr>
        <w:t>concerned</w:t>
      </w:r>
      <w:r w:rsidRPr="008C3CB3">
        <w:rPr>
          <w:rFonts w:ascii="Times New Roman" w:hAnsi="Times New Roman"/>
          <w:noProof/>
          <w:sz w:val="24"/>
          <w:szCs w:val="24"/>
        </w:rPr>
        <w:t xml:space="preserve"> complied with the </w:t>
      </w:r>
      <w:r w:rsidR="00707D44">
        <w:rPr>
          <w:rFonts w:ascii="Times New Roman" w:hAnsi="Times New Roman"/>
          <w:noProof/>
          <w:sz w:val="24"/>
          <w:szCs w:val="24"/>
        </w:rPr>
        <w:t xml:space="preserve">Commission’s </w:t>
      </w:r>
      <w:r w:rsidRPr="008C3CB3">
        <w:rPr>
          <w:rFonts w:ascii="Times New Roman" w:hAnsi="Times New Roman"/>
          <w:noProof/>
          <w:sz w:val="24"/>
          <w:szCs w:val="24"/>
        </w:rPr>
        <w:t>recommendations, as expressed in the comments and detailed opinions, or withdrew the notified drafts</w:t>
      </w:r>
      <w:r w:rsidR="00CB0904">
        <w:rPr>
          <w:rStyle w:val="FootnoteReference"/>
          <w:rFonts w:ascii="Times New Roman" w:hAnsi="Times New Roman"/>
          <w:noProof/>
          <w:sz w:val="24"/>
          <w:szCs w:val="24"/>
        </w:rPr>
        <w:footnoteReference w:id="49"/>
      </w:r>
      <w:r w:rsidRPr="008C3CB3">
        <w:rPr>
          <w:rFonts w:ascii="Times New Roman" w:hAnsi="Times New Roman"/>
          <w:noProof/>
          <w:sz w:val="24"/>
          <w:szCs w:val="24"/>
        </w:rPr>
        <w:t>.</w:t>
      </w:r>
    </w:p>
    <w:p w14:paraId="3E2F4CEF" w14:textId="7BBBBFEF" w:rsidR="001F431D" w:rsidRPr="00366011" w:rsidRDefault="001F431D">
      <w:pPr>
        <w:spacing w:line="240" w:lineRule="auto"/>
        <w:jc w:val="both"/>
        <w:rPr>
          <w:rFonts w:ascii="Times New Roman" w:hAnsi="Times New Roman"/>
          <w:noProof/>
          <w:sz w:val="24"/>
          <w:szCs w:val="24"/>
        </w:rPr>
      </w:pPr>
      <w:r>
        <w:rPr>
          <w:rFonts w:ascii="Times New Roman" w:hAnsi="Times New Roman"/>
          <w:noProof/>
          <w:sz w:val="24"/>
          <w:szCs w:val="24"/>
        </w:rPr>
        <w:t>In 2020</w:t>
      </w:r>
      <w:r w:rsidR="00291865">
        <w:rPr>
          <w:rFonts w:ascii="Times New Roman" w:hAnsi="Times New Roman"/>
          <w:noProof/>
          <w:sz w:val="24"/>
          <w:szCs w:val="24"/>
        </w:rPr>
        <w:t xml:space="preserve">, at the outset of the COVID-19 pandemic, </w:t>
      </w:r>
      <w:r>
        <w:rPr>
          <w:rFonts w:ascii="Times New Roman" w:hAnsi="Times New Roman"/>
          <w:noProof/>
          <w:sz w:val="24"/>
          <w:szCs w:val="24"/>
        </w:rPr>
        <w:t>s</w:t>
      </w:r>
      <w:r w:rsidRPr="001F431D">
        <w:rPr>
          <w:rFonts w:ascii="Times New Roman" w:hAnsi="Times New Roman"/>
          <w:noProof/>
          <w:sz w:val="24"/>
          <w:szCs w:val="24"/>
        </w:rPr>
        <w:t xml:space="preserve">ome  Member  States  adopted  or  </w:t>
      </w:r>
      <w:r>
        <w:rPr>
          <w:rFonts w:ascii="Times New Roman" w:hAnsi="Times New Roman"/>
          <w:noProof/>
          <w:sz w:val="24"/>
          <w:szCs w:val="24"/>
        </w:rPr>
        <w:t xml:space="preserve">prepared </w:t>
      </w:r>
      <w:r w:rsidRPr="001F431D">
        <w:rPr>
          <w:rFonts w:ascii="Times New Roman" w:hAnsi="Times New Roman"/>
          <w:noProof/>
          <w:sz w:val="24"/>
          <w:szCs w:val="24"/>
        </w:rPr>
        <w:t xml:space="preserve">national  </w:t>
      </w:r>
      <w:r w:rsidR="009243C7">
        <w:rPr>
          <w:rFonts w:ascii="Times New Roman" w:hAnsi="Times New Roman"/>
          <w:noProof/>
          <w:sz w:val="24"/>
          <w:szCs w:val="24"/>
        </w:rPr>
        <w:t>measures  affecting  the  free movement</w:t>
      </w:r>
      <w:r w:rsidRPr="001F431D">
        <w:rPr>
          <w:rFonts w:ascii="Times New Roman" w:hAnsi="Times New Roman"/>
          <w:noProof/>
          <w:sz w:val="24"/>
          <w:szCs w:val="24"/>
        </w:rPr>
        <w:t xml:space="preserve"> of  personal  protective equipment such as protective glasses, facemasks, gloves, surgical overalls and gowns, and </w:t>
      </w:r>
      <w:r w:rsidR="00707D44">
        <w:rPr>
          <w:rFonts w:ascii="Times New Roman" w:hAnsi="Times New Roman"/>
          <w:noProof/>
          <w:sz w:val="24"/>
          <w:szCs w:val="24"/>
        </w:rPr>
        <w:t xml:space="preserve">the free movement </w:t>
      </w:r>
      <w:r w:rsidRPr="001F431D">
        <w:rPr>
          <w:rFonts w:ascii="Times New Roman" w:hAnsi="Times New Roman"/>
          <w:noProof/>
          <w:sz w:val="24"/>
          <w:szCs w:val="24"/>
        </w:rPr>
        <w:t>of medicines. These measures risk</w:t>
      </w:r>
      <w:r>
        <w:rPr>
          <w:rFonts w:ascii="Times New Roman" w:hAnsi="Times New Roman"/>
          <w:noProof/>
          <w:sz w:val="24"/>
          <w:szCs w:val="24"/>
        </w:rPr>
        <w:t>ed</w:t>
      </w:r>
      <w:r w:rsidRPr="001F431D">
        <w:rPr>
          <w:rFonts w:ascii="Times New Roman" w:hAnsi="Times New Roman"/>
          <w:noProof/>
          <w:sz w:val="24"/>
          <w:szCs w:val="24"/>
        </w:rPr>
        <w:t xml:space="preserve"> preventing such essential goods from  reaching those who need</w:t>
      </w:r>
      <w:r>
        <w:rPr>
          <w:rFonts w:ascii="Times New Roman" w:hAnsi="Times New Roman"/>
          <w:noProof/>
          <w:sz w:val="24"/>
          <w:szCs w:val="24"/>
        </w:rPr>
        <w:t>ed</w:t>
      </w:r>
      <w:r w:rsidRPr="001F431D">
        <w:rPr>
          <w:rFonts w:ascii="Times New Roman" w:hAnsi="Times New Roman"/>
          <w:noProof/>
          <w:sz w:val="24"/>
          <w:szCs w:val="24"/>
        </w:rPr>
        <w:t xml:space="preserve"> them most, notably healthcare workers, field intervention teams and patients in affected areas all across Europe. They create</w:t>
      </w:r>
      <w:r>
        <w:rPr>
          <w:rFonts w:ascii="Times New Roman" w:hAnsi="Times New Roman"/>
          <w:noProof/>
          <w:sz w:val="24"/>
          <w:szCs w:val="24"/>
        </w:rPr>
        <w:t>d</w:t>
      </w:r>
      <w:r w:rsidRPr="001F431D">
        <w:rPr>
          <w:rFonts w:ascii="Times New Roman" w:hAnsi="Times New Roman"/>
          <w:noProof/>
          <w:sz w:val="24"/>
          <w:szCs w:val="24"/>
        </w:rPr>
        <w:t xml:space="preserve"> do</w:t>
      </w:r>
      <w:r>
        <w:rPr>
          <w:rFonts w:ascii="Times New Roman" w:hAnsi="Times New Roman"/>
          <w:noProof/>
          <w:sz w:val="24"/>
          <w:szCs w:val="24"/>
        </w:rPr>
        <w:t>mino effects</w:t>
      </w:r>
      <w:r w:rsidR="00707D44">
        <w:rPr>
          <w:rFonts w:ascii="Times New Roman" w:hAnsi="Times New Roman"/>
          <w:noProof/>
          <w:sz w:val="24"/>
          <w:szCs w:val="24"/>
        </w:rPr>
        <w:t xml:space="preserve">, with </w:t>
      </w:r>
      <w:r>
        <w:rPr>
          <w:rFonts w:ascii="Times New Roman" w:hAnsi="Times New Roman"/>
          <w:noProof/>
          <w:sz w:val="24"/>
          <w:szCs w:val="24"/>
        </w:rPr>
        <w:t xml:space="preserve">Member States </w:t>
      </w:r>
      <w:r w:rsidR="00707D44">
        <w:rPr>
          <w:rFonts w:ascii="Times New Roman" w:hAnsi="Times New Roman"/>
          <w:noProof/>
          <w:sz w:val="24"/>
          <w:szCs w:val="24"/>
        </w:rPr>
        <w:t>taking</w:t>
      </w:r>
      <w:r w:rsidR="00707D44" w:rsidRPr="001F431D">
        <w:rPr>
          <w:rFonts w:ascii="Times New Roman" w:hAnsi="Times New Roman"/>
          <w:noProof/>
          <w:sz w:val="24"/>
          <w:szCs w:val="24"/>
        </w:rPr>
        <w:t xml:space="preserve"> </w:t>
      </w:r>
      <w:r w:rsidRPr="001F431D">
        <w:rPr>
          <w:rFonts w:ascii="Times New Roman" w:hAnsi="Times New Roman"/>
          <w:noProof/>
          <w:sz w:val="24"/>
          <w:szCs w:val="24"/>
        </w:rPr>
        <w:t>measures to mitigate the impact of measures taken by other Member States. In a  short t</w:t>
      </w:r>
      <w:r>
        <w:rPr>
          <w:rFonts w:ascii="Times New Roman" w:hAnsi="Times New Roman"/>
          <w:noProof/>
          <w:sz w:val="24"/>
          <w:szCs w:val="24"/>
        </w:rPr>
        <w:t xml:space="preserve">ime span, restrictions </w:t>
      </w:r>
      <w:r w:rsidRPr="001F431D">
        <w:rPr>
          <w:rFonts w:ascii="Times New Roman" w:hAnsi="Times New Roman"/>
          <w:noProof/>
          <w:sz w:val="24"/>
          <w:szCs w:val="24"/>
        </w:rPr>
        <w:t>spread to an increasing range of products, starting with  personal protective equipment and extending to medicines.</w:t>
      </w:r>
      <w:r>
        <w:rPr>
          <w:rFonts w:ascii="Times New Roman" w:hAnsi="Times New Roman"/>
          <w:noProof/>
          <w:sz w:val="24"/>
          <w:szCs w:val="24"/>
        </w:rPr>
        <w:t xml:space="preserve"> </w:t>
      </w:r>
      <w:r w:rsidR="00707D44">
        <w:rPr>
          <w:rFonts w:ascii="Times New Roman" w:hAnsi="Times New Roman"/>
          <w:noProof/>
          <w:sz w:val="24"/>
          <w:szCs w:val="24"/>
        </w:rPr>
        <w:t>Such measure</w:t>
      </w:r>
      <w:r w:rsidR="0050546C">
        <w:rPr>
          <w:rFonts w:ascii="Times New Roman" w:hAnsi="Times New Roman"/>
          <w:noProof/>
          <w:sz w:val="24"/>
          <w:szCs w:val="24"/>
        </w:rPr>
        <w:t>s</w:t>
      </w:r>
      <w:r w:rsidR="00707D44" w:rsidRPr="001F431D">
        <w:rPr>
          <w:rFonts w:ascii="Times New Roman" w:hAnsi="Times New Roman"/>
          <w:noProof/>
          <w:sz w:val="24"/>
          <w:szCs w:val="24"/>
        </w:rPr>
        <w:t xml:space="preserve"> </w:t>
      </w:r>
      <w:r w:rsidRPr="001F431D">
        <w:rPr>
          <w:rFonts w:ascii="Times New Roman" w:hAnsi="Times New Roman"/>
          <w:noProof/>
          <w:sz w:val="24"/>
          <w:szCs w:val="24"/>
        </w:rPr>
        <w:t>disrupt</w:t>
      </w:r>
      <w:r>
        <w:rPr>
          <w:rFonts w:ascii="Times New Roman" w:hAnsi="Times New Roman"/>
          <w:noProof/>
          <w:sz w:val="24"/>
          <w:szCs w:val="24"/>
        </w:rPr>
        <w:t>ed</w:t>
      </w:r>
      <w:r w:rsidRPr="001F431D">
        <w:rPr>
          <w:rFonts w:ascii="Times New Roman" w:hAnsi="Times New Roman"/>
          <w:noProof/>
          <w:sz w:val="24"/>
          <w:szCs w:val="24"/>
        </w:rPr>
        <w:t xml:space="preserve"> log</w:t>
      </w:r>
      <w:r>
        <w:rPr>
          <w:rFonts w:ascii="Times New Roman" w:hAnsi="Times New Roman"/>
          <w:noProof/>
          <w:sz w:val="24"/>
          <w:szCs w:val="24"/>
        </w:rPr>
        <w:t>istics and distribution chains</w:t>
      </w:r>
      <w:r w:rsidR="00707D44">
        <w:rPr>
          <w:rFonts w:ascii="Times New Roman" w:hAnsi="Times New Roman"/>
          <w:noProof/>
          <w:sz w:val="24"/>
          <w:szCs w:val="24"/>
        </w:rPr>
        <w:t xml:space="preserve"> and</w:t>
      </w:r>
      <w:r w:rsidRPr="001F431D">
        <w:rPr>
          <w:rFonts w:ascii="Times New Roman" w:hAnsi="Times New Roman"/>
          <w:noProof/>
          <w:sz w:val="24"/>
          <w:szCs w:val="24"/>
        </w:rPr>
        <w:t xml:space="preserve"> encourage</w:t>
      </w:r>
      <w:r w:rsidR="00F45EB7">
        <w:rPr>
          <w:rFonts w:ascii="Times New Roman" w:hAnsi="Times New Roman"/>
          <w:noProof/>
          <w:sz w:val="24"/>
          <w:szCs w:val="24"/>
        </w:rPr>
        <w:t>d</w:t>
      </w:r>
      <w:r w:rsidRPr="001F431D">
        <w:rPr>
          <w:rFonts w:ascii="Times New Roman" w:hAnsi="Times New Roman"/>
          <w:noProof/>
          <w:sz w:val="24"/>
          <w:szCs w:val="24"/>
        </w:rPr>
        <w:t xml:space="preserve"> stockpiling responses in the supply chain. </w:t>
      </w:r>
      <w:r>
        <w:rPr>
          <w:rFonts w:ascii="Times New Roman" w:hAnsi="Times New Roman"/>
          <w:noProof/>
          <w:sz w:val="24"/>
          <w:szCs w:val="24"/>
        </w:rPr>
        <w:t xml:space="preserve">Ultimately, </w:t>
      </w:r>
      <w:r w:rsidR="0090148A">
        <w:rPr>
          <w:rFonts w:ascii="Times New Roman" w:hAnsi="Times New Roman"/>
          <w:noProof/>
          <w:sz w:val="24"/>
          <w:szCs w:val="24"/>
        </w:rPr>
        <w:t>such measures</w:t>
      </w:r>
      <w:r>
        <w:rPr>
          <w:rFonts w:ascii="Times New Roman" w:hAnsi="Times New Roman"/>
          <w:noProof/>
          <w:sz w:val="24"/>
          <w:szCs w:val="24"/>
        </w:rPr>
        <w:t xml:space="preserve"> reintroduced</w:t>
      </w:r>
      <w:r w:rsidRPr="001F431D">
        <w:rPr>
          <w:rFonts w:ascii="Times New Roman" w:hAnsi="Times New Roman"/>
          <w:noProof/>
          <w:sz w:val="24"/>
          <w:szCs w:val="24"/>
        </w:rPr>
        <w:t xml:space="preserve"> internal borders at a time where sol</w:t>
      </w:r>
      <w:r w:rsidR="00F45EB7">
        <w:rPr>
          <w:rFonts w:ascii="Times New Roman" w:hAnsi="Times New Roman"/>
          <w:noProof/>
          <w:sz w:val="24"/>
          <w:szCs w:val="24"/>
        </w:rPr>
        <w:t>idarity between Member States was</w:t>
      </w:r>
      <w:r w:rsidRPr="001F431D">
        <w:rPr>
          <w:rFonts w:ascii="Times New Roman" w:hAnsi="Times New Roman"/>
          <w:noProof/>
          <w:sz w:val="24"/>
          <w:szCs w:val="24"/>
        </w:rPr>
        <w:t xml:space="preserve"> the most needed.</w:t>
      </w:r>
      <w:r>
        <w:rPr>
          <w:rFonts w:ascii="Times New Roman" w:hAnsi="Times New Roman"/>
          <w:noProof/>
          <w:sz w:val="24"/>
          <w:szCs w:val="24"/>
        </w:rPr>
        <w:t xml:space="preserve"> The Commission urged Member St</w:t>
      </w:r>
      <w:r w:rsidR="00F45EB7">
        <w:rPr>
          <w:rFonts w:ascii="Times New Roman" w:hAnsi="Times New Roman"/>
          <w:noProof/>
          <w:sz w:val="24"/>
          <w:szCs w:val="24"/>
        </w:rPr>
        <w:t xml:space="preserve">ates to notify such measures </w:t>
      </w:r>
      <w:r>
        <w:rPr>
          <w:rFonts w:ascii="Times New Roman" w:hAnsi="Times New Roman"/>
          <w:noProof/>
          <w:sz w:val="24"/>
          <w:szCs w:val="24"/>
        </w:rPr>
        <w:t>via the Single Market Transparency Directive</w:t>
      </w:r>
      <w:r w:rsidR="009705BA">
        <w:rPr>
          <w:rFonts w:ascii="Times New Roman" w:hAnsi="Times New Roman"/>
          <w:noProof/>
          <w:sz w:val="24"/>
          <w:szCs w:val="24"/>
        </w:rPr>
        <w:t xml:space="preserve"> </w:t>
      </w:r>
      <w:r w:rsidR="00F45EB7">
        <w:rPr>
          <w:rFonts w:ascii="Times New Roman" w:hAnsi="Times New Roman"/>
          <w:noProof/>
          <w:sz w:val="24"/>
          <w:szCs w:val="24"/>
        </w:rPr>
        <w:t xml:space="preserve">mechanism </w:t>
      </w:r>
      <w:r w:rsidR="009705BA">
        <w:rPr>
          <w:rFonts w:ascii="Times New Roman" w:hAnsi="Times New Roman"/>
          <w:noProof/>
          <w:sz w:val="24"/>
          <w:szCs w:val="24"/>
        </w:rPr>
        <w:t xml:space="preserve">and provided guidance </w:t>
      </w:r>
      <w:r w:rsidR="000D61FC">
        <w:rPr>
          <w:rFonts w:ascii="Times New Roman" w:hAnsi="Times New Roman"/>
          <w:noProof/>
          <w:sz w:val="24"/>
          <w:szCs w:val="24"/>
        </w:rPr>
        <w:t>on how to do this</w:t>
      </w:r>
      <w:r>
        <w:rPr>
          <w:rFonts w:ascii="Times New Roman" w:hAnsi="Times New Roman"/>
          <w:noProof/>
          <w:sz w:val="24"/>
          <w:szCs w:val="24"/>
        </w:rPr>
        <w:t xml:space="preserve">. </w:t>
      </w:r>
      <w:r w:rsidRPr="001F431D">
        <w:rPr>
          <w:rFonts w:ascii="Times New Roman" w:hAnsi="Times New Roman"/>
          <w:noProof/>
          <w:sz w:val="24"/>
          <w:szCs w:val="24"/>
        </w:rPr>
        <w:t xml:space="preserve">The measures notified </w:t>
      </w:r>
      <w:r>
        <w:rPr>
          <w:rFonts w:ascii="Times New Roman" w:hAnsi="Times New Roman"/>
          <w:noProof/>
          <w:sz w:val="24"/>
          <w:szCs w:val="24"/>
        </w:rPr>
        <w:t>to the Commission were</w:t>
      </w:r>
      <w:r w:rsidRPr="001F431D">
        <w:rPr>
          <w:rFonts w:ascii="Times New Roman" w:hAnsi="Times New Roman"/>
          <w:noProof/>
          <w:sz w:val="24"/>
          <w:szCs w:val="24"/>
        </w:rPr>
        <w:t xml:space="preserve"> assessed as a matter of </w:t>
      </w:r>
      <w:r w:rsidR="00A27E39">
        <w:rPr>
          <w:rFonts w:ascii="Times New Roman" w:hAnsi="Times New Roman"/>
          <w:noProof/>
          <w:sz w:val="24"/>
          <w:szCs w:val="24"/>
        </w:rPr>
        <w:t xml:space="preserve">high </w:t>
      </w:r>
      <w:r w:rsidRPr="001F431D">
        <w:rPr>
          <w:rFonts w:ascii="Times New Roman" w:hAnsi="Times New Roman"/>
          <w:noProof/>
          <w:sz w:val="24"/>
          <w:szCs w:val="24"/>
        </w:rPr>
        <w:t xml:space="preserve">priority and </w:t>
      </w:r>
      <w:r>
        <w:rPr>
          <w:rFonts w:ascii="Times New Roman" w:hAnsi="Times New Roman"/>
          <w:noProof/>
          <w:sz w:val="24"/>
          <w:szCs w:val="24"/>
        </w:rPr>
        <w:t>the Commission supported</w:t>
      </w:r>
      <w:r w:rsidRPr="001F431D">
        <w:rPr>
          <w:rFonts w:ascii="Times New Roman" w:hAnsi="Times New Roman"/>
          <w:noProof/>
          <w:sz w:val="24"/>
          <w:szCs w:val="24"/>
        </w:rPr>
        <w:t xml:space="preserve"> Member States </w:t>
      </w:r>
      <w:r w:rsidR="00707D44">
        <w:rPr>
          <w:rFonts w:ascii="Times New Roman" w:hAnsi="Times New Roman"/>
          <w:noProof/>
          <w:sz w:val="24"/>
          <w:szCs w:val="24"/>
        </w:rPr>
        <w:t>in</w:t>
      </w:r>
      <w:r w:rsidR="00707D44" w:rsidRPr="001F431D">
        <w:rPr>
          <w:rFonts w:ascii="Times New Roman" w:hAnsi="Times New Roman"/>
          <w:noProof/>
          <w:sz w:val="24"/>
          <w:szCs w:val="24"/>
        </w:rPr>
        <w:t xml:space="preserve"> </w:t>
      </w:r>
      <w:r w:rsidRPr="001F431D">
        <w:rPr>
          <w:rFonts w:ascii="Times New Roman" w:hAnsi="Times New Roman"/>
          <w:noProof/>
          <w:sz w:val="24"/>
          <w:szCs w:val="24"/>
        </w:rPr>
        <w:t>correct</w:t>
      </w:r>
      <w:r w:rsidR="00707D44">
        <w:rPr>
          <w:rFonts w:ascii="Times New Roman" w:hAnsi="Times New Roman"/>
          <w:noProof/>
          <w:sz w:val="24"/>
          <w:szCs w:val="24"/>
        </w:rPr>
        <w:t>ing</w:t>
      </w:r>
      <w:r w:rsidR="00A27E39">
        <w:rPr>
          <w:rFonts w:ascii="Times New Roman" w:hAnsi="Times New Roman"/>
          <w:noProof/>
          <w:sz w:val="24"/>
          <w:szCs w:val="24"/>
        </w:rPr>
        <w:t xml:space="preserve"> th</w:t>
      </w:r>
      <w:r w:rsidR="00C754EB">
        <w:rPr>
          <w:rFonts w:ascii="Times New Roman" w:hAnsi="Times New Roman"/>
          <w:noProof/>
          <w:sz w:val="24"/>
          <w:szCs w:val="24"/>
        </w:rPr>
        <w:t>ose</w:t>
      </w:r>
      <w:r>
        <w:rPr>
          <w:rFonts w:ascii="Times New Roman" w:hAnsi="Times New Roman"/>
          <w:noProof/>
          <w:sz w:val="24"/>
          <w:szCs w:val="24"/>
        </w:rPr>
        <w:t xml:space="preserve"> measures </w:t>
      </w:r>
      <w:r w:rsidR="00A27E39">
        <w:rPr>
          <w:rFonts w:ascii="Times New Roman" w:hAnsi="Times New Roman"/>
          <w:noProof/>
          <w:sz w:val="24"/>
          <w:szCs w:val="24"/>
        </w:rPr>
        <w:t>that could have hindered</w:t>
      </w:r>
      <w:r w:rsidR="00C754EB">
        <w:rPr>
          <w:rFonts w:ascii="Times New Roman" w:hAnsi="Times New Roman"/>
          <w:noProof/>
          <w:sz w:val="24"/>
          <w:szCs w:val="24"/>
        </w:rPr>
        <w:t xml:space="preserve"> the free movement of </w:t>
      </w:r>
      <w:r>
        <w:rPr>
          <w:rFonts w:ascii="Times New Roman" w:hAnsi="Times New Roman"/>
          <w:noProof/>
          <w:sz w:val="24"/>
          <w:szCs w:val="24"/>
        </w:rPr>
        <w:t>essential goods in the single market</w:t>
      </w:r>
      <w:r w:rsidR="00267F08">
        <w:rPr>
          <w:rStyle w:val="FootnoteReference"/>
          <w:rFonts w:ascii="Times New Roman" w:hAnsi="Times New Roman"/>
          <w:noProof/>
          <w:sz w:val="24"/>
          <w:szCs w:val="24"/>
        </w:rPr>
        <w:footnoteReference w:id="50"/>
      </w:r>
      <w:r w:rsidRPr="001F431D">
        <w:rPr>
          <w:rFonts w:ascii="Times New Roman" w:hAnsi="Times New Roman"/>
          <w:noProof/>
          <w:sz w:val="24"/>
          <w:szCs w:val="24"/>
        </w:rPr>
        <w:t xml:space="preserve">. </w:t>
      </w:r>
      <w:r w:rsidR="00844CC8" w:rsidRPr="00844CC8">
        <w:rPr>
          <w:rFonts w:ascii="Times New Roman" w:hAnsi="Times New Roman"/>
          <w:noProof/>
          <w:sz w:val="24"/>
          <w:szCs w:val="24"/>
        </w:rPr>
        <w:t xml:space="preserve">The experience of the COVID-19 pandemic demonstrated </w:t>
      </w:r>
      <w:r w:rsidR="00322742">
        <w:rPr>
          <w:rFonts w:ascii="Times New Roman" w:hAnsi="Times New Roman"/>
          <w:noProof/>
          <w:sz w:val="24"/>
          <w:szCs w:val="24"/>
        </w:rPr>
        <w:t xml:space="preserve">the </w:t>
      </w:r>
      <w:r w:rsidR="00844CC8" w:rsidRPr="00844CC8">
        <w:rPr>
          <w:rFonts w:ascii="Times New Roman" w:hAnsi="Times New Roman"/>
          <w:noProof/>
          <w:sz w:val="24"/>
          <w:szCs w:val="24"/>
        </w:rPr>
        <w:t>relevan</w:t>
      </w:r>
      <w:r w:rsidR="0043283D">
        <w:rPr>
          <w:rFonts w:ascii="Times New Roman" w:hAnsi="Times New Roman"/>
          <w:noProof/>
          <w:sz w:val="24"/>
          <w:szCs w:val="24"/>
        </w:rPr>
        <w:t>ce</w:t>
      </w:r>
      <w:r w:rsidR="00844CC8" w:rsidRPr="00844CC8">
        <w:rPr>
          <w:rFonts w:ascii="Times New Roman" w:hAnsi="Times New Roman"/>
          <w:noProof/>
          <w:sz w:val="24"/>
          <w:szCs w:val="24"/>
        </w:rPr>
        <w:t xml:space="preserve"> </w:t>
      </w:r>
      <w:r w:rsidR="0050546C" w:rsidRPr="00844CC8">
        <w:rPr>
          <w:rFonts w:ascii="Times New Roman" w:hAnsi="Times New Roman"/>
          <w:noProof/>
          <w:sz w:val="24"/>
          <w:szCs w:val="24"/>
        </w:rPr>
        <w:t>of the Single Market Transparency Directive</w:t>
      </w:r>
      <w:r w:rsidR="0043283D" w:rsidRPr="0043283D">
        <w:rPr>
          <w:rFonts w:ascii="Times New Roman" w:hAnsi="Times New Roman"/>
          <w:noProof/>
          <w:sz w:val="24"/>
          <w:szCs w:val="24"/>
        </w:rPr>
        <w:t xml:space="preserve"> </w:t>
      </w:r>
      <w:r w:rsidR="0043283D" w:rsidRPr="00844CC8">
        <w:rPr>
          <w:rFonts w:ascii="Times New Roman" w:hAnsi="Times New Roman"/>
          <w:noProof/>
          <w:sz w:val="24"/>
          <w:szCs w:val="24"/>
        </w:rPr>
        <w:t>procedures</w:t>
      </w:r>
      <w:r w:rsidR="00844CC8" w:rsidRPr="00844CC8">
        <w:rPr>
          <w:rFonts w:ascii="Times New Roman" w:hAnsi="Times New Roman"/>
          <w:noProof/>
          <w:sz w:val="24"/>
          <w:szCs w:val="24"/>
        </w:rPr>
        <w:t xml:space="preserve">, including the urgency </w:t>
      </w:r>
      <w:r w:rsidR="00844CC8" w:rsidRPr="00366011">
        <w:rPr>
          <w:rFonts w:ascii="Times New Roman" w:hAnsi="Times New Roman"/>
          <w:noProof/>
          <w:sz w:val="24"/>
          <w:szCs w:val="24"/>
        </w:rPr>
        <w:t>procedure</w:t>
      </w:r>
      <w:r w:rsidR="00C93B28" w:rsidRPr="00366011">
        <w:rPr>
          <w:rFonts w:ascii="Times New Roman" w:hAnsi="Times New Roman"/>
          <w:noProof/>
          <w:sz w:val="24"/>
          <w:szCs w:val="24"/>
        </w:rPr>
        <w:t xml:space="preserve"> (see paragraph 2.2)</w:t>
      </w:r>
      <w:r w:rsidR="00790461">
        <w:rPr>
          <w:rFonts w:ascii="Times New Roman" w:hAnsi="Times New Roman"/>
          <w:noProof/>
          <w:sz w:val="24"/>
          <w:szCs w:val="24"/>
        </w:rPr>
        <w:t>,</w:t>
      </w:r>
      <w:r w:rsidR="00A561B6">
        <w:rPr>
          <w:rFonts w:ascii="Times New Roman" w:hAnsi="Times New Roman"/>
          <w:noProof/>
          <w:sz w:val="24"/>
          <w:szCs w:val="24"/>
        </w:rPr>
        <w:t xml:space="preserve"> </w:t>
      </w:r>
      <w:r w:rsidR="00790461">
        <w:rPr>
          <w:rFonts w:ascii="Times New Roman" w:hAnsi="Times New Roman"/>
          <w:noProof/>
          <w:sz w:val="24"/>
          <w:szCs w:val="24"/>
        </w:rPr>
        <w:t>while it also offered useful lessons for future</w:t>
      </w:r>
      <w:r w:rsidR="00790461" w:rsidRPr="00366011">
        <w:rPr>
          <w:rFonts w:ascii="Times New Roman" w:hAnsi="Times New Roman"/>
          <w:noProof/>
          <w:sz w:val="24"/>
          <w:szCs w:val="24"/>
        </w:rPr>
        <w:t xml:space="preserve"> tackling o</w:t>
      </w:r>
      <w:r w:rsidR="007803E0">
        <w:rPr>
          <w:rFonts w:ascii="Times New Roman" w:hAnsi="Times New Roman"/>
          <w:noProof/>
          <w:sz w:val="24"/>
          <w:szCs w:val="24"/>
        </w:rPr>
        <w:t>f adverse single mark</w:t>
      </w:r>
      <w:r w:rsidR="00790461">
        <w:rPr>
          <w:rFonts w:ascii="Times New Roman" w:hAnsi="Times New Roman"/>
          <w:noProof/>
          <w:sz w:val="24"/>
          <w:szCs w:val="24"/>
        </w:rPr>
        <w:t>et effects</w:t>
      </w:r>
      <w:r w:rsidR="00790461" w:rsidRPr="00366011">
        <w:rPr>
          <w:rFonts w:ascii="Times New Roman" w:hAnsi="Times New Roman"/>
          <w:noProof/>
          <w:sz w:val="24"/>
          <w:szCs w:val="24"/>
        </w:rPr>
        <w:t xml:space="preserve"> caused by emergency situations</w:t>
      </w:r>
      <w:r w:rsidR="00A561B6">
        <w:rPr>
          <w:rFonts w:ascii="Times New Roman" w:hAnsi="Times New Roman"/>
          <w:noProof/>
          <w:sz w:val="24"/>
          <w:szCs w:val="24"/>
        </w:rPr>
        <w:t>. Where the measures were notified after their adoption</w:t>
      </w:r>
      <w:r w:rsidR="00CB34D9" w:rsidRPr="00E71BDA">
        <w:rPr>
          <w:rFonts w:ascii="Times New Roman" w:hAnsi="Times New Roman"/>
          <w:noProof/>
          <w:sz w:val="24"/>
          <w:szCs w:val="24"/>
        </w:rPr>
        <w:t>,</w:t>
      </w:r>
      <w:r w:rsidR="00A561B6" w:rsidRPr="00E71BDA">
        <w:rPr>
          <w:rFonts w:ascii="Times New Roman" w:hAnsi="Times New Roman"/>
          <w:noProof/>
          <w:sz w:val="24"/>
          <w:szCs w:val="24"/>
        </w:rPr>
        <w:t xml:space="preserve"> </w:t>
      </w:r>
      <w:r w:rsidR="00CB34D9">
        <w:rPr>
          <w:rFonts w:ascii="Times New Roman" w:hAnsi="Times New Roman"/>
          <w:noProof/>
          <w:sz w:val="24"/>
          <w:szCs w:val="24"/>
        </w:rPr>
        <w:t>as was the case for approximately 150 COVID-19-related notifications in 2020</w:t>
      </w:r>
      <w:r w:rsidR="00A561B6">
        <w:rPr>
          <w:rFonts w:ascii="Times New Roman" w:hAnsi="Times New Roman"/>
          <w:noProof/>
          <w:sz w:val="24"/>
          <w:szCs w:val="24"/>
        </w:rPr>
        <w:t xml:space="preserve">, </w:t>
      </w:r>
      <w:r w:rsidR="002A507D">
        <w:rPr>
          <w:rFonts w:ascii="Times New Roman" w:hAnsi="Times New Roman"/>
          <w:noProof/>
          <w:sz w:val="24"/>
          <w:szCs w:val="24"/>
        </w:rPr>
        <w:t xml:space="preserve">the </w:t>
      </w:r>
      <w:r w:rsidR="005441C6">
        <w:rPr>
          <w:rFonts w:ascii="Times New Roman" w:hAnsi="Times New Roman"/>
          <w:noProof/>
          <w:sz w:val="24"/>
          <w:szCs w:val="24"/>
        </w:rPr>
        <w:t>notification</w:t>
      </w:r>
      <w:r w:rsidR="002A507D">
        <w:rPr>
          <w:rFonts w:ascii="Times New Roman" w:hAnsi="Times New Roman"/>
          <w:noProof/>
          <w:sz w:val="24"/>
          <w:szCs w:val="24"/>
        </w:rPr>
        <w:t xml:space="preserve"> mechanism offered by the </w:t>
      </w:r>
      <w:r w:rsidR="00A561B6">
        <w:rPr>
          <w:rFonts w:ascii="Times New Roman" w:hAnsi="Times New Roman"/>
          <w:noProof/>
          <w:sz w:val="24"/>
          <w:szCs w:val="24"/>
        </w:rPr>
        <w:t xml:space="preserve">Directive </w:t>
      </w:r>
      <w:r w:rsidR="005441C6">
        <w:rPr>
          <w:rFonts w:ascii="Times New Roman" w:hAnsi="Times New Roman"/>
          <w:noProof/>
          <w:sz w:val="24"/>
          <w:szCs w:val="24"/>
        </w:rPr>
        <w:t xml:space="preserve">meant that </w:t>
      </w:r>
      <w:r w:rsidR="00342F2A">
        <w:rPr>
          <w:rFonts w:ascii="Times New Roman" w:hAnsi="Times New Roman"/>
          <w:noProof/>
          <w:sz w:val="24"/>
          <w:szCs w:val="24"/>
        </w:rPr>
        <w:t xml:space="preserve">the </w:t>
      </w:r>
      <w:r w:rsidR="005441C6">
        <w:rPr>
          <w:rFonts w:ascii="Times New Roman" w:hAnsi="Times New Roman"/>
          <w:noProof/>
          <w:sz w:val="24"/>
          <w:szCs w:val="24"/>
        </w:rPr>
        <w:t>information and peer-review benefits</w:t>
      </w:r>
      <w:r w:rsidR="00342F2A">
        <w:rPr>
          <w:rFonts w:ascii="Times New Roman" w:hAnsi="Times New Roman"/>
          <w:noProof/>
          <w:sz w:val="24"/>
          <w:szCs w:val="24"/>
        </w:rPr>
        <w:t xml:space="preserve"> could </w:t>
      </w:r>
      <w:r w:rsidR="00322742">
        <w:rPr>
          <w:rFonts w:ascii="Times New Roman" w:hAnsi="Times New Roman"/>
          <w:noProof/>
          <w:sz w:val="24"/>
          <w:szCs w:val="24"/>
        </w:rPr>
        <w:t xml:space="preserve">still </w:t>
      </w:r>
      <w:r w:rsidR="00342F2A">
        <w:rPr>
          <w:rFonts w:ascii="Times New Roman" w:hAnsi="Times New Roman"/>
          <w:noProof/>
          <w:sz w:val="24"/>
          <w:szCs w:val="24"/>
        </w:rPr>
        <w:t>be harnessed during the crisis</w:t>
      </w:r>
      <w:r w:rsidR="00ED6643">
        <w:rPr>
          <w:rFonts w:ascii="Times New Roman" w:hAnsi="Times New Roman"/>
          <w:noProof/>
          <w:sz w:val="24"/>
          <w:szCs w:val="24"/>
        </w:rPr>
        <w:t xml:space="preserve"> thanks to the TRIS communication platform</w:t>
      </w:r>
      <w:r w:rsidR="00322742">
        <w:rPr>
          <w:rFonts w:ascii="Times New Roman" w:hAnsi="Times New Roman"/>
          <w:noProof/>
          <w:sz w:val="24"/>
          <w:szCs w:val="24"/>
        </w:rPr>
        <w:t>, where</w:t>
      </w:r>
      <w:r w:rsidR="00ED6643">
        <w:rPr>
          <w:rFonts w:ascii="Times New Roman" w:hAnsi="Times New Roman"/>
          <w:noProof/>
          <w:sz w:val="24"/>
          <w:szCs w:val="24"/>
        </w:rPr>
        <w:t xml:space="preserve"> </w:t>
      </w:r>
      <w:r w:rsidR="00322742">
        <w:rPr>
          <w:rFonts w:ascii="Times New Roman" w:hAnsi="Times New Roman"/>
          <w:noProof/>
          <w:sz w:val="24"/>
          <w:szCs w:val="24"/>
        </w:rPr>
        <w:t>Member States could get acquainted with</w:t>
      </w:r>
      <w:r w:rsidR="00ED6643" w:rsidRPr="00ED6643">
        <w:rPr>
          <w:rFonts w:ascii="Times New Roman" w:hAnsi="Times New Roman"/>
          <w:noProof/>
          <w:sz w:val="24"/>
          <w:szCs w:val="24"/>
        </w:rPr>
        <w:t xml:space="preserve"> the COVID measures adopted by other M</w:t>
      </w:r>
      <w:r w:rsidR="00322742">
        <w:rPr>
          <w:rFonts w:ascii="Times New Roman" w:hAnsi="Times New Roman"/>
          <w:noProof/>
          <w:sz w:val="24"/>
          <w:szCs w:val="24"/>
        </w:rPr>
        <w:t xml:space="preserve">ember </w:t>
      </w:r>
      <w:r w:rsidR="00ED6643" w:rsidRPr="00ED6643">
        <w:rPr>
          <w:rFonts w:ascii="Times New Roman" w:hAnsi="Times New Roman"/>
          <w:noProof/>
          <w:sz w:val="24"/>
          <w:szCs w:val="24"/>
        </w:rPr>
        <w:t>S</w:t>
      </w:r>
      <w:r w:rsidR="00322742">
        <w:rPr>
          <w:rFonts w:ascii="Times New Roman" w:hAnsi="Times New Roman"/>
          <w:noProof/>
          <w:sz w:val="24"/>
          <w:szCs w:val="24"/>
        </w:rPr>
        <w:t>tates</w:t>
      </w:r>
      <w:r w:rsidR="00342F2A">
        <w:rPr>
          <w:rFonts w:ascii="Times New Roman" w:hAnsi="Times New Roman"/>
          <w:noProof/>
          <w:sz w:val="24"/>
          <w:szCs w:val="24"/>
        </w:rPr>
        <w:t>.</w:t>
      </w:r>
      <w:r w:rsidR="00790461">
        <w:rPr>
          <w:rFonts w:ascii="Times New Roman" w:hAnsi="Times New Roman"/>
          <w:noProof/>
          <w:sz w:val="24"/>
          <w:szCs w:val="24"/>
        </w:rPr>
        <w:t xml:space="preserve"> </w:t>
      </w:r>
    </w:p>
    <w:p w14:paraId="37A74CA9" w14:textId="77777777" w:rsidR="0049046D" w:rsidRPr="002940AD" w:rsidRDefault="001F7678">
      <w:pPr>
        <w:spacing w:line="240" w:lineRule="auto"/>
        <w:jc w:val="both"/>
        <w:rPr>
          <w:rFonts w:ascii="Times New Roman" w:hAnsi="Times New Roman"/>
          <w:b/>
          <w:noProof/>
          <w:sz w:val="24"/>
          <w:szCs w:val="24"/>
          <w:u w:val="single"/>
        </w:rPr>
      </w:pPr>
      <w:r w:rsidRPr="00366011">
        <w:rPr>
          <w:rFonts w:ascii="Times New Roman" w:hAnsi="Times New Roman"/>
          <w:b/>
          <w:noProof/>
          <w:sz w:val="24"/>
          <w:szCs w:val="24"/>
        </w:rPr>
        <w:t xml:space="preserve">► </w:t>
      </w:r>
      <w:r w:rsidRPr="00366011">
        <w:rPr>
          <w:rFonts w:ascii="Times New Roman" w:hAnsi="Times New Roman"/>
          <w:b/>
          <w:noProof/>
          <w:sz w:val="24"/>
          <w:szCs w:val="24"/>
          <w:u w:val="single"/>
        </w:rPr>
        <w:t>Most common</w:t>
      </w:r>
      <w:r w:rsidR="0050546C" w:rsidRPr="00366011">
        <w:rPr>
          <w:rFonts w:ascii="Times New Roman" w:hAnsi="Times New Roman"/>
          <w:b/>
          <w:noProof/>
          <w:sz w:val="24"/>
          <w:szCs w:val="24"/>
          <w:u w:val="single"/>
        </w:rPr>
        <w:t>ly</w:t>
      </w:r>
      <w:r w:rsidRPr="00366011">
        <w:rPr>
          <w:rFonts w:ascii="Times New Roman" w:hAnsi="Times New Roman"/>
          <w:b/>
          <w:noProof/>
          <w:sz w:val="24"/>
          <w:szCs w:val="24"/>
          <w:u w:val="single"/>
        </w:rPr>
        <w:t xml:space="preserve"> tackled barriers</w:t>
      </w:r>
      <w:r w:rsidRPr="002940AD">
        <w:rPr>
          <w:rFonts w:ascii="Times New Roman" w:hAnsi="Times New Roman"/>
          <w:b/>
          <w:noProof/>
          <w:sz w:val="24"/>
          <w:szCs w:val="24"/>
          <w:u w:val="single"/>
        </w:rPr>
        <w:t xml:space="preserve"> </w:t>
      </w:r>
    </w:p>
    <w:p w14:paraId="2834AF16" w14:textId="77777777" w:rsidR="0049046D" w:rsidRPr="002940AD" w:rsidRDefault="001F7678">
      <w:pPr>
        <w:spacing w:line="240" w:lineRule="auto"/>
        <w:jc w:val="both"/>
        <w:rPr>
          <w:rFonts w:ascii="Times New Roman" w:hAnsi="Times New Roman"/>
          <w:noProof/>
          <w:sz w:val="24"/>
          <w:szCs w:val="24"/>
        </w:rPr>
      </w:pPr>
      <w:r w:rsidRPr="00B571A6">
        <w:rPr>
          <w:rFonts w:ascii="Times New Roman" w:hAnsi="Times New Roman"/>
          <w:noProof/>
          <w:sz w:val="24"/>
          <w:szCs w:val="24"/>
        </w:rPr>
        <w:t>One of</w:t>
      </w:r>
      <w:r w:rsidRPr="002940AD">
        <w:rPr>
          <w:rFonts w:ascii="Times New Roman" w:hAnsi="Times New Roman"/>
          <w:noProof/>
          <w:sz w:val="24"/>
          <w:szCs w:val="24"/>
        </w:rPr>
        <w:t xml:space="preserve"> the purposes of the Single Market Transparency Directive is to </w:t>
      </w:r>
      <w:r w:rsidR="00D06520" w:rsidRPr="002940AD">
        <w:rPr>
          <w:rFonts w:ascii="Times New Roman" w:hAnsi="Times New Roman"/>
          <w:noProof/>
          <w:sz w:val="24"/>
          <w:szCs w:val="24"/>
        </w:rPr>
        <w:t xml:space="preserve">detect </w:t>
      </w:r>
      <w:r w:rsidRPr="002940AD">
        <w:rPr>
          <w:rFonts w:ascii="Times New Roman" w:hAnsi="Times New Roman"/>
          <w:noProof/>
          <w:sz w:val="24"/>
          <w:szCs w:val="24"/>
        </w:rPr>
        <w:t xml:space="preserve">areas </w:t>
      </w:r>
      <w:r w:rsidR="004F33C7" w:rsidRPr="002940AD">
        <w:rPr>
          <w:rFonts w:ascii="Times New Roman" w:hAnsi="Times New Roman"/>
          <w:noProof/>
          <w:sz w:val="24"/>
          <w:szCs w:val="24"/>
        </w:rPr>
        <w:t>where</w:t>
      </w:r>
      <w:r w:rsidRPr="002940AD">
        <w:rPr>
          <w:rFonts w:ascii="Times New Roman" w:hAnsi="Times New Roman"/>
          <w:noProof/>
          <w:sz w:val="24"/>
          <w:szCs w:val="24"/>
        </w:rPr>
        <w:t xml:space="preserve"> recurrent obstacles to the free movement of goods and the freedom to provide </w:t>
      </w:r>
      <w:r w:rsidR="00807D9E" w:rsidRPr="002940AD">
        <w:rPr>
          <w:rFonts w:ascii="Times New Roman" w:hAnsi="Times New Roman"/>
          <w:noProof/>
          <w:sz w:val="24"/>
          <w:szCs w:val="24"/>
        </w:rPr>
        <w:t>i</w:t>
      </w:r>
      <w:r w:rsidRPr="002940AD">
        <w:rPr>
          <w:rFonts w:ascii="Times New Roman" w:hAnsi="Times New Roman"/>
          <w:noProof/>
          <w:sz w:val="24"/>
          <w:szCs w:val="24"/>
        </w:rPr>
        <w:t xml:space="preserve">nformation </w:t>
      </w:r>
      <w:r w:rsidR="00807D9E" w:rsidRPr="002940AD">
        <w:rPr>
          <w:rFonts w:ascii="Times New Roman" w:hAnsi="Times New Roman"/>
          <w:noProof/>
          <w:sz w:val="24"/>
          <w:szCs w:val="24"/>
        </w:rPr>
        <w:t>s</w:t>
      </w:r>
      <w:r w:rsidRPr="002940AD">
        <w:rPr>
          <w:rFonts w:ascii="Times New Roman" w:hAnsi="Times New Roman"/>
          <w:noProof/>
          <w:sz w:val="24"/>
          <w:szCs w:val="24"/>
        </w:rPr>
        <w:t xml:space="preserve">ociety services </w:t>
      </w:r>
      <w:r w:rsidR="004F33C7" w:rsidRPr="002940AD">
        <w:rPr>
          <w:rFonts w:ascii="Times New Roman" w:hAnsi="Times New Roman"/>
          <w:noProof/>
          <w:sz w:val="24"/>
          <w:szCs w:val="24"/>
        </w:rPr>
        <w:t xml:space="preserve">arise </w:t>
      </w:r>
      <w:r w:rsidRPr="002940AD">
        <w:rPr>
          <w:rFonts w:ascii="Times New Roman" w:hAnsi="Times New Roman"/>
          <w:noProof/>
          <w:sz w:val="24"/>
          <w:szCs w:val="24"/>
        </w:rPr>
        <w:t>and</w:t>
      </w:r>
      <w:r w:rsidR="00D06520" w:rsidRPr="002940AD">
        <w:rPr>
          <w:rFonts w:ascii="Times New Roman" w:hAnsi="Times New Roman"/>
          <w:noProof/>
          <w:sz w:val="24"/>
          <w:szCs w:val="24"/>
        </w:rPr>
        <w:t>, as a result,</w:t>
      </w:r>
      <w:r w:rsidRPr="002940AD">
        <w:rPr>
          <w:rFonts w:ascii="Times New Roman" w:hAnsi="Times New Roman"/>
          <w:noProof/>
          <w:sz w:val="24"/>
          <w:szCs w:val="24"/>
        </w:rPr>
        <w:t xml:space="preserve"> </w:t>
      </w:r>
      <w:r w:rsidR="004F33C7" w:rsidRPr="002940AD">
        <w:rPr>
          <w:rFonts w:ascii="Times New Roman" w:hAnsi="Times New Roman"/>
          <w:noProof/>
          <w:sz w:val="24"/>
          <w:szCs w:val="24"/>
        </w:rPr>
        <w:t xml:space="preserve">to </w:t>
      </w:r>
      <w:r w:rsidR="00D06520" w:rsidRPr="002940AD">
        <w:rPr>
          <w:rFonts w:ascii="Times New Roman" w:hAnsi="Times New Roman"/>
          <w:noProof/>
          <w:sz w:val="24"/>
          <w:szCs w:val="24"/>
        </w:rPr>
        <w:t xml:space="preserve">identify </w:t>
      </w:r>
      <w:r w:rsidR="00807D9E" w:rsidRPr="002940AD">
        <w:rPr>
          <w:rFonts w:ascii="Times New Roman" w:hAnsi="Times New Roman"/>
          <w:noProof/>
          <w:sz w:val="24"/>
          <w:szCs w:val="24"/>
        </w:rPr>
        <w:t xml:space="preserve">the </w:t>
      </w:r>
      <w:r w:rsidRPr="002940AD">
        <w:rPr>
          <w:rFonts w:ascii="Times New Roman" w:hAnsi="Times New Roman"/>
          <w:noProof/>
          <w:sz w:val="24"/>
          <w:szCs w:val="24"/>
        </w:rPr>
        <w:t>need</w:t>
      </w:r>
      <w:r w:rsidR="00D06520" w:rsidRPr="002940AD">
        <w:rPr>
          <w:rFonts w:ascii="Times New Roman" w:hAnsi="Times New Roman"/>
          <w:noProof/>
          <w:sz w:val="24"/>
          <w:szCs w:val="24"/>
        </w:rPr>
        <w:t xml:space="preserve"> to intervene with harmonisation </w:t>
      </w:r>
      <w:r w:rsidR="00D06520" w:rsidRPr="00CB6792">
        <w:rPr>
          <w:rFonts w:ascii="Times New Roman" w:hAnsi="Times New Roman"/>
          <w:noProof/>
          <w:sz w:val="24"/>
          <w:szCs w:val="24"/>
        </w:rPr>
        <w:t xml:space="preserve">measures </w:t>
      </w:r>
      <w:r w:rsidRPr="00CB6792">
        <w:rPr>
          <w:rFonts w:ascii="Times New Roman" w:hAnsi="Times New Roman"/>
          <w:noProof/>
          <w:sz w:val="24"/>
          <w:szCs w:val="24"/>
        </w:rPr>
        <w:t>aim</w:t>
      </w:r>
      <w:r w:rsidR="00D06520" w:rsidRPr="00CB6792">
        <w:rPr>
          <w:rFonts w:ascii="Times New Roman" w:hAnsi="Times New Roman"/>
          <w:noProof/>
          <w:sz w:val="24"/>
          <w:szCs w:val="24"/>
        </w:rPr>
        <w:t>ed</w:t>
      </w:r>
      <w:r w:rsidRPr="00CB6792">
        <w:rPr>
          <w:rFonts w:ascii="Times New Roman" w:hAnsi="Times New Roman"/>
          <w:noProof/>
          <w:sz w:val="24"/>
          <w:szCs w:val="24"/>
        </w:rPr>
        <w:t xml:space="preserve"> </w:t>
      </w:r>
      <w:r w:rsidR="00D06520" w:rsidRPr="00CB6792">
        <w:rPr>
          <w:rFonts w:ascii="Times New Roman" w:hAnsi="Times New Roman"/>
          <w:noProof/>
          <w:sz w:val="24"/>
          <w:szCs w:val="24"/>
        </w:rPr>
        <w:t>at</w:t>
      </w:r>
      <w:r w:rsidRPr="00CB6792">
        <w:rPr>
          <w:rFonts w:ascii="Times New Roman" w:hAnsi="Times New Roman"/>
          <w:noProof/>
          <w:sz w:val="24"/>
          <w:szCs w:val="24"/>
        </w:rPr>
        <w:t xml:space="preserve"> ensuring a smoother functioning of the single market</w:t>
      </w:r>
      <w:r w:rsidRPr="00CB6792">
        <w:rPr>
          <w:rStyle w:val="FootnoteReference"/>
          <w:rFonts w:ascii="Times New Roman" w:hAnsi="Times New Roman"/>
          <w:noProof/>
          <w:sz w:val="24"/>
          <w:szCs w:val="24"/>
        </w:rPr>
        <w:footnoteReference w:id="51"/>
      </w:r>
      <w:r w:rsidRPr="00CB6792">
        <w:rPr>
          <w:rFonts w:ascii="Times New Roman" w:hAnsi="Times New Roman"/>
          <w:noProof/>
          <w:sz w:val="24"/>
          <w:szCs w:val="24"/>
        </w:rPr>
        <w:t xml:space="preserve">. </w:t>
      </w:r>
      <w:r w:rsidR="007067E1" w:rsidRPr="00CB6792">
        <w:rPr>
          <w:rFonts w:ascii="Times New Roman" w:hAnsi="Times New Roman"/>
          <w:noProof/>
          <w:sz w:val="24"/>
          <w:szCs w:val="24"/>
        </w:rPr>
        <w:t xml:space="preserve">In the period under analysis, </w:t>
      </w:r>
      <w:r w:rsidRPr="00CB6792">
        <w:rPr>
          <w:rFonts w:ascii="Times New Roman" w:hAnsi="Times New Roman"/>
          <w:noProof/>
          <w:sz w:val="24"/>
          <w:szCs w:val="24"/>
        </w:rPr>
        <w:t xml:space="preserve">the Commission identified several recurrent barriers in the notified draft </w:t>
      </w:r>
      <w:r w:rsidR="00162A38" w:rsidRPr="00CB6792">
        <w:rPr>
          <w:rFonts w:ascii="Times New Roman" w:hAnsi="Times New Roman"/>
          <w:noProof/>
          <w:sz w:val="24"/>
          <w:szCs w:val="24"/>
        </w:rPr>
        <w:t>measures</w:t>
      </w:r>
      <w:r w:rsidR="004A32E4">
        <w:rPr>
          <w:rFonts w:ascii="Times New Roman" w:hAnsi="Times New Roman"/>
          <w:noProof/>
          <w:sz w:val="24"/>
          <w:szCs w:val="24"/>
        </w:rPr>
        <w:t>. These included</w:t>
      </w:r>
      <w:r w:rsidR="00B8797D" w:rsidRPr="00CB6792">
        <w:rPr>
          <w:rFonts w:ascii="Times New Roman" w:hAnsi="Times New Roman"/>
          <w:noProof/>
          <w:sz w:val="24"/>
          <w:szCs w:val="24"/>
        </w:rPr>
        <w:t xml:space="preserve"> the lack of the </w:t>
      </w:r>
      <w:r w:rsidR="007B452D" w:rsidRPr="00CB6792">
        <w:rPr>
          <w:rFonts w:ascii="Times New Roman" w:hAnsi="Times New Roman"/>
          <w:noProof/>
          <w:sz w:val="24"/>
          <w:szCs w:val="24"/>
        </w:rPr>
        <w:t>single market</w:t>
      </w:r>
      <w:r w:rsidR="00B8797D" w:rsidRPr="00CB6792">
        <w:rPr>
          <w:rFonts w:ascii="Times New Roman" w:hAnsi="Times New Roman"/>
          <w:noProof/>
          <w:sz w:val="24"/>
          <w:szCs w:val="24"/>
        </w:rPr>
        <w:t xml:space="preserve"> clause, </w:t>
      </w:r>
      <w:r w:rsidR="001C72CE" w:rsidRPr="00CB6792">
        <w:rPr>
          <w:rFonts w:ascii="Times New Roman" w:hAnsi="Times New Roman"/>
          <w:noProof/>
          <w:sz w:val="24"/>
          <w:szCs w:val="24"/>
        </w:rPr>
        <w:t xml:space="preserve">misleading and unclear provisions that could have been interpreted and applied as market restrictions </w:t>
      </w:r>
      <w:r w:rsidR="00B8797D" w:rsidRPr="00CB6792">
        <w:rPr>
          <w:rFonts w:ascii="Times New Roman" w:hAnsi="Times New Roman"/>
          <w:noProof/>
          <w:sz w:val="24"/>
          <w:szCs w:val="24"/>
        </w:rPr>
        <w:t>or repetition of provisions of EU regulations, the issue of mandatory standards</w:t>
      </w:r>
      <w:r w:rsidR="00B571A6">
        <w:rPr>
          <w:rFonts w:ascii="Times New Roman" w:hAnsi="Times New Roman"/>
          <w:noProof/>
          <w:sz w:val="24"/>
          <w:szCs w:val="24"/>
        </w:rPr>
        <w:t>,</w:t>
      </w:r>
      <w:r w:rsidR="00B8797D" w:rsidRPr="00CB6792">
        <w:rPr>
          <w:rFonts w:ascii="Times New Roman" w:hAnsi="Times New Roman"/>
          <w:noProof/>
          <w:sz w:val="24"/>
          <w:szCs w:val="24"/>
        </w:rPr>
        <w:t xml:space="preserve"> and additional test methods</w:t>
      </w:r>
      <w:r w:rsidR="00B8797D" w:rsidRPr="00CB6792">
        <w:rPr>
          <w:rStyle w:val="FootnoteReference"/>
          <w:rFonts w:ascii="Times New Roman" w:hAnsi="Times New Roman"/>
          <w:noProof/>
          <w:sz w:val="24"/>
          <w:szCs w:val="24"/>
        </w:rPr>
        <w:footnoteReference w:id="52"/>
      </w:r>
      <w:r w:rsidR="00833CA9">
        <w:rPr>
          <w:rFonts w:ascii="Times New Roman" w:hAnsi="Times New Roman"/>
          <w:noProof/>
          <w:sz w:val="24"/>
          <w:szCs w:val="24"/>
        </w:rPr>
        <w:t>.</w:t>
      </w:r>
    </w:p>
    <w:p w14:paraId="082DA19B" w14:textId="77777777" w:rsidR="0049046D" w:rsidRPr="002940AD" w:rsidRDefault="001F7678">
      <w:pPr>
        <w:spacing w:line="240" w:lineRule="auto"/>
        <w:jc w:val="both"/>
        <w:rPr>
          <w:rFonts w:ascii="Times New Roman" w:hAnsi="Times New Roman"/>
          <w:noProof/>
          <w:sz w:val="24"/>
          <w:szCs w:val="24"/>
        </w:rPr>
      </w:pPr>
      <w:r w:rsidRPr="002940AD">
        <w:rPr>
          <w:rFonts w:ascii="Times New Roman" w:hAnsi="Times New Roman"/>
          <w:b/>
          <w:noProof/>
          <w:sz w:val="24"/>
          <w:szCs w:val="24"/>
        </w:rPr>
        <w:t xml:space="preserve">► </w:t>
      </w:r>
      <w:r w:rsidRPr="002940AD">
        <w:rPr>
          <w:rFonts w:ascii="Times New Roman" w:hAnsi="Times New Roman"/>
          <w:b/>
          <w:noProof/>
          <w:sz w:val="24"/>
          <w:szCs w:val="24"/>
          <w:u w:val="single"/>
        </w:rPr>
        <w:t>Reactions</w:t>
      </w:r>
    </w:p>
    <w:p w14:paraId="599D7D24" w14:textId="77777777" w:rsidR="00F84FE8" w:rsidRPr="002940AD" w:rsidRDefault="001F7678" w:rsidP="006502C4">
      <w:pPr>
        <w:pStyle w:val="ListBullet"/>
        <w:numPr>
          <w:ilvl w:val="0"/>
          <w:numId w:val="0"/>
        </w:numPr>
        <w:tabs>
          <w:tab w:val="left" w:pos="9072"/>
        </w:tabs>
        <w:rPr>
          <w:noProof/>
          <w:szCs w:val="24"/>
        </w:rPr>
      </w:pPr>
      <w:r w:rsidRPr="002940AD">
        <w:rPr>
          <w:noProof/>
          <w:szCs w:val="24"/>
        </w:rPr>
        <w:t>The Single Market Transparency Directive allows for a formal and structured exchange of information between the Member States and the Commission and among Member States</w:t>
      </w:r>
      <w:r w:rsidR="00227426" w:rsidRPr="002940AD">
        <w:rPr>
          <w:noProof/>
          <w:szCs w:val="24"/>
        </w:rPr>
        <w:t>,</w:t>
      </w:r>
      <w:r w:rsidRPr="002940AD">
        <w:rPr>
          <w:noProof/>
          <w:szCs w:val="24"/>
        </w:rPr>
        <w:t xml:space="preserve"> when assessing notified drafts. The intensity of this exchange of information is </w:t>
      </w:r>
      <w:r w:rsidR="00227426" w:rsidRPr="002940AD">
        <w:rPr>
          <w:noProof/>
          <w:szCs w:val="24"/>
        </w:rPr>
        <w:t xml:space="preserve">proven </w:t>
      </w:r>
      <w:r w:rsidRPr="002940AD">
        <w:rPr>
          <w:noProof/>
          <w:szCs w:val="24"/>
        </w:rPr>
        <w:t>by the high number of reactions sent by the Commission and the</w:t>
      </w:r>
      <w:r w:rsidR="006125CD" w:rsidRPr="002940AD">
        <w:rPr>
          <w:noProof/>
          <w:szCs w:val="24"/>
        </w:rPr>
        <w:t xml:space="preserve"> </w:t>
      </w:r>
      <w:r w:rsidRPr="002940AD">
        <w:rPr>
          <w:noProof/>
          <w:szCs w:val="24"/>
        </w:rPr>
        <w:t>Member States to the notifications and by the replies of the notifying Member States and subsequent exchange of messages</w:t>
      </w:r>
      <w:r w:rsidR="00BE33E2" w:rsidRPr="002940AD">
        <w:rPr>
          <w:noProof/>
          <w:szCs w:val="24"/>
        </w:rPr>
        <w:t xml:space="preserve"> (see Annexes </w:t>
      </w:r>
      <w:r w:rsidR="00F21DBA" w:rsidRPr="002940AD">
        <w:rPr>
          <w:noProof/>
          <w:szCs w:val="24"/>
        </w:rPr>
        <w:t>3</w:t>
      </w:r>
      <w:r w:rsidR="00BE33E2" w:rsidRPr="002940AD">
        <w:rPr>
          <w:noProof/>
          <w:szCs w:val="24"/>
        </w:rPr>
        <w:t xml:space="preserve">.4, </w:t>
      </w:r>
      <w:r w:rsidR="00F21DBA" w:rsidRPr="002940AD">
        <w:rPr>
          <w:noProof/>
          <w:szCs w:val="24"/>
        </w:rPr>
        <w:t>3</w:t>
      </w:r>
      <w:r w:rsidR="00BE33E2" w:rsidRPr="002940AD">
        <w:rPr>
          <w:noProof/>
          <w:szCs w:val="24"/>
        </w:rPr>
        <w:t xml:space="preserve">.5, </w:t>
      </w:r>
      <w:r w:rsidR="00F21DBA" w:rsidRPr="002940AD">
        <w:rPr>
          <w:noProof/>
          <w:szCs w:val="24"/>
        </w:rPr>
        <w:t>3</w:t>
      </w:r>
      <w:r w:rsidR="00BE33E2" w:rsidRPr="002940AD">
        <w:rPr>
          <w:noProof/>
          <w:szCs w:val="24"/>
        </w:rPr>
        <w:t xml:space="preserve">.6 and </w:t>
      </w:r>
      <w:r w:rsidR="00F21DBA" w:rsidRPr="002940AD">
        <w:rPr>
          <w:noProof/>
          <w:szCs w:val="24"/>
        </w:rPr>
        <w:t>3</w:t>
      </w:r>
      <w:r w:rsidR="00BE33E2" w:rsidRPr="002940AD">
        <w:rPr>
          <w:noProof/>
          <w:szCs w:val="24"/>
        </w:rPr>
        <w:t>.8)</w:t>
      </w:r>
      <w:r w:rsidRPr="002940AD">
        <w:rPr>
          <w:noProof/>
          <w:szCs w:val="24"/>
        </w:rPr>
        <w:t xml:space="preserve">. </w:t>
      </w:r>
      <w:r w:rsidR="00EC4AC1">
        <w:rPr>
          <w:noProof/>
          <w:szCs w:val="24"/>
        </w:rPr>
        <w:t>T</w:t>
      </w:r>
      <w:r w:rsidRPr="002940AD">
        <w:rPr>
          <w:noProof/>
          <w:szCs w:val="24"/>
        </w:rPr>
        <w:t>his exchange of information</w:t>
      </w:r>
      <w:r w:rsidR="00EC4AC1">
        <w:rPr>
          <w:noProof/>
          <w:szCs w:val="24"/>
        </w:rPr>
        <w:t xml:space="preserve"> provides </w:t>
      </w:r>
      <w:r w:rsidRPr="002940AD">
        <w:rPr>
          <w:noProof/>
          <w:szCs w:val="24"/>
        </w:rPr>
        <w:t>the Member States</w:t>
      </w:r>
      <w:r w:rsidR="00EA5836">
        <w:rPr>
          <w:noProof/>
          <w:szCs w:val="24"/>
        </w:rPr>
        <w:t xml:space="preserve"> </w:t>
      </w:r>
      <w:r w:rsidR="00EC4AC1">
        <w:rPr>
          <w:noProof/>
          <w:szCs w:val="24"/>
        </w:rPr>
        <w:t xml:space="preserve">with </w:t>
      </w:r>
      <w:r w:rsidRPr="002940AD">
        <w:rPr>
          <w:noProof/>
          <w:szCs w:val="24"/>
        </w:rPr>
        <w:t xml:space="preserve">the possibility to ascertain the degree of compatibility of </w:t>
      </w:r>
      <w:r w:rsidR="00227426" w:rsidRPr="002940AD">
        <w:rPr>
          <w:noProof/>
          <w:szCs w:val="24"/>
        </w:rPr>
        <w:t xml:space="preserve">the </w:t>
      </w:r>
      <w:r w:rsidRPr="002940AD">
        <w:rPr>
          <w:noProof/>
          <w:szCs w:val="24"/>
        </w:rPr>
        <w:t xml:space="preserve">notified drafts with EU legislation. </w:t>
      </w:r>
      <w:r w:rsidR="00EC4AC1">
        <w:rPr>
          <w:noProof/>
          <w:szCs w:val="24"/>
        </w:rPr>
        <w:t>T</w:t>
      </w:r>
      <w:r w:rsidR="00EC4AC1" w:rsidRPr="002940AD">
        <w:rPr>
          <w:noProof/>
          <w:szCs w:val="24"/>
        </w:rPr>
        <w:t xml:space="preserve">he </w:t>
      </w:r>
      <w:r w:rsidRPr="002940AD">
        <w:rPr>
          <w:noProof/>
          <w:szCs w:val="24"/>
        </w:rPr>
        <w:t>Commission</w:t>
      </w:r>
      <w:r w:rsidR="00EC4AC1">
        <w:rPr>
          <w:noProof/>
          <w:szCs w:val="24"/>
        </w:rPr>
        <w:t xml:space="preserve"> </w:t>
      </w:r>
      <w:r w:rsidRPr="002940AD">
        <w:rPr>
          <w:noProof/>
          <w:szCs w:val="24"/>
        </w:rPr>
        <w:t xml:space="preserve">met </w:t>
      </w:r>
      <w:r w:rsidR="000F5BD6">
        <w:rPr>
          <w:noProof/>
          <w:szCs w:val="24"/>
        </w:rPr>
        <w:t xml:space="preserve">regularly </w:t>
      </w:r>
      <w:r w:rsidRPr="002940AD">
        <w:rPr>
          <w:noProof/>
          <w:szCs w:val="24"/>
        </w:rPr>
        <w:t xml:space="preserve">at expert level </w:t>
      </w:r>
      <w:r w:rsidR="000F5BD6">
        <w:rPr>
          <w:noProof/>
          <w:szCs w:val="24"/>
        </w:rPr>
        <w:t xml:space="preserve">during the reporting period </w:t>
      </w:r>
      <w:r w:rsidRPr="002940AD">
        <w:rPr>
          <w:noProof/>
          <w:szCs w:val="24"/>
        </w:rPr>
        <w:t>with representatives of the Member States to clarify outstanding issues</w:t>
      </w:r>
      <w:r w:rsidR="00EC4AC1">
        <w:rPr>
          <w:noProof/>
          <w:szCs w:val="24"/>
        </w:rPr>
        <w:t>, when necessary</w:t>
      </w:r>
      <w:r w:rsidR="004A32E4">
        <w:rPr>
          <w:noProof/>
          <w:szCs w:val="24"/>
        </w:rPr>
        <w:t>,</w:t>
      </w:r>
      <w:r w:rsidR="00EC4AC1">
        <w:rPr>
          <w:noProof/>
          <w:szCs w:val="24"/>
        </w:rPr>
        <w:t xml:space="preserve"> and </w:t>
      </w:r>
      <w:r w:rsidRPr="002940AD">
        <w:rPr>
          <w:noProof/>
          <w:szCs w:val="24"/>
        </w:rPr>
        <w:t>request</w:t>
      </w:r>
      <w:r w:rsidR="00EC4AC1">
        <w:rPr>
          <w:noProof/>
          <w:szCs w:val="24"/>
        </w:rPr>
        <w:t>ed</w:t>
      </w:r>
      <w:r w:rsidRPr="002940AD">
        <w:rPr>
          <w:noProof/>
          <w:szCs w:val="24"/>
        </w:rPr>
        <w:t xml:space="preserve"> supplementary information </w:t>
      </w:r>
      <w:r w:rsidR="004A32E4">
        <w:rPr>
          <w:noProof/>
          <w:szCs w:val="24"/>
        </w:rPr>
        <w:t xml:space="preserve">from </w:t>
      </w:r>
      <w:r w:rsidR="00EC4AC1">
        <w:rPr>
          <w:noProof/>
          <w:szCs w:val="24"/>
        </w:rPr>
        <w:t>Member Sta</w:t>
      </w:r>
      <w:r w:rsidR="004A32E4">
        <w:rPr>
          <w:noProof/>
          <w:szCs w:val="24"/>
        </w:rPr>
        <w:t>t</w:t>
      </w:r>
      <w:r w:rsidR="00EC4AC1">
        <w:rPr>
          <w:noProof/>
          <w:szCs w:val="24"/>
        </w:rPr>
        <w:t xml:space="preserve">es </w:t>
      </w:r>
      <w:r w:rsidRPr="002940AD">
        <w:rPr>
          <w:noProof/>
          <w:szCs w:val="24"/>
        </w:rPr>
        <w:t>to clarify the scope of notified technical regulations.</w:t>
      </w:r>
    </w:p>
    <w:p w14:paraId="09D6B303" w14:textId="77777777" w:rsidR="00DF242F" w:rsidRPr="002940AD" w:rsidRDefault="001F7678">
      <w:pPr>
        <w:spacing w:line="240" w:lineRule="auto"/>
        <w:jc w:val="both"/>
        <w:rPr>
          <w:rFonts w:ascii="Times New Roman" w:hAnsi="Times New Roman"/>
          <w:noProof/>
          <w:sz w:val="24"/>
          <w:szCs w:val="24"/>
        </w:rPr>
      </w:pPr>
      <w:r w:rsidRPr="002940AD">
        <w:rPr>
          <w:rFonts w:ascii="Times New Roman" w:hAnsi="Times New Roman"/>
          <w:noProof/>
          <w:sz w:val="24"/>
          <w:szCs w:val="24"/>
        </w:rPr>
        <w:t>In the period considered</w:t>
      </w:r>
      <w:r w:rsidR="00B571A6">
        <w:rPr>
          <w:rFonts w:ascii="Times New Roman" w:hAnsi="Times New Roman"/>
          <w:noProof/>
          <w:sz w:val="24"/>
          <w:szCs w:val="24"/>
        </w:rPr>
        <w:t>,</w:t>
      </w:r>
      <w:r w:rsidRPr="002940AD">
        <w:rPr>
          <w:rFonts w:ascii="Times New Roman" w:hAnsi="Times New Roman"/>
          <w:noProof/>
          <w:sz w:val="24"/>
          <w:szCs w:val="24"/>
        </w:rPr>
        <w:t xml:space="preserve"> the Commission issued </w:t>
      </w:r>
      <w:r w:rsidR="00D26E25">
        <w:rPr>
          <w:rFonts w:ascii="Times New Roman" w:hAnsi="Times New Roman"/>
          <w:noProof/>
          <w:sz w:val="24"/>
          <w:szCs w:val="24"/>
        </w:rPr>
        <w:t>212</w:t>
      </w:r>
      <w:r w:rsidRPr="002940AD">
        <w:rPr>
          <w:rFonts w:ascii="Times New Roman" w:hAnsi="Times New Roman"/>
          <w:noProof/>
          <w:sz w:val="24"/>
          <w:szCs w:val="24"/>
        </w:rPr>
        <w:t xml:space="preserve"> detailed opinions </w:t>
      </w:r>
      <w:r w:rsidRPr="002940AD">
        <w:rPr>
          <w:rFonts w:ascii="Times New Roman" w:hAnsi="Times New Roman"/>
          <w:noProof/>
          <w:sz w:val="24"/>
          <w:szCs w:val="24"/>
        </w:rPr>
        <w:softHyphen/>
      </w:r>
      <w:r w:rsidRPr="002940AD">
        <w:rPr>
          <w:rFonts w:ascii="Times New Roman" w:hAnsi="Times New Roman"/>
          <w:noProof/>
          <w:sz w:val="24"/>
          <w:szCs w:val="24"/>
        </w:rPr>
        <w:softHyphen/>
        <w:t>(6</w:t>
      </w:r>
      <w:r w:rsidR="00D26E25">
        <w:rPr>
          <w:rFonts w:ascii="Times New Roman" w:hAnsi="Times New Roman"/>
          <w:noProof/>
          <w:sz w:val="24"/>
          <w:szCs w:val="24"/>
        </w:rPr>
        <w:t>0</w:t>
      </w:r>
      <w:r w:rsidRPr="002940AD">
        <w:rPr>
          <w:rFonts w:ascii="Times New Roman" w:hAnsi="Times New Roman"/>
          <w:noProof/>
          <w:sz w:val="24"/>
          <w:szCs w:val="24"/>
        </w:rPr>
        <w:t xml:space="preserve"> </w:t>
      </w:r>
      <w:r w:rsidR="001D229A" w:rsidRPr="002940AD">
        <w:rPr>
          <w:rFonts w:ascii="Times New Roman" w:hAnsi="Times New Roman"/>
          <w:noProof/>
          <w:sz w:val="24"/>
          <w:szCs w:val="24"/>
        </w:rPr>
        <w:t>in</w:t>
      </w:r>
      <w:r w:rsidRPr="002940AD">
        <w:rPr>
          <w:rFonts w:ascii="Times New Roman" w:hAnsi="Times New Roman"/>
          <w:noProof/>
          <w:sz w:val="24"/>
          <w:szCs w:val="24"/>
        </w:rPr>
        <w:t xml:space="preserve"> 201</w:t>
      </w:r>
      <w:r w:rsidR="001D229A" w:rsidRPr="002940AD">
        <w:rPr>
          <w:rFonts w:ascii="Times New Roman" w:hAnsi="Times New Roman"/>
          <w:noProof/>
          <w:sz w:val="24"/>
          <w:szCs w:val="24"/>
        </w:rPr>
        <w:t>6</w:t>
      </w:r>
      <w:r w:rsidRPr="002940AD">
        <w:rPr>
          <w:rFonts w:ascii="Times New Roman" w:hAnsi="Times New Roman"/>
          <w:noProof/>
          <w:sz w:val="24"/>
          <w:szCs w:val="24"/>
        </w:rPr>
        <w:t xml:space="preserve">, </w:t>
      </w:r>
      <w:r w:rsidR="001D229A" w:rsidRPr="002940AD">
        <w:rPr>
          <w:rFonts w:ascii="Times New Roman" w:hAnsi="Times New Roman"/>
          <w:noProof/>
          <w:sz w:val="24"/>
          <w:szCs w:val="24"/>
        </w:rPr>
        <w:t>3</w:t>
      </w:r>
      <w:r w:rsidR="00D26E25">
        <w:rPr>
          <w:rFonts w:ascii="Times New Roman" w:hAnsi="Times New Roman"/>
          <w:noProof/>
          <w:sz w:val="24"/>
          <w:szCs w:val="24"/>
        </w:rPr>
        <w:t>4</w:t>
      </w:r>
      <w:r w:rsidR="001D229A" w:rsidRPr="002940AD">
        <w:rPr>
          <w:rFonts w:ascii="Times New Roman" w:hAnsi="Times New Roman"/>
          <w:noProof/>
          <w:sz w:val="24"/>
          <w:szCs w:val="24"/>
        </w:rPr>
        <w:t xml:space="preserve"> in 2017, 40 in 2018</w:t>
      </w:r>
      <w:r w:rsidR="00DC12DE">
        <w:rPr>
          <w:rFonts w:ascii="Times New Roman" w:hAnsi="Times New Roman"/>
          <w:noProof/>
          <w:sz w:val="24"/>
          <w:szCs w:val="24"/>
        </w:rPr>
        <w:t>,</w:t>
      </w:r>
      <w:r w:rsidR="00EA5836">
        <w:rPr>
          <w:rFonts w:ascii="Times New Roman" w:hAnsi="Times New Roman"/>
          <w:noProof/>
          <w:sz w:val="24"/>
          <w:szCs w:val="24"/>
        </w:rPr>
        <w:t xml:space="preserve"> </w:t>
      </w:r>
      <w:r w:rsidR="00D26E25">
        <w:rPr>
          <w:rFonts w:ascii="Times New Roman" w:hAnsi="Times New Roman"/>
          <w:noProof/>
          <w:sz w:val="24"/>
          <w:szCs w:val="24"/>
        </w:rPr>
        <w:t>38</w:t>
      </w:r>
      <w:r w:rsidR="001D229A" w:rsidRPr="002940AD">
        <w:rPr>
          <w:rFonts w:ascii="Times New Roman" w:hAnsi="Times New Roman"/>
          <w:noProof/>
          <w:sz w:val="24"/>
          <w:szCs w:val="24"/>
        </w:rPr>
        <w:t xml:space="preserve"> in 2019</w:t>
      </w:r>
      <w:r w:rsidR="00DC12DE">
        <w:rPr>
          <w:rFonts w:ascii="Times New Roman" w:hAnsi="Times New Roman"/>
          <w:noProof/>
          <w:sz w:val="24"/>
          <w:szCs w:val="24"/>
        </w:rPr>
        <w:t xml:space="preserve"> and</w:t>
      </w:r>
      <w:r w:rsidR="00D26E25">
        <w:rPr>
          <w:rFonts w:ascii="Times New Roman" w:hAnsi="Times New Roman"/>
          <w:noProof/>
          <w:sz w:val="24"/>
          <w:szCs w:val="24"/>
        </w:rPr>
        <w:t xml:space="preserve"> 40 in 2020</w:t>
      </w:r>
      <w:r w:rsidRPr="002940AD">
        <w:rPr>
          <w:rFonts w:ascii="Times New Roman" w:hAnsi="Times New Roman"/>
          <w:noProof/>
          <w:sz w:val="24"/>
          <w:szCs w:val="24"/>
        </w:rPr>
        <w:t xml:space="preserve">), which represent </w:t>
      </w:r>
      <w:r w:rsidR="00D26E25">
        <w:rPr>
          <w:rFonts w:ascii="Times New Roman" w:hAnsi="Times New Roman"/>
          <w:noProof/>
          <w:sz w:val="24"/>
          <w:szCs w:val="24"/>
        </w:rPr>
        <w:t>5</w:t>
      </w:r>
      <w:r w:rsidRPr="002940AD">
        <w:rPr>
          <w:rFonts w:ascii="Times New Roman" w:hAnsi="Times New Roman"/>
          <w:noProof/>
          <w:sz w:val="24"/>
          <w:szCs w:val="24"/>
        </w:rPr>
        <w:t>.</w:t>
      </w:r>
      <w:r w:rsidR="00D26E25">
        <w:rPr>
          <w:rFonts w:ascii="Times New Roman" w:hAnsi="Times New Roman"/>
          <w:noProof/>
          <w:sz w:val="24"/>
          <w:szCs w:val="24"/>
        </w:rPr>
        <w:t>9</w:t>
      </w:r>
      <w:r w:rsidRPr="002940AD">
        <w:rPr>
          <w:rFonts w:ascii="Times New Roman" w:hAnsi="Times New Roman"/>
          <w:noProof/>
          <w:sz w:val="24"/>
          <w:szCs w:val="24"/>
        </w:rPr>
        <w:t xml:space="preserve">% of the total number of drafts notified by the Member States over the reporting period. For their part, the Member States issued </w:t>
      </w:r>
      <w:r w:rsidR="00A85441">
        <w:rPr>
          <w:rFonts w:ascii="Times New Roman" w:hAnsi="Times New Roman"/>
          <w:noProof/>
          <w:sz w:val="24"/>
          <w:szCs w:val="24"/>
        </w:rPr>
        <w:t>243</w:t>
      </w:r>
      <w:r w:rsidRPr="002940AD">
        <w:rPr>
          <w:rFonts w:ascii="Times New Roman" w:hAnsi="Times New Roman"/>
          <w:noProof/>
          <w:sz w:val="24"/>
          <w:szCs w:val="24"/>
        </w:rPr>
        <w:t xml:space="preserve"> detailed opinions (</w:t>
      </w:r>
      <w:r w:rsidR="00A85441">
        <w:rPr>
          <w:rFonts w:ascii="Times New Roman" w:hAnsi="Times New Roman"/>
          <w:noProof/>
          <w:sz w:val="24"/>
          <w:szCs w:val="24"/>
        </w:rPr>
        <w:t>78</w:t>
      </w:r>
      <w:r w:rsidR="005D14C3" w:rsidRPr="002940AD">
        <w:rPr>
          <w:rFonts w:ascii="Times New Roman" w:hAnsi="Times New Roman"/>
          <w:noProof/>
          <w:sz w:val="24"/>
          <w:szCs w:val="24"/>
        </w:rPr>
        <w:t xml:space="preserve"> in 2016, </w:t>
      </w:r>
      <w:r w:rsidR="00A85441">
        <w:rPr>
          <w:rFonts w:ascii="Times New Roman" w:hAnsi="Times New Roman"/>
          <w:noProof/>
          <w:sz w:val="24"/>
          <w:szCs w:val="24"/>
        </w:rPr>
        <w:t>44</w:t>
      </w:r>
      <w:r w:rsidR="005D14C3" w:rsidRPr="002940AD">
        <w:rPr>
          <w:rFonts w:ascii="Times New Roman" w:hAnsi="Times New Roman"/>
          <w:noProof/>
          <w:sz w:val="24"/>
          <w:szCs w:val="24"/>
        </w:rPr>
        <w:t xml:space="preserve"> in 2017, </w:t>
      </w:r>
      <w:r w:rsidR="00A85441">
        <w:rPr>
          <w:rFonts w:ascii="Times New Roman" w:hAnsi="Times New Roman"/>
          <w:noProof/>
          <w:sz w:val="24"/>
          <w:szCs w:val="24"/>
        </w:rPr>
        <w:t>38</w:t>
      </w:r>
      <w:r w:rsidR="005D14C3" w:rsidRPr="002940AD">
        <w:rPr>
          <w:rFonts w:ascii="Times New Roman" w:hAnsi="Times New Roman"/>
          <w:noProof/>
          <w:sz w:val="24"/>
          <w:szCs w:val="24"/>
        </w:rPr>
        <w:t xml:space="preserve"> in 2018</w:t>
      </w:r>
      <w:r w:rsidR="00D26E25">
        <w:rPr>
          <w:rFonts w:ascii="Times New Roman" w:hAnsi="Times New Roman"/>
          <w:noProof/>
          <w:sz w:val="24"/>
          <w:szCs w:val="24"/>
        </w:rPr>
        <w:t>,</w:t>
      </w:r>
      <w:r w:rsidR="005D14C3" w:rsidRPr="002940AD">
        <w:rPr>
          <w:rFonts w:ascii="Times New Roman" w:hAnsi="Times New Roman"/>
          <w:noProof/>
          <w:sz w:val="24"/>
          <w:szCs w:val="24"/>
        </w:rPr>
        <w:t xml:space="preserve">  </w:t>
      </w:r>
      <w:r w:rsidR="00A85441">
        <w:rPr>
          <w:rFonts w:ascii="Times New Roman" w:hAnsi="Times New Roman"/>
          <w:noProof/>
          <w:sz w:val="24"/>
          <w:szCs w:val="24"/>
        </w:rPr>
        <w:t>30</w:t>
      </w:r>
      <w:r w:rsidR="005D14C3" w:rsidRPr="002940AD">
        <w:rPr>
          <w:rFonts w:ascii="Times New Roman" w:hAnsi="Times New Roman"/>
          <w:noProof/>
          <w:sz w:val="24"/>
          <w:szCs w:val="24"/>
        </w:rPr>
        <w:t xml:space="preserve"> in 2019</w:t>
      </w:r>
      <w:r w:rsidR="00D26E25">
        <w:rPr>
          <w:rFonts w:ascii="Times New Roman" w:hAnsi="Times New Roman"/>
          <w:noProof/>
          <w:sz w:val="24"/>
          <w:szCs w:val="24"/>
        </w:rPr>
        <w:t xml:space="preserve"> and </w:t>
      </w:r>
      <w:r w:rsidR="00A85441">
        <w:rPr>
          <w:rFonts w:ascii="Times New Roman" w:hAnsi="Times New Roman"/>
          <w:noProof/>
          <w:sz w:val="24"/>
          <w:szCs w:val="24"/>
        </w:rPr>
        <w:t>53</w:t>
      </w:r>
      <w:r w:rsidR="00D26E25">
        <w:rPr>
          <w:rFonts w:ascii="Times New Roman" w:hAnsi="Times New Roman"/>
          <w:noProof/>
          <w:sz w:val="24"/>
          <w:szCs w:val="24"/>
        </w:rPr>
        <w:t xml:space="preserve"> in 2020</w:t>
      </w:r>
      <w:r w:rsidR="005D14C3" w:rsidRPr="002940AD">
        <w:rPr>
          <w:rFonts w:ascii="Times New Roman" w:hAnsi="Times New Roman"/>
          <w:noProof/>
          <w:sz w:val="24"/>
          <w:szCs w:val="24"/>
        </w:rPr>
        <w:t>)</w:t>
      </w:r>
      <w:r w:rsidRPr="002940AD">
        <w:rPr>
          <w:rFonts w:ascii="Times New Roman" w:hAnsi="Times New Roman"/>
          <w:noProof/>
          <w:sz w:val="24"/>
          <w:szCs w:val="24"/>
        </w:rPr>
        <w:t xml:space="preserve">. </w:t>
      </w:r>
      <w:r w:rsidR="00A56EFA" w:rsidRPr="002940AD">
        <w:rPr>
          <w:rFonts w:ascii="Times New Roman" w:hAnsi="Times New Roman"/>
          <w:noProof/>
          <w:sz w:val="24"/>
          <w:szCs w:val="24"/>
        </w:rPr>
        <w:t>Out o</w:t>
      </w:r>
      <w:r w:rsidRPr="002940AD">
        <w:rPr>
          <w:rFonts w:ascii="Times New Roman" w:hAnsi="Times New Roman"/>
          <w:noProof/>
          <w:sz w:val="24"/>
          <w:szCs w:val="24"/>
        </w:rPr>
        <w:t xml:space="preserve">f the </w:t>
      </w:r>
      <w:r w:rsidR="00B4111B" w:rsidRPr="002940AD">
        <w:rPr>
          <w:rFonts w:ascii="Times New Roman" w:hAnsi="Times New Roman"/>
          <w:noProof/>
          <w:sz w:val="24"/>
          <w:szCs w:val="24"/>
        </w:rPr>
        <w:t>1</w:t>
      </w:r>
      <w:r w:rsidR="004A32E4">
        <w:rPr>
          <w:rFonts w:ascii="Times New Roman" w:hAnsi="Times New Roman"/>
          <w:noProof/>
          <w:sz w:val="24"/>
          <w:szCs w:val="24"/>
        </w:rPr>
        <w:t> </w:t>
      </w:r>
      <w:r w:rsidR="00A85441">
        <w:rPr>
          <w:rFonts w:ascii="Times New Roman" w:hAnsi="Times New Roman"/>
          <w:noProof/>
          <w:sz w:val="24"/>
          <w:szCs w:val="24"/>
        </w:rPr>
        <w:t>291</w:t>
      </w:r>
      <w:r w:rsidRPr="002940AD">
        <w:rPr>
          <w:rFonts w:ascii="Times New Roman" w:hAnsi="Times New Roman"/>
          <w:noProof/>
          <w:sz w:val="24"/>
          <w:szCs w:val="24"/>
        </w:rPr>
        <w:t xml:space="preserve"> comments issued during the reporting period, </w:t>
      </w:r>
      <w:r w:rsidR="00A85441">
        <w:rPr>
          <w:rFonts w:ascii="Times New Roman" w:hAnsi="Times New Roman"/>
          <w:noProof/>
          <w:sz w:val="24"/>
          <w:szCs w:val="24"/>
        </w:rPr>
        <w:t>816</w:t>
      </w:r>
      <w:r w:rsidRPr="002940AD">
        <w:rPr>
          <w:rFonts w:ascii="Times New Roman" w:hAnsi="Times New Roman"/>
          <w:noProof/>
          <w:sz w:val="24"/>
          <w:szCs w:val="24"/>
        </w:rPr>
        <w:t xml:space="preserve"> were made by the Commission (</w:t>
      </w:r>
      <w:r w:rsidR="00A85441">
        <w:rPr>
          <w:rFonts w:ascii="Times New Roman" w:hAnsi="Times New Roman"/>
          <w:noProof/>
          <w:sz w:val="24"/>
          <w:szCs w:val="24"/>
        </w:rPr>
        <w:t>154</w:t>
      </w:r>
      <w:r w:rsidR="00B4111B" w:rsidRPr="002940AD">
        <w:rPr>
          <w:rFonts w:ascii="Times New Roman" w:hAnsi="Times New Roman"/>
          <w:noProof/>
          <w:sz w:val="24"/>
          <w:szCs w:val="24"/>
        </w:rPr>
        <w:t xml:space="preserve"> in 2016, </w:t>
      </w:r>
      <w:r w:rsidR="00A85441">
        <w:rPr>
          <w:rFonts w:ascii="Times New Roman" w:hAnsi="Times New Roman"/>
          <w:noProof/>
          <w:sz w:val="24"/>
          <w:szCs w:val="24"/>
        </w:rPr>
        <w:t>189</w:t>
      </w:r>
      <w:r w:rsidR="00B4111B" w:rsidRPr="002940AD">
        <w:rPr>
          <w:rFonts w:ascii="Times New Roman" w:hAnsi="Times New Roman"/>
          <w:noProof/>
          <w:sz w:val="24"/>
          <w:szCs w:val="24"/>
        </w:rPr>
        <w:t xml:space="preserve"> in 2017, </w:t>
      </w:r>
      <w:r w:rsidR="00A85441">
        <w:rPr>
          <w:rFonts w:ascii="Times New Roman" w:hAnsi="Times New Roman"/>
          <w:noProof/>
          <w:sz w:val="24"/>
          <w:szCs w:val="24"/>
        </w:rPr>
        <w:t>184</w:t>
      </w:r>
      <w:r w:rsidR="00B4111B" w:rsidRPr="002940AD">
        <w:rPr>
          <w:rFonts w:ascii="Times New Roman" w:hAnsi="Times New Roman"/>
          <w:noProof/>
          <w:sz w:val="24"/>
          <w:szCs w:val="24"/>
        </w:rPr>
        <w:t xml:space="preserve"> in 2018</w:t>
      </w:r>
      <w:r w:rsidR="00A85441">
        <w:rPr>
          <w:rFonts w:ascii="Times New Roman" w:hAnsi="Times New Roman"/>
          <w:noProof/>
          <w:sz w:val="24"/>
          <w:szCs w:val="24"/>
        </w:rPr>
        <w:t>,</w:t>
      </w:r>
      <w:r w:rsidR="00B571A6">
        <w:rPr>
          <w:rFonts w:ascii="Times New Roman" w:hAnsi="Times New Roman"/>
          <w:noProof/>
          <w:sz w:val="24"/>
          <w:szCs w:val="24"/>
        </w:rPr>
        <w:t xml:space="preserve"> </w:t>
      </w:r>
      <w:r w:rsidR="00A85441">
        <w:rPr>
          <w:rFonts w:ascii="Times New Roman" w:hAnsi="Times New Roman"/>
          <w:noProof/>
          <w:sz w:val="24"/>
          <w:szCs w:val="24"/>
        </w:rPr>
        <w:t>155</w:t>
      </w:r>
      <w:r w:rsidR="00B4111B" w:rsidRPr="002940AD">
        <w:rPr>
          <w:rFonts w:ascii="Times New Roman" w:hAnsi="Times New Roman"/>
          <w:noProof/>
          <w:sz w:val="24"/>
          <w:szCs w:val="24"/>
        </w:rPr>
        <w:t xml:space="preserve"> in 2019</w:t>
      </w:r>
      <w:r w:rsidR="00A85441">
        <w:rPr>
          <w:rFonts w:ascii="Times New Roman" w:hAnsi="Times New Roman"/>
          <w:noProof/>
          <w:sz w:val="24"/>
          <w:szCs w:val="24"/>
        </w:rPr>
        <w:t xml:space="preserve"> and 134 in 2020</w:t>
      </w:r>
      <w:r w:rsidRPr="002940AD">
        <w:rPr>
          <w:rFonts w:ascii="Times New Roman" w:hAnsi="Times New Roman"/>
          <w:noProof/>
          <w:sz w:val="24"/>
          <w:szCs w:val="24"/>
        </w:rPr>
        <w:t xml:space="preserve">) and </w:t>
      </w:r>
      <w:r w:rsidR="005726A7">
        <w:rPr>
          <w:rFonts w:ascii="Times New Roman" w:hAnsi="Times New Roman"/>
          <w:noProof/>
          <w:sz w:val="24"/>
          <w:szCs w:val="24"/>
        </w:rPr>
        <w:t>475</w:t>
      </w:r>
      <w:r w:rsidRPr="002940AD">
        <w:rPr>
          <w:rFonts w:ascii="Times New Roman" w:hAnsi="Times New Roman"/>
          <w:noProof/>
          <w:sz w:val="24"/>
          <w:szCs w:val="24"/>
        </w:rPr>
        <w:t xml:space="preserve"> by the Member States (</w:t>
      </w:r>
      <w:r w:rsidR="00B4111B" w:rsidRPr="002940AD">
        <w:rPr>
          <w:rFonts w:ascii="Times New Roman" w:hAnsi="Times New Roman"/>
          <w:noProof/>
          <w:sz w:val="24"/>
          <w:szCs w:val="24"/>
        </w:rPr>
        <w:t>11</w:t>
      </w:r>
      <w:r w:rsidR="005726A7">
        <w:rPr>
          <w:rFonts w:ascii="Times New Roman" w:hAnsi="Times New Roman"/>
          <w:noProof/>
          <w:sz w:val="24"/>
          <w:szCs w:val="24"/>
        </w:rPr>
        <w:t>8</w:t>
      </w:r>
      <w:r w:rsidR="00B4111B" w:rsidRPr="002940AD">
        <w:rPr>
          <w:rFonts w:ascii="Times New Roman" w:hAnsi="Times New Roman"/>
          <w:noProof/>
          <w:sz w:val="24"/>
          <w:szCs w:val="24"/>
        </w:rPr>
        <w:t xml:space="preserve"> in 2016, </w:t>
      </w:r>
      <w:r w:rsidR="005726A7">
        <w:rPr>
          <w:rFonts w:ascii="Times New Roman" w:hAnsi="Times New Roman"/>
          <w:noProof/>
          <w:sz w:val="24"/>
          <w:szCs w:val="24"/>
        </w:rPr>
        <w:t>74</w:t>
      </w:r>
      <w:r w:rsidR="00B4111B" w:rsidRPr="002940AD">
        <w:rPr>
          <w:rFonts w:ascii="Times New Roman" w:hAnsi="Times New Roman"/>
          <w:noProof/>
          <w:sz w:val="24"/>
          <w:szCs w:val="24"/>
        </w:rPr>
        <w:t xml:space="preserve"> in 2017, </w:t>
      </w:r>
      <w:r w:rsidR="005726A7">
        <w:rPr>
          <w:rFonts w:ascii="Times New Roman" w:hAnsi="Times New Roman"/>
          <w:noProof/>
          <w:sz w:val="24"/>
          <w:szCs w:val="24"/>
        </w:rPr>
        <w:t>77</w:t>
      </w:r>
      <w:r w:rsidR="00B4111B" w:rsidRPr="002940AD">
        <w:rPr>
          <w:rFonts w:ascii="Times New Roman" w:hAnsi="Times New Roman"/>
          <w:noProof/>
          <w:sz w:val="24"/>
          <w:szCs w:val="24"/>
        </w:rPr>
        <w:t xml:space="preserve"> in 2018</w:t>
      </w:r>
      <w:r w:rsidR="005726A7">
        <w:rPr>
          <w:rFonts w:ascii="Times New Roman" w:hAnsi="Times New Roman"/>
          <w:noProof/>
          <w:sz w:val="24"/>
          <w:szCs w:val="24"/>
        </w:rPr>
        <w:t>,</w:t>
      </w:r>
      <w:r w:rsidR="00B4111B" w:rsidRPr="002940AD">
        <w:rPr>
          <w:rFonts w:ascii="Times New Roman" w:hAnsi="Times New Roman"/>
          <w:noProof/>
          <w:sz w:val="24"/>
          <w:szCs w:val="24"/>
        </w:rPr>
        <w:t xml:space="preserve"> </w:t>
      </w:r>
      <w:r w:rsidR="005726A7">
        <w:rPr>
          <w:rFonts w:ascii="Times New Roman" w:hAnsi="Times New Roman"/>
          <w:noProof/>
          <w:sz w:val="24"/>
          <w:szCs w:val="24"/>
        </w:rPr>
        <w:t>64</w:t>
      </w:r>
      <w:r w:rsidR="00B4111B" w:rsidRPr="002940AD">
        <w:rPr>
          <w:rFonts w:ascii="Times New Roman" w:hAnsi="Times New Roman"/>
          <w:noProof/>
          <w:sz w:val="24"/>
          <w:szCs w:val="24"/>
        </w:rPr>
        <w:t xml:space="preserve"> in 2019</w:t>
      </w:r>
      <w:r w:rsidR="005726A7">
        <w:rPr>
          <w:rFonts w:ascii="Times New Roman" w:hAnsi="Times New Roman"/>
          <w:noProof/>
          <w:sz w:val="24"/>
          <w:szCs w:val="24"/>
        </w:rPr>
        <w:t xml:space="preserve"> and 142 in 2020</w:t>
      </w:r>
      <w:r w:rsidRPr="002940AD">
        <w:rPr>
          <w:rFonts w:ascii="Times New Roman" w:hAnsi="Times New Roman"/>
          <w:noProof/>
          <w:sz w:val="24"/>
          <w:szCs w:val="24"/>
        </w:rPr>
        <w:t xml:space="preserve">) (see Annexes </w:t>
      </w:r>
      <w:r w:rsidR="00426458" w:rsidRPr="002940AD">
        <w:rPr>
          <w:rFonts w:ascii="Times New Roman" w:hAnsi="Times New Roman"/>
          <w:noProof/>
          <w:sz w:val="24"/>
          <w:szCs w:val="24"/>
        </w:rPr>
        <w:t>3</w:t>
      </w:r>
      <w:r w:rsidRPr="002940AD">
        <w:rPr>
          <w:rFonts w:ascii="Times New Roman" w:hAnsi="Times New Roman"/>
          <w:noProof/>
          <w:sz w:val="24"/>
          <w:szCs w:val="24"/>
        </w:rPr>
        <w:t>.</w:t>
      </w:r>
      <w:r w:rsidR="00A627E6" w:rsidRPr="002940AD">
        <w:rPr>
          <w:rFonts w:ascii="Times New Roman" w:hAnsi="Times New Roman"/>
          <w:noProof/>
          <w:sz w:val="24"/>
          <w:szCs w:val="24"/>
        </w:rPr>
        <w:t>4</w:t>
      </w:r>
      <w:r w:rsidRPr="002940AD">
        <w:rPr>
          <w:rFonts w:ascii="Times New Roman" w:hAnsi="Times New Roman"/>
          <w:noProof/>
          <w:sz w:val="24"/>
          <w:szCs w:val="24"/>
        </w:rPr>
        <w:t xml:space="preserve"> and </w:t>
      </w:r>
      <w:r w:rsidR="00426458" w:rsidRPr="002940AD">
        <w:rPr>
          <w:rFonts w:ascii="Times New Roman" w:hAnsi="Times New Roman"/>
          <w:noProof/>
          <w:sz w:val="24"/>
          <w:szCs w:val="24"/>
        </w:rPr>
        <w:t>3</w:t>
      </w:r>
      <w:r w:rsidRPr="002940AD">
        <w:rPr>
          <w:rFonts w:ascii="Times New Roman" w:hAnsi="Times New Roman"/>
          <w:noProof/>
          <w:sz w:val="24"/>
          <w:szCs w:val="24"/>
        </w:rPr>
        <w:t>.</w:t>
      </w:r>
      <w:r w:rsidR="00A627E6" w:rsidRPr="002940AD">
        <w:rPr>
          <w:rFonts w:ascii="Times New Roman" w:hAnsi="Times New Roman"/>
          <w:noProof/>
          <w:sz w:val="24"/>
          <w:szCs w:val="24"/>
        </w:rPr>
        <w:t>6</w:t>
      </w:r>
      <w:r w:rsidRPr="002940AD">
        <w:rPr>
          <w:rFonts w:ascii="Times New Roman" w:hAnsi="Times New Roman"/>
          <w:noProof/>
          <w:sz w:val="24"/>
          <w:szCs w:val="24"/>
        </w:rPr>
        <w:t>).</w:t>
      </w:r>
      <w:r w:rsidR="00DF242F" w:rsidRPr="002940AD">
        <w:rPr>
          <w:rFonts w:ascii="Times New Roman" w:hAnsi="Times New Roman"/>
          <w:noProof/>
          <w:sz w:val="24"/>
          <w:szCs w:val="24"/>
        </w:rPr>
        <w:t xml:space="preserve"> In five cases</w:t>
      </w:r>
      <w:r w:rsidR="001624AA">
        <w:rPr>
          <w:rFonts w:ascii="Times New Roman" w:hAnsi="Times New Roman"/>
          <w:noProof/>
          <w:sz w:val="24"/>
          <w:szCs w:val="24"/>
        </w:rPr>
        <w:t>,</w:t>
      </w:r>
      <w:r w:rsidR="00DF242F" w:rsidRPr="002940AD">
        <w:rPr>
          <w:rFonts w:ascii="Times New Roman" w:hAnsi="Times New Roman"/>
          <w:noProof/>
          <w:sz w:val="24"/>
          <w:szCs w:val="24"/>
        </w:rPr>
        <w:t xml:space="preserve"> the Commission invited the Member States concerned to postpone adoption of the notified </w:t>
      </w:r>
      <w:r w:rsidR="005D5445" w:rsidRPr="002940AD">
        <w:rPr>
          <w:rFonts w:ascii="Times New Roman" w:hAnsi="Times New Roman"/>
          <w:noProof/>
          <w:sz w:val="24"/>
          <w:szCs w:val="24"/>
        </w:rPr>
        <w:t xml:space="preserve">technical </w:t>
      </w:r>
      <w:r w:rsidR="00DF242F" w:rsidRPr="002940AD">
        <w:rPr>
          <w:rFonts w:ascii="Times New Roman" w:hAnsi="Times New Roman"/>
          <w:noProof/>
          <w:sz w:val="24"/>
          <w:szCs w:val="24"/>
        </w:rPr>
        <w:t xml:space="preserve">regulations for </w:t>
      </w:r>
      <w:r w:rsidR="004A32E4">
        <w:rPr>
          <w:rFonts w:ascii="Times New Roman" w:hAnsi="Times New Roman"/>
          <w:noProof/>
          <w:sz w:val="24"/>
          <w:szCs w:val="24"/>
        </w:rPr>
        <w:t>1</w:t>
      </w:r>
      <w:r w:rsidR="004A32E4" w:rsidRPr="002940AD">
        <w:rPr>
          <w:rFonts w:ascii="Times New Roman" w:hAnsi="Times New Roman"/>
          <w:noProof/>
          <w:sz w:val="24"/>
          <w:szCs w:val="24"/>
        </w:rPr>
        <w:t xml:space="preserve"> </w:t>
      </w:r>
      <w:r w:rsidR="00DF242F" w:rsidRPr="002940AD">
        <w:rPr>
          <w:rFonts w:ascii="Times New Roman" w:hAnsi="Times New Roman"/>
          <w:noProof/>
          <w:sz w:val="24"/>
          <w:szCs w:val="24"/>
        </w:rPr>
        <w:t xml:space="preserve">year from the date of their receipt, because there was EU harmonisation work announced or under way in </w:t>
      </w:r>
      <w:r w:rsidR="005D5445" w:rsidRPr="002940AD">
        <w:rPr>
          <w:rFonts w:ascii="Times New Roman" w:hAnsi="Times New Roman"/>
          <w:noProof/>
          <w:sz w:val="24"/>
          <w:szCs w:val="24"/>
        </w:rPr>
        <w:t xml:space="preserve">the </w:t>
      </w:r>
      <w:r w:rsidR="00DF242F" w:rsidRPr="002940AD">
        <w:rPr>
          <w:rFonts w:ascii="Times New Roman" w:hAnsi="Times New Roman"/>
          <w:noProof/>
          <w:sz w:val="24"/>
          <w:szCs w:val="24"/>
        </w:rPr>
        <w:t xml:space="preserve">area </w:t>
      </w:r>
      <w:r w:rsidR="005D5445" w:rsidRPr="002940AD">
        <w:rPr>
          <w:rFonts w:ascii="Times New Roman" w:hAnsi="Times New Roman"/>
          <w:noProof/>
          <w:sz w:val="24"/>
          <w:szCs w:val="24"/>
        </w:rPr>
        <w:t xml:space="preserve">covered by the notified drafts </w:t>
      </w:r>
      <w:r w:rsidR="00DF242F" w:rsidRPr="002940AD">
        <w:rPr>
          <w:rFonts w:ascii="Times New Roman" w:hAnsi="Times New Roman"/>
          <w:noProof/>
          <w:sz w:val="24"/>
          <w:szCs w:val="24"/>
        </w:rPr>
        <w:t>(see Annex</w:t>
      </w:r>
      <w:r w:rsidR="00F21DBA" w:rsidRPr="002940AD">
        <w:rPr>
          <w:rFonts w:ascii="Times New Roman" w:hAnsi="Times New Roman"/>
          <w:noProof/>
          <w:sz w:val="24"/>
          <w:szCs w:val="24"/>
        </w:rPr>
        <w:t xml:space="preserve"> 3</w:t>
      </w:r>
      <w:r w:rsidR="00DF242F" w:rsidRPr="002940AD">
        <w:rPr>
          <w:rFonts w:ascii="Times New Roman" w:hAnsi="Times New Roman"/>
          <w:noProof/>
          <w:sz w:val="24"/>
          <w:szCs w:val="24"/>
        </w:rPr>
        <w:t>.</w:t>
      </w:r>
      <w:r w:rsidR="00A627E6" w:rsidRPr="002940AD">
        <w:rPr>
          <w:rFonts w:ascii="Times New Roman" w:hAnsi="Times New Roman"/>
          <w:noProof/>
          <w:sz w:val="24"/>
          <w:szCs w:val="24"/>
        </w:rPr>
        <w:t>5</w:t>
      </w:r>
      <w:r w:rsidR="00DF242F" w:rsidRPr="002940AD">
        <w:rPr>
          <w:rFonts w:ascii="Times New Roman" w:hAnsi="Times New Roman"/>
          <w:noProof/>
          <w:sz w:val="24"/>
          <w:szCs w:val="24"/>
        </w:rPr>
        <w:t>).</w:t>
      </w:r>
    </w:p>
    <w:p w14:paraId="0C9E20E8" w14:textId="77777777" w:rsidR="0049046D" w:rsidRPr="002940AD" w:rsidRDefault="006C0951">
      <w:pPr>
        <w:spacing w:line="240" w:lineRule="auto"/>
        <w:jc w:val="both"/>
        <w:rPr>
          <w:rFonts w:ascii="Times New Roman" w:hAnsi="Times New Roman"/>
          <w:noProof/>
          <w:sz w:val="24"/>
          <w:szCs w:val="24"/>
        </w:rPr>
      </w:pPr>
      <w:r>
        <w:rPr>
          <w:rFonts w:ascii="Times New Roman" w:hAnsi="Times New Roman"/>
          <w:noProof/>
          <w:sz w:val="24"/>
          <w:szCs w:val="24"/>
        </w:rPr>
        <w:t>L</w:t>
      </w:r>
      <w:r w:rsidR="0032177D">
        <w:rPr>
          <w:rFonts w:ascii="Times New Roman" w:hAnsi="Times New Roman"/>
          <w:noProof/>
          <w:sz w:val="24"/>
          <w:szCs w:val="24"/>
        </w:rPr>
        <w:t xml:space="preserve">ooking </w:t>
      </w:r>
      <w:r w:rsidRPr="002940AD">
        <w:rPr>
          <w:rFonts w:ascii="Times New Roman" w:hAnsi="Times New Roman"/>
          <w:noProof/>
          <w:sz w:val="24"/>
          <w:szCs w:val="24"/>
        </w:rPr>
        <w:t>by sector</w:t>
      </w:r>
      <w:r>
        <w:rPr>
          <w:rFonts w:ascii="Times New Roman" w:hAnsi="Times New Roman"/>
          <w:noProof/>
          <w:sz w:val="24"/>
          <w:szCs w:val="24"/>
        </w:rPr>
        <w:t xml:space="preserve"> </w:t>
      </w:r>
      <w:r w:rsidR="0032177D">
        <w:rPr>
          <w:rFonts w:ascii="Times New Roman" w:hAnsi="Times New Roman"/>
          <w:noProof/>
          <w:sz w:val="24"/>
          <w:szCs w:val="24"/>
        </w:rPr>
        <w:t>at t</w:t>
      </w:r>
      <w:r w:rsidR="001F7678" w:rsidRPr="002940AD">
        <w:rPr>
          <w:rFonts w:ascii="Times New Roman" w:hAnsi="Times New Roman"/>
          <w:noProof/>
          <w:sz w:val="24"/>
          <w:szCs w:val="24"/>
        </w:rPr>
        <w:t>he number of reactions (comments</w:t>
      </w:r>
      <w:r w:rsidR="000A2153" w:rsidRPr="002940AD">
        <w:rPr>
          <w:rFonts w:ascii="Times New Roman" w:hAnsi="Times New Roman"/>
          <w:noProof/>
          <w:sz w:val="24"/>
          <w:szCs w:val="24"/>
        </w:rPr>
        <w:t>,</w:t>
      </w:r>
      <w:r w:rsidR="001F7678" w:rsidRPr="002940AD">
        <w:rPr>
          <w:rFonts w:ascii="Times New Roman" w:hAnsi="Times New Roman"/>
          <w:noProof/>
          <w:sz w:val="24"/>
          <w:szCs w:val="24"/>
        </w:rPr>
        <w:t xml:space="preserve"> detailed opinions</w:t>
      </w:r>
      <w:r w:rsidR="000A2153" w:rsidRPr="002940AD">
        <w:rPr>
          <w:rFonts w:ascii="Times New Roman" w:hAnsi="Times New Roman"/>
          <w:noProof/>
          <w:sz w:val="24"/>
          <w:szCs w:val="24"/>
        </w:rPr>
        <w:t xml:space="preserve"> and Commission decisions to postpone adoption of a draft</w:t>
      </w:r>
      <w:r w:rsidR="001F7678" w:rsidRPr="002940AD">
        <w:rPr>
          <w:rFonts w:ascii="Times New Roman" w:hAnsi="Times New Roman"/>
          <w:noProof/>
          <w:sz w:val="24"/>
          <w:szCs w:val="24"/>
        </w:rPr>
        <w:t xml:space="preserve">) issued by each Member State </w:t>
      </w:r>
      <w:r w:rsidR="000A2153" w:rsidRPr="002940AD">
        <w:rPr>
          <w:rFonts w:ascii="Times New Roman" w:hAnsi="Times New Roman"/>
          <w:noProof/>
          <w:sz w:val="24"/>
          <w:szCs w:val="24"/>
        </w:rPr>
        <w:t xml:space="preserve">and the Commission </w:t>
      </w:r>
      <w:r w:rsidR="001F7678" w:rsidRPr="002940AD">
        <w:rPr>
          <w:rFonts w:ascii="Times New Roman" w:hAnsi="Times New Roman"/>
          <w:noProof/>
          <w:sz w:val="24"/>
          <w:szCs w:val="24"/>
        </w:rPr>
        <w:t>in the reporting period</w:t>
      </w:r>
      <w:r w:rsidR="0032177D">
        <w:rPr>
          <w:rFonts w:ascii="Times New Roman" w:hAnsi="Times New Roman"/>
          <w:noProof/>
          <w:sz w:val="24"/>
          <w:szCs w:val="24"/>
        </w:rPr>
        <w:t>, we can gain</w:t>
      </w:r>
      <w:r w:rsidR="005454C1" w:rsidRPr="002940AD">
        <w:rPr>
          <w:rFonts w:ascii="Times New Roman" w:hAnsi="Times New Roman"/>
          <w:noProof/>
          <w:sz w:val="24"/>
          <w:szCs w:val="24"/>
        </w:rPr>
        <w:t xml:space="preserve"> further </w:t>
      </w:r>
      <w:r w:rsidR="0032177D" w:rsidRPr="002940AD">
        <w:rPr>
          <w:rFonts w:ascii="Times New Roman" w:hAnsi="Times New Roman"/>
          <w:noProof/>
          <w:sz w:val="24"/>
          <w:szCs w:val="24"/>
        </w:rPr>
        <w:t>in</w:t>
      </w:r>
      <w:r w:rsidR="0032177D">
        <w:rPr>
          <w:rFonts w:ascii="Times New Roman" w:hAnsi="Times New Roman"/>
          <w:noProof/>
          <w:sz w:val="24"/>
          <w:szCs w:val="24"/>
        </w:rPr>
        <w:t>sight into</w:t>
      </w:r>
      <w:r w:rsidR="005454C1" w:rsidRPr="002940AD">
        <w:rPr>
          <w:rFonts w:ascii="Times New Roman" w:hAnsi="Times New Roman"/>
          <w:noProof/>
          <w:sz w:val="24"/>
          <w:szCs w:val="24"/>
        </w:rPr>
        <w:t xml:space="preserve"> the </w:t>
      </w:r>
      <w:r w:rsidR="0032177D" w:rsidRPr="002940AD">
        <w:rPr>
          <w:rFonts w:ascii="Times New Roman" w:hAnsi="Times New Roman"/>
          <w:noProof/>
          <w:sz w:val="24"/>
          <w:szCs w:val="24"/>
        </w:rPr>
        <w:t>Member States</w:t>
      </w:r>
      <w:r w:rsidR="0032177D">
        <w:rPr>
          <w:rFonts w:ascii="Times New Roman" w:hAnsi="Times New Roman"/>
          <w:noProof/>
          <w:sz w:val="24"/>
          <w:szCs w:val="24"/>
        </w:rPr>
        <w:t>’</w:t>
      </w:r>
      <w:r w:rsidR="0032177D" w:rsidRPr="002940AD">
        <w:rPr>
          <w:rFonts w:ascii="Times New Roman" w:hAnsi="Times New Roman"/>
          <w:noProof/>
          <w:sz w:val="24"/>
          <w:szCs w:val="24"/>
        </w:rPr>
        <w:t xml:space="preserve"> </w:t>
      </w:r>
      <w:r w:rsidR="005454C1" w:rsidRPr="002940AD">
        <w:rPr>
          <w:rFonts w:ascii="Times New Roman" w:hAnsi="Times New Roman"/>
          <w:noProof/>
          <w:sz w:val="24"/>
          <w:szCs w:val="24"/>
        </w:rPr>
        <w:t xml:space="preserve">participation in the dialogue triggered by the notifications and on the specific interests of </w:t>
      </w:r>
      <w:r w:rsidR="007B452D">
        <w:rPr>
          <w:rFonts w:ascii="Times New Roman" w:hAnsi="Times New Roman"/>
          <w:noProof/>
          <w:sz w:val="24"/>
          <w:szCs w:val="24"/>
        </w:rPr>
        <w:t>certain</w:t>
      </w:r>
      <w:r w:rsidR="007B452D" w:rsidRPr="002940AD">
        <w:rPr>
          <w:rFonts w:ascii="Times New Roman" w:hAnsi="Times New Roman"/>
          <w:noProof/>
          <w:sz w:val="24"/>
          <w:szCs w:val="24"/>
        </w:rPr>
        <w:t xml:space="preserve"> </w:t>
      </w:r>
      <w:r w:rsidR="005454C1" w:rsidRPr="002940AD">
        <w:rPr>
          <w:rFonts w:ascii="Times New Roman" w:hAnsi="Times New Roman"/>
          <w:noProof/>
          <w:sz w:val="24"/>
          <w:szCs w:val="24"/>
        </w:rPr>
        <w:t>Member States whose reactions are more concentrated in specific sectors (see Annex 3.6, Table 6).</w:t>
      </w:r>
      <w:r w:rsidR="00CD1D20">
        <w:rPr>
          <w:rFonts w:ascii="Times New Roman" w:hAnsi="Times New Roman"/>
          <w:noProof/>
          <w:sz w:val="24"/>
          <w:szCs w:val="24"/>
        </w:rPr>
        <w:t xml:space="preserve"> </w:t>
      </w:r>
      <w:r w:rsidR="00651CD9">
        <w:rPr>
          <w:rFonts w:ascii="Times New Roman" w:hAnsi="Times New Roman"/>
          <w:noProof/>
          <w:sz w:val="24"/>
          <w:szCs w:val="24"/>
        </w:rPr>
        <w:t>Italy, Spain, Austria</w:t>
      </w:r>
      <w:r w:rsidR="006224BC" w:rsidRPr="002940AD">
        <w:rPr>
          <w:rFonts w:ascii="Times New Roman" w:hAnsi="Times New Roman"/>
          <w:noProof/>
          <w:sz w:val="24"/>
          <w:szCs w:val="24"/>
        </w:rPr>
        <w:t xml:space="preserve"> and</w:t>
      </w:r>
      <w:r w:rsidR="001F7678" w:rsidRPr="002940AD">
        <w:rPr>
          <w:rFonts w:ascii="Times New Roman" w:hAnsi="Times New Roman"/>
          <w:noProof/>
          <w:sz w:val="24"/>
          <w:szCs w:val="24"/>
        </w:rPr>
        <w:t xml:space="preserve"> Poland are among the most active Member States. Analysis of the reactions per Member State and by sector shows </w:t>
      </w:r>
      <w:r w:rsidR="0032177D">
        <w:rPr>
          <w:rFonts w:ascii="Times New Roman" w:hAnsi="Times New Roman"/>
          <w:noProof/>
          <w:sz w:val="24"/>
          <w:szCs w:val="24"/>
        </w:rPr>
        <w:t>that Austria, Spain</w:t>
      </w:r>
      <w:r w:rsidR="0032177D" w:rsidRPr="002940AD">
        <w:rPr>
          <w:rFonts w:ascii="Times New Roman" w:hAnsi="Times New Roman"/>
          <w:noProof/>
          <w:sz w:val="24"/>
          <w:szCs w:val="24"/>
        </w:rPr>
        <w:t xml:space="preserve"> and Italy </w:t>
      </w:r>
      <w:r w:rsidR="0032177D">
        <w:rPr>
          <w:rFonts w:ascii="Times New Roman" w:hAnsi="Times New Roman"/>
          <w:noProof/>
          <w:sz w:val="24"/>
          <w:szCs w:val="24"/>
        </w:rPr>
        <w:t xml:space="preserve">take </w:t>
      </w:r>
      <w:r w:rsidR="001F7678" w:rsidRPr="002940AD">
        <w:rPr>
          <w:rFonts w:ascii="Times New Roman" w:hAnsi="Times New Roman"/>
          <w:noProof/>
          <w:sz w:val="24"/>
          <w:szCs w:val="24"/>
        </w:rPr>
        <w:t xml:space="preserve">a particular interest </w:t>
      </w:r>
      <w:r w:rsidR="0032177D">
        <w:rPr>
          <w:rFonts w:ascii="Times New Roman" w:hAnsi="Times New Roman"/>
          <w:noProof/>
          <w:sz w:val="24"/>
          <w:szCs w:val="24"/>
        </w:rPr>
        <w:t>in</w:t>
      </w:r>
      <w:r w:rsidR="001F7678" w:rsidRPr="002940AD">
        <w:rPr>
          <w:rFonts w:ascii="Times New Roman" w:hAnsi="Times New Roman"/>
          <w:noProof/>
          <w:sz w:val="24"/>
          <w:szCs w:val="24"/>
        </w:rPr>
        <w:t xml:space="preserve"> the agriculture, fishery and foodstuffs sector.</w:t>
      </w:r>
      <w:r w:rsidR="000A2153" w:rsidRPr="002940AD">
        <w:rPr>
          <w:rFonts w:ascii="Times New Roman" w:hAnsi="Times New Roman"/>
          <w:noProof/>
          <w:sz w:val="24"/>
          <w:szCs w:val="24"/>
        </w:rPr>
        <w:t xml:space="preserve"> Most of the reactions issued by the Commission concern </w:t>
      </w:r>
      <w:r w:rsidR="00EF1CB1" w:rsidRPr="002940AD">
        <w:rPr>
          <w:rFonts w:ascii="Times New Roman" w:hAnsi="Times New Roman"/>
          <w:noProof/>
          <w:sz w:val="24"/>
          <w:szCs w:val="24"/>
        </w:rPr>
        <w:t>the construction</w:t>
      </w:r>
      <w:r w:rsidR="00645C89" w:rsidRPr="002940AD">
        <w:rPr>
          <w:rFonts w:ascii="Times New Roman" w:hAnsi="Times New Roman"/>
          <w:noProof/>
          <w:sz w:val="24"/>
          <w:szCs w:val="24"/>
        </w:rPr>
        <w:t xml:space="preserve"> and agricultural sectors.</w:t>
      </w:r>
    </w:p>
    <w:p w14:paraId="29611B35" w14:textId="77777777" w:rsidR="0049046D" w:rsidRPr="002940AD" w:rsidRDefault="001F7678">
      <w:pPr>
        <w:pStyle w:val="ListBullet"/>
        <w:numPr>
          <w:ilvl w:val="0"/>
          <w:numId w:val="0"/>
        </w:numPr>
        <w:rPr>
          <w:noProof/>
          <w:szCs w:val="24"/>
        </w:rPr>
      </w:pPr>
      <w:r w:rsidRPr="002940AD">
        <w:rPr>
          <w:noProof/>
          <w:szCs w:val="24"/>
        </w:rPr>
        <w:t xml:space="preserve">Thanks to the access to all notifications and to the messages exchanged within the dialogues, Member States </w:t>
      </w:r>
      <w:r w:rsidR="0032177D">
        <w:rPr>
          <w:noProof/>
          <w:szCs w:val="24"/>
        </w:rPr>
        <w:t>can</w:t>
      </w:r>
      <w:r w:rsidR="0032177D" w:rsidRPr="002940AD">
        <w:rPr>
          <w:noProof/>
          <w:szCs w:val="24"/>
        </w:rPr>
        <w:t xml:space="preserve"> </w:t>
      </w:r>
      <w:r w:rsidRPr="002940AD">
        <w:rPr>
          <w:noProof/>
          <w:szCs w:val="24"/>
        </w:rPr>
        <w:t>use the Single Market Transparency Directive to draw on the ideas of their partners</w:t>
      </w:r>
      <w:r w:rsidR="0032177D">
        <w:rPr>
          <w:noProof/>
          <w:szCs w:val="24"/>
        </w:rPr>
        <w:t>. These can be used</w:t>
      </w:r>
      <w:r w:rsidRPr="002940AD">
        <w:rPr>
          <w:noProof/>
          <w:szCs w:val="24"/>
        </w:rPr>
        <w:t xml:space="preserve"> to solve common problems regarding technical regulations and to </w:t>
      </w:r>
      <w:r w:rsidR="008A41D6" w:rsidRPr="002940AD">
        <w:rPr>
          <w:noProof/>
          <w:szCs w:val="24"/>
        </w:rPr>
        <w:t>understand</w:t>
      </w:r>
      <w:r w:rsidRPr="002940AD">
        <w:rPr>
          <w:noProof/>
          <w:szCs w:val="24"/>
        </w:rPr>
        <w:t xml:space="preserve"> when a draft technical regulation could be in breach of EU law. </w:t>
      </w:r>
    </w:p>
    <w:p w14:paraId="0D5D7934" w14:textId="77777777" w:rsidR="0049046D" w:rsidRPr="002940AD" w:rsidRDefault="001F7678">
      <w:pPr>
        <w:pStyle w:val="Heading2"/>
        <w:numPr>
          <w:ilvl w:val="1"/>
          <w:numId w:val="36"/>
        </w:numPr>
        <w:ind w:left="851" w:hanging="851"/>
        <w:rPr>
          <w:i/>
          <w:noProof/>
        </w:rPr>
      </w:pPr>
      <w:bookmarkStart w:id="17" w:name="_Toc242246325"/>
      <w:bookmarkStart w:id="18" w:name="_Toc404941546"/>
      <w:bookmarkStart w:id="19" w:name="_Toc98517788"/>
      <w:r w:rsidRPr="002940AD">
        <w:rPr>
          <w:i/>
          <w:noProof/>
        </w:rPr>
        <w:t>Use of the urgency procedure</w:t>
      </w:r>
      <w:bookmarkEnd w:id="17"/>
      <w:bookmarkEnd w:id="18"/>
      <w:bookmarkEnd w:id="19"/>
    </w:p>
    <w:p w14:paraId="55FF752A" w14:textId="586427F1" w:rsidR="00CB4FC9" w:rsidRPr="002940AD" w:rsidRDefault="00CB4FC9">
      <w:pPr>
        <w:pStyle w:val="Text1"/>
        <w:ind w:left="0"/>
        <w:rPr>
          <w:noProof/>
        </w:rPr>
      </w:pPr>
      <w:r w:rsidRPr="002940AD">
        <w:rPr>
          <w:noProof/>
        </w:rPr>
        <w:t xml:space="preserve">Member States may </w:t>
      </w:r>
      <w:r w:rsidR="00C8103E">
        <w:rPr>
          <w:noProof/>
        </w:rPr>
        <w:t xml:space="preserve">request the Commission </w:t>
      </w:r>
      <w:r w:rsidR="005441C6">
        <w:rPr>
          <w:noProof/>
        </w:rPr>
        <w:t>to assess their proposal to</w:t>
      </w:r>
      <w:r w:rsidR="00C8103E">
        <w:rPr>
          <w:noProof/>
        </w:rPr>
        <w:t xml:space="preserve"> </w:t>
      </w:r>
      <w:r w:rsidRPr="002940AD">
        <w:rPr>
          <w:noProof/>
        </w:rPr>
        <w:t xml:space="preserve">invoke the urgency procedure </w:t>
      </w:r>
      <w:r w:rsidR="0032177D">
        <w:rPr>
          <w:noProof/>
        </w:rPr>
        <w:t>provided for</w:t>
      </w:r>
      <w:r w:rsidR="0032177D" w:rsidRPr="002940AD">
        <w:rPr>
          <w:noProof/>
        </w:rPr>
        <w:t xml:space="preserve"> </w:t>
      </w:r>
      <w:r w:rsidRPr="002940AD">
        <w:rPr>
          <w:noProof/>
        </w:rPr>
        <w:t>in Article 6(7) of the Single Market Transparency Directive if, in order to respond to an urgent and unforeseeable situation they are obliged to adopt technical regulations</w:t>
      </w:r>
      <w:r w:rsidR="00F40BD2" w:rsidRPr="002940AD">
        <w:rPr>
          <w:noProof/>
        </w:rPr>
        <w:t xml:space="preserve"> </w:t>
      </w:r>
      <w:r w:rsidR="0032177D" w:rsidRPr="002940AD">
        <w:rPr>
          <w:noProof/>
        </w:rPr>
        <w:t xml:space="preserve">immediately </w:t>
      </w:r>
      <w:r w:rsidR="00F40BD2" w:rsidRPr="002940AD">
        <w:rPr>
          <w:noProof/>
        </w:rPr>
        <w:t>and do not have</w:t>
      </w:r>
      <w:r w:rsidRPr="002940AD">
        <w:rPr>
          <w:noProof/>
        </w:rPr>
        <w:t xml:space="preserve"> time </w:t>
      </w:r>
      <w:r w:rsidR="00F40BD2" w:rsidRPr="002940AD">
        <w:rPr>
          <w:noProof/>
        </w:rPr>
        <w:t xml:space="preserve">to wait for the </w:t>
      </w:r>
      <w:r w:rsidR="0032177D">
        <w:rPr>
          <w:noProof/>
        </w:rPr>
        <w:t>3</w:t>
      </w:r>
      <w:r w:rsidR="00F40BD2" w:rsidRPr="002940AD">
        <w:rPr>
          <w:noProof/>
        </w:rPr>
        <w:t xml:space="preserve">-month standstill period </w:t>
      </w:r>
      <w:r w:rsidRPr="002940AD">
        <w:rPr>
          <w:noProof/>
        </w:rPr>
        <w:t xml:space="preserve">to consult the Commission and the other Member States beforehand. If </w:t>
      </w:r>
      <w:r w:rsidR="001B18B5" w:rsidRPr="002940AD">
        <w:rPr>
          <w:noProof/>
        </w:rPr>
        <w:t>the Commission</w:t>
      </w:r>
      <w:r w:rsidR="005441C6">
        <w:rPr>
          <w:noProof/>
        </w:rPr>
        <w:t>,</w:t>
      </w:r>
      <w:r w:rsidR="001B18B5" w:rsidRPr="002940AD">
        <w:rPr>
          <w:noProof/>
        </w:rPr>
        <w:t xml:space="preserve"> </w:t>
      </w:r>
      <w:r w:rsidR="00703FD4">
        <w:rPr>
          <w:noProof/>
        </w:rPr>
        <w:t>after reviewing the reasons brought forward by the Member State concerned,</w:t>
      </w:r>
      <w:r w:rsidR="001B18B5" w:rsidRPr="002940AD">
        <w:rPr>
          <w:noProof/>
        </w:rPr>
        <w:t xml:space="preserve"> </w:t>
      </w:r>
      <w:r w:rsidR="005441C6" w:rsidRPr="002940AD">
        <w:rPr>
          <w:noProof/>
        </w:rPr>
        <w:t>accepts</w:t>
      </w:r>
      <w:r w:rsidR="005441C6">
        <w:rPr>
          <w:noProof/>
        </w:rPr>
        <w:t xml:space="preserve"> </w:t>
      </w:r>
      <w:r w:rsidRPr="002940AD">
        <w:rPr>
          <w:noProof/>
        </w:rPr>
        <w:t>the urgency procedure</w:t>
      </w:r>
      <w:r w:rsidR="00280F34" w:rsidRPr="002940AD">
        <w:rPr>
          <w:noProof/>
        </w:rPr>
        <w:t>,</w:t>
      </w:r>
      <w:r w:rsidRPr="002940AD">
        <w:rPr>
          <w:noProof/>
        </w:rPr>
        <w:t xml:space="preserve"> the standstill period of </w:t>
      </w:r>
      <w:r w:rsidR="0032177D">
        <w:rPr>
          <w:noProof/>
        </w:rPr>
        <w:t>3</w:t>
      </w:r>
      <w:r w:rsidR="0032177D" w:rsidRPr="002940AD">
        <w:rPr>
          <w:noProof/>
        </w:rPr>
        <w:t xml:space="preserve"> </w:t>
      </w:r>
      <w:r w:rsidRPr="002940AD">
        <w:rPr>
          <w:noProof/>
        </w:rPr>
        <w:t>months does not apply and the measure can be adopted immediately</w:t>
      </w:r>
      <w:r w:rsidR="00972CB2" w:rsidRPr="002940AD">
        <w:rPr>
          <w:rStyle w:val="FootnoteReference"/>
          <w:noProof/>
        </w:rPr>
        <w:footnoteReference w:id="53"/>
      </w:r>
      <w:r w:rsidRPr="002940AD">
        <w:rPr>
          <w:noProof/>
        </w:rPr>
        <w:t>.</w:t>
      </w:r>
      <w:r w:rsidR="00942F33" w:rsidRPr="002940AD">
        <w:rPr>
          <w:noProof/>
        </w:rPr>
        <w:t xml:space="preserve"> </w:t>
      </w:r>
      <w:r w:rsidR="00E7696B">
        <w:rPr>
          <w:noProof/>
        </w:rPr>
        <w:t>I</w:t>
      </w:r>
      <w:r w:rsidR="007C079D">
        <w:rPr>
          <w:noProof/>
        </w:rPr>
        <w:t xml:space="preserve">t </w:t>
      </w:r>
      <w:r w:rsidR="00790461">
        <w:rPr>
          <w:noProof/>
        </w:rPr>
        <w:t xml:space="preserve">typically </w:t>
      </w:r>
      <w:r w:rsidR="007C079D">
        <w:rPr>
          <w:noProof/>
        </w:rPr>
        <w:t xml:space="preserve">takes the Commission </w:t>
      </w:r>
      <w:r w:rsidR="005441C6">
        <w:rPr>
          <w:noProof/>
        </w:rPr>
        <w:t>several</w:t>
      </w:r>
      <w:r w:rsidR="00E7696B">
        <w:rPr>
          <w:noProof/>
        </w:rPr>
        <w:t xml:space="preserve"> </w:t>
      </w:r>
      <w:r w:rsidR="007C079D">
        <w:rPr>
          <w:noProof/>
        </w:rPr>
        <w:t xml:space="preserve">working days </w:t>
      </w:r>
      <w:r w:rsidR="00E7696B">
        <w:rPr>
          <w:noProof/>
        </w:rPr>
        <w:t xml:space="preserve">after the notification </w:t>
      </w:r>
      <w:r w:rsidR="007C079D">
        <w:rPr>
          <w:noProof/>
        </w:rPr>
        <w:t>to decide whether it accepts the reasons brought forward by the Member State concerned and</w:t>
      </w:r>
      <w:r w:rsidR="00E7696B">
        <w:rPr>
          <w:noProof/>
        </w:rPr>
        <w:t xml:space="preserve"> </w:t>
      </w:r>
      <w:r w:rsidR="007C079D">
        <w:rPr>
          <w:noProof/>
        </w:rPr>
        <w:t>allow</w:t>
      </w:r>
      <w:r w:rsidR="00790461">
        <w:rPr>
          <w:noProof/>
        </w:rPr>
        <w:t>s</w:t>
      </w:r>
      <w:r w:rsidR="007C079D">
        <w:rPr>
          <w:noProof/>
        </w:rPr>
        <w:t xml:space="preserve"> it to adopt the technical regulations immediately.</w:t>
      </w:r>
    </w:p>
    <w:p w14:paraId="443EABB7" w14:textId="77777777" w:rsidR="00F521BF" w:rsidRPr="002940AD" w:rsidRDefault="001F7678">
      <w:pPr>
        <w:spacing w:line="240" w:lineRule="auto"/>
        <w:jc w:val="both"/>
        <w:rPr>
          <w:rFonts w:ascii="Times New Roman" w:hAnsi="Times New Roman"/>
          <w:noProof/>
          <w:sz w:val="24"/>
          <w:szCs w:val="24"/>
        </w:rPr>
      </w:pPr>
      <w:r w:rsidRPr="002940AD">
        <w:rPr>
          <w:rFonts w:ascii="Times New Roman" w:hAnsi="Times New Roman"/>
          <w:noProof/>
          <w:sz w:val="24"/>
          <w:szCs w:val="24"/>
        </w:rPr>
        <w:t xml:space="preserve">Out of a total of </w:t>
      </w:r>
      <w:r w:rsidR="00F63C37">
        <w:rPr>
          <w:rFonts w:ascii="Times New Roman" w:hAnsi="Times New Roman"/>
          <w:noProof/>
          <w:sz w:val="24"/>
          <w:szCs w:val="24"/>
        </w:rPr>
        <w:t>3 553</w:t>
      </w:r>
      <w:r w:rsidRPr="002940AD">
        <w:rPr>
          <w:rFonts w:ascii="Times New Roman" w:hAnsi="Times New Roman"/>
          <w:noProof/>
          <w:sz w:val="24"/>
          <w:szCs w:val="24"/>
        </w:rPr>
        <w:t xml:space="preserve"> notifications, Member States made </w:t>
      </w:r>
      <w:r w:rsidR="00F63C37">
        <w:rPr>
          <w:rFonts w:ascii="Times New Roman" w:hAnsi="Times New Roman"/>
          <w:noProof/>
          <w:sz w:val="24"/>
          <w:szCs w:val="24"/>
        </w:rPr>
        <w:t>346</w:t>
      </w:r>
      <w:r w:rsidRPr="002940AD">
        <w:rPr>
          <w:rFonts w:ascii="Times New Roman" w:hAnsi="Times New Roman"/>
          <w:noProof/>
          <w:sz w:val="24"/>
          <w:szCs w:val="24"/>
        </w:rPr>
        <w:t xml:space="preserve"> requests to apply the urgency procedure to notified drafts</w:t>
      </w:r>
      <w:r w:rsidR="009D39BE" w:rsidRPr="002940AD">
        <w:rPr>
          <w:rFonts w:ascii="Times New Roman" w:hAnsi="Times New Roman"/>
          <w:noProof/>
          <w:sz w:val="24"/>
          <w:szCs w:val="24"/>
        </w:rPr>
        <w:t xml:space="preserve"> (51 in 2016, 34 in 2017, 35 in 2018</w:t>
      </w:r>
      <w:r w:rsidR="00F63C37">
        <w:rPr>
          <w:rFonts w:ascii="Times New Roman" w:hAnsi="Times New Roman"/>
          <w:noProof/>
          <w:sz w:val="24"/>
          <w:szCs w:val="24"/>
        </w:rPr>
        <w:t>,</w:t>
      </w:r>
      <w:r w:rsidR="009D39BE" w:rsidRPr="002940AD">
        <w:rPr>
          <w:rFonts w:ascii="Times New Roman" w:hAnsi="Times New Roman"/>
          <w:noProof/>
          <w:sz w:val="24"/>
          <w:szCs w:val="24"/>
        </w:rPr>
        <w:t xml:space="preserve"> 39 in 2019</w:t>
      </w:r>
      <w:r w:rsidR="00F63C37">
        <w:rPr>
          <w:rFonts w:ascii="Times New Roman" w:hAnsi="Times New Roman"/>
          <w:noProof/>
          <w:sz w:val="24"/>
          <w:szCs w:val="24"/>
        </w:rPr>
        <w:t xml:space="preserve"> and 187</w:t>
      </w:r>
      <w:r w:rsidR="00C779A7">
        <w:rPr>
          <w:rFonts w:ascii="Times New Roman" w:hAnsi="Times New Roman"/>
          <w:noProof/>
          <w:sz w:val="24"/>
          <w:szCs w:val="24"/>
        </w:rPr>
        <w:t xml:space="preserve"> in 2020</w:t>
      </w:r>
      <w:r w:rsidR="009D39BE" w:rsidRPr="002940AD">
        <w:rPr>
          <w:rFonts w:ascii="Times New Roman" w:hAnsi="Times New Roman"/>
          <w:noProof/>
          <w:sz w:val="24"/>
          <w:szCs w:val="24"/>
        </w:rPr>
        <w:t>)</w:t>
      </w:r>
      <w:r w:rsidR="00930DF3" w:rsidRPr="002940AD">
        <w:rPr>
          <w:rStyle w:val="FootnoteReference"/>
          <w:rFonts w:ascii="Times New Roman" w:hAnsi="Times New Roman"/>
          <w:noProof/>
          <w:sz w:val="24"/>
          <w:szCs w:val="24"/>
        </w:rPr>
        <w:footnoteReference w:id="54"/>
      </w:r>
      <w:r w:rsidRPr="002940AD">
        <w:rPr>
          <w:rFonts w:ascii="Times New Roman" w:hAnsi="Times New Roman"/>
          <w:noProof/>
          <w:sz w:val="24"/>
          <w:szCs w:val="24"/>
        </w:rPr>
        <w:t xml:space="preserve">. </w:t>
      </w:r>
      <w:r w:rsidR="00885CC6" w:rsidRPr="002940AD">
        <w:rPr>
          <w:rFonts w:ascii="Times New Roman" w:hAnsi="Times New Roman"/>
          <w:noProof/>
          <w:sz w:val="24"/>
          <w:szCs w:val="24"/>
        </w:rPr>
        <w:t>T</w:t>
      </w:r>
      <w:r w:rsidR="009D39BE" w:rsidRPr="002940AD">
        <w:rPr>
          <w:rFonts w:ascii="Times New Roman" w:hAnsi="Times New Roman"/>
          <w:noProof/>
          <w:sz w:val="24"/>
          <w:szCs w:val="24"/>
        </w:rPr>
        <w:t xml:space="preserve">he </w:t>
      </w:r>
      <w:r w:rsidRPr="002940AD">
        <w:rPr>
          <w:rFonts w:ascii="Times New Roman" w:hAnsi="Times New Roman"/>
          <w:noProof/>
          <w:sz w:val="24"/>
          <w:szCs w:val="24"/>
        </w:rPr>
        <w:t>use of the urgency procedure was refused for cases in which the justification was not sufficiently established or was based on purely economic grounds or national administrative delay</w:t>
      </w:r>
      <w:r w:rsidR="00FC3F7E" w:rsidRPr="002940AD">
        <w:rPr>
          <w:rFonts w:ascii="Times New Roman" w:hAnsi="Times New Roman"/>
          <w:noProof/>
          <w:sz w:val="24"/>
          <w:szCs w:val="24"/>
        </w:rPr>
        <w:t>s,</w:t>
      </w:r>
      <w:r w:rsidRPr="002940AD">
        <w:rPr>
          <w:rFonts w:ascii="Times New Roman" w:hAnsi="Times New Roman"/>
          <w:noProof/>
          <w:sz w:val="24"/>
          <w:szCs w:val="24"/>
        </w:rPr>
        <w:t xml:space="preserve"> as well as in cases for which no unforeseeable circumstances were demonstrated. The urgency procedure was deemed justified in </w:t>
      </w:r>
      <w:r w:rsidR="00F63C37">
        <w:rPr>
          <w:rFonts w:ascii="Times New Roman" w:hAnsi="Times New Roman"/>
          <w:noProof/>
          <w:sz w:val="24"/>
          <w:szCs w:val="24"/>
        </w:rPr>
        <w:t>283</w:t>
      </w:r>
      <w:r w:rsidRPr="002940AD">
        <w:rPr>
          <w:rFonts w:ascii="Times New Roman" w:hAnsi="Times New Roman"/>
          <w:noProof/>
          <w:sz w:val="24"/>
          <w:szCs w:val="24"/>
        </w:rPr>
        <w:t xml:space="preserve"> cases (</w:t>
      </w:r>
      <w:r w:rsidR="005E66B8" w:rsidRPr="002940AD">
        <w:rPr>
          <w:rFonts w:ascii="Times New Roman" w:hAnsi="Times New Roman"/>
          <w:noProof/>
          <w:sz w:val="24"/>
          <w:szCs w:val="24"/>
        </w:rPr>
        <w:t>41 in 2016, 28 in 2017, 21 in 2018</w:t>
      </w:r>
      <w:r w:rsidR="00B32DBF">
        <w:rPr>
          <w:rFonts w:ascii="Times New Roman" w:hAnsi="Times New Roman"/>
          <w:noProof/>
          <w:sz w:val="24"/>
          <w:szCs w:val="24"/>
        </w:rPr>
        <w:t>,</w:t>
      </w:r>
      <w:r w:rsidR="005E66B8" w:rsidRPr="002940AD">
        <w:rPr>
          <w:rFonts w:ascii="Times New Roman" w:hAnsi="Times New Roman"/>
          <w:noProof/>
          <w:sz w:val="24"/>
          <w:szCs w:val="24"/>
        </w:rPr>
        <w:t xml:space="preserve"> 29 in 2019</w:t>
      </w:r>
      <w:r w:rsidR="00B32DBF">
        <w:rPr>
          <w:rFonts w:ascii="Times New Roman" w:hAnsi="Times New Roman"/>
          <w:noProof/>
          <w:sz w:val="24"/>
          <w:szCs w:val="24"/>
        </w:rPr>
        <w:t xml:space="preserve"> and 164 in 2020</w:t>
      </w:r>
      <w:r w:rsidR="009242E2" w:rsidRPr="002940AD">
        <w:rPr>
          <w:rFonts w:ascii="Times New Roman" w:hAnsi="Times New Roman"/>
          <w:noProof/>
          <w:sz w:val="24"/>
          <w:szCs w:val="24"/>
        </w:rPr>
        <w:t>)</w:t>
      </w:r>
      <w:r w:rsidR="009242E2">
        <w:rPr>
          <w:rFonts w:ascii="Times New Roman" w:hAnsi="Times New Roman"/>
          <w:noProof/>
          <w:sz w:val="24"/>
          <w:szCs w:val="24"/>
        </w:rPr>
        <w:t>.</w:t>
      </w:r>
      <w:r w:rsidR="009242E2" w:rsidRPr="002940AD">
        <w:rPr>
          <w:rFonts w:ascii="Times New Roman" w:hAnsi="Times New Roman"/>
          <w:noProof/>
          <w:sz w:val="24"/>
          <w:szCs w:val="24"/>
        </w:rPr>
        <w:t xml:space="preserve"> </w:t>
      </w:r>
      <w:r w:rsidR="009242E2">
        <w:rPr>
          <w:rFonts w:ascii="Times New Roman" w:hAnsi="Times New Roman"/>
          <w:noProof/>
          <w:sz w:val="24"/>
          <w:szCs w:val="24"/>
        </w:rPr>
        <w:t xml:space="preserve">These cases concerned </w:t>
      </w:r>
      <w:r w:rsidRPr="002940AD">
        <w:rPr>
          <w:rFonts w:ascii="Times New Roman" w:hAnsi="Times New Roman"/>
          <w:noProof/>
          <w:sz w:val="24"/>
          <w:szCs w:val="24"/>
        </w:rPr>
        <w:t xml:space="preserve">in particular psychotropic substances, control of narcotics, </w:t>
      </w:r>
      <w:r w:rsidR="007B452D">
        <w:rPr>
          <w:rFonts w:ascii="Times New Roman" w:hAnsi="Times New Roman"/>
          <w:noProof/>
          <w:sz w:val="24"/>
          <w:szCs w:val="24"/>
        </w:rPr>
        <w:t xml:space="preserve">the </w:t>
      </w:r>
      <w:r w:rsidRPr="002940AD">
        <w:rPr>
          <w:rFonts w:ascii="Times New Roman" w:hAnsi="Times New Roman"/>
          <w:noProof/>
          <w:sz w:val="24"/>
          <w:szCs w:val="24"/>
        </w:rPr>
        <w:t xml:space="preserve">fight against terrorism, firearms, infection of bees, </w:t>
      </w:r>
      <w:r w:rsidR="00851BE9" w:rsidRPr="002940AD">
        <w:rPr>
          <w:rFonts w:ascii="Times New Roman" w:hAnsi="Times New Roman"/>
          <w:noProof/>
          <w:sz w:val="24"/>
          <w:szCs w:val="24"/>
        </w:rPr>
        <w:t xml:space="preserve">biocidal products, </w:t>
      </w:r>
      <w:r w:rsidRPr="002940AD">
        <w:rPr>
          <w:rFonts w:ascii="Times New Roman" w:hAnsi="Times New Roman"/>
          <w:noProof/>
          <w:sz w:val="24"/>
          <w:szCs w:val="24"/>
        </w:rPr>
        <w:t>prohibition of products that are harmful to health</w:t>
      </w:r>
      <w:r w:rsidR="009243C7">
        <w:rPr>
          <w:rFonts w:ascii="Times New Roman" w:hAnsi="Times New Roman"/>
          <w:noProof/>
          <w:sz w:val="24"/>
          <w:szCs w:val="24"/>
        </w:rPr>
        <w:t>,</w:t>
      </w:r>
      <w:r w:rsidR="00EA5836">
        <w:rPr>
          <w:rFonts w:ascii="Times New Roman" w:hAnsi="Times New Roman"/>
          <w:noProof/>
          <w:sz w:val="24"/>
          <w:szCs w:val="24"/>
        </w:rPr>
        <w:t xml:space="preserve"> </w:t>
      </w:r>
      <w:r w:rsidR="00851BE9" w:rsidRPr="002940AD">
        <w:rPr>
          <w:rFonts w:ascii="Times New Roman" w:hAnsi="Times New Roman"/>
          <w:noProof/>
          <w:sz w:val="24"/>
          <w:szCs w:val="24"/>
        </w:rPr>
        <w:t>pyrotechnic articles</w:t>
      </w:r>
      <w:r w:rsidR="009243C7">
        <w:rPr>
          <w:rFonts w:ascii="Times New Roman" w:hAnsi="Times New Roman"/>
          <w:noProof/>
          <w:sz w:val="24"/>
          <w:szCs w:val="24"/>
        </w:rPr>
        <w:t xml:space="preserve">, </w:t>
      </w:r>
      <w:r w:rsidR="009243C7" w:rsidRPr="009243C7">
        <w:rPr>
          <w:rFonts w:ascii="Times New Roman" w:hAnsi="Times New Roman"/>
          <w:noProof/>
          <w:sz w:val="24"/>
          <w:szCs w:val="24"/>
        </w:rPr>
        <w:t>medicines (critical medicines/substances necessary for the treatment of COVID-</w:t>
      </w:r>
      <w:r w:rsidR="007B452D">
        <w:rPr>
          <w:rFonts w:ascii="Times New Roman" w:hAnsi="Times New Roman"/>
          <w:noProof/>
          <w:sz w:val="24"/>
          <w:szCs w:val="24"/>
        </w:rPr>
        <w:t xml:space="preserve">19 </w:t>
      </w:r>
      <w:r w:rsidR="009243C7" w:rsidRPr="009243C7">
        <w:rPr>
          <w:rFonts w:ascii="Times New Roman" w:hAnsi="Times New Roman"/>
          <w:noProof/>
          <w:sz w:val="24"/>
          <w:szCs w:val="24"/>
        </w:rPr>
        <w:t>patients), protective equipment, masks, medical devices and in vitro medical devices, disinfectants and alcoh</w:t>
      </w:r>
      <w:r w:rsidR="005D4B20">
        <w:rPr>
          <w:rFonts w:ascii="Times New Roman" w:hAnsi="Times New Roman"/>
          <w:noProof/>
          <w:sz w:val="24"/>
          <w:szCs w:val="24"/>
        </w:rPr>
        <w:t>ols needed for their production</w:t>
      </w:r>
      <w:r w:rsidRPr="002940AD">
        <w:rPr>
          <w:rFonts w:ascii="Times New Roman" w:hAnsi="Times New Roman"/>
          <w:noProof/>
          <w:sz w:val="24"/>
          <w:szCs w:val="24"/>
        </w:rPr>
        <w:t xml:space="preserve"> (see Annex </w:t>
      </w:r>
      <w:r w:rsidR="00A20E03" w:rsidRPr="002940AD">
        <w:rPr>
          <w:rFonts w:ascii="Times New Roman" w:hAnsi="Times New Roman"/>
          <w:noProof/>
          <w:sz w:val="24"/>
          <w:szCs w:val="24"/>
        </w:rPr>
        <w:t>3</w:t>
      </w:r>
      <w:r w:rsidRPr="002940AD">
        <w:rPr>
          <w:rFonts w:ascii="Times New Roman" w:hAnsi="Times New Roman"/>
          <w:noProof/>
          <w:sz w:val="24"/>
          <w:szCs w:val="24"/>
        </w:rPr>
        <w:t>.7).</w:t>
      </w:r>
    </w:p>
    <w:p w14:paraId="334E750E" w14:textId="77777777" w:rsidR="0049046D" w:rsidRPr="002940AD" w:rsidRDefault="001F7678">
      <w:pPr>
        <w:pStyle w:val="Heading2"/>
        <w:numPr>
          <w:ilvl w:val="1"/>
          <w:numId w:val="36"/>
        </w:numPr>
        <w:ind w:left="851" w:hanging="851"/>
        <w:rPr>
          <w:i/>
          <w:noProof/>
        </w:rPr>
      </w:pPr>
      <w:bookmarkStart w:id="20" w:name="_Toc404941547"/>
      <w:bookmarkStart w:id="21" w:name="_Toc98517789"/>
      <w:r w:rsidRPr="002940AD">
        <w:rPr>
          <w:i/>
          <w:noProof/>
        </w:rPr>
        <w:t xml:space="preserve">Notification of </w:t>
      </w:r>
      <w:r w:rsidR="00D4213B" w:rsidRPr="002940AD">
        <w:rPr>
          <w:i/>
          <w:noProof/>
        </w:rPr>
        <w:t>‘</w:t>
      </w:r>
      <w:r w:rsidRPr="002940AD">
        <w:rPr>
          <w:i/>
          <w:noProof/>
        </w:rPr>
        <w:t>fiscal or financial measures</w:t>
      </w:r>
      <w:bookmarkEnd w:id="20"/>
      <w:r w:rsidR="00D4213B" w:rsidRPr="002940AD">
        <w:rPr>
          <w:i/>
          <w:noProof/>
        </w:rPr>
        <w:t>’</w:t>
      </w:r>
      <w:bookmarkEnd w:id="21"/>
    </w:p>
    <w:p w14:paraId="63ED714D" w14:textId="77777777" w:rsidR="0049046D" w:rsidRPr="002940AD" w:rsidRDefault="0032177D">
      <w:pPr>
        <w:tabs>
          <w:tab w:val="left" w:pos="567"/>
          <w:tab w:val="left" w:pos="851"/>
        </w:tabs>
        <w:spacing w:line="240" w:lineRule="auto"/>
        <w:jc w:val="both"/>
        <w:rPr>
          <w:rFonts w:ascii="Times New Roman" w:hAnsi="Times New Roman"/>
          <w:noProof/>
          <w:sz w:val="24"/>
          <w:szCs w:val="24"/>
        </w:rPr>
      </w:pPr>
      <w:r>
        <w:rPr>
          <w:rFonts w:ascii="Times New Roman" w:hAnsi="Times New Roman"/>
          <w:noProof/>
          <w:sz w:val="24"/>
          <w:szCs w:val="24"/>
        </w:rPr>
        <w:t>Under</w:t>
      </w:r>
      <w:r w:rsidR="001F7678" w:rsidRPr="002940AD">
        <w:rPr>
          <w:rFonts w:ascii="Times New Roman" w:hAnsi="Times New Roman"/>
          <w:noProof/>
          <w:sz w:val="24"/>
          <w:szCs w:val="24"/>
        </w:rPr>
        <w:t xml:space="preserve"> the Single Market Transparency Directive, Member States have to </w:t>
      </w:r>
      <w:r>
        <w:rPr>
          <w:rFonts w:ascii="Times New Roman" w:hAnsi="Times New Roman"/>
          <w:noProof/>
          <w:sz w:val="24"/>
          <w:szCs w:val="24"/>
        </w:rPr>
        <w:t xml:space="preserve">provide </w:t>
      </w:r>
      <w:r w:rsidRPr="002940AD">
        <w:rPr>
          <w:rFonts w:ascii="Times New Roman" w:hAnsi="Times New Roman"/>
          <w:noProof/>
          <w:sz w:val="24"/>
          <w:szCs w:val="24"/>
        </w:rPr>
        <w:t>notif</w:t>
      </w:r>
      <w:r>
        <w:rPr>
          <w:rFonts w:ascii="Times New Roman" w:hAnsi="Times New Roman"/>
          <w:noProof/>
          <w:sz w:val="24"/>
          <w:szCs w:val="24"/>
        </w:rPr>
        <w:t>ication of</w:t>
      </w:r>
      <w:r w:rsidRPr="002940AD">
        <w:rPr>
          <w:rFonts w:ascii="Times New Roman" w:hAnsi="Times New Roman"/>
          <w:noProof/>
          <w:sz w:val="24"/>
          <w:szCs w:val="24"/>
        </w:rPr>
        <w:t xml:space="preserve"> </w:t>
      </w:r>
      <w:r w:rsidR="00D4213B" w:rsidRPr="002940AD">
        <w:rPr>
          <w:rFonts w:ascii="Times New Roman" w:hAnsi="Times New Roman"/>
          <w:noProof/>
          <w:sz w:val="24"/>
          <w:szCs w:val="24"/>
        </w:rPr>
        <w:t>‘</w:t>
      </w:r>
      <w:r w:rsidR="001F7678" w:rsidRPr="002940AD">
        <w:rPr>
          <w:rFonts w:ascii="Times New Roman" w:hAnsi="Times New Roman"/>
          <w:noProof/>
          <w:sz w:val="24"/>
          <w:szCs w:val="24"/>
        </w:rPr>
        <w:t>fiscal and financial</w:t>
      </w:r>
      <w:r w:rsidR="00D4213B" w:rsidRPr="002940AD">
        <w:rPr>
          <w:rFonts w:ascii="Times New Roman" w:hAnsi="Times New Roman"/>
          <w:noProof/>
          <w:sz w:val="24"/>
          <w:szCs w:val="24"/>
        </w:rPr>
        <w:t xml:space="preserve"> measures’</w:t>
      </w:r>
      <w:r w:rsidR="001F7678" w:rsidRPr="002940AD">
        <w:rPr>
          <w:rFonts w:ascii="Times New Roman" w:hAnsi="Times New Roman"/>
          <w:noProof/>
          <w:sz w:val="24"/>
          <w:szCs w:val="24"/>
        </w:rPr>
        <w:t>, i.e. technical regulations linked to fiscal or financial measures affecting the consumption of products or services by encouraging compliance with such techni</w:t>
      </w:r>
      <w:r w:rsidR="00A33799" w:rsidRPr="002940AD">
        <w:rPr>
          <w:rFonts w:ascii="Times New Roman" w:hAnsi="Times New Roman"/>
          <w:noProof/>
          <w:sz w:val="24"/>
          <w:szCs w:val="24"/>
        </w:rPr>
        <w:t>cal regulations. The peculiarity</w:t>
      </w:r>
      <w:r w:rsidR="001F7678" w:rsidRPr="002940AD">
        <w:rPr>
          <w:rFonts w:ascii="Times New Roman" w:hAnsi="Times New Roman"/>
          <w:noProof/>
          <w:sz w:val="24"/>
          <w:szCs w:val="24"/>
        </w:rPr>
        <w:t xml:space="preserve"> of such </w:t>
      </w:r>
      <w:r w:rsidR="00931B59" w:rsidRPr="002940AD">
        <w:rPr>
          <w:rFonts w:ascii="Times New Roman" w:hAnsi="Times New Roman"/>
          <w:noProof/>
          <w:sz w:val="24"/>
          <w:szCs w:val="24"/>
        </w:rPr>
        <w:t xml:space="preserve">measures </w:t>
      </w:r>
      <w:r w:rsidR="001F7678" w:rsidRPr="002940AD">
        <w:rPr>
          <w:rFonts w:ascii="Times New Roman" w:hAnsi="Times New Roman"/>
          <w:noProof/>
          <w:sz w:val="24"/>
          <w:szCs w:val="24"/>
        </w:rPr>
        <w:t>is that the standstill period does not apply</w:t>
      </w:r>
      <w:r w:rsidR="00942F33" w:rsidRPr="002940AD">
        <w:rPr>
          <w:rFonts w:ascii="Times New Roman" w:hAnsi="Times New Roman"/>
          <w:noProof/>
          <w:sz w:val="24"/>
          <w:szCs w:val="24"/>
        </w:rPr>
        <w:t xml:space="preserve"> (Article </w:t>
      </w:r>
      <w:r w:rsidR="00DE7F45" w:rsidRPr="002940AD">
        <w:rPr>
          <w:rFonts w:ascii="Times New Roman" w:hAnsi="Times New Roman"/>
          <w:noProof/>
          <w:sz w:val="24"/>
          <w:szCs w:val="24"/>
        </w:rPr>
        <w:t>7(4)</w:t>
      </w:r>
      <w:r w:rsidR="00942F33" w:rsidRPr="002940AD">
        <w:rPr>
          <w:rFonts w:ascii="Times New Roman" w:hAnsi="Times New Roman"/>
          <w:noProof/>
          <w:sz w:val="24"/>
          <w:szCs w:val="24"/>
        </w:rPr>
        <w:t xml:space="preserve"> of the Single Market Transaprency Directive)</w:t>
      </w:r>
      <w:r w:rsidR="001F7678" w:rsidRPr="002940AD">
        <w:rPr>
          <w:rFonts w:ascii="Times New Roman" w:hAnsi="Times New Roman"/>
          <w:noProof/>
          <w:sz w:val="24"/>
          <w:szCs w:val="24"/>
        </w:rPr>
        <w:t>.</w:t>
      </w:r>
    </w:p>
    <w:p w14:paraId="2720814C" w14:textId="77777777" w:rsidR="00426458" w:rsidRPr="002940AD" w:rsidRDefault="001F7678">
      <w:pPr>
        <w:tabs>
          <w:tab w:val="left" w:pos="567"/>
          <w:tab w:val="left" w:pos="851"/>
        </w:tabs>
        <w:spacing w:line="240" w:lineRule="auto"/>
        <w:jc w:val="both"/>
        <w:rPr>
          <w:rFonts w:ascii="Times New Roman" w:hAnsi="Times New Roman"/>
          <w:i/>
          <w:noProof/>
          <w:sz w:val="24"/>
          <w:szCs w:val="24"/>
        </w:rPr>
      </w:pPr>
      <w:r w:rsidRPr="002940AD">
        <w:rPr>
          <w:rFonts w:ascii="Times New Roman" w:hAnsi="Times New Roman"/>
          <w:noProof/>
          <w:sz w:val="24"/>
          <w:szCs w:val="24"/>
        </w:rPr>
        <w:t>During the period 201</w:t>
      </w:r>
      <w:r w:rsidR="00716887" w:rsidRPr="002940AD">
        <w:rPr>
          <w:rFonts w:ascii="Times New Roman" w:hAnsi="Times New Roman"/>
          <w:noProof/>
          <w:sz w:val="24"/>
          <w:szCs w:val="24"/>
        </w:rPr>
        <w:t>6</w:t>
      </w:r>
      <w:r w:rsidRPr="002940AD">
        <w:rPr>
          <w:rFonts w:ascii="Times New Roman" w:hAnsi="Times New Roman"/>
          <w:noProof/>
          <w:sz w:val="24"/>
          <w:szCs w:val="24"/>
        </w:rPr>
        <w:t>-20</w:t>
      </w:r>
      <w:r w:rsidR="00B32DBF">
        <w:rPr>
          <w:rFonts w:ascii="Times New Roman" w:hAnsi="Times New Roman"/>
          <w:noProof/>
          <w:sz w:val="24"/>
          <w:szCs w:val="24"/>
        </w:rPr>
        <w:t>20</w:t>
      </w:r>
      <w:r w:rsidR="0032177D">
        <w:rPr>
          <w:rFonts w:ascii="Times New Roman" w:hAnsi="Times New Roman"/>
          <w:noProof/>
          <w:sz w:val="24"/>
          <w:szCs w:val="24"/>
        </w:rPr>
        <w:t>,</w:t>
      </w:r>
      <w:r w:rsidRPr="002940AD">
        <w:rPr>
          <w:rFonts w:ascii="Times New Roman" w:hAnsi="Times New Roman"/>
          <w:noProof/>
          <w:sz w:val="24"/>
          <w:szCs w:val="24"/>
        </w:rPr>
        <w:t xml:space="preserve"> Member States notified </w:t>
      </w:r>
      <w:r w:rsidR="00716887" w:rsidRPr="002940AD">
        <w:rPr>
          <w:rFonts w:ascii="Times New Roman" w:hAnsi="Times New Roman"/>
          <w:noProof/>
          <w:sz w:val="24"/>
          <w:szCs w:val="24"/>
        </w:rPr>
        <w:t>149</w:t>
      </w:r>
      <w:r w:rsidRPr="002940AD">
        <w:rPr>
          <w:rFonts w:ascii="Times New Roman" w:hAnsi="Times New Roman"/>
          <w:noProof/>
          <w:sz w:val="24"/>
          <w:szCs w:val="24"/>
        </w:rPr>
        <w:t xml:space="preserve"> draft </w:t>
      </w:r>
      <w:r w:rsidR="00931B59" w:rsidRPr="002940AD">
        <w:rPr>
          <w:rFonts w:ascii="Times New Roman" w:hAnsi="Times New Roman"/>
          <w:noProof/>
          <w:sz w:val="24"/>
          <w:szCs w:val="24"/>
        </w:rPr>
        <w:t>measures</w:t>
      </w:r>
      <w:r w:rsidRPr="002940AD">
        <w:rPr>
          <w:rFonts w:ascii="Times New Roman" w:hAnsi="Times New Roman"/>
          <w:noProof/>
          <w:sz w:val="24"/>
          <w:szCs w:val="24"/>
        </w:rPr>
        <w:t xml:space="preserve"> as </w:t>
      </w:r>
      <w:r w:rsidR="00310AAD" w:rsidRPr="002940AD">
        <w:rPr>
          <w:rFonts w:ascii="Times New Roman" w:hAnsi="Times New Roman"/>
          <w:noProof/>
          <w:sz w:val="24"/>
          <w:szCs w:val="24"/>
        </w:rPr>
        <w:t>‘</w:t>
      </w:r>
      <w:r w:rsidRPr="002940AD">
        <w:rPr>
          <w:rFonts w:ascii="Times New Roman" w:hAnsi="Times New Roman"/>
          <w:noProof/>
          <w:sz w:val="24"/>
          <w:szCs w:val="24"/>
        </w:rPr>
        <w:t>fiscal or financial measures</w:t>
      </w:r>
      <w:r w:rsidR="00310AAD" w:rsidRPr="002940AD">
        <w:rPr>
          <w:rFonts w:ascii="Times New Roman" w:hAnsi="Times New Roman"/>
          <w:noProof/>
          <w:sz w:val="24"/>
          <w:szCs w:val="24"/>
        </w:rPr>
        <w:t>’</w:t>
      </w:r>
      <w:r w:rsidR="00716887" w:rsidRPr="002940AD">
        <w:rPr>
          <w:rFonts w:ascii="Times New Roman" w:hAnsi="Times New Roman"/>
          <w:noProof/>
          <w:sz w:val="24"/>
          <w:szCs w:val="24"/>
        </w:rPr>
        <w:t xml:space="preserve"> (</w:t>
      </w:r>
      <w:r w:rsidR="00194C6D" w:rsidRPr="002940AD">
        <w:rPr>
          <w:rFonts w:ascii="Times New Roman" w:hAnsi="Times New Roman"/>
          <w:noProof/>
          <w:sz w:val="24"/>
          <w:szCs w:val="24"/>
        </w:rPr>
        <w:t>44 in 2016, 48 in 2017, 26 in 2018</w:t>
      </w:r>
      <w:r w:rsidR="00B32DBF">
        <w:rPr>
          <w:rFonts w:ascii="Times New Roman" w:hAnsi="Times New Roman"/>
          <w:noProof/>
          <w:sz w:val="24"/>
          <w:szCs w:val="24"/>
        </w:rPr>
        <w:t>,</w:t>
      </w:r>
      <w:r w:rsidR="00194C6D" w:rsidRPr="002940AD">
        <w:rPr>
          <w:rFonts w:ascii="Times New Roman" w:hAnsi="Times New Roman"/>
          <w:noProof/>
          <w:sz w:val="24"/>
          <w:szCs w:val="24"/>
        </w:rPr>
        <w:t xml:space="preserve"> 31 in 2019</w:t>
      </w:r>
      <w:r w:rsidR="00B32DBF">
        <w:rPr>
          <w:rFonts w:ascii="Times New Roman" w:hAnsi="Times New Roman"/>
          <w:noProof/>
          <w:sz w:val="24"/>
          <w:szCs w:val="24"/>
        </w:rPr>
        <w:t xml:space="preserve"> and </w:t>
      </w:r>
      <w:r w:rsidR="006D7322">
        <w:rPr>
          <w:rFonts w:ascii="Times New Roman" w:hAnsi="Times New Roman"/>
          <w:noProof/>
          <w:sz w:val="24"/>
          <w:szCs w:val="24"/>
        </w:rPr>
        <w:t>45</w:t>
      </w:r>
      <w:r w:rsidR="00B32DBF">
        <w:rPr>
          <w:rFonts w:ascii="Times New Roman" w:hAnsi="Times New Roman"/>
          <w:noProof/>
          <w:sz w:val="24"/>
          <w:szCs w:val="24"/>
        </w:rPr>
        <w:t xml:space="preserve"> in 2020</w:t>
      </w:r>
      <w:r w:rsidR="00716887" w:rsidRPr="002940AD">
        <w:rPr>
          <w:rFonts w:ascii="Times New Roman" w:hAnsi="Times New Roman"/>
          <w:noProof/>
          <w:sz w:val="24"/>
          <w:szCs w:val="24"/>
        </w:rPr>
        <w:t>)</w:t>
      </w:r>
      <w:r w:rsidR="002810DB" w:rsidRPr="002940AD">
        <w:rPr>
          <w:rStyle w:val="FootnoteReference"/>
          <w:rFonts w:ascii="Times New Roman" w:hAnsi="Times New Roman"/>
          <w:noProof/>
          <w:sz w:val="24"/>
          <w:szCs w:val="24"/>
        </w:rPr>
        <w:footnoteReference w:id="55"/>
      </w:r>
      <w:r w:rsidRPr="002940AD">
        <w:rPr>
          <w:rFonts w:ascii="Times New Roman" w:hAnsi="Times New Roman"/>
          <w:i/>
          <w:noProof/>
          <w:sz w:val="24"/>
          <w:szCs w:val="24"/>
        </w:rPr>
        <w:t xml:space="preserve">. </w:t>
      </w:r>
    </w:p>
    <w:p w14:paraId="250D10C9" w14:textId="77777777" w:rsidR="0049046D" w:rsidRPr="002940AD" w:rsidRDefault="001F7678">
      <w:pPr>
        <w:pStyle w:val="Heading2"/>
        <w:numPr>
          <w:ilvl w:val="1"/>
          <w:numId w:val="36"/>
        </w:numPr>
        <w:ind w:left="851" w:hanging="851"/>
        <w:rPr>
          <w:i/>
          <w:noProof/>
        </w:rPr>
      </w:pPr>
      <w:bookmarkStart w:id="22" w:name="_Toc43889302"/>
      <w:bookmarkStart w:id="23" w:name="_Toc43913726"/>
      <w:bookmarkStart w:id="24" w:name="_Toc45204485"/>
      <w:bookmarkStart w:id="25" w:name="_Toc242246326"/>
      <w:bookmarkStart w:id="26" w:name="_Toc404941548"/>
      <w:bookmarkStart w:id="27" w:name="_Toc98517790"/>
      <w:bookmarkEnd w:id="22"/>
      <w:bookmarkEnd w:id="23"/>
      <w:bookmarkEnd w:id="24"/>
      <w:r w:rsidRPr="002940AD">
        <w:rPr>
          <w:i/>
          <w:noProof/>
        </w:rPr>
        <w:t>Follow-up to Commission reactions</w:t>
      </w:r>
      <w:bookmarkEnd w:id="25"/>
      <w:bookmarkEnd w:id="26"/>
      <w:bookmarkEnd w:id="27"/>
    </w:p>
    <w:p w14:paraId="0149B023" w14:textId="77777777" w:rsidR="0049046D" w:rsidRPr="002940AD" w:rsidRDefault="0032177D">
      <w:pPr>
        <w:spacing w:line="240" w:lineRule="auto"/>
        <w:jc w:val="both"/>
        <w:rPr>
          <w:rFonts w:ascii="Times New Roman" w:hAnsi="Times New Roman"/>
          <w:noProof/>
          <w:sz w:val="24"/>
          <w:szCs w:val="24"/>
        </w:rPr>
      </w:pPr>
      <w:r>
        <w:rPr>
          <w:rFonts w:ascii="Times New Roman" w:hAnsi="Times New Roman"/>
          <w:noProof/>
          <w:sz w:val="24"/>
          <w:szCs w:val="24"/>
        </w:rPr>
        <w:t>Under</w:t>
      </w:r>
      <w:r w:rsidR="001F7678" w:rsidRPr="002940AD">
        <w:rPr>
          <w:rFonts w:ascii="Times New Roman" w:hAnsi="Times New Roman"/>
          <w:noProof/>
          <w:sz w:val="24"/>
          <w:szCs w:val="24"/>
        </w:rPr>
        <w:t xml:space="preserve"> Article 6(2) of the Single Market Tran</w:t>
      </w:r>
      <w:r w:rsidR="00D14AAA" w:rsidRPr="002940AD">
        <w:rPr>
          <w:rFonts w:ascii="Times New Roman" w:hAnsi="Times New Roman"/>
          <w:noProof/>
          <w:sz w:val="24"/>
          <w:szCs w:val="24"/>
        </w:rPr>
        <w:t>s</w:t>
      </w:r>
      <w:r w:rsidR="001F7678" w:rsidRPr="002940AD">
        <w:rPr>
          <w:rFonts w:ascii="Times New Roman" w:hAnsi="Times New Roman"/>
          <w:noProof/>
          <w:sz w:val="24"/>
          <w:szCs w:val="24"/>
        </w:rPr>
        <w:t>parency Directive, Member States have to report on the action they propose to take in response to a detailed opinion.</w:t>
      </w:r>
    </w:p>
    <w:p w14:paraId="02F6DC46" w14:textId="77777777" w:rsidR="0049046D" w:rsidRPr="002940AD" w:rsidRDefault="001F7678">
      <w:pPr>
        <w:spacing w:line="240" w:lineRule="auto"/>
        <w:jc w:val="both"/>
        <w:rPr>
          <w:rFonts w:ascii="Times New Roman" w:hAnsi="Times New Roman"/>
          <w:noProof/>
          <w:sz w:val="24"/>
          <w:szCs w:val="24"/>
        </w:rPr>
      </w:pPr>
      <w:r w:rsidRPr="002940AD">
        <w:rPr>
          <w:rFonts w:ascii="Times New Roman" w:hAnsi="Times New Roman"/>
          <w:noProof/>
          <w:sz w:val="24"/>
          <w:szCs w:val="24"/>
        </w:rPr>
        <w:t>From 201</w:t>
      </w:r>
      <w:r w:rsidR="0063451B" w:rsidRPr="002940AD">
        <w:rPr>
          <w:rFonts w:ascii="Times New Roman" w:hAnsi="Times New Roman"/>
          <w:noProof/>
          <w:sz w:val="24"/>
          <w:szCs w:val="24"/>
        </w:rPr>
        <w:t>6</w:t>
      </w:r>
      <w:r w:rsidRPr="002940AD">
        <w:rPr>
          <w:rFonts w:ascii="Times New Roman" w:hAnsi="Times New Roman"/>
          <w:noProof/>
          <w:sz w:val="24"/>
          <w:szCs w:val="24"/>
        </w:rPr>
        <w:t xml:space="preserve"> to 20</w:t>
      </w:r>
      <w:r w:rsidR="00B32DBF">
        <w:rPr>
          <w:rFonts w:ascii="Times New Roman" w:hAnsi="Times New Roman"/>
          <w:noProof/>
          <w:sz w:val="24"/>
          <w:szCs w:val="24"/>
        </w:rPr>
        <w:t>20</w:t>
      </w:r>
      <w:r w:rsidRPr="002940AD">
        <w:rPr>
          <w:rFonts w:ascii="Times New Roman" w:hAnsi="Times New Roman"/>
          <w:noProof/>
          <w:sz w:val="24"/>
          <w:szCs w:val="24"/>
        </w:rPr>
        <w:t xml:space="preserve">, the ratio between the number of responses </w:t>
      </w:r>
      <w:r w:rsidR="00D60CF4" w:rsidRPr="002940AD">
        <w:rPr>
          <w:rFonts w:ascii="Times New Roman" w:hAnsi="Times New Roman"/>
          <w:noProof/>
          <w:sz w:val="24"/>
          <w:szCs w:val="24"/>
        </w:rPr>
        <w:t xml:space="preserve">by the Member States to </w:t>
      </w:r>
      <w:r w:rsidR="005744F5" w:rsidRPr="002940AD">
        <w:rPr>
          <w:rFonts w:ascii="Times New Roman" w:hAnsi="Times New Roman"/>
          <w:noProof/>
          <w:sz w:val="24"/>
          <w:szCs w:val="24"/>
        </w:rPr>
        <w:t xml:space="preserve">Commission </w:t>
      </w:r>
      <w:r w:rsidR="00D60CF4" w:rsidRPr="002940AD">
        <w:rPr>
          <w:rFonts w:ascii="Times New Roman" w:hAnsi="Times New Roman"/>
          <w:noProof/>
          <w:sz w:val="24"/>
          <w:szCs w:val="24"/>
        </w:rPr>
        <w:t xml:space="preserve">detailed opinions </w:t>
      </w:r>
      <w:r w:rsidRPr="002940AD">
        <w:rPr>
          <w:rFonts w:ascii="Times New Roman" w:hAnsi="Times New Roman"/>
          <w:noProof/>
          <w:sz w:val="24"/>
          <w:szCs w:val="24"/>
        </w:rPr>
        <w:t xml:space="preserve">and the volume of detailed opinions issued by the Commission was satisfactory, but could be further improved (an average of </w:t>
      </w:r>
      <w:r w:rsidR="00EC4DEE" w:rsidRPr="002940AD">
        <w:rPr>
          <w:rFonts w:ascii="Times New Roman" w:hAnsi="Times New Roman"/>
          <w:noProof/>
          <w:sz w:val="24"/>
          <w:szCs w:val="24"/>
        </w:rPr>
        <w:t>8</w:t>
      </w:r>
      <w:r w:rsidR="00D733FF">
        <w:rPr>
          <w:rFonts w:ascii="Times New Roman" w:hAnsi="Times New Roman"/>
          <w:noProof/>
          <w:sz w:val="24"/>
          <w:szCs w:val="24"/>
        </w:rPr>
        <w:t>7</w:t>
      </w:r>
      <w:r w:rsidRPr="002940AD">
        <w:rPr>
          <w:rFonts w:ascii="Times New Roman" w:hAnsi="Times New Roman"/>
          <w:noProof/>
          <w:sz w:val="24"/>
          <w:szCs w:val="24"/>
        </w:rPr>
        <w:t xml:space="preserve">% over the period). </w:t>
      </w:r>
      <w:r w:rsidR="005744F5">
        <w:rPr>
          <w:rFonts w:ascii="Times New Roman" w:hAnsi="Times New Roman"/>
          <w:noProof/>
          <w:sz w:val="24"/>
          <w:szCs w:val="24"/>
        </w:rPr>
        <w:t>S</w:t>
      </w:r>
      <w:r w:rsidRPr="002940AD">
        <w:rPr>
          <w:rFonts w:ascii="Times New Roman" w:hAnsi="Times New Roman"/>
          <w:noProof/>
          <w:sz w:val="24"/>
          <w:szCs w:val="24"/>
        </w:rPr>
        <w:t xml:space="preserve">atisfactory responses </w:t>
      </w:r>
      <w:r w:rsidR="00955757" w:rsidRPr="002940AD">
        <w:rPr>
          <w:rFonts w:ascii="Times New Roman" w:hAnsi="Times New Roman"/>
          <w:noProof/>
          <w:sz w:val="24"/>
          <w:szCs w:val="24"/>
        </w:rPr>
        <w:t xml:space="preserve">by Member States </w:t>
      </w:r>
      <w:r w:rsidR="005744F5">
        <w:rPr>
          <w:rFonts w:ascii="Times New Roman" w:hAnsi="Times New Roman"/>
          <w:noProof/>
          <w:sz w:val="24"/>
          <w:szCs w:val="24"/>
        </w:rPr>
        <w:t>accounted</w:t>
      </w:r>
      <w:r w:rsidR="005744F5" w:rsidRPr="002940AD">
        <w:rPr>
          <w:rFonts w:ascii="Times New Roman" w:hAnsi="Times New Roman"/>
          <w:noProof/>
          <w:sz w:val="24"/>
          <w:szCs w:val="24"/>
        </w:rPr>
        <w:t xml:space="preserve"> </w:t>
      </w:r>
      <w:r w:rsidR="00E34DCF" w:rsidRPr="002940AD">
        <w:rPr>
          <w:rFonts w:ascii="Times New Roman" w:hAnsi="Times New Roman"/>
          <w:noProof/>
          <w:sz w:val="24"/>
          <w:szCs w:val="24"/>
        </w:rPr>
        <w:t xml:space="preserve">on average </w:t>
      </w:r>
      <w:r w:rsidR="005744F5">
        <w:rPr>
          <w:rFonts w:ascii="Times New Roman" w:hAnsi="Times New Roman"/>
          <w:noProof/>
          <w:sz w:val="24"/>
          <w:szCs w:val="24"/>
        </w:rPr>
        <w:t xml:space="preserve">for </w:t>
      </w:r>
      <w:r w:rsidR="00D733FF">
        <w:rPr>
          <w:rFonts w:ascii="Times New Roman" w:hAnsi="Times New Roman"/>
          <w:noProof/>
          <w:sz w:val="24"/>
          <w:szCs w:val="24"/>
        </w:rPr>
        <w:t>45</w:t>
      </w:r>
      <w:r w:rsidR="00E34DCF" w:rsidRPr="002940AD">
        <w:rPr>
          <w:rFonts w:ascii="Times New Roman" w:hAnsi="Times New Roman"/>
          <w:noProof/>
          <w:sz w:val="24"/>
          <w:szCs w:val="24"/>
        </w:rPr>
        <w:t>% of the replies</w:t>
      </w:r>
      <w:r w:rsidR="00D7200B" w:rsidRPr="002940AD">
        <w:rPr>
          <w:rFonts w:ascii="Times New Roman" w:hAnsi="Times New Roman"/>
          <w:noProof/>
          <w:sz w:val="24"/>
          <w:szCs w:val="24"/>
        </w:rPr>
        <w:t xml:space="preserve"> </w:t>
      </w:r>
      <w:r w:rsidRPr="002940AD">
        <w:rPr>
          <w:rFonts w:ascii="Times New Roman" w:hAnsi="Times New Roman"/>
          <w:noProof/>
          <w:sz w:val="24"/>
          <w:szCs w:val="24"/>
        </w:rPr>
        <w:t xml:space="preserve">(see Annex </w:t>
      </w:r>
      <w:r w:rsidR="006A3D2C" w:rsidRPr="002940AD">
        <w:rPr>
          <w:rFonts w:ascii="Times New Roman" w:hAnsi="Times New Roman"/>
          <w:noProof/>
          <w:sz w:val="24"/>
          <w:szCs w:val="24"/>
        </w:rPr>
        <w:t>3</w:t>
      </w:r>
      <w:r w:rsidRPr="002940AD">
        <w:rPr>
          <w:rFonts w:ascii="Times New Roman" w:hAnsi="Times New Roman"/>
          <w:noProof/>
          <w:sz w:val="24"/>
          <w:szCs w:val="24"/>
        </w:rPr>
        <w:t xml:space="preserve">.8). </w:t>
      </w:r>
    </w:p>
    <w:p w14:paraId="536D2DB1" w14:textId="77777777" w:rsidR="00F521BF" w:rsidRPr="002940AD" w:rsidRDefault="001F7678">
      <w:pPr>
        <w:tabs>
          <w:tab w:val="left" w:pos="851"/>
        </w:tabs>
        <w:spacing w:line="240" w:lineRule="auto"/>
        <w:jc w:val="both"/>
        <w:rPr>
          <w:rFonts w:ascii="Times New Roman" w:hAnsi="Times New Roman"/>
          <w:noProof/>
          <w:sz w:val="24"/>
          <w:szCs w:val="24"/>
        </w:rPr>
      </w:pPr>
      <w:r w:rsidRPr="002940AD">
        <w:rPr>
          <w:rFonts w:ascii="Times New Roman" w:hAnsi="Times New Roman"/>
          <w:noProof/>
          <w:sz w:val="24"/>
          <w:szCs w:val="24"/>
        </w:rPr>
        <w:t>In the period considered</w:t>
      </w:r>
      <w:r w:rsidR="00DF242F" w:rsidRPr="002940AD">
        <w:rPr>
          <w:rFonts w:ascii="Times New Roman" w:hAnsi="Times New Roman"/>
          <w:noProof/>
          <w:sz w:val="24"/>
          <w:szCs w:val="24"/>
        </w:rPr>
        <w:t>,</w:t>
      </w:r>
      <w:r w:rsidRPr="002940AD">
        <w:rPr>
          <w:rFonts w:ascii="Times New Roman" w:hAnsi="Times New Roman"/>
          <w:noProof/>
          <w:sz w:val="24"/>
          <w:szCs w:val="24"/>
        </w:rPr>
        <w:t xml:space="preserve"> the Member States withdrew </w:t>
      </w:r>
      <w:r w:rsidR="001B2B0C">
        <w:rPr>
          <w:rFonts w:ascii="Times New Roman" w:hAnsi="Times New Roman"/>
          <w:noProof/>
          <w:sz w:val="24"/>
          <w:szCs w:val="24"/>
        </w:rPr>
        <w:t>217</w:t>
      </w:r>
      <w:r w:rsidR="005464D6" w:rsidRPr="002940AD">
        <w:rPr>
          <w:rStyle w:val="FootnoteReference"/>
          <w:rFonts w:ascii="Times New Roman" w:hAnsi="Times New Roman"/>
          <w:noProof/>
          <w:sz w:val="24"/>
          <w:szCs w:val="24"/>
        </w:rPr>
        <w:footnoteReference w:id="56"/>
      </w:r>
      <w:r w:rsidRPr="002940AD">
        <w:rPr>
          <w:rFonts w:ascii="Times New Roman" w:hAnsi="Times New Roman"/>
          <w:noProof/>
          <w:sz w:val="24"/>
          <w:szCs w:val="24"/>
        </w:rPr>
        <w:t xml:space="preserve"> draft technical regulations. In </w:t>
      </w:r>
      <w:r w:rsidR="004221F8">
        <w:rPr>
          <w:rFonts w:ascii="Times New Roman" w:hAnsi="Times New Roman"/>
          <w:noProof/>
          <w:sz w:val="24"/>
          <w:szCs w:val="24"/>
        </w:rPr>
        <w:t>30</w:t>
      </w:r>
      <w:r w:rsidRPr="002940AD">
        <w:rPr>
          <w:rFonts w:ascii="Times New Roman" w:hAnsi="Times New Roman"/>
          <w:noProof/>
          <w:sz w:val="24"/>
          <w:szCs w:val="24"/>
        </w:rPr>
        <w:t xml:space="preserve"> cases (</w:t>
      </w:r>
      <w:r w:rsidR="004537B4" w:rsidRPr="002940AD">
        <w:rPr>
          <w:rFonts w:ascii="Times New Roman" w:hAnsi="Times New Roman"/>
          <w:noProof/>
          <w:sz w:val="24"/>
          <w:szCs w:val="24"/>
        </w:rPr>
        <w:t>4 in 2016, 1</w:t>
      </w:r>
      <w:r w:rsidR="006B5C99">
        <w:rPr>
          <w:rFonts w:ascii="Times New Roman" w:hAnsi="Times New Roman"/>
          <w:noProof/>
          <w:sz w:val="24"/>
          <w:szCs w:val="24"/>
        </w:rPr>
        <w:t>3</w:t>
      </w:r>
      <w:r w:rsidR="004537B4" w:rsidRPr="002940AD">
        <w:rPr>
          <w:rFonts w:ascii="Times New Roman" w:hAnsi="Times New Roman"/>
          <w:noProof/>
          <w:sz w:val="24"/>
          <w:szCs w:val="24"/>
        </w:rPr>
        <w:t xml:space="preserve"> in 2017</w:t>
      </w:r>
      <w:r w:rsidR="00C779A7">
        <w:rPr>
          <w:rFonts w:ascii="Times New Roman" w:hAnsi="Times New Roman"/>
          <w:noProof/>
          <w:sz w:val="24"/>
          <w:szCs w:val="24"/>
        </w:rPr>
        <w:t>,</w:t>
      </w:r>
      <w:r w:rsidR="004537B4" w:rsidRPr="002940AD">
        <w:rPr>
          <w:rFonts w:ascii="Times New Roman" w:hAnsi="Times New Roman"/>
          <w:noProof/>
          <w:sz w:val="24"/>
          <w:szCs w:val="24"/>
        </w:rPr>
        <w:t xml:space="preserve"> </w:t>
      </w:r>
      <w:r w:rsidR="004221F8">
        <w:rPr>
          <w:rFonts w:ascii="Times New Roman" w:hAnsi="Times New Roman"/>
          <w:noProof/>
          <w:sz w:val="24"/>
          <w:szCs w:val="24"/>
        </w:rPr>
        <w:t>9</w:t>
      </w:r>
      <w:r w:rsidR="004537B4" w:rsidRPr="002940AD">
        <w:rPr>
          <w:rFonts w:ascii="Times New Roman" w:hAnsi="Times New Roman"/>
          <w:noProof/>
          <w:sz w:val="24"/>
          <w:szCs w:val="24"/>
        </w:rPr>
        <w:t xml:space="preserve"> in 2018</w:t>
      </w:r>
      <w:r w:rsidR="004B3B9F">
        <w:rPr>
          <w:rFonts w:ascii="Times New Roman" w:hAnsi="Times New Roman"/>
          <w:noProof/>
          <w:sz w:val="24"/>
          <w:szCs w:val="24"/>
        </w:rPr>
        <w:t>, 2 in 2019</w:t>
      </w:r>
      <w:r w:rsidR="000E7D07">
        <w:rPr>
          <w:rFonts w:ascii="Times New Roman" w:hAnsi="Times New Roman"/>
          <w:noProof/>
          <w:sz w:val="24"/>
          <w:szCs w:val="24"/>
        </w:rPr>
        <w:t xml:space="preserve"> and 2 in 2020</w:t>
      </w:r>
      <w:r w:rsidRPr="002940AD">
        <w:rPr>
          <w:rFonts w:ascii="Times New Roman" w:hAnsi="Times New Roman"/>
          <w:noProof/>
          <w:sz w:val="24"/>
          <w:szCs w:val="24"/>
        </w:rPr>
        <w:t xml:space="preserve">) the withdrawal followed the </w:t>
      </w:r>
      <w:r w:rsidR="00CE3859" w:rsidRPr="002940AD">
        <w:rPr>
          <w:rFonts w:ascii="Times New Roman" w:hAnsi="Times New Roman"/>
          <w:noProof/>
          <w:sz w:val="24"/>
          <w:szCs w:val="24"/>
        </w:rPr>
        <w:t>adoption of</w:t>
      </w:r>
      <w:r w:rsidRPr="002940AD">
        <w:rPr>
          <w:rFonts w:ascii="Times New Roman" w:hAnsi="Times New Roman"/>
          <w:noProof/>
          <w:sz w:val="24"/>
          <w:szCs w:val="24"/>
        </w:rPr>
        <w:t xml:space="preserve"> a detailed opinion </w:t>
      </w:r>
      <w:r w:rsidR="00181505" w:rsidRPr="002940AD">
        <w:rPr>
          <w:rFonts w:ascii="Times New Roman" w:hAnsi="Times New Roman"/>
          <w:noProof/>
          <w:sz w:val="24"/>
          <w:szCs w:val="24"/>
        </w:rPr>
        <w:t xml:space="preserve">issued </w:t>
      </w:r>
      <w:r w:rsidR="004537B4" w:rsidRPr="002940AD">
        <w:rPr>
          <w:rFonts w:ascii="Times New Roman" w:hAnsi="Times New Roman"/>
          <w:noProof/>
          <w:sz w:val="24"/>
          <w:szCs w:val="24"/>
        </w:rPr>
        <w:t>b</w:t>
      </w:r>
      <w:r w:rsidRPr="002940AD">
        <w:rPr>
          <w:rFonts w:ascii="Times New Roman" w:hAnsi="Times New Roman"/>
          <w:noProof/>
          <w:sz w:val="24"/>
          <w:szCs w:val="24"/>
        </w:rPr>
        <w:t xml:space="preserve">y the </w:t>
      </w:r>
      <w:r w:rsidRPr="009A5708">
        <w:rPr>
          <w:rFonts w:ascii="Times New Roman" w:hAnsi="Times New Roman"/>
          <w:noProof/>
          <w:sz w:val="24"/>
          <w:szCs w:val="24"/>
        </w:rPr>
        <w:t xml:space="preserve">Commission. </w:t>
      </w:r>
      <w:r w:rsidR="005744F5" w:rsidRPr="00367AB7">
        <w:rPr>
          <w:rFonts w:ascii="Times New Roman" w:hAnsi="Times New Roman"/>
          <w:noProof/>
          <w:sz w:val="24"/>
          <w:szCs w:val="24"/>
        </w:rPr>
        <w:t>R</w:t>
      </w:r>
      <w:r w:rsidRPr="00B46031">
        <w:rPr>
          <w:rFonts w:ascii="Times New Roman" w:hAnsi="Times New Roman"/>
          <w:noProof/>
          <w:sz w:val="24"/>
          <w:szCs w:val="24"/>
        </w:rPr>
        <w:t xml:space="preserve">easons </w:t>
      </w:r>
      <w:r w:rsidR="005744F5" w:rsidRPr="00AE7AE2">
        <w:rPr>
          <w:rFonts w:ascii="Times New Roman" w:hAnsi="Times New Roman"/>
          <w:noProof/>
          <w:sz w:val="24"/>
          <w:szCs w:val="24"/>
        </w:rPr>
        <w:t xml:space="preserve">for </w:t>
      </w:r>
      <w:r w:rsidRPr="00AE7AE2">
        <w:rPr>
          <w:rFonts w:ascii="Times New Roman" w:hAnsi="Times New Roman"/>
          <w:noProof/>
          <w:sz w:val="24"/>
          <w:szCs w:val="24"/>
        </w:rPr>
        <w:t xml:space="preserve">these withdrawals </w:t>
      </w:r>
      <w:r w:rsidR="005744F5" w:rsidRPr="001F1AF0">
        <w:rPr>
          <w:rFonts w:ascii="Times New Roman" w:hAnsi="Times New Roman"/>
          <w:noProof/>
          <w:sz w:val="24"/>
          <w:szCs w:val="24"/>
        </w:rPr>
        <w:t xml:space="preserve">include: </w:t>
      </w:r>
      <w:r w:rsidR="00CC0ACA" w:rsidRPr="001F1AF0">
        <w:rPr>
          <w:rFonts w:ascii="Times New Roman" w:hAnsi="Times New Roman"/>
          <w:noProof/>
          <w:sz w:val="24"/>
          <w:szCs w:val="24"/>
        </w:rPr>
        <w:t>(i)</w:t>
      </w:r>
      <w:r w:rsidR="00CC0ACA" w:rsidRPr="009A5708">
        <w:rPr>
          <w:rFonts w:ascii="Times New Roman" w:hAnsi="Times New Roman"/>
          <w:noProof/>
          <w:sz w:val="24"/>
          <w:szCs w:val="24"/>
        </w:rPr>
        <w:t xml:space="preserve"> </w:t>
      </w:r>
      <w:r w:rsidRPr="009A5708">
        <w:rPr>
          <w:rFonts w:ascii="Times New Roman" w:hAnsi="Times New Roman"/>
          <w:noProof/>
          <w:sz w:val="24"/>
          <w:szCs w:val="24"/>
        </w:rPr>
        <w:t xml:space="preserve">the </w:t>
      </w:r>
      <w:r w:rsidR="006E2970" w:rsidRPr="00367AB7">
        <w:rPr>
          <w:rFonts w:ascii="Times New Roman" w:hAnsi="Times New Roman"/>
          <w:noProof/>
          <w:sz w:val="24"/>
          <w:szCs w:val="24"/>
        </w:rPr>
        <w:t>notifying Member State</w:t>
      </w:r>
      <w:r w:rsidR="006E2970" w:rsidRPr="00B46031">
        <w:rPr>
          <w:rFonts w:ascii="Times New Roman" w:hAnsi="Times New Roman"/>
          <w:noProof/>
          <w:sz w:val="24"/>
          <w:szCs w:val="24"/>
        </w:rPr>
        <w:t xml:space="preserve">’s </w:t>
      </w:r>
      <w:r w:rsidRPr="00B46031">
        <w:rPr>
          <w:rFonts w:ascii="Times New Roman" w:hAnsi="Times New Roman"/>
          <w:noProof/>
          <w:sz w:val="24"/>
          <w:szCs w:val="24"/>
        </w:rPr>
        <w:t>introduction</w:t>
      </w:r>
      <w:r w:rsidRPr="00AE7AE2">
        <w:rPr>
          <w:rFonts w:ascii="Times New Roman" w:hAnsi="Times New Roman"/>
          <w:noProof/>
          <w:sz w:val="24"/>
          <w:szCs w:val="24"/>
        </w:rPr>
        <w:t xml:space="preserve"> </w:t>
      </w:r>
      <w:r w:rsidRPr="00595922">
        <w:rPr>
          <w:rFonts w:ascii="Times New Roman" w:hAnsi="Times New Roman"/>
          <w:noProof/>
          <w:sz w:val="24"/>
          <w:szCs w:val="24"/>
        </w:rPr>
        <w:t>of substantial changes to the draft technical regulation</w:t>
      </w:r>
      <w:r w:rsidR="006E2970" w:rsidRPr="00595922">
        <w:rPr>
          <w:rFonts w:ascii="Times New Roman" w:hAnsi="Times New Roman"/>
          <w:noProof/>
          <w:sz w:val="24"/>
          <w:szCs w:val="24"/>
        </w:rPr>
        <w:t>,</w:t>
      </w:r>
      <w:r w:rsidRPr="001F1AF0">
        <w:rPr>
          <w:rFonts w:ascii="Times New Roman" w:hAnsi="Times New Roman"/>
          <w:noProof/>
          <w:sz w:val="24"/>
          <w:szCs w:val="24"/>
        </w:rPr>
        <w:t xml:space="preserve"> which require</w:t>
      </w:r>
      <w:r w:rsidR="00E87E3F" w:rsidRPr="001F1AF0">
        <w:rPr>
          <w:rFonts w:ascii="Times New Roman" w:hAnsi="Times New Roman"/>
          <w:noProof/>
          <w:sz w:val="24"/>
          <w:szCs w:val="24"/>
        </w:rPr>
        <w:t>d</w:t>
      </w:r>
      <w:r w:rsidRPr="001F1AF0">
        <w:rPr>
          <w:rFonts w:ascii="Times New Roman" w:hAnsi="Times New Roman"/>
          <w:noProof/>
          <w:sz w:val="24"/>
          <w:szCs w:val="24"/>
        </w:rPr>
        <w:t xml:space="preserve"> a new notification (Article 5(1) of the Directive)</w:t>
      </w:r>
      <w:r w:rsidR="00CC0ACA" w:rsidRPr="001F1AF0">
        <w:rPr>
          <w:rFonts w:ascii="Times New Roman" w:hAnsi="Times New Roman"/>
          <w:noProof/>
          <w:sz w:val="24"/>
          <w:szCs w:val="24"/>
        </w:rPr>
        <w:t>;</w:t>
      </w:r>
      <w:r w:rsidRPr="001F1AF0">
        <w:rPr>
          <w:rFonts w:ascii="Times New Roman" w:hAnsi="Times New Roman"/>
          <w:noProof/>
          <w:sz w:val="24"/>
          <w:szCs w:val="24"/>
        </w:rPr>
        <w:t xml:space="preserve"> </w:t>
      </w:r>
      <w:r w:rsidR="00CC0ACA" w:rsidRPr="001F1AF0">
        <w:rPr>
          <w:rFonts w:ascii="Times New Roman" w:hAnsi="Times New Roman"/>
          <w:noProof/>
          <w:sz w:val="24"/>
          <w:szCs w:val="24"/>
        </w:rPr>
        <w:t xml:space="preserve">and (ii) </w:t>
      </w:r>
      <w:r w:rsidRPr="001F1AF0">
        <w:rPr>
          <w:rFonts w:ascii="Times New Roman" w:hAnsi="Times New Roman"/>
          <w:noProof/>
          <w:sz w:val="24"/>
          <w:szCs w:val="24"/>
        </w:rPr>
        <w:t xml:space="preserve">the </w:t>
      </w:r>
      <w:r w:rsidR="006E2970" w:rsidRPr="001F1AF0">
        <w:rPr>
          <w:rFonts w:ascii="Times New Roman" w:hAnsi="Times New Roman"/>
          <w:noProof/>
          <w:sz w:val="24"/>
          <w:szCs w:val="24"/>
        </w:rPr>
        <w:t xml:space="preserve">national authorities’ </w:t>
      </w:r>
      <w:r w:rsidRPr="001F1AF0">
        <w:rPr>
          <w:rFonts w:ascii="Times New Roman" w:hAnsi="Times New Roman"/>
          <w:noProof/>
          <w:sz w:val="24"/>
          <w:szCs w:val="24"/>
        </w:rPr>
        <w:t>simple decision not to go ahead</w:t>
      </w:r>
      <w:r w:rsidRPr="002940AD">
        <w:rPr>
          <w:rFonts w:ascii="Times New Roman" w:hAnsi="Times New Roman"/>
          <w:noProof/>
          <w:sz w:val="24"/>
          <w:szCs w:val="24"/>
        </w:rPr>
        <w:t xml:space="preserve"> with adopti</w:t>
      </w:r>
      <w:r w:rsidR="006E2970">
        <w:rPr>
          <w:rFonts w:ascii="Times New Roman" w:hAnsi="Times New Roman"/>
          <w:noProof/>
          <w:sz w:val="24"/>
          <w:szCs w:val="24"/>
        </w:rPr>
        <w:t>ng</w:t>
      </w:r>
      <w:r w:rsidRPr="002940AD">
        <w:rPr>
          <w:rFonts w:ascii="Times New Roman" w:hAnsi="Times New Roman"/>
          <w:noProof/>
          <w:sz w:val="24"/>
          <w:szCs w:val="24"/>
        </w:rPr>
        <w:t xml:space="preserve"> the draft technical regulation. For other notified draft technical regul</w:t>
      </w:r>
      <w:r w:rsidR="00CD7529">
        <w:rPr>
          <w:rFonts w:ascii="Times New Roman" w:hAnsi="Times New Roman"/>
          <w:noProof/>
          <w:sz w:val="24"/>
          <w:szCs w:val="24"/>
        </w:rPr>
        <w:t>ations the dialogue is still on</w:t>
      </w:r>
      <w:r w:rsidRPr="002940AD">
        <w:rPr>
          <w:rFonts w:ascii="Times New Roman" w:hAnsi="Times New Roman"/>
          <w:noProof/>
          <w:sz w:val="24"/>
          <w:szCs w:val="24"/>
        </w:rPr>
        <w:t xml:space="preserve">going. </w:t>
      </w:r>
    </w:p>
    <w:p w14:paraId="1E7EB07C" w14:textId="77777777" w:rsidR="0049046D" w:rsidRPr="002940AD" w:rsidRDefault="001F7678">
      <w:pPr>
        <w:pStyle w:val="Heading2"/>
        <w:numPr>
          <w:ilvl w:val="1"/>
          <w:numId w:val="36"/>
        </w:numPr>
        <w:ind w:left="851" w:hanging="851"/>
        <w:rPr>
          <w:i/>
          <w:noProof/>
        </w:rPr>
      </w:pPr>
      <w:bookmarkStart w:id="28" w:name="_Toc98517791"/>
      <w:bookmarkStart w:id="29" w:name="_Toc242246327"/>
      <w:bookmarkStart w:id="30" w:name="_Toc404941549"/>
      <w:r w:rsidRPr="002940AD">
        <w:rPr>
          <w:i/>
          <w:noProof/>
        </w:rPr>
        <w:t>Follow-up to the notification procedure</w:t>
      </w:r>
      <w:bookmarkEnd w:id="28"/>
      <w:r w:rsidRPr="002940AD">
        <w:rPr>
          <w:i/>
          <w:noProof/>
        </w:rPr>
        <w:t xml:space="preserve"> </w:t>
      </w:r>
      <w:bookmarkEnd w:id="29"/>
      <w:bookmarkEnd w:id="30"/>
    </w:p>
    <w:p w14:paraId="7D4553B8" w14:textId="77777777" w:rsidR="00364479" w:rsidRPr="002940AD" w:rsidRDefault="001F7678">
      <w:pPr>
        <w:spacing w:line="240" w:lineRule="auto"/>
        <w:jc w:val="both"/>
        <w:rPr>
          <w:rFonts w:ascii="Times New Roman" w:hAnsi="Times New Roman"/>
          <w:noProof/>
          <w:sz w:val="24"/>
          <w:szCs w:val="24"/>
        </w:rPr>
      </w:pPr>
      <w:r w:rsidRPr="002940AD">
        <w:rPr>
          <w:rFonts w:ascii="Times New Roman" w:hAnsi="Times New Roman"/>
          <w:noProof/>
          <w:sz w:val="24"/>
          <w:szCs w:val="24"/>
        </w:rPr>
        <w:t xml:space="preserve">For </w:t>
      </w:r>
      <w:r w:rsidR="00E87E3F" w:rsidRPr="002940AD">
        <w:rPr>
          <w:rFonts w:ascii="Times New Roman" w:hAnsi="Times New Roman"/>
          <w:noProof/>
          <w:sz w:val="24"/>
          <w:szCs w:val="24"/>
        </w:rPr>
        <w:t xml:space="preserve">those </w:t>
      </w:r>
      <w:r w:rsidRPr="002940AD">
        <w:rPr>
          <w:rFonts w:ascii="Times New Roman" w:hAnsi="Times New Roman"/>
          <w:noProof/>
          <w:sz w:val="24"/>
          <w:szCs w:val="24"/>
        </w:rPr>
        <w:t xml:space="preserve">cases in which the potential breaches of the </w:t>
      </w:r>
      <w:r w:rsidRPr="000C02DD">
        <w:rPr>
          <w:rFonts w:ascii="Times New Roman" w:hAnsi="Times New Roman"/>
          <w:noProof/>
          <w:sz w:val="24"/>
          <w:szCs w:val="24"/>
        </w:rPr>
        <w:t>EU internal market</w:t>
      </w:r>
      <w:r w:rsidRPr="002940AD">
        <w:rPr>
          <w:rFonts w:ascii="Times New Roman" w:hAnsi="Times New Roman"/>
          <w:noProof/>
          <w:sz w:val="24"/>
          <w:szCs w:val="24"/>
        </w:rPr>
        <w:t xml:space="preserve"> law </w:t>
      </w:r>
      <w:r w:rsidR="00E87E3F" w:rsidRPr="002940AD">
        <w:rPr>
          <w:rFonts w:ascii="Times New Roman" w:hAnsi="Times New Roman"/>
          <w:noProof/>
          <w:sz w:val="24"/>
          <w:szCs w:val="24"/>
        </w:rPr>
        <w:t xml:space="preserve">were not </w:t>
      </w:r>
      <w:r w:rsidRPr="002940AD">
        <w:rPr>
          <w:rFonts w:ascii="Times New Roman" w:hAnsi="Times New Roman"/>
          <w:noProof/>
          <w:sz w:val="24"/>
          <w:szCs w:val="24"/>
        </w:rPr>
        <w:t xml:space="preserve">entirely removed </w:t>
      </w:r>
      <w:r w:rsidR="007637E3">
        <w:rPr>
          <w:rFonts w:ascii="Times New Roman" w:hAnsi="Times New Roman"/>
          <w:noProof/>
          <w:sz w:val="24"/>
          <w:szCs w:val="24"/>
        </w:rPr>
        <w:t xml:space="preserve">via </w:t>
      </w:r>
      <w:r w:rsidRPr="002940AD">
        <w:rPr>
          <w:rFonts w:ascii="Times New Roman" w:hAnsi="Times New Roman"/>
          <w:noProof/>
          <w:sz w:val="24"/>
          <w:szCs w:val="24"/>
        </w:rPr>
        <w:t>the notification procedure, the Commission conducted further investigations</w:t>
      </w:r>
      <w:r w:rsidR="00A41A27" w:rsidRPr="002940AD">
        <w:rPr>
          <w:rFonts w:ascii="Times New Roman" w:hAnsi="Times New Roman"/>
          <w:noProof/>
          <w:sz w:val="24"/>
          <w:szCs w:val="24"/>
        </w:rPr>
        <w:t xml:space="preserve"> (e.g. on plant protection products, electronic cigarettes</w:t>
      </w:r>
      <w:r w:rsidR="00C60997" w:rsidRPr="002940AD">
        <w:rPr>
          <w:rFonts w:ascii="Times New Roman" w:hAnsi="Times New Roman"/>
          <w:noProof/>
          <w:sz w:val="24"/>
          <w:szCs w:val="24"/>
        </w:rPr>
        <w:t>, tobacco</w:t>
      </w:r>
      <w:r w:rsidR="00364479" w:rsidRPr="002940AD">
        <w:rPr>
          <w:rFonts w:ascii="Times New Roman" w:hAnsi="Times New Roman"/>
          <w:noProof/>
          <w:sz w:val="24"/>
          <w:szCs w:val="24"/>
        </w:rPr>
        <w:t>)</w:t>
      </w:r>
      <w:r w:rsidR="005540C5" w:rsidRPr="002940AD">
        <w:rPr>
          <w:rFonts w:ascii="Times New Roman" w:hAnsi="Times New Roman"/>
          <w:noProof/>
          <w:sz w:val="24"/>
          <w:szCs w:val="24"/>
        </w:rPr>
        <w:t>.</w:t>
      </w:r>
      <w:r w:rsidR="007314F3" w:rsidRPr="002940AD">
        <w:rPr>
          <w:rFonts w:ascii="Times New Roman" w:hAnsi="Times New Roman"/>
          <w:noProof/>
          <w:sz w:val="24"/>
          <w:szCs w:val="24"/>
        </w:rPr>
        <w:t xml:space="preserve"> </w:t>
      </w:r>
      <w:r w:rsidR="00A41A27" w:rsidRPr="002940AD">
        <w:rPr>
          <w:rFonts w:ascii="Times New Roman" w:hAnsi="Times New Roman"/>
          <w:noProof/>
          <w:sz w:val="24"/>
          <w:szCs w:val="24"/>
        </w:rPr>
        <w:t xml:space="preserve">The Commission also conducted investigations on </w:t>
      </w:r>
      <w:r w:rsidR="006E2970" w:rsidRPr="002940AD">
        <w:rPr>
          <w:rFonts w:ascii="Times New Roman" w:hAnsi="Times New Roman"/>
          <w:noProof/>
          <w:sz w:val="24"/>
          <w:szCs w:val="24"/>
        </w:rPr>
        <w:t>Member States</w:t>
      </w:r>
      <w:r w:rsidR="006E2970">
        <w:rPr>
          <w:rFonts w:ascii="Times New Roman" w:hAnsi="Times New Roman"/>
          <w:noProof/>
          <w:sz w:val="24"/>
          <w:szCs w:val="24"/>
        </w:rPr>
        <w:t>’</w:t>
      </w:r>
      <w:r w:rsidR="00C60997" w:rsidRPr="002940AD">
        <w:rPr>
          <w:rFonts w:ascii="Times New Roman" w:hAnsi="Times New Roman"/>
          <w:noProof/>
          <w:sz w:val="24"/>
          <w:szCs w:val="24"/>
        </w:rPr>
        <w:t xml:space="preserve"> </w:t>
      </w:r>
      <w:r w:rsidR="00A41A27" w:rsidRPr="002940AD">
        <w:rPr>
          <w:rFonts w:ascii="Times New Roman" w:hAnsi="Times New Roman"/>
          <w:noProof/>
          <w:sz w:val="24"/>
          <w:szCs w:val="24"/>
        </w:rPr>
        <w:t>alleged breach</w:t>
      </w:r>
      <w:r w:rsidR="006E2970">
        <w:rPr>
          <w:rFonts w:ascii="Times New Roman" w:hAnsi="Times New Roman"/>
          <w:noProof/>
          <w:sz w:val="24"/>
          <w:szCs w:val="24"/>
        </w:rPr>
        <w:t>es</w:t>
      </w:r>
      <w:r w:rsidR="00A41A27" w:rsidRPr="002940AD">
        <w:rPr>
          <w:rFonts w:ascii="Times New Roman" w:hAnsi="Times New Roman"/>
          <w:noProof/>
          <w:sz w:val="24"/>
          <w:szCs w:val="24"/>
        </w:rPr>
        <w:t xml:space="preserve"> of the notification obligation, for example, in relation to rules on taximeters</w:t>
      </w:r>
      <w:r w:rsidR="00105AE7" w:rsidRPr="002940AD">
        <w:rPr>
          <w:rFonts w:ascii="Times New Roman" w:hAnsi="Times New Roman"/>
          <w:noProof/>
          <w:sz w:val="24"/>
          <w:szCs w:val="24"/>
        </w:rPr>
        <w:t xml:space="preserve">, </w:t>
      </w:r>
      <w:r w:rsidR="005540C5" w:rsidRPr="002940AD">
        <w:rPr>
          <w:rFonts w:ascii="Times New Roman" w:hAnsi="Times New Roman"/>
          <w:noProof/>
          <w:sz w:val="24"/>
          <w:szCs w:val="24"/>
        </w:rPr>
        <w:t xml:space="preserve">glass bottles for wine and spirits, </w:t>
      </w:r>
      <w:r w:rsidR="00105AE7" w:rsidRPr="002940AD">
        <w:rPr>
          <w:rFonts w:ascii="Times New Roman" w:hAnsi="Times New Roman"/>
          <w:noProof/>
          <w:sz w:val="24"/>
          <w:szCs w:val="24"/>
        </w:rPr>
        <w:t>advertising equipment</w:t>
      </w:r>
      <w:r w:rsidR="00A41A27" w:rsidRPr="002940AD">
        <w:rPr>
          <w:rFonts w:ascii="Times New Roman" w:hAnsi="Times New Roman"/>
          <w:noProof/>
          <w:sz w:val="24"/>
          <w:szCs w:val="24"/>
        </w:rPr>
        <w:t xml:space="preserve">, waste, </w:t>
      </w:r>
      <w:r w:rsidR="007640CC" w:rsidRPr="002940AD">
        <w:rPr>
          <w:rFonts w:ascii="Times New Roman" w:hAnsi="Times New Roman"/>
          <w:noProof/>
          <w:sz w:val="24"/>
          <w:szCs w:val="24"/>
        </w:rPr>
        <w:t xml:space="preserve">gambling, gaming machines, </w:t>
      </w:r>
      <w:r w:rsidR="001C003C" w:rsidRPr="00CB6792">
        <w:rPr>
          <w:rFonts w:ascii="Times New Roman" w:hAnsi="Times New Roman"/>
          <w:noProof/>
          <w:sz w:val="24"/>
          <w:szCs w:val="24"/>
        </w:rPr>
        <w:t xml:space="preserve">fluorinated greenhouse gas emissions, </w:t>
      </w:r>
      <w:r w:rsidR="00A41A27" w:rsidRPr="00CB6792">
        <w:rPr>
          <w:rFonts w:ascii="Times New Roman" w:hAnsi="Times New Roman"/>
          <w:noProof/>
          <w:sz w:val="24"/>
          <w:szCs w:val="24"/>
        </w:rPr>
        <w:t>plastic products</w:t>
      </w:r>
      <w:r w:rsidR="00CF2EE8" w:rsidRPr="00CB6792">
        <w:rPr>
          <w:rFonts w:ascii="Times New Roman" w:hAnsi="Times New Roman"/>
          <w:noProof/>
          <w:sz w:val="24"/>
          <w:szCs w:val="24"/>
        </w:rPr>
        <w:t>, furniture</w:t>
      </w:r>
      <w:r w:rsidR="00364479" w:rsidRPr="00CB6792">
        <w:rPr>
          <w:rFonts w:ascii="Times New Roman" w:hAnsi="Times New Roman"/>
          <w:noProof/>
          <w:sz w:val="24"/>
          <w:szCs w:val="24"/>
        </w:rPr>
        <w:t xml:space="preserve">, </w:t>
      </w:r>
      <w:r w:rsidR="00A41A27" w:rsidRPr="00CB6792">
        <w:rPr>
          <w:rFonts w:ascii="Times New Roman" w:hAnsi="Times New Roman"/>
          <w:noProof/>
          <w:sz w:val="24"/>
          <w:szCs w:val="24"/>
        </w:rPr>
        <w:t>collaborative economy</w:t>
      </w:r>
      <w:r w:rsidR="006E2970">
        <w:rPr>
          <w:rFonts w:ascii="Times New Roman" w:hAnsi="Times New Roman"/>
          <w:noProof/>
          <w:sz w:val="24"/>
          <w:szCs w:val="24"/>
        </w:rPr>
        <w:t>,</w:t>
      </w:r>
      <w:r w:rsidR="00364479" w:rsidRPr="00CB6792">
        <w:rPr>
          <w:rFonts w:ascii="Times New Roman" w:hAnsi="Times New Roman"/>
          <w:noProof/>
          <w:sz w:val="24"/>
          <w:szCs w:val="24"/>
        </w:rPr>
        <w:t xml:space="preserve"> etc</w:t>
      </w:r>
      <w:r w:rsidR="00A41A27" w:rsidRPr="00CB6792">
        <w:rPr>
          <w:rFonts w:ascii="Times New Roman" w:hAnsi="Times New Roman"/>
          <w:noProof/>
          <w:sz w:val="24"/>
          <w:szCs w:val="24"/>
        </w:rPr>
        <w:t xml:space="preserve">. </w:t>
      </w:r>
      <w:r w:rsidR="001C72CE" w:rsidRPr="00CB6792">
        <w:rPr>
          <w:rFonts w:ascii="Times New Roman" w:hAnsi="Times New Roman"/>
          <w:noProof/>
          <w:sz w:val="24"/>
          <w:szCs w:val="24"/>
        </w:rPr>
        <w:t>In such cases</w:t>
      </w:r>
      <w:r w:rsidR="006E2970">
        <w:rPr>
          <w:rFonts w:ascii="Times New Roman" w:hAnsi="Times New Roman"/>
          <w:noProof/>
          <w:sz w:val="24"/>
          <w:szCs w:val="24"/>
        </w:rPr>
        <w:t>,</w:t>
      </w:r>
      <w:r w:rsidR="001C72CE" w:rsidRPr="00CB6792">
        <w:rPr>
          <w:rFonts w:ascii="Times New Roman" w:hAnsi="Times New Roman"/>
          <w:noProof/>
          <w:sz w:val="24"/>
          <w:szCs w:val="24"/>
        </w:rPr>
        <w:t xml:space="preserve"> the Commission </w:t>
      </w:r>
      <w:r w:rsidR="00E41A71" w:rsidRPr="00CB6792">
        <w:rPr>
          <w:rFonts w:ascii="Times New Roman" w:hAnsi="Times New Roman"/>
          <w:noProof/>
          <w:sz w:val="24"/>
          <w:szCs w:val="24"/>
        </w:rPr>
        <w:t>informed</w:t>
      </w:r>
      <w:r w:rsidR="001C72CE" w:rsidRPr="00CB6792">
        <w:rPr>
          <w:rFonts w:ascii="Times New Roman" w:hAnsi="Times New Roman"/>
          <w:noProof/>
          <w:sz w:val="24"/>
          <w:szCs w:val="24"/>
        </w:rPr>
        <w:t xml:space="preserve"> the </w:t>
      </w:r>
      <w:r w:rsidR="00E41A71" w:rsidRPr="00CB6792">
        <w:rPr>
          <w:rFonts w:ascii="Times New Roman" w:hAnsi="Times New Roman"/>
          <w:noProof/>
          <w:sz w:val="24"/>
          <w:szCs w:val="24"/>
        </w:rPr>
        <w:t xml:space="preserve">concerned </w:t>
      </w:r>
      <w:r w:rsidR="001C72CE" w:rsidRPr="00CB6792">
        <w:rPr>
          <w:rFonts w:ascii="Times New Roman" w:hAnsi="Times New Roman"/>
          <w:noProof/>
          <w:sz w:val="24"/>
          <w:szCs w:val="24"/>
        </w:rPr>
        <w:t xml:space="preserve">national </w:t>
      </w:r>
      <w:r w:rsidR="006E2970">
        <w:rPr>
          <w:rFonts w:ascii="Times New Roman" w:hAnsi="Times New Roman"/>
          <w:noProof/>
          <w:sz w:val="24"/>
          <w:szCs w:val="24"/>
        </w:rPr>
        <w:t>c</w:t>
      </w:r>
      <w:r w:rsidR="001C72CE" w:rsidRPr="00CB6792">
        <w:rPr>
          <w:rFonts w:ascii="Times New Roman" w:hAnsi="Times New Roman"/>
          <w:noProof/>
          <w:sz w:val="24"/>
          <w:szCs w:val="24"/>
        </w:rPr>
        <w:t xml:space="preserve">ontact </w:t>
      </w:r>
      <w:r w:rsidR="006E2970">
        <w:rPr>
          <w:rFonts w:ascii="Times New Roman" w:hAnsi="Times New Roman"/>
          <w:noProof/>
          <w:sz w:val="24"/>
          <w:szCs w:val="24"/>
        </w:rPr>
        <w:t>p</w:t>
      </w:r>
      <w:r w:rsidR="001C72CE" w:rsidRPr="00CB6792">
        <w:rPr>
          <w:rFonts w:ascii="Times New Roman" w:hAnsi="Times New Roman"/>
          <w:noProof/>
          <w:sz w:val="24"/>
          <w:szCs w:val="24"/>
        </w:rPr>
        <w:t xml:space="preserve">oint for the Single Market Transparency Directive </w:t>
      </w:r>
      <w:r w:rsidR="00E41A71" w:rsidRPr="00CB6792">
        <w:rPr>
          <w:rFonts w:ascii="Times New Roman" w:hAnsi="Times New Roman"/>
          <w:noProof/>
          <w:sz w:val="24"/>
          <w:szCs w:val="24"/>
        </w:rPr>
        <w:t>of the consequences of breach</w:t>
      </w:r>
      <w:r w:rsidR="006E2970">
        <w:rPr>
          <w:rFonts w:ascii="Times New Roman" w:hAnsi="Times New Roman"/>
          <w:noProof/>
          <w:sz w:val="24"/>
          <w:szCs w:val="24"/>
        </w:rPr>
        <w:t>ing</w:t>
      </w:r>
      <w:r w:rsidR="00E41A71" w:rsidRPr="00CB6792">
        <w:rPr>
          <w:rFonts w:ascii="Times New Roman" w:hAnsi="Times New Roman"/>
          <w:noProof/>
          <w:sz w:val="24"/>
          <w:szCs w:val="24"/>
        </w:rPr>
        <w:t xml:space="preserve"> </w:t>
      </w:r>
      <w:r w:rsidR="001C72CE" w:rsidRPr="00CB6792">
        <w:rPr>
          <w:rFonts w:ascii="Times New Roman" w:hAnsi="Times New Roman"/>
          <w:noProof/>
          <w:sz w:val="24"/>
          <w:szCs w:val="24"/>
        </w:rPr>
        <w:t>the notification obligation</w:t>
      </w:r>
      <w:r w:rsidR="00E41A71" w:rsidRPr="00CB6792">
        <w:rPr>
          <w:rFonts w:ascii="Times New Roman" w:hAnsi="Times New Roman"/>
          <w:noProof/>
          <w:sz w:val="24"/>
          <w:szCs w:val="24"/>
        </w:rPr>
        <w:t xml:space="preserve"> and re</w:t>
      </w:r>
      <w:r w:rsidR="00C66909" w:rsidRPr="00CB6792">
        <w:rPr>
          <w:rFonts w:ascii="Times New Roman" w:hAnsi="Times New Roman"/>
          <w:noProof/>
          <w:sz w:val="24"/>
          <w:szCs w:val="24"/>
        </w:rPr>
        <w:t>called</w:t>
      </w:r>
      <w:r w:rsidR="00E41A71" w:rsidRPr="00CB6792">
        <w:rPr>
          <w:rFonts w:ascii="Times New Roman" w:hAnsi="Times New Roman"/>
          <w:noProof/>
          <w:sz w:val="24"/>
          <w:szCs w:val="24"/>
        </w:rPr>
        <w:t xml:space="preserve"> the obligation to notify.</w:t>
      </w:r>
    </w:p>
    <w:p w14:paraId="67A9AF67" w14:textId="77777777" w:rsidR="0049046D" w:rsidRPr="002940AD" w:rsidRDefault="001F7678">
      <w:pPr>
        <w:pStyle w:val="Heading2"/>
        <w:numPr>
          <w:ilvl w:val="1"/>
          <w:numId w:val="36"/>
        </w:numPr>
        <w:ind w:left="851" w:hanging="851"/>
        <w:rPr>
          <w:i/>
          <w:noProof/>
        </w:rPr>
      </w:pPr>
      <w:bookmarkStart w:id="31" w:name="_Toc43132422"/>
      <w:bookmarkStart w:id="32" w:name="_Toc98517792"/>
      <w:bookmarkEnd w:id="31"/>
      <w:r w:rsidRPr="002940AD">
        <w:rPr>
          <w:i/>
          <w:noProof/>
        </w:rPr>
        <w:t>Structured exchanges with the Member States</w:t>
      </w:r>
      <w:r w:rsidR="004035DC" w:rsidRPr="002940AD">
        <w:rPr>
          <w:i/>
          <w:noProof/>
        </w:rPr>
        <w:t>, E</w:t>
      </w:r>
      <w:r w:rsidR="00942F33" w:rsidRPr="002940AD">
        <w:rPr>
          <w:i/>
          <w:noProof/>
        </w:rPr>
        <w:t>EA</w:t>
      </w:r>
      <w:r w:rsidR="00F1173D" w:rsidRPr="002940AD">
        <w:rPr>
          <w:i/>
          <w:noProof/>
        </w:rPr>
        <w:t>-EFTA</w:t>
      </w:r>
      <w:r w:rsidR="00942F33" w:rsidRPr="002940AD">
        <w:rPr>
          <w:i/>
          <w:noProof/>
        </w:rPr>
        <w:t xml:space="preserve"> </w:t>
      </w:r>
      <w:r w:rsidR="00DD67E5">
        <w:rPr>
          <w:i/>
          <w:noProof/>
        </w:rPr>
        <w:t>c</w:t>
      </w:r>
      <w:r w:rsidR="004035DC" w:rsidRPr="002940AD">
        <w:rPr>
          <w:i/>
          <w:noProof/>
        </w:rPr>
        <w:t>ountries</w:t>
      </w:r>
      <w:r w:rsidR="00942F33" w:rsidRPr="002940AD">
        <w:rPr>
          <w:i/>
          <w:noProof/>
          <w:szCs w:val="24"/>
        </w:rPr>
        <w:t>, Switzerland and Turkey</w:t>
      </w:r>
      <w:bookmarkStart w:id="33" w:name="_Toc242246328"/>
      <w:bookmarkStart w:id="34" w:name="_Toc404941550"/>
      <w:bookmarkEnd w:id="32"/>
    </w:p>
    <w:p w14:paraId="73BB0278" w14:textId="77777777" w:rsidR="0049046D" w:rsidRPr="002940AD" w:rsidRDefault="001F7678">
      <w:pPr>
        <w:spacing w:line="240" w:lineRule="auto"/>
        <w:jc w:val="both"/>
        <w:rPr>
          <w:rFonts w:ascii="Times New Roman" w:hAnsi="Times New Roman"/>
          <w:noProof/>
          <w:sz w:val="24"/>
          <w:szCs w:val="24"/>
        </w:rPr>
      </w:pPr>
      <w:r w:rsidRPr="002940AD">
        <w:rPr>
          <w:rFonts w:ascii="Times New Roman" w:hAnsi="Times New Roman"/>
          <w:noProof/>
          <w:sz w:val="24"/>
          <w:szCs w:val="24"/>
        </w:rPr>
        <w:t xml:space="preserve">The regular meetings of the </w:t>
      </w:r>
      <w:r w:rsidR="00242C67" w:rsidRPr="002940AD">
        <w:rPr>
          <w:rFonts w:ascii="Times New Roman" w:hAnsi="Times New Roman"/>
          <w:noProof/>
          <w:sz w:val="24"/>
          <w:szCs w:val="24"/>
        </w:rPr>
        <w:t>Technical Regulations Standing Committee fostered</w:t>
      </w:r>
      <w:r w:rsidRPr="002940AD">
        <w:rPr>
          <w:rFonts w:ascii="Times New Roman" w:hAnsi="Times New Roman"/>
          <w:noProof/>
          <w:sz w:val="24"/>
          <w:szCs w:val="24"/>
        </w:rPr>
        <w:t xml:space="preserve"> </w:t>
      </w:r>
      <w:r w:rsidR="00CC11FA" w:rsidRPr="002940AD">
        <w:rPr>
          <w:rFonts w:ascii="Times New Roman" w:hAnsi="Times New Roman"/>
          <w:noProof/>
          <w:sz w:val="24"/>
          <w:szCs w:val="24"/>
        </w:rPr>
        <w:t xml:space="preserve">a fruitful exchange of </w:t>
      </w:r>
      <w:r w:rsidRPr="002940AD">
        <w:rPr>
          <w:rFonts w:ascii="Times New Roman" w:hAnsi="Times New Roman"/>
          <w:noProof/>
          <w:sz w:val="24"/>
          <w:szCs w:val="24"/>
        </w:rPr>
        <w:t xml:space="preserve">views on points of general interest and also on specific aspects of the notification procedure. </w:t>
      </w:r>
    </w:p>
    <w:p w14:paraId="685A9FB1" w14:textId="77777777" w:rsidR="00463A18" w:rsidRDefault="001F7678">
      <w:pPr>
        <w:spacing w:line="240" w:lineRule="auto"/>
        <w:jc w:val="both"/>
        <w:rPr>
          <w:rFonts w:ascii="Times New Roman" w:hAnsi="Times New Roman"/>
          <w:noProof/>
          <w:sz w:val="24"/>
          <w:szCs w:val="24"/>
        </w:rPr>
      </w:pPr>
      <w:r w:rsidRPr="002940AD">
        <w:rPr>
          <w:rFonts w:ascii="Times New Roman" w:hAnsi="Times New Roman"/>
          <w:noProof/>
          <w:sz w:val="24"/>
          <w:szCs w:val="24"/>
        </w:rPr>
        <w:t xml:space="preserve">As regards </w:t>
      </w:r>
      <w:r w:rsidR="004E35CD" w:rsidRPr="002940AD">
        <w:rPr>
          <w:rFonts w:ascii="Times New Roman" w:hAnsi="Times New Roman"/>
          <w:noProof/>
          <w:sz w:val="24"/>
          <w:szCs w:val="24"/>
        </w:rPr>
        <w:t>the notification procedure</w:t>
      </w:r>
      <w:r w:rsidRPr="002940AD">
        <w:rPr>
          <w:rFonts w:ascii="Times New Roman" w:hAnsi="Times New Roman"/>
          <w:noProof/>
          <w:sz w:val="24"/>
          <w:szCs w:val="24"/>
        </w:rPr>
        <w:t xml:space="preserve">, the discussions </w:t>
      </w:r>
      <w:r w:rsidR="0028498D" w:rsidRPr="002940AD">
        <w:rPr>
          <w:rFonts w:ascii="Times New Roman" w:hAnsi="Times New Roman"/>
          <w:noProof/>
          <w:sz w:val="24"/>
          <w:szCs w:val="24"/>
        </w:rPr>
        <w:t xml:space="preserve">in the context of the Technical Regulations Standing Committee meetings </w:t>
      </w:r>
      <w:r w:rsidRPr="002940AD">
        <w:rPr>
          <w:rFonts w:ascii="Times New Roman" w:hAnsi="Times New Roman"/>
          <w:noProof/>
          <w:sz w:val="24"/>
          <w:szCs w:val="24"/>
        </w:rPr>
        <w:t>particularly concerned</w:t>
      </w:r>
      <w:r w:rsidR="00463A18">
        <w:rPr>
          <w:rFonts w:ascii="Times New Roman" w:hAnsi="Times New Roman"/>
          <w:noProof/>
          <w:sz w:val="24"/>
          <w:szCs w:val="24"/>
        </w:rPr>
        <w:t>:</w:t>
      </w:r>
      <w:r w:rsidRPr="002940AD">
        <w:rPr>
          <w:rFonts w:ascii="Times New Roman" w:hAnsi="Times New Roman"/>
          <w:noProof/>
          <w:sz w:val="24"/>
          <w:szCs w:val="24"/>
        </w:rPr>
        <w:t xml:space="preserve"> </w:t>
      </w:r>
    </w:p>
    <w:p w14:paraId="77AD2AEE" w14:textId="77777777" w:rsidR="00463A18" w:rsidRDefault="001F7678" w:rsidP="00D659F6">
      <w:pPr>
        <w:pStyle w:val="ListParagraph"/>
        <w:numPr>
          <w:ilvl w:val="0"/>
          <w:numId w:val="40"/>
        </w:numPr>
        <w:jc w:val="both"/>
        <w:rPr>
          <w:rFonts w:ascii="Times New Roman" w:hAnsi="Times New Roman"/>
          <w:noProof/>
          <w:sz w:val="24"/>
          <w:szCs w:val="24"/>
        </w:rPr>
      </w:pPr>
      <w:r w:rsidRPr="00D659F6">
        <w:rPr>
          <w:rFonts w:ascii="Times New Roman" w:hAnsi="Times New Roman"/>
          <w:noProof/>
          <w:sz w:val="24"/>
          <w:szCs w:val="24"/>
        </w:rPr>
        <w:t xml:space="preserve">the urgency procedure under the Single Market Transparency Directive; </w:t>
      </w:r>
    </w:p>
    <w:p w14:paraId="4954E04D" w14:textId="77777777" w:rsidR="00463A18" w:rsidRPr="00D659F6" w:rsidRDefault="001F7678" w:rsidP="00D659F6">
      <w:pPr>
        <w:pStyle w:val="ListParagraph"/>
        <w:numPr>
          <w:ilvl w:val="0"/>
          <w:numId w:val="40"/>
        </w:numPr>
        <w:jc w:val="both"/>
        <w:rPr>
          <w:rFonts w:ascii="Times New Roman" w:hAnsi="Times New Roman"/>
          <w:noProof/>
          <w:sz w:val="24"/>
          <w:szCs w:val="24"/>
        </w:rPr>
      </w:pPr>
      <w:r w:rsidRPr="00D659F6">
        <w:rPr>
          <w:rFonts w:ascii="Times New Roman" w:hAnsi="Times New Roman"/>
          <w:noProof/>
          <w:sz w:val="24"/>
          <w:szCs w:val="24"/>
        </w:rPr>
        <w:t xml:space="preserve">access to documents of the Commission and confidential notifications; </w:t>
      </w:r>
    </w:p>
    <w:p w14:paraId="582DBCEB" w14:textId="77777777" w:rsidR="00463A18" w:rsidRPr="00D659F6" w:rsidRDefault="004E35CD" w:rsidP="00D659F6">
      <w:pPr>
        <w:pStyle w:val="ListParagraph"/>
        <w:numPr>
          <w:ilvl w:val="0"/>
          <w:numId w:val="40"/>
        </w:numPr>
        <w:jc w:val="both"/>
        <w:rPr>
          <w:rFonts w:ascii="Times New Roman" w:hAnsi="Times New Roman"/>
          <w:noProof/>
          <w:sz w:val="24"/>
          <w:szCs w:val="24"/>
        </w:rPr>
      </w:pPr>
      <w:r w:rsidRPr="00D659F6">
        <w:rPr>
          <w:rFonts w:ascii="Times New Roman" w:hAnsi="Times New Roman"/>
          <w:noProof/>
          <w:sz w:val="24"/>
          <w:szCs w:val="24"/>
        </w:rPr>
        <w:t xml:space="preserve">the notification procedure for the Swiss and EEA notifications; </w:t>
      </w:r>
    </w:p>
    <w:p w14:paraId="6DB56021" w14:textId="77777777" w:rsidR="00463A18" w:rsidRPr="00D659F6" w:rsidRDefault="001F7678" w:rsidP="00D659F6">
      <w:pPr>
        <w:pStyle w:val="ListParagraph"/>
        <w:numPr>
          <w:ilvl w:val="0"/>
          <w:numId w:val="40"/>
        </w:numPr>
        <w:jc w:val="both"/>
        <w:rPr>
          <w:rFonts w:ascii="Times New Roman" w:hAnsi="Times New Roman"/>
          <w:noProof/>
          <w:sz w:val="24"/>
          <w:szCs w:val="24"/>
        </w:rPr>
      </w:pPr>
      <w:r w:rsidRPr="00D659F6">
        <w:rPr>
          <w:rFonts w:ascii="Times New Roman" w:hAnsi="Times New Roman"/>
          <w:noProof/>
          <w:sz w:val="24"/>
          <w:szCs w:val="24"/>
        </w:rPr>
        <w:t xml:space="preserve">the obligation for Member States to communicate to the Commission the final text of a notified technical regulation; </w:t>
      </w:r>
    </w:p>
    <w:p w14:paraId="6235CD3E" w14:textId="77777777" w:rsidR="00463A18" w:rsidRPr="00D659F6" w:rsidRDefault="001F7678" w:rsidP="00D659F6">
      <w:pPr>
        <w:pStyle w:val="ListParagraph"/>
        <w:numPr>
          <w:ilvl w:val="0"/>
          <w:numId w:val="40"/>
        </w:numPr>
        <w:jc w:val="both"/>
        <w:rPr>
          <w:rFonts w:ascii="Times New Roman" w:hAnsi="Times New Roman"/>
          <w:noProof/>
          <w:sz w:val="24"/>
          <w:szCs w:val="24"/>
        </w:rPr>
      </w:pPr>
      <w:r w:rsidRPr="00D659F6">
        <w:rPr>
          <w:rFonts w:ascii="Times New Roman" w:hAnsi="Times New Roman"/>
          <w:noProof/>
          <w:sz w:val="24"/>
          <w:szCs w:val="24"/>
        </w:rPr>
        <w:t xml:space="preserve">developments on </w:t>
      </w:r>
      <w:r w:rsidR="00463A18">
        <w:rPr>
          <w:rFonts w:ascii="Times New Roman" w:hAnsi="Times New Roman"/>
          <w:noProof/>
          <w:sz w:val="24"/>
          <w:szCs w:val="24"/>
        </w:rPr>
        <w:t>CJEU</w:t>
      </w:r>
      <w:r w:rsidR="00463A18" w:rsidRPr="00D659F6">
        <w:rPr>
          <w:rFonts w:ascii="Times New Roman" w:hAnsi="Times New Roman"/>
          <w:noProof/>
          <w:sz w:val="24"/>
          <w:szCs w:val="24"/>
        </w:rPr>
        <w:t xml:space="preserve"> </w:t>
      </w:r>
      <w:r w:rsidRPr="00D659F6">
        <w:rPr>
          <w:rFonts w:ascii="Times New Roman" w:hAnsi="Times New Roman"/>
          <w:noProof/>
          <w:sz w:val="24"/>
          <w:szCs w:val="24"/>
        </w:rPr>
        <w:t>jurisprudence concerning the Single Market Transparency Directive</w:t>
      </w:r>
      <w:r w:rsidR="00897AA8" w:rsidRPr="00D659F6">
        <w:rPr>
          <w:rFonts w:ascii="Times New Roman" w:hAnsi="Times New Roman"/>
          <w:noProof/>
          <w:sz w:val="24"/>
          <w:szCs w:val="24"/>
        </w:rPr>
        <w:t xml:space="preserve">; </w:t>
      </w:r>
      <w:r w:rsidR="00411709" w:rsidRPr="00D659F6">
        <w:rPr>
          <w:rFonts w:ascii="Times New Roman" w:hAnsi="Times New Roman"/>
          <w:noProof/>
          <w:sz w:val="24"/>
          <w:szCs w:val="24"/>
        </w:rPr>
        <w:t xml:space="preserve">and </w:t>
      </w:r>
    </w:p>
    <w:p w14:paraId="450FBC15" w14:textId="77777777" w:rsidR="0049046D" w:rsidRDefault="00897AA8" w:rsidP="00D659F6">
      <w:pPr>
        <w:pStyle w:val="ListParagraph"/>
        <w:numPr>
          <w:ilvl w:val="0"/>
          <w:numId w:val="40"/>
        </w:numPr>
        <w:jc w:val="both"/>
        <w:rPr>
          <w:rFonts w:ascii="Times New Roman" w:hAnsi="Times New Roman"/>
          <w:noProof/>
          <w:sz w:val="24"/>
          <w:szCs w:val="24"/>
        </w:rPr>
      </w:pPr>
      <w:r w:rsidRPr="00D659F6">
        <w:rPr>
          <w:rFonts w:ascii="Times New Roman" w:hAnsi="Times New Roman"/>
          <w:noProof/>
          <w:sz w:val="24"/>
          <w:szCs w:val="24"/>
        </w:rPr>
        <w:t>the functioning of the one-stop shop mechanism</w:t>
      </w:r>
      <w:r w:rsidR="001F7678" w:rsidRPr="00D659F6">
        <w:rPr>
          <w:rFonts w:ascii="Times New Roman" w:hAnsi="Times New Roman"/>
          <w:noProof/>
          <w:sz w:val="24"/>
          <w:szCs w:val="24"/>
        </w:rPr>
        <w:t>.</w:t>
      </w:r>
    </w:p>
    <w:p w14:paraId="07AF5570" w14:textId="77777777" w:rsidR="00441047" w:rsidRPr="00D659F6" w:rsidRDefault="00441047" w:rsidP="00D659F6">
      <w:pPr>
        <w:pStyle w:val="ListParagraph"/>
        <w:jc w:val="both"/>
        <w:rPr>
          <w:rFonts w:ascii="Times New Roman" w:hAnsi="Times New Roman"/>
          <w:noProof/>
          <w:sz w:val="24"/>
          <w:szCs w:val="24"/>
        </w:rPr>
      </w:pPr>
    </w:p>
    <w:p w14:paraId="6C6D5B10" w14:textId="77777777" w:rsidR="00463A18" w:rsidRDefault="001F7678">
      <w:pPr>
        <w:spacing w:line="240" w:lineRule="auto"/>
        <w:jc w:val="both"/>
        <w:rPr>
          <w:rFonts w:ascii="Times New Roman" w:hAnsi="Times New Roman"/>
          <w:noProof/>
          <w:sz w:val="24"/>
          <w:szCs w:val="24"/>
        </w:rPr>
      </w:pPr>
      <w:r w:rsidRPr="002940AD">
        <w:rPr>
          <w:rFonts w:ascii="Times New Roman" w:hAnsi="Times New Roman"/>
          <w:noProof/>
          <w:sz w:val="24"/>
          <w:szCs w:val="24"/>
        </w:rPr>
        <w:t xml:space="preserve">Based on requests from the Member States </w:t>
      </w:r>
      <w:r w:rsidR="00063A38" w:rsidRPr="002940AD">
        <w:rPr>
          <w:rFonts w:ascii="Times New Roman" w:hAnsi="Times New Roman"/>
          <w:noProof/>
          <w:sz w:val="24"/>
          <w:szCs w:val="24"/>
        </w:rPr>
        <w:t>or</w:t>
      </w:r>
      <w:r w:rsidRPr="002940AD">
        <w:rPr>
          <w:rFonts w:ascii="Times New Roman" w:hAnsi="Times New Roman"/>
          <w:noProof/>
          <w:sz w:val="24"/>
          <w:szCs w:val="24"/>
        </w:rPr>
        <w:t xml:space="preserve"> on the initiative of the Commission</w:t>
      </w:r>
      <w:r w:rsidR="004E35CD" w:rsidRPr="002940AD">
        <w:rPr>
          <w:rFonts w:ascii="Times New Roman" w:hAnsi="Times New Roman"/>
          <w:noProof/>
          <w:sz w:val="24"/>
          <w:szCs w:val="24"/>
        </w:rPr>
        <w:t xml:space="preserve">, </w:t>
      </w:r>
      <w:r w:rsidR="00463A18" w:rsidRPr="002940AD">
        <w:rPr>
          <w:rFonts w:ascii="Times New Roman" w:hAnsi="Times New Roman"/>
          <w:noProof/>
          <w:sz w:val="24"/>
          <w:szCs w:val="24"/>
        </w:rPr>
        <w:t xml:space="preserve">the Commission </w:t>
      </w:r>
      <w:r w:rsidR="00A0361F">
        <w:rPr>
          <w:rFonts w:ascii="Times New Roman" w:hAnsi="Times New Roman"/>
          <w:noProof/>
          <w:sz w:val="24"/>
          <w:szCs w:val="24"/>
        </w:rPr>
        <w:t>gave</w:t>
      </w:r>
      <w:r w:rsidR="00463A18" w:rsidRPr="002940AD">
        <w:rPr>
          <w:rFonts w:ascii="Times New Roman" w:hAnsi="Times New Roman"/>
          <w:noProof/>
          <w:sz w:val="24"/>
          <w:szCs w:val="24"/>
        </w:rPr>
        <w:t xml:space="preserve"> </w:t>
      </w:r>
      <w:r w:rsidR="00463A18" w:rsidRPr="00CB6792">
        <w:rPr>
          <w:rFonts w:ascii="Times New Roman" w:hAnsi="Times New Roman"/>
          <w:noProof/>
          <w:sz w:val="24"/>
          <w:szCs w:val="24"/>
        </w:rPr>
        <w:t>presentations in the Technical Regulations Standing Committee</w:t>
      </w:r>
      <w:r w:rsidRPr="002940AD">
        <w:rPr>
          <w:rFonts w:ascii="Times New Roman" w:hAnsi="Times New Roman"/>
          <w:noProof/>
          <w:sz w:val="24"/>
          <w:szCs w:val="24"/>
        </w:rPr>
        <w:t xml:space="preserve"> to provide clarification on some recurrent barriers or on new </w:t>
      </w:r>
      <w:r w:rsidR="00FA4187" w:rsidRPr="002940AD">
        <w:rPr>
          <w:rFonts w:ascii="Times New Roman" w:hAnsi="Times New Roman"/>
          <w:noProof/>
          <w:sz w:val="24"/>
          <w:szCs w:val="24"/>
        </w:rPr>
        <w:t xml:space="preserve">pieces of </w:t>
      </w:r>
      <w:r w:rsidR="004E35CD" w:rsidRPr="002940AD">
        <w:rPr>
          <w:rFonts w:ascii="Times New Roman" w:hAnsi="Times New Roman"/>
          <w:noProof/>
          <w:sz w:val="24"/>
          <w:szCs w:val="24"/>
        </w:rPr>
        <w:t xml:space="preserve">EU </w:t>
      </w:r>
      <w:r w:rsidRPr="002940AD">
        <w:rPr>
          <w:rFonts w:ascii="Times New Roman" w:hAnsi="Times New Roman"/>
          <w:noProof/>
          <w:sz w:val="24"/>
          <w:szCs w:val="24"/>
        </w:rPr>
        <w:t>legislation</w:t>
      </w:r>
      <w:r w:rsidR="00463A18">
        <w:rPr>
          <w:rFonts w:ascii="Times New Roman" w:hAnsi="Times New Roman"/>
          <w:noProof/>
          <w:sz w:val="24"/>
          <w:szCs w:val="24"/>
        </w:rPr>
        <w:t>. The presentations</w:t>
      </w:r>
      <w:r w:rsidR="00463A18" w:rsidRPr="002940AD">
        <w:rPr>
          <w:rFonts w:ascii="Times New Roman" w:hAnsi="Times New Roman"/>
          <w:noProof/>
          <w:sz w:val="24"/>
          <w:szCs w:val="24"/>
        </w:rPr>
        <w:t xml:space="preserve"> </w:t>
      </w:r>
      <w:r w:rsidRPr="002940AD">
        <w:rPr>
          <w:rFonts w:ascii="Times New Roman" w:hAnsi="Times New Roman"/>
          <w:noProof/>
          <w:sz w:val="24"/>
          <w:szCs w:val="24"/>
        </w:rPr>
        <w:t>concern</w:t>
      </w:r>
      <w:r w:rsidR="00463A18">
        <w:rPr>
          <w:rFonts w:ascii="Times New Roman" w:hAnsi="Times New Roman"/>
          <w:noProof/>
          <w:sz w:val="24"/>
          <w:szCs w:val="24"/>
        </w:rPr>
        <w:t>ed:</w:t>
      </w:r>
      <w:r w:rsidRPr="002940AD">
        <w:rPr>
          <w:rFonts w:ascii="Times New Roman" w:hAnsi="Times New Roman"/>
          <w:noProof/>
          <w:sz w:val="24"/>
          <w:szCs w:val="24"/>
        </w:rPr>
        <w:t xml:space="preserve"> </w:t>
      </w:r>
    </w:p>
    <w:p w14:paraId="3A4B698D" w14:textId="77777777" w:rsidR="00463A18" w:rsidRPr="00D659F6" w:rsidRDefault="0052706B" w:rsidP="00D659F6">
      <w:pPr>
        <w:pStyle w:val="ListParagraph"/>
        <w:numPr>
          <w:ilvl w:val="0"/>
          <w:numId w:val="41"/>
        </w:numPr>
        <w:jc w:val="both"/>
        <w:rPr>
          <w:rFonts w:ascii="Times New Roman" w:hAnsi="Times New Roman"/>
          <w:noProof/>
          <w:sz w:val="24"/>
          <w:szCs w:val="24"/>
        </w:rPr>
      </w:pPr>
      <w:r w:rsidRPr="00D659F6">
        <w:rPr>
          <w:rFonts w:ascii="Times New Roman" w:hAnsi="Times New Roman"/>
          <w:noProof/>
          <w:sz w:val="24"/>
          <w:szCs w:val="24"/>
        </w:rPr>
        <w:t>Directive (EU) 2019/904</w:t>
      </w:r>
      <w:r w:rsidR="000E1A17" w:rsidRPr="00D659F6">
        <w:rPr>
          <w:rFonts w:ascii="Times New Roman" w:hAnsi="Times New Roman"/>
          <w:noProof/>
          <w:sz w:val="24"/>
          <w:szCs w:val="24"/>
        </w:rPr>
        <w:t xml:space="preserve"> on the reduction of the impact of certain plastic products on the environment</w:t>
      </w:r>
      <w:r w:rsidR="001F7678" w:rsidRPr="00D659F6">
        <w:rPr>
          <w:rFonts w:ascii="Times New Roman" w:hAnsi="Times New Roman"/>
          <w:noProof/>
          <w:sz w:val="24"/>
          <w:szCs w:val="24"/>
        </w:rPr>
        <w:t xml:space="preserve">; </w:t>
      </w:r>
    </w:p>
    <w:p w14:paraId="7A1D200F" w14:textId="77777777" w:rsidR="00A0361F" w:rsidRDefault="00063A38" w:rsidP="00D659F6">
      <w:pPr>
        <w:pStyle w:val="ListParagraph"/>
        <w:numPr>
          <w:ilvl w:val="0"/>
          <w:numId w:val="41"/>
        </w:numPr>
        <w:jc w:val="both"/>
        <w:rPr>
          <w:rFonts w:ascii="Times New Roman" w:hAnsi="Times New Roman"/>
          <w:noProof/>
          <w:sz w:val="24"/>
          <w:szCs w:val="24"/>
        </w:rPr>
      </w:pPr>
      <w:r w:rsidRPr="00D659F6">
        <w:rPr>
          <w:rFonts w:ascii="Times New Roman" w:hAnsi="Times New Roman"/>
          <w:noProof/>
          <w:sz w:val="24"/>
          <w:szCs w:val="24"/>
        </w:rPr>
        <w:t>the notification procedure under</w:t>
      </w:r>
      <w:r w:rsidR="0052706B" w:rsidRPr="00D659F6">
        <w:rPr>
          <w:rFonts w:ascii="Times New Roman" w:hAnsi="Times New Roman"/>
          <w:noProof/>
          <w:sz w:val="24"/>
          <w:szCs w:val="24"/>
        </w:rPr>
        <w:t xml:space="preserve"> the Services Directive 2006/123/EC Regulation </w:t>
      </w:r>
      <w:r w:rsidR="00C51B16" w:rsidRPr="00D659F6">
        <w:rPr>
          <w:rFonts w:ascii="Times New Roman" w:hAnsi="Times New Roman"/>
          <w:noProof/>
          <w:sz w:val="24"/>
          <w:szCs w:val="24"/>
        </w:rPr>
        <w:t xml:space="preserve">(EU) </w:t>
      </w:r>
      <w:r w:rsidR="0052706B" w:rsidRPr="00D659F6">
        <w:rPr>
          <w:rFonts w:ascii="Times New Roman" w:hAnsi="Times New Roman"/>
          <w:noProof/>
          <w:sz w:val="24"/>
          <w:szCs w:val="24"/>
        </w:rPr>
        <w:t xml:space="preserve">2018/1807 on </w:t>
      </w:r>
      <w:r w:rsidR="00C51B16" w:rsidRPr="00D659F6">
        <w:rPr>
          <w:rFonts w:ascii="Times New Roman" w:hAnsi="Times New Roman"/>
          <w:noProof/>
          <w:sz w:val="24"/>
          <w:szCs w:val="24"/>
        </w:rPr>
        <w:t xml:space="preserve">the free flow of </w:t>
      </w:r>
      <w:r w:rsidR="0052706B" w:rsidRPr="00D659F6">
        <w:rPr>
          <w:rFonts w:ascii="Times New Roman" w:hAnsi="Times New Roman"/>
          <w:noProof/>
          <w:sz w:val="24"/>
          <w:szCs w:val="24"/>
        </w:rPr>
        <w:t xml:space="preserve">non-personal data in the EU; </w:t>
      </w:r>
    </w:p>
    <w:p w14:paraId="4A63D77C" w14:textId="77777777" w:rsidR="00463A18" w:rsidRPr="00D659F6" w:rsidRDefault="00664E42" w:rsidP="00D659F6">
      <w:pPr>
        <w:pStyle w:val="ListParagraph"/>
        <w:numPr>
          <w:ilvl w:val="0"/>
          <w:numId w:val="41"/>
        </w:numPr>
        <w:jc w:val="both"/>
        <w:rPr>
          <w:rFonts w:ascii="Times New Roman" w:hAnsi="Times New Roman"/>
          <w:noProof/>
          <w:sz w:val="24"/>
          <w:szCs w:val="24"/>
        </w:rPr>
      </w:pPr>
      <w:r w:rsidRPr="00D659F6">
        <w:rPr>
          <w:rFonts w:ascii="Times New Roman" w:hAnsi="Times New Roman"/>
          <w:noProof/>
          <w:sz w:val="24"/>
          <w:szCs w:val="24"/>
        </w:rPr>
        <w:t xml:space="preserve">the </w:t>
      </w:r>
      <w:r w:rsidR="002F71D0" w:rsidRPr="00D659F6">
        <w:rPr>
          <w:rFonts w:ascii="Times New Roman" w:hAnsi="Times New Roman"/>
          <w:noProof/>
          <w:sz w:val="24"/>
          <w:szCs w:val="24"/>
        </w:rPr>
        <w:t xml:space="preserve">General Data Protection </w:t>
      </w:r>
      <w:r w:rsidR="00063A38" w:rsidRPr="00D659F6">
        <w:rPr>
          <w:rFonts w:ascii="Times New Roman" w:hAnsi="Times New Roman"/>
          <w:noProof/>
          <w:sz w:val="24"/>
          <w:szCs w:val="24"/>
        </w:rPr>
        <w:t>Regulation (EU) 2016/679</w:t>
      </w:r>
      <w:r w:rsidRPr="00D659F6">
        <w:rPr>
          <w:rFonts w:ascii="Times New Roman" w:hAnsi="Times New Roman"/>
          <w:noProof/>
          <w:sz w:val="24"/>
          <w:szCs w:val="24"/>
        </w:rPr>
        <w:t xml:space="preserve">; </w:t>
      </w:r>
    </w:p>
    <w:p w14:paraId="734E8995" w14:textId="77777777" w:rsidR="00463A18" w:rsidRPr="00D659F6" w:rsidRDefault="003D3B98" w:rsidP="00D659F6">
      <w:pPr>
        <w:pStyle w:val="ListParagraph"/>
        <w:numPr>
          <w:ilvl w:val="0"/>
          <w:numId w:val="41"/>
        </w:numPr>
        <w:jc w:val="both"/>
        <w:rPr>
          <w:rFonts w:ascii="Times New Roman" w:hAnsi="Times New Roman"/>
          <w:noProof/>
          <w:sz w:val="24"/>
          <w:szCs w:val="24"/>
        </w:rPr>
      </w:pPr>
      <w:r w:rsidRPr="00D659F6">
        <w:rPr>
          <w:rFonts w:ascii="Times New Roman" w:hAnsi="Times New Roman"/>
          <w:noProof/>
          <w:sz w:val="24"/>
          <w:szCs w:val="24"/>
        </w:rPr>
        <w:t>the Road Safety Directives 2014/45/EU</w:t>
      </w:r>
      <w:r w:rsidRPr="002940AD">
        <w:rPr>
          <w:rStyle w:val="FootnoteReference"/>
          <w:rFonts w:ascii="Times New Roman" w:hAnsi="Times New Roman"/>
          <w:noProof/>
          <w:sz w:val="24"/>
          <w:szCs w:val="24"/>
        </w:rPr>
        <w:footnoteReference w:id="57"/>
      </w:r>
      <w:r w:rsidRPr="00D659F6">
        <w:rPr>
          <w:rFonts w:ascii="Times New Roman" w:hAnsi="Times New Roman"/>
          <w:noProof/>
          <w:sz w:val="24"/>
          <w:szCs w:val="24"/>
        </w:rPr>
        <w:t>, 2014/46/EU</w:t>
      </w:r>
      <w:r w:rsidRPr="002940AD">
        <w:rPr>
          <w:rStyle w:val="FootnoteReference"/>
          <w:rFonts w:ascii="Times New Roman" w:hAnsi="Times New Roman"/>
          <w:noProof/>
          <w:sz w:val="24"/>
          <w:szCs w:val="24"/>
        </w:rPr>
        <w:footnoteReference w:id="58"/>
      </w:r>
      <w:r w:rsidRPr="00D659F6">
        <w:rPr>
          <w:rFonts w:ascii="Times New Roman" w:hAnsi="Times New Roman"/>
          <w:noProof/>
          <w:sz w:val="24"/>
          <w:szCs w:val="24"/>
        </w:rPr>
        <w:t xml:space="preserve"> and 2014/47/EU</w:t>
      </w:r>
      <w:r w:rsidRPr="002940AD">
        <w:rPr>
          <w:rStyle w:val="FootnoteReference"/>
          <w:rFonts w:ascii="Times New Roman" w:hAnsi="Times New Roman"/>
          <w:noProof/>
          <w:sz w:val="24"/>
          <w:szCs w:val="24"/>
        </w:rPr>
        <w:footnoteReference w:id="59"/>
      </w:r>
      <w:r w:rsidR="00664E42" w:rsidRPr="00D659F6">
        <w:rPr>
          <w:rFonts w:ascii="Times New Roman" w:hAnsi="Times New Roman"/>
          <w:noProof/>
          <w:sz w:val="24"/>
          <w:szCs w:val="24"/>
        </w:rPr>
        <w:t>;</w:t>
      </w:r>
      <w:r w:rsidR="002F71D0" w:rsidRPr="00D659F6">
        <w:rPr>
          <w:rFonts w:ascii="Times New Roman" w:hAnsi="Times New Roman"/>
          <w:noProof/>
          <w:sz w:val="24"/>
          <w:szCs w:val="24"/>
        </w:rPr>
        <w:t xml:space="preserve"> </w:t>
      </w:r>
    </w:p>
    <w:p w14:paraId="27011BA8" w14:textId="77777777" w:rsidR="00463A18" w:rsidRPr="00D659F6" w:rsidRDefault="003A0706" w:rsidP="00D659F6">
      <w:pPr>
        <w:pStyle w:val="ListParagraph"/>
        <w:numPr>
          <w:ilvl w:val="0"/>
          <w:numId w:val="41"/>
        </w:numPr>
        <w:jc w:val="both"/>
        <w:rPr>
          <w:rFonts w:ascii="Times New Roman" w:hAnsi="Times New Roman"/>
          <w:noProof/>
          <w:sz w:val="24"/>
          <w:szCs w:val="24"/>
        </w:rPr>
      </w:pPr>
      <w:r w:rsidRPr="00D659F6">
        <w:rPr>
          <w:rFonts w:ascii="Times New Roman" w:hAnsi="Times New Roman"/>
          <w:noProof/>
          <w:sz w:val="24"/>
          <w:szCs w:val="24"/>
        </w:rPr>
        <w:t>restriction</w:t>
      </w:r>
      <w:r w:rsidR="00C8122A" w:rsidRPr="00D659F6">
        <w:rPr>
          <w:rFonts w:ascii="Times New Roman" w:hAnsi="Times New Roman"/>
          <w:noProof/>
          <w:sz w:val="24"/>
          <w:szCs w:val="24"/>
        </w:rPr>
        <w:t>s</w:t>
      </w:r>
      <w:r w:rsidRPr="00D659F6">
        <w:rPr>
          <w:rFonts w:ascii="Times New Roman" w:hAnsi="Times New Roman"/>
          <w:noProof/>
          <w:sz w:val="24"/>
          <w:szCs w:val="24"/>
        </w:rPr>
        <w:t xml:space="preserve"> on microbeads at EU level; </w:t>
      </w:r>
    </w:p>
    <w:p w14:paraId="708EBFB0" w14:textId="77777777" w:rsidR="00463A18" w:rsidRPr="00D659F6" w:rsidRDefault="008D5C2C" w:rsidP="00D659F6">
      <w:pPr>
        <w:pStyle w:val="ListParagraph"/>
        <w:numPr>
          <w:ilvl w:val="0"/>
          <w:numId w:val="41"/>
        </w:numPr>
        <w:jc w:val="both"/>
        <w:rPr>
          <w:rFonts w:ascii="Times New Roman" w:hAnsi="Times New Roman"/>
          <w:noProof/>
          <w:sz w:val="24"/>
          <w:szCs w:val="24"/>
        </w:rPr>
      </w:pPr>
      <w:r w:rsidRPr="00D659F6">
        <w:rPr>
          <w:rFonts w:ascii="Times New Roman" w:hAnsi="Times New Roman"/>
          <w:noProof/>
          <w:sz w:val="24"/>
          <w:szCs w:val="24"/>
        </w:rPr>
        <w:t xml:space="preserve">Directive 94/62/EC on packaging and packaging waste; </w:t>
      </w:r>
    </w:p>
    <w:p w14:paraId="2F5CC3F7" w14:textId="77777777" w:rsidR="0049046D" w:rsidRDefault="001F7678" w:rsidP="00D659F6">
      <w:pPr>
        <w:pStyle w:val="ListParagraph"/>
        <w:numPr>
          <w:ilvl w:val="0"/>
          <w:numId w:val="41"/>
        </w:numPr>
        <w:jc w:val="both"/>
        <w:rPr>
          <w:rFonts w:ascii="Times New Roman" w:hAnsi="Times New Roman"/>
          <w:noProof/>
          <w:sz w:val="24"/>
          <w:szCs w:val="24"/>
        </w:rPr>
      </w:pPr>
      <w:r w:rsidRPr="00D659F6">
        <w:rPr>
          <w:rFonts w:ascii="Times New Roman" w:hAnsi="Times New Roman"/>
          <w:noProof/>
          <w:sz w:val="24"/>
          <w:szCs w:val="24"/>
        </w:rPr>
        <w:t xml:space="preserve">the </w:t>
      </w:r>
      <w:r w:rsidR="007B452D" w:rsidRPr="00D659F6">
        <w:rPr>
          <w:rFonts w:ascii="Times New Roman" w:hAnsi="Times New Roman"/>
          <w:noProof/>
          <w:sz w:val="24"/>
          <w:szCs w:val="24"/>
        </w:rPr>
        <w:t>single market</w:t>
      </w:r>
      <w:r w:rsidRPr="00D659F6">
        <w:rPr>
          <w:rFonts w:ascii="Times New Roman" w:hAnsi="Times New Roman"/>
          <w:noProof/>
          <w:sz w:val="24"/>
          <w:szCs w:val="24"/>
        </w:rPr>
        <w:t xml:space="preserve"> clause and Articles 34-36 TFEU</w:t>
      </w:r>
      <w:r w:rsidR="004E35CD" w:rsidRPr="00D659F6">
        <w:rPr>
          <w:rFonts w:ascii="Times New Roman" w:hAnsi="Times New Roman"/>
          <w:noProof/>
          <w:sz w:val="24"/>
          <w:szCs w:val="24"/>
        </w:rPr>
        <w:t>.</w:t>
      </w:r>
    </w:p>
    <w:p w14:paraId="14D6AC7B" w14:textId="77777777" w:rsidR="00812DDE" w:rsidRPr="00D659F6" w:rsidRDefault="00812DDE" w:rsidP="00D659F6">
      <w:pPr>
        <w:pStyle w:val="ListParagraph"/>
        <w:jc w:val="both"/>
        <w:rPr>
          <w:rFonts w:ascii="Times New Roman" w:hAnsi="Times New Roman"/>
          <w:noProof/>
          <w:sz w:val="24"/>
          <w:szCs w:val="24"/>
        </w:rPr>
      </w:pPr>
    </w:p>
    <w:p w14:paraId="0AA3A4AF" w14:textId="77777777" w:rsidR="0049046D" w:rsidRPr="002940AD" w:rsidRDefault="001F7678">
      <w:pPr>
        <w:spacing w:line="240" w:lineRule="auto"/>
        <w:jc w:val="both"/>
        <w:rPr>
          <w:rFonts w:ascii="Times New Roman" w:hAnsi="Times New Roman"/>
          <w:noProof/>
          <w:sz w:val="24"/>
          <w:szCs w:val="24"/>
        </w:rPr>
      </w:pPr>
      <w:r w:rsidRPr="002940AD">
        <w:rPr>
          <w:rFonts w:ascii="Times New Roman" w:hAnsi="Times New Roman"/>
          <w:noProof/>
          <w:sz w:val="24"/>
          <w:szCs w:val="24"/>
        </w:rPr>
        <w:t xml:space="preserve">Several Member States </w:t>
      </w:r>
      <w:r w:rsidR="00DA6492">
        <w:rPr>
          <w:rFonts w:ascii="Times New Roman" w:hAnsi="Times New Roman"/>
          <w:noProof/>
          <w:sz w:val="24"/>
          <w:szCs w:val="24"/>
        </w:rPr>
        <w:t>shared</w:t>
      </w:r>
      <w:r w:rsidRPr="002940AD">
        <w:rPr>
          <w:rFonts w:ascii="Times New Roman" w:hAnsi="Times New Roman"/>
          <w:noProof/>
          <w:sz w:val="24"/>
          <w:szCs w:val="24"/>
        </w:rPr>
        <w:t xml:space="preserve"> their best practices for notifications under the Single Market Transparency Directive</w:t>
      </w:r>
      <w:r w:rsidR="00DA6492">
        <w:rPr>
          <w:rFonts w:ascii="Times New Roman" w:hAnsi="Times New Roman"/>
          <w:noProof/>
          <w:sz w:val="24"/>
          <w:szCs w:val="24"/>
        </w:rPr>
        <w:t xml:space="preserve"> with the Standing Committe</w:t>
      </w:r>
      <w:r w:rsidR="00A0361F">
        <w:rPr>
          <w:rFonts w:ascii="Times New Roman" w:hAnsi="Times New Roman"/>
          <w:noProof/>
          <w:sz w:val="24"/>
          <w:szCs w:val="24"/>
        </w:rPr>
        <w:t>e</w:t>
      </w:r>
      <w:r w:rsidRPr="002940AD">
        <w:rPr>
          <w:rFonts w:ascii="Times New Roman" w:hAnsi="Times New Roman"/>
          <w:noProof/>
          <w:sz w:val="24"/>
          <w:szCs w:val="24"/>
        </w:rPr>
        <w:t>.</w:t>
      </w:r>
    </w:p>
    <w:p w14:paraId="42F17151" w14:textId="77777777" w:rsidR="00A77781" w:rsidRPr="002940AD" w:rsidRDefault="00DA6492">
      <w:pPr>
        <w:spacing w:line="240" w:lineRule="auto"/>
        <w:jc w:val="both"/>
        <w:rPr>
          <w:rFonts w:ascii="Times New Roman" w:hAnsi="Times New Roman"/>
          <w:noProof/>
          <w:sz w:val="24"/>
          <w:szCs w:val="24"/>
        </w:rPr>
      </w:pPr>
      <w:r>
        <w:rPr>
          <w:rFonts w:ascii="Times New Roman" w:hAnsi="Times New Roman"/>
          <w:noProof/>
          <w:sz w:val="24"/>
          <w:szCs w:val="24"/>
        </w:rPr>
        <w:t>Bilateral m</w:t>
      </w:r>
      <w:r w:rsidR="00F210CC" w:rsidRPr="002940AD">
        <w:rPr>
          <w:rFonts w:ascii="Times New Roman" w:hAnsi="Times New Roman"/>
          <w:noProof/>
          <w:sz w:val="24"/>
          <w:szCs w:val="24"/>
        </w:rPr>
        <w:t>eetings</w:t>
      </w:r>
      <w:r w:rsidR="001F7678" w:rsidRPr="002940AD">
        <w:rPr>
          <w:rFonts w:ascii="Times New Roman" w:hAnsi="Times New Roman"/>
          <w:noProof/>
          <w:sz w:val="24"/>
          <w:szCs w:val="24"/>
        </w:rPr>
        <w:t xml:space="preserve"> were also held in </w:t>
      </w:r>
      <w:r w:rsidR="00DF5693" w:rsidRPr="002940AD">
        <w:rPr>
          <w:rFonts w:ascii="Times New Roman" w:hAnsi="Times New Roman"/>
          <w:noProof/>
          <w:sz w:val="24"/>
          <w:szCs w:val="24"/>
        </w:rPr>
        <w:t>many</w:t>
      </w:r>
      <w:r w:rsidR="001F7678" w:rsidRPr="002940AD">
        <w:rPr>
          <w:rFonts w:ascii="Times New Roman" w:hAnsi="Times New Roman"/>
          <w:noProof/>
          <w:sz w:val="24"/>
          <w:szCs w:val="24"/>
        </w:rPr>
        <w:t xml:space="preserve"> Member States</w:t>
      </w:r>
      <w:r w:rsidR="00F210CC" w:rsidRPr="002940AD">
        <w:rPr>
          <w:rFonts w:ascii="Times New Roman" w:hAnsi="Times New Roman"/>
          <w:noProof/>
          <w:sz w:val="24"/>
          <w:szCs w:val="24"/>
        </w:rPr>
        <w:t xml:space="preserve"> </w:t>
      </w:r>
      <w:r w:rsidR="00463A18">
        <w:rPr>
          <w:rFonts w:ascii="Times New Roman" w:hAnsi="Times New Roman"/>
          <w:noProof/>
          <w:sz w:val="24"/>
          <w:szCs w:val="24"/>
        </w:rPr>
        <w:t>as part</w:t>
      </w:r>
      <w:r w:rsidR="00F210CC" w:rsidRPr="002940AD">
        <w:rPr>
          <w:rFonts w:ascii="Times New Roman" w:hAnsi="Times New Roman"/>
          <w:noProof/>
          <w:sz w:val="24"/>
          <w:szCs w:val="24"/>
        </w:rPr>
        <w:t xml:space="preserve"> of the ‘</w:t>
      </w:r>
      <w:r w:rsidR="001F1AF0">
        <w:rPr>
          <w:rFonts w:ascii="Times New Roman" w:hAnsi="Times New Roman"/>
          <w:noProof/>
          <w:sz w:val="24"/>
          <w:szCs w:val="24"/>
        </w:rPr>
        <w:t>c</w:t>
      </w:r>
      <w:r w:rsidR="00F210CC" w:rsidRPr="002940AD">
        <w:rPr>
          <w:rFonts w:ascii="Times New Roman" w:hAnsi="Times New Roman"/>
          <w:noProof/>
          <w:sz w:val="24"/>
          <w:szCs w:val="24"/>
        </w:rPr>
        <w:t>ountry knowledge’ missions</w:t>
      </w:r>
      <w:r w:rsidR="00B35935" w:rsidRPr="002940AD">
        <w:rPr>
          <w:rFonts w:ascii="Times New Roman" w:hAnsi="Times New Roman"/>
          <w:noProof/>
          <w:sz w:val="24"/>
          <w:szCs w:val="24"/>
        </w:rPr>
        <w:t>. These meetings aim</w:t>
      </w:r>
      <w:r>
        <w:rPr>
          <w:rFonts w:ascii="Times New Roman" w:hAnsi="Times New Roman"/>
          <w:noProof/>
          <w:sz w:val="24"/>
          <w:szCs w:val="24"/>
        </w:rPr>
        <w:t>ed</w:t>
      </w:r>
      <w:r w:rsidR="00B35935" w:rsidRPr="002940AD">
        <w:rPr>
          <w:rFonts w:ascii="Times New Roman" w:hAnsi="Times New Roman"/>
          <w:noProof/>
          <w:sz w:val="24"/>
          <w:szCs w:val="24"/>
        </w:rPr>
        <w:t xml:space="preserve"> to target specific </w:t>
      </w:r>
      <w:r w:rsidR="008837E1">
        <w:rPr>
          <w:rFonts w:ascii="Times New Roman" w:hAnsi="Times New Roman"/>
          <w:noProof/>
          <w:sz w:val="24"/>
          <w:szCs w:val="24"/>
        </w:rPr>
        <w:t>single</w:t>
      </w:r>
      <w:r w:rsidR="00B35935" w:rsidRPr="002940AD">
        <w:rPr>
          <w:rFonts w:ascii="Times New Roman" w:hAnsi="Times New Roman"/>
          <w:noProof/>
          <w:sz w:val="24"/>
          <w:szCs w:val="24"/>
        </w:rPr>
        <w:t xml:space="preserve"> market needs of each Member State by means of a </w:t>
      </w:r>
      <w:r w:rsidR="001F7678" w:rsidRPr="002940AD">
        <w:rPr>
          <w:rFonts w:ascii="Times New Roman" w:hAnsi="Times New Roman"/>
          <w:noProof/>
          <w:sz w:val="24"/>
          <w:szCs w:val="24"/>
        </w:rPr>
        <w:t>direct dialogue between the Commission and the national authorities</w:t>
      </w:r>
      <w:r w:rsidR="00B35935" w:rsidRPr="002940AD">
        <w:rPr>
          <w:rFonts w:ascii="Times New Roman" w:hAnsi="Times New Roman"/>
          <w:noProof/>
          <w:sz w:val="24"/>
          <w:szCs w:val="24"/>
        </w:rPr>
        <w:t xml:space="preserve">, as well as </w:t>
      </w:r>
      <w:r w:rsidR="00463A18">
        <w:rPr>
          <w:rFonts w:ascii="Times New Roman" w:hAnsi="Times New Roman"/>
          <w:noProof/>
          <w:sz w:val="24"/>
          <w:szCs w:val="24"/>
        </w:rPr>
        <w:t xml:space="preserve">through </w:t>
      </w:r>
      <w:r w:rsidR="00B35935" w:rsidRPr="002940AD">
        <w:rPr>
          <w:rFonts w:ascii="Times New Roman" w:hAnsi="Times New Roman"/>
          <w:noProof/>
          <w:sz w:val="24"/>
          <w:szCs w:val="24"/>
        </w:rPr>
        <w:t>meeting</w:t>
      </w:r>
      <w:r w:rsidR="00972C20" w:rsidRPr="002940AD">
        <w:rPr>
          <w:rFonts w:ascii="Times New Roman" w:hAnsi="Times New Roman"/>
          <w:noProof/>
          <w:sz w:val="24"/>
          <w:szCs w:val="24"/>
        </w:rPr>
        <w:t>s</w:t>
      </w:r>
      <w:r w:rsidR="00B35935" w:rsidRPr="002940AD">
        <w:rPr>
          <w:rFonts w:ascii="Times New Roman" w:hAnsi="Times New Roman"/>
          <w:noProof/>
          <w:sz w:val="24"/>
          <w:szCs w:val="24"/>
        </w:rPr>
        <w:t xml:space="preserve"> with national</w:t>
      </w:r>
      <w:r w:rsidR="00DF242F" w:rsidRPr="002940AD">
        <w:rPr>
          <w:rFonts w:ascii="Times New Roman" w:hAnsi="Times New Roman"/>
          <w:noProof/>
          <w:sz w:val="24"/>
          <w:szCs w:val="24"/>
        </w:rPr>
        <w:t xml:space="preserve"> stakeholders</w:t>
      </w:r>
      <w:r w:rsidR="001F7678" w:rsidRPr="002940AD">
        <w:rPr>
          <w:rFonts w:ascii="Times New Roman" w:hAnsi="Times New Roman"/>
          <w:noProof/>
          <w:sz w:val="24"/>
          <w:szCs w:val="24"/>
        </w:rPr>
        <w:t>.</w:t>
      </w:r>
      <w:r w:rsidR="008832FD" w:rsidRPr="002940AD">
        <w:rPr>
          <w:rFonts w:ascii="Times New Roman" w:hAnsi="Times New Roman"/>
          <w:noProof/>
          <w:sz w:val="24"/>
          <w:szCs w:val="24"/>
        </w:rPr>
        <w:t xml:space="preserve"> In this context,</w:t>
      </w:r>
      <w:r w:rsidR="00666EAF" w:rsidRPr="002940AD">
        <w:rPr>
          <w:rFonts w:ascii="Times New Roman" w:hAnsi="Times New Roman"/>
          <w:noProof/>
          <w:sz w:val="24"/>
          <w:szCs w:val="24"/>
        </w:rPr>
        <w:t xml:space="preserve"> the Commission </w:t>
      </w:r>
      <w:r w:rsidR="00F210CC" w:rsidRPr="002940AD">
        <w:rPr>
          <w:rFonts w:ascii="Times New Roman" w:hAnsi="Times New Roman"/>
          <w:noProof/>
          <w:sz w:val="24"/>
          <w:szCs w:val="24"/>
        </w:rPr>
        <w:t>visited several EU capitals</w:t>
      </w:r>
      <w:r w:rsidR="00005D24" w:rsidRPr="002940AD">
        <w:rPr>
          <w:rStyle w:val="FootnoteReference"/>
          <w:rFonts w:ascii="Times New Roman" w:hAnsi="Times New Roman"/>
          <w:noProof/>
          <w:sz w:val="24"/>
          <w:szCs w:val="24"/>
        </w:rPr>
        <w:footnoteReference w:id="60"/>
      </w:r>
      <w:r w:rsidR="008832FD" w:rsidRPr="002940AD">
        <w:rPr>
          <w:rFonts w:ascii="Times New Roman" w:hAnsi="Times New Roman"/>
          <w:noProof/>
          <w:sz w:val="24"/>
          <w:szCs w:val="24"/>
        </w:rPr>
        <w:t xml:space="preserve"> and attended </w:t>
      </w:r>
      <w:r w:rsidR="00F210CC" w:rsidRPr="002940AD">
        <w:rPr>
          <w:rFonts w:ascii="Times New Roman" w:hAnsi="Times New Roman"/>
          <w:noProof/>
          <w:sz w:val="24"/>
          <w:szCs w:val="24"/>
        </w:rPr>
        <w:t xml:space="preserve">meetings with Member State </w:t>
      </w:r>
      <w:r w:rsidR="001D7B1E" w:rsidRPr="002940AD">
        <w:rPr>
          <w:rFonts w:ascii="Times New Roman" w:hAnsi="Times New Roman"/>
          <w:noProof/>
          <w:sz w:val="24"/>
          <w:szCs w:val="24"/>
        </w:rPr>
        <w:t xml:space="preserve">authorities </w:t>
      </w:r>
      <w:r w:rsidR="00F210CC" w:rsidRPr="002940AD">
        <w:rPr>
          <w:rFonts w:ascii="Times New Roman" w:hAnsi="Times New Roman"/>
          <w:noProof/>
          <w:sz w:val="24"/>
          <w:szCs w:val="24"/>
        </w:rPr>
        <w:t>and national stakeholders.</w:t>
      </w:r>
      <w:r w:rsidR="008D7F38" w:rsidRPr="002940AD">
        <w:rPr>
          <w:noProof/>
        </w:rPr>
        <w:t xml:space="preserve"> </w:t>
      </w:r>
      <w:r w:rsidR="0042481B" w:rsidRPr="002940AD">
        <w:rPr>
          <w:rFonts w:ascii="Times New Roman" w:hAnsi="Times New Roman"/>
          <w:noProof/>
          <w:sz w:val="24"/>
          <w:szCs w:val="24"/>
        </w:rPr>
        <w:t>T</w:t>
      </w:r>
      <w:r w:rsidR="008D7F38" w:rsidRPr="002940AD">
        <w:rPr>
          <w:rFonts w:ascii="Times New Roman" w:hAnsi="Times New Roman"/>
          <w:noProof/>
          <w:sz w:val="24"/>
          <w:szCs w:val="24"/>
        </w:rPr>
        <w:t xml:space="preserve">he main problems concerning implementation of the Single Market Transparency Directive at national level </w:t>
      </w:r>
      <w:r w:rsidR="00463A18">
        <w:rPr>
          <w:rFonts w:ascii="Times New Roman" w:hAnsi="Times New Roman"/>
          <w:noProof/>
          <w:sz w:val="24"/>
          <w:szCs w:val="24"/>
        </w:rPr>
        <w:t xml:space="preserve">as </w:t>
      </w:r>
      <w:r w:rsidR="0042481B" w:rsidRPr="002940AD">
        <w:rPr>
          <w:rFonts w:ascii="Times New Roman" w:hAnsi="Times New Roman"/>
          <w:noProof/>
          <w:sz w:val="24"/>
          <w:szCs w:val="24"/>
        </w:rPr>
        <w:t xml:space="preserve">identified </w:t>
      </w:r>
      <w:r w:rsidR="00463A18">
        <w:rPr>
          <w:rFonts w:ascii="Times New Roman" w:hAnsi="Times New Roman"/>
          <w:noProof/>
          <w:sz w:val="24"/>
          <w:szCs w:val="24"/>
        </w:rPr>
        <w:t>through</w:t>
      </w:r>
      <w:r w:rsidR="0042481B" w:rsidRPr="002940AD">
        <w:rPr>
          <w:rFonts w:ascii="Times New Roman" w:hAnsi="Times New Roman"/>
          <w:noProof/>
          <w:sz w:val="24"/>
          <w:szCs w:val="24"/>
        </w:rPr>
        <w:t xml:space="preserve"> </w:t>
      </w:r>
      <w:r w:rsidR="00463A18" w:rsidRPr="002940AD">
        <w:rPr>
          <w:rFonts w:ascii="Times New Roman" w:hAnsi="Times New Roman"/>
          <w:noProof/>
          <w:sz w:val="24"/>
          <w:szCs w:val="24"/>
        </w:rPr>
        <w:t>th</w:t>
      </w:r>
      <w:r w:rsidR="00463A18">
        <w:rPr>
          <w:rFonts w:ascii="Times New Roman" w:hAnsi="Times New Roman"/>
          <w:noProof/>
          <w:sz w:val="24"/>
          <w:szCs w:val="24"/>
        </w:rPr>
        <w:t>e</w:t>
      </w:r>
      <w:r w:rsidR="00463A18" w:rsidRPr="002940AD">
        <w:rPr>
          <w:rFonts w:ascii="Times New Roman" w:hAnsi="Times New Roman"/>
          <w:noProof/>
          <w:sz w:val="24"/>
          <w:szCs w:val="24"/>
        </w:rPr>
        <w:t xml:space="preserve">se </w:t>
      </w:r>
      <w:r w:rsidR="0042481B" w:rsidRPr="002940AD">
        <w:rPr>
          <w:rFonts w:ascii="Times New Roman" w:hAnsi="Times New Roman"/>
          <w:noProof/>
          <w:sz w:val="24"/>
          <w:szCs w:val="24"/>
        </w:rPr>
        <w:t xml:space="preserve">missions </w:t>
      </w:r>
      <w:r w:rsidR="008D7F38" w:rsidRPr="002940AD">
        <w:rPr>
          <w:rFonts w:ascii="Times New Roman" w:hAnsi="Times New Roman"/>
          <w:noProof/>
          <w:sz w:val="24"/>
          <w:szCs w:val="24"/>
        </w:rPr>
        <w:t>concern the low level of notifications</w:t>
      </w:r>
      <w:r w:rsidR="0042481B" w:rsidRPr="002940AD">
        <w:rPr>
          <w:rFonts w:ascii="Times New Roman" w:hAnsi="Times New Roman"/>
          <w:noProof/>
          <w:sz w:val="24"/>
          <w:szCs w:val="24"/>
        </w:rPr>
        <w:t xml:space="preserve"> (e.g. in Romania, Lithuania and Portugal)</w:t>
      </w:r>
      <w:r w:rsidR="008D7F38" w:rsidRPr="002940AD">
        <w:rPr>
          <w:rFonts w:ascii="Times New Roman" w:hAnsi="Times New Roman"/>
          <w:noProof/>
          <w:sz w:val="24"/>
          <w:szCs w:val="24"/>
        </w:rPr>
        <w:t xml:space="preserve">, administrative capacity (e.g. in </w:t>
      </w:r>
      <w:r w:rsidR="00897DB1" w:rsidRPr="002940AD">
        <w:rPr>
          <w:rFonts w:ascii="Times New Roman" w:hAnsi="Times New Roman"/>
          <w:noProof/>
          <w:sz w:val="24"/>
          <w:szCs w:val="24"/>
        </w:rPr>
        <w:t>Bulgaria</w:t>
      </w:r>
      <w:r w:rsidR="008D7F38" w:rsidRPr="002940AD">
        <w:rPr>
          <w:rFonts w:ascii="Times New Roman" w:hAnsi="Times New Roman"/>
          <w:noProof/>
          <w:sz w:val="24"/>
          <w:szCs w:val="24"/>
        </w:rPr>
        <w:t xml:space="preserve">) or coordination </w:t>
      </w:r>
      <w:r w:rsidR="00463A18" w:rsidRPr="002940AD">
        <w:rPr>
          <w:rFonts w:ascii="Times New Roman" w:hAnsi="Times New Roman"/>
          <w:noProof/>
          <w:sz w:val="24"/>
          <w:szCs w:val="24"/>
        </w:rPr>
        <w:t xml:space="preserve">issues </w:t>
      </w:r>
      <w:r w:rsidR="008D7F38" w:rsidRPr="002940AD">
        <w:rPr>
          <w:rFonts w:ascii="Times New Roman" w:hAnsi="Times New Roman"/>
          <w:noProof/>
          <w:sz w:val="24"/>
          <w:szCs w:val="24"/>
        </w:rPr>
        <w:t xml:space="preserve">(e.g. in Italy, Spain and Germany) and limited knowledge of the Single Market Transparency Directive by national administrations. </w:t>
      </w:r>
    </w:p>
    <w:p w14:paraId="4394FC8E" w14:textId="77777777" w:rsidR="00F521BF" w:rsidRPr="002940AD" w:rsidRDefault="00463A18">
      <w:pPr>
        <w:spacing w:line="240" w:lineRule="auto"/>
        <w:jc w:val="both"/>
        <w:rPr>
          <w:rFonts w:ascii="Times New Roman" w:hAnsi="Times New Roman"/>
          <w:noProof/>
          <w:sz w:val="24"/>
          <w:szCs w:val="24"/>
        </w:rPr>
      </w:pPr>
      <w:r>
        <w:rPr>
          <w:rFonts w:ascii="Times New Roman" w:hAnsi="Times New Roman"/>
          <w:noProof/>
          <w:sz w:val="24"/>
          <w:szCs w:val="24"/>
        </w:rPr>
        <w:t>Throughout</w:t>
      </w:r>
      <w:r w:rsidRPr="002940AD">
        <w:rPr>
          <w:rFonts w:ascii="Times New Roman" w:hAnsi="Times New Roman"/>
          <w:noProof/>
          <w:sz w:val="24"/>
          <w:szCs w:val="24"/>
        </w:rPr>
        <w:t xml:space="preserve"> </w:t>
      </w:r>
      <w:r w:rsidR="00567D5D" w:rsidRPr="002940AD">
        <w:rPr>
          <w:rFonts w:ascii="Times New Roman" w:hAnsi="Times New Roman"/>
          <w:noProof/>
          <w:sz w:val="24"/>
          <w:szCs w:val="24"/>
        </w:rPr>
        <w:t>the reference period, t</w:t>
      </w:r>
      <w:r w:rsidR="001F7678" w:rsidRPr="002940AD">
        <w:rPr>
          <w:rFonts w:ascii="Times New Roman" w:hAnsi="Times New Roman"/>
          <w:noProof/>
          <w:sz w:val="24"/>
          <w:szCs w:val="24"/>
        </w:rPr>
        <w:t xml:space="preserve">he Commission </w:t>
      </w:r>
      <w:r w:rsidR="00567D5D" w:rsidRPr="002940AD">
        <w:rPr>
          <w:rFonts w:ascii="Times New Roman" w:hAnsi="Times New Roman"/>
          <w:noProof/>
          <w:sz w:val="24"/>
          <w:szCs w:val="24"/>
        </w:rPr>
        <w:t xml:space="preserve">also </w:t>
      </w:r>
      <w:r w:rsidR="00DA6492">
        <w:rPr>
          <w:rFonts w:ascii="Times New Roman" w:hAnsi="Times New Roman"/>
          <w:noProof/>
          <w:sz w:val="24"/>
          <w:szCs w:val="24"/>
        </w:rPr>
        <w:t>discuss</w:t>
      </w:r>
      <w:r>
        <w:rPr>
          <w:rFonts w:ascii="Times New Roman" w:hAnsi="Times New Roman"/>
          <w:noProof/>
          <w:sz w:val="24"/>
          <w:szCs w:val="24"/>
        </w:rPr>
        <w:t>ed</w:t>
      </w:r>
      <w:r w:rsidR="001F7678" w:rsidRPr="002940AD">
        <w:rPr>
          <w:rFonts w:ascii="Times New Roman" w:hAnsi="Times New Roman"/>
          <w:noProof/>
          <w:sz w:val="24"/>
          <w:szCs w:val="24"/>
        </w:rPr>
        <w:t xml:space="preserve"> the application of the Directive in the compliance dialogue meetings with Member States</w:t>
      </w:r>
      <w:r>
        <w:rPr>
          <w:rFonts w:ascii="Times New Roman" w:hAnsi="Times New Roman"/>
          <w:noProof/>
          <w:sz w:val="24"/>
          <w:szCs w:val="24"/>
        </w:rPr>
        <w:t>,</w:t>
      </w:r>
      <w:r w:rsidR="001F7678" w:rsidRPr="002940AD">
        <w:rPr>
          <w:rFonts w:ascii="Times New Roman" w:hAnsi="Times New Roman"/>
          <w:noProof/>
          <w:sz w:val="24"/>
          <w:szCs w:val="24"/>
        </w:rPr>
        <w:t xml:space="preserve"> which are carrried out following the commitment </w:t>
      </w:r>
      <w:r w:rsidR="00C242BA" w:rsidRPr="002940AD">
        <w:rPr>
          <w:rFonts w:ascii="Times New Roman" w:hAnsi="Times New Roman"/>
          <w:noProof/>
          <w:sz w:val="24"/>
          <w:szCs w:val="24"/>
        </w:rPr>
        <w:t>o</w:t>
      </w:r>
      <w:r w:rsidR="001F7678" w:rsidRPr="002940AD">
        <w:rPr>
          <w:rFonts w:ascii="Times New Roman" w:hAnsi="Times New Roman"/>
          <w:noProof/>
          <w:sz w:val="24"/>
          <w:szCs w:val="24"/>
        </w:rPr>
        <w:t xml:space="preserve">n the </w:t>
      </w:r>
      <w:r w:rsidR="00D900BB">
        <w:rPr>
          <w:rFonts w:ascii="Times New Roman" w:hAnsi="Times New Roman"/>
          <w:noProof/>
          <w:sz w:val="24"/>
          <w:szCs w:val="24"/>
        </w:rPr>
        <w:t>s</w:t>
      </w:r>
      <w:r w:rsidR="001F7678" w:rsidRPr="002940AD">
        <w:rPr>
          <w:rFonts w:ascii="Times New Roman" w:hAnsi="Times New Roman"/>
          <w:noProof/>
          <w:sz w:val="24"/>
          <w:szCs w:val="24"/>
        </w:rPr>
        <w:t xml:space="preserve">ingle </w:t>
      </w:r>
      <w:r w:rsidR="00D900BB">
        <w:rPr>
          <w:rFonts w:ascii="Times New Roman" w:hAnsi="Times New Roman"/>
          <w:noProof/>
          <w:sz w:val="24"/>
          <w:szCs w:val="24"/>
        </w:rPr>
        <w:t>m</w:t>
      </w:r>
      <w:r w:rsidR="001F7678" w:rsidRPr="002940AD">
        <w:rPr>
          <w:rFonts w:ascii="Times New Roman" w:hAnsi="Times New Roman"/>
          <w:noProof/>
          <w:sz w:val="24"/>
          <w:szCs w:val="24"/>
        </w:rPr>
        <w:t xml:space="preserve">arket </w:t>
      </w:r>
      <w:r w:rsidR="00D900BB">
        <w:rPr>
          <w:rFonts w:ascii="Times New Roman" w:hAnsi="Times New Roman"/>
          <w:noProof/>
          <w:sz w:val="24"/>
          <w:szCs w:val="24"/>
        </w:rPr>
        <w:t>s</w:t>
      </w:r>
      <w:r w:rsidR="001F7678" w:rsidRPr="002940AD">
        <w:rPr>
          <w:rFonts w:ascii="Times New Roman" w:hAnsi="Times New Roman"/>
          <w:noProof/>
          <w:sz w:val="24"/>
          <w:szCs w:val="24"/>
        </w:rPr>
        <w:t>trategy.</w:t>
      </w:r>
      <w:r w:rsidR="009215CF" w:rsidRPr="002940AD">
        <w:rPr>
          <w:rFonts w:ascii="Times New Roman" w:hAnsi="Times New Roman"/>
          <w:noProof/>
          <w:sz w:val="24"/>
          <w:szCs w:val="24"/>
        </w:rPr>
        <w:t xml:space="preserve"> </w:t>
      </w:r>
      <w:r w:rsidR="00567D5D" w:rsidRPr="002940AD">
        <w:rPr>
          <w:rFonts w:ascii="Times New Roman" w:hAnsi="Times New Roman"/>
          <w:noProof/>
          <w:sz w:val="24"/>
          <w:szCs w:val="24"/>
        </w:rPr>
        <w:t>The Commission also regularly g</w:t>
      </w:r>
      <w:r w:rsidR="00EC42FC" w:rsidRPr="002940AD">
        <w:rPr>
          <w:rFonts w:ascii="Times New Roman" w:hAnsi="Times New Roman"/>
          <w:noProof/>
          <w:sz w:val="24"/>
          <w:szCs w:val="24"/>
        </w:rPr>
        <w:t>ave</w:t>
      </w:r>
      <w:r w:rsidR="00567D5D" w:rsidRPr="002940AD">
        <w:rPr>
          <w:rFonts w:ascii="Times New Roman" w:hAnsi="Times New Roman"/>
          <w:noProof/>
          <w:sz w:val="24"/>
          <w:szCs w:val="24"/>
        </w:rPr>
        <w:t xml:space="preserve"> </w:t>
      </w:r>
      <w:r w:rsidR="00567D5D" w:rsidRPr="00D659F6">
        <w:rPr>
          <w:rFonts w:ascii="Times New Roman" w:hAnsi="Times New Roman"/>
          <w:noProof/>
          <w:sz w:val="24"/>
          <w:szCs w:val="24"/>
        </w:rPr>
        <w:t>ad hoc</w:t>
      </w:r>
      <w:r w:rsidR="00567D5D" w:rsidRPr="002940AD">
        <w:rPr>
          <w:rFonts w:ascii="Times New Roman" w:hAnsi="Times New Roman"/>
          <w:noProof/>
          <w:sz w:val="24"/>
          <w:szCs w:val="24"/>
        </w:rPr>
        <w:t xml:space="preserve"> </w:t>
      </w:r>
      <w:r w:rsidR="007E44D6" w:rsidRPr="002940AD">
        <w:rPr>
          <w:rFonts w:ascii="Times New Roman" w:hAnsi="Times New Roman"/>
          <w:noProof/>
          <w:sz w:val="24"/>
          <w:szCs w:val="24"/>
        </w:rPr>
        <w:t xml:space="preserve">technical </w:t>
      </w:r>
      <w:r w:rsidR="00567D5D" w:rsidRPr="002940AD">
        <w:rPr>
          <w:rFonts w:ascii="Times New Roman" w:hAnsi="Times New Roman"/>
          <w:noProof/>
          <w:sz w:val="24"/>
          <w:szCs w:val="24"/>
        </w:rPr>
        <w:t>seminars to the national authorities involved in the notification procedure.</w:t>
      </w:r>
    </w:p>
    <w:p w14:paraId="45A99C0B" w14:textId="77777777" w:rsidR="000A57E3" w:rsidRPr="006502C4" w:rsidRDefault="00033FD5">
      <w:pPr>
        <w:spacing w:line="240" w:lineRule="auto"/>
        <w:jc w:val="both"/>
        <w:rPr>
          <w:rFonts w:ascii="Times New Roman" w:hAnsi="Times New Roman"/>
          <w:noProof/>
          <w:sz w:val="24"/>
          <w:szCs w:val="24"/>
        </w:rPr>
      </w:pPr>
      <w:r w:rsidRPr="002940AD">
        <w:rPr>
          <w:rFonts w:ascii="Times New Roman" w:hAnsi="Times New Roman"/>
          <w:noProof/>
          <w:sz w:val="24"/>
          <w:szCs w:val="24"/>
        </w:rPr>
        <w:t>Turkey improved its p</w:t>
      </w:r>
      <w:r w:rsidR="000A57E3" w:rsidRPr="002940AD">
        <w:rPr>
          <w:rFonts w:ascii="Times New Roman" w:hAnsi="Times New Roman"/>
          <w:noProof/>
          <w:sz w:val="24"/>
          <w:szCs w:val="24"/>
        </w:rPr>
        <w:t>articipation in the notification procedure</w:t>
      </w:r>
      <w:r w:rsidR="00602955" w:rsidRPr="002940AD">
        <w:rPr>
          <w:rFonts w:ascii="Times New Roman" w:hAnsi="Times New Roman"/>
          <w:noProof/>
          <w:sz w:val="24"/>
          <w:szCs w:val="24"/>
        </w:rPr>
        <w:t xml:space="preserve"> over the reference period</w:t>
      </w:r>
      <w:r w:rsidR="000A57E3" w:rsidRPr="002940AD">
        <w:rPr>
          <w:rFonts w:ascii="Times New Roman" w:hAnsi="Times New Roman"/>
          <w:noProof/>
          <w:sz w:val="24"/>
          <w:szCs w:val="24"/>
        </w:rPr>
        <w:t>.</w:t>
      </w:r>
    </w:p>
    <w:p w14:paraId="16D41E47" w14:textId="77777777" w:rsidR="00445CD5" w:rsidRPr="002940AD" w:rsidRDefault="00445CD5">
      <w:pPr>
        <w:pStyle w:val="Heading2"/>
        <w:numPr>
          <w:ilvl w:val="1"/>
          <w:numId w:val="36"/>
        </w:numPr>
        <w:ind w:left="851" w:hanging="851"/>
        <w:rPr>
          <w:i/>
          <w:noProof/>
        </w:rPr>
      </w:pPr>
      <w:bookmarkStart w:id="35" w:name="_Toc98517793"/>
      <w:bookmarkStart w:id="36" w:name="_Toc404941551"/>
      <w:bookmarkEnd w:id="33"/>
      <w:bookmarkEnd w:id="34"/>
      <w:r w:rsidRPr="002940AD">
        <w:rPr>
          <w:i/>
          <w:noProof/>
        </w:rPr>
        <w:t>Transparency</w:t>
      </w:r>
      <w:bookmarkEnd w:id="35"/>
    </w:p>
    <w:p w14:paraId="629A39D2" w14:textId="77777777" w:rsidR="0049046D" w:rsidRPr="006502C4" w:rsidRDefault="00445CD5" w:rsidP="006502C4">
      <w:pPr>
        <w:pStyle w:val="Heading3"/>
        <w:numPr>
          <w:ilvl w:val="0"/>
          <w:numId w:val="0"/>
        </w:numPr>
        <w:rPr>
          <w:noProof/>
        </w:rPr>
      </w:pPr>
      <w:r w:rsidRPr="006502C4">
        <w:rPr>
          <w:noProof/>
        </w:rPr>
        <w:t xml:space="preserve">2.7.1 </w:t>
      </w:r>
      <w:r w:rsidR="001F7678" w:rsidRPr="006502C4">
        <w:rPr>
          <w:noProof/>
        </w:rPr>
        <w:t xml:space="preserve">Requests for access to documents issued under </w:t>
      </w:r>
      <w:bookmarkEnd w:id="36"/>
      <w:r w:rsidR="001F7678" w:rsidRPr="006502C4">
        <w:rPr>
          <w:noProof/>
        </w:rPr>
        <w:t>the Single Market Transparency Directive</w:t>
      </w:r>
    </w:p>
    <w:p w14:paraId="51A917B0" w14:textId="77777777" w:rsidR="00235591" w:rsidRPr="002940AD" w:rsidRDefault="001F7678" w:rsidP="002940AD">
      <w:pPr>
        <w:spacing w:line="240" w:lineRule="auto"/>
        <w:jc w:val="both"/>
        <w:rPr>
          <w:rFonts w:ascii="Times New Roman" w:hAnsi="Times New Roman"/>
          <w:noProof/>
          <w:sz w:val="24"/>
          <w:szCs w:val="24"/>
        </w:rPr>
      </w:pPr>
      <w:r w:rsidRPr="002940AD">
        <w:rPr>
          <w:rFonts w:ascii="Times New Roman" w:hAnsi="Times New Roman"/>
          <w:noProof/>
          <w:sz w:val="24"/>
          <w:szCs w:val="24"/>
        </w:rPr>
        <w:t>From 201</w:t>
      </w:r>
      <w:r w:rsidR="00E0770A" w:rsidRPr="002940AD">
        <w:rPr>
          <w:rFonts w:ascii="Times New Roman" w:hAnsi="Times New Roman"/>
          <w:noProof/>
          <w:sz w:val="24"/>
          <w:szCs w:val="24"/>
        </w:rPr>
        <w:t>6</w:t>
      </w:r>
      <w:r w:rsidRPr="002940AD">
        <w:rPr>
          <w:rFonts w:ascii="Times New Roman" w:hAnsi="Times New Roman"/>
          <w:noProof/>
          <w:sz w:val="24"/>
          <w:szCs w:val="24"/>
        </w:rPr>
        <w:t xml:space="preserve"> to 20</w:t>
      </w:r>
      <w:r w:rsidR="00C779A7">
        <w:rPr>
          <w:rFonts w:ascii="Times New Roman" w:hAnsi="Times New Roman"/>
          <w:noProof/>
          <w:sz w:val="24"/>
          <w:szCs w:val="24"/>
        </w:rPr>
        <w:t>20</w:t>
      </w:r>
      <w:r w:rsidRPr="002940AD">
        <w:rPr>
          <w:rFonts w:ascii="Times New Roman" w:hAnsi="Times New Roman"/>
          <w:noProof/>
          <w:sz w:val="24"/>
          <w:szCs w:val="24"/>
        </w:rPr>
        <w:t xml:space="preserve"> the Commission received</w:t>
      </w:r>
      <w:r w:rsidR="005B6171">
        <w:rPr>
          <w:rFonts w:ascii="Times New Roman" w:hAnsi="Times New Roman"/>
          <w:noProof/>
          <w:sz w:val="24"/>
          <w:szCs w:val="24"/>
        </w:rPr>
        <w:t xml:space="preserve"> 531</w:t>
      </w:r>
      <w:r w:rsidR="00D70559" w:rsidRPr="002940AD">
        <w:rPr>
          <w:rStyle w:val="FootnoteReference"/>
          <w:rFonts w:ascii="Times New Roman" w:hAnsi="Times New Roman"/>
          <w:noProof/>
          <w:sz w:val="24"/>
          <w:szCs w:val="24"/>
        </w:rPr>
        <w:footnoteReference w:id="61"/>
      </w:r>
      <w:r w:rsidRPr="002940AD">
        <w:rPr>
          <w:rFonts w:ascii="Times New Roman" w:hAnsi="Times New Roman"/>
          <w:noProof/>
          <w:sz w:val="24"/>
          <w:szCs w:val="24"/>
        </w:rPr>
        <w:t xml:space="preserve"> requests for access to documents issued in the </w:t>
      </w:r>
      <w:r w:rsidR="00463A18">
        <w:rPr>
          <w:rFonts w:ascii="Times New Roman" w:hAnsi="Times New Roman"/>
          <w:noProof/>
          <w:sz w:val="24"/>
          <w:szCs w:val="24"/>
        </w:rPr>
        <w:t>context</w:t>
      </w:r>
      <w:r w:rsidR="00463A18" w:rsidRPr="002940AD">
        <w:rPr>
          <w:rFonts w:ascii="Times New Roman" w:hAnsi="Times New Roman"/>
          <w:noProof/>
          <w:sz w:val="24"/>
          <w:szCs w:val="24"/>
        </w:rPr>
        <w:t xml:space="preserve"> </w:t>
      </w:r>
      <w:r w:rsidRPr="002940AD">
        <w:rPr>
          <w:rFonts w:ascii="Times New Roman" w:hAnsi="Times New Roman"/>
          <w:noProof/>
          <w:sz w:val="24"/>
          <w:szCs w:val="24"/>
        </w:rPr>
        <w:t xml:space="preserve">of the Single Market Transparency Directive. </w:t>
      </w:r>
      <w:r w:rsidR="00463A18">
        <w:rPr>
          <w:rFonts w:ascii="Times New Roman" w:hAnsi="Times New Roman"/>
          <w:noProof/>
          <w:sz w:val="24"/>
          <w:szCs w:val="24"/>
        </w:rPr>
        <w:t>Most requests</w:t>
      </w:r>
      <w:r w:rsidRPr="002940AD">
        <w:rPr>
          <w:rFonts w:ascii="Times New Roman" w:hAnsi="Times New Roman"/>
          <w:noProof/>
          <w:sz w:val="24"/>
          <w:szCs w:val="24"/>
        </w:rPr>
        <w:t xml:space="preserve"> concerned detailed opinions and comments delivered by the Commission. </w:t>
      </w:r>
      <w:r w:rsidR="00521F0F" w:rsidRPr="002940AD">
        <w:rPr>
          <w:rFonts w:ascii="Times New Roman" w:hAnsi="Times New Roman"/>
          <w:noProof/>
          <w:sz w:val="24"/>
          <w:szCs w:val="24"/>
        </w:rPr>
        <w:t xml:space="preserve">In line with the </w:t>
      </w:r>
      <w:r w:rsidR="00BF6BCA" w:rsidRPr="002940AD">
        <w:rPr>
          <w:rFonts w:ascii="Times New Roman" w:hAnsi="Times New Roman"/>
          <w:noProof/>
          <w:sz w:val="24"/>
          <w:szCs w:val="24"/>
        </w:rPr>
        <w:t>latest developments in CJEU</w:t>
      </w:r>
      <w:r w:rsidR="00521F0F" w:rsidRPr="002940AD">
        <w:rPr>
          <w:rFonts w:ascii="Times New Roman" w:hAnsi="Times New Roman"/>
          <w:noProof/>
          <w:sz w:val="24"/>
          <w:szCs w:val="24"/>
        </w:rPr>
        <w:t xml:space="preserve"> case-</w:t>
      </w:r>
      <w:r w:rsidR="00235591" w:rsidRPr="002940AD">
        <w:rPr>
          <w:rFonts w:ascii="Times New Roman" w:hAnsi="Times New Roman"/>
          <w:noProof/>
          <w:sz w:val="24"/>
          <w:szCs w:val="24"/>
        </w:rPr>
        <w:t>law</w:t>
      </w:r>
      <w:r w:rsidR="00BF6BCA" w:rsidRPr="002940AD">
        <w:rPr>
          <w:rFonts w:ascii="Times New Roman" w:hAnsi="Times New Roman"/>
          <w:noProof/>
          <w:sz w:val="24"/>
          <w:szCs w:val="24"/>
        </w:rPr>
        <w:t xml:space="preserve"> (see Annex 2, </w:t>
      </w:r>
      <w:r w:rsidR="00080560">
        <w:rPr>
          <w:rFonts w:ascii="Times New Roman" w:hAnsi="Times New Roman"/>
          <w:noProof/>
          <w:sz w:val="24"/>
          <w:szCs w:val="24"/>
          <w:lang w:val="en-US"/>
        </w:rPr>
        <w:t>C</w:t>
      </w:r>
      <w:r w:rsidR="00BF6BCA" w:rsidRPr="002940AD">
        <w:rPr>
          <w:rFonts w:ascii="Times New Roman" w:hAnsi="Times New Roman"/>
          <w:noProof/>
          <w:sz w:val="24"/>
          <w:szCs w:val="24"/>
          <w:lang w:val="en-US"/>
        </w:rPr>
        <w:t xml:space="preserve">ase C-331/15 P, </w:t>
      </w:r>
      <w:r w:rsidR="00BF6BCA" w:rsidRPr="002940AD">
        <w:rPr>
          <w:rFonts w:ascii="Times New Roman" w:hAnsi="Times New Roman"/>
          <w:i/>
          <w:noProof/>
          <w:sz w:val="24"/>
          <w:szCs w:val="24"/>
          <w:lang w:val="en-US"/>
        </w:rPr>
        <w:t>France v Schlyter</w:t>
      </w:r>
      <w:r w:rsidR="00BF6BCA" w:rsidRPr="002940AD">
        <w:rPr>
          <w:rFonts w:ascii="Times New Roman" w:hAnsi="Times New Roman"/>
          <w:noProof/>
          <w:sz w:val="24"/>
          <w:szCs w:val="24"/>
          <w:lang w:val="en-US"/>
        </w:rPr>
        <w:t>)</w:t>
      </w:r>
      <w:r w:rsidR="00235591" w:rsidRPr="002940AD">
        <w:rPr>
          <w:rFonts w:ascii="Times New Roman" w:hAnsi="Times New Roman"/>
          <w:noProof/>
          <w:sz w:val="24"/>
          <w:szCs w:val="24"/>
        </w:rPr>
        <w:t xml:space="preserve">, most of </w:t>
      </w:r>
      <w:r w:rsidR="00463A18" w:rsidRPr="002940AD">
        <w:rPr>
          <w:rFonts w:ascii="Times New Roman" w:hAnsi="Times New Roman"/>
          <w:noProof/>
          <w:sz w:val="24"/>
          <w:szCs w:val="24"/>
        </w:rPr>
        <w:t>the</w:t>
      </w:r>
      <w:r w:rsidR="00463A18">
        <w:rPr>
          <w:rFonts w:ascii="Times New Roman" w:hAnsi="Times New Roman"/>
          <w:noProof/>
          <w:sz w:val="24"/>
          <w:szCs w:val="24"/>
        </w:rPr>
        <w:t xml:space="preserve"> documents</w:t>
      </w:r>
      <w:r w:rsidR="00463A18" w:rsidRPr="002940AD">
        <w:rPr>
          <w:rFonts w:ascii="Times New Roman" w:hAnsi="Times New Roman"/>
          <w:noProof/>
          <w:sz w:val="24"/>
          <w:szCs w:val="24"/>
        </w:rPr>
        <w:t xml:space="preserve"> </w:t>
      </w:r>
      <w:r w:rsidR="00235591" w:rsidRPr="002940AD">
        <w:rPr>
          <w:rFonts w:ascii="Times New Roman" w:hAnsi="Times New Roman"/>
          <w:noProof/>
          <w:sz w:val="24"/>
          <w:szCs w:val="24"/>
        </w:rPr>
        <w:t>were disclosed.</w:t>
      </w:r>
    </w:p>
    <w:p w14:paraId="5EFE9214" w14:textId="77777777" w:rsidR="0049046D" w:rsidRPr="006502C4" w:rsidRDefault="00445CD5" w:rsidP="006502C4">
      <w:pPr>
        <w:pStyle w:val="Heading3"/>
        <w:numPr>
          <w:ilvl w:val="0"/>
          <w:numId w:val="0"/>
        </w:numPr>
        <w:rPr>
          <w:noProof/>
        </w:rPr>
      </w:pPr>
      <w:bookmarkStart w:id="37" w:name="_Toc43470382"/>
      <w:bookmarkStart w:id="38" w:name="_Toc43889308"/>
      <w:bookmarkStart w:id="39" w:name="_Toc43913732"/>
      <w:bookmarkEnd w:id="37"/>
      <w:bookmarkEnd w:id="38"/>
      <w:bookmarkEnd w:id="39"/>
      <w:r w:rsidRPr="006502C4">
        <w:rPr>
          <w:noProof/>
        </w:rPr>
        <w:t>2.7.2 Participation of st</w:t>
      </w:r>
      <w:r w:rsidR="001C2286">
        <w:rPr>
          <w:noProof/>
        </w:rPr>
        <w:t>a</w:t>
      </w:r>
      <w:r w:rsidRPr="006502C4">
        <w:rPr>
          <w:noProof/>
        </w:rPr>
        <w:t>keholders</w:t>
      </w:r>
    </w:p>
    <w:p w14:paraId="6736EC9E" w14:textId="77777777" w:rsidR="0049046D" w:rsidRPr="002940AD" w:rsidRDefault="001F7678" w:rsidP="002940AD">
      <w:pPr>
        <w:pStyle w:val="Text1"/>
        <w:ind w:left="0"/>
        <w:rPr>
          <w:noProof/>
        </w:rPr>
      </w:pPr>
      <w:r w:rsidRPr="002940AD">
        <w:rPr>
          <w:noProof/>
        </w:rPr>
        <w:t>Transparency is a fundamental feature of the notification procedure. The TRIS website</w:t>
      </w:r>
      <w:r w:rsidR="00A25B89">
        <w:rPr>
          <w:noProof/>
        </w:rPr>
        <w:t xml:space="preserve">, which is publicly available, </w:t>
      </w:r>
      <w:r w:rsidRPr="002940AD">
        <w:rPr>
          <w:noProof/>
        </w:rPr>
        <w:t xml:space="preserve">ensures </w:t>
      </w:r>
      <w:r w:rsidR="00EF2388" w:rsidRPr="002940AD">
        <w:rPr>
          <w:noProof/>
        </w:rPr>
        <w:t xml:space="preserve">that </w:t>
      </w:r>
      <w:r w:rsidRPr="002940AD">
        <w:rPr>
          <w:noProof/>
        </w:rPr>
        <w:t xml:space="preserve">stakeholders are constantly informed about all draft technical regulations under preparation by Member States and that a dialogue between stakeholders and the Commission takes place, thanks to the function </w:t>
      </w:r>
      <w:r w:rsidR="00014507">
        <w:rPr>
          <w:noProof/>
        </w:rPr>
        <w:t>enabling stakeholders to</w:t>
      </w:r>
      <w:r w:rsidR="009C6984" w:rsidRPr="002940AD">
        <w:rPr>
          <w:noProof/>
        </w:rPr>
        <w:t xml:space="preserve"> submi</w:t>
      </w:r>
      <w:r w:rsidR="00014507">
        <w:rPr>
          <w:noProof/>
        </w:rPr>
        <w:t>t</w:t>
      </w:r>
      <w:r w:rsidR="004604CE" w:rsidRPr="002940AD">
        <w:rPr>
          <w:noProof/>
        </w:rPr>
        <w:t xml:space="preserve"> </w:t>
      </w:r>
      <w:r w:rsidR="009C6984" w:rsidRPr="002940AD">
        <w:rPr>
          <w:noProof/>
        </w:rPr>
        <w:t>contribution</w:t>
      </w:r>
      <w:r w:rsidR="00014507">
        <w:rPr>
          <w:noProof/>
        </w:rPr>
        <w:t>s</w:t>
      </w:r>
      <w:r w:rsidR="009C6984" w:rsidRPr="002940AD">
        <w:rPr>
          <w:noProof/>
        </w:rPr>
        <w:t xml:space="preserve"> on draft technical regulations</w:t>
      </w:r>
      <w:r w:rsidRPr="002940AD">
        <w:rPr>
          <w:noProof/>
        </w:rPr>
        <w:t>.</w:t>
      </w:r>
      <w:r w:rsidR="00564EC5" w:rsidRPr="002940AD">
        <w:rPr>
          <w:noProof/>
        </w:rPr>
        <w:t xml:space="preserve"> </w:t>
      </w:r>
      <w:r w:rsidR="00005D24" w:rsidRPr="002940AD">
        <w:rPr>
          <w:noProof/>
        </w:rPr>
        <w:t xml:space="preserve">As already </w:t>
      </w:r>
      <w:r w:rsidR="00AE0DDC">
        <w:rPr>
          <w:noProof/>
        </w:rPr>
        <w:t>mentioned</w:t>
      </w:r>
      <w:r w:rsidR="00005D24" w:rsidRPr="002940AD">
        <w:rPr>
          <w:noProof/>
        </w:rPr>
        <w:t>, between 2016 and 20</w:t>
      </w:r>
      <w:r w:rsidR="00C779A7">
        <w:rPr>
          <w:noProof/>
        </w:rPr>
        <w:t>20</w:t>
      </w:r>
      <w:r w:rsidR="00411709" w:rsidRPr="002940AD">
        <w:rPr>
          <w:noProof/>
        </w:rPr>
        <w:t>,</w:t>
      </w:r>
      <w:r w:rsidR="00005D24" w:rsidRPr="002940AD">
        <w:rPr>
          <w:noProof/>
        </w:rPr>
        <w:t xml:space="preserve"> the Commission received </w:t>
      </w:r>
      <w:r w:rsidR="00761D82">
        <w:rPr>
          <w:noProof/>
        </w:rPr>
        <w:t>1</w:t>
      </w:r>
      <w:r w:rsidR="00A0361F">
        <w:rPr>
          <w:noProof/>
        </w:rPr>
        <w:t> </w:t>
      </w:r>
      <w:r w:rsidR="00761D82">
        <w:rPr>
          <w:noProof/>
        </w:rPr>
        <w:t>618</w:t>
      </w:r>
      <w:r w:rsidR="00005D24" w:rsidRPr="002940AD">
        <w:rPr>
          <w:noProof/>
        </w:rPr>
        <w:t xml:space="preserve"> contributions via this functionality. </w:t>
      </w:r>
      <w:r w:rsidR="00564EC5" w:rsidRPr="002940AD">
        <w:rPr>
          <w:noProof/>
        </w:rPr>
        <w:t>Over the reference</w:t>
      </w:r>
      <w:r w:rsidR="00EF2388" w:rsidRPr="002940AD">
        <w:rPr>
          <w:noProof/>
        </w:rPr>
        <w:t xml:space="preserve"> period</w:t>
      </w:r>
      <w:r w:rsidR="00564EC5" w:rsidRPr="002940AD">
        <w:rPr>
          <w:noProof/>
        </w:rPr>
        <w:t xml:space="preserve">, </w:t>
      </w:r>
      <w:r w:rsidR="00EF2388" w:rsidRPr="002940AD">
        <w:rPr>
          <w:noProof/>
        </w:rPr>
        <w:t xml:space="preserve">the Commission </w:t>
      </w:r>
      <w:r w:rsidR="00014507">
        <w:rPr>
          <w:noProof/>
        </w:rPr>
        <w:t xml:space="preserve">also </w:t>
      </w:r>
      <w:r w:rsidR="00564EC5" w:rsidRPr="002940AD">
        <w:rPr>
          <w:noProof/>
        </w:rPr>
        <w:t>started translating the final texts of the notified measures</w:t>
      </w:r>
      <w:r w:rsidR="00014507" w:rsidRPr="00014507">
        <w:rPr>
          <w:noProof/>
        </w:rPr>
        <w:t xml:space="preserve"> </w:t>
      </w:r>
      <w:r w:rsidR="00014507" w:rsidRPr="002940AD">
        <w:rPr>
          <w:noProof/>
        </w:rPr>
        <w:t>in</w:t>
      </w:r>
      <w:r w:rsidR="00014507">
        <w:rPr>
          <w:noProof/>
        </w:rPr>
        <w:t>to</w:t>
      </w:r>
      <w:r w:rsidR="00014507" w:rsidRPr="002940AD">
        <w:rPr>
          <w:noProof/>
        </w:rPr>
        <w:t xml:space="preserve"> all EU languages</w:t>
      </w:r>
      <w:r w:rsidR="00564EC5" w:rsidRPr="002940AD">
        <w:rPr>
          <w:noProof/>
        </w:rPr>
        <w:t>. The translation</w:t>
      </w:r>
      <w:r w:rsidR="007209AD" w:rsidRPr="002940AD">
        <w:rPr>
          <w:noProof/>
        </w:rPr>
        <w:t>s</w:t>
      </w:r>
      <w:r w:rsidR="00564EC5" w:rsidRPr="002940AD">
        <w:rPr>
          <w:noProof/>
        </w:rPr>
        <w:t xml:space="preserve"> of the final texts are available </w:t>
      </w:r>
      <w:r w:rsidR="00014507">
        <w:rPr>
          <w:noProof/>
        </w:rPr>
        <w:t>on</w:t>
      </w:r>
      <w:r w:rsidR="00014507" w:rsidRPr="002940AD">
        <w:rPr>
          <w:noProof/>
        </w:rPr>
        <w:t xml:space="preserve"> </w:t>
      </w:r>
      <w:r w:rsidR="00564EC5" w:rsidRPr="002940AD">
        <w:rPr>
          <w:noProof/>
        </w:rPr>
        <w:t xml:space="preserve">the TRIS website and </w:t>
      </w:r>
      <w:r w:rsidR="00D1441B">
        <w:rPr>
          <w:noProof/>
        </w:rPr>
        <w:t xml:space="preserve">provide additional </w:t>
      </w:r>
      <w:r w:rsidR="00564EC5" w:rsidRPr="002940AD">
        <w:rPr>
          <w:noProof/>
        </w:rPr>
        <w:t>transparency.</w:t>
      </w:r>
    </w:p>
    <w:p w14:paraId="4120640E" w14:textId="77777777" w:rsidR="0049046D" w:rsidRPr="002940AD" w:rsidRDefault="001F7678" w:rsidP="002940AD">
      <w:pPr>
        <w:pStyle w:val="Text1"/>
        <w:ind w:left="0"/>
        <w:rPr>
          <w:noProof/>
        </w:rPr>
      </w:pPr>
      <w:r w:rsidRPr="002940AD">
        <w:rPr>
          <w:noProof/>
        </w:rPr>
        <w:t xml:space="preserve">The success of the TRIS website is </w:t>
      </w:r>
      <w:r w:rsidR="002835F6" w:rsidRPr="002940AD">
        <w:rPr>
          <w:noProof/>
        </w:rPr>
        <w:t>confirmed</w:t>
      </w:r>
      <w:r w:rsidRPr="002940AD">
        <w:rPr>
          <w:noProof/>
        </w:rPr>
        <w:t xml:space="preserve"> by numbers:</w:t>
      </w:r>
      <w:r w:rsidR="00814415" w:rsidRPr="002940AD">
        <w:rPr>
          <w:noProof/>
        </w:rPr>
        <w:t xml:space="preserve"> </w:t>
      </w:r>
    </w:p>
    <w:p w14:paraId="12AB5431" w14:textId="77777777" w:rsidR="0049046D" w:rsidRPr="00CB6792" w:rsidRDefault="001F7678" w:rsidP="00272349">
      <w:pPr>
        <w:pStyle w:val="Text1"/>
        <w:numPr>
          <w:ilvl w:val="0"/>
          <w:numId w:val="27"/>
        </w:numPr>
        <w:rPr>
          <w:noProof/>
        </w:rPr>
      </w:pPr>
      <w:r w:rsidRPr="002940AD">
        <w:rPr>
          <w:noProof/>
        </w:rPr>
        <w:t>At the end of 20</w:t>
      </w:r>
      <w:r w:rsidR="00F0151D">
        <w:rPr>
          <w:noProof/>
        </w:rPr>
        <w:t>20</w:t>
      </w:r>
      <w:r w:rsidRPr="002940AD">
        <w:rPr>
          <w:noProof/>
        </w:rPr>
        <w:t xml:space="preserve"> there were </w:t>
      </w:r>
      <w:r w:rsidR="00B220ED" w:rsidRPr="002940AD">
        <w:rPr>
          <w:noProof/>
        </w:rPr>
        <w:t>6</w:t>
      </w:r>
      <w:r w:rsidR="00A0361F">
        <w:rPr>
          <w:noProof/>
        </w:rPr>
        <w:t> </w:t>
      </w:r>
      <w:r w:rsidR="00F0151D">
        <w:rPr>
          <w:noProof/>
        </w:rPr>
        <w:t>46</w:t>
      </w:r>
      <w:r w:rsidR="003331AA">
        <w:rPr>
          <w:noProof/>
        </w:rPr>
        <w:t>7</w:t>
      </w:r>
      <w:r w:rsidR="002B206A" w:rsidRPr="002940AD">
        <w:rPr>
          <w:noProof/>
        </w:rPr>
        <w:t xml:space="preserve"> </w:t>
      </w:r>
      <w:r w:rsidR="00AB28CE" w:rsidRPr="002940AD">
        <w:rPr>
          <w:noProof/>
        </w:rPr>
        <w:t xml:space="preserve">active </w:t>
      </w:r>
      <w:r w:rsidRPr="002940AD">
        <w:rPr>
          <w:noProof/>
        </w:rPr>
        <w:t>subscribers to the TRIS mailing list</w:t>
      </w:r>
      <w:r w:rsidR="00014507">
        <w:rPr>
          <w:noProof/>
        </w:rPr>
        <w:t>,</w:t>
      </w:r>
      <w:r w:rsidRPr="002940AD">
        <w:rPr>
          <w:noProof/>
        </w:rPr>
        <w:t xml:space="preserve"> </w:t>
      </w:r>
      <w:r w:rsidRPr="00CB6792">
        <w:rPr>
          <w:noProof/>
        </w:rPr>
        <w:t xml:space="preserve">compared to </w:t>
      </w:r>
      <w:r w:rsidR="00532401" w:rsidRPr="00CB6792">
        <w:rPr>
          <w:noProof/>
        </w:rPr>
        <w:t>5</w:t>
      </w:r>
      <w:r w:rsidR="00A0361F">
        <w:rPr>
          <w:noProof/>
        </w:rPr>
        <w:t> </w:t>
      </w:r>
      <w:r w:rsidR="00532401" w:rsidRPr="00CB6792">
        <w:rPr>
          <w:noProof/>
        </w:rPr>
        <w:t xml:space="preserve">196 </w:t>
      </w:r>
      <w:r w:rsidR="002B206A" w:rsidRPr="00CB6792">
        <w:rPr>
          <w:noProof/>
        </w:rPr>
        <w:t>at the end of</w:t>
      </w:r>
      <w:r w:rsidRPr="00CB6792">
        <w:rPr>
          <w:noProof/>
        </w:rPr>
        <w:t xml:space="preserve"> 201</w:t>
      </w:r>
      <w:r w:rsidR="00532401" w:rsidRPr="00CB6792">
        <w:rPr>
          <w:noProof/>
        </w:rPr>
        <w:t>5</w:t>
      </w:r>
      <w:r w:rsidRPr="00CB6792">
        <w:rPr>
          <w:noProof/>
        </w:rPr>
        <w:t xml:space="preserve">, </w:t>
      </w:r>
      <w:r w:rsidR="00A0361F">
        <w:rPr>
          <w:noProof/>
        </w:rPr>
        <w:t>marking</w:t>
      </w:r>
      <w:r w:rsidR="00A0361F" w:rsidRPr="00CB6792">
        <w:rPr>
          <w:noProof/>
        </w:rPr>
        <w:t xml:space="preserve"> </w:t>
      </w:r>
      <w:r w:rsidRPr="00CB6792">
        <w:rPr>
          <w:noProof/>
        </w:rPr>
        <w:t>a</w:t>
      </w:r>
      <w:r w:rsidR="00014507">
        <w:rPr>
          <w:noProof/>
        </w:rPr>
        <w:t xml:space="preserve"> </w:t>
      </w:r>
      <w:r w:rsidR="00014507" w:rsidRPr="00CB6792">
        <w:rPr>
          <w:noProof/>
        </w:rPr>
        <w:t>25%</w:t>
      </w:r>
      <w:r w:rsidRPr="00CB6792">
        <w:rPr>
          <w:noProof/>
        </w:rPr>
        <w:t xml:space="preserve"> increase </w:t>
      </w:r>
      <w:r w:rsidR="00014507">
        <w:rPr>
          <w:noProof/>
        </w:rPr>
        <w:t>over</w:t>
      </w:r>
      <w:r w:rsidR="00014507" w:rsidRPr="00CB6792">
        <w:rPr>
          <w:noProof/>
        </w:rPr>
        <w:t xml:space="preserve"> </w:t>
      </w:r>
      <w:r w:rsidRPr="00CB6792">
        <w:rPr>
          <w:noProof/>
        </w:rPr>
        <w:t xml:space="preserve">the </w:t>
      </w:r>
      <w:r w:rsidR="00014507">
        <w:rPr>
          <w:noProof/>
        </w:rPr>
        <w:t>5</w:t>
      </w:r>
      <w:r w:rsidRPr="00CB6792">
        <w:rPr>
          <w:noProof/>
        </w:rPr>
        <w:t>-year reporting period</w:t>
      </w:r>
      <w:r w:rsidR="001F1AF0">
        <w:rPr>
          <w:noProof/>
        </w:rPr>
        <w:t>.</w:t>
      </w:r>
      <w:r w:rsidRPr="00CB6792">
        <w:rPr>
          <w:noProof/>
        </w:rPr>
        <w:t xml:space="preserve"> </w:t>
      </w:r>
    </w:p>
    <w:p w14:paraId="51C98CE1" w14:textId="77777777" w:rsidR="0049046D" w:rsidRPr="00CB6792" w:rsidRDefault="001F7678" w:rsidP="00463254">
      <w:pPr>
        <w:pStyle w:val="Text1"/>
        <w:numPr>
          <w:ilvl w:val="0"/>
          <w:numId w:val="27"/>
        </w:numPr>
        <w:rPr>
          <w:noProof/>
        </w:rPr>
      </w:pPr>
      <w:r w:rsidRPr="00CB6792">
        <w:rPr>
          <w:noProof/>
        </w:rPr>
        <w:t>In the period considered</w:t>
      </w:r>
      <w:r w:rsidR="00014507">
        <w:rPr>
          <w:noProof/>
        </w:rPr>
        <w:t>,</w:t>
      </w:r>
      <w:r w:rsidRPr="00CB6792">
        <w:rPr>
          <w:noProof/>
        </w:rPr>
        <w:t xml:space="preserve"> </w:t>
      </w:r>
      <w:r w:rsidR="00761D82" w:rsidRPr="00CB6792">
        <w:rPr>
          <w:noProof/>
        </w:rPr>
        <w:t>871</w:t>
      </w:r>
      <w:r w:rsidR="00A0361F">
        <w:rPr>
          <w:noProof/>
        </w:rPr>
        <w:t> </w:t>
      </w:r>
      <w:r w:rsidR="00761D82" w:rsidRPr="00CB6792">
        <w:rPr>
          <w:noProof/>
        </w:rPr>
        <w:t>744</w:t>
      </w:r>
      <w:r w:rsidR="00F918C6" w:rsidRPr="00CB6792">
        <w:rPr>
          <w:noProof/>
        </w:rPr>
        <w:t xml:space="preserve"> </w:t>
      </w:r>
      <w:r w:rsidRPr="00CB6792">
        <w:rPr>
          <w:noProof/>
        </w:rPr>
        <w:t xml:space="preserve">searches </w:t>
      </w:r>
      <w:r w:rsidR="000A76F1" w:rsidRPr="00CB6792">
        <w:rPr>
          <w:noProof/>
        </w:rPr>
        <w:t>were</w:t>
      </w:r>
      <w:r w:rsidRPr="00CB6792">
        <w:rPr>
          <w:noProof/>
        </w:rPr>
        <w:t xml:space="preserve"> carried out through the TRIS website</w:t>
      </w:r>
      <w:r w:rsidR="00463254" w:rsidRPr="00CB6792">
        <w:rPr>
          <w:noProof/>
        </w:rPr>
        <w:t xml:space="preserve"> (151</w:t>
      </w:r>
      <w:r w:rsidR="00A0361F">
        <w:rPr>
          <w:noProof/>
        </w:rPr>
        <w:t> </w:t>
      </w:r>
      <w:r w:rsidR="00463254" w:rsidRPr="00CB6792">
        <w:rPr>
          <w:noProof/>
        </w:rPr>
        <w:t>202 in 2016, 134</w:t>
      </w:r>
      <w:r w:rsidR="00A0361F">
        <w:rPr>
          <w:noProof/>
        </w:rPr>
        <w:t> </w:t>
      </w:r>
      <w:r w:rsidR="00463254" w:rsidRPr="00CB6792">
        <w:rPr>
          <w:noProof/>
        </w:rPr>
        <w:t>737 in 2017, 152</w:t>
      </w:r>
      <w:r w:rsidR="00A0361F">
        <w:rPr>
          <w:noProof/>
        </w:rPr>
        <w:t> </w:t>
      </w:r>
      <w:r w:rsidR="00463254" w:rsidRPr="00CB6792">
        <w:rPr>
          <w:noProof/>
        </w:rPr>
        <w:t>158 in 2018, 197</w:t>
      </w:r>
      <w:r w:rsidR="00A0361F">
        <w:rPr>
          <w:noProof/>
        </w:rPr>
        <w:t> </w:t>
      </w:r>
      <w:r w:rsidR="00463254" w:rsidRPr="00CB6792">
        <w:rPr>
          <w:noProof/>
        </w:rPr>
        <w:t>341 in 2019 and 236</w:t>
      </w:r>
      <w:r w:rsidR="00A0361F">
        <w:rPr>
          <w:noProof/>
        </w:rPr>
        <w:t> </w:t>
      </w:r>
      <w:r w:rsidR="00463254" w:rsidRPr="00CB6792">
        <w:rPr>
          <w:noProof/>
        </w:rPr>
        <w:t>306 in 2020), with an average of 174</w:t>
      </w:r>
      <w:r w:rsidR="00A0361F">
        <w:rPr>
          <w:noProof/>
        </w:rPr>
        <w:t> </w:t>
      </w:r>
      <w:r w:rsidR="00463254" w:rsidRPr="00CB6792">
        <w:rPr>
          <w:noProof/>
        </w:rPr>
        <w:t>349 searches per year</w:t>
      </w:r>
      <w:r w:rsidR="00D53757" w:rsidRPr="00CB6792">
        <w:rPr>
          <w:rStyle w:val="FootnoteReference"/>
          <w:noProof/>
          <w:szCs w:val="24"/>
        </w:rPr>
        <w:footnoteReference w:id="62"/>
      </w:r>
      <w:r w:rsidR="00E36041" w:rsidRPr="00CB6792">
        <w:rPr>
          <w:noProof/>
        </w:rPr>
        <w:t>.</w:t>
      </w:r>
    </w:p>
    <w:p w14:paraId="3C2E6C9B" w14:textId="77777777" w:rsidR="00062120" w:rsidRPr="00CB6792" w:rsidRDefault="001F7678" w:rsidP="00062120">
      <w:pPr>
        <w:pStyle w:val="Text1"/>
        <w:numPr>
          <w:ilvl w:val="0"/>
          <w:numId w:val="27"/>
        </w:numPr>
        <w:rPr>
          <w:noProof/>
        </w:rPr>
      </w:pPr>
      <w:r w:rsidRPr="00CB6792">
        <w:rPr>
          <w:noProof/>
        </w:rPr>
        <w:t xml:space="preserve">Access to notifications by users </w:t>
      </w:r>
      <w:r w:rsidR="00014507">
        <w:rPr>
          <w:noProof/>
        </w:rPr>
        <w:t xml:space="preserve">also </w:t>
      </w:r>
      <w:r w:rsidRPr="00CB6792">
        <w:rPr>
          <w:noProof/>
        </w:rPr>
        <w:t>increased</w:t>
      </w:r>
      <w:r w:rsidR="00014507">
        <w:rPr>
          <w:noProof/>
        </w:rPr>
        <w:t>,</w:t>
      </w:r>
      <w:r w:rsidRPr="00CB6792">
        <w:rPr>
          <w:noProof/>
        </w:rPr>
        <w:t xml:space="preserve"> from 1</w:t>
      </w:r>
      <w:r w:rsidR="00A0361F">
        <w:rPr>
          <w:noProof/>
        </w:rPr>
        <w:t> </w:t>
      </w:r>
      <w:r w:rsidRPr="00CB6792">
        <w:rPr>
          <w:noProof/>
        </w:rPr>
        <w:t>203</w:t>
      </w:r>
      <w:r w:rsidR="00A0361F">
        <w:rPr>
          <w:noProof/>
        </w:rPr>
        <w:t> </w:t>
      </w:r>
      <w:r w:rsidRPr="00CB6792">
        <w:rPr>
          <w:noProof/>
        </w:rPr>
        <w:t xml:space="preserve">299 </w:t>
      </w:r>
      <w:r w:rsidR="00F918C6" w:rsidRPr="00CB6792">
        <w:rPr>
          <w:noProof/>
        </w:rPr>
        <w:t xml:space="preserve">occurrencies </w:t>
      </w:r>
      <w:r w:rsidRPr="00CB6792">
        <w:rPr>
          <w:noProof/>
        </w:rPr>
        <w:t>by the end of 2015</w:t>
      </w:r>
      <w:r w:rsidR="00F918C6" w:rsidRPr="00CB6792">
        <w:rPr>
          <w:noProof/>
        </w:rPr>
        <w:t xml:space="preserve"> to</w:t>
      </w:r>
      <w:r w:rsidR="00062120" w:rsidRPr="00CB6792">
        <w:rPr>
          <w:noProof/>
        </w:rPr>
        <w:t xml:space="preserve"> 7</w:t>
      </w:r>
      <w:r w:rsidR="00A0361F">
        <w:rPr>
          <w:noProof/>
        </w:rPr>
        <w:t> </w:t>
      </w:r>
      <w:r w:rsidR="00062120" w:rsidRPr="00CB6792">
        <w:rPr>
          <w:noProof/>
        </w:rPr>
        <w:t>394</w:t>
      </w:r>
      <w:r w:rsidR="00A0361F">
        <w:rPr>
          <w:noProof/>
        </w:rPr>
        <w:t> </w:t>
      </w:r>
      <w:r w:rsidR="00062120" w:rsidRPr="00CB6792">
        <w:rPr>
          <w:noProof/>
        </w:rPr>
        <w:t xml:space="preserve">991 </w:t>
      </w:r>
      <w:r w:rsidR="00F918C6" w:rsidRPr="00CB6792">
        <w:rPr>
          <w:noProof/>
        </w:rPr>
        <w:t xml:space="preserve">by the end </w:t>
      </w:r>
      <w:r w:rsidR="00535C9C" w:rsidRPr="00CB6792">
        <w:rPr>
          <w:noProof/>
        </w:rPr>
        <w:t>o</w:t>
      </w:r>
      <w:r w:rsidR="00F918C6" w:rsidRPr="00CB6792">
        <w:rPr>
          <w:noProof/>
        </w:rPr>
        <w:t>f 20</w:t>
      </w:r>
      <w:r w:rsidR="00E15CE8" w:rsidRPr="00CB6792">
        <w:rPr>
          <w:noProof/>
        </w:rPr>
        <w:t>20</w:t>
      </w:r>
      <w:r w:rsidRPr="00CB6792">
        <w:rPr>
          <w:noProof/>
        </w:rPr>
        <w:t xml:space="preserve">, </w:t>
      </w:r>
      <w:r w:rsidR="00A0361F">
        <w:rPr>
          <w:noProof/>
        </w:rPr>
        <w:t>amounting to</w:t>
      </w:r>
      <w:r w:rsidR="00A0361F" w:rsidRPr="00CB6792">
        <w:rPr>
          <w:noProof/>
        </w:rPr>
        <w:t xml:space="preserve"> </w:t>
      </w:r>
      <w:r w:rsidRPr="00CB6792">
        <w:rPr>
          <w:noProof/>
        </w:rPr>
        <w:t>a specific increase of</w:t>
      </w:r>
      <w:r w:rsidR="00062120" w:rsidRPr="00CB6792">
        <w:rPr>
          <w:noProof/>
        </w:rPr>
        <w:t xml:space="preserve"> 514.6</w:t>
      </w:r>
      <w:r w:rsidRPr="00CB6792">
        <w:rPr>
          <w:noProof/>
        </w:rPr>
        <w:t>%</w:t>
      </w:r>
      <w:r w:rsidR="00CB685C" w:rsidRPr="00CB6792">
        <w:rPr>
          <w:noProof/>
        </w:rPr>
        <w:t xml:space="preserve"> over the whole reference period 2016-2020</w:t>
      </w:r>
      <w:r w:rsidR="009135AC" w:rsidRPr="00CB6792">
        <w:rPr>
          <w:noProof/>
        </w:rPr>
        <w:t xml:space="preserve"> </w:t>
      </w:r>
      <w:r w:rsidR="00014507">
        <w:rPr>
          <w:noProof/>
        </w:rPr>
        <w:t>compared</w:t>
      </w:r>
      <w:r w:rsidR="009135AC" w:rsidRPr="00CB6792">
        <w:rPr>
          <w:noProof/>
        </w:rPr>
        <w:t xml:space="preserve"> </w:t>
      </w:r>
      <w:r w:rsidR="00014507">
        <w:rPr>
          <w:noProof/>
        </w:rPr>
        <w:t>with</w:t>
      </w:r>
      <w:r w:rsidR="00014507" w:rsidRPr="00CB6792">
        <w:rPr>
          <w:noProof/>
        </w:rPr>
        <w:t xml:space="preserve"> </w:t>
      </w:r>
      <w:r w:rsidR="009135AC" w:rsidRPr="00CB6792">
        <w:rPr>
          <w:noProof/>
        </w:rPr>
        <w:t>the end of 2015</w:t>
      </w:r>
      <w:r w:rsidRPr="00CB6792">
        <w:rPr>
          <w:noProof/>
        </w:rPr>
        <w:t>.</w:t>
      </w:r>
    </w:p>
    <w:p w14:paraId="5C093A1E" w14:textId="77777777" w:rsidR="0049046D" w:rsidRPr="002940AD" w:rsidRDefault="001F7678">
      <w:pPr>
        <w:pStyle w:val="ManualHeading1"/>
        <w:rPr>
          <w:bCs/>
          <w:noProof/>
        </w:rPr>
      </w:pPr>
      <w:bookmarkStart w:id="40" w:name="_Toc242246329"/>
      <w:bookmarkStart w:id="41" w:name="_Toc404941552"/>
      <w:bookmarkStart w:id="42" w:name="_Toc98517794"/>
      <w:r w:rsidRPr="002940AD">
        <w:rPr>
          <w:noProof/>
        </w:rPr>
        <w:t>3.</w:t>
      </w:r>
      <w:r w:rsidRPr="002940AD">
        <w:rPr>
          <w:noProof/>
        </w:rPr>
        <w:tab/>
        <w:t>Conclusion</w:t>
      </w:r>
      <w:bookmarkEnd w:id="40"/>
      <w:bookmarkEnd w:id="41"/>
      <w:bookmarkEnd w:id="42"/>
    </w:p>
    <w:p w14:paraId="6907797F" w14:textId="77777777" w:rsidR="00975E80" w:rsidRPr="002940AD" w:rsidRDefault="001F7678" w:rsidP="00975E80">
      <w:pPr>
        <w:spacing w:line="240" w:lineRule="auto"/>
        <w:jc w:val="both"/>
        <w:rPr>
          <w:rFonts w:ascii="Times New Roman" w:hAnsi="Times New Roman"/>
          <w:noProof/>
          <w:sz w:val="24"/>
          <w:szCs w:val="24"/>
        </w:rPr>
      </w:pPr>
      <w:r w:rsidRPr="002940AD">
        <w:rPr>
          <w:rFonts w:ascii="Times New Roman" w:hAnsi="Times New Roman"/>
          <w:noProof/>
          <w:sz w:val="24"/>
          <w:szCs w:val="24"/>
        </w:rPr>
        <w:t>During the period 201</w:t>
      </w:r>
      <w:r w:rsidR="00532401" w:rsidRPr="002940AD">
        <w:rPr>
          <w:rFonts w:ascii="Times New Roman" w:hAnsi="Times New Roman"/>
          <w:noProof/>
          <w:sz w:val="24"/>
          <w:szCs w:val="24"/>
        </w:rPr>
        <w:t>6</w:t>
      </w:r>
      <w:r w:rsidRPr="002940AD">
        <w:rPr>
          <w:rFonts w:ascii="Times New Roman" w:hAnsi="Times New Roman"/>
          <w:noProof/>
          <w:sz w:val="24"/>
          <w:szCs w:val="24"/>
        </w:rPr>
        <w:t>-20</w:t>
      </w:r>
      <w:r w:rsidR="00EC4F67">
        <w:rPr>
          <w:rFonts w:ascii="Times New Roman" w:hAnsi="Times New Roman"/>
          <w:noProof/>
          <w:sz w:val="24"/>
          <w:szCs w:val="24"/>
        </w:rPr>
        <w:t>20</w:t>
      </w:r>
      <w:r w:rsidRPr="002940AD">
        <w:rPr>
          <w:rFonts w:ascii="Times New Roman" w:hAnsi="Times New Roman"/>
          <w:noProof/>
          <w:sz w:val="24"/>
          <w:szCs w:val="24"/>
        </w:rPr>
        <w:t xml:space="preserve">, the </w:t>
      </w:r>
      <w:r w:rsidR="00DD24F4" w:rsidRPr="002940AD">
        <w:rPr>
          <w:rFonts w:ascii="Times New Roman" w:hAnsi="Times New Roman"/>
          <w:noProof/>
          <w:sz w:val="24"/>
          <w:szCs w:val="24"/>
        </w:rPr>
        <w:t>effectiveness</w:t>
      </w:r>
      <w:r w:rsidRPr="002940AD">
        <w:rPr>
          <w:rFonts w:ascii="Times New Roman" w:hAnsi="Times New Roman"/>
          <w:noProof/>
          <w:sz w:val="24"/>
          <w:szCs w:val="24"/>
        </w:rPr>
        <w:t xml:space="preserve"> of the </w:t>
      </w:r>
      <w:r w:rsidR="00F14DF3">
        <w:rPr>
          <w:rFonts w:ascii="Times New Roman" w:hAnsi="Times New Roman"/>
          <w:noProof/>
          <w:sz w:val="24"/>
          <w:szCs w:val="24"/>
        </w:rPr>
        <w:t xml:space="preserve">Single Market Transparency Directive </w:t>
      </w:r>
      <w:r w:rsidRPr="002940AD">
        <w:rPr>
          <w:rFonts w:ascii="Times New Roman" w:hAnsi="Times New Roman"/>
          <w:noProof/>
          <w:sz w:val="24"/>
          <w:szCs w:val="24"/>
        </w:rPr>
        <w:t xml:space="preserve">procedure </w:t>
      </w:r>
      <w:r w:rsidR="008F68A0" w:rsidRPr="002940AD">
        <w:rPr>
          <w:rFonts w:ascii="Times New Roman" w:hAnsi="Times New Roman"/>
          <w:noProof/>
          <w:sz w:val="24"/>
          <w:szCs w:val="24"/>
        </w:rPr>
        <w:t xml:space="preserve">was </w:t>
      </w:r>
      <w:r w:rsidRPr="002940AD">
        <w:rPr>
          <w:rFonts w:ascii="Times New Roman" w:hAnsi="Times New Roman"/>
          <w:noProof/>
          <w:sz w:val="24"/>
          <w:szCs w:val="24"/>
        </w:rPr>
        <w:t xml:space="preserve">confirmed </w:t>
      </w:r>
      <w:r w:rsidR="008F68A0" w:rsidRPr="002940AD">
        <w:rPr>
          <w:rFonts w:ascii="Times New Roman" w:hAnsi="Times New Roman"/>
          <w:noProof/>
          <w:sz w:val="24"/>
          <w:szCs w:val="24"/>
        </w:rPr>
        <w:t xml:space="preserve">again </w:t>
      </w:r>
      <w:r w:rsidRPr="002940AD">
        <w:rPr>
          <w:rFonts w:ascii="Times New Roman" w:hAnsi="Times New Roman"/>
          <w:noProof/>
          <w:sz w:val="24"/>
          <w:szCs w:val="24"/>
        </w:rPr>
        <w:t>in terms of transparency, administrative cooperation and prevention of tech</w:t>
      </w:r>
      <w:r w:rsidR="001A6B17">
        <w:rPr>
          <w:rFonts w:ascii="Times New Roman" w:hAnsi="Times New Roman"/>
          <w:noProof/>
          <w:sz w:val="24"/>
          <w:szCs w:val="24"/>
        </w:rPr>
        <w:t>n</w:t>
      </w:r>
      <w:r w:rsidRPr="002940AD">
        <w:rPr>
          <w:rFonts w:ascii="Times New Roman" w:hAnsi="Times New Roman"/>
          <w:noProof/>
          <w:sz w:val="24"/>
          <w:szCs w:val="24"/>
        </w:rPr>
        <w:t xml:space="preserve">ical barriers in the </w:t>
      </w:r>
      <w:r w:rsidR="008837E1">
        <w:rPr>
          <w:rFonts w:ascii="Times New Roman" w:hAnsi="Times New Roman"/>
          <w:noProof/>
          <w:sz w:val="24"/>
          <w:szCs w:val="24"/>
        </w:rPr>
        <w:t>single</w:t>
      </w:r>
      <w:r w:rsidRPr="002940AD">
        <w:rPr>
          <w:rFonts w:ascii="Times New Roman" w:hAnsi="Times New Roman"/>
          <w:noProof/>
          <w:sz w:val="24"/>
          <w:szCs w:val="24"/>
        </w:rPr>
        <w:t xml:space="preserve"> market. The </w:t>
      </w:r>
      <w:r w:rsidR="00A0361F" w:rsidRPr="002940AD">
        <w:rPr>
          <w:rFonts w:ascii="Times New Roman" w:hAnsi="Times New Roman"/>
          <w:noProof/>
          <w:sz w:val="24"/>
          <w:szCs w:val="24"/>
        </w:rPr>
        <w:t>notification procedure</w:t>
      </w:r>
      <w:r w:rsidR="00A0361F">
        <w:rPr>
          <w:rFonts w:ascii="Times New Roman" w:hAnsi="Times New Roman"/>
          <w:noProof/>
          <w:sz w:val="24"/>
          <w:szCs w:val="24"/>
        </w:rPr>
        <w:t>’s</w:t>
      </w:r>
      <w:r w:rsidR="00A0361F" w:rsidRPr="002940AD">
        <w:rPr>
          <w:rFonts w:ascii="Times New Roman" w:hAnsi="Times New Roman"/>
          <w:noProof/>
          <w:sz w:val="24"/>
          <w:szCs w:val="24"/>
        </w:rPr>
        <w:t xml:space="preserve"> </w:t>
      </w:r>
      <w:r w:rsidRPr="002940AD">
        <w:rPr>
          <w:rFonts w:ascii="Times New Roman" w:hAnsi="Times New Roman"/>
          <w:noProof/>
          <w:sz w:val="24"/>
          <w:szCs w:val="24"/>
        </w:rPr>
        <w:t xml:space="preserve">preventive and networking approach reduced the risk </w:t>
      </w:r>
      <w:r w:rsidR="008F68A0" w:rsidRPr="002940AD">
        <w:rPr>
          <w:rFonts w:ascii="Times New Roman" w:hAnsi="Times New Roman"/>
          <w:noProof/>
          <w:sz w:val="24"/>
          <w:szCs w:val="24"/>
        </w:rPr>
        <w:t>that</w:t>
      </w:r>
      <w:r w:rsidRPr="002940AD">
        <w:rPr>
          <w:rFonts w:ascii="Times New Roman" w:hAnsi="Times New Roman"/>
          <w:noProof/>
          <w:sz w:val="24"/>
          <w:szCs w:val="24"/>
        </w:rPr>
        <w:t xml:space="preserve"> national regulatory activities </w:t>
      </w:r>
      <w:r w:rsidR="008F68A0" w:rsidRPr="002940AD">
        <w:rPr>
          <w:rFonts w:ascii="Times New Roman" w:hAnsi="Times New Roman"/>
          <w:noProof/>
          <w:sz w:val="24"/>
          <w:szCs w:val="24"/>
        </w:rPr>
        <w:t xml:space="preserve">could </w:t>
      </w:r>
      <w:r w:rsidRPr="002940AD">
        <w:rPr>
          <w:rFonts w:ascii="Times New Roman" w:hAnsi="Times New Roman"/>
          <w:noProof/>
          <w:sz w:val="24"/>
          <w:szCs w:val="24"/>
        </w:rPr>
        <w:t xml:space="preserve">create technical barriers to the free movement of goods </w:t>
      </w:r>
      <w:r w:rsidR="00ED3C71" w:rsidRPr="002940AD">
        <w:rPr>
          <w:rFonts w:ascii="Times New Roman" w:hAnsi="Times New Roman"/>
          <w:noProof/>
          <w:sz w:val="24"/>
          <w:szCs w:val="24"/>
        </w:rPr>
        <w:t>and information society services</w:t>
      </w:r>
      <w:r w:rsidR="00200493">
        <w:rPr>
          <w:rFonts w:ascii="Times New Roman" w:hAnsi="Times New Roman"/>
          <w:noProof/>
          <w:sz w:val="24"/>
          <w:szCs w:val="24"/>
        </w:rPr>
        <w:t>.</w:t>
      </w:r>
      <w:r w:rsidR="00ED3C71" w:rsidRPr="002940AD">
        <w:rPr>
          <w:rFonts w:ascii="Times New Roman" w:hAnsi="Times New Roman"/>
          <w:noProof/>
          <w:sz w:val="24"/>
          <w:szCs w:val="24"/>
        </w:rPr>
        <w:t xml:space="preserve"> </w:t>
      </w:r>
      <w:r w:rsidR="004F41C2" w:rsidRPr="002940AD">
        <w:rPr>
          <w:rFonts w:ascii="Times New Roman" w:hAnsi="Times New Roman"/>
          <w:noProof/>
          <w:sz w:val="24"/>
          <w:szCs w:val="24"/>
        </w:rPr>
        <w:t>In that respect, b</w:t>
      </w:r>
      <w:r w:rsidR="0000613C" w:rsidRPr="002940AD">
        <w:rPr>
          <w:rFonts w:ascii="Times New Roman" w:hAnsi="Times New Roman"/>
          <w:noProof/>
          <w:sz w:val="24"/>
          <w:szCs w:val="24"/>
        </w:rPr>
        <w:t xml:space="preserve">oosting the </w:t>
      </w:r>
      <w:r w:rsidR="00014507" w:rsidRPr="002940AD">
        <w:rPr>
          <w:rFonts w:ascii="Times New Roman" w:hAnsi="Times New Roman"/>
          <w:noProof/>
          <w:sz w:val="24"/>
          <w:szCs w:val="24"/>
        </w:rPr>
        <w:t>Member States</w:t>
      </w:r>
      <w:r w:rsidR="00014507">
        <w:rPr>
          <w:rFonts w:ascii="Times New Roman" w:hAnsi="Times New Roman"/>
          <w:noProof/>
          <w:sz w:val="24"/>
          <w:szCs w:val="24"/>
        </w:rPr>
        <w:t>’</w:t>
      </w:r>
      <w:r w:rsidR="00014507" w:rsidRPr="002940AD">
        <w:rPr>
          <w:rFonts w:ascii="Times New Roman" w:hAnsi="Times New Roman"/>
          <w:noProof/>
          <w:sz w:val="24"/>
          <w:szCs w:val="24"/>
        </w:rPr>
        <w:t xml:space="preserve"> </w:t>
      </w:r>
      <w:r w:rsidR="0000613C" w:rsidRPr="002940AD">
        <w:rPr>
          <w:rFonts w:ascii="Times New Roman" w:hAnsi="Times New Roman"/>
          <w:noProof/>
          <w:sz w:val="24"/>
          <w:szCs w:val="24"/>
        </w:rPr>
        <w:t>participation in the Single Market Transparency Directive procedure</w:t>
      </w:r>
      <w:r w:rsidR="00ED3C71" w:rsidRPr="002940AD">
        <w:rPr>
          <w:rFonts w:ascii="Times New Roman" w:hAnsi="Times New Roman"/>
          <w:noProof/>
          <w:sz w:val="24"/>
          <w:szCs w:val="24"/>
        </w:rPr>
        <w:t xml:space="preserve">, both in terms of notifications </w:t>
      </w:r>
      <w:r w:rsidR="00B77465" w:rsidRPr="002940AD">
        <w:rPr>
          <w:rFonts w:ascii="Times New Roman" w:hAnsi="Times New Roman"/>
          <w:noProof/>
          <w:sz w:val="24"/>
          <w:szCs w:val="24"/>
        </w:rPr>
        <w:t>sent</w:t>
      </w:r>
      <w:r w:rsidR="00ED3C71" w:rsidRPr="002940AD">
        <w:rPr>
          <w:rFonts w:ascii="Times New Roman" w:hAnsi="Times New Roman"/>
          <w:noProof/>
          <w:sz w:val="24"/>
          <w:szCs w:val="24"/>
        </w:rPr>
        <w:t xml:space="preserve"> and of reactions to drafts notified by other Member States, </w:t>
      </w:r>
      <w:r w:rsidR="00200493">
        <w:rPr>
          <w:rFonts w:ascii="Times New Roman" w:hAnsi="Times New Roman"/>
          <w:noProof/>
          <w:sz w:val="24"/>
          <w:szCs w:val="24"/>
        </w:rPr>
        <w:t>demonstrates</w:t>
      </w:r>
      <w:r w:rsidR="00ED3C71" w:rsidRPr="002940AD">
        <w:rPr>
          <w:rFonts w:ascii="Times New Roman" w:hAnsi="Times New Roman"/>
          <w:noProof/>
          <w:sz w:val="24"/>
          <w:szCs w:val="24"/>
        </w:rPr>
        <w:t xml:space="preserve"> </w:t>
      </w:r>
      <w:r w:rsidR="00A0361F">
        <w:rPr>
          <w:rFonts w:ascii="Times New Roman" w:hAnsi="Times New Roman"/>
          <w:noProof/>
          <w:sz w:val="24"/>
          <w:szCs w:val="24"/>
        </w:rPr>
        <w:t xml:space="preserve">the </w:t>
      </w:r>
      <w:r w:rsidR="008C5092" w:rsidRPr="002940AD">
        <w:rPr>
          <w:rFonts w:ascii="Times New Roman" w:hAnsi="Times New Roman"/>
          <w:noProof/>
          <w:sz w:val="24"/>
          <w:szCs w:val="24"/>
        </w:rPr>
        <w:t xml:space="preserve">joint ownership of the </w:t>
      </w:r>
      <w:r w:rsidR="008837E1">
        <w:rPr>
          <w:rFonts w:ascii="Times New Roman" w:hAnsi="Times New Roman"/>
          <w:noProof/>
          <w:sz w:val="24"/>
          <w:szCs w:val="24"/>
        </w:rPr>
        <w:t>single</w:t>
      </w:r>
      <w:r w:rsidR="008C5092" w:rsidRPr="002940AD">
        <w:rPr>
          <w:rFonts w:ascii="Times New Roman" w:hAnsi="Times New Roman"/>
          <w:noProof/>
          <w:sz w:val="24"/>
          <w:szCs w:val="24"/>
        </w:rPr>
        <w:t xml:space="preserve"> market</w:t>
      </w:r>
      <w:r w:rsidR="00ED3C71" w:rsidRPr="002940AD">
        <w:rPr>
          <w:rFonts w:ascii="Times New Roman" w:hAnsi="Times New Roman"/>
          <w:noProof/>
          <w:sz w:val="24"/>
          <w:szCs w:val="24"/>
        </w:rPr>
        <w:t>, which</w:t>
      </w:r>
      <w:r w:rsidR="008C5092" w:rsidRPr="002940AD">
        <w:rPr>
          <w:rFonts w:ascii="Times New Roman" w:hAnsi="Times New Roman"/>
          <w:noProof/>
          <w:sz w:val="24"/>
          <w:szCs w:val="24"/>
        </w:rPr>
        <w:t xml:space="preserve"> </w:t>
      </w:r>
      <w:r w:rsidR="0000613C" w:rsidRPr="002940AD">
        <w:rPr>
          <w:rFonts w:ascii="Times New Roman" w:hAnsi="Times New Roman"/>
          <w:noProof/>
          <w:sz w:val="24"/>
          <w:szCs w:val="24"/>
        </w:rPr>
        <w:t xml:space="preserve">is </w:t>
      </w:r>
      <w:r w:rsidR="008C5092" w:rsidRPr="002940AD">
        <w:rPr>
          <w:rFonts w:ascii="Times New Roman" w:hAnsi="Times New Roman"/>
          <w:noProof/>
          <w:sz w:val="24"/>
          <w:szCs w:val="24"/>
        </w:rPr>
        <w:t>a key objective</w:t>
      </w:r>
      <w:r w:rsidR="00EC7D0E" w:rsidRPr="002940AD">
        <w:rPr>
          <w:rFonts w:ascii="Times New Roman" w:hAnsi="Times New Roman"/>
          <w:noProof/>
          <w:sz w:val="24"/>
          <w:szCs w:val="24"/>
        </w:rPr>
        <w:t xml:space="preserve"> for the Commission</w:t>
      </w:r>
      <w:r w:rsidRPr="002940AD">
        <w:rPr>
          <w:rFonts w:ascii="Times New Roman" w:hAnsi="Times New Roman"/>
          <w:noProof/>
          <w:sz w:val="24"/>
          <w:szCs w:val="24"/>
        </w:rPr>
        <w:t>.</w:t>
      </w:r>
      <w:r w:rsidR="00E6132D" w:rsidRPr="002940AD">
        <w:rPr>
          <w:rFonts w:ascii="Times New Roman" w:hAnsi="Times New Roman"/>
          <w:noProof/>
          <w:sz w:val="24"/>
          <w:szCs w:val="24"/>
        </w:rPr>
        <w:t xml:space="preserve"> </w:t>
      </w:r>
      <w:r w:rsidR="00975E80">
        <w:rPr>
          <w:rFonts w:ascii="Times New Roman" w:hAnsi="Times New Roman"/>
          <w:noProof/>
          <w:sz w:val="24"/>
          <w:szCs w:val="24"/>
        </w:rPr>
        <w:t xml:space="preserve">In 2020, during the </w:t>
      </w:r>
      <w:r w:rsidR="00146018">
        <w:rPr>
          <w:rFonts w:ascii="Times New Roman" w:hAnsi="Times New Roman"/>
          <w:noProof/>
          <w:sz w:val="24"/>
          <w:szCs w:val="24"/>
        </w:rPr>
        <w:t xml:space="preserve">COVID-19 </w:t>
      </w:r>
      <w:r w:rsidR="007B452D">
        <w:rPr>
          <w:rFonts w:ascii="Times New Roman" w:hAnsi="Times New Roman"/>
          <w:noProof/>
          <w:sz w:val="24"/>
          <w:szCs w:val="24"/>
        </w:rPr>
        <w:t>pandemic</w:t>
      </w:r>
      <w:r w:rsidR="00975E80">
        <w:rPr>
          <w:rFonts w:ascii="Times New Roman" w:hAnsi="Times New Roman"/>
          <w:noProof/>
          <w:sz w:val="24"/>
          <w:szCs w:val="24"/>
        </w:rPr>
        <w:t>, the Single Market Transparency Directive procedure ensured that</w:t>
      </w:r>
      <w:r w:rsidR="00975E80" w:rsidRPr="000F442F">
        <w:rPr>
          <w:rFonts w:ascii="Times New Roman" w:hAnsi="Times New Roman"/>
          <w:noProof/>
          <w:sz w:val="24"/>
          <w:szCs w:val="24"/>
        </w:rPr>
        <w:t xml:space="preserve"> that the primary objective of protecti</w:t>
      </w:r>
      <w:r w:rsidR="00014507">
        <w:rPr>
          <w:rFonts w:ascii="Times New Roman" w:hAnsi="Times New Roman"/>
          <w:noProof/>
          <w:sz w:val="24"/>
          <w:szCs w:val="24"/>
        </w:rPr>
        <w:t>ng</w:t>
      </w:r>
      <w:r w:rsidR="00975E80" w:rsidRPr="000F442F">
        <w:rPr>
          <w:rFonts w:ascii="Times New Roman" w:hAnsi="Times New Roman"/>
          <w:noProof/>
          <w:sz w:val="24"/>
          <w:szCs w:val="24"/>
        </w:rPr>
        <w:t xml:space="preserve"> health and human life </w:t>
      </w:r>
      <w:r w:rsidR="00975E80">
        <w:rPr>
          <w:rFonts w:ascii="Times New Roman" w:hAnsi="Times New Roman"/>
          <w:noProof/>
          <w:sz w:val="24"/>
          <w:szCs w:val="24"/>
        </w:rPr>
        <w:t xml:space="preserve">was </w:t>
      </w:r>
      <w:r w:rsidR="00975E80" w:rsidRPr="000F442F">
        <w:rPr>
          <w:rFonts w:ascii="Times New Roman" w:hAnsi="Times New Roman"/>
          <w:noProof/>
          <w:sz w:val="24"/>
          <w:szCs w:val="24"/>
        </w:rPr>
        <w:t xml:space="preserve">pursued by national  measures in compliance </w:t>
      </w:r>
      <w:r w:rsidR="00975E80">
        <w:rPr>
          <w:rFonts w:ascii="Times New Roman" w:hAnsi="Times New Roman"/>
          <w:noProof/>
          <w:sz w:val="24"/>
          <w:szCs w:val="24"/>
        </w:rPr>
        <w:t>with t</w:t>
      </w:r>
      <w:r w:rsidR="00975E80" w:rsidRPr="000F442F">
        <w:rPr>
          <w:rFonts w:ascii="Times New Roman" w:hAnsi="Times New Roman"/>
          <w:noProof/>
          <w:sz w:val="24"/>
          <w:szCs w:val="24"/>
        </w:rPr>
        <w:t xml:space="preserve">he </w:t>
      </w:r>
      <w:r w:rsidR="008837E1">
        <w:rPr>
          <w:rFonts w:ascii="Times New Roman" w:hAnsi="Times New Roman"/>
          <w:noProof/>
          <w:sz w:val="24"/>
          <w:szCs w:val="24"/>
        </w:rPr>
        <w:t>single</w:t>
      </w:r>
      <w:r w:rsidR="00975E80" w:rsidRPr="000F442F">
        <w:rPr>
          <w:rFonts w:ascii="Times New Roman" w:hAnsi="Times New Roman"/>
          <w:noProof/>
          <w:sz w:val="24"/>
          <w:szCs w:val="24"/>
        </w:rPr>
        <w:t xml:space="preserve"> market rules</w:t>
      </w:r>
      <w:r w:rsidR="00D7103B" w:rsidRPr="00CB6792">
        <w:rPr>
          <w:rFonts w:ascii="Times New Roman" w:hAnsi="Times New Roman"/>
          <w:noProof/>
          <w:sz w:val="24"/>
          <w:szCs w:val="24"/>
        </w:rPr>
        <w:t xml:space="preserve">. The </w:t>
      </w:r>
      <w:r w:rsidR="00D7103B">
        <w:rPr>
          <w:rFonts w:ascii="Times New Roman" w:hAnsi="Times New Roman"/>
          <w:noProof/>
          <w:sz w:val="24"/>
          <w:szCs w:val="24"/>
        </w:rPr>
        <w:t>Directive and its notification system</w:t>
      </w:r>
      <w:r w:rsidR="00975E80" w:rsidRPr="000F442F">
        <w:rPr>
          <w:rFonts w:ascii="Times New Roman" w:hAnsi="Times New Roman"/>
          <w:noProof/>
          <w:sz w:val="24"/>
          <w:szCs w:val="24"/>
        </w:rPr>
        <w:t xml:space="preserve"> support</w:t>
      </w:r>
      <w:r w:rsidR="00975E80">
        <w:rPr>
          <w:rFonts w:ascii="Times New Roman" w:hAnsi="Times New Roman"/>
          <w:noProof/>
          <w:sz w:val="24"/>
          <w:szCs w:val="24"/>
        </w:rPr>
        <w:t>ed</w:t>
      </w:r>
      <w:r w:rsidR="00975E80" w:rsidRPr="000F442F">
        <w:rPr>
          <w:rFonts w:ascii="Times New Roman" w:hAnsi="Times New Roman"/>
          <w:noProof/>
          <w:sz w:val="24"/>
          <w:szCs w:val="24"/>
        </w:rPr>
        <w:t xml:space="preserve"> Member States in this respect by ensuring </w:t>
      </w:r>
      <w:r w:rsidR="00975E80">
        <w:rPr>
          <w:rFonts w:ascii="Times New Roman" w:hAnsi="Times New Roman"/>
          <w:noProof/>
          <w:sz w:val="24"/>
          <w:szCs w:val="24"/>
        </w:rPr>
        <w:t xml:space="preserve">transparency, </w:t>
      </w:r>
      <w:r w:rsidR="00975E80" w:rsidRPr="000F442F">
        <w:rPr>
          <w:rFonts w:ascii="Times New Roman" w:hAnsi="Times New Roman"/>
          <w:noProof/>
          <w:sz w:val="24"/>
          <w:szCs w:val="24"/>
        </w:rPr>
        <w:t>synergies and</w:t>
      </w:r>
      <w:r w:rsidR="00014507">
        <w:rPr>
          <w:rFonts w:ascii="Times New Roman" w:hAnsi="Times New Roman"/>
          <w:noProof/>
          <w:sz w:val="24"/>
          <w:szCs w:val="24"/>
        </w:rPr>
        <w:t>,</w:t>
      </w:r>
      <w:r w:rsidR="00975E80" w:rsidRPr="000F442F">
        <w:rPr>
          <w:rFonts w:ascii="Times New Roman" w:hAnsi="Times New Roman"/>
          <w:noProof/>
          <w:sz w:val="24"/>
          <w:szCs w:val="24"/>
        </w:rPr>
        <w:t xml:space="preserve"> </w:t>
      </w:r>
      <w:r w:rsidR="005B5A73">
        <w:rPr>
          <w:rFonts w:ascii="Times New Roman" w:hAnsi="Times New Roman"/>
          <w:noProof/>
          <w:sz w:val="24"/>
          <w:szCs w:val="24"/>
        </w:rPr>
        <w:t>ultimately</w:t>
      </w:r>
      <w:r w:rsidR="00014507">
        <w:rPr>
          <w:rFonts w:ascii="Times New Roman" w:hAnsi="Times New Roman"/>
          <w:noProof/>
          <w:sz w:val="24"/>
          <w:szCs w:val="24"/>
        </w:rPr>
        <w:t>,</w:t>
      </w:r>
      <w:r w:rsidR="005B5A73">
        <w:rPr>
          <w:rFonts w:ascii="Times New Roman" w:hAnsi="Times New Roman"/>
          <w:noProof/>
          <w:sz w:val="24"/>
          <w:szCs w:val="24"/>
        </w:rPr>
        <w:t xml:space="preserve"> </w:t>
      </w:r>
      <w:r w:rsidR="00975E80" w:rsidRPr="000F442F">
        <w:rPr>
          <w:rFonts w:ascii="Times New Roman" w:hAnsi="Times New Roman"/>
          <w:noProof/>
          <w:sz w:val="24"/>
          <w:szCs w:val="24"/>
        </w:rPr>
        <w:t>European solidarity.</w:t>
      </w:r>
    </w:p>
    <w:p w14:paraId="5ECCECDA" w14:textId="77777777" w:rsidR="0049046D" w:rsidRPr="002940AD" w:rsidRDefault="001F7678">
      <w:pPr>
        <w:spacing w:before="240" w:line="240" w:lineRule="auto"/>
        <w:jc w:val="both"/>
        <w:rPr>
          <w:rFonts w:ascii="Times New Roman" w:hAnsi="Times New Roman"/>
          <w:noProof/>
          <w:sz w:val="24"/>
          <w:szCs w:val="24"/>
        </w:rPr>
      </w:pPr>
      <w:r w:rsidRPr="002940AD">
        <w:rPr>
          <w:rFonts w:ascii="Times New Roman" w:hAnsi="Times New Roman"/>
          <w:noProof/>
          <w:sz w:val="24"/>
          <w:szCs w:val="24"/>
        </w:rPr>
        <w:t xml:space="preserve">The </w:t>
      </w:r>
      <w:r w:rsidR="00014507" w:rsidRPr="002940AD">
        <w:rPr>
          <w:rFonts w:ascii="Times New Roman" w:hAnsi="Times New Roman"/>
          <w:noProof/>
          <w:sz w:val="24"/>
          <w:szCs w:val="24"/>
        </w:rPr>
        <w:t>Directive</w:t>
      </w:r>
      <w:r w:rsidR="00014507">
        <w:rPr>
          <w:rFonts w:ascii="Times New Roman" w:hAnsi="Times New Roman"/>
          <w:noProof/>
          <w:sz w:val="24"/>
          <w:szCs w:val="24"/>
        </w:rPr>
        <w:t>’s</w:t>
      </w:r>
      <w:r w:rsidR="00014507" w:rsidRPr="002940AD">
        <w:rPr>
          <w:rFonts w:ascii="Times New Roman" w:hAnsi="Times New Roman"/>
          <w:noProof/>
          <w:sz w:val="24"/>
          <w:szCs w:val="24"/>
        </w:rPr>
        <w:t xml:space="preserve"> </w:t>
      </w:r>
      <w:r w:rsidRPr="002940AD">
        <w:rPr>
          <w:rFonts w:ascii="Times New Roman" w:hAnsi="Times New Roman"/>
          <w:noProof/>
          <w:sz w:val="24"/>
          <w:szCs w:val="24"/>
        </w:rPr>
        <w:t>importance is prove</w:t>
      </w:r>
      <w:r w:rsidR="004F772C" w:rsidRPr="002940AD">
        <w:rPr>
          <w:rFonts w:ascii="Times New Roman" w:hAnsi="Times New Roman"/>
          <w:noProof/>
          <w:sz w:val="24"/>
          <w:szCs w:val="24"/>
        </w:rPr>
        <w:t>n</w:t>
      </w:r>
      <w:r w:rsidRPr="002940AD">
        <w:rPr>
          <w:rFonts w:ascii="Times New Roman" w:hAnsi="Times New Roman"/>
          <w:noProof/>
          <w:sz w:val="24"/>
          <w:szCs w:val="24"/>
        </w:rPr>
        <w:t xml:space="preserve"> by </w:t>
      </w:r>
      <w:r w:rsidR="00014507" w:rsidRPr="002940AD">
        <w:rPr>
          <w:rFonts w:ascii="Times New Roman" w:hAnsi="Times New Roman"/>
          <w:noProof/>
          <w:sz w:val="24"/>
          <w:szCs w:val="24"/>
        </w:rPr>
        <w:t>stakeholders</w:t>
      </w:r>
      <w:r w:rsidR="00014507">
        <w:rPr>
          <w:rFonts w:ascii="Times New Roman" w:hAnsi="Times New Roman"/>
          <w:noProof/>
          <w:sz w:val="24"/>
          <w:szCs w:val="24"/>
        </w:rPr>
        <w:t>’</w:t>
      </w:r>
      <w:r w:rsidRPr="002940AD">
        <w:rPr>
          <w:rFonts w:ascii="Times New Roman" w:hAnsi="Times New Roman"/>
          <w:noProof/>
          <w:sz w:val="24"/>
          <w:szCs w:val="24"/>
        </w:rPr>
        <w:t xml:space="preserve"> </w:t>
      </w:r>
      <w:r w:rsidR="00D7103B">
        <w:rPr>
          <w:rFonts w:ascii="Times New Roman" w:hAnsi="Times New Roman"/>
          <w:noProof/>
          <w:sz w:val="24"/>
          <w:szCs w:val="24"/>
        </w:rPr>
        <w:t>growing</w:t>
      </w:r>
      <w:r w:rsidR="00D7103B" w:rsidRPr="002940AD">
        <w:rPr>
          <w:rFonts w:ascii="Times New Roman" w:hAnsi="Times New Roman"/>
          <w:noProof/>
          <w:sz w:val="24"/>
          <w:szCs w:val="24"/>
        </w:rPr>
        <w:t xml:space="preserve"> </w:t>
      </w:r>
      <w:r w:rsidRPr="002940AD">
        <w:rPr>
          <w:rFonts w:ascii="Times New Roman" w:hAnsi="Times New Roman"/>
          <w:noProof/>
          <w:sz w:val="24"/>
          <w:szCs w:val="24"/>
        </w:rPr>
        <w:t>interest in the notification procedure</w:t>
      </w:r>
      <w:r w:rsidR="007A464F" w:rsidRPr="002940AD">
        <w:rPr>
          <w:rFonts w:ascii="Times New Roman" w:hAnsi="Times New Roman"/>
          <w:noProof/>
          <w:sz w:val="24"/>
          <w:szCs w:val="24"/>
        </w:rPr>
        <w:t xml:space="preserve"> and t</w:t>
      </w:r>
      <w:r w:rsidR="004F772C" w:rsidRPr="002940AD">
        <w:rPr>
          <w:rFonts w:ascii="Times New Roman" w:hAnsi="Times New Roman"/>
          <w:noProof/>
          <w:sz w:val="24"/>
          <w:szCs w:val="24"/>
        </w:rPr>
        <w:t xml:space="preserve">he number of contributions </w:t>
      </w:r>
      <w:r w:rsidR="00014507">
        <w:rPr>
          <w:rFonts w:ascii="Times New Roman" w:hAnsi="Times New Roman"/>
          <w:noProof/>
          <w:sz w:val="24"/>
          <w:szCs w:val="24"/>
        </w:rPr>
        <w:t xml:space="preserve">by them </w:t>
      </w:r>
      <w:r w:rsidR="004F772C" w:rsidRPr="002940AD">
        <w:rPr>
          <w:rFonts w:ascii="Times New Roman" w:hAnsi="Times New Roman"/>
          <w:noProof/>
          <w:sz w:val="24"/>
          <w:szCs w:val="24"/>
        </w:rPr>
        <w:t xml:space="preserve">via the TRIS website in the </w:t>
      </w:r>
      <w:r w:rsidR="00F14DF3">
        <w:rPr>
          <w:rFonts w:ascii="Times New Roman" w:hAnsi="Times New Roman"/>
          <w:noProof/>
          <w:sz w:val="24"/>
          <w:szCs w:val="24"/>
        </w:rPr>
        <w:t xml:space="preserve">reference </w:t>
      </w:r>
      <w:r w:rsidR="004F772C" w:rsidRPr="002940AD">
        <w:rPr>
          <w:rFonts w:ascii="Times New Roman" w:hAnsi="Times New Roman"/>
          <w:noProof/>
          <w:sz w:val="24"/>
          <w:szCs w:val="24"/>
        </w:rPr>
        <w:t>period.</w:t>
      </w:r>
      <w:r w:rsidRPr="002940AD">
        <w:rPr>
          <w:rFonts w:ascii="Times New Roman" w:hAnsi="Times New Roman"/>
          <w:noProof/>
          <w:sz w:val="24"/>
          <w:szCs w:val="24"/>
        </w:rPr>
        <w:t xml:space="preserve"> This growing interest mirrors the effort to improve the transparency and the efficiency of the TRIS website.  </w:t>
      </w:r>
    </w:p>
    <w:p w14:paraId="76A760BA" w14:textId="77777777" w:rsidR="00D55CD3" w:rsidRPr="002940AD" w:rsidRDefault="00844CC8">
      <w:pPr>
        <w:spacing w:line="240" w:lineRule="auto"/>
        <w:jc w:val="both"/>
        <w:rPr>
          <w:rFonts w:ascii="Times New Roman" w:hAnsi="Times New Roman"/>
          <w:noProof/>
          <w:sz w:val="24"/>
          <w:szCs w:val="24"/>
        </w:rPr>
      </w:pPr>
      <w:r w:rsidRPr="003632A7">
        <w:rPr>
          <w:rFonts w:ascii="Times New Roman" w:hAnsi="Times New Roman"/>
          <w:noProof/>
          <w:sz w:val="24"/>
          <w:szCs w:val="24"/>
        </w:rPr>
        <w:t>The notification procedure has also confirmed its usefulness in providing the possibility to identify areas where further harmonisation at EU level is necessary, such as harmonisation of packaging labelling for disposal of waste</w:t>
      </w:r>
      <w:r>
        <w:rPr>
          <w:rFonts w:ascii="Times New Roman" w:hAnsi="Times New Roman"/>
          <w:noProof/>
          <w:sz w:val="24"/>
          <w:szCs w:val="24"/>
        </w:rPr>
        <w:t xml:space="preserve">. </w:t>
      </w:r>
      <w:r w:rsidR="001F7678" w:rsidRPr="002940AD">
        <w:rPr>
          <w:rFonts w:ascii="Times New Roman" w:hAnsi="Times New Roman"/>
          <w:noProof/>
          <w:color w:val="000000"/>
          <w:sz w:val="24"/>
          <w:szCs w:val="24"/>
        </w:rPr>
        <w:t>Efforts will continue to ensure a clear legal framework for economic operators</w:t>
      </w:r>
      <w:r w:rsidR="00014507">
        <w:rPr>
          <w:rFonts w:ascii="Times New Roman" w:hAnsi="Times New Roman"/>
          <w:noProof/>
          <w:color w:val="000000"/>
          <w:sz w:val="24"/>
          <w:szCs w:val="24"/>
        </w:rPr>
        <w:t>,</w:t>
      </w:r>
      <w:r w:rsidR="001F7678" w:rsidRPr="002940AD">
        <w:rPr>
          <w:rFonts w:ascii="Times New Roman" w:hAnsi="Times New Roman"/>
          <w:noProof/>
          <w:color w:val="000000"/>
          <w:sz w:val="24"/>
          <w:szCs w:val="24"/>
        </w:rPr>
        <w:t xml:space="preserve"> aiming to enhance the competitiveness of European enterprises in the EU and abroad</w:t>
      </w:r>
      <w:r w:rsidR="001F7678" w:rsidRPr="002940AD">
        <w:rPr>
          <w:rFonts w:ascii="Times New Roman" w:hAnsi="Times New Roman"/>
          <w:noProof/>
          <w:sz w:val="24"/>
          <w:szCs w:val="24"/>
        </w:rPr>
        <w:t xml:space="preserve">, </w:t>
      </w:r>
      <w:r w:rsidR="00014507">
        <w:rPr>
          <w:rFonts w:ascii="Times New Roman" w:hAnsi="Times New Roman"/>
          <w:noProof/>
          <w:sz w:val="24"/>
          <w:szCs w:val="24"/>
        </w:rPr>
        <w:t xml:space="preserve">while </w:t>
      </w:r>
      <w:r w:rsidR="001F7678" w:rsidRPr="002940AD">
        <w:rPr>
          <w:rFonts w:ascii="Times New Roman" w:hAnsi="Times New Roman"/>
          <w:noProof/>
          <w:sz w:val="24"/>
          <w:szCs w:val="24"/>
        </w:rPr>
        <w:t>taking into account the links between the notification procedure and th</w:t>
      </w:r>
      <w:r w:rsidR="00F078D6" w:rsidRPr="002940AD">
        <w:rPr>
          <w:rFonts w:ascii="Times New Roman" w:hAnsi="Times New Roman"/>
          <w:noProof/>
          <w:sz w:val="24"/>
          <w:szCs w:val="24"/>
        </w:rPr>
        <w:t>e procedure</w:t>
      </w:r>
      <w:r w:rsidR="001F7678" w:rsidRPr="002940AD">
        <w:rPr>
          <w:rFonts w:ascii="Times New Roman" w:hAnsi="Times New Roman"/>
          <w:noProof/>
          <w:sz w:val="24"/>
          <w:szCs w:val="24"/>
        </w:rPr>
        <w:t xml:space="preserve"> established by the Agreement on Technical Barriers to Trade in the context of the World Trade Organi</w:t>
      </w:r>
      <w:r w:rsidR="001F1AF0">
        <w:rPr>
          <w:rFonts w:ascii="Times New Roman" w:hAnsi="Times New Roman"/>
          <w:noProof/>
          <w:sz w:val="24"/>
          <w:szCs w:val="24"/>
        </w:rPr>
        <w:t>zation</w:t>
      </w:r>
      <w:r w:rsidR="0029052B" w:rsidRPr="002940AD">
        <w:rPr>
          <w:rFonts w:ascii="Times New Roman" w:hAnsi="Times New Roman"/>
          <w:noProof/>
          <w:sz w:val="24"/>
          <w:szCs w:val="24"/>
        </w:rPr>
        <w:t xml:space="preserve"> (WTO)</w:t>
      </w:r>
      <w:r w:rsidR="0029052B" w:rsidRPr="002940AD">
        <w:rPr>
          <w:rStyle w:val="FootnoteReference"/>
          <w:rFonts w:ascii="Times New Roman" w:hAnsi="Times New Roman"/>
          <w:noProof/>
          <w:sz w:val="24"/>
          <w:szCs w:val="24"/>
        </w:rPr>
        <w:footnoteReference w:id="63"/>
      </w:r>
      <w:r w:rsidR="001F7678" w:rsidRPr="002940AD">
        <w:rPr>
          <w:rFonts w:ascii="Times New Roman" w:hAnsi="Times New Roman"/>
          <w:noProof/>
          <w:sz w:val="24"/>
          <w:szCs w:val="24"/>
        </w:rPr>
        <w:t>.</w:t>
      </w:r>
      <w:r w:rsidR="00372292" w:rsidRPr="002940AD">
        <w:rPr>
          <w:rFonts w:ascii="Times New Roman" w:hAnsi="Times New Roman"/>
          <w:noProof/>
          <w:sz w:val="24"/>
          <w:szCs w:val="24"/>
        </w:rPr>
        <w:t xml:space="preserve"> </w:t>
      </w:r>
    </w:p>
    <w:p w14:paraId="0E36B13D" w14:textId="77777777" w:rsidR="00C47082" w:rsidRPr="002940AD" w:rsidRDefault="00C47082" w:rsidP="00CD7529">
      <w:pPr>
        <w:spacing w:line="240" w:lineRule="auto"/>
        <w:jc w:val="both"/>
        <w:rPr>
          <w:rFonts w:ascii="Times New Roman" w:hAnsi="Times New Roman"/>
          <w:noProof/>
          <w:sz w:val="24"/>
          <w:szCs w:val="24"/>
        </w:rPr>
      </w:pPr>
      <w:r w:rsidRPr="002940AD">
        <w:rPr>
          <w:rFonts w:ascii="Times New Roman" w:hAnsi="Times New Roman"/>
          <w:noProof/>
          <w:sz w:val="24"/>
          <w:szCs w:val="24"/>
        </w:rPr>
        <w:t xml:space="preserve">The experience gained in these recent years is essential to build up </w:t>
      </w:r>
      <w:r w:rsidR="0063257D" w:rsidRPr="002940AD">
        <w:rPr>
          <w:rFonts w:ascii="Times New Roman" w:hAnsi="Times New Roman"/>
          <w:noProof/>
          <w:sz w:val="24"/>
          <w:szCs w:val="24"/>
        </w:rPr>
        <w:t>th</w:t>
      </w:r>
      <w:r w:rsidR="0063257D">
        <w:rPr>
          <w:rFonts w:ascii="Times New Roman" w:hAnsi="Times New Roman"/>
          <w:noProof/>
          <w:sz w:val="24"/>
          <w:szCs w:val="24"/>
        </w:rPr>
        <w:t xml:space="preserve">is </w:t>
      </w:r>
      <w:r w:rsidR="000C3FA7">
        <w:rPr>
          <w:rFonts w:ascii="Times New Roman" w:hAnsi="Times New Roman"/>
          <w:noProof/>
          <w:sz w:val="24"/>
          <w:szCs w:val="24"/>
        </w:rPr>
        <w:t>improved</w:t>
      </w:r>
      <w:r w:rsidR="000C3FA7" w:rsidRPr="002940AD">
        <w:rPr>
          <w:rFonts w:ascii="Times New Roman" w:hAnsi="Times New Roman"/>
          <w:noProof/>
          <w:sz w:val="24"/>
          <w:szCs w:val="24"/>
        </w:rPr>
        <w:t xml:space="preserve"> </w:t>
      </w:r>
      <w:r w:rsidRPr="002940AD">
        <w:rPr>
          <w:rFonts w:ascii="Times New Roman" w:hAnsi="Times New Roman"/>
          <w:noProof/>
          <w:sz w:val="24"/>
          <w:szCs w:val="24"/>
        </w:rPr>
        <w:t xml:space="preserve">landscape for the implementation of the Single Market Transparency Directive. </w:t>
      </w:r>
      <w:r w:rsidR="000C3FA7">
        <w:rPr>
          <w:rFonts w:ascii="Times New Roman" w:hAnsi="Times New Roman"/>
          <w:noProof/>
          <w:sz w:val="24"/>
          <w:szCs w:val="24"/>
        </w:rPr>
        <w:t>T</w:t>
      </w:r>
      <w:r w:rsidR="000C3FA7" w:rsidRPr="002940AD">
        <w:rPr>
          <w:rFonts w:ascii="Times New Roman" w:hAnsi="Times New Roman"/>
          <w:noProof/>
          <w:sz w:val="24"/>
          <w:szCs w:val="24"/>
        </w:rPr>
        <w:t xml:space="preserve">o achieve the </w:t>
      </w:r>
      <w:r w:rsidR="00C6651D">
        <w:rPr>
          <w:rFonts w:ascii="Times New Roman" w:hAnsi="Times New Roman"/>
          <w:noProof/>
          <w:sz w:val="24"/>
          <w:szCs w:val="24"/>
        </w:rPr>
        <w:t>Directive</w:t>
      </w:r>
      <w:r w:rsidR="001F1AF0">
        <w:rPr>
          <w:rFonts w:ascii="Times New Roman" w:hAnsi="Times New Roman"/>
          <w:noProof/>
          <w:sz w:val="24"/>
          <w:szCs w:val="24"/>
        </w:rPr>
        <w:t>’</w:t>
      </w:r>
      <w:r w:rsidR="00C6651D">
        <w:rPr>
          <w:rFonts w:ascii="Times New Roman" w:hAnsi="Times New Roman"/>
          <w:noProof/>
          <w:sz w:val="24"/>
          <w:szCs w:val="24"/>
        </w:rPr>
        <w:t xml:space="preserve">s </w:t>
      </w:r>
      <w:r w:rsidR="000C3FA7" w:rsidRPr="002940AD">
        <w:rPr>
          <w:rFonts w:ascii="Times New Roman" w:hAnsi="Times New Roman"/>
          <w:noProof/>
          <w:sz w:val="24"/>
          <w:szCs w:val="24"/>
        </w:rPr>
        <w:t>full potential</w:t>
      </w:r>
      <w:r w:rsidR="000C3FA7">
        <w:rPr>
          <w:rFonts w:ascii="Times New Roman" w:hAnsi="Times New Roman"/>
          <w:noProof/>
          <w:sz w:val="24"/>
          <w:szCs w:val="24"/>
        </w:rPr>
        <w:t>, t</w:t>
      </w:r>
      <w:r w:rsidRPr="002940AD">
        <w:rPr>
          <w:rFonts w:ascii="Times New Roman" w:hAnsi="Times New Roman"/>
          <w:noProof/>
          <w:sz w:val="24"/>
          <w:szCs w:val="24"/>
        </w:rPr>
        <w:t xml:space="preserve">he Commission will </w:t>
      </w:r>
      <w:r w:rsidR="00D8439C">
        <w:rPr>
          <w:rFonts w:ascii="Times New Roman" w:hAnsi="Times New Roman"/>
          <w:noProof/>
          <w:sz w:val="24"/>
          <w:szCs w:val="24"/>
        </w:rPr>
        <w:t xml:space="preserve">continue to </w:t>
      </w:r>
      <w:r w:rsidRPr="002940AD">
        <w:rPr>
          <w:rFonts w:ascii="Times New Roman" w:hAnsi="Times New Roman"/>
          <w:noProof/>
          <w:sz w:val="24"/>
          <w:szCs w:val="24"/>
        </w:rPr>
        <w:t xml:space="preserve">incentivise </w:t>
      </w:r>
      <w:r w:rsidR="000C3FA7" w:rsidRPr="002940AD">
        <w:rPr>
          <w:rFonts w:ascii="Times New Roman" w:hAnsi="Times New Roman"/>
          <w:noProof/>
          <w:sz w:val="24"/>
          <w:szCs w:val="24"/>
        </w:rPr>
        <w:t>Member States</w:t>
      </w:r>
      <w:r w:rsidR="000C3FA7">
        <w:rPr>
          <w:rFonts w:ascii="Times New Roman" w:hAnsi="Times New Roman"/>
          <w:noProof/>
          <w:sz w:val="24"/>
          <w:szCs w:val="24"/>
        </w:rPr>
        <w:t>’</w:t>
      </w:r>
      <w:r w:rsidRPr="002940AD">
        <w:rPr>
          <w:rFonts w:ascii="Times New Roman" w:hAnsi="Times New Roman"/>
          <w:noProof/>
          <w:sz w:val="24"/>
          <w:szCs w:val="24"/>
        </w:rPr>
        <w:t xml:space="preserve"> participation, both in notif</w:t>
      </w:r>
      <w:r w:rsidR="000C3FA7">
        <w:rPr>
          <w:rFonts w:ascii="Times New Roman" w:hAnsi="Times New Roman"/>
          <w:noProof/>
          <w:sz w:val="24"/>
          <w:szCs w:val="24"/>
        </w:rPr>
        <w:t>ying</w:t>
      </w:r>
      <w:r w:rsidRPr="002940AD">
        <w:rPr>
          <w:rFonts w:ascii="Times New Roman" w:hAnsi="Times New Roman"/>
          <w:noProof/>
          <w:sz w:val="24"/>
          <w:szCs w:val="24"/>
        </w:rPr>
        <w:t xml:space="preserve"> national draft </w:t>
      </w:r>
      <w:r w:rsidR="00F14DF3">
        <w:rPr>
          <w:rFonts w:ascii="Times New Roman" w:hAnsi="Times New Roman"/>
          <w:noProof/>
          <w:sz w:val="24"/>
          <w:szCs w:val="24"/>
        </w:rPr>
        <w:t xml:space="preserve">technical </w:t>
      </w:r>
      <w:r w:rsidRPr="002940AD">
        <w:rPr>
          <w:rFonts w:ascii="Times New Roman" w:hAnsi="Times New Roman"/>
          <w:noProof/>
          <w:sz w:val="24"/>
          <w:szCs w:val="24"/>
        </w:rPr>
        <w:t>regulations and in reacti</w:t>
      </w:r>
      <w:r w:rsidR="000C3FA7">
        <w:rPr>
          <w:rFonts w:ascii="Times New Roman" w:hAnsi="Times New Roman"/>
          <w:noProof/>
          <w:sz w:val="24"/>
          <w:szCs w:val="24"/>
        </w:rPr>
        <w:t>ng</w:t>
      </w:r>
      <w:r w:rsidRPr="002940AD">
        <w:rPr>
          <w:rFonts w:ascii="Times New Roman" w:hAnsi="Times New Roman"/>
          <w:noProof/>
          <w:sz w:val="24"/>
          <w:szCs w:val="24"/>
        </w:rPr>
        <w:t xml:space="preserve"> to drafts notified by other Member States. </w:t>
      </w:r>
      <w:r w:rsidR="00D8439C">
        <w:rPr>
          <w:rFonts w:ascii="Times New Roman" w:hAnsi="Times New Roman"/>
          <w:noProof/>
          <w:sz w:val="24"/>
          <w:szCs w:val="24"/>
        </w:rPr>
        <w:t xml:space="preserve">In </w:t>
      </w:r>
      <w:r w:rsidRPr="002940AD">
        <w:rPr>
          <w:rFonts w:ascii="Times New Roman" w:hAnsi="Times New Roman"/>
          <w:noProof/>
          <w:sz w:val="24"/>
          <w:szCs w:val="24"/>
        </w:rPr>
        <w:t>its reactions</w:t>
      </w:r>
      <w:r w:rsidR="000C3FA7">
        <w:rPr>
          <w:rFonts w:ascii="Times New Roman" w:hAnsi="Times New Roman"/>
          <w:noProof/>
          <w:sz w:val="24"/>
          <w:szCs w:val="24"/>
        </w:rPr>
        <w:t>,</w:t>
      </w:r>
      <w:r w:rsidRPr="002940AD">
        <w:rPr>
          <w:rFonts w:ascii="Times New Roman" w:hAnsi="Times New Roman"/>
          <w:noProof/>
          <w:sz w:val="24"/>
          <w:szCs w:val="24"/>
        </w:rPr>
        <w:t xml:space="preserve"> </w:t>
      </w:r>
      <w:r w:rsidR="00D8439C">
        <w:rPr>
          <w:rFonts w:ascii="Times New Roman" w:hAnsi="Times New Roman"/>
          <w:noProof/>
          <w:sz w:val="24"/>
          <w:szCs w:val="24"/>
        </w:rPr>
        <w:t xml:space="preserve">the Commission </w:t>
      </w:r>
      <w:r w:rsidRPr="002940AD">
        <w:rPr>
          <w:rFonts w:ascii="Times New Roman" w:hAnsi="Times New Roman"/>
          <w:noProof/>
          <w:sz w:val="24"/>
          <w:szCs w:val="24"/>
        </w:rPr>
        <w:t xml:space="preserve">will put </w:t>
      </w:r>
      <w:r w:rsidR="00D8439C">
        <w:rPr>
          <w:rFonts w:ascii="Times New Roman" w:hAnsi="Times New Roman"/>
          <w:noProof/>
          <w:sz w:val="24"/>
          <w:szCs w:val="24"/>
        </w:rPr>
        <w:t xml:space="preserve">special </w:t>
      </w:r>
      <w:r w:rsidRPr="002940AD">
        <w:rPr>
          <w:rFonts w:ascii="Times New Roman" w:hAnsi="Times New Roman"/>
          <w:noProof/>
          <w:sz w:val="24"/>
          <w:szCs w:val="24"/>
        </w:rPr>
        <w:t xml:space="preserve">emphasis on matters </w:t>
      </w:r>
      <w:r w:rsidR="00F260B9">
        <w:rPr>
          <w:rFonts w:ascii="Times New Roman" w:hAnsi="Times New Roman"/>
          <w:noProof/>
          <w:sz w:val="24"/>
          <w:szCs w:val="24"/>
        </w:rPr>
        <w:t xml:space="preserve">of </w:t>
      </w:r>
      <w:r w:rsidR="000668EA">
        <w:rPr>
          <w:rFonts w:ascii="Times New Roman" w:hAnsi="Times New Roman"/>
          <w:noProof/>
          <w:sz w:val="24"/>
          <w:szCs w:val="24"/>
        </w:rPr>
        <w:t>significant</w:t>
      </w:r>
      <w:r w:rsidR="00F260B9">
        <w:rPr>
          <w:rFonts w:ascii="Times New Roman" w:hAnsi="Times New Roman"/>
          <w:noProof/>
          <w:sz w:val="24"/>
          <w:szCs w:val="24"/>
        </w:rPr>
        <w:t xml:space="preserve"> importance</w:t>
      </w:r>
      <w:r w:rsidR="00F260B9" w:rsidRPr="002940AD">
        <w:rPr>
          <w:rFonts w:ascii="Times New Roman" w:hAnsi="Times New Roman"/>
          <w:noProof/>
          <w:sz w:val="24"/>
          <w:szCs w:val="24"/>
        </w:rPr>
        <w:t xml:space="preserve"> </w:t>
      </w:r>
      <w:r w:rsidRPr="002940AD">
        <w:rPr>
          <w:rFonts w:ascii="Times New Roman" w:hAnsi="Times New Roman"/>
          <w:noProof/>
          <w:sz w:val="24"/>
          <w:szCs w:val="24"/>
        </w:rPr>
        <w:t xml:space="preserve">to the </w:t>
      </w:r>
      <w:r w:rsidR="007B0608" w:rsidRPr="002940AD">
        <w:rPr>
          <w:rFonts w:ascii="Times New Roman" w:hAnsi="Times New Roman"/>
          <w:noProof/>
          <w:sz w:val="24"/>
          <w:szCs w:val="24"/>
        </w:rPr>
        <w:t>s</w:t>
      </w:r>
      <w:r w:rsidRPr="002940AD">
        <w:rPr>
          <w:rFonts w:ascii="Times New Roman" w:hAnsi="Times New Roman"/>
          <w:noProof/>
          <w:sz w:val="24"/>
          <w:szCs w:val="24"/>
        </w:rPr>
        <w:t xml:space="preserve">ingle </w:t>
      </w:r>
      <w:r w:rsidR="007B0608" w:rsidRPr="002940AD">
        <w:rPr>
          <w:rFonts w:ascii="Times New Roman" w:hAnsi="Times New Roman"/>
          <w:noProof/>
          <w:sz w:val="24"/>
          <w:szCs w:val="24"/>
        </w:rPr>
        <w:t>m</w:t>
      </w:r>
      <w:r w:rsidRPr="002940AD">
        <w:rPr>
          <w:rFonts w:ascii="Times New Roman" w:hAnsi="Times New Roman"/>
          <w:noProof/>
          <w:sz w:val="24"/>
          <w:szCs w:val="24"/>
        </w:rPr>
        <w:t xml:space="preserve">arket and </w:t>
      </w:r>
      <w:r w:rsidR="00C6651D">
        <w:rPr>
          <w:rFonts w:ascii="Times New Roman" w:hAnsi="Times New Roman"/>
          <w:noProof/>
          <w:sz w:val="24"/>
          <w:szCs w:val="24"/>
        </w:rPr>
        <w:t xml:space="preserve">on </w:t>
      </w:r>
      <w:r w:rsidR="0000629B">
        <w:rPr>
          <w:rFonts w:ascii="Times New Roman" w:hAnsi="Times New Roman"/>
          <w:noProof/>
          <w:sz w:val="24"/>
          <w:szCs w:val="24"/>
        </w:rPr>
        <w:t xml:space="preserve">those </w:t>
      </w:r>
      <w:r w:rsidRPr="002940AD">
        <w:rPr>
          <w:rFonts w:ascii="Times New Roman" w:hAnsi="Times New Roman"/>
          <w:noProof/>
          <w:sz w:val="24"/>
          <w:szCs w:val="24"/>
        </w:rPr>
        <w:t xml:space="preserve">that serve in particular to </w:t>
      </w:r>
      <w:r w:rsidR="000C3FA7" w:rsidRPr="002940AD">
        <w:rPr>
          <w:rFonts w:ascii="Times New Roman" w:hAnsi="Times New Roman"/>
          <w:noProof/>
          <w:sz w:val="24"/>
          <w:szCs w:val="24"/>
        </w:rPr>
        <w:t xml:space="preserve">efficiently </w:t>
      </w:r>
      <w:r w:rsidRPr="002940AD">
        <w:rPr>
          <w:rFonts w:ascii="Times New Roman" w:hAnsi="Times New Roman"/>
          <w:noProof/>
          <w:sz w:val="24"/>
          <w:szCs w:val="24"/>
        </w:rPr>
        <w:t xml:space="preserve">address bottlenecks identified in the context of the recovery </w:t>
      </w:r>
      <w:r w:rsidR="00D8439C">
        <w:rPr>
          <w:rFonts w:ascii="Times New Roman" w:hAnsi="Times New Roman"/>
          <w:noProof/>
          <w:sz w:val="24"/>
          <w:szCs w:val="24"/>
        </w:rPr>
        <w:t>and green and digital transition</w:t>
      </w:r>
      <w:r w:rsidR="000C3FA7">
        <w:rPr>
          <w:rFonts w:ascii="Times New Roman" w:hAnsi="Times New Roman"/>
          <w:noProof/>
          <w:sz w:val="24"/>
          <w:szCs w:val="24"/>
        </w:rPr>
        <w:t>s</w:t>
      </w:r>
      <w:r w:rsidRPr="002940AD">
        <w:rPr>
          <w:rFonts w:ascii="Times New Roman" w:hAnsi="Times New Roman"/>
          <w:noProof/>
          <w:sz w:val="24"/>
          <w:szCs w:val="24"/>
        </w:rPr>
        <w:t xml:space="preserve">. This greater focus will </w:t>
      </w:r>
      <w:r w:rsidR="000C3FA7">
        <w:rPr>
          <w:rFonts w:ascii="Times New Roman" w:hAnsi="Times New Roman"/>
          <w:noProof/>
          <w:sz w:val="24"/>
          <w:szCs w:val="24"/>
        </w:rPr>
        <w:t xml:space="preserve">also </w:t>
      </w:r>
      <w:r w:rsidRPr="002940AD">
        <w:rPr>
          <w:rFonts w:ascii="Times New Roman" w:hAnsi="Times New Roman"/>
          <w:noProof/>
          <w:sz w:val="24"/>
          <w:szCs w:val="24"/>
        </w:rPr>
        <w:t>lead to the appropriate follow</w:t>
      </w:r>
      <w:r w:rsidR="000C3FA7">
        <w:rPr>
          <w:rFonts w:ascii="Times New Roman" w:hAnsi="Times New Roman"/>
          <w:noProof/>
          <w:sz w:val="24"/>
          <w:szCs w:val="24"/>
        </w:rPr>
        <w:t>-</w:t>
      </w:r>
      <w:r w:rsidRPr="002940AD">
        <w:rPr>
          <w:rFonts w:ascii="Times New Roman" w:hAnsi="Times New Roman"/>
          <w:noProof/>
          <w:sz w:val="24"/>
          <w:szCs w:val="24"/>
        </w:rPr>
        <w:t xml:space="preserve">up to the Commission reactions so that </w:t>
      </w:r>
      <w:r w:rsidR="00B023A2">
        <w:rPr>
          <w:rFonts w:ascii="Times New Roman" w:hAnsi="Times New Roman"/>
          <w:noProof/>
          <w:sz w:val="24"/>
          <w:szCs w:val="24"/>
        </w:rPr>
        <w:t xml:space="preserve">effective action is taken to prevent </w:t>
      </w:r>
      <w:r w:rsidRPr="002940AD">
        <w:rPr>
          <w:rFonts w:ascii="Times New Roman" w:hAnsi="Times New Roman"/>
          <w:noProof/>
          <w:sz w:val="24"/>
          <w:szCs w:val="24"/>
        </w:rPr>
        <w:t xml:space="preserve">potential barriers </w:t>
      </w:r>
      <w:r w:rsidR="00B023A2">
        <w:rPr>
          <w:rFonts w:ascii="Times New Roman" w:hAnsi="Times New Roman"/>
          <w:noProof/>
          <w:sz w:val="24"/>
          <w:szCs w:val="24"/>
        </w:rPr>
        <w:t>from being put in place</w:t>
      </w:r>
      <w:r w:rsidRPr="002940AD">
        <w:rPr>
          <w:rFonts w:ascii="Times New Roman" w:hAnsi="Times New Roman"/>
          <w:noProof/>
          <w:sz w:val="24"/>
          <w:szCs w:val="24"/>
        </w:rPr>
        <w:t xml:space="preserve">. </w:t>
      </w:r>
    </w:p>
    <w:p w14:paraId="633A39C4" w14:textId="77777777" w:rsidR="0049046D" w:rsidRDefault="0049046D">
      <w:pPr>
        <w:spacing w:line="240" w:lineRule="auto"/>
        <w:jc w:val="both"/>
        <w:rPr>
          <w:rFonts w:ascii="Times New Roman" w:hAnsi="Times New Roman"/>
          <w:noProof/>
          <w:sz w:val="24"/>
          <w:szCs w:val="24"/>
        </w:rPr>
      </w:pPr>
    </w:p>
    <w:sectPr w:rsidR="0049046D" w:rsidSect="00A65B60">
      <w:headerReference w:type="even" r:id="rId15"/>
      <w:headerReference w:type="default" r:id="rId16"/>
      <w:footerReference w:type="even" r:id="rId17"/>
      <w:footerReference w:type="default" r:id="rId18"/>
      <w:headerReference w:type="first" r:id="rId19"/>
      <w:footerReference w:type="first" r:id="rId20"/>
      <w:pgSz w:w="11906" w:h="16838"/>
      <w:pgMar w:top="851" w:right="1417" w:bottom="709" w:left="1417"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3565C" w14:textId="77777777" w:rsidR="00AB19C0" w:rsidRDefault="00AB19C0">
      <w:pPr>
        <w:spacing w:after="0" w:line="240" w:lineRule="auto"/>
      </w:pPr>
      <w:r>
        <w:separator/>
      </w:r>
    </w:p>
  </w:endnote>
  <w:endnote w:type="continuationSeparator" w:id="0">
    <w:p w14:paraId="004906CC" w14:textId="77777777" w:rsidR="00AB19C0" w:rsidRDefault="00AB1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C Square Sans Pro Medium">
    <w:charset w:val="00"/>
    <w:family w:val="swiss"/>
    <w:pitch w:val="variable"/>
    <w:sig w:usb0="A00002BF" w:usb1="5000E0FB" w:usb2="00000000" w:usb3="00000000" w:csb0="0000019F" w:csb1="00000000"/>
  </w:font>
  <w:font w:name="Minion Pro">
    <w:altName w:val="Cambria Math"/>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660D6" w14:textId="77777777" w:rsidR="00D14FFB" w:rsidRPr="00D14FFB" w:rsidRDefault="00D14FFB" w:rsidP="00D14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F592B" w14:textId="5F64435F" w:rsidR="00AE1A88" w:rsidRPr="00D14FFB" w:rsidRDefault="00D14FFB" w:rsidP="00D14FFB">
    <w:pPr>
      <w:pStyle w:val="FooterCoverPage"/>
      <w:rPr>
        <w:rFonts w:ascii="Arial" w:hAnsi="Arial" w:cs="Arial"/>
        <w:b/>
        <w:sz w:val="48"/>
      </w:rPr>
    </w:pPr>
    <w:r w:rsidRPr="00D14FFB">
      <w:rPr>
        <w:rFonts w:ascii="Arial" w:hAnsi="Arial" w:cs="Arial"/>
        <w:b/>
        <w:sz w:val="48"/>
      </w:rPr>
      <w:t>EN</w:t>
    </w:r>
    <w:r w:rsidRPr="00D14FFB">
      <w:rPr>
        <w:rFonts w:ascii="Arial" w:hAnsi="Arial" w:cs="Arial"/>
        <w:b/>
        <w:sz w:val="48"/>
      </w:rPr>
      <w:tab/>
    </w:r>
    <w:r w:rsidRPr="00D14FFB">
      <w:rPr>
        <w:rFonts w:ascii="Arial" w:hAnsi="Arial" w:cs="Arial"/>
        <w:b/>
        <w:sz w:val="48"/>
      </w:rPr>
      <w:tab/>
    </w:r>
    <w:r w:rsidRPr="00D14FFB">
      <w:tab/>
    </w:r>
    <w:r w:rsidRPr="00D14FFB">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1BA31" w14:textId="77777777" w:rsidR="00D14FFB" w:rsidRPr="00D14FFB" w:rsidRDefault="00D14FFB" w:rsidP="00D14FF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11CD" w14:textId="77777777" w:rsidR="006C45EA" w:rsidRDefault="006C45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4FEDF" w14:textId="3575B033" w:rsidR="006C45EA" w:rsidRDefault="006C45EA">
    <w:pPr>
      <w:pStyle w:val="Footer"/>
      <w:jc w:val="center"/>
    </w:pPr>
    <w:r>
      <w:fldChar w:fldCharType="begin"/>
    </w:r>
    <w:r>
      <w:instrText xml:space="preserve"> PAGE   \* MERGEFORMAT </w:instrText>
    </w:r>
    <w:r>
      <w:fldChar w:fldCharType="separate"/>
    </w:r>
    <w:r w:rsidR="00D14FFB">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A9BB9" w14:textId="77777777" w:rsidR="006C45EA" w:rsidRDefault="006C4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1D664" w14:textId="77777777" w:rsidR="00AB19C0" w:rsidRDefault="00AB19C0">
      <w:pPr>
        <w:spacing w:after="0" w:line="240" w:lineRule="auto"/>
      </w:pPr>
      <w:r>
        <w:separator/>
      </w:r>
    </w:p>
  </w:footnote>
  <w:footnote w:type="continuationSeparator" w:id="0">
    <w:p w14:paraId="40DD073D" w14:textId="77777777" w:rsidR="00AB19C0" w:rsidRDefault="00AB19C0">
      <w:pPr>
        <w:spacing w:after="0" w:line="240" w:lineRule="auto"/>
      </w:pPr>
      <w:r>
        <w:continuationSeparator/>
      </w:r>
    </w:p>
  </w:footnote>
  <w:footnote w:id="1">
    <w:p w14:paraId="46B7B82F" w14:textId="77777777" w:rsidR="006C45EA" w:rsidRPr="00542902" w:rsidRDefault="006C45EA">
      <w:pPr>
        <w:pStyle w:val="FootnoteText"/>
      </w:pPr>
      <w:r w:rsidRPr="00542902">
        <w:rPr>
          <w:rStyle w:val="FootnoteReference"/>
        </w:rPr>
        <w:footnoteRef/>
      </w:r>
      <w:r w:rsidRPr="00542902">
        <w:rPr>
          <w:lang w:val="en-US"/>
        </w:rPr>
        <w:tab/>
      </w:r>
      <w:r w:rsidRPr="00542902">
        <w:rPr>
          <w:noProof/>
        </w:rPr>
        <w:t>Directive (EU) 2015/1535 of the European Parliament and of the Council of 9 September 2015 laying down a procedure for the provision of information in the field of technical regulations and of rules on Information Society services, OJ L 241, 17.9.2015, p. 1</w:t>
      </w:r>
      <w:r w:rsidRPr="000548E6">
        <w:rPr>
          <w:noProof/>
          <w:lang w:val="en-US"/>
        </w:rPr>
        <w:t>.</w:t>
      </w:r>
    </w:p>
  </w:footnote>
  <w:footnote w:id="2">
    <w:p w14:paraId="1121CD07" w14:textId="77777777" w:rsidR="006C45EA" w:rsidRPr="00542902" w:rsidRDefault="006C45EA">
      <w:pPr>
        <w:pStyle w:val="FootnoteText"/>
      </w:pPr>
      <w:r w:rsidRPr="00542902">
        <w:rPr>
          <w:rStyle w:val="FootnoteReference"/>
        </w:rPr>
        <w:footnoteRef/>
      </w:r>
      <w:r w:rsidRPr="00542902">
        <w:rPr>
          <w:lang w:val="en-US"/>
        </w:rPr>
        <w:tab/>
      </w:r>
      <w:r w:rsidRPr="00D659F6">
        <w:rPr>
          <w:i/>
          <w:noProof/>
        </w:rPr>
        <w:t>Action plan for improving the regulatory environment</w:t>
      </w:r>
      <w:r w:rsidRPr="00542902">
        <w:rPr>
          <w:noProof/>
        </w:rPr>
        <w:t>, COM(2002) 278.</w:t>
      </w:r>
      <w:r w:rsidRPr="00542902">
        <w:rPr>
          <w:lang w:val="en-US"/>
        </w:rPr>
        <w:t xml:space="preserve"> </w:t>
      </w:r>
      <w:r w:rsidRPr="00542902">
        <w:rPr>
          <w:noProof/>
        </w:rPr>
        <w:t xml:space="preserve">See also </w:t>
      </w:r>
      <w:r w:rsidRPr="00D659F6">
        <w:rPr>
          <w:i/>
          <w:noProof/>
        </w:rPr>
        <w:t xml:space="preserve">Better </w:t>
      </w:r>
      <w:r w:rsidRPr="00D659F6">
        <w:rPr>
          <w:i/>
          <w:noProof/>
          <w:lang w:val="en-US"/>
        </w:rPr>
        <w:t>Regulation for Growth and Jobs in the European Union</w:t>
      </w:r>
      <w:r w:rsidRPr="000548E6">
        <w:rPr>
          <w:noProof/>
          <w:lang w:val="en-US"/>
        </w:rPr>
        <w:t xml:space="preserve">, COM(2005) 97; </w:t>
      </w:r>
      <w:r w:rsidRPr="00D659F6">
        <w:rPr>
          <w:i/>
          <w:noProof/>
          <w:lang w:val="en-US"/>
        </w:rPr>
        <w:t>Implementing the Community Lisbon programme:</w:t>
      </w:r>
      <w:r w:rsidRPr="00D659F6">
        <w:rPr>
          <w:i/>
          <w:lang w:val="en-US"/>
        </w:rPr>
        <w:t xml:space="preserve"> </w:t>
      </w:r>
      <w:r w:rsidRPr="00D659F6">
        <w:rPr>
          <w:i/>
          <w:noProof/>
          <w:lang w:val="en-US"/>
        </w:rPr>
        <w:t>A strategy for the simplification of the regulatory environment</w:t>
      </w:r>
      <w:r w:rsidRPr="00512FFB">
        <w:rPr>
          <w:noProof/>
          <w:lang w:val="en-US"/>
        </w:rPr>
        <w:t xml:space="preserve">, </w:t>
      </w:r>
      <w:r w:rsidRPr="000548E6">
        <w:rPr>
          <w:noProof/>
          <w:lang w:val="en-US"/>
        </w:rPr>
        <w:t xml:space="preserve">COM(2005) 535; </w:t>
      </w:r>
      <w:r w:rsidRPr="00D659F6">
        <w:rPr>
          <w:i/>
          <w:noProof/>
          <w:lang w:val="en-US"/>
        </w:rPr>
        <w:t>A strategic view of Better Regulation in the European Union</w:t>
      </w:r>
      <w:r w:rsidRPr="000548E6">
        <w:rPr>
          <w:noProof/>
          <w:lang w:val="en-US"/>
        </w:rPr>
        <w:t xml:space="preserve">, COM(2006) 689; </w:t>
      </w:r>
      <w:r w:rsidRPr="00D659F6">
        <w:rPr>
          <w:i/>
          <w:noProof/>
          <w:lang w:val="en-US"/>
        </w:rPr>
        <w:t>Second strategic review of Better Regulation in the European Union</w:t>
      </w:r>
      <w:r w:rsidRPr="000548E6">
        <w:rPr>
          <w:noProof/>
          <w:lang w:val="en-US"/>
        </w:rPr>
        <w:t>, COM(2008) 32;</w:t>
      </w:r>
      <w:r w:rsidRPr="003A0A71">
        <w:rPr>
          <w:noProof/>
          <w:lang w:val="en-US"/>
        </w:rPr>
        <w:t xml:space="preserve"> </w:t>
      </w:r>
      <w:r w:rsidRPr="00D659F6">
        <w:rPr>
          <w:i/>
          <w:noProof/>
          <w:lang w:val="en-US"/>
        </w:rPr>
        <w:t>Third strategic review of Better Regulation in the European Union</w:t>
      </w:r>
      <w:r w:rsidRPr="00512FFB">
        <w:rPr>
          <w:noProof/>
          <w:lang w:val="en-US"/>
        </w:rPr>
        <w:t>,</w:t>
      </w:r>
      <w:r w:rsidRPr="000548E6">
        <w:rPr>
          <w:noProof/>
          <w:lang w:val="en-US"/>
        </w:rPr>
        <w:t xml:space="preserve"> COM(2009) 15; </w:t>
      </w:r>
      <w:r w:rsidRPr="00D659F6">
        <w:rPr>
          <w:i/>
          <w:noProof/>
          <w:lang w:val="en-US"/>
        </w:rPr>
        <w:t>Smart Regulation in the European Union</w:t>
      </w:r>
      <w:r w:rsidRPr="000548E6">
        <w:rPr>
          <w:noProof/>
          <w:lang w:val="en-US"/>
        </w:rPr>
        <w:t>, COM(2010)</w:t>
      </w:r>
      <w:r w:rsidRPr="003A0A71">
        <w:rPr>
          <w:noProof/>
          <w:lang w:val="en-US"/>
        </w:rPr>
        <w:t xml:space="preserve"> </w:t>
      </w:r>
      <w:r w:rsidRPr="00512FFB">
        <w:rPr>
          <w:noProof/>
          <w:lang w:val="en-US"/>
        </w:rPr>
        <w:t xml:space="preserve">543 and </w:t>
      </w:r>
      <w:r w:rsidRPr="00D659F6">
        <w:rPr>
          <w:i/>
          <w:noProof/>
          <w:lang w:val="en-US"/>
        </w:rPr>
        <w:t>Better Regulation: Delivering better results for a stronger Union</w:t>
      </w:r>
      <w:r w:rsidRPr="000548E6">
        <w:rPr>
          <w:noProof/>
          <w:lang w:val="en-US"/>
        </w:rPr>
        <w:t>, COM(2016) 615.</w:t>
      </w:r>
      <w:r w:rsidRPr="000548E6">
        <w:rPr>
          <w:lang w:val="en-US"/>
        </w:rPr>
        <w:t xml:space="preserve"> </w:t>
      </w:r>
    </w:p>
  </w:footnote>
  <w:footnote w:id="3">
    <w:p w14:paraId="57BB81AC" w14:textId="77777777" w:rsidR="00C47B69" w:rsidRPr="00542902" w:rsidRDefault="00C47B69" w:rsidP="00C47B69">
      <w:pPr>
        <w:pStyle w:val="FootnoteText"/>
      </w:pPr>
      <w:r w:rsidRPr="00542902">
        <w:rPr>
          <w:rStyle w:val="FootnoteReference"/>
        </w:rPr>
        <w:footnoteRef/>
      </w:r>
      <w:r w:rsidRPr="00542902">
        <w:t xml:space="preserve"> </w:t>
      </w:r>
      <w:r w:rsidRPr="00542902">
        <w:tab/>
        <w:t xml:space="preserve">Irish translation is not available. </w:t>
      </w:r>
    </w:p>
  </w:footnote>
  <w:footnote w:id="4">
    <w:p w14:paraId="53839118" w14:textId="77777777" w:rsidR="006C45EA" w:rsidRPr="00E25473" w:rsidRDefault="006C45EA" w:rsidP="006502C4">
      <w:pPr>
        <w:pStyle w:val="FootnoteText"/>
        <w:ind w:left="709" w:hanging="709"/>
      </w:pPr>
      <w:r>
        <w:rPr>
          <w:rStyle w:val="FootnoteReference"/>
        </w:rPr>
        <w:footnoteRef/>
      </w:r>
      <w:r>
        <w:t xml:space="preserve"> </w:t>
      </w:r>
      <w:r>
        <w:tab/>
      </w:r>
      <w:hyperlink r:id="rId1" w:history="1">
        <w:r w:rsidRPr="005A258E">
          <w:rPr>
            <w:rStyle w:val="Hyperlink"/>
          </w:rPr>
          <w:t>https://ec.europa.eu/info/sites/info/files/communication-enforcement-implementation-single-market-rules_en_0.pdf</w:t>
        </w:r>
      </w:hyperlink>
      <w:r>
        <w:t xml:space="preserve"> </w:t>
      </w:r>
    </w:p>
  </w:footnote>
  <w:footnote w:id="5">
    <w:p w14:paraId="796217C3" w14:textId="77777777" w:rsidR="006C45EA" w:rsidRPr="00542902" w:rsidRDefault="006C45EA" w:rsidP="00346292">
      <w:pPr>
        <w:pStyle w:val="FootnoteText"/>
      </w:pPr>
      <w:r w:rsidRPr="00542902">
        <w:rPr>
          <w:rStyle w:val="FootnoteReference"/>
        </w:rPr>
        <w:footnoteRef/>
      </w:r>
      <w:r w:rsidRPr="00542902">
        <w:t xml:space="preserve"> </w:t>
      </w:r>
      <w:r w:rsidRPr="00542902">
        <w:tab/>
        <w:t>https://ec.europa.eu/info/strategy/priorities-2019-2024/economy-works-people/internal-market_en</w:t>
      </w:r>
    </w:p>
  </w:footnote>
  <w:footnote w:id="6">
    <w:p w14:paraId="43369012" w14:textId="77777777" w:rsidR="006C45EA" w:rsidRPr="00542902" w:rsidRDefault="006C45EA" w:rsidP="00E36B66">
      <w:pPr>
        <w:pStyle w:val="FootnoteText"/>
      </w:pPr>
      <w:r w:rsidRPr="00542902">
        <w:rPr>
          <w:rStyle w:val="FootnoteReference"/>
        </w:rPr>
        <w:footnoteRef/>
      </w:r>
      <w:r w:rsidRPr="00542902">
        <w:t xml:space="preserve"> </w:t>
      </w:r>
      <w:r w:rsidRPr="00542902">
        <w:tab/>
      </w:r>
      <w:r w:rsidRPr="00E36B66">
        <w:t>https://ec.europa.eu/commission/presscorner/detail/en/fs_20_427</w:t>
      </w:r>
    </w:p>
  </w:footnote>
  <w:footnote w:id="7">
    <w:p w14:paraId="1F41E2AD" w14:textId="77777777" w:rsidR="006C45EA" w:rsidRPr="00A9205F" w:rsidRDefault="006C45EA">
      <w:pPr>
        <w:pStyle w:val="FootnoteText"/>
      </w:pPr>
      <w:r>
        <w:rPr>
          <w:rStyle w:val="FootnoteReference"/>
        </w:rPr>
        <w:footnoteRef/>
      </w:r>
      <w:r>
        <w:t xml:space="preserve"> </w:t>
      </w:r>
      <w:r>
        <w:tab/>
      </w:r>
      <w:r w:rsidRPr="00A9205F">
        <w:t>https://ec.europa.eu/commission/presscorner/detail/en/ip_20_416</w:t>
      </w:r>
    </w:p>
  </w:footnote>
  <w:footnote w:id="8">
    <w:p w14:paraId="3DA1BC0C" w14:textId="77777777" w:rsidR="006C45EA" w:rsidRPr="001D593E" w:rsidRDefault="006C45EA">
      <w:pPr>
        <w:pStyle w:val="FootnoteText"/>
      </w:pPr>
      <w:r>
        <w:rPr>
          <w:rStyle w:val="FootnoteReference"/>
        </w:rPr>
        <w:footnoteRef/>
      </w:r>
      <w:r>
        <w:t xml:space="preserve"> </w:t>
      </w:r>
      <w:r>
        <w:tab/>
      </w:r>
      <w:r w:rsidRPr="001D593E">
        <w:t xml:space="preserve">https://eur-lex.europa.eu/legal-content/EN/TXT/?uri=COM%3A2020%3A0093%3AFIN </w:t>
      </w:r>
    </w:p>
  </w:footnote>
  <w:footnote w:id="9">
    <w:p w14:paraId="00B7F0DB" w14:textId="77777777" w:rsidR="006C45EA" w:rsidRPr="00CD7529" w:rsidRDefault="006C45EA">
      <w:pPr>
        <w:pStyle w:val="FootnoteText"/>
      </w:pPr>
      <w:r>
        <w:rPr>
          <w:rStyle w:val="FootnoteReference"/>
        </w:rPr>
        <w:footnoteRef/>
      </w:r>
      <w:r>
        <w:t xml:space="preserve"> </w:t>
      </w:r>
      <w:r w:rsidRPr="00CD7529">
        <w:tab/>
        <w:t>See footnote 4.</w:t>
      </w:r>
    </w:p>
  </w:footnote>
  <w:footnote w:id="10">
    <w:p w14:paraId="2B9FA287" w14:textId="77777777" w:rsidR="006C45EA" w:rsidRPr="00512FFB" w:rsidRDefault="006C45EA">
      <w:pPr>
        <w:spacing w:after="0" w:line="240" w:lineRule="auto"/>
        <w:ind w:left="720" w:hanging="720"/>
        <w:jc w:val="both"/>
        <w:rPr>
          <w:rFonts w:ascii="Times New Roman" w:hAnsi="Times New Roman"/>
          <w:color w:val="1F497D"/>
          <w:sz w:val="20"/>
          <w:szCs w:val="20"/>
        </w:rPr>
      </w:pPr>
      <w:r w:rsidRPr="00542902">
        <w:rPr>
          <w:rStyle w:val="FootnoteReference"/>
          <w:rFonts w:ascii="Times New Roman" w:eastAsia="Times New Roman" w:hAnsi="Times New Roman"/>
          <w:sz w:val="20"/>
          <w:szCs w:val="20"/>
          <w:lang w:eastAsia="en-GB"/>
        </w:rPr>
        <w:footnoteRef/>
      </w:r>
      <w:r w:rsidRPr="00512FFB">
        <w:rPr>
          <w:rFonts w:ascii="Times New Roman" w:hAnsi="Times New Roman"/>
          <w:sz w:val="20"/>
          <w:szCs w:val="20"/>
        </w:rPr>
        <w:t xml:space="preserve"> </w:t>
      </w:r>
      <w:r w:rsidRPr="00512FFB">
        <w:rPr>
          <w:rFonts w:ascii="Times New Roman" w:hAnsi="Times New Roman"/>
          <w:sz w:val="20"/>
          <w:szCs w:val="20"/>
        </w:rPr>
        <w:tab/>
      </w:r>
      <w:r w:rsidRPr="00542902">
        <w:rPr>
          <w:rFonts w:ascii="Times New Roman" w:eastAsia="Times New Roman" w:hAnsi="Times New Roman"/>
          <w:sz w:val="20"/>
          <w:szCs w:val="20"/>
          <w:lang w:eastAsia="en-GB"/>
        </w:rPr>
        <w:t>The ‘</w:t>
      </w:r>
      <w:r>
        <w:rPr>
          <w:rFonts w:ascii="Times New Roman" w:eastAsia="Times New Roman" w:hAnsi="Times New Roman"/>
          <w:sz w:val="20"/>
          <w:szCs w:val="20"/>
          <w:lang w:eastAsia="en-GB"/>
        </w:rPr>
        <w:t>c</w:t>
      </w:r>
      <w:r w:rsidRPr="00542902">
        <w:rPr>
          <w:rFonts w:ascii="Times New Roman" w:eastAsia="Times New Roman" w:hAnsi="Times New Roman"/>
          <w:sz w:val="20"/>
          <w:szCs w:val="20"/>
          <w:lang w:eastAsia="en-GB"/>
        </w:rPr>
        <w:t>ountry knowledge’ dialogue consists in structured meetings with the national authorities involved in the notification procedure in each EU Member State and with national stakeholders.</w:t>
      </w:r>
    </w:p>
  </w:footnote>
  <w:footnote w:id="11">
    <w:p w14:paraId="262AEBE3" w14:textId="77777777" w:rsidR="006C45EA" w:rsidRPr="00542902" w:rsidRDefault="006C45EA">
      <w:pPr>
        <w:pStyle w:val="FootnoteText"/>
      </w:pPr>
      <w:r w:rsidRPr="00542902">
        <w:rPr>
          <w:rStyle w:val="FootnoteReference"/>
        </w:rPr>
        <w:footnoteRef/>
      </w:r>
      <w:r w:rsidRPr="00542902">
        <w:t xml:space="preserve"> </w:t>
      </w:r>
      <w:r w:rsidRPr="00542902">
        <w:tab/>
        <w:t>See paragraph ‘</w:t>
      </w:r>
      <w:r w:rsidRPr="00512FFB">
        <w:rPr>
          <w:lang w:val="en"/>
        </w:rPr>
        <w:t xml:space="preserve">Ensure a culture of compliance and smart enforcement to help deliver a true Single </w:t>
      </w:r>
      <w:r w:rsidRPr="00B46031">
        <w:rPr>
          <w:lang w:val="en"/>
        </w:rPr>
        <w:t>Market</w:t>
      </w:r>
      <w:r w:rsidRPr="00AE7AE2">
        <w:rPr>
          <w:lang w:val="en"/>
        </w:rPr>
        <w:t xml:space="preserve">’ of the </w:t>
      </w:r>
      <w:r w:rsidR="00C34518">
        <w:rPr>
          <w:lang w:val="en"/>
        </w:rPr>
        <w:t>s</w:t>
      </w:r>
      <w:r w:rsidRPr="00AE7AE2">
        <w:rPr>
          <w:lang w:val="en"/>
        </w:rPr>
        <w:t xml:space="preserve">ingle </w:t>
      </w:r>
      <w:r w:rsidR="00C34518">
        <w:rPr>
          <w:lang w:val="en"/>
        </w:rPr>
        <w:t>m</w:t>
      </w:r>
      <w:r w:rsidRPr="00AE7AE2">
        <w:rPr>
          <w:lang w:val="en"/>
        </w:rPr>
        <w:t xml:space="preserve">arket </w:t>
      </w:r>
      <w:r w:rsidR="00C34518">
        <w:rPr>
          <w:lang w:val="en"/>
        </w:rPr>
        <w:t>s</w:t>
      </w:r>
      <w:r w:rsidRPr="00AE7AE2">
        <w:rPr>
          <w:lang w:val="en"/>
        </w:rPr>
        <w:t>trategy</w:t>
      </w:r>
      <w:r w:rsidRPr="00595922">
        <w:rPr>
          <w:lang w:val="en"/>
        </w:rPr>
        <w:t>, http://ec.</w:t>
      </w:r>
      <w:r w:rsidRPr="00542902">
        <w:rPr>
          <w:lang w:val="en"/>
        </w:rPr>
        <w:t>europa.eu/growth/single-market/strategy_en.</w:t>
      </w:r>
    </w:p>
  </w:footnote>
  <w:footnote w:id="12">
    <w:p w14:paraId="57A83672" w14:textId="77777777" w:rsidR="006C45EA" w:rsidRPr="00DC1791" w:rsidRDefault="006C45EA">
      <w:pPr>
        <w:pStyle w:val="FootnoteText"/>
      </w:pPr>
      <w:r>
        <w:rPr>
          <w:rStyle w:val="FootnoteReference"/>
        </w:rPr>
        <w:footnoteRef/>
      </w:r>
      <w:r>
        <w:t xml:space="preserve"> </w:t>
      </w:r>
      <w:r>
        <w:tab/>
        <w:t xml:space="preserve">See Annex 2 for further details on CJEU case-law on the Single Market Transparency Directive in 2016-2020. </w:t>
      </w:r>
    </w:p>
  </w:footnote>
  <w:footnote w:id="13">
    <w:p w14:paraId="6B3DA6D7" w14:textId="77777777" w:rsidR="006C45EA" w:rsidRPr="00542902" w:rsidRDefault="006C45EA" w:rsidP="0071349A">
      <w:pPr>
        <w:pStyle w:val="FootnoteText"/>
      </w:pPr>
      <w:r w:rsidRPr="00542902">
        <w:rPr>
          <w:rStyle w:val="FootnoteReference"/>
        </w:rPr>
        <w:footnoteRef/>
      </w:r>
      <w:r w:rsidRPr="00542902">
        <w:t xml:space="preserve"> </w:t>
      </w:r>
      <w:r w:rsidRPr="00542902">
        <w:tab/>
        <w:t xml:space="preserve">See </w:t>
      </w:r>
      <w:r w:rsidRPr="00D659F6">
        <w:t>R</w:t>
      </w:r>
      <w:r w:rsidRPr="00AE7AE2">
        <w:t xml:space="preserve">ecital </w:t>
      </w:r>
      <w:r w:rsidRPr="00595922">
        <w:t>7</w:t>
      </w:r>
      <w:r w:rsidRPr="00542902">
        <w:t xml:space="preserve"> of the Single Market Transparency Directive.</w:t>
      </w:r>
    </w:p>
  </w:footnote>
  <w:footnote w:id="14">
    <w:p w14:paraId="37366C29" w14:textId="77777777" w:rsidR="006C45EA" w:rsidRPr="00542902" w:rsidRDefault="006C45EA" w:rsidP="0071349A">
      <w:pPr>
        <w:pStyle w:val="FootnoteText"/>
      </w:pPr>
      <w:r w:rsidRPr="00542902">
        <w:rPr>
          <w:rStyle w:val="FootnoteReference"/>
        </w:rPr>
        <w:footnoteRef/>
      </w:r>
      <w:r w:rsidRPr="00542902">
        <w:t xml:space="preserve"> </w:t>
      </w:r>
      <w:r w:rsidRPr="00542902">
        <w:tab/>
      </w:r>
      <w:hyperlink r:id="rId2" w:history="1">
        <w:r w:rsidRPr="000548E6">
          <w:rPr>
            <w:noProof/>
          </w:rPr>
          <w:t>http://ec.europa.eu/growth/tools-databases/tris/en/</w:t>
        </w:r>
      </w:hyperlink>
    </w:p>
  </w:footnote>
  <w:footnote w:id="15">
    <w:p w14:paraId="3DE023A8" w14:textId="77777777" w:rsidR="006C45EA" w:rsidRPr="00542902" w:rsidRDefault="006C45EA">
      <w:pPr>
        <w:pStyle w:val="FootnoteText"/>
      </w:pPr>
      <w:r w:rsidRPr="00542902">
        <w:rPr>
          <w:rStyle w:val="FootnoteReference"/>
        </w:rPr>
        <w:footnoteRef/>
      </w:r>
      <w:r w:rsidRPr="00542902">
        <w:tab/>
      </w:r>
      <w:r w:rsidRPr="000548E6">
        <w:rPr>
          <w:noProof/>
        </w:rPr>
        <w:t xml:space="preserve">See </w:t>
      </w:r>
      <w:r w:rsidRPr="000548E6">
        <w:rPr>
          <w:i/>
          <w:noProof/>
        </w:rPr>
        <w:t>supra</w:t>
      </w:r>
      <w:r w:rsidRPr="003A0A71">
        <w:rPr>
          <w:noProof/>
        </w:rPr>
        <w:t>, footnote 2.</w:t>
      </w:r>
    </w:p>
  </w:footnote>
  <w:footnote w:id="16">
    <w:p w14:paraId="5AC4B7CD" w14:textId="77777777" w:rsidR="006C45EA" w:rsidRPr="00542902" w:rsidRDefault="006C45EA">
      <w:pPr>
        <w:pStyle w:val="FootnoteText"/>
      </w:pPr>
      <w:r w:rsidRPr="00542902">
        <w:rPr>
          <w:rStyle w:val="FootnoteReference"/>
        </w:rPr>
        <w:footnoteRef/>
      </w:r>
      <w:r w:rsidRPr="00542902">
        <w:t xml:space="preserve"> </w:t>
      </w:r>
      <w:r w:rsidRPr="00542902">
        <w:tab/>
      </w:r>
      <w:r>
        <w:t xml:space="preserve">See Annex 3.1. </w:t>
      </w:r>
      <w:r w:rsidRPr="00542902">
        <w:t xml:space="preserve">These figures do not include notifications from </w:t>
      </w:r>
      <w:r w:rsidRPr="00B46031">
        <w:t xml:space="preserve">EFTA </w:t>
      </w:r>
      <w:r w:rsidRPr="00AE7AE2">
        <w:t xml:space="preserve">countries </w:t>
      </w:r>
      <w:r w:rsidRPr="00595922">
        <w:t>that</w:t>
      </w:r>
      <w:r w:rsidRPr="00542902">
        <w:t xml:space="preserve"> are signatories of the EEA Agreement (Norway, Lichtenstein and Iceland), </w:t>
      </w:r>
      <w:r>
        <w:t xml:space="preserve">or notifications from </w:t>
      </w:r>
      <w:r w:rsidRPr="00542902">
        <w:t xml:space="preserve">Turkey </w:t>
      </w:r>
      <w:r>
        <w:t>or</w:t>
      </w:r>
      <w:r w:rsidRPr="00542902">
        <w:t xml:space="preserve"> Switzerland. In the reporting period</w:t>
      </w:r>
      <w:r>
        <w:t>,</w:t>
      </w:r>
      <w:r w:rsidRPr="00542902">
        <w:t xml:space="preserve"> the Commission received </w:t>
      </w:r>
      <w:r>
        <w:t>232</w:t>
      </w:r>
      <w:r w:rsidRPr="00542902">
        <w:t xml:space="preserve"> notifications by these countries (</w:t>
      </w:r>
      <w:r>
        <w:t>124</w:t>
      </w:r>
      <w:r w:rsidRPr="00542902">
        <w:t xml:space="preserve"> by EFTA/EEA countries, </w:t>
      </w:r>
      <w:r>
        <w:t>74</w:t>
      </w:r>
      <w:r w:rsidRPr="00542902">
        <w:t xml:space="preserve"> by Turkey and </w:t>
      </w:r>
      <w:r>
        <w:t>34</w:t>
      </w:r>
      <w:r w:rsidRPr="00542902">
        <w:t xml:space="preserve"> by Switzerland). </w:t>
      </w:r>
      <w:r>
        <w:t>S</w:t>
      </w:r>
      <w:r w:rsidRPr="00542902">
        <w:t xml:space="preserve">ee </w:t>
      </w:r>
      <w:r w:rsidRPr="00502DAF">
        <w:t xml:space="preserve">Annex </w:t>
      </w:r>
      <w:r>
        <w:t>4</w:t>
      </w:r>
      <w:r w:rsidRPr="00542902">
        <w:t xml:space="preserve"> for more information about these notifications. </w:t>
      </w:r>
    </w:p>
  </w:footnote>
  <w:footnote w:id="17">
    <w:p w14:paraId="47CC1029" w14:textId="77777777" w:rsidR="006C45EA" w:rsidRPr="00AB1327" w:rsidRDefault="006C45EA">
      <w:pPr>
        <w:pStyle w:val="FootnoteText"/>
      </w:pPr>
      <w:r>
        <w:rPr>
          <w:rStyle w:val="FootnoteReference"/>
        </w:rPr>
        <w:footnoteRef/>
      </w:r>
      <w:r>
        <w:t xml:space="preserve"> </w:t>
      </w:r>
      <w:r>
        <w:tab/>
        <w:t>See Annex 3.3.</w:t>
      </w:r>
    </w:p>
  </w:footnote>
  <w:footnote w:id="18">
    <w:p w14:paraId="7A94C2D1" w14:textId="77777777" w:rsidR="006C45EA" w:rsidRPr="00542902" w:rsidRDefault="006C45EA" w:rsidP="00092E93">
      <w:pPr>
        <w:pStyle w:val="FootnoteText"/>
      </w:pPr>
      <w:r w:rsidRPr="00542902">
        <w:rPr>
          <w:rStyle w:val="FootnoteReference"/>
        </w:rPr>
        <w:footnoteRef/>
      </w:r>
      <w:r w:rsidRPr="00542902">
        <w:t xml:space="preserve"> </w:t>
      </w:r>
      <w:r w:rsidRPr="00542902">
        <w:tab/>
        <w:t>Regulation (EU) No 305/2011 of the European Parliament and of the Council of 9 March 2011 laying down harmonised conditions for the marketing of construction products and repealing Council Directive 89/106/EEC, OJ L 88, 4.4.2011, p. 5.</w:t>
      </w:r>
    </w:p>
  </w:footnote>
  <w:footnote w:id="19">
    <w:p w14:paraId="3802C888" w14:textId="77777777" w:rsidR="006C45EA" w:rsidRPr="00542902" w:rsidRDefault="006C45EA" w:rsidP="00092E93">
      <w:pPr>
        <w:pStyle w:val="FootnoteText"/>
      </w:pPr>
      <w:r w:rsidRPr="00542902">
        <w:rPr>
          <w:rStyle w:val="FootnoteReference"/>
        </w:rPr>
        <w:footnoteRef/>
      </w:r>
      <w:r w:rsidRPr="00542902">
        <w:t xml:space="preserve"> </w:t>
      </w:r>
      <w:r w:rsidRPr="00542902">
        <w:tab/>
        <w:t>Directive 2009/142/EC of the European Parliament and of the Council of 30 November 2009 relating to appliances burning gaseous fuels, OJ L 330, 16.12.2009, p. 10.</w:t>
      </w:r>
    </w:p>
  </w:footnote>
  <w:footnote w:id="20">
    <w:p w14:paraId="5DD3E5F1" w14:textId="77777777" w:rsidR="006C45EA" w:rsidRPr="00542902" w:rsidRDefault="006C45EA" w:rsidP="00092E93">
      <w:pPr>
        <w:pStyle w:val="FootnoteText"/>
      </w:pPr>
      <w:r w:rsidRPr="00542902">
        <w:rPr>
          <w:rStyle w:val="FootnoteReference"/>
        </w:rPr>
        <w:footnoteRef/>
      </w:r>
      <w:r w:rsidRPr="00542902">
        <w:t xml:space="preserve"> </w:t>
      </w:r>
      <w:r w:rsidRPr="00542902">
        <w:tab/>
        <w:t>Council Directive 92/42/EEC of 21 May 1992 on efficiency requirements for new hot-water boilers fired with liquid or gaseous fuels, OJ L 167, 22.6.1992, p. 17.</w:t>
      </w:r>
    </w:p>
  </w:footnote>
  <w:footnote w:id="21">
    <w:p w14:paraId="252934E8" w14:textId="77777777" w:rsidR="006C45EA" w:rsidRPr="00542902" w:rsidRDefault="006C45EA" w:rsidP="00092E93">
      <w:pPr>
        <w:pStyle w:val="FootnoteText"/>
      </w:pPr>
      <w:r w:rsidRPr="00542902">
        <w:rPr>
          <w:rStyle w:val="FootnoteReference"/>
        </w:rPr>
        <w:footnoteRef/>
      </w:r>
      <w:r w:rsidRPr="00542902">
        <w:t xml:space="preserve"> </w:t>
      </w:r>
      <w:r w:rsidRPr="00542902">
        <w:tab/>
        <w:t>Directive 2012/27/EU of the European Parliament and of the Council of 25 October 2012 on energy efficiency, amending Directives 2009/125/EC and 2010/30/EU and repealing Directives 2004/8/EC and 2006/32/EC, OJ L 315, 14.11.2012, p. 1.</w:t>
      </w:r>
    </w:p>
  </w:footnote>
  <w:footnote w:id="22">
    <w:p w14:paraId="38DF6067" w14:textId="77777777" w:rsidR="006C45EA" w:rsidRPr="00542902" w:rsidRDefault="006C45EA" w:rsidP="00092E93">
      <w:pPr>
        <w:pStyle w:val="FootnoteText"/>
      </w:pPr>
      <w:r w:rsidRPr="00542902">
        <w:rPr>
          <w:rStyle w:val="FootnoteReference"/>
        </w:rPr>
        <w:footnoteRef/>
      </w:r>
      <w:r w:rsidRPr="00542902">
        <w:t xml:space="preserve"> </w:t>
      </w:r>
      <w:r w:rsidRPr="00542902">
        <w:tab/>
        <w:t>Directive 2010/31/EU of the European Parliament and of the Council of 19 May 2010 on the energy performance of buildings, OJ L 153, 18.6.2010, p. 13.</w:t>
      </w:r>
    </w:p>
  </w:footnote>
  <w:footnote w:id="23">
    <w:p w14:paraId="6C822B21" w14:textId="77777777" w:rsidR="006C45EA" w:rsidRPr="00542902" w:rsidRDefault="006C45EA" w:rsidP="00092E93">
      <w:pPr>
        <w:pStyle w:val="FootnoteText"/>
      </w:pPr>
      <w:r w:rsidRPr="00542902">
        <w:rPr>
          <w:rStyle w:val="FootnoteReference"/>
        </w:rPr>
        <w:footnoteRef/>
      </w:r>
      <w:r w:rsidRPr="00542902">
        <w:t xml:space="preserve"> </w:t>
      </w:r>
      <w:r w:rsidRPr="00542902">
        <w:tab/>
        <w:t>Directive 2009/125/EC of the European Parliament and of the Council of 21 October 2009 establishing a framework for the setting of ecodesign requirements for energy-related products, OJ L 285, 31.10.2009, p. 10.</w:t>
      </w:r>
    </w:p>
  </w:footnote>
  <w:footnote w:id="24">
    <w:p w14:paraId="58BD776A" w14:textId="77777777" w:rsidR="006C45EA" w:rsidRPr="00542902" w:rsidRDefault="006C45EA" w:rsidP="00092E93">
      <w:pPr>
        <w:pStyle w:val="FootnoteText"/>
        <w:rPr>
          <w:bCs/>
          <w:noProof/>
        </w:rPr>
      </w:pPr>
      <w:r w:rsidRPr="00542902">
        <w:rPr>
          <w:rStyle w:val="FootnoteReference"/>
        </w:rPr>
        <w:footnoteRef/>
      </w:r>
      <w:r w:rsidRPr="00542902">
        <w:rPr>
          <w:rStyle w:val="FootnoteReference"/>
        </w:rPr>
        <w:t xml:space="preserve"> </w:t>
      </w:r>
      <w:r w:rsidRPr="00542902">
        <w:rPr>
          <w:bCs/>
          <w:noProof/>
        </w:rPr>
        <w:tab/>
      </w:r>
      <w:r w:rsidRPr="00542902">
        <w:rPr>
          <w:noProof/>
        </w:rPr>
        <w:t>Directive 1999/5/EC of the European Parliament and of the Council of 9 March 1999 on radio equipment and telecommunications terminal equipment and the mutual recognition of their conformity, OJ L 91</w:t>
      </w:r>
      <w:r>
        <w:rPr>
          <w:noProof/>
        </w:rPr>
        <w:t>,</w:t>
      </w:r>
      <w:r w:rsidRPr="00542902">
        <w:rPr>
          <w:noProof/>
        </w:rPr>
        <w:t xml:space="preserve"> 7.4.1999, </w:t>
      </w:r>
      <w:r w:rsidRPr="00542902">
        <w:rPr>
          <w:iCs/>
        </w:rPr>
        <w:t>p. 10</w:t>
      </w:r>
      <w:r w:rsidRPr="00542902">
        <w:rPr>
          <w:noProof/>
        </w:rPr>
        <w:t xml:space="preserve">. </w:t>
      </w:r>
    </w:p>
  </w:footnote>
  <w:footnote w:id="25">
    <w:p w14:paraId="779B0308" w14:textId="77777777" w:rsidR="006C45EA" w:rsidRPr="00542902" w:rsidRDefault="006C45EA" w:rsidP="00512FFB">
      <w:pPr>
        <w:autoSpaceDE w:val="0"/>
        <w:autoSpaceDN w:val="0"/>
        <w:adjustRightInd w:val="0"/>
        <w:spacing w:after="0" w:line="240" w:lineRule="auto"/>
        <w:ind w:left="720" w:hanging="720"/>
        <w:jc w:val="both"/>
        <w:rPr>
          <w:rFonts w:ascii="Times New Roman" w:hAnsi="Times New Roman"/>
          <w:noProof/>
          <w:sz w:val="20"/>
          <w:szCs w:val="20"/>
        </w:rPr>
      </w:pPr>
      <w:r w:rsidRPr="00542902">
        <w:rPr>
          <w:rStyle w:val="FootnoteReference"/>
          <w:rFonts w:ascii="Times New Roman" w:hAnsi="Times New Roman"/>
          <w:sz w:val="20"/>
          <w:szCs w:val="20"/>
        </w:rPr>
        <w:footnoteRef/>
      </w:r>
      <w:r w:rsidRPr="00542902">
        <w:rPr>
          <w:rStyle w:val="FootnoteReference"/>
          <w:rFonts w:ascii="Times New Roman" w:hAnsi="Times New Roman"/>
          <w:sz w:val="20"/>
          <w:szCs w:val="20"/>
        </w:rPr>
        <w:t xml:space="preserve"> </w:t>
      </w:r>
      <w:r w:rsidRPr="00542902">
        <w:rPr>
          <w:rFonts w:ascii="Times New Roman" w:eastAsia="Times New Roman" w:hAnsi="Times New Roman"/>
          <w:bCs/>
          <w:noProof/>
          <w:sz w:val="20"/>
          <w:szCs w:val="20"/>
          <w:lang w:eastAsia="en-GB"/>
        </w:rPr>
        <w:tab/>
        <w:t xml:space="preserve">Directive 2006/95/EC of the European Parliament and </w:t>
      </w:r>
      <w:r w:rsidRPr="00B46031">
        <w:rPr>
          <w:rFonts w:ascii="Times New Roman" w:eastAsia="Times New Roman" w:hAnsi="Times New Roman"/>
          <w:bCs/>
          <w:noProof/>
          <w:sz w:val="20"/>
          <w:szCs w:val="20"/>
          <w:lang w:eastAsia="en-GB"/>
        </w:rPr>
        <w:t xml:space="preserve">of </w:t>
      </w:r>
      <w:r w:rsidRPr="00AE7AE2">
        <w:rPr>
          <w:rFonts w:ascii="Times New Roman" w:eastAsia="Times New Roman" w:hAnsi="Times New Roman"/>
          <w:bCs/>
          <w:noProof/>
          <w:sz w:val="20"/>
          <w:szCs w:val="20"/>
          <w:lang w:eastAsia="en-GB"/>
        </w:rPr>
        <w:t>t</w:t>
      </w:r>
      <w:r w:rsidRPr="00595922">
        <w:rPr>
          <w:rFonts w:ascii="Times New Roman" w:eastAsia="Times New Roman" w:hAnsi="Times New Roman"/>
          <w:bCs/>
          <w:noProof/>
          <w:sz w:val="20"/>
          <w:szCs w:val="20"/>
          <w:lang w:eastAsia="en-GB"/>
        </w:rPr>
        <w:t>he Council of 12</w:t>
      </w:r>
      <w:r w:rsidRPr="00542902">
        <w:rPr>
          <w:rFonts w:ascii="Times New Roman" w:eastAsia="Times New Roman" w:hAnsi="Times New Roman"/>
          <w:bCs/>
          <w:noProof/>
          <w:sz w:val="20"/>
          <w:szCs w:val="20"/>
          <w:lang w:eastAsia="en-GB"/>
        </w:rPr>
        <w:t xml:space="preserve"> December 2006 on the harmonisation of the laws of Member States relating to electrical equipment designed for use </w:t>
      </w:r>
      <w:r w:rsidRPr="00542902">
        <w:rPr>
          <w:rFonts w:ascii="Times New Roman" w:hAnsi="Times New Roman"/>
          <w:noProof/>
          <w:sz w:val="20"/>
          <w:szCs w:val="20"/>
        </w:rPr>
        <w:t>within certain voltage limits, OJ L 374</w:t>
      </w:r>
      <w:r>
        <w:rPr>
          <w:rFonts w:ascii="Times New Roman" w:hAnsi="Times New Roman"/>
          <w:noProof/>
          <w:sz w:val="20"/>
          <w:szCs w:val="20"/>
        </w:rPr>
        <w:t>,</w:t>
      </w:r>
      <w:r w:rsidRPr="00542902">
        <w:rPr>
          <w:rFonts w:ascii="Times New Roman" w:hAnsi="Times New Roman"/>
          <w:noProof/>
          <w:sz w:val="20"/>
          <w:szCs w:val="20"/>
        </w:rPr>
        <w:t xml:space="preserve"> 27.12.2006, p. 10</w:t>
      </w:r>
      <w:r>
        <w:rPr>
          <w:rFonts w:ascii="Times New Roman" w:hAnsi="Times New Roman"/>
          <w:noProof/>
          <w:sz w:val="20"/>
          <w:szCs w:val="20"/>
        </w:rPr>
        <w:t>.</w:t>
      </w:r>
    </w:p>
  </w:footnote>
  <w:footnote w:id="26">
    <w:p w14:paraId="10D04ED5" w14:textId="77777777" w:rsidR="006C45EA" w:rsidRPr="00542902" w:rsidRDefault="006C45EA" w:rsidP="00512FFB">
      <w:pPr>
        <w:autoSpaceDE w:val="0"/>
        <w:autoSpaceDN w:val="0"/>
        <w:adjustRightInd w:val="0"/>
        <w:spacing w:after="0" w:line="240" w:lineRule="auto"/>
        <w:ind w:left="720" w:hanging="720"/>
        <w:jc w:val="both"/>
        <w:rPr>
          <w:rFonts w:ascii="Times New Roman" w:hAnsi="Times New Roman"/>
          <w:sz w:val="20"/>
          <w:szCs w:val="20"/>
        </w:rPr>
      </w:pPr>
      <w:r w:rsidRPr="00542902">
        <w:rPr>
          <w:rStyle w:val="FootnoteReference"/>
          <w:rFonts w:ascii="Times New Roman" w:hAnsi="Times New Roman"/>
          <w:sz w:val="20"/>
          <w:szCs w:val="20"/>
        </w:rPr>
        <w:footnoteRef/>
      </w:r>
      <w:r w:rsidRPr="00542902">
        <w:rPr>
          <w:rStyle w:val="FootnoteReference"/>
          <w:rFonts w:ascii="Times New Roman" w:hAnsi="Times New Roman"/>
          <w:sz w:val="20"/>
          <w:szCs w:val="20"/>
        </w:rPr>
        <w:t xml:space="preserve"> </w:t>
      </w:r>
      <w:r w:rsidRPr="00542902">
        <w:rPr>
          <w:rFonts w:ascii="Times New Roman" w:eastAsia="Times New Roman" w:hAnsi="Times New Roman"/>
          <w:bCs/>
          <w:noProof/>
          <w:sz w:val="20"/>
          <w:szCs w:val="20"/>
          <w:lang w:eastAsia="en-GB"/>
        </w:rPr>
        <w:tab/>
        <w:t>Directive 2004/108/EC of the European Parliament and of the Council of 15 December 2004 on the approximation of the laws of the Member States relating to electromagnetic compatibility, OJ L 390</w:t>
      </w:r>
      <w:r>
        <w:rPr>
          <w:rFonts w:ascii="Times New Roman" w:eastAsia="Times New Roman" w:hAnsi="Times New Roman"/>
          <w:bCs/>
          <w:noProof/>
          <w:sz w:val="20"/>
          <w:szCs w:val="20"/>
          <w:lang w:eastAsia="en-GB"/>
        </w:rPr>
        <w:t>,</w:t>
      </w:r>
      <w:r w:rsidRPr="00542902">
        <w:rPr>
          <w:rFonts w:ascii="Times New Roman" w:eastAsia="Times New Roman" w:hAnsi="Times New Roman"/>
          <w:bCs/>
          <w:noProof/>
          <w:sz w:val="20"/>
          <w:szCs w:val="20"/>
          <w:lang w:eastAsia="en-GB"/>
        </w:rPr>
        <w:t xml:space="preserve"> 31.12.2004, </w:t>
      </w:r>
      <w:r w:rsidRPr="00542902">
        <w:rPr>
          <w:rFonts w:ascii="Times New Roman" w:hAnsi="Times New Roman"/>
          <w:iCs/>
          <w:sz w:val="20"/>
          <w:szCs w:val="20"/>
        </w:rPr>
        <w:t>p. 24.</w:t>
      </w:r>
      <w:r w:rsidRPr="00542902">
        <w:rPr>
          <w:rFonts w:ascii="Times New Roman" w:hAnsi="Times New Roman"/>
          <w:bCs/>
          <w:sz w:val="20"/>
          <w:szCs w:val="20"/>
        </w:rPr>
        <w:t xml:space="preserve"> </w:t>
      </w:r>
    </w:p>
  </w:footnote>
  <w:footnote w:id="27">
    <w:p w14:paraId="226CFDD9" w14:textId="77777777" w:rsidR="006C45EA" w:rsidRPr="00795999" w:rsidRDefault="006C45EA">
      <w:pPr>
        <w:pStyle w:val="FootnoteText"/>
      </w:pPr>
      <w:r>
        <w:rPr>
          <w:rStyle w:val="FootnoteReference"/>
        </w:rPr>
        <w:footnoteRef/>
      </w:r>
      <w:r>
        <w:t xml:space="preserve"> </w:t>
      </w:r>
      <w:r>
        <w:tab/>
        <w:t>See Annex 3.3.</w:t>
      </w:r>
    </w:p>
  </w:footnote>
  <w:footnote w:id="28">
    <w:p w14:paraId="4A5337B6" w14:textId="77777777" w:rsidR="006C45EA" w:rsidRPr="00542902" w:rsidRDefault="006C45EA" w:rsidP="00415812">
      <w:pPr>
        <w:pStyle w:val="FootnoteText"/>
      </w:pPr>
      <w:r w:rsidRPr="00542902">
        <w:rPr>
          <w:rStyle w:val="FootnoteReference"/>
        </w:rPr>
        <w:footnoteRef/>
      </w:r>
      <w:r w:rsidRPr="00542902">
        <w:t xml:space="preserve"> </w:t>
      </w:r>
      <w:r w:rsidRPr="00542902">
        <w:tab/>
      </w:r>
      <w:r w:rsidRPr="00542902">
        <w:rPr>
          <w:noProof/>
        </w:rPr>
        <w:t>Regulation (EU) No 1151/2012 of the European Parliament and the Council on quality schemes for agricultural products and foodstuffs</w:t>
      </w:r>
      <w:r w:rsidRPr="00542902">
        <w:t xml:space="preserve">, </w:t>
      </w:r>
      <w:r w:rsidRPr="00542902">
        <w:rPr>
          <w:iCs/>
        </w:rPr>
        <w:t>OJ L 343, 14.12.2012, p. 1</w:t>
      </w:r>
      <w:r w:rsidRPr="00542902">
        <w:t>.</w:t>
      </w:r>
    </w:p>
  </w:footnote>
  <w:footnote w:id="29">
    <w:p w14:paraId="758D1EB3" w14:textId="77777777" w:rsidR="006C45EA" w:rsidRPr="00542902" w:rsidRDefault="006C45EA" w:rsidP="004E6EB4">
      <w:pPr>
        <w:pStyle w:val="FootnoteText"/>
      </w:pPr>
      <w:r w:rsidRPr="00542902">
        <w:rPr>
          <w:rStyle w:val="FootnoteReference"/>
        </w:rPr>
        <w:footnoteRef/>
      </w:r>
      <w:r w:rsidRPr="00542902">
        <w:t xml:space="preserve"> </w:t>
      </w:r>
      <w:r w:rsidRPr="00542902">
        <w:tab/>
        <w:t>Regulation (EC) No 852/2004 of the European Parliament and of the Council of 29 April 2004 on the hygiene of foodstuffs, OJ L 139, 30.4.2004, p. 1.</w:t>
      </w:r>
    </w:p>
  </w:footnote>
  <w:footnote w:id="30">
    <w:p w14:paraId="41DFB436" w14:textId="77777777" w:rsidR="006C45EA" w:rsidRPr="00542902" w:rsidRDefault="006C45EA" w:rsidP="004E6EB4">
      <w:pPr>
        <w:pStyle w:val="FootnoteText"/>
      </w:pPr>
      <w:r w:rsidRPr="00542902">
        <w:rPr>
          <w:rStyle w:val="FootnoteReference"/>
        </w:rPr>
        <w:footnoteRef/>
      </w:r>
      <w:r w:rsidRPr="00542902">
        <w:t xml:space="preserve"> </w:t>
      </w:r>
      <w:r w:rsidRPr="00542902">
        <w:tab/>
        <w:t>Regulation (EC) No 853/2004 of the European Parliament and of the Council of 29 April 2004 laying down specific hygiene rules for food of animal origin, OJ L 139, 30.4.2004, p. 55.</w:t>
      </w:r>
    </w:p>
  </w:footnote>
  <w:footnote w:id="31">
    <w:p w14:paraId="3E1146C5" w14:textId="77777777" w:rsidR="006C45EA" w:rsidRPr="00542902" w:rsidRDefault="006C45EA" w:rsidP="00D730E2">
      <w:pPr>
        <w:pStyle w:val="FootnoteText"/>
      </w:pPr>
      <w:r w:rsidRPr="00542902">
        <w:rPr>
          <w:rStyle w:val="FootnoteReference"/>
        </w:rPr>
        <w:footnoteRef/>
      </w:r>
      <w:r w:rsidRPr="00542902">
        <w:t xml:space="preserve"> </w:t>
      </w:r>
      <w:r w:rsidRPr="00542902">
        <w:tab/>
        <w:t>Regulation (EC) No 854/2004 of the European Parliament and of the Council of 29 April 2004 laying down specific rules for the organisation of official controls on products of animal origin intended for human consumption, OJ L 139, 30.4.2004, p. 206.</w:t>
      </w:r>
      <w:r>
        <w:t xml:space="preserve"> </w:t>
      </w:r>
      <w:r w:rsidRPr="00BB3408">
        <w:t xml:space="preserve">Regulation (EC) No 854/2004 was repealed by Regulation (EU) </w:t>
      </w:r>
      <w:r w:rsidRPr="00CB6792">
        <w:t>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 OJ L 95, 7.4.2017, p. 1.</w:t>
      </w:r>
      <w:r w:rsidRPr="00CB6792" w:rsidDel="0090022C">
        <w:t xml:space="preserve"> </w:t>
      </w:r>
    </w:p>
  </w:footnote>
  <w:footnote w:id="32">
    <w:p w14:paraId="37D4D486" w14:textId="77777777" w:rsidR="006C45EA" w:rsidRPr="00542902" w:rsidRDefault="006C45EA" w:rsidP="00BC6719">
      <w:pPr>
        <w:pStyle w:val="FootnoteText"/>
      </w:pPr>
      <w:r w:rsidRPr="00542902">
        <w:rPr>
          <w:rStyle w:val="FootnoteReference"/>
        </w:rPr>
        <w:footnoteRef/>
      </w:r>
      <w:r w:rsidRPr="00542902">
        <w:t xml:space="preserve"> </w:t>
      </w:r>
      <w:r w:rsidRPr="00542902">
        <w:tab/>
        <w:t>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 OJ L 304, 22.11.2011, p. 18.</w:t>
      </w:r>
    </w:p>
  </w:footnote>
  <w:footnote w:id="33">
    <w:p w14:paraId="7AE9F42A" w14:textId="77777777" w:rsidR="006C45EA" w:rsidRPr="00542902" w:rsidRDefault="006C45EA" w:rsidP="000B10A4">
      <w:pPr>
        <w:pStyle w:val="FootnoteText"/>
      </w:pPr>
      <w:r w:rsidRPr="00542902">
        <w:rPr>
          <w:rStyle w:val="FootnoteReference"/>
        </w:rPr>
        <w:footnoteRef/>
      </w:r>
      <w:r w:rsidRPr="00542902">
        <w:t xml:space="preserve"> </w:t>
      </w:r>
      <w:r w:rsidRPr="00542902">
        <w:tab/>
        <w:t>Regulation (EU) No 1379/2013 of the European Parliament and of the Council of 11 December 2013 on the common organisation of the markets in fishery and aquaculture products, amending Council Regulations (EC) No 1184/2006 and (EC) No 1224/2009 and repealing Council Regulation (EC) No 104/2000, OJ L 354, 28.12.2013, p. 1.</w:t>
      </w:r>
    </w:p>
  </w:footnote>
  <w:footnote w:id="34">
    <w:p w14:paraId="7C48E724" w14:textId="77777777" w:rsidR="006C45EA" w:rsidRPr="00795999" w:rsidRDefault="006C45EA">
      <w:pPr>
        <w:pStyle w:val="FootnoteText"/>
      </w:pPr>
      <w:r>
        <w:rPr>
          <w:rStyle w:val="FootnoteReference"/>
        </w:rPr>
        <w:footnoteRef/>
      </w:r>
      <w:r>
        <w:t xml:space="preserve"> </w:t>
      </w:r>
      <w:r>
        <w:tab/>
        <w:t>See Annex 3.3.</w:t>
      </w:r>
    </w:p>
  </w:footnote>
  <w:footnote w:id="35">
    <w:p w14:paraId="13D841E6" w14:textId="77777777" w:rsidR="006C45EA" w:rsidRPr="00512FFB" w:rsidRDefault="006C45EA" w:rsidP="00C6163C">
      <w:pPr>
        <w:autoSpaceDE w:val="0"/>
        <w:autoSpaceDN w:val="0"/>
        <w:adjustRightInd w:val="0"/>
        <w:spacing w:after="0" w:line="240" w:lineRule="auto"/>
        <w:ind w:left="720" w:hanging="720"/>
        <w:jc w:val="both"/>
        <w:rPr>
          <w:rFonts w:ascii="Times New Roman" w:hAnsi="Times New Roman"/>
          <w:noProof/>
          <w:sz w:val="20"/>
          <w:szCs w:val="20"/>
        </w:rPr>
      </w:pPr>
      <w:r w:rsidRPr="00512FFB">
        <w:rPr>
          <w:rStyle w:val="FootnoteReference"/>
          <w:rFonts w:ascii="Times New Roman" w:hAnsi="Times New Roman"/>
          <w:sz w:val="20"/>
          <w:szCs w:val="20"/>
        </w:rPr>
        <w:footnoteRef/>
      </w:r>
      <w:r w:rsidRPr="00512FFB">
        <w:rPr>
          <w:rFonts w:ascii="Times New Roman" w:hAnsi="Times New Roman"/>
          <w:sz w:val="20"/>
          <w:szCs w:val="20"/>
        </w:rPr>
        <w:t xml:space="preserve"> </w:t>
      </w:r>
      <w:r w:rsidRPr="00512FFB">
        <w:rPr>
          <w:rFonts w:ascii="Times New Roman" w:hAnsi="Times New Roman"/>
          <w:sz w:val="20"/>
          <w:szCs w:val="20"/>
        </w:rPr>
        <w:tab/>
      </w:r>
      <w:r w:rsidRPr="00512FFB">
        <w:rPr>
          <w:rFonts w:ascii="Times New Roman" w:hAnsi="Times New Roman"/>
          <w:noProof/>
          <w:sz w:val="20"/>
          <w:szCs w:val="20"/>
        </w:rPr>
        <w:t>Directive 2000/31/EC of the European Parliament and of the Council of 8 June 2000 on certain legal aspects of information society services, in particular electronic commerce, in the Internal Market (</w:t>
      </w:r>
      <w:r>
        <w:rPr>
          <w:rFonts w:ascii="Times New Roman" w:hAnsi="Times New Roman"/>
          <w:noProof/>
          <w:sz w:val="20"/>
          <w:szCs w:val="20"/>
        </w:rPr>
        <w:t>‘</w:t>
      </w:r>
      <w:r w:rsidRPr="00512FFB">
        <w:rPr>
          <w:rFonts w:ascii="Times New Roman" w:hAnsi="Times New Roman"/>
          <w:noProof/>
          <w:sz w:val="20"/>
          <w:szCs w:val="20"/>
        </w:rPr>
        <w:t>Directive on electronic commerce</w:t>
      </w:r>
      <w:r>
        <w:rPr>
          <w:rFonts w:ascii="Times New Roman" w:hAnsi="Times New Roman"/>
          <w:noProof/>
          <w:sz w:val="20"/>
          <w:szCs w:val="20"/>
        </w:rPr>
        <w:t>’</w:t>
      </w:r>
      <w:r w:rsidRPr="00512FFB">
        <w:rPr>
          <w:rFonts w:ascii="Times New Roman" w:hAnsi="Times New Roman"/>
          <w:noProof/>
          <w:sz w:val="20"/>
          <w:szCs w:val="20"/>
        </w:rPr>
        <w:t>), OJ L 178, 17.7.2000, p. 1</w:t>
      </w:r>
      <w:r>
        <w:rPr>
          <w:rFonts w:ascii="Times New Roman" w:hAnsi="Times New Roman"/>
          <w:noProof/>
          <w:sz w:val="20"/>
          <w:szCs w:val="20"/>
        </w:rPr>
        <w:t>.</w:t>
      </w:r>
    </w:p>
  </w:footnote>
  <w:footnote w:id="36">
    <w:p w14:paraId="6A64C4BB" w14:textId="77777777" w:rsidR="006C45EA" w:rsidRPr="00512FFB" w:rsidRDefault="006C45EA" w:rsidP="00D44A41">
      <w:pPr>
        <w:autoSpaceDE w:val="0"/>
        <w:autoSpaceDN w:val="0"/>
        <w:adjustRightInd w:val="0"/>
        <w:spacing w:after="0" w:line="240" w:lineRule="auto"/>
        <w:ind w:left="720" w:hanging="720"/>
        <w:jc w:val="both"/>
        <w:rPr>
          <w:rFonts w:ascii="Times New Roman" w:hAnsi="Times New Roman"/>
          <w:sz w:val="20"/>
          <w:szCs w:val="20"/>
        </w:rPr>
      </w:pPr>
      <w:r w:rsidRPr="00512FFB">
        <w:rPr>
          <w:rStyle w:val="FootnoteReference"/>
          <w:rFonts w:ascii="Times New Roman" w:hAnsi="Times New Roman"/>
          <w:sz w:val="20"/>
          <w:szCs w:val="20"/>
        </w:rPr>
        <w:footnoteRef/>
      </w:r>
      <w:r w:rsidRPr="00512FFB">
        <w:rPr>
          <w:rFonts w:ascii="Times New Roman" w:hAnsi="Times New Roman"/>
          <w:sz w:val="20"/>
          <w:szCs w:val="20"/>
        </w:rPr>
        <w:t xml:space="preserve"> </w:t>
      </w:r>
      <w:r w:rsidRPr="00512FFB">
        <w:rPr>
          <w:rFonts w:ascii="Times New Roman" w:hAnsi="Times New Roman"/>
          <w:sz w:val="20"/>
          <w:szCs w:val="20"/>
        </w:rPr>
        <w:tab/>
      </w:r>
      <w:r w:rsidRPr="00512FFB">
        <w:rPr>
          <w:rFonts w:ascii="Times New Roman" w:hAnsi="Times New Roman"/>
          <w:noProof/>
          <w:sz w:val="20"/>
          <w:szCs w:val="20"/>
        </w:rPr>
        <w:t>Directive (EU) 2018/1808 of the European Parliament and of the Council of 14 November 2018 amending Directive 2010/13/EU on the coordination of certain provisions laid down by law, regulation or administrative action in Member States concerning the provision of audiovisual media services (Audiovisual Media Services Directive) in view of changing market realities, OJ L 303, 28.11.2018, p. 69</w:t>
      </w:r>
      <w:r w:rsidRPr="00542902">
        <w:rPr>
          <w:rFonts w:ascii="Times New Roman" w:hAnsi="Times New Roman"/>
          <w:noProof/>
          <w:sz w:val="20"/>
          <w:szCs w:val="20"/>
        </w:rPr>
        <w:t>.</w:t>
      </w:r>
    </w:p>
  </w:footnote>
  <w:footnote w:id="37">
    <w:p w14:paraId="36DC3245" w14:textId="77777777" w:rsidR="006C45EA" w:rsidRPr="00542902" w:rsidRDefault="006C45EA" w:rsidP="00C6163C">
      <w:pPr>
        <w:pStyle w:val="FootnoteText"/>
      </w:pPr>
      <w:r w:rsidRPr="00512FFB">
        <w:rPr>
          <w:rStyle w:val="FootnoteReference"/>
        </w:rPr>
        <w:footnoteRef/>
      </w:r>
      <w:r w:rsidRPr="00512FFB">
        <w:t xml:space="preserve"> </w:t>
      </w:r>
      <w:r w:rsidRPr="00512FFB">
        <w:tab/>
      </w:r>
      <w:r w:rsidRPr="00512FFB">
        <w:rPr>
          <w:noProof/>
        </w:rPr>
        <w:t>Regulation (EU) No 910/2014 of the European Parliament and of the Council of 23 July 2014 on electronic identification and trust services for electronic transactions in the internal market and repealing Directive 1999/93/EC, OJ L 257, 28.8.2014, p. 73</w:t>
      </w:r>
      <w:r w:rsidRPr="00542902">
        <w:rPr>
          <w:noProof/>
        </w:rPr>
        <w:t>.</w:t>
      </w:r>
    </w:p>
  </w:footnote>
  <w:footnote w:id="38">
    <w:p w14:paraId="38814FF7" w14:textId="77777777" w:rsidR="006C45EA" w:rsidRPr="00542902" w:rsidRDefault="006C45EA" w:rsidP="00C6163C">
      <w:pPr>
        <w:pStyle w:val="FootnoteText"/>
      </w:pPr>
      <w:r w:rsidRPr="00512FFB">
        <w:rPr>
          <w:rStyle w:val="FootnoteReference"/>
        </w:rPr>
        <w:footnoteRef/>
      </w:r>
      <w:r w:rsidRPr="00512FFB">
        <w:t xml:space="preserve"> </w:t>
      </w:r>
      <w:r w:rsidRPr="00512FFB">
        <w:tab/>
      </w:r>
      <w:r w:rsidRPr="00512FFB">
        <w:rPr>
          <w:noProof/>
        </w:rPr>
        <w:t>Regulation (EU) 2018/1807 of the European Parliament and of the Council of 14 November 2018 on a framework for the free flow of non-personal data in the European Union, OJ L 303, 28.11.2018, p. 59</w:t>
      </w:r>
      <w:r w:rsidRPr="00542902">
        <w:rPr>
          <w:noProof/>
        </w:rPr>
        <w:t>.</w:t>
      </w:r>
    </w:p>
  </w:footnote>
  <w:footnote w:id="39">
    <w:p w14:paraId="53E59AD5" w14:textId="77777777" w:rsidR="006C45EA" w:rsidRPr="00DC47C5" w:rsidRDefault="006C45EA">
      <w:pPr>
        <w:pStyle w:val="FootnoteText"/>
      </w:pPr>
      <w:r>
        <w:rPr>
          <w:rStyle w:val="FootnoteReference"/>
        </w:rPr>
        <w:footnoteRef/>
      </w:r>
      <w:r>
        <w:t xml:space="preserve"> </w:t>
      </w:r>
      <w:r>
        <w:tab/>
      </w:r>
      <w:r w:rsidRPr="00DC47C5">
        <w:t>Directive 2006/123/EC of the European Parliament and of the Council of 12 December 2006 on services in the internal market, OJ L 376, 27.12.2006, p. 36.</w:t>
      </w:r>
    </w:p>
  </w:footnote>
  <w:footnote w:id="40">
    <w:p w14:paraId="2A71D0FF" w14:textId="77777777" w:rsidR="006C45EA" w:rsidRPr="00542902" w:rsidRDefault="006C45EA" w:rsidP="00C6163C">
      <w:pPr>
        <w:pStyle w:val="FootnoteText"/>
      </w:pPr>
      <w:r w:rsidRPr="00542902">
        <w:rPr>
          <w:rStyle w:val="FootnoteReference"/>
        </w:rPr>
        <w:footnoteRef/>
      </w:r>
      <w:r w:rsidRPr="00542902">
        <w:t xml:space="preserve"> </w:t>
      </w:r>
      <w:r w:rsidRPr="00542902">
        <w:tab/>
      </w:r>
      <w:r w:rsidRPr="00512FFB">
        <w:rPr>
          <w:noProof/>
        </w:rPr>
        <w:t>Directive 2011/83/EU of the European Parliament and of the Council of 25 October 2011 on consumer rights, amending Council Directive 93/13/EEC and Directive 1999/44/EC of the European Parliament and of the Council and repealing Council Directive 85/577/EEC and Directive 97/7/EC of the European Parliament and of the Council, OJ L 304, 22.11.2011, p. 64</w:t>
      </w:r>
      <w:r w:rsidRPr="00542902">
        <w:rPr>
          <w:noProof/>
        </w:rPr>
        <w:t>.</w:t>
      </w:r>
    </w:p>
  </w:footnote>
  <w:footnote w:id="41">
    <w:p w14:paraId="6B6B8486" w14:textId="77777777" w:rsidR="006C45EA" w:rsidRPr="00542902" w:rsidRDefault="006C45EA" w:rsidP="00AC5456">
      <w:pPr>
        <w:pStyle w:val="FootnoteText"/>
      </w:pPr>
      <w:r w:rsidRPr="00542902">
        <w:rPr>
          <w:rStyle w:val="FootnoteReference"/>
        </w:rPr>
        <w:footnoteRef/>
      </w:r>
      <w:r w:rsidRPr="00542902">
        <w:t xml:space="preserve"> </w:t>
      </w:r>
      <w:r w:rsidRPr="00542902">
        <w:tab/>
      </w:r>
      <w:r w:rsidRPr="00512FFB">
        <w:rPr>
          <w:noProof/>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r w:rsidRPr="00542902">
        <w:rPr>
          <w:noProof/>
        </w:rPr>
        <w:t>.</w:t>
      </w:r>
    </w:p>
  </w:footnote>
  <w:footnote w:id="42">
    <w:p w14:paraId="16C80A3C" w14:textId="77777777" w:rsidR="006C45EA" w:rsidRPr="00795999" w:rsidRDefault="006C45EA">
      <w:pPr>
        <w:pStyle w:val="FootnoteText"/>
      </w:pPr>
      <w:r>
        <w:rPr>
          <w:rStyle w:val="FootnoteReference"/>
        </w:rPr>
        <w:footnoteRef/>
      </w:r>
      <w:r>
        <w:t xml:space="preserve"> </w:t>
      </w:r>
      <w:r>
        <w:tab/>
      </w:r>
      <w:r w:rsidRPr="00795999">
        <w:t xml:space="preserve">See Annex </w:t>
      </w:r>
      <w:r>
        <w:t>3</w:t>
      </w:r>
      <w:r w:rsidRPr="00795999">
        <w:t>.3.</w:t>
      </w:r>
    </w:p>
  </w:footnote>
  <w:footnote w:id="43">
    <w:p w14:paraId="133D5586" w14:textId="77777777" w:rsidR="006C45EA" w:rsidRPr="00542902" w:rsidRDefault="006C45EA" w:rsidP="00B721B8">
      <w:pPr>
        <w:pStyle w:val="FootnoteText"/>
      </w:pPr>
      <w:r w:rsidRPr="00542902">
        <w:rPr>
          <w:rStyle w:val="FootnoteReference"/>
        </w:rPr>
        <w:footnoteRef/>
      </w:r>
      <w:r w:rsidRPr="00542902">
        <w:t xml:space="preserve"> </w:t>
      </w:r>
      <w:r w:rsidRPr="00542902">
        <w:tab/>
        <w:t>Regulation (EC) No 1907/2006 of the European Parliament and of the Council of 18 December 2006 concerning the Registration, Evaluation, Authorisation and Restriction of Chemicals</w:t>
      </w:r>
      <w:r>
        <w:t xml:space="preserve"> (REACH)</w:t>
      </w:r>
      <w:r w:rsidRPr="00542902">
        <w:t>, establishing a European Chemicals Agency, amending Directive 1999/45/EC and repealing Council Regulation (EEC) No 793/93 and Commission Regulation (EC) No 1488/94 as well as Council Directive 76/769/EEC and Commission Directives 91/155/EEC, 93/67/EEC, 93/105/EC and 2000/21/EC, OJ L 396, 30.12.2006, p. 1.</w:t>
      </w:r>
    </w:p>
  </w:footnote>
  <w:footnote w:id="44">
    <w:p w14:paraId="3306B239" w14:textId="77777777" w:rsidR="006C45EA" w:rsidRPr="00542902" w:rsidRDefault="006C45EA">
      <w:pPr>
        <w:pStyle w:val="FootnoteText"/>
      </w:pPr>
      <w:r w:rsidRPr="00542902">
        <w:rPr>
          <w:rStyle w:val="FootnoteReference"/>
        </w:rPr>
        <w:footnoteRef/>
      </w:r>
      <w:r w:rsidRPr="00542902">
        <w:t xml:space="preserve"> </w:t>
      </w:r>
      <w:r w:rsidRPr="00542902">
        <w:tab/>
        <w:t>Regulation (EU) No 528/2012 of the European Parliament and of the Council of 22 May 2012 concerning the making available on the market and use of biocidal products, OJ L 167, 27.6.2012, p. 1.</w:t>
      </w:r>
    </w:p>
  </w:footnote>
  <w:footnote w:id="45">
    <w:p w14:paraId="22F0058F" w14:textId="77777777" w:rsidR="006C45EA" w:rsidRPr="00542902" w:rsidRDefault="006C45EA">
      <w:pPr>
        <w:pStyle w:val="FootnoteText"/>
      </w:pPr>
      <w:r w:rsidRPr="00542902">
        <w:rPr>
          <w:rStyle w:val="FootnoteReference"/>
        </w:rPr>
        <w:footnoteRef/>
      </w:r>
      <w:r w:rsidRPr="00542902">
        <w:t xml:space="preserve"> </w:t>
      </w:r>
      <w:r w:rsidRPr="00542902">
        <w:tab/>
        <w:t xml:space="preserve">Regulation (EC) No 1107/2009 of the European Parliament and of the Council of 21 October 2009 concerning the placing of plant protection products on the market and repealing Council Directives 79/117/EEC and 91/414/EEC, </w:t>
      </w:r>
      <w:r>
        <w:t>OJ</w:t>
      </w:r>
      <w:r w:rsidRPr="00542902">
        <w:t xml:space="preserve"> L 309</w:t>
      </w:r>
      <w:r>
        <w:t>,</w:t>
      </w:r>
      <w:r w:rsidRPr="00542902">
        <w:t xml:space="preserve"> 24.11.2009, p. 1.</w:t>
      </w:r>
    </w:p>
  </w:footnote>
  <w:footnote w:id="46">
    <w:p w14:paraId="6D11F20C" w14:textId="77777777" w:rsidR="006C45EA" w:rsidRPr="00795999" w:rsidRDefault="006C45EA">
      <w:pPr>
        <w:pStyle w:val="FootnoteText"/>
      </w:pPr>
      <w:r>
        <w:rPr>
          <w:rStyle w:val="FootnoteReference"/>
        </w:rPr>
        <w:footnoteRef/>
      </w:r>
      <w:r>
        <w:t xml:space="preserve"> </w:t>
      </w:r>
      <w:r>
        <w:tab/>
        <w:t>See Annex 3</w:t>
      </w:r>
      <w:r w:rsidRPr="00795999">
        <w:t>.3.</w:t>
      </w:r>
    </w:p>
  </w:footnote>
  <w:footnote w:id="47">
    <w:p w14:paraId="647FB1EA" w14:textId="77777777" w:rsidR="006C45EA" w:rsidRPr="00542902" w:rsidRDefault="006C45EA" w:rsidP="004D753E">
      <w:pPr>
        <w:pStyle w:val="FootnoteText"/>
        <w:ind w:left="709" w:hanging="709"/>
      </w:pPr>
      <w:r w:rsidRPr="00542902">
        <w:rPr>
          <w:rStyle w:val="FootnoteReference"/>
        </w:rPr>
        <w:footnoteRef/>
      </w:r>
      <w:r w:rsidRPr="00542902">
        <w:t xml:space="preserve"> </w:t>
      </w:r>
      <w:r w:rsidRPr="00542902">
        <w:tab/>
        <w:t>European Parliament and Council Directive 94/62/EC of 20 December 1994 on packaging and packaging waste, OJ L 365, 31.12.1994, p. 10.</w:t>
      </w:r>
    </w:p>
  </w:footnote>
  <w:footnote w:id="48">
    <w:p w14:paraId="11D94C15" w14:textId="77777777" w:rsidR="006C45EA" w:rsidRPr="00542902" w:rsidRDefault="006C45EA" w:rsidP="00512FFB">
      <w:pPr>
        <w:pStyle w:val="NormalWeb"/>
        <w:spacing w:before="0" w:beforeAutospacing="0" w:after="0" w:afterAutospacing="0"/>
        <w:ind w:left="709" w:hanging="709"/>
        <w:jc w:val="both"/>
      </w:pPr>
      <w:r w:rsidRPr="00512FFB">
        <w:rPr>
          <w:rStyle w:val="FootnoteReference"/>
          <w:sz w:val="20"/>
          <w:szCs w:val="20"/>
        </w:rPr>
        <w:footnoteRef/>
      </w:r>
      <w:r w:rsidRPr="00512FFB">
        <w:rPr>
          <w:sz w:val="20"/>
          <w:szCs w:val="20"/>
        </w:rPr>
        <w:t xml:space="preserve"> </w:t>
      </w:r>
      <w:r w:rsidRPr="00512FFB">
        <w:rPr>
          <w:sz w:val="20"/>
          <w:szCs w:val="20"/>
        </w:rPr>
        <w:tab/>
      </w:r>
      <w:r w:rsidRPr="00542902">
        <w:rPr>
          <w:sz w:val="20"/>
          <w:szCs w:val="20"/>
        </w:rPr>
        <w:t>Directive (EU) 2019/904 of the European Parliament and of the Council of 5 June 2019 on the reduction of the impact of certain plastic products on the environment, OJ L 155, 12.6.2019, p. 1</w:t>
      </w:r>
      <w:r w:rsidRPr="00542902">
        <w:rPr>
          <w:iCs/>
          <w:sz w:val="20"/>
          <w:szCs w:val="20"/>
        </w:rPr>
        <w:t>.</w:t>
      </w:r>
    </w:p>
  </w:footnote>
  <w:footnote w:id="49">
    <w:p w14:paraId="58486E96" w14:textId="77777777" w:rsidR="006C45EA" w:rsidRPr="002522B2" w:rsidRDefault="006C45EA" w:rsidP="00CB0904">
      <w:pPr>
        <w:pStyle w:val="FootnoteText"/>
      </w:pPr>
      <w:r>
        <w:rPr>
          <w:rStyle w:val="FootnoteReference"/>
        </w:rPr>
        <w:footnoteRef/>
      </w:r>
      <w:r>
        <w:t xml:space="preserve"> </w:t>
      </w:r>
      <w:r w:rsidRPr="002522B2">
        <w:tab/>
      </w:r>
      <w:r>
        <w:t>See Annex 3.9 for a</w:t>
      </w:r>
      <w:r w:rsidRPr="002522B2">
        <w:t>dditional examples</w:t>
      </w:r>
      <w:r>
        <w:t>.</w:t>
      </w:r>
    </w:p>
  </w:footnote>
  <w:footnote w:id="50">
    <w:p w14:paraId="6DC749BB" w14:textId="77777777" w:rsidR="006C45EA" w:rsidRPr="00267F08" w:rsidRDefault="006C45EA">
      <w:pPr>
        <w:pStyle w:val="FootnoteText"/>
      </w:pPr>
      <w:r>
        <w:rPr>
          <w:rStyle w:val="FootnoteReference"/>
        </w:rPr>
        <w:footnoteRef/>
      </w:r>
      <w:r>
        <w:t xml:space="preserve"> </w:t>
      </w:r>
      <w:r>
        <w:tab/>
      </w:r>
      <w:r w:rsidRPr="00B46031">
        <w:t xml:space="preserve">Communication from the Commission to the European Parliament, the European </w:t>
      </w:r>
      <w:r w:rsidRPr="00AE7AE2">
        <w:t>Council, the Council, the European Central Bank, the European Investment Bank and the Eurogroup –</w:t>
      </w:r>
      <w:r w:rsidRPr="00595922">
        <w:t xml:space="preserve"> </w:t>
      </w:r>
      <w:r w:rsidRPr="00D659F6">
        <w:rPr>
          <w:i/>
        </w:rPr>
        <w:t>Coordinated economic response to the COVID-19 Outbreak</w:t>
      </w:r>
      <w:r w:rsidRPr="00B46031">
        <w:t>, COM(2020) 112</w:t>
      </w:r>
      <w:r>
        <w:t>.</w:t>
      </w:r>
    </w:p>
  </w:footnote>
  <w:footnote w:id="51">
    <w:p w14:paraId="11647197" w14:textId="77777777" w:rsidR="006C45EA" w:rsidRPr="00542902" w:rsidRDefault="006C45EA" w:rsidP="00807D9E">
      <w:pPr>
        <w:pStyle w:val="FootnoteText"/>
        <w:ind w:left="709" w:hanging="709"/>
      </w:pPr>
      <w:r w:rsidRPr="00542902">
        <w:rPr>
          <w:rStyle w:val="FootnoteReference"/>
        </w:rPr>
        <w:footnoteRef/>
      </w:r>
      <w:r w:rsidRPr="00542902">
        <w:t xml:space="preserve"> </w:t>
      </w:r>
      <w:r w:rsidRPr="00542902">
        <w:tab/>
        <w:t xml:space="preserve">See </w:t>
      </w:r>
      <w:r w:rsidRPr="00D659F6">
        <w:t>R</w:t>
      </w:r>
      <w:r w:rsidRPr="00AE7AE2">
        <w:t>ecital 15</w:t>
      </w:r>
      <w:r w:rsidRPr="00542902">
        <w:t xml:space="preserve"> of the Single Market Transparency Directive.</w:t>
      </w:r>
    </w:p>
  </w:footnote>
  <w:footnote w:id="52">
    <w:p w14:paraId="55665BA3" w14:textId="77777777" w:rsidR="006C45EA" w:rsidRPr="00F3354E" w:rsidRDefault="006C45EA" w:rsidP="00B8797D">
      <w:pPr>
        <w:pStyle w:val="FootnoteText"/>
      </w:pPr>
      <w:r>
        <w:rPr>
          <w:rStyle w:val="FootnoteReference"/>
        </w:rPr>
        <w:footnoteRef/>
      </w:r>
      <w:r>
        <w:t xml:space="preserve"> </w:t>
      </w:r>
      <w:r>
        <w:tab/>
        <w:t>See Annex 3.11 for additional details on the most common barriers</w:t>
      </w:r>
      <w:r w:rsidR="000E4782">
        <w:t xml:space="preserve"> removed</w:t>
      </w:r>
      <w:r>
        <w:t>.</w:t>
      </w:r>
    </w:p>
  </w:footnote>
  <w:footnote w:id="53">
    <w:p w14:paraId="52D65561" w14:textId="77777777" w:rsidR="006C45EA" w:rsidRPr="001D6440" w:rsidRDefault="006C45EA" w:rsidP="00972CB2">
      <w:pPr>
        <w:pStyle w:val="FootnoteText"/>
      </w:pPr>
      <w:r>
        <w:rPr>
          <w:rStyle w:val="FootnoteReference"/>
        </w:rPr>
        <w:footnoteRef/>
      </w:r>
      <w:r>
        <w:t xml:space="preserve"> </w:t>
      </w:r>
      <w:r w:rsidRPr="001D6440">
        <w:tab/>
      </w:r>
      <w:r>
        <w:t>S</w:t>
      </w:r>
      <w:r w:rsidRPr="001D6440">
        <w:t xml:space="preserve">ee Annex </w:t>
      </w:r>
      <w:r>
        <w:t>1 f</w:t>
      </w:r>
      <w:r w:rsidRPr="001D6440">
        <w:t>or</w:t>
      </w:r>
      <w:r>
        <w:t xml:space="preserve"> further</w:t>
      </w:r>
      <w:r w:rsidRPr="001D6440">
        <w:t xml:space="preserve"> details on the urgency procedure</w:t>
      </w:r>
      <w:r>
        <w:t>.</w:t>
      </w:r>
    </w:p>
  </w:footnote>
  <w:footnote w:id="54">
    <w:p w14:paraId="039649ED" w14:textId="77777777" w:rsidR="006C45EA" w:rsidRPr="00930DF3" w:rsidRDefault="006C45EA">
      <w:pPr>
        <w:pStyle w:val="FootnoteText"/>
      </w:pPr>
      <w:r>
        <w:rPr>
          <w:rStyle w:val="FootnoteReference"/>
        </w:rPr>
        <w:footnoteRef/>
      </w:r>
      <w:r>
        <w:t xml:space="preserve"> </w:t>
      </w:r>
      <w:r>
        <w:tab/>
      </w:r>
      <w:r w:rsidRPr="00942F33">
        <w:t>See A</w:t>
      </w:r>
      <w:r>
        <w:t>nnex 3.7.</w:t>
      </w:r>
    </w:p>
  </w:footnote>
  <w:footnote w:id="55">
    <w:p w14:paraId="379EBADA" w14:textId="77777777" w:rsidR="006C45EA" w:rsidRPr="002810DB" w:rsidRDefault="006C45EA">
      <w:pPr>
        <w:pStyle w:val="FootnoteText"/>
      </w:pPr>
      <w:r>
        <w:rPr>
          <w:rStyle w:val="FootnoteReference"/>
        </w:rPr>
        <w:footnoteRef/>
      </w:r>
      <w:r>
        <w:t xml:space="preserve"> </w:t>
      </w:r>
      <w:r w:rsidRPr="006502C4">
        <w:tab/>
      </w:r>
      <w:r>
        <w:t>See Annex 1 f</w:t>
      </w:r>
      <w:r w:rsidRPr="006502C4">
        <w:t xml:space="preserve">or further details on the </w:t>
      </w:r>
      <w:r>
        <w:t>‘</w:t>
      </w:r>
      <w:r w:rsidRPr="006502C4">
        <w:t>fiscal and fi</w:t>
      </w:r>
      <w:r>
        <w:t>nancial measures’.</w:t>
      </w:r>
    </w:p>
  </w:footnote>
  <w:footnote w:id="56">
    <w:p w14:paraId="5F73080C" w14:textId="77777777" w:rsidR="006C45EA" w:rsidRPr="00542902" w:rsidRDefault="006C45EA" w:rsidP="00230B72">
      <w:pPr>
        <w:pStyle w:val="FootnoteText"/>
        <w:ind w:left="709" w:hanging="709"/>
      </w:pPr>
      <w:r w:rsidRPr="00542902">
        <w:rPr>
          <w:rStyle w:val="FootnoteReference"/>
        </w:rPr>
        <w:footnoteRef/>
      </w:r>
      <w:r w:rsidRPr="00542902">
        <w:t xml:space="preserve"> </w:t>
      </w:r>
      <w:r w:rsidRPr="00542902">
        <w:tab/>
        <w:t xml:space="preserve">Data extrapolated on </w:t>
      </w:r>
      <w:r>
        <w:t>14</w:t>
      </w:r>
      <w:r w:rsidRPr="00542902">
        <w:t xml:space="preserve"> </w:t>
      </w:r>
      <w:r>
        <w:t xml:space="preserve">July </w:t>
      </w:r>
      <w:r w:rsidRPr="00542902">
        <w:t>202</w:t>
      </w:r>
      <w:r>
        <w:t>1</w:t>
      </w:r>
      <w:r w:rsidRPr="00542902">
        <w:t>.</w:t>
      </w:r>
    </w:p>
  </w:footnote>
  <w:footnote w:id="57">
    <w:p w14:paraId="5B089FCE" w14:textId="77777777" w:rsidR="006C45EA" w:rsidRPr="00542902" w:rsidRDefault="006C45EA" w:rsidP="00063A38">
      <w:pPr>
        <w:pStyle w:val="FootnoteText"/>
        <w:ind w:left="709" w:hanging="709"/>
      </w:pPr>
      <w:r w:rsidRPr="00542902">
        <w:rPr>
          <w:rStyle w:val="FootnoteReference"/>
        </w:rPr>
        <w:footnoteRef/>
      </w:r>
      <w:r w:rsidRPr="00542902">
        <w:t xml:space="preserve"> </w:t>
      </w:r>
      <w:r w:rsidRPr="00542902">
        <w:tab/>
        <w:t>Directive 2014/45/EU of the European Parliament and of the Council of 3 April 2014 on periodic roadworthiness tests for motor vehicles and their trailers and repealing Directive 2009/40/EC, OJ L 127, 29.4.2014, p. 51.</w:t>
      </w:r>
    </w:p>
  </w:footnote>
  <w:footnote w:id="58">
    <w:p w14:paraId="74E78DCE" w14:textId="77777777" w:rsidR="006C45EA" w:rsidRPr="00542902" w:rsidRDefault="006C45EA" w:rsidP="00063A38">
      <w:pPr>
        <w:pStyle w:val="FootnoteText"/>
        <w:ind w:left="709" w:hanging="709"/>
      </w:pPr>
      <w:r w:rsidRPr="00210D48">
        <w:rPr>
          <w:rStyle w:val="FootnoteReference"/>
        </w:rPr>
        <w:footnoteRef/>
      </w:r>
      <w:r w:rsidRPr="00210D48">
        <w:t xml:space="preserve"> </w:t>
      </w:r>
      <w:r w:rsidRPr="00542902">
        <w:tab/>
        <w:t>Directive 2014/46/EU of the European Parliament and of the Council of 3 April 2014 amending Council Directive 1999/37/EC on the registration documents for vehicles, OJ L 127, 29.4.2014, p. 129.</w:t>
      </w:r>
    </w:p>
  </w:footnote>
  <w:footnote w:id="59">
    <w:p w14:paraId="72380E38" w14:textId="77777777" w:rsidR="006C45EA" w:rsidRPr="00542902" w:rsidRDefault="006C45EA" w:rsidP="00063A38">
      <w:pPr>
        <w:pStyle w:val="FootnoteText"/>
        <w:ind w:left="709" w:hanging="709"/>
      </w:pPr>
      <w:r w:rsidRPr="00542902">
        <w:rPr>
          <w:rStyle w:val="FootnoteReference"/>
        </w:rPr>
        <w:footnoteRef/>
      </w:r>
      <w:r w:rsidRPr="00542902">
        <w:t xml:space="preserve"> </w:t>
      </w:r>
      <w:r w:rsidRPr="00542902">
        <w:tab/>
        <w:t>Directive 2014/47/EU of the European Parliament and of the Council of 3 April 2014 on the technical roadside inspection of the roadworthiness of commercial vehicles circulating in the Union and repealing Directive 2000/30/EC, OJ L 127, 29.4.2014, p. 134.</w:t>
      </w:r>
    </w:p>
  </w:footnote>
  <w:footnote w:id="60">
    <w:p w14:paraId="6B867A3E" w14:textId="77777777" w:rsidR="006C45EA" w:rsidRPr="00005D24" w:rsidRDefault="006C45EA">
      <w:pPr>
        <w:pStyle w:val="FootnoteText"/>
      </w:pPr>
      <w:r>
        <w:rPr>
          <w:rStyle w:val="FootnoteReference"/>
        </w:rPr>
        <w:footnoteRef/>
      </w:r>
      <w:r>
        <w:t xml:space="preserve"> </w:t>
      </w:r>
      <w:r>
        <w:tab/>
        <w:t>The Commission visited Bulgaria, Spain, Poland, Romania, Italy, France, Germany, Portugal, Ireland and Lithuania.</w:t>
      </w:r>
    </w:p>
  </w:footnote>
  <w:footnote w:id="61">
    <w:p w14:paraId="210C9F20" w14:textId="77777777" w:rsidR="006C45EA" w:rsidRPr="00542902" w:rsidRDefault="006C45EA" w:rsidP="006C074B">
      <w:pPr>
        <w:tabs>
          <w:tab w:val="left" w:pos="851"/>
        </w:tabs>
        <w:spacing w:after="0" w:line="240" w:lineRule="auto"/>
        <w:ind w:left="709" w:hanging="709"/>
        <w:jc w:val="both"/>
      </w:pPr>
      <w:r w:rsidRPr="00B46031">
        <w:rPr>
          <w:rStyle w:val="FootnoteReference"/>
          <w:rFonts w:ascii="Times New Roman" w:hAnsi="Times New Roman"/>
          <w:sz w:val="20"/>
          <w:szCs w:val="20"/>
        </w:rPr>
        <w:footnoteRef/>
      </w:r>
      <w:r w:rsidRPr="00B46031">
        <w:rPr>
          <w:rFonts w:ascii="Times New Roman" w:hAnsi="Times New Roman"/>
          <w:sz w:val="20"/>
          <w:szCs w:val="20"/>
        </w:rPr>
        <w:t xml:space="preserve"> </w:t>
      </w:r>
      <w:r w:rsidRPr="00B46031">
        <w:rPr>
          <w:rFonts w:ascii="Times New Roman" w:hAnsi="Times New Roman"/>
          <w:sz w:val="20"/>
          <w:szCs w:val="20"/>
        </w:rPr>
        <w:tab/>
      </w:r>
      <w:r w:rsidRPr="00B46031">
        <w:rPr>
          <w:rFonts w:ascii="Times New Roman" w:eastAsia="Times New Roman" w:hAnsi="Times New Roman"/>
          <w:sz w:val="20"/>
          <w:szCs w:val="20"/>
          <w:lang w:eastAsia="en-GB"/>
        </w:rPr>
        <w:t xml:space="preserve">As there was no possibility to </w:t>
      </w:r>
      <w:r w:rsidRPr="00AE7AE2">
        <w:rPr>
          <w:rFonts w:ascii="Times New Roman" w:eastAsia="Times New Roman" w:hAnsi="Times New Roman"/>
          <w:sz w:val="20"/>
          <w:szCs w:val="20"/>
          <w:lang w:eastAsia="en-GB"/>
        </w:rPr>
        <w:t xml:space="preserve">encode the </w:t>
      </w:r>
      <w:r w:rsidR="00A25B89">
        <w:rPr>
          <w:rFonts w:ascii="Times New Roman" w:eastAsia="Times New Roman" w:hAnsi="Times New Roman"/>
          <w:sz w:val="20"/>
          <w:szCs w:val="20"/>
          <w:lang w:eastAsia="en-GB"/>
        </w:rPr>
        <w:t xml:space="preserve">lead </w:t>
      </w:r>
      <w:r w:rsidRPr="00AE7AE2">
        <w:rPr>
          <w:rFonts w:ascii="Times New Roman" w:eastAsia="Times New Roman" w:hAnsi="Times New Roman"/>
          <w:sz w:val="20"/>
          <w:szCs w:val="20"/>
          <w:lang w:eastAsia="en-GB"/>
        </w:rPr>
        <w:t>Unit for access to document requests in</w:t>
      </w:r>
      <w:r w:rsidRPr="00542902">
        <w:rPr>
          <w:rFonts w:ascii="Times New Roman" w:eastAsia="Times New Roman" w:hAnsi="Times New Roman"/>
          <w:sz w:val="20"/>
          <w:szCs w:val="20"/>
          <w:lang w:eastAsia="en-GB"/>
        </w:rPr>
        <w:t xml:space="preserve"> the Commission databases during the period </w:t>
      </w:r>
      <w:r>
        <w:rPr>
          <w:rFonts w:ascii="Times New Roman" w:eastAsia="Times New Roman" w:hAnsi="Times New Roman"/>
          <w:sz w:val="20"/>
          <w:szCs w:val="20"/>
          <w:lang w:eastAsia="en-GB"/>
        </w:rPr>
        <w:t xml:space="preserve">from </w:t>
      </w:r>
      <w:r w:rsidRPr="00542902">
        <w:rPr>
          <w:rFonts w:ascii="Times New Roman" w:eastAsia="Times New Roman" w:hAnsi="Times New Roman"/>
          <w:sz w:val="20"/>
          <w:szCs w:val="20"/>
          <w:lang w:eastAsia="en-GB"/>
        </w:rPr>
        <w:t>1</w:t>
      </w:r>
      <w:r>
        <w:rPr>
          <w:rFonts w:ascii="Times New Roman" w:eastAsia="Times New Roman" w:hAnsi="Times New Roman"/>
          <w:sz w:val="20"/>
          <w:szCs w:val="20"/>
          <w:lang w:eastAsia="en-GB"/>
        </w:rPr>
        <w:t>.1.</w:t>
      </w:r>
      <w:r w:rsidRPr="00542902">
        <w:rPr>
          <w:rFonts w:ascii="Times New Roman" w:eastAsia="Times New Roman" w:hAnsi="Times New Roman"/>
          <w:sz w:val="20"/>
          <w:szCs w:val="20"/>
          <w:lang w:eastAsia="en-GB"/>
        </w:rPr>
        <w:t xml:space="preserve">2018 </w:t>
      </w:r>
      <w:r>
        <w:rPr>
          <w:rFonts w:ascii="Times New Roman" w:eastAsia="Times New Roman" w:hAnsi="Times New Roman"/>
          <w:sz w:val="20"/>
          <w:szCs w:val="20"/>
          <w:lang w:eastAsia="en-GB"/>
        </w:rPr>
        <w:t>to</w:t>
      </w:r>
      <w:r w:rsidRPr="00542902">
        <w:rPr>
          <w:rFonts w:ascii="Times New Roman" w:eastAsia="Times New Roman" w:hAnsi="Times New Roman"/>
          <w:sz w:val="20"/>
          <w:szCs w:val="20"/>
          <w:lang w:eastAsia="en-GB"/>
        </w:rPr>
        <w:t xml:space="preserve"> 1</w:t>
      </w:r>
      <w:r>
        <w:rPr>
          <w:rFonts w:ascii="Times New Roman" w:eastAsia="Times New Roman" w:hAnsi="Times New Roman"/>
          <w:sz w:val="20"/>
          <w:szCs w:val="20"/>
          <w:lang w:eastAsia="en-GB"/>
        </w:rPr>
        <w:t>.</w:t>
      </w:r>
      <w:r w:rsidRPr="00542902">
        <w:rPr>
          <w:rFonts w:ascii="Times New Roman" w:eastAsia="Times New Roman" w:hAnsi="Times New Roman"/>
          <w:sz w:val="20"/>
          <w:szCs w:val="20"/>
          <w:lang w:eastAsia="en-GB"/>
        </w:rPr>
        <w:t>10</w:t>
      </w:r>
      <w:r>
        <w:rPr>
          <w:rFonts w:ascii="Times New Roman" w:eastAsia="Times New Roman" w:hAnsi="Times New Roman"/>
          <w:sz w:val="20"/>
          <w:szCs w:val="20"/>
          <w:lang w:eastAsia="en-GB"/>
        </w:rPr>
        <w:t>.</w:t>
      </w:r>
      <w:r w:rsidRPr="00542902">
        <w:rPr>
          <w:rFonts w:ascii="Times New Roman" w:eastAsia="Times New Roman" w:hAnsi="Times New Roman"/>
          <w:sz w:val="20"/>
          <w:szCs w:val="20"/>
          <w:lang w:eastAsia="en-GB"/>
        </w:rPr>
        <w:t xml:space="preserve">2018, the figures concerning this period are based on a simulation </w:t>
      </w:r>
      <w:r>
        <w:rPr>
          <w:rFonts w:ascii="Times New Roman" w:eastAsia="Times New Roman" w:hAnsi="Times New Roman"/>
          <w:sz w:val="20"/>
          <w:szCs w:val="20"/>
          <w:lang w:eastAsia="en-GB"/>
        </w:rPr>
        <w:t>using</w:t>
      </w:r>
      <w:r w:rsidRPr="00542902">
        <w:rPr>
          <w:rFonts w:ascii="Times New Roman" w:eastAsia="Times New Roman" w:hAnsi="Times New Roman"/>
          <w:sz w:val="20"/>
          <w:szCs w:val="20"/>
          <w:lang w:eastAsia="en-GB"/>
        </w:rPr>
        <w:t xml:space="preserve"> the average percentage of requests for access to documents assigned to the Unit in charge of the management of the Single Market Transparency Directive for the years 2016, 2017 and 2019. </w:t>
      </w:r>
    </w:p>
  </w:footnote>
  <w:footnote w:id="62">
    <w:p w14:paraId="7C41592D" w14:textId="77777777" w:rsidR="006C45EA" w:rsidRPr="006502C4" w:rsidRDefault="006C45EA" w:rsidP="00D53757">
      <w:pPr>
        <w:pStyle w:val="FootnoteText"/>
      </w:pPr>
      <w:r>
        <w:rPr>
          <w:rStyle w:val="FootnoteReference"/>
        </w:rPr>
        <w:footnoteRef/>
      </w:r>
      <w:r>
        <w:t xml:space="preserve"> </w:t>
      </w:r>
      <w:r w:rsidRPr="006502C4">
        <w:t xml:space="preserve">        </w:t>
      </w:r>
      <w:r>
        <w:t xml:space="preserve">  </w:t>
      </w:r>
      <w:r w:rsidRPr="006502C4">
        <w:t>See Annex 5.</w:t>
      </w:r>
    </w:p>
  </w:footnote>
  <w:footnote w:id="63">
    <w:p w14:paraId="72070948" w14:textId="77777777" w:rsidR="006C45EA" w:rsidRPr="0029052B" w:rsidRDefault="006C45EA" w:rsidP="002C2BC7">
      <w:pPr>
        <w:pStyle w:val="FootnoteText"/>
        <w:ind w:left="567" w:hanging="567"/>
      </w:pPr>
      <w:r>
        <w:rPr>
          <w:rStyle w:val="FootnoteReference"/>
        </w:rPr>
        <w:footnoteRef/>
      </w:r>
      <w:r>
        <w:t xml:space="preserve"> </w:t>
      </w:r>
      <w:r>
        <w:tab/>
      </w:r>
      <w:r w:rsidRPr="006502C4">
        <w:rPr>
          <w:noProof/>
        </w:rPr>
        <w:t xml:space="preserve">In the period concerned, the EU Member States, the EFTA Member States </w:t>
      </w:r>
      <w:r>
        <w:rPr>
          <w:noProof/>
        </w:rPr>
        <w:t xml:space="preserve">that </w:t>
      </w:r>
      <w:r w:rsidRPr="006502C4">
        <w:rPr>
          <w:noProof/>
        </w:rPr>
        <w:t>are signatories to the EEA</w:t>
      </w:r>
      <w:r>
        <w:rPr>
          <w:noProof/>
        </w:rPr>
        <w:t xml:space="preserve"> Agreement</w:t>
      </w:r>
      <w:r w:rsidRPr="006502C4">
        <w:rPr>
          <w:noProof/>
        </w:rPr>
        <w:t xml:space="preserve">, Switzerland and Turkey flagged </w:t>
      </w:r>
      <w:r>
        <w:rPr>
          <w:noProof/>
        </w:rPr>
        <w:t>363</w:t>
      </w:r>
      <w:r w:rsidRPr="006502C4">
        <w:rPr>
          <w:noProof/>
        </w:rPr>
        <w:t xml:space="preserve"> notifications in the TRIS database as </w:t>
      </w:r>
      <w:r>
        <w:rPr>
          <w:noProof/>
        </w:rPr>
        <w:t xml:space="preserve">being </w:t>
      </w:r>
      <w:r w:rsidRPr="006502C4">
        <w:rPr>
          <w:noProof/>
        </w:rPr>
        <w:t xml:space="preserve">subject to notification to the WTO </w:t>
      </w:r>
      <w:r>
        <w:rPr>
          <w:noProof/>
        </w:rPr>
        <w:t>under</w:t>
      </w:r>
      <w:r w:rsidRPr="006502C4">
        <w:rPr>
          <w:noProof/>
        </w:rPr>
        <w:t xml:space="preserve"> the Agreement on Technical Barriers to Trade.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F3C25" w14:textId="77777777" w:rsidR="00D14FFB" w:rsidRPr="00D14FFB" w:rsidRDefault="00D14FFB" w:rsidP="00D14F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7BCF0" w14:textId="77777777" w:rsidR="00D14FFB" w:rsidRPr="00D14FFB" w:rsidRDefault="00D14FFB" w:rsidP="00D14FF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32839" w14:textId="77777777" w:rsidR="00D14FFB" w:rsidRPr="00D14FFB" w:rsidRDefault="00D14FFB" w:rsidP="00D14FF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B81F8" w14:textId="77777777" w:rsidR="006C45EA" w:rsidRDefault="006C45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A1C6A" w14:textId="77777777" w:rsidR="006C45EA" w:rsidRDefault="006C45E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62166" w14:textId="77777777" w:rsidR="006C45EA" w:rsidRDefault="006C45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1D95"/>
    <w:multiLevelType w:val="hybridMultilevel"/>
    <w:tmpl w:val="12F22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12678"/>
    <w:multiLevelType w:val="multilevel"/>
    <w:tmpl w:val="1E0C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D25E9"/>
    <w:multiLevelType w:val="hybridMultilevel"/>
    <w:tmpl w:val="28689824"/>
    <w:lvl w:ilvl="0" w:tplc="A822D168">
      <w:start w:val="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5406C3"/>
    <w:multiLevelType w:val="hybridMultilevel"/>
    <w:tmpl w:val="E97278AA"/>
    <w:lvl w:ilvl="0" w:tplc="08090001">
      <w:start w:val="1"/>
      <w:numFmt w:val="bullet"/>
      <w:lvlText w:val=""/>
      <w:lvlJc w:val="left"/>
      <w:pPr>
        <w:ind w:left="1779" w:hanging="360"/>
      </w:pPr>
      <w:rPr>
        <w:rFonts w:ascii="Symbol" w:hAnsi="Symbol" w:hint="default"/>
      </w:rPr>
    </w:lvl>
    <w:lvl w:ilvl="1" w:tplc="08090003">
      <w:start w:val="1"/>
      <w:numFmt w:val="bullet"/>
      <w:lvlText w:val="o"/>
      <w:lvlJc w:val="left"/>
      <w:pPr>
        <w:ind w:left="2575" w:hanging="360"/>
      </w:pPr>
      <w:rPr>
        <w:rFonts w:ascii="Courier New" w:hAnsi="Courier New" w:cs="Courier New" w:hint="default"/>
      </w:rPr>
    </w:lvl>
    <w:lvl w:ilvl="2" w:tplc="08090005" w:tentative="1">
      <w:start w:val="1"/>
      <w:numFmt w:val="bullet"/>
      <w:lvlText w:val=""/>
      <w:lvlJc w:val="left"/>
      <w:pPr>
        <w:ind w:left="3295" w:hanging="360"/>
      </w:pPr>
      <w:rPr>
        <w:rFonts w:ascii="Wingdings" w:hAnsi="Wingdings" w:hint="default"/>
      </w:rPr>
    </w:lvl>
    <w:lvl w:ilvl="3" w:tplc="08090001" w:tentative="1">
      <w:start w:val="1"/>
      <w:numFmt w:val="bullet"/>
      <w:lvlText w:val=""/>
      <w:lvlJc w:val="left"/>
      <w:pPr>
        <w:ind w:left="4015" w:hanging="360"/>
      </w:pPr>
      <w:rPr>
        <w:rFonts w:ascii="Symbol" w:hAnsi="Symbol" w:hint="default"/>
      </w:rPr>
    </w:lvl>
    <w:lvl w:ilvl="4" w:tplc="08090003" w:tentative="1">
      <w:start w:val="1"/>
      <w:numFmt w:val="bullet"/>
      <w:lvlText w:val="o"/>
      <w:lvlJc w:val="left"/>
      <w:pPr>
        <w:ind w:left="4735" w:hanging="360"/>
      </w:pPr>
      <w:rPr>
        <w:rFonts w:ascii="Courier New" w:hAnsi="Courier New" w:cs="Courier New" w:hint="default"/>
      </w:rPr>
    </w:lvl>
    <w:lvl w:ilvl="5" w:tplc="08090005" w:tentative="1">
      <w:start w:val="1"/>
      <w:numFmt w:val="bullet"/>
      <w:lvlText w:val=""/>
      <w:lvlJc w:val="left"/>
      <w:pPr>
        <w:ind w:left="5455" w:hanging="360"/>
      </w:pPr>
      <w:rPr>
        <w:rFonts w:ascii="Wingdings" w:hAnsi="Wingdings" w:hint="default"/>
      </w:rPr>
    </w:lvl>
    <w:lvl w:ilvl="6" w:tplc="08090001" w:tentative="1">
      <w:start w:val="1"/>
      <w:numFmt w:val="bullet"/>
      <w:lvlText w:val=""/>
      <w:lvlJc w:val="left"/>
      <w:pPr>
        <w:ind w:left="6175" w:hanging="360"/>
      </w:pPr>
      <w:rPr>
        <w:rFonts w:ascii="Symbol" w:hAnsi="Symbol" w:hint="default"/>
      </w:rPr>
    </w:lvl>
    <w:lvl w:ilvl="7" w:tplc="08090003" w:tentative="1">
      <w:start w:val="1"/>
      <w:numFmt w:val="bullet"/>
      <w:lvlText w:val="o"/>
      <w:lvlJc w:val="left"/>
      <w:pPr>
        <w:ind w:left="6895" w:hanging="360"/>
      </w:pPr>
      <w:rPr>
        <w:rFonts w:ascii="Courier New" w:hAnsi="Courier New" w:cs="Courier New" w:hint="default"/>
      </w:rPr>
    </w:lvl>
    <w:lvl w:ilvl="8" w:tplc="08090005" w:tentative="1">
      <w:start w:val="1"/>
      <w:numFmt w:val="bullet"/>
      <w:lvlText w:val=""/>
      <w:lvlJc w:val="left"/>
      <w:pPr>
        <w:ind w:left="7615" w:hanging="360"/>
      </w:pPr>
      <w:rPr>
        <w:rFonts w:ascii="Wingdings" w:hAnsi="Wingdings" w:hint="default"/>
      </w:rPr>
    </w:lvl>
  </w:abstractNum>
  <w:abstractNum w:abstractNumId="4" w15:restartNumberingAfterBreak="0">
    <w:nsid w:val="28F91FC9"/>
    <w:multiLevelType w:val="hybridMultilevel"/>
    <w:tmpl w:val="527A6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8C0788"/>
    <w:multiLevelType w:val="hybridMultilevel"/>
    <w:tmpl w:val="4F164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2A08CA"/>
    <w:multiLevelType w:val="hybridMultilevel"/>
    <w:tmpl w:val="78143D82"/>
    <w:lvl w:ilvl="0" w:tplc="3C701C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00161B"/>
    <w:multiLevelType w:val="hybridMultilevel"/>
    <w:tmpl w:val="70B2F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804721"/>
    <w:multiLevelType w:val="hybridMultilevel"/>
    <w:tmpl w:val="50F2D6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F5A97"/>
    <w:multiLevelType w:val="hybridMultilevel"/>
    <w:tmpl w:val="F88EFE2E"/>
    <w:lvl w:ilvl="0" w:tplc="F21E21B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1" w15:restartNumberingAfterBreak="0">
    <w:nsid w:val="49F344F8"/>
    <w:multiLevelType w:val="hybridMultilevel"/>
    <w:tmpl w:val="38F6A57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6833CF"/>
    <w:multiLevelType w:val="multilevel"/>
    <w:tmpl w:val="B376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191FD1"/>
    <w:multiLevelType w:val="hybridMultilevel"/>
    <w:tmpl w:val="B0C4D9D0"/>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4" w15:restartNumberingAfterBreak="0">
    <w:nsid w:val="55FE3565"/>
    <w:multiLevelType w:val="hybridMultilevel"/>
    <w:tmpl w:val="A56004E0"/>
    <w:lvl w:ilvl="0" w:tplc="4D10B498">
      <w:start w:val="1"/>
      <w:numFmt w:val="decimal"/>
      <w:lvlText w:val="%1."/>
      <w:lvlJc w:val="left"/>
      <w:pPr>
        <w:tabs>
          <w:tab w:val="num" w:pos="993"/>
        </w:tabs>
        <w:ind w:left="993" w:hanging="567"/>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5" w15:restartNumberingAfterBreak="0">
    <w:nsid w:val="5C3D5231"/>
    <w:multiLevelType w:val="hybridMultilevel"/>
    <w:tmpl w:val="B9E03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A12FA4"/>
    <w:multiLevelType w:val="multilevel"/>
    <w:tmpl w:val="B48A90B2"/>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1560"/>
        </w:tabs>
        <w:ind w:left="1560" w:hanging="850"/>
      </w:pPr>
    </w:lvl>
    <w:lvl w:ilvl="2">
      <w:start w:val="1"/>
      <w:numFmt w:val="decimal"/>
      <w:pStyle w:val="Heading3"/>
      <w:lvlText w:val="%1.%2.%3."/>
      <w:lvlJc w:val="left"/>
      <w:pPr>
        <w:tabs>
          <w:tab w:val="num" w:pos="850"/>
        </w:tabs>
        <w:ind w:left="850" w:hanging="85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95D51AE"/>
    <w:multiLevelType w:val="singleLevel"/>
    <w:tmpl w:val="2332BC38"/>
    <w:name w:val="Tiret 2"/>
    <w:lvl w:ilvl="0">
      <w:start w:val="1"/>
      <w:numFmt w:val="bullet"/>
      <w:pStyle w:val="ListBullet"/>
      <w:lvlText w:val=""/>
      <w:lvlJc w:val="left"/>
      <w:pPr>
        <w:tabs>
          <w:tab w:val="num" w:pos="283"/>
        </w:tabs>
        <w:ind w:left="283" w:hanging="283"/>
      </w:pPr>
      <w:rPr>
        <w:rFonts w:ascii="Symbol" w:hAnsi="Symbol" w:hint="default"/>
      </w:rPr>
    </w:lvl>
  </w:abstractNum>
  <w:abstractNum w:abstractNumId="18" w15:restartNumberingAfterBreak="0">
    <w:nsid w:val="6D564B77"/>
    <w:multiLevelType w:val="hybridMultilevel"/>
    <w:tmpl w:val="8D58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0363DC"/>
    <w:multiLevelType w:val="multilevel"/>
    <w:tmpl w:val="9B8025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2A734F5"/>
    <w:multiLevelType w:val="multilevel"/>
    <w:tmpl w:val="9AD44B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4B2E70"/>
    <w:multiLevelType w:val="hybridMultilevel"/>
    <w:tmpl w:val="51800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0"/>
  </w:num>
  <w:num w:numId="7">
    <w:abstractNumId w:val="7"/>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8"/>
  </w:num>
  <w:num w:numId="26">
    <w:abstractNumId w:val="16"/>
  </w:num>
  <w:num w:numId="27">
    <w:abstractNumId w:val="13"/>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3"/>
  </w:num>
  <w:num w:numId="31">
    <w:abstractNumId w:val="9"/>
  </w:num>
  <w:num w:numId="32">
    <w:abstractNumId w:val="1"/>
  </w:num>
  <w:num w:numId="33">
    <w:abstractNumId w:val="12"/>
  </w:num>
  <w:num w:numId="34">
    <w:abstractNumId w:val="4"/>
  </w:num>
  <w:num w:numId="35">
    <w:abstractNumId w:val="19"/>
  </w:num>
  <w:num w:numId="36">
    <w:abstractNumId w:val="20"/>
  </w:num>
  <w:num w:numId="37">
    <w:abstractNumId w:val="17"/>
  </w:num>
  <w:num w:numId="38">
    <w:abstractNumId w:val="5"/>
  </w:num>
  <w:num w:numId="39">
    <w:abstractNumId w:val="6"/>
  </w:num>
  <w:num w:numId="40">
    <w:abstractNumId w:val="21"/>
  </w:num>
  <w:num w:numId="41">
    <w:abstractNumId w:val="18"/>
  </w:num>
  <w:num w:numId="42">
    <w:abstractNumId w:val="11"/>
  </w:num>
  <w:num w:numId="43">
    <w:abstractNumId w:val="0"/>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5B91549-1332-453C-849B-F28E00163D2A"/>
    <w:docVar w:name="LW_COVERPAGE_TYPE" w:val="1"/>
    <w:docVar w:name="LW_CROSSREFERENCE" w:val="{SWD(2022) 297 final}"/>
    <w:docVar w:name="LW_DocType" w:val="NORMAL"/>
    <w:docVar w:name="LW_EMISSION" w:val="23.9.2022"/>
    <w:docVar w:name="LW_EMISSION_ISODATE" w:val="2022-09-23"/>
    <w:docVar w:name="LW_EMISSION_LOCATION" w:val="BRX"/>
    <w:docVar w:name="LW_EMISSION_PREFIX" w:val="Brussels, "/>
    <w:docVar w:name="LW_EMISSION_SUFFIX" w:val=" "/>
    <w:docVar w:name="LW_ID_DOCTYPE_NONLW" w:val="CP-007"/>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2) 48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ON THE OPERATION OF THE SINGLE MARKET TRANSPARENCY DIRECTIVE FROM 2016 TO 2020"/>
    <w:docVar w:name="LW_TYPE.DOC.CP" w:val="REPORT FROM THE COMMISSION TO THE EUROPEAN PARLIAMENT, THE COUNCIL AND THE EUROPEAN ECONOMIC AND SOCIAL COMMITTEE"/>
    <w:docVar w:name="LwApiVersions" w:val="LW4CoDe 1.23.2.0; LW 8.0, Build 20211117"/>
  </w:docVars>
  <w:rsids>
    <w:rsidRoot w:val="0049046D"/>
    <w:rsid w:val="00000901"/>
    <w:rsid w:val="00001061"/>
    <w:rsid w:val="00004580"/>
    <w:rsid w:val="00005D24"/>
    <w:rsid w:val="0000613C"/>
    <w:rsid w:val="0000629B"/>
    <w:rsid w:val="0000751A"/>
    <w:rsid w:val="0001225B"/>
    <w:rsid w:val="00014507"/>
    <w:rsid w:val="00014BC0"/>
    <w:rsid w:val="000201FD"/>
    <w:rsid w:val="00020CB1"/>
    <w:rsid w:val="00020DB9"/>
    <w:rsid w:val="000211FE"/>
    <w:rsid w:val="000220D8"/>
    <w:rsid w:val="0002297A"/>
    <w:rsid w:val="00023B8F"/>
    <w:rsid w:val="000266D7"/>
    <w:rsid w:val="00027549"/>
    <w:rsid w:val="00030457"/>
    <w:rsid w:val="000307BB"/>
    <w:rsid w:val="00030930"/>
    <w:rsid w:val="00033FD5"/>
    <w:rsid w:val="00037B49"/>
    <w:rsid w:val="00043700"/>
    <w:rsid w:val="0004376D"/>
    <w:rsid w:val="00044904"/>
    <w:rsid w:val="0004706D"/>
    <w:rsid w:val="00047751"/>
    <w:rsid w:val="00051DDD"/>
    <w:rsid w:val="000542D6"/>
    <w:rsid w:val="000548E6"/>
    <w:rsid w:val="00060AC3"/>
    <w:rsid w:val="00062120"/>
    <w:rsid w:val="00063A38"/>
    <w:rsid w:val="00063A9A"/>
    <w:rsid w:val="000640B5"/>
    <w:rsid w:val="000668EA"/>
    <w:rsid w:val="00067B4E"/>
    <w:rsid w:val="00067D47"/>
    <w:rsid w:val="00070134"/>
    <w:rsid w:val="000704A3"/>
    <w:rsid w:val="00070932"/>
    <w:rsid w:val="0007437B"/>
    <w:rsid w:val="0007626C"/>
    <w:rsid w:val="00080320"/>
    <w:rsid w:val="00080560"/>
    <w:rsid w:val="00082204"/>
    <w:rsid w:val="00082FC6"/>
    <w:rsid w:val="0008526D"/>
    <w:rsid w:val="00086CD7"/>
    <w:rsid w:val="00092E93"/>
    <w:rsid w:val="00096981"/>
    <w:rsid w:val="00096D55"/>
    <w:rsid w:val="000A2153"/>
    <w:rsid w:val="000A3D75"/>
    <w:rsid w:val="000A57E3"/>
    <w:rsid w:val="000A5D92"/>
    <w:rsid w:val="000A76F1"/>
    <w:rsid w:val="000A77C5"/>
    <w:rsid w:val="000B0F26"/>
    <w:rsid w:val="000B10A4"/>
    <w:rsid w:val="000B55A8"/>
    <w:rsid w:val="000B7555"/>
    <w:rsid w:val="000B7BAE"/>
    <w:rsid w:val="000C02DD"/>
    <w:rsid w:val="000C0452"/>
    <w:rsid w:val="000C118F"/>
    <w:rsid w:val="000C3FA7"/>
    <w:rsid w:val="000C4039"/>
    <w:rsid w:val="000C6232"/>
    <w:rsid w:val="000C6AC4"/>
    <w:rsid w:val="000C6C35"/>
    <w:rsid w:val="000C6F9B"/>
    <w:rsid w:val="000C6FC1"/>
    <w:rsid w:val="000D04EB"/>
    <w:rsid w:val="000D171D"/>
    <w:rsid w:val="000D25E1"/>
    <w:rsid w:val="000D3EA6"/>
    <w:rsid w:val="000D47BA"/>
    <w:rsid w:val="000D5D27"/>
    <w:rsid w:val="000D61FC"/>
    <w:rsid w:val="000D6EE4"/>
    <w:rsid w:val="000D71BF"/>
    <w:rsid w:val="000D7460"/>
    <w:rsid w:val="000D7F68"/>
    <w:rsid w:val="000E0650"/>
    <w:rsid w:val="000E0794"/>
    <w:rsid w:val="000E1A17"/>
    <w:rsid w:val="000E3599"/>
    <w:rsid w:val="000E3751"/>
    <w:rsid w:val="000E3DD1"/>
    <w:rsid w:val="000E4009"/>
    <w:rsid w:val="000E4254"/>
    <w:rsid w:val="000E4782"/>
    <w:rsid w:val="000E54FF"/>
    <w:rsid w:val="000E6135"/>
    <w:rsid w:val="000E7D07"/>
    <w:rsid w:val="000E7EA9"/>
    <w:rsid w:val="000F14FE"/>
    <w:rsid w:val="000F2CDE"/>
    <w:rsid w:val="000F3183"/>
    <w:rsid w:val="000F3673"/>
    <w:rsid w:val="000F442F"/>
    <w:rsid w:val="000F4B7C"/>
    <w:rsid w:val="000F5BD6"/>
    <w:rsid w:val="000F611D"/>
    <w:rsid w:val="000F7650"/>
    <w:rsid w:val="001035AD"/>
    <w:rsid w:val="00103BE3"/>
    <w:rsid w:val="001045F5"/>
    <w:rsid w:val="00105AE7"/>
    <w:rsid w:val="00111C96"/>
    <w:rsid w:val="00112B0C"/>
    <w:rsid w:val="0011658D"/>
    <w:rsid w:val="00116670"/>
    <w:rsid w:val="001168F8"/>
    <w:rsid w:val="00117639"/>
    <w:rsid w:val="001178C3"/>
    <w:rsid w:val="00117F09"/>
    <w:rsid w:val="001211B7"/>
    <w:rsid w:val="00121652"/>
    <w:rsid w:val="00121D04"/>
    <w:rsid w:val="00122F44"/>
    <w:rsid w:val="00124070"/>
    <w:rsid w:val="00124F43"/>
    <w:rsid w:val="00125B7D"/>
    <w:rsid w:val="0013087F"/>
    <w:rsid w:val="00140238"/>
    <w:rsid w:val="00143092"/>
    <w:rsid w:val="00144ED0"/>
    <w:rsid w:val="00146018"/>
    <w:rsid w:val="0014759C"/>
    <w:rsid w:val="00147F8D"/>
    <w:rsid w:val="00152CE0"/>
    <w:rsid w:val="001534D4"/>
    <w:rsid w:val="00155DC7"/>
    <w:rsid w:val="00157EFB"/>
    <w:rsid w:val="001609FE"/>
    <w:rsid w:val="001624AA"/>
    <w:rsid w:val="00162A38"/>
    <w:rsid w:val="001642AE"/>
    <w:rsid w:val="00164B62"/>
    <w:rsid w:val="00166DB0"/>
    <w:rsid w:val="00167953"/>
    <w:rsid w:val="00170FE3"/>
    <w:rsid w:val="00171D4E"/>
    <w:rsid w:val="00172BC0"/>
    <w:rsid w:val="0018062B"/>
    <w:rsid w:val="00181293"/>
    <w:rsid w:val="00181505"/>
    <w:rsid w:val="00183580"/>
    <w:rsid w:val="00184E0D"/>
    <w:rsid w:val="001907A9"/>
    <w:rsid w:val="00190C43"/>
    <w:rsid w:val="00193F72"/>
    <w:rsid w:val="00194973"/>
    <w:rsid w:val="00194C6D"/>
    <w:rsid w:val="0019537D"/>
    <w:rsid w:val="001A0677"/>
    <w:rsid w:val="001A09DB"/>
    <w:rsid w:val="001A3379"/>
    <w:rsid w:val="001A6B17"/>
    <w:rsid w:val="001A7973"/>
    <w:rsid w:val="001A7985"/>
    <w:rsid w:val="001B0E39"/>
    <w:rsid w:val="001B0FC8"/>
    <w:rsid w:val="001B18B5"/>
    <w:rsid w:val="001B20DC"/>
    <w:rsid w:val="001B2B0C"/>
    <w:rsid w:val="001B30B5"/>
    <w:rsid w:val="001B4428"/>
    <w:rsid w:val="001B474C"/>
    <w:rsid w:val="001B4E3B"/>
    <w:rsid w:val="001B5B85"/>
    <w:rsid w:val="001B5E7F"/>
    <w:rsid w:val="001B622C"/>
    <w:rsid w:val="001B6CDE"/>
    <w:rsid w:val="001C003C"/>
    <w:rsid w:val="001C0B63"/>
    <w:rsid w:val="001C1521"/>
    <w:rsid w:val="001C2286"/>
    <w:rsid w:val="001C3872"/>
    <w:rsid w:val="001C5BBC"/>
    <w:rsid w:val="001C72CE"/>
    <w:rsid w:val="001C7ECA"/>
    <w:rsid w:val="001C7FC2"/>
    <w:rsid w:val="001D229A"/>
    <w:rsid w:val="001D2520"/>
    <w:rsid w:val="001D2D46"/>
    <w:rsid w:val="001D419A"/>
    <w:rsid w:val="001D4E5B"/>
    <w:rsid w:val="001D5818"/>
    <w:rsid w:val="001D593E"/>
    <w:rsid w:val="001D641B"/>
    <w:rsid w:val="001D7715"/>
    <w:rsid w:val="001D7B1E"/>
    <w:rsid w:val="001E0F7E"/>
    <w:rsid w:val="001E1898"/>
    <w:rsid w:val="001E28DE"/>
    <w:rsid w:val="001E5603"/>
    <w:rsid w:val="001E6227"/>
    <w:rsid w:val="001F01AE"/>
    <w:rsid w:val="001F0388"/>
    <w:rsid w:val="001F0B11"/>
    <w:rsid w:val="001F13EB"/>
    <w:rsid w:val="001F1AF0"/>
    <w:rsid w:val="001F2584"/>
    <w:rsid w:val="001F2B69"/>
    <w:rsid w:val="001F431D"/>
    <w:rsid w:val="001F7327"/>
    <w:rsid w:val="001F7678"/>
    <w:rsid w:val="00200493"/>
    <w:rsid w:val="00205040"/>
    <w:rsid w:val="0020561E"/>
    <w:rsid w:val="00205FF8"/>
    <w:rsid w:val="002072E1"/>
    <w:rsid w:val="00210467"/>
    <w:rsid w:val="00210969"/>
    <w:rsid w:val="00210D48"/>
    <w:rsid w:val="0021136E"/>
    <w:rsid w:val="00211D58"/>
    <w:rsid w:val="00212A99"/>
    <w:rsid w:val="00212C00"/>
    <w:rsid w:val="00215968"/>
    <w:rsid w:val="00215BBD"/>
    <w:rsid w:val="00221909"/>
    <w:rsid w:val="00221F1C"/>
    <w:rsid w:val="00222DD9"/>
    <w:rsid w:val="00222E06"/>
    <w:rsid w:val="002237C5"/>
    <w:rsid w:val="002240FB"/>
    <w:rsid w:val="002249A5"/>
    <w:rsid w:val="00225CC4"/>
    <w:rsid w:val="00227426"/>
    <w:rsid w:val="00230B72"/>
    <w:rsid w:val="002329CA"/>
    <w:rsid w:val="00232C1D"/>
    <w:rsid w:val="0023335A"/>
    <w:rsid w:val="00235591"/>
    <w:rsid w:val="00242C67"/>
    <w:rsid w:val="00242E2C"/>
    <w:rsid w:val="00243A09"/>
    <w:rsid w:val="0024566A"/>
    <w:rsid w:val="00245E81"/>
    <w:rsid w:val="00246EB5"/>
    <w:rsid w:val="0024799E"/>
    <w:rsid w:val="0025089B"/>
    <w:rsid w:val="00250AD3"/>
    <w:rsid w:val="002513C0"/>
    <w:rsid w:val="002521A3"/>
    <w:rsid w:val="00252510"/>
    <w:rsid w:val="002525A8"/>
    <w:rsid w:val="00253DFA"/>
    <w:rsid w:val="00254797"/>
    <w:rsid w:val="00255069"/>
    <w:rsid w:val="00256740"/>
    <w:rsid w:val="00257337"/>
    <w:rsid w:val="00257BB5"/>
    <w:rsid w:val="00257C62"/>
    <w:rsid w:val="002637D2"/>
    <w:rsid w:val="00266280"/>
    <w:rsid w:val="00267F08"/>
    <w:rsid w:val="00272349"/>
    <w:rsid w:val="00272D3F"/>
    <w:rsid w:val="0027637B"/>
    <w:rsid w:val="002766B0"/>
    <w:rsid w:val="00277A59"/>
    <w:rsid w:val="00280748"/>
    <w:rsid w:val="00280A0B"/>
    <w:rsid w:val="00280E06"/>
    <w:rsid w:val="00280F34"/>
    <w:rsid w:val="002810DB"/>
    <w:rsid w:val="002815C5"/>
    <w:rsid w:val="002835F6"/>
    <w:rsid w:val="0028498D"/>
    <w:rsid w:val="00285CFE"/>
    <w:rsid w:val="00285E06"/>
    <w:rsid w:val="00286275"/>
    <w:rsid w:val="00287A05"/>
    <w:rsid w:val="00287A18"/>
    <w:rsid w:val="00290247"/>
    <w:rsid w:val="0029052B"/>
    <w:rsid w:val="00291144"/>
    <w:rsid w:val="00291194"/>
    <w:rsid w:val="00291865"/>
    <w:rsid w:val="00291B48"/>
    <w:rsid w:val="00293799"/>
    <w:rsid w:val="00293A62"/>
    <w:rsid w:val="00293A9E"/>
    <w:rsid w:val="002940AD"/>
    <w:rsid w:val="00294509"/>
    <w:rsid w:val="00294D6A"/>
    <w:rsid w:val="0029506A"/>
    <w:rsid w:val="0029732D"/>
    <w:rsid w:val="0029759D"/>
    <w:rsid w:val="002A07D0"/>
    <w:rsid w:val="002A0D22"/>
    <w:rsid w:val="002A206F"/>
    <w:rsid w:val="002A36B5"/>
    <w:rsid w:val="002A39BE"/>
    <w:rsid w:val="002A507D"/>
    <w:rsid w:val="002B0D96"/>
    <w:rsid w:val="002B16D0"/>
    <w:rsid w:val="002B206A"/>
    <w:rsid w:val="002B478C"/>
    <w:rsid w:val="002B6252"/>
    <w:rsid w:val="002C0AED"/>
    <w:rsid w:val="002C0B25"/>
    <w:rsid w:val="002C2BC7"/>
    <w:rsid w:val="002C318D"/>
    <w:rsid w:val="002C602A"/>
    <w:rsid w:val="002D0101"/>
    <w:rsid w:val="002D31A0"/>
    <w:rsid w:val="002D412E"/>
    <w:rsid w:val="002D7B02"/>
    <w:rsid w:val="002E0FE4"/>
    <w:rsid w:val="002E25BF"/>
    <w:rsid w:val="002E4F79"/>
    <w:rsid w:val="002E7EEF"/>
    <w:rsid w:val="002F1833"/>
    <w:rsid w:val="002F2106"/>
    <w:rsid w:val="002F3BA3"/>
    <w:rsid w:val="002F71D0"/>
    <w:rsid w:val="002F73A9"/>
    <w:rsid w:val="002F751B"/>
    <w:rsid w:val="003006DB"/>
    <w:rsid w:val="003009E3"/>
    <w:rsid w:val="00301C94"/>
    <w:rsid w:val="00303598"/>
    <w:rsid w:val="00304E3C"/>
    <w:rsid w:val="003054EF"/>
    <w:rsid w:val="0030576A"/>
    <w:rsid w:val="00307BFC"/>
    <w:rsid w:val="00310AAD"/>
    <w:rsid w:val="00311C29"/>
    <w:rsid w:val="00311E0D"/>
    <w:rsid w:val="00311F92"/>
    <w:rsid w:val="00314295"/>
    <w:rsid w:val="00314C7E"/>
    <w:rsid w:val="00315294"/>
    <w:rsid w:val="0032053B"/>
    <w:rsid w:val="0032177D"/>
    <w:rsid w:val="00322742"/>
    <w:rsid w:val="00325D75"/>
    <w:rsid w:val="0032715F"/>
    <w:rsid w:val="003331AA"/>
    <w:rsid w:val="0034036A"/>
    <w:rsid w:val="00340FF9"/>
    <w:rsid w:val="0034123E"/>
    <w:rsid w:val="003425E6"/>
    <w:rsid w:val="00342F2A"/>
    <w:rsid w:val="00346292"/>
    <w:rsid w:val="00347E55"/>
    <w:rsid w:val="003505FC"/>
    <w:rsid w:val="0035088F"/>
    <w:rsid w:val="003511D9"/>
    <w:rsid w:val="00352485"/>
    <w:rsid w:val="003534DD"/>
    <w:rsid w:val="00354066"/>
    <w:rsid w:val="00354920"/>
    <w:rsid w:val="00355513"/>
    <w:rsid w:val="00361826"/>
    <w:rsid w:val="003631B2"/>
    <w:rsid w:val="003632A0"/>
    <w:rsid w:val="00364479"/>
    <w:rsid w:val="00366011"/>
    <w:rsid w:val="00366453"/>
    <w:rsid w:val="0036685B"/>
    <w:rsid w:val="00366EC4"/>
    <w:rsid w:val="00367AB7"/>
    <w:rsid w:val="00370911"/>
    <w:rsid w:val="00370E55"/>
    <w:rsid w:val="00372292"/>
    <w:rsid w:val="003806A2"/>
    <w:rsid w:val="0038090A"/>
    <w:rsid w:val="003818DA"/>
    <w:rsid w:val="00381C60"/>
    <w:rsid w:val="00385BBF"/>
    <w:rsid w:val="00386F53"/>
    <w:rsid w:val="00390F1F"/>
    <w:rsid w:val="0039119D"/>
    <w:rsid w:val="00392C71"/>
    <w:rsid w:val="00393FD4"/>
    <w:rsid w:val="00395112"/>
    <w:rsid w:val="003964C1"/>
    <w:rsid w:val="003A0634"/>
    <w:rsid w:val="003A0706"/>
    <w:rsid w:val="003A0A71"/>
    <w:rsid w:val="003A20CA"/>
    <w:rsid w:val="003A3935"/>
    <w:rsid w:val="003A5DC7"/>
    <w:rsid w:val="003A5FDD"/>
    <w:rsid w:val="003A64FF"/>
    <w:rsid w:val="003B7F4B"/>
    <w:rsid w:val="003C2E1E"/>
    <w:rsid w:val="003C52FB"/>
    <w:rsid w:val="003C5875"/>
    <w:rsid w:val="003C64C5"/>
    <w:rsid w:val="003C66C8"/>
    <w:rsid w:val="003D3B98"/>
    <w:rsid w:val="003D43EC"/>
    <w:rsid w:val="003D4889"/>
    <w:rsid w:val="003D6518"/>
    <w:rsid w:val="003D76BC"/>
    <w:rsid w:val="003D77D7"/>
    <w:rsid w:val="003E26DF"/>
    <w:rsid w:val="003E2B98"/>
    <w:rsid w:val="003E5298"/>
    <w:rsid w:val="003E77DA"/>
    <w:rsid w:val="003F3C26"/>
    <w:rsid w:val="003F74E7"/>
    <w:rsid w:val="004005D4"/>
    <w:rsid w:val="00400A1F"/>
    <w:rsid w:val="0040275E"/>
    <w:rsid w:val="004035DC"/>
    <w:rsid w:val="0040476A"/>
    <w:rsid w:val="00404F17"/>
    <w:rsid w:val="00405407"/>
    <w:rsid w:val="0040656D"/>
    <w:rsid w:val="00406B71"/>
    <w:rsid w:val="00407269"/>
    <w:rsid w:val="00410600"/>
    <w:rsid w:val="00410DAE"/>
    <w:rsid w:val="00411709"/>
    <w:rsid w:val="004128F8"/>
    <w:rsid w:val="00412F38"/>
    <w:rsid w:val="00413666"/>
    <w:rsid w:val="004147C5"/>
    <w:rsid w:val="00415812"/>
    <w:rsid w:val="004158E9"/>
    <w:rsid w:val="00415D7C"/>
    <w:rsid w:val="004219A3"/>
    <w:rsid w:val="004221F8"/>
    <w:rsid w:val="0042481B"/>
    <w:rsid w:val="004248FD"/>
    <w:rsid w:val="00426458"/>
    <w:rsid w:val="0042745E"/>
    <w:rsid w:val="00430235"/>
    <w:rsid w:val="0043283D"/>
    <w:rsid w:val="00434675"/>
    <w:rsid w:val="00435F4E"/>
    <w:rsid w:val="0043766B"/>
    <w:rsid w:val="00441047"/>
    <w:rsid w:val="00442198"/>
    <w:rsid w:val="00443395"/>
    <w:rsid w:val="00444123"/>
    <w:rsid w:val="004450A7"/>
    <w:rsid w:val="00445CD5"/>
    <w:rsid w:val="004537B4"/>
    <w:rsid w:val="00454392"/>
    <w:rsid w:val="00456E5F"/>
    <w:rsid w:val="004604CE"/>
    <w:rsid w:val="00463254"/>
    <w:rsid w:val="00463758"/>
    <w:rsid w:val="00463A18"/>
    <w:rsid w:val="004744EF"/>
    <w:rsid w:val="00481A05"/>
    <w:rsid w:val="00484499"/>
    <w:rsid w:val="00486203"/>
    <w:rsid w:val="0049046D"/>
    <w:rsid w:val="00492BD8"/>
    <w:rsid w:val="00495429"/>
    <w:rsid w:val="00495861"/>
    <w:rsid w:val="0049704E"/>
    <w:rsid w:val="004A0EFE"/>
    <w:rsid w:val="004A21B1"/>
    <w:rsid w:val="004A32E4"/>
    <w:rsid w:val="004A5BCB"/>
    <w:rsid w:val="004B023F"/>
    <w:rsid w:val="004B05F8"/>
    <w:rsid w:val="004B0F75"/>
    <w:rsid w:val="004B161D"/>
    <w:rsid w:val="004B1EFB"/>
    <w:rsid w:val="004B3B9F"/>
    <w:rsid w:val="004B76C8"/>
    <w:rsid w:val="004C0AE6"/>
    <w:rsid w:val="004C1377"/>
    <w:rsid w:val="004C3722"/>
    <w:rsid w:val="004C5560"/>
    <w:rsid w:val="004C55A4"/>
    <w:rsid w:val="004C766A"/>
    <w:rsid w:val="004C77CA"/>
    <w:rsid w:val="004D1F44"/>
    <w:rsid w:val="004D22D1"/>
    <w:rsid w:val="004D321B"/>
    <w:rsid w:val="004D4289"/>
    <w:rsid w:val="004D5461"/>
    <w:rsid w:val="004D69D2"/>
    <w:rsid w:val="004D7055"/>
    <w:rsid w:val="004D753E"/>
    <w:rsid w:val="004E0D2D"/>
    <w:rsid w:val="004E357C"/>
    <w:rsid w:val="004E35CD"/>
    <w:rsid w:val="004E6EB4"/>
    <w:rsid w:val="004E7CB1"/>
    <w:rsid w:val="004F18E2"/>
    <w:rsid w:val="004F2CC5"/>
    <w:rsid w:val="004F33C7"/>
    <w:rsid w:val="004F41C2"/>
    <w:rsid w:val="004F6ECC"/>
    <w:rsid w:val="004F772C"/>
    <w:rsid w:val="00502DAF"/>
    <w:rsid w:val="00502FA9"/>
    <w:rsid w:val="00504E56"/>
    <w:rsid w:val="0050546C"/>
    <w:rsid w:val="00507CB4"/>
    <w:rsid w:val="00507EC9"/>
    <w:rsid w:val="00507F01"/>
    <w:rsid w:val="00510812"/>
    <w:rsid w:val="00511611"/>
    <w:rsid w:val="0051277A"/>
    <w:rsid w:val="00512FFB"/>
    <w:rsid w:val="00515D62"/>
    <w:rsid w:val="00521F0F"/>
    <w:rsid w:val="00522550"/>
    <w:rsid w:val="00523071"/>
    <w:rsid w:val="005246FB"/>
    <w:rsid w:val="00525A7E"/>
    <w:rsid w:val="0052706B"/>
    <w:rsid w:val="00531E68"/>
    <w:rsid w:val="00532401"/>
    <w:rsid w:val="00533A94"/>
    <w:rsid w:val="00535C9C"/>
    <w:rsid w:val="0054192C"/>
    <w:rsid w:val="00542902"/>
    <w:rsid w:val="00542A5F"/>
    <w:rsid w:val="00542DA6"/>
    <w:rsid w:val="005441C6"/>
    <w:rsid w:val="005454C1"/>
    <w:rsid w:val="005464D6"/>
    <w:rsid w:val="005472FF"/>
    <w:rsid w:val="00551402"/>
    <w:rsid w:val="00551989"/>
    <w:rsid w:val="00553493"/>
    <w:rsid w:val="005540C5"/>
    <w:rsid w:val="0055715B"/>
    <w:rsid w:val="005574BD"/>
    <w:rsid w:val="00557A8B"/>
    <w:rsid w:val="005601CB"/>
    <w:rsid w:val="00560466"/>
    <w:rsid w:val="00564EC5"/>
    <w:rsid w:val="00567D5D"/>
    <w:rsid w:val="00570D94"/>
    <w:rsid w:val="005726A7"/>
    <w:rsid w:val="00572960"/>
    <w:rsid w:val="00572EB1"/>
    <w:rsid w:val="005744F5"/>
    <w:rsid w:val="005765AB"/>
    <w:rsid w:val="0057701A"/>
    <w:rsid w:val="005778CA"/>
    <w:rsid w:val="0058261C"/>
    <w:rsid w:val="005862F2"/>
    <w:rsid w:val="00586468"/>
    <w:rsid w:val="0058656B"/>
    <w:rsid w:val="00590399"/>
    <w:rsid w:val="00591E83"/>
    <w:rsid w:val="005942E0"/>
    <w:rsid w:val="00594300"/>
    <w:rsid w:val="00595922"/>
    <w:rsid w:val="005979EE"/>
    <w:rsid w:val="005A4303"/>
    <w:rsid w:val="005A4432"/>
    <w:rsid w:val="005A6DE6"/>
    <w:rsid w:val="005B0059"/>
    <w:rsid w:val="005B0803"/>
    <w:rsid w:val="005B18EA"/>
    <w:rsid w:val="005B3003"/>
    <w:rsid w:val="005B32DE"/>
    <w:rsid w:val="005B5A73"/>
    <w:rsid w:val="005B6171"/>
    <w:rsid w:val="005B62B4"/>
    <w:rsid w:val="005B7A50"/>
    <w:rsid w:val="005C0134"/>
    <w:rsid w:val="005C06F1"/>
    <w:rsid w:val="005C39A6"/>
    <w:rsid w:val="005C3C6C"/>
    <w:rsid w:val="005C4BEA"/>
    <w:rsid w:val="005C61D9"/>
    <w:rsid w:val="005D14C3"/>
    <w:rsid w:val="005D1F39"/>
    <w:rsid w:val="005D4B20"/>
    <w:rsid w:val="005D5445"/>
    <w:rsid w:val="005D5CC1"/>
    <w:rsid w:val="005D686F"/>
    <w:rsid w:val="005D7EB3"/>
    <w:rsid w:val="005E12A5"/>
    <w:rsid w:val="005E1E5E"/>
    <w:rsid w:val="005E27B7"/>
    <w:rsid w:val="005E3373"/>
    <w:rsid w:val="005E3EB2"/>
    <w:rsid w:val="005E66B8"/>
    <w:rsid w:val="005F134E"/>
    <w:rsid w:val="005F5F10"/>
    <w:rsid w:val="005F6AFD"/>
    <w:rsid w:val="006015BA"/>
    <w:rsid w:val="00601D84"/>
    <w:rsid w:val="00602955"/>
    <w:rsid w:val="006049F9"/>
    <w:rsid w:val="0060506E"/>
    <w:rsid w:val="00606CC9"/>
    <w:rsid w:val="00607BB7"/>
    <w:rsid w:val="00612530"/>
    <w:rsid w:val="006125CD"/>
    <w:rsid w:val="0061433D"/>
    <w:rsid w:val="00614844"/>
    <w:rsid w:val="00614955"/>
    <w:rsid w:val="00615EAF"/>
    <w:rsid w:val="0062160B"/>
    <w:rsid w:val="00621CCF"/>
    <w:rsid w:val="00621FF0"/>
    <w:rsid w:val="006224BC"/>
    <w:rsid w:val="006268AB"/>
    <w:rsid w:val="00630FBE"/>
    <w:rsid w:val="0063142D"/>
    <w:rsid w:val="00631BD0"/>
    <w:rsid w:val="0063257D"/>
    <w:rsid w:val="00633516"/>
    <w:rsid w:val="0063393A"/>
    <w:rsid w:val="0063451B"/>
    <w:rsid w:val="00634D86"/>
    <w:rsid w:val="00634D9E"/>
    <w:rsid w:val="00642CD3"/>
    <w:rsid w:val="0064432C"/>
    <w:rsid w:val="00644B1B"/>
    <w:rsid w:val="00645A9E"/>
    <w:rsid w:val="00645B26"/>
    <w:rsid w:val="00645C89"/>
    <w:rsid w:val="00646422"/>
    <w:rsid w:val="00647EA0"/>
    <w:rsid w:val="006502C4"/>
    <w:rsid w:val="00651CD9"/>
    <w:rsid w:val="006546E9"/>
    <w:rsid w:val="00654DB8"/>
    <w:rsid w:val="00656B43"/>
    <w:rsid w:val="00660338"/>
    <w:rsid w:val="00661A6A"/>
    <w:rsid w:val="00664A07"/>
    <w:rsid w:val="00664E42"/>
    <w:rsid w:val="00666EAF"/>
    <w:rsid w:val="0067125A"/>
    <w:rsid w:val="0067327C"/>
    <w:rsid w:val="006762C3"/>
    <w:rsid w:val="006771B5"/>
    <w:rsid w:val="00677776"/>
    <w:rsid w:val="00680A07"/>
    <w:rsid w:val="00681E01"/>
    <w:rsid w:val="00683176"/>
    <w:rsid w:val="006837C3"/>
    <w:rsid w:val="00683CCE"/>
    <w:rsid w:val="00685E37"/>
    <w:rsid w:val="006868C1"/>
    <w:rsid w:val="00686CF8"/>
    <w:rsid w:val="0068714E"/>
    <w:rsid w:val="006902F9"/>
    <w:rsid w:val="00691F3E"/>
    <w:rsid w:val="006920F0"/>
    <w:rsid w:val="00692FF8"/>
    <w:rsid w:val="006946DC"/>
    <w:rsid w:val="00695D37"/>
    <w:rsid w:val="006A1F48"/>
    <w:rsid w:val="006A357B"/>
    <w:rsid w:val="006A3D2C"/>
    <w:rsid w:val="006A41D0"/>
    <w:rsid w:val="006A499A"/>
    <w:rsid w:val="006A5DDB"/>
    <w:rsid w:val="006A66D1"/>
    <w:rsid w:val="006B124E"/>
    <w:rsid w:val="006B4AF0"/>
    <w:rsid w:val="006B5C99"/>
    <w:rsid w:val="006B6D94"/>
    <w:rsid w:val="006C074B"/>
    <w:rsid w:val="006C0951"/>
    <w:rsid w:val="006C45EA"/>
    <w:rsid w:val="006C5A2D"/>
    <w:rsid w:val="006C6388"/>
    <w:rsid w:val="006C6D39"/>
    <w:rsid w:val="006D0772"/>
    <w:rsid w:val="006D2D5E"/>
    <w:rsid w:val="006D3754"/>
    <w:rsid w:val="006D57A5"/>
    <w:rsid w:val="006D7320"/>
    <w:rsid w:val="006D7322"/>
    <w:rsid w:val="006D7AFC"/>
    <w:rsid w:val="006E2970"/>
    <w:rsid w:val="006F061A"/>
    <w:rsid w:val="006F0FE9"/>
    <w:rsid w:val="006F2565"/>
    <w:rsid w:val="006F460D"/>
    <w:rsid w:val="006F776A"/>
    <w:rsid w:val="007007DB"/>
    <w:rsid w:val="00701BBF"/>
    <w:rsid w:val="00701FCE"/>
    <w:rsid w:val="0070374F"/>
    <w:rsid w:val="00703FD4"/>
    <w:rsid w:val="007041B7"/>
    <w:rsid w:val="0070427D"/>
    <w:rsid w:val="007067E1"/>
    <w:rsid w:val="00707D44"/>
    <w:rsid w:val="00707EAC"/>
    <w:rsid w:val="0071131F"/>
    <w:rsid w:val="00713373"/>
    <w:rsid w:val="0071349A"/>
    <w:rsid w:val="00715995"/>
    <w:rsid w:val="007161C4"/>
    <w:rsid w:val="00716887"/>
    <w:rsid w:val="007209AD"/>
    <w:rsid w:val="00721223"/>
    <w:rsid w:val="0072163B"/>
    <w:rsid w:val="0072320B"/>
    <w:rsid w:val="007314F3"/>
    <w:rsid w:val="00731BAB"/>
    <w:rsid w:val="0073204E"/>
    <w:rsid w:val="007323EE"/>
    <w:rsid w:val="0073480D"/>
    <w:rsid w:val="0073485D"/>
    <w:rsid w:val="007350B4"/>
    <w:rsid w:val="0073660E"/>
    <w:rsid w:val="00737DFE"/>
    <w:rsid w:val="007413B4"/>
    <w:rsid w:val="00742DBF"/>
    <w:rsid w:val="0074356A"/>
    <w:rsid w:val="00743EDA"/>
    <w:rsid w:val="00745B12"/>
    <w:rsid w:val="00745F4C"/>
    <w:rsid w:val="0075149F"/>
    <w:rsid w:val="007535A4"/>
    <w:rsid w:val="0075464B"/>
    <w:rsid w:val="00754B38"/>
    <w:rsid w:val="00754BAD"/>
    <w:rsid w:val="00755A42"/>
    <w:rsid w:val="0075631C"/>
    <w:rsid w:val="00756F3C"/>
    <w:rsid w:val="00760EF1"/>
    <w:rsid w:val="00761D82"/>
    <w:rsid w:val="00762352"/>
    <w:rsid w:val="00762C48"/>
    <w:rsid w:val="007637E3"/>
    <w:rsid w:val="007640CC"/>
    <w:rsid w:val="00767E26"/>
    <w:rsid w:val="007742FD"/>
    <w:rsid w:val="007743AE"/>
    <w:rsid w:val="00776C9F"/>
    <w:rsid w:val="00776FC9"/>
    <w:rsid w:val="007803E0"/>
    <w:rsid w:val="00780770"/>
    <w:rsid w:val="0078124C"/>
    <w:rsid w:val="00786994"/>
    <w:rsid w:val="00790461"/>
    <w:rsid w:val="00793CEF"/>
    <w:rsid w:val="00793F19"/>
    <w:rsid w:val="00795999"/>
    <w:rsid w:val="007A0EEA"/>
    <w:rsid w:val="007A45B9"/>
    <w:rsid w:val="007A464F"/>
    <w:rsid w:val="007B0608"/>
    <w:rsid w:val="007B150F"/>
    <w:rsid w:val="007B19A7"/>
    <w:rsid w:val="007B1DF9"/>
    <w:rsid w:val="007B2462"/>
    <w:rsid w:val="007B2AC6"/>
    <w:rsid w:val="007B452D"/>
    <w:rsid w:val="007B749B"/>
    <w:rsid w:val="007C00AD"/>
    <w:rsid w:val="007C079D"/>
    <w:rsid w:val="007C08D7"/>
    <w:rsid w:val="007C5EFF"/>
    <w:rsid w:val="007C78C2"/>
    <w:rsid w:val="007D51CF"/>
    <w:rsid w:val="007D543C"/>
    <w:rsid w:val="007D7B5D"/>
    <w:rsid w:val="007D7EFF"/>
    <w:rsid w:val="007E1035"/>
    <w:rsid w:val="007E44D6"/>
    <w:rsid w:val="007E5F0B"/>
    <w:rsid w:val="007F288A"/>
    <w:rsid w:val="007F2907"/>
    <w:rsid w:val="007F317E"/>
    <w:rsid w:val="007F4A77"/>
    <w:rsid w:val="007F57D4"/>
    <w:rsid w:val="007F58CA"/>
    <w:rsid w:val="007F6F48"/>
    <w:rsid w:val="007F7146"/>
    <w:rsid w:val="007F72BE"/>
    <w:rsid w:val="008009C1"/>
    <w:rsid w:val="00800B6A"/>
    <w:rsid w:val="00801CD8"/>
    <w:rsid w:val="00802C6D"/>
    <w:rsid w:val="008052EE"/>
    <w:rsid w:val="008057C4"/>
    <w:rsid w:val="00807883"/>
    <w:rsid w:val="00807D9E"/>
    <w:rsid w:val="008101D8"/>
    <w:rsid w:val="008123B8"/>
    <w:rsid w:val="008128A6"/>
    <w:rsid w:val="00812DDE"/>
    <w:rsid w:val="00813606"/>
    <w:rsid w:val="00814415"/>
    <w:rsid w:val="008147F4"/>
    <w:rsid w:val="00814EFE"/>
    <w:rsid w:val="0081509E"/>
    <w:rsid w:val="00816510"/>
    <w:rsid w:val="0082196C"/>
    <w:rsid w:val="00821F9F"/>
    <w:rsid w:val="00823A58"/>
    <w:rsid w:val="00824993"/>
    <w:rsid w:val="00825F45"/>
    <w:rsid w:val="00832404"/>
    <w:rsid w:val="00832F9A"/>
    <w:rsid w:val="008338BF"/>
    <w:rsid w:val="00833914"/>
    <w:rsid w:val="00833CA9"/>
    <w:rsid w:val="0083452B"/>
    <w:rsid w:val="008356C9"/>
    <w:rsid w:val="00835817"/>
    <w:rsid w:val="0083775C"/>
    <w:rsid w:val="00837AF8"/>
    <w:rsid w:val="0084320E"/>
    <w:rsid w:val="00844CC8"/>
    <w:rsid w:val="00845F5C"/>
    <w:rsid w:val="00846902"/>
    <w:rsid w:val="00847C39"/>
    <w:rsid w:val="00851BE9"/>
    <w:rsid w:val="008520DC"/>
    <w:rsid w:val="008567EA"/>
    <w:rsid w:val="00861EE2"/>
    <w:rsid w:val="00861EEF"/>
    <w:rsid w:val="00863512"/>
    <w:rsid w:val="00864BA7"/>
    <w:rsid w:val="0086582B"/>
    <w:rsid w:val="008659E5"/>
    <w:rsid w:val="008661BA"/>
    <w:rsid w:val="00871832"/>
    <w:rsid w:val="00876732"/>
    <w:rsid w:val="00877D23"/>
    <w:rsid w:val="008832FD"/>
    <w:rsid w:val="008837E1"/>
    <w:rsid w:val="00885BA4"/>
    <w:rsid w:val="00885CC6"/>
    <w:rsid w:val="00893723"/>
    <w:rsid w:val="00897025"/>
    <w:rsid w:val="00897AA8"/>
    <w:rsid w:val="00897DB1"/>
    <w:rsid w:val="008A3657"/>
    <w:rsid w:val="008A41D6"/>
    <w:rsid w:val="008A59DF"/>
    <w:rsid w:val="008A6460"/>
    <w:rsid w:val="008A7CDE"/>
    <w:rsid w:val="008B363F"/>
    <w:rsid w:val="008B37A2"/>
    <w:rsid w:val="008B5543"/>
    <w:rsid w:val="008B6497"/>
    <w:rsid w:val="008C3330"/>
    <w:rsid w:val="008C3CB3"/>
    <w:rsid w:val="008C5092"/>
    <w:rsid w:val="008C554F"/>
    <w:rsid w:val="008C6DB7"/>
    <w:rsid w:val="008C709C"/>
    <w:rsid w:val="008C722C"/>
    <w:rsid w:val="008C7654"/>
    <w:rsid w:val="008D1EEE"/>
    <w:rsid w:val="008D4249"/>
    <w:rsid w:val="008D5B68"/>
    <w:rsid w:val="008D5C2C"/>
    <w:rsid w:val="008D7F38"/>
    <w:rsid w:val="008E15AC"/>
    <w:rsid w:val="008E1AA3"/>
    <w:rsid w:val="008E1D65"/>
    <w:rsid w:val="008E50E0"/>
    <w:rsid w:val="008E57D9"/>
    <w:rsid w:val="008E5ACC"/>
    <w:rsid w:val="008E60C9"/>
    <w:rsid w:val="008E6AC2"/>
    <w:rsid w:val="008F0546"/>
    <w:rsid w:val="008F161F"/>
    <w:rsid w:val="008F2802"/>
    <w:rsid w:val="008F65FE"/>
    <w:rsid w:val="008F68A0"/>
    <w:rsid w:val="008F7CC5"/>
    <w:rsid w:val="0090022C"/>
    <w:rsid w:val="00901326"/>
    <w:rsid w:val="0090148A"/>
    <w:rsid w:val="00902FF6"/>
    <w:rsid w:val="009037A5"/>
    <w:rsid w:val="00904A48"/>
    <w:rsid w:val="009070EB"/>
    <w:rsid w:val="00910733"/>
    <w:rsid w:val="00910AE9"/>
    <w:rsid w:val="00912D65"/>
    <w:rsid w:val="009135AC"/>
    <w:rsid w:val="00913913"/>
    <w:rsid w:val="0091785E"/>
    <w:rsid w:val="009215CF"/>
    <w:rsid w:val="00921B15"/>
    <w:rsid w:val="009222A5"/>
    <w:rsid w:val="009242E2"/>
    <w:rsid w:val="009243C7"/>
    <w:rsid w:val="00930DC0"/>
    <w:rsid w:val="00930DF3"/>
    <w:rsid w:val="00931B59"/>
    <w:rsid w:val="0093203E"/>
    <w:rsid w:val="0093258F"/>
    <w:rsid w:val="00933AEC"/>
    <w:rsid w:val="009344D8"/>
    <w:rsid w:val="009364CA"/>
    <w:rsid w:val="00936FFB"/>
    <w:rsid w:val="00940631"/>
    <w:rsid w:val="00942F33"/>
    <w:rsid w:val="00952518"/>
    <w:rsid w:val="0095478C"/>
    <w:rsid w:val="00954D4A"/>
    <w:rsid w:val="00955757"/>
    <w:rsid w:val="0096178D"/>
    <w:rsid w:val="009649B1"/>
    <w:rsid w:val="00966815"/>
    <w:rsid w:val="009705BA"/>
    <w:rsid w:val="00971976"/>
    <w:rsid w:val="00971EFB"/>
    <w:rsid w:val="009724CB"/>
    <w:rsid w:val="00972C20"/>
    <w:rsid w:val="00972CB2"/>
    <w:rsid w:val="00974114"/>
    <w:rsid w:val="00975DE8"/>
    <w:rsid w:val="00975E80"/>
    <w:rsid w:val="0097603F"/>
    <w:rsid w:val="00976CB4"/>
    <w:rsid w:val="00977DB8"/>
    <w:rsid w:val="0098115C"/>
    <w:rsid w:val="00981ADC"/>
    <w:rsid w:val="009830E0"/>
    <w:rsid w:val="009848AB"/>
    <w:rsid w:val="00985269"/>
    <w:rsid w:val="0099163D"/>
    <w:rsid w:val="00991CD0"/>
    <w:rsid w:val="00991FF7"/>
    <w:rsid w:val="00992F13"/>
    <w:rsid w:val="00992F2D"/>
    <w:rsid w:val="00993931"/>
    <w:rsid w:val="009940DD"/>
    <w:rsid w:val="0099458E"/>
    <w:rsid w:val="009A162F"/>
    <w:rsid w:val="009A2272"/>
    <w:rsid w:val="009A3F57"/>
    <w:rsid w:val="009A5708"/>
    <w:rsid w:val="009A5814"/>
    <w:rsid w:val="009A6F03"/>
    <w:rsid w:val="009B0667"/>
    <w:rsid w:val="009B164B"/>
    <w:rsid w:val="009B2FA8"/>
    <w:rsid w:val="009B313B"/>
    <w:rsid w:val="009B4B6D"/>
    <w:rsid w:val="009B6400"/>
    <w:rsid w:val="009B669C"/>
    <w:rsid w:val="009C1BAB"/>
    <w:rsid w:val="009C6984"/>
    <w:rsid w:val="009C6ACB"/>
    <w:rsid w:val="009C793D"/>
    <w:rsid w:val="009D050A"/>
    <w:rsid w:val="009D0538"/>
    <w:rsid w:val="009D0714"/>
    <w:rsid w:val="009D188F"/>
    <w:rsid w:val="009D24C3"/>
    <w:rsid w:val="009D39BE"/>
    <w:rsid w:val="009D40E6"/>
    <w:rsid w:val="009D68ED"/>
    <w:rsid w:val="009D72F8"/>
    <w:rsid w:val="009D7798"/>
    <w:rsid w:val="009E3FDC"/>
    <w:rsid w:val="009E46AF"/>
    <w:rsid w:val="009E47F3"/>
    <w:rsid w:val="009E56EA"/>
    <w:rsid w:val="009E6FB4"/>
    <w:rsid w:val="009F3942"/>
    <w:rsid w:val="009F4CCD"/>
    <w:rsid w:val="009F51C2"/>
    <w:rsid w:val="009F6118"/>
    <w:rsid w:val="009F6AC7"/>
    <w:rsid w:val="009F7008"/>
    <w:rsid w:val="009F7DEE"/>
    <w:rsid w:val="00A0076F"/>
    <w:rsid w:val="00A00BDA"/>
    <w:rsid w:val="00A01A24"/>
    <w:rsid w:val="00A01D01"/>
    <w:rsid w:val="00A02394"/>
    <w:rsid w:val="00A02FF0"/>
    <w:rsid w:val="00A03472"/>
    <w:rsid w:val="00A0361F"/>
    <w:rsid w:val="00A0421B"/>
    <w:rsid w:val="00A05532"/>
    <w:rsid w:val="00A06357"/>
    <w:rsid w:val="00A070BB"/>
    <w:rsid w:val="00A07885"/>
    <w:rsid w:val="00A12535"/>
    <w:rsid w:val="00A13102"/>
    <w:rsid w:val="00A13A73"/>
    <w:rsid w:val="00A13D51"/>
    <w:rsid w:val="00A14632"/>
    <w:rsid w:val="00A14F13"/>
    <w:rsid w:val="00A176C0"/>
    <w:rsid w:val="00A20E03"/>
    <w:rsid w:val="00A224A5"/>
    <w:rsid w:val="00A22F34"/>
    <w:rsid w:val="00A236EB"/>
    <w:rsid w:val="00A25B89"/>
    <w:rsid w:val="00A2735F"/>
    <w:rsid w:val="00A27E39"/>
    <w:rsid w:val="00A32074"/>
    <w:rsid w:val="00A33799"/>
    <w:rsid w:val="00A34015"/>
    <w:rsid w:val="00A342F3"/>
    <w:rsid w:val="00A346BE"/>
    <w:rsid w:val="00A35223"/>
    <w:rsid w:val="00A36092"/>
    <w:rsid w:val="00A36AB3"/>
    <w:rsid w:val="00A40B19"/>
    <w:rsid w:val="00A4145E"/>
    <w:rsid w:val="00A41A27"/>
    <w:rsid w:val="00A44B47"/>
    <w:rsid w:val="00A52D29"/>
    <w:rsid w:val="00A53FFC"/>
    <w:rsid w:val="00A542C0"/>
    <w:rsid w:val="00A561B6"/>
    <w:rsid w:val="00A56EFA"/>
    <w:rsid w:val="00A627E6"/>
    <w:rsid w:val="00A64B1B"/>
    <w:rsid w:val="00A65B60"/>
    <w:rsid w:val="00A66BF9"/>
    <w:rsid w:val="00A67F54"/>
    <w:rsid w:val="00A7124E"/>
    <w:rsid w:val="00A721E4"/>
    <w:rsid w:val="00A725AA"/>
    <w:rsid w:val="00A7426D"/>
    <w:rsid w:val="00A744AF"/>
    <w:rsid w:val="00A7655D"/>
    <w:rsid w:val="00A77781"/>
    <w:rsid w:val="00A80D6B"/>
    <w:rsid w:val="00A83226"/>
    <w:rsid w:val="00A85441"/>
    <w:rsid w:val="00A90C00"/>
    <w:rsid w:val="00A9205F"/>
    <w:rsid w:val="00A96FED"/>
    <w:rsid w:val="00A97A48"/>
    <w:rsid w:val="00AA36ED"/>
    <w:rsid w:val="00AA446A"/>
    <w:rsid w:val="00AA7C9C"/>
    <w:rsid w:val="00AA7F8D"/>
    <w:rsid w:val="00AB1327"/>
    <w:rsid w:val="00AB19C0"/>
    <w:rsid w:val="00AB27D6"/>
    <w:rsid w:val="00AB28CE"/>
    <w:rsid w:val="00AB418C"/>
    <w:rsid w:val="00AB602F"/>
    <w:rsid w:val="00AC0B67"/>
    <w:rsid w:val="00AC101F"/>
    <w:rsid w:val="00AC1583"/>
    <w:rsid w:val="00AC2D12"/>
    <w:rsid w:val="00AC3334"/>
    <w:rsid w:val="00AC379E"/>
    <w:rsid w:val="00AC5456"/>
    <w:rsid w:val="00AC7B6F"/>
    <w:rsid w:val="00AC7FAC"/>
    <w:rsid w:val="00AD0102"/>
    <w:rsid w:val="00AD2044"/>
    <w:rsid w:val="00AD41D6"/>
    <w:rsid w:val="00AD498C"/>
    <w:rsid w:val="00AD5BE7"/>
    <w:rsid w:val="00AD68C1"/>
    <w:rsid w:val="00AE0661"/>
    <w:rsid w:val="00AE06B1"/>
    <w:rsid w:val="00AE0DDC"/>
    <w:rsid w:val="00AE1A88"/>
    <w:rsid w:val="00AE1CCE"/>
    <w:rsid w:val="00AE2579"/>
    <w:rsid w:val="00AE3151"/>
    <w:rsid w:val="00AE6F12"/>
    <w:rsid w:val="00AE79A2"/>
    <w:rsid w:val="00AE7AE2"/>
    <w:rsid w:val="00AF01A0"/>
    <w:rsid w:val="00AF2B5B"/>
    <w:rsid w:val="00AF51EA"/>
    <w:rsid w:val="00AF581E"/>
    <w:rsid w:val="00AF6DD9"/>
    <w:rsid w:val="00AF7DD7"/>
    <w:rsid w:val="00B00187"/>
    <w:rsid w:val="00B023A2"/>
    <w:rsid w:val="00B02BCA"/>
    <w:rsid w:val="00B03A95"/>
    <w:rsid w:val="00B04E80"/>
    <w:rsid w:val="00B0596A"/>
    <w:rsid w:val="00B06874"/>
    <w:rsid w:val="00B145DF"/>
    <w:rsid w:val="00B15D93"/>
    <w:rsid w:val="00B20573"/>
    <w:rsid w:val="00B220ED"/>
    <w:rsid w:val="00B22B0B"/>
    <w:rsid w:val="00B24DAC"/>
    <w:rsid w:val="00B275FF"/>
    <w:rsid w:val="00B27B69"/>
    <w:rsid w:val="00B30310"/>
    <w:rsid w:val="00B30B10"/>
    <w:rsid w:val="00B313E5"/>
    <w:rsid w:val="00B32DBF"/>
    <w:rsid w:val="00B35935"/>
    <w:rsid w:val="00B35A55"/>
    <w:rsid w:val="00B3712A"/>
    <w:rsid w:val="00B4111B"/>
    <w:rsid w:val="00B43255"/>
    <w:rsid w:val="00B446E8"/>
    <w:rsid w:val="00B44A2D"/>
    <w:rsid w:val="00B44C23"/>
    <w:rsid w:val="00B46031"/>
    <w:rsid w:val="00B50D00"/>
    <w:rsid w:val="00B50FED"/>
    <w:rsid w:val="00B52A52"/>
    <w:rsid w:val="00B53EE8"/>
    <w:rsid w:val="00B571A6"/>
    <w:rsid w:val="00B60011"/>
    <w:rsid w:val="00B6239E"/>
    <w:rsid w:val="00B62B3B"/>
    <w:rsid w:val="00B6461D"/>
    <w:rsid w:val="00B64FB3"/>
    <w:rsid w:val="00B65253"/>
    <w:rsid w:val="00B65376"/>
    <w:rsid w:val="00B653D1"/>
    <w:rsid w:val="00B721B8"/>
    <w:rsid w:val="00B74CE5"/>
    <w:rsid w:val="00B77465"/>
    <w:rsid w:val="00B804D5"/>
    <w:rsid w:val="00B806E8"/>
    <w:rsid w:val="00B81DE8"/>
    <w:rsid w:val="00B83704"/>
    <w:rsid w:val="00B83CE9"/>
    <w:rsid w:val="00B84808"/>
    <w:rsid w:val="00B8495B"/>
    <w:rsid w:val="00B8797D"/>
    <w:rsid w:val="00B90D0D"/>
    <w:rsid w:val="00B91D25"/>
    <w:rsid w:val="00B91E1D"/>
    <w:rsid w:val="00B91FE8"/>
    <w:rsid w:val="00B92925"/>
    <w:rsid w:val="00B95DED"/>
    <w:rsid w:val="00B96508"/>
    <w:rsid w:val="00BA10FC"/>
    <w:rsid w:val="00BA2003"/>
    <w:rsid w:val="00BA54C6"/>
    <w:rsid w:val="00BA6923"/>
    <w:rsid w:val="00BB08AA"/>
    <w:rsid w:val="00BB0D5E"/>
    <w:rsid w:val="00BB1257"/>
    <w:rsid w:val="00BB2DEA"/>
    <w:rsid w:val="00BB3408"/>
    <w:rsid w:val="00BB5577"/>
    <w:rsid w:val="00BB588A"/>
    <w:rsid w:val="00BB6990"/>
    <w:rsid w:val="00BB6E9A"/>
    <w:rsid w:val="00BC2030"/>
    <w:rsid w:val="00BC4800"/>
    <w:rsid w:val="00BC49EA"/>
    <w:rsid w:val="00BC6719"/>
    <w:rsid w:val="00BD10D0"/>
    <w:rsid w:val="00BD7BE6"/>
    <w:rsid w:val="00BE02AC"/>
    <w:rsid w:val="00BE2A55"/>
    <w:rsid w:val="00BE3140"/>
    <w:rsid w:val="00BE33E2"/>
    <w:rsid w:val="00BE3C41"/>
    <w:rsid w:val="00BE443C"/>
    <w:rsid w:val="00BE60AE"/>
    <w:rsid w:val="00BE6568"/>
    <w:rsid w:val="00BF028B"/>
    <w:rsid w:val="00BF118B"/>
    <w:rsid w:val="00BF3E54"/>
    <w:rsid w:val="00BF5E1B"/>
    <w:rsid w:val="00BF69F6"/>
    <w:rsid w:val="00BF6BCA"/>
    <w:rsid w:val="00C00335"/>
    <w:rsid w:val="00C029BC"/>
    <w:rsid w:val="00C041B2"/>
    <w:rsid w:val="00C04841"/>
    <w:rsid w:val="00C0576A"/>
    <w:rsid w:val="00C05A88"/>
    <w:rsid w:val="00C1085A"/>
    <w:rsid w:val="00C12DBD"/>
    <w:rsid w:val="00C13707"/>
    <w:rsid w:val="00C14263"/>
    <w:rsid w:val="00C153EF"/>
    <w:rsid w:val="00C20066"/>
    <w:rsid w:val="00C2263A"/>
    <w:rsid w:val="00C2313B"/>
    <w:rsid w:val="00C242BA"/>
    <w:rsid w:val="00C250ED"/>
    <w:rsid w:val="00C2569F"/>
    <w:rsid w:val="00C31A67"/>
    <w:rsid w:val="00C31C8E"/>
    <w:rsid w:val="00C32797"/>
    <w:rsid w:val="00C34518"/>
    <w:rsid w:val="00C368E9"/>
    <w:rsid w:val="00C36B5E"/>
    <w:rsid w:val="00C3798E"/>
    <w:rsid w:val="00C4216E"/>
    <w:rsid w:val="00C43722"/>
    <w:rsid w:val="00C4549C"/>
    <w:rsid w:val="00C47082"/>
    <w:rsid w:val="00C47B69"/>
    <w:rsid w:val="00C515A6"/>
    <w:rsid w:val="00C51B16"/>
    <w:rsid w:val="00C51D65"/>
    <w:rsid w:val="00C53010"/>
    <w:rsid w:val="00C60997"/>
    <w:rsid w:val="00C60B0C"/>
    <w:rsid w:val="00C6163C"/>
    <w:rsid w:val="00C62C2D"/>
    <w:rsid w:val="00C63179"/>
    <w:rsid w:val="00C63808"/>
    <w:rsid w:val="00C64542"/>
    <w:rsid w:val="00C6480F"/>
    <w:rsid w:val="00C650A2"/>
    <w:rsid w:val="00C65A03"/>
    <w:rsid w:val="00C6651D"/>
    <w:rsid w:val="00C66689"/>
    <w:rsid w:val="00C66909"/>
    <w:rsid w:val="00C70608"/>
    <w:rsid w:val="00C754EB"/>
    <w:rsid w:val="00C75871"/>
    <w:rsid w:val="00C7731D"/>
    <w:rsid w:val="00C779A7"/>
    <w:rsid w:val="00C808F8"/>
    <w:rsid w:val="00C80FB4"/>
    <w:rsid w:val="00C8103E"/>
    <w:rsid w:val="00C8122A"/>
    <w:rsid w:val="00C83657"/>
    <w:rsid w:val="00C85A0C"/>
    <w:rsid w:val="00C87904"/>
    <w:rsid w:val="00C92A87"/>
    <w:rsid w:val="00C93B28"/>
    <w:rsid w:val="00C95481"/>
    <w:rsid w:val="00C9600E"/>
    <w:rsid w:val="00CA069D"/>
    <w:rsid w:val="00CA1218"/>
    <w:rsid w:val="00CA12FE"/>
    <w:rsid w:val="00CA5C45"/>
    <w:rsid w:val="00CB0904"/>
    <w:rsid w:val="00CB0978"/>
    <w:rsid w:val="00CB0C37"/>
    <w:rsid w:val="00CB0E00"/>
    <w:rsid w:val="00CB34D9"/>
    <w:rsid w:val="00CB3FAB"/>
    <w:rsid w:val="00CB4FC9"/>
    <w:rsid w:val="00CB6792"/>
    <w:rsid w:val="00CB685C"/>
    <w:rsid w:val="00CB6CF4"/>
    <w:rsid w:val="00CC021F"/>
    <w:rsid w:val="00CC0ACA"/>
    <w:rsid w:val="00CC1171"/>
    <w:rsid w:val="00CC11FA"/>
    <w:rsid w:val="00CC1EE8"/>
    <w:rsid w:val="00CC26AE"/>
    <w:rsid w:val="00CC407F"/>
    <w:rsid w:val="00CC4B1B"/>
    <w:rsid w:val="00CC4DD8"/>
    <w:rsid w:val="00CC50CF"/>
    <w:rsid w:val="00CC678B"/>
    <w:rsid w:val="00CC7FAA"/>
    <w:rsid w:val="00CD18D2"/>
    <w:rsid w:val="00CD1D20"/>
    <w:rsid w:val="00CD5394"/>
    <w:rsid w:val="00CD6EB4"/>
    <w:rsid w:val="00CD71B9"/>
    <w:rsid w:val="00CD7529"/>
    <w:rsid w:val="00CD7B07"/>
    <w:rsid w:val="00CE0327"/>
    <w:rsid w:val="00CE2856"/>
    <w:rsid w:val="00CE3189"/>
    <w:rsid w:val="00CE3544"/>
    <w:rsid w:val="00CE3859"/>
    <w:rsid w:val="00CE4AD7"/>
    <w:rsid w:val="00CE5D74"/>
    <w:rsid w:val="00CF2E97"/>
    <w:rsid w:val="00CF2EE8"/>
    <w:rsid w:val="00CF4A8C"/>
    <w:rsid w:val="00CF4F42"/>
    <w:rsid w:val="00CF69AF"/>
    <w:rsid w:val="00CF7E52"/>
    <w:rsid w:val="00D00B91"/>
    <w:rsid w:val="00D014DA"/>
    <w:rsid w:val="00D04ACC"/>
    <w:rsid w:val="00D04CB4"/>
    <w:rsid w:val="00D06520"/>
    <w:rsid w:val="00D11EC8"/>
    <w:rsid w:val="00D12C2F"/>
    <w:rsid w:val="00D1347A"/>
    <w:rsid w:val="00D1441B"/>
    <w:rsid w:val="00D14AAA"/>
    <w:rsid w:val="00D14FFB"/>
    <w:rsid w:val="00D16A01"/>
    <w:rsid w:val="00D1707A"/>
    <w:rsid w:val="00D17690"/>
    <w:rsid w:val="00D22D98"/>
    <w:rsid w:val="00D23E22"/>
    <w:rsid w:val="00D246A7"/>
    <w:rsid w:val="00D24B1D"/>
    <w:rsid w:val="00D266DA"/>
    <w:rsid w:val="00D26A24"/>
    <w:rsid w:val="00D26E25"/>
    <w:rsid w:val="00D2739B"/>
    <w:rsid w:val="00D300C0"/>
    <w:rsid w:val="00D364A9"/>
    <w:rsid w:val="00D40463"/>
    <w:rsid w:val="00D4213B"/>
    <w:rsid w:val="00D43FA6"/>
    <w:rsid w:val="00D44A41"/>
    <w:rsid w:val="00D45A22"/>
    <w:rsid w:val="00D4665A"/>
    <w:rsid w:val="00D51646"/>
    <w:rsid w:val="00D523B3"/>
    <w:rsid w:val="00D527CE"/>
    <w:rsid w:val="00D53757"/>
    <w:rsid w:val="00D546BC"/>
    <w:rsid w:val="00D5511B"/>
    <w:rsid w:val="00D55CD3"/>
    <w:rsid w:val="00D56AB6"/>
    <w:rsid w:val="00D573D0"/>
    <w:rsid w:val="00D57CB5"/>
    <w:rsid w:val="00D60CF4"/>
    <w:rsid w:val="00D639F1"/>
    <w:rsid w:val="00D659F6"/>
    <w:rsid w:val="00D70559"/>
    <w:rsid w:val="00D7103B"/>
    <w:rsid w:val="00D715EC"/>
    <w:rsid w:val="00D7200B"/>
    <w:rsid w:val="00D730E2"/>
    <w:rsid w:val="00D733FF"/>
    <w:rsid w:val="00D73DA7"/>
    <w:rsid w:val="00D80800"/>
    <w:rsid w:val="00D80D01"/>
    <w:rsid w:val="00D81FEC"/>
    <w:rsid w:val="00D821BA"/>
    <w:rsid w:val="00D83628"/>
    <w:rsid w:val="00D8439C"/>
    <w:rsid w:val="00D86570"/>
    <w:rsid w:val="00D86BF8"/>
    <w:rsid w:val="00D87358"/>
    <w:rsid w:val="00D87CB2"/>
    <w:rsid w:val="00D900BB"/>
    <w:rsid w:val="00D908B2"/>
    <w:rsid w:val="00D91171"/>
    <w:rsid w:val="00D926EB"/>
    <w:rsid w:val="00D92A66"/>
    <w:rsid w:val="00D9378F"/>
    <w:rsid w:val="00D94C4D"/>
    <w:rsid w:val="00D95798"/>
    <w:rsid w:val="00D95EDF"/>
    <w:rsid w:val="00D95F15"/>
    <w:rsid w:val="00D9622B"/>
    <w:rsid w:val="00D96A4A"/>
    <w:rsid w:val="00DA08E3"/>
    <w:rsid w:val="00DA0FCD"/>
    <w:rsid w:val="00DA242D"/>
    <w:rsid w:val="00DA2AFA"/>
    <w:rsid w:val="00DA4C2E"/>
    <w:rsid w:val="00DA5538"/>
    <w:rsid w:val="00DA6492"/>
    <w:rsid w:val="00DA6EC4"/>
    <w:rsid w:val="00DB0464"/>
    <w:rsid w:val="00DB1C81"/>
    <w:rsid w:val="00DB3459"/>
    <w:rsid w:val="00DB5C19"/>
    <w:rsid w:val="00DB7E91"/>
    <w:rsid w:val="00DC12DE"/>
    <w:rsid w:val="00DC170D"/>
    <w:rsid w:val="00DC1791"/>
    <w:rsid w:val="00DC27AA"/>
    <w:rsid w:val="00DC4726"/>
    <w:rsid w:val="00DC47C5"/>
    <w:rsid w:val="00DC4E10"/>
    <w:rsid w:val="00DC596A"/>
    <w:rsid w:val="00DC64B0"/>
    <w:rsid w:val="00DD24F4"/>
    <w:rsid w:val="00DD5CA4"/>
    <w:rsid w:val="00DD66EE"/>
    <w:rsid w:val="00DD67E5"/>
    <w:rsid w:val="00DD780C"/>
    <w:rsid w:val="00DE22BD"/>
    <w:rsid w:val="00DE3012"/>
    <w:rsid w:val="00DE478F"/>
    <w:rsid w:val="00DE7F45"/>
    <w:rsid w:val="00DF03DB"/>
    <w:rsid w:val="00DF242F"/>
    <w:rsid w:val="00DF2658"/>
    <w:rsid w:val="00DF2BE1"/>
    <w:rsid w:val="00DF5693"/>
    <w:rsid w:val="00DF5D97"/>
    <w:rsid w:val="00DF7240"/>
    <w:rsid w:val="00DF7B53"/>
    <w:rsid w:val="00DF7C36"/>
    <w:rsid w:val="00E022FD"/>
    <w:rsid w:val="00E02732"/>
    <w:rsid w:val="00E04964"/>
    <w:rsid w:val="00E05741"/>
    <w:rsid w:val="00E05B37"/>
    <w:rsid w:val="00E060DD"/>
    <w:rsid w:val="00E07065"/>
    <w:rsid w:val="00E0770A"/>
    <w:rsid w:val="00E07E8B"/>
    <w:rsid w:val="00E15CE8"/>
    <w:rsid w:val="00E171F2"/>
    <w:rsid w:val="00E2007F"/>
    <w:rsid w:val="00E21963"/>
    <w:rsid w:val="00E2278E"/>
    <w:rsid w:val="00E22DBB"/>
    <w:rsid w:val="00E23ABD"/>
    <w:rsid w:val="00E23D16"/>
    <w:rsid w:val="00E23F72"/>
    <w:rsid w:val="00E25174"/>
    <w:rsid w:val="00E25473"/>
    <w:rsid w:val="00E259CA"/>
    <w:rsid w:val="00E25A34"/>
    <w:rsid w:val="00E27B76"/>
    <w:rsid w:val="00E34DCF"/>
    <w:rsid w:val="00E36041"/>
    <w:rsid w:val="00E36B66"/>
    <w:rsid w:val="00E4069F"/>
    <w:rsid w:val="00E416B3"/>
    <w:rsid w:val="00E41A71"/>
    <w:rsid w:val="00E41C0A"/>
    <w:rsid w:val="00E4264F"/>
    <w:rsid w:val="00E426E2"/>
    <w:rsid w:val="00E42716"/>
    <w:rsid w:val="00E427FC"/>
    <w:rsid w:val="00E44019"/>
    <w:rsid w:val="00E46EB2"/>
    <w:rsid w:val="00E47A95"/>
    <w:rsid w:val="00E47CF2"/>
    <w:rsid w:val="00E50D72"/>
    <w:rsid w:val="00E53ACC"/>
    <w:rsid w:val="00E57976"/>
    <w:rsid w:val="00E57C14"/>
    <w:rsid w:val="00E6132D"/>
    <w:rsid w:val="00E63BEF"/>
    <w:rsid w:val="00E63CD9"/>
    <w:rsid w:val="00E644FD"/>
    <w:rsid w:val="00E66045"/>
    <w:rsid w:val="00E66A22"/>
    <w:rsid w:val="00E7088B"/>
    <w:rsid w:val="00E71BDA"/>
    <w:rsid w:val="00E730ED"/>
    <w:rsid w:val="00E754B8"/>
    <w:rsid w:val="00E7667A"/>
    <w:rsid w:val="00E7696B"/>
    <w:rsid w:val="00E76B58"/>
    <w:rsid w:val="00E81BBE"/>
    <w:rsid w:val="00E82918"/>
    <w:rsid w:val="00E84526"/>
    <w:rsid w:val="00E87E3F"/>
    <w:rsid w:val="00E90970"/>
    <w:rsid w:val="00E91B65"/>
    <w:rsid w:val="00E92FCF"/>
    <w:rsid w:val="00E97F7A"/>
    <w:rsid w:val="00EA2FF3"/>
    <w:rsid w:val="00EA4674"/>
    <w:rsid w:val="00EA4FDC"/>
    <w:rsid w:val="00EA5836"/>
    <w:rsid w:val="00EA5E1E"/>
    <w:rsid w:val="00EB1A32"/>
    <w:rsid w:val="00EB24E5"/>
    <w:rsid w:val="00EB2D97"/>
    <w:rsid w:val="00EB5681"/>
    <w:rsid w:val="00EC0D2A"/>
    <w:rsid w:val="00EC2D74"/>
    <w:rsid w:val="00EC42FC"/>
    <w:rsid w:val="00EC4AC1"/>
    <w:rsid w:val="00EC4DEE"/>
    <w:rsid w:val="00EC4F67"/>
    <w:rsid w:val="00EC5B5C"/>
    <w:rsid w:val="00EC7D0E"/>
    <w:rsid w:val="00ED1787"/>
    <w:rsid w:val="00ED2CCA"/>
    <w:rsid w:val="00ED2E32"/>
    <w:rsid w:val="00ED3792"/>
    <w:rsid w:val="00ED3C71"/>
    <w:rsid w:val="00ED6643"/>
    <w:rsid w:val="00EE2738"/>
    <w:rsid w:val="00EE34E3"/>
    <w:rsid w:val="00EE4293"/>
    <w:rsid w:val="00EE63B4"/>
    <w:rsid w:val="00EF1CB1"/>
    <w:rsid w:val="00EF2388"/>
    <w:rsid w:val="00EF2BF0"/>
    <w:rsid w:val="00EF45A1"/>
    <w:rsid w:val="00EF5197"/>
    <w:rsid w:val="00EF638C"/>
    <w:rsid w:val="00F0151D"/>
    <w:rsid w:val="00F015D7"/>
    <w:rsid w:val="00F030F3"/>
    <w:rsid w:val="00F071DB"/>
    <w:rsid w:val="00F078D6"/>
    <w:rsid w:val="00F10C3C"/>
    <w:rsid w:val="00F11232"/>
    <w:rsid w:val="00F1173D"/>
    <w:rsid w:val="00F130E1"/>
    <w:rsid w:val="00F1418B"/>
    <w:rsid w:val="00F14DF3"/>
    <w:rsid w:val="00F14E21"/>
    <w:rsid w:val="00F1649B"/>
    <w:rsid w:val="00F166CB"/>
    <w:rsid w:val="00F20710"/>
    <w:rsid w:val="00F210CC"/>
    <w:rsid w:val="00F217B7"/>
    <w:rsid w:val="00F21DBA"/>
    <w:rsid w:val="00F21DF8"/>
    <w:rsid w:val="00F22251"/>
    <w:rsid w:val="00F23AF6"/>
    <w:rsid w:val="00F260B9"/>
    <w:rsid w:val="00F30C2E"/>
    <w:rsid w:val="00F348A0"/>
    <w:rsid w:val="00F357E5"/>
    <w:rsid w:val="00F36931"/>
    <w:rsid w:val="00F37B45"/>
    <w:rsid w:val="00F40BD2"/>
    <w:rsid w:val="00F415F6"/>
    <w:rsid w:val="00F4277E"/>
    <w:rsid w:val="00F45201"/>
    <w:rsid w:val="00F45EB7"/>
    <w:rsid w:val="00F46A1E"/>
    <w:rsid w:val="00F47003"/>
    <w:rsid w:val="00F47DE8"/>
    <w:rsid w:val="00F50BA5"/>
    <w:rsid w:val="00F521BF"/>
    <w:rsid w:val="00F52A6D"/>
    <w:rsid w:val="00F54E33"/>
    <w:rsid w:val="00F56D25"/>
    <w:rsid w:val="00F57C95"/>
    <w:rsid w:val="00F60C89"/>
    <w:rsid w:val="00F6322D"/>
    <w:rsid w:val="00F63C37"/>
    <w:rsid w:val="00F63E8F"/>
    <w:rsid w:val="00F6570F"/>
    <w:rsid w:val="00F71379"/>
    <w:rsid w:val="00F76928"/>
    <w:rsid w:val="00F77B2B"/>
    <w:rsid w:val="00F80BAF"/>
    <w:rsid w:val="00F8112D"/>
    <w:rsid w:val="00F836A8"/>
    <w:rsid w:val="00F84FE8"/>
    <w:rsid w:val="00F87424"/>
    <w:rsid w:val="00F8796C"/>
    <w:rsid w:val="00F907A5"/>
    <w:rsid w:val="00F918C6"/>
    <w:rsid w:val="00F95C63"/>
    <w:rsid w:val="00F96EEC"/>
    <w:rsid w:val="00FA22E8"/>
    <w:rsid w:val="00FA278F"/>
    <w:rsid w:val="00FA4187"/>
    <w:rsid w:val="00FA69A8"/>
    <w:rsid w:val="00FB0793"/>
    <w:rsid w:val="00FB18CE"/>
    <w:rsid w:val="00FB23CF"/>
    <w:rsid w:val="00FB4010"/>
    <w:rsid w:val="00FB4C79"/>
    <w:rsid w:val="00FC059C"/>
    <w:rsid w:val="00FC0F10"/>
    <w:rsid w:val="00FC1701"/>
    <w:rsid w:val="00FC35F1"/>
    <w:rsid w:val="00FC3F7E"/>
    <w:rsid w:val="00FC3FB5"/>
    <w:rsid w:val="00FC474B"/>
    <w:rsid w:val="00FC6CFB"/>
    <w:rsid w:val="00FC7CC6"/>
    <w:rsid w:val="00FC7D94"/>
    <w:rsid w:val="00FD2A9D"/>
    <w:rsid w:val="00FD3976"/>
    <w:rsid w:val="00FE186E"/>
    <w:rsid w:val="00FE231A"/>
    <w:rsid w:val="00FE2C8C"/>
    <w:rsid w:val="00FF117B"/>
    <w:rsid w:val="00FF34FC"/>
    <w:rsid w:val="00FF3ADF"/>
    <w:rsid w:val="00FF5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EE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Text1"/>
    <w:link w:val="Heading1Char"/>
    <w:uiPriority w:val="9"/>
    <w:qFormat/>
    <w:pPr>
      <w:keepNext/>
      <w:numPr>
        <w:numId w:val="2"/>
      </w:numPr>
      <w:spacing w:before="360" w:after="120" w:line="240" w:lineRule="auto"/>
      <w:jc w:val="both"/>
      <w:outlineLvl w:val="0"/>
    </w:pPr>
    <w:rPr>
      <w:rFonts w:ascii="Times New Roman" w:eastAsia="Times New Roman" w:hAnsi="Times New Roman"/>
      <w:b/>
      <w:bCs/>
      <w:smallCaps/>
      <w:sz w:val="24"/>
      <w:szCs w:val="28"/>
      <w:lang w:eastAsia="en-GB"/>
    </w:rPr>
  </w:style>
  <w:style w:type="paragraph" w:styleId="Heading2">
    <w:name w:val="heading 2"/>
    <w:basedOn w:val="Normal"/>
    <w:next w:val="Text1"/>
    <w:link w:val="Heading2Char"/>
    <w:uiPriority w:val="9"/>
    <w:unhideWhenUsed/>
    <w:qFormat/>
    <w:pPr>
      <w:keepNext/>
      <w:numPr>
        <w:ilvl w:val="1"/>
        <w:numId w:val="2"/>
      </w:numPr>
      <w:spacing w:before="120" w:after="120" w:line="240" w:lineRule="auto"/>
      <w:jc w:val="both"/>
      <w:outlineLvl w:val="1"/>
    </w:pPr>
    <w:rPr>
      <w:rFonts w:ascii="Times New Roman" w:eastAsia="Times New Roman" w:hAnsi="Times New Roman"/>
      <w:b/>
      <w:bCs/>
      <w:sz w:val="24"/>
      <w:szCs w:val="26"/>
      <w:lang w:eastAsia="en-GB"/>
    </w:rPr>
  </w:style>
  <w:style w:type="paragraph" w:styleId="Heading3">
    <w:name w:val="heading 3"/>
    <w:basedOn w:val="Normal"/>
    <w:next w:val="Text1"/>
    <w:link w:val="Heading3Char"/>
    <w:uiPriority w:val="9"/>
    <w:unhideWhenUsed/>
    <w:qFormat/>
    <w:pPr>
      <w:keepNext/>
      <w:numPr>
        <w:ilvl w:val="2"/>
        <w:numId w:val="2"/>
      </w:numPr>
      <w:spacing w:before="120" w:after="120" w:line="240" w:lineRule="auto"/>
      <w:jc w:val="both"/>
      <w:outlineLvl w:val="2"/>
    </w:pPr>
    <w:rPr>
      <w:rFonts w:ascii="Times New Roman" w:eastAsia="Times New Roman" w:hAnsi="Times New Roman"/>
      <w:bCs/>
      <w:i/>
      <w:sz w:val="24"/>
      <w:lang w:eastAsia="en-GB"/>
    </w:rPr>
  </w:style>
  <w:style w:type="paragraph" w:styleId="Heading4">
    <w:name w:val="heading 4"/>
    <w:basedOn w:val="Normal"/>
    <w:next w:val="Text1"/>
    <w:link w:val="Heading4Char"/>
    <w:uiPriority w:val="9"/>
    <w:unhideWhenUsed/>
    <w:qFormat/>
    <w:pPr>
      <w:keepNext/>
      <w:numPr>
        <w:ilvl w:val="3"/>
        <w:numId w:val="2"/>
      </w:numPr>
      <w:spacing w:before="120" w:after="120" w:line="240" w:lineRule="auto"/>
      <w:jc w:val="both"/>
      <w:outlineLvl w:val="3"/>
    </w:pPr>
    <w:rPr>
      <w:rFonts w:ascii="Times New Roman" w:eastAsia="Times New Roman" w:hAnsi="Times New Roman"/>
      <w:bCs/>
      <w:iCs/>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b/>
      <w:bCs/>
      <w:smallCaps/>
      <w:sz w:val="24"/>
      <w:szCs w:val="28"/>
    </w:rPr>
  </w:style>
  <w:style w:type="character" w:customStyle="1" w:styleId="Heading2Char">
    <w:name w:val="Heading 2 Char"/>
    <w:link w:val="Heading2"/>
    <w:uiPriority w:val="9"/>
    <w:rPr>
      <w:rFonts w:ascii="Times New Roman" w:eastAsia="Times New Roman" w:hAnsi="Times New Roman"/>
      <w:b/>
      <w:bCs/>
      <w:sz w:val="24"/>
      <w:szCs w:val="26"/>
    </w:rPr>
  </w:style>
  <w:style w:type="character" w:customStyle="1" w:styleId="Heading3Char">
    <w:name w:val="Heading 3 Char"/>
    <w:link w:val="Heading3"/>
    <w:uiPriority w:val="9"/>
    <w:rPr>
      <w:rFonts w:ascii="Times New Roman" w:eastAsia="Times New Roman" w:hAnsi="Times New Roman"/>
      <w:bCs/>
      <w:i/>
      <w:sz w:val="24"/>
      <w:szCs w:val="22"/>
    </w:rPr>
  </w:style>
  <w:style w:type="character" w:customStyle="1" w:styleId="Heading4Char">
    <w:name w:val="Heading 4 Char"/>
    <w:link w:val="Heading4"/>
    <w:uiPriority w:val="9"/>
    <w:rPr>
      <w:rFonts w:ascii="Times New Roman" w:eastAsia="Times New Roman" w:hAnsi="Times New Roman"/>
      <w:bCs/>
      <w:iCs/>
      <w:sz w:val="24"/>
      <w:szCs w:val="22"/>
    </w:rPr>
  </w:style>
  <w:style w:type="paragraph" w:styleId="ListBullet">
    <w:name w:val="List Bullet"/>
    <w:basedOn w:val="Normal"/>
    <w:pPr>
      <w:numPr>
        <w:numId w:val="1"/>
      </w:numPr>
      <w:spacing w:before="120" w:after="120" w:line="240" w:lineRule="auto"/>
      <w:jc w:val="both"/>
    </w:pPr>
    <w:rPr>
      <w:rFonts w:ascii="Times New Roman" w:eastAsia="Batang" w:hAnsi="Times New Roman"/>
      <w:sz w:val="24"/>
      <w:lang w:eastAsia="ko-KR"/>
    </w:rPr>
  </w:style>
  <w:style w:type="character" w:styleId="Hyperlink">
    <w:name w:val="Hyperlink"/>
    <w:uiPriority w:val="99"/>
    <w:rPr>
      <w:rFonts w:cs="Times New Roman"/>
      <w:color w:val="0000FF"/>
      <w:u w:val="single"/>
      <w:shd w:val="clear" w:color="auto" w:fill="auto"/>
    </w:rPr>
  </w:style>
  <w:style w:type="paragraph" w:styleId="FootnoteText">
    <w:name w:val="footnote text"/>
    <w:basedOn w:val="Normal"/>
    <w:link w:val="FootnoteTextChar"/>
    <w:uiPriority w:val="99"/>
    <w:unhideWhenUsed/>
    <w:pPr>
      <w:spacing w:after="0" w:line="240" w:lineRule="auto"/>
      <w:ind w:left="720" w:hanging="720"/>
      <w:jc w:val="both"/>
    </w:pPr>
    <w:rPr>
      <w:rFonts w:ascii="Times New Roman" w:eastAsia="Times New Roman" w:hAnsi="Times New Roman"/>
      <w:sz w:val="20"/>
      <w:szCs w:val="20"/>
      <w:lang w:eastAsia="en-GB"/>
    </w:rPr>
  </w:style>
  <w:style w:type="character" w:customStyle="1" w:styleId="FootnoteTextChar">
    <w:name w:val="Footnote Text Char"/>
    <w:link w:val="FootnoteText"/>
    <w:uiPriority w:val="99"/>
    <w:rPr>
      <w:rFonts w:ascii="Times New Roman" w:eastAsia="Times New Roman" w:hAnsi="Times New Roman"/>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link w:val="Text1Char"/>
    <w:pPr>
      <w:spacing w:before="120" w:after="120" w:line="240" w:lineRule="auto"/>
      <w:ind w:left="850"/>
      <w:jc w:val="both"/>
    </w:pPr>
    <w:rPr>
      <w:rFonts w:ascii="Times New Roman" w:eastAsia="Times New Roman" w:hAnsi="Times New Roman"/>
      <w:sz w:val="24"/>
      <w:lang w:eastAsia="en-GB"/>
    </w:rPr>
  </w:style>
  <w:style w:type="paragraph" w:customStyle="1" w:styleId="NormalCentered">
    <w:name w:val="Normal Centered"/>
    <w:basedOn w:val="Normal"/>
    <w:pPr>
      <w:spacing w:before="120" w:after="120" w:line="240" w:lineRule="auto"/>
      <w:jc w:val="center"/>
    </w:pPr>
    <w:rPr>
      <w:rFonts w:ascii="Times New Roman" w:eastAsia="Times New Roman" w:hAnsi="Times New Roman"/>
      <w:sz w:val="24"/>
      <w:lang w:eastAsia="en-GB"/>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b/>
      <w:smallCaps/>
      <w:sz w:val="24"/>
      <w:lang w:eastAsia="en-GB"/>
    </w:rPr>
  </w:style>
  <w:style w:type="paragraph" w:customStyle="1" w:styleId="Bullet0">
    <w:name w:val="Bullet 0"/>
    <w:basedOn w:val="Normal"/>
    <w:pPr>
      <w:numPr>
        <w:numId w:val="6"/>
      </w:numPr>
      <w:spacing w:before="120" w:after="120" w:line="240" w:lineRule="auto"/>
      <w:jc w:val="both"/>
    </w:pPr>
    <w:rPr>
      <w:rFonts w:ascii="Times New Roman" w:eastAsia="Times New Roman" w:hAnsi="Times New Roman"/>
      <w:sz w:val="24"/>
      <w:lang w:eastAsia="en-GB"/>
    </w:rPr>
  </w:style>
  <w:style w:type="paragraph" w:styleId="TOC1">
    <w:name w:val="toc 1"/>
    <w:basedOn w:val="Normal"/>
    <w:next w:val="Normal"/>
    <w:link w:val="TOC1Char"/>
    <w:autoRedefine/>
    <w:uiPriority w:val="39"/>
    <w:unhideWhenUsed/>
    <w:qFormat/>
  </w:style>
  <w:style w:type="paragraph" w:styleId="TOC2">
    <w:name w:val="toc 2"/>
    <w:basedOn w:val="Normal"/>
    <w:next w:val="Normal"/>
    <w:autoRedefine/>
    <w:uiPriority w:val="39"/>
    <w:unhideWhenUsed/>
    <w:qFormat/>
    <w:rsid w:val="001B18B5"/>
    <w:pPr>
      <w:tabs>
        <w:tab w:val="left" w:pos="880"/>
        <w:tab w:val="right" w:leader="dot" w:pos="9062"/>
      </w:tabs>
      <w:ind w:left="220"/>
      <w:jc w:val="both"/>
    </w:p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sz w:val="24"/>
    </w:rPr>
  </w:style>
  <w:style w:type="character" w:customStyle="1" w:styleId="HeaderChar">
    <w:name w:val="Header Char"/>
    <w:link w:val="Header"/>
    <w:uiPriority w:val="99"/>
    <w:rPr>
      <w:rFonts w:ascii="Times New Roman" w:hAnsi="Times New Roman"/>
      <w:sz w:val="24"/>
      <w:szCs w:val="22"/>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har">
    <w:name w:val="Footer Char"/>
    <w:link w:val="Footer"/>
    <w:uiPriority w:val="99"/>
    <w:rPr>
      <w:rFonts w:ascii="Times New Roman" w:hAnsi="Times New Roman"/>
      <w:sz w:val="24"/>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TOC1Char">
    <w:name w:val="TOC 1 Char"/>
    <w:link w:val="TOC1"/>
    <w:uiPriority w:val="39"/>
    <w:rPr>
      <w:sz w:val="22"/>
      <w:szCs w:val="22"/>
      <w:lang w:eastAsia="en-US"/>
    </w:r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lang w:eastAsia="en-US"/>
    </w:rPr>
  </w:style>
  <w:style w:type="paragraph" w:styleId="TOCHeading">
    <w:name w:val="TOC Heading"/>
    <w:basedOn w:val="Heading1"/>
    <w:next w:val="Normal"/>
    <w:uiPriority w:val="39"/>
    <w:semiHidden/>
    <w:unhideWhenUsed/>
    <w:qFormat/>
    <w:pPr>
      <w:keepLines/>
      <w:numPr>
        <w:numId w:val="0"/>
      </w:numPr>
      <w:spacing w:before="480" w:after="0" w:line="276" w:lineRule="auto"/>
      <w:jc w:val="left"/>
      <w:outlineLvl w:val="9"/>
    </w:pPr>
    <w:rPr>
      <w:rFonts w:ascii="Cambria" w:eastAsia="MS Gothic" w:hAnsi="Cambria"/>
      <w:smallCaps w:val="0"/>
      <w:color w:val="365F91"/>
      <w:sz w:val="28"/>
      <w:lang w:val="en-US" w:eastAsia="ja-JP"/>
    </w:rPr>
  </w:style>
  <w:style w:type="paragraph" w:styleId="TOC3">
    <w:name w:val="toc 3"/>
    <w:basedOn w:val="Normal"/>
    <w:next w:val="Normal"/>
    <w:autoRedefine/>
    <w:uiPriority w:val="39"/>
    <w:semiHidden/>
    <w:unhideWhenUsed/>
    <w:qFormat/>
    <w:pPr>
      <w:spacing w:after="100"/>
      <w:ind w:left="440"/>
    </w:pPr>
    <w:rPr>
      <w:rFonts w:eastAsia="MS Mincho" w:cs="Arial"/>
      <w:lang w:val="en-US" w:eastAsia="ja-JP"/>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FollowedHyperlink">
    <w:name w:val="FollowedHyperlink"/>
    <w:uiPriority w:val="99"/>
    <w:semiHidden/>
    <w:unhideWhenUsed/>
    <w:rPr>
      <w:color w:val="800080"/>
      <w:u w:val="single"/>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Text1Char">
    <w:name w:val="Text 1 Char"/>
    <w:link w:val="Text1"/>
    <w:locked/>
    <w:rPr>
      <w:rFonts w:ascii="Times New Roman" w:eastAsia="Times New Roman" w:hAnsi="Times New Roman"/>
      <w:sz w:val="24"/>
      <w:szCs w:val="22"/>
    </w:rPr>
  </w:style>
  <w:style w:type="character" w:styleId="Strong">
    <w:name w:val="Strong"/>
    <w:uiPriority w:val="22"/>
    <w:qFormat/>
    <w:rPr>
      <w:b/>
      <w:bCs/>
    </w:rPr>
  </w:style>
  <w:style w:type="paragraph" w:styleId="ListParagraph">
    <w:name w:val="List Paragraph"/>
    <w:basedOn w:val="Normal"/>
    <w:uiPriority w:val="34"/>
    <w:qFormat/>
    <w:pPr>
      <w:spacing w:after="0" w:line="240" w:lineRule="auto"/>
      <w:ind w:left="720"/>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1">
    <w:name w:val="A1"/>
    <w:uiPriority w:val="99"/>
    <w:rPr>
      <w:rFonts w:cs="EC Square Sans Pro Medium"/>
      <w:color w:val="000000"/>
      <w:sz w:val="28"/>
      <w:szCs w:val="28"/>
    </w:rPr>
  </w:style>
  <w:style w:type="character" w:styleId="Emphasis">
    <w:name w:val="Emphasis"/>
    <w:uiPriority w:val="20"/>
    <w:qFormat/>
    <w:rPr>
      <w:i/>
      <w:iCs/>
    </w:rPr>
  </w:style>
  <w:style w:type="paragraph" w:customStyle="1" w:styleId="c01pointnumerotealtn">
    <w:name w:val="c01pointnumerotealtn"/>
    <w:basedOn w:val="Normal"/>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08dispositif">
    <w:name w:val="c08dispositif"/>
    <w:basedOn w:val="Normal"/>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45dispositifmarge1avectiretlong">
    <w:name w:val="c45dispositifmarge1avectiretlong"/>
    <w:basedOn w:val="Normal"/>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Pr>
      <w:sz w:val="22"/>
      <w:szCs w:val="22"/>
      <w:lang w:eastAsia="en-US"/>
    </w:rPr>
  </w:style>
  <w:style w:type="paragraph" w:customStyle="1" w:styleId="Declassification">
    <w:name w:val="Declassification"/>
    <w:basedOn w:val="Normal"/>
    <w:next w:val="Normal"/>
    <w:pPr>
      <w:spacing w:after="0" w:line="240" w:lineRule="auto"/>
      <w:jc w:val="both"/>
    </w:pPr>
    <w:rPr>
      <w:rFonts w:ascii="Times New Roman"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outputecliaff">
    <w:name w:val="outputecliaff"/>
    <w:basedOn w:val="DefaultParagraphFont"/>
    <w:rsid w:val="00406B71"/>
  </w:style>
  <w:style w:type="paragraph" w:customStyle="1" w:styleId="Disclaimer">
    <w:name w:val="Disclaimer"/>
    <w:basedOn w:val="Normal"/>
    <w:rsid w:val="00020CB1"/>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eastAsiaTheme="minorHAnsi" w:hAnsi="Times New Roman"/>
      <w:sz w:val="24"/>
    </w:rPr>
  </w:style>
  <w:style w:type="paragraph" w:customStyle="1" w:styleId="SecurityMarking">
    <w:name w:val="SecurityMarking"/>
    <w:basedOn w:val="Normal"/>
    <w:rsid w:val="008A7CDE"/>
    <w:pPr>
      <w:spacing w:after="0"/>
      <w:ind w:left="5103"/>
    </w:pPr>
    <w:rPr>
      <w:rFonts w:ascii="Times New Roman" w:eastAsiaTheme="minorHAnsi" w:hAnsi="Times New Roman"/>
      <w:sz w:val="28"/>
    </w:rPr>
  </w:style>
  <w:style w:type="paragraph" w:customStyle="1" w:styleId="DateMarking">
    <w:name w:val="DateMarking"/>
    <w:basedOn w:val="Normal"/>
    <w:rsid w:val="008A7CDE"/>
    <w:pPr>
      <w:spacing w:after="0"/>
      <w:ind w:left="5103"/>
    </w:pPr>
    <w:rPr>
      <w:rFonts w:ascii="Times New Roman" w:eastAsiaTheme="minorHAnsi" w:hAnsi="Times New Roman"/>
      <w:i/>
      <w:sz w:val="28"/>
    </w:rPr>
  </w:style>
  <w:style w:type="paragraph" w:customStyle="1" w:styleId="ReleasableTo">
    <w:name w:val="ReleasableTo"/>
    <w:basedOn w:val="Normal"/>
    <w:rsid w:val="008A7CDE"/>
    <w:pPr>
      <w:spacing w:after="0"/>
      <w:ind w:left="5103"/>
    </w:pPr>
    <w:rPr>
      <w:rFonts w:ascii="Times New Roman" w:eastAsiaTheme="minorHAnsi" w:hAnsi="Times New Roman"/>
      <w:i/>
      <w:sz w:val="28"/>
    </w:rPr>
  </w:style>
  <w:style w:type="paragraph" w:customStyle="1" w:styleId="HeaderSensitivityRight">
    <w:name w:val="Header Sensitivity Right"/>
    <w:basedOn w:val="Normal"/>
    <w:rsid w:val="008A7CDE"/>
    <w:pPr>
      <w:spacing w:after="120" w:line="240" w:lineRule="auto"/>
      <w:jc w:val="right"/>
    </w:pPr>
    <w:rPr>
      <w:rFonts w:ascii="Times New Roman" w:hAnsi="Times New Roman"/>
      <w:sz w:val="28"/>
    </w:rPr>
  </w:style>
  <w:style w:type="paragraph" w:styleId="EndnoteText">
    <w:name w:val="endnote text"/>
    <w:basedOn w:val="Normal"/>
    <w:link w:val="EndnoteTextChar"/>
    <w:uiPriority w:val="99"/>
    <w:semiHidden/>
    <w:unhideWhenUsed/>
    <w:rsid w:val="00BB34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3408"/>
    <w:rPr>
      <w:lang w:eastAsia="en-US"/>
    </w:rPr>
  </w:style>
  <w:style w:type="character" w:styleId="EndnoteReference">
    <w:name w:val="endnote reference"/>
    <w:basedOn w:val="DefaultParagraphFont"/>
    <w:uiPriority w:val="99"/>
    <w:semiHidden/>
    <w:unhideWhenUsed/>
    <w:rsid w:val="00BB3408"/>
    <w:rPr>
      <w:vertAlign w:val="superscript"/>
    </w:rPr>
  </w:style>
  <w:style w:type="paragraph" w:customStyle="1" w:styleId="AR2015Text">
    <w:name w:val="AR2015Text"/>
    <w:basedOn w:val="Normal"/>
    <w:link w:val="AR2015TextChar"/>
    <w:uiPriority w:val="99"/>
    <w:unhideWhenUsed/>
    <w:rsid w:val="007161C4"/>
    <w:pPr>
      <w:widowControl w:val="0"/>
      <w:autoSpaceDE w:val="0"/>
      <w:autoSpaceDN w:val="0"/>
      <w:adjustRightInd w:val="0"/>
      <w:spacing w:after="227" w:line="288" w:lineRule="auto"/>
      <w:jc w:val="both"/>
      <w:textAlignment w:val="center"/>
    </w:pPr>
    <w:rPr>
      <w:rFonts w:ascii="Arial" w:eastAsia="Times New Roman" w:hAnsi="Arial" w:cs="Minion Pro"/>
      <w:color w:val="000000"/>
      <w:sz w:val="18"/>
      <w:szCs w:val="18"/>
    </w:rPr>
  </w:style>
  <w:style w:type="character" w:customStyle="1" w:styleId="AR2015TextChar">
    <w:name w:val="AR2015Text Char"/>
    <w:link w:val="AR2015Text"/>
    <w:uiPriority w:val="99"/>
    <w:rsid w:val="007161C4"/>
    <w:rPr>
      <w:rFonts w:ascii="Arial" w:eastAsia="Times New Roman" w:hAnsi="Arial" w:cs="Minion Pro"/>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32704">
      <w:bodyDiv w:val="1"/>
      <w:marLeft w:val="0"/>
      <w:marRight w:val="0"/>
      <w:marTop w:val="0"/>
      <w:marBottom w:val="0"/>
      <w:divBdr>
        <w:top w:val="none" w:sz="0" w:space="0" w:color="auto"/>
        <w:left w:val="none" w:sz="0" w:space="0" w:color="auto"/>
        <w:bottom w:val="none" w:sz="0" w:space="0" w:color="auto"/>
        <w:right w:val="none" w:sz="0" w:space="0" w:color="auto"/>
      </w:divBdr>
      <w:divsChild>
        <w:div w:id="1568221614">
          <w:marLeft w:val="0"/>
          <w:marRight w:val="0"/>
          <w:marTop w:val="0"/>
          <w:marBottom w:val="0"/>
          <w:divBdr>
            <w:top w:val="none" w:sz="0" w:space="0" w:color="auto"/>
            <w:left w:val="none" w:sz="0" w:space="0" w:color="auto"/>
            <w:bottom w:val="none" w:sz="0" w:space="0" w:color="auto"/>
            <w:right w:val="none" w:sz="0" w:space="0" w:color="auto"/>
          </w:divBdr>
        </w:div>
      </w:divsChild>
    </w:div>
    <w:div w:id="518272777">
      <w:bodyDiv w:val="1"/>
      <w:marLeft w:val="0"/>
      <w:marRight w:val="0"/>
      <w:marTop w:val="0"/>
      <w:marBottom w:val="0"/>
      <w:divBdr>
        <w:top w:val="none" w:sz="0" w:space="0" w:color="auto"/>
        <w:left w:val="none" w:sz="0" w:space="0" w:color="auto"/>
        <w:bottom w:val="none" w:sz="0" w:space="0" w:color="auto"/>
        <w:right w:val="none" w:sz="0" w:space="0" w:color="auto"/>
      </w:divBdr>
      <w:divsChild>
        <w:div w:id="1090271682">
          <w:marLeft w:val="0"/>
          <w:marRight w:val="0"/>
          <w:marTop w:val="0"/>
          <w:marBottom w:val="0"/>
          <w:divBdr>
            <w:top w:val="none" w:sz="0" w:space="0" w:color="auto"/>
            <w:left w:val="none" w:sz="0" w:space="0" w:color="auto"/>
            <w:bottom w:val="none" w:sz="0" w:space="0" w:color="auto"/>
            <w:right w:val="none" w:sz="0" w:space="0" w:color="auto"/>
          </w:divBdr>
          <w:divsChild>
            <w:div w:id="128492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24326">
      <w:bodyDiv w:val="1"/>
      <w:marLeft w:val="0"/>
      <w:marRight w:val="0"/>
      <w:marTop w:val="0"/>
      <w:marBottom w:val="0"/>
      <w:divBdr>
        <w:top w:val="none" w:sz="0" w:space="0" w:color="auto"/>
        <w:left w:val="none" w:sz="0" w:space="0" w:color="auto"/>
        <w:bottom w:val="none" w:sz="0" w:space="0" w:color="auto"/>
        <w:right w:val="none" w:sz="0" w:space="0" w:color="auto"/>
      </w:divBdr>
    </w:div>
    <w:div w:id="550385973">
      <w:bodyDiv w:val="1"/>
      <w:marLeft w:val="0"/>
      <w:marRight w:val="0"/>
      <w:marTop w:val="0"/>
      <w:marBottom w:val="0"/>
      <w:divBdr>
        <w:top w:val="none" w:sz="0" w:space="0" w:color="auto"/>
        <w:left w:val="none" w:sz="0" w:space="0" w:color="auto"/>
        <w:bottom w:val="none" w:sz="0" w:space="0" w:color="auto"/>
        <w:right w:val="none" w:sz="0" w:space="0" w:color="auto"/>
      </w:divBdr>
    </w:div>
    <w:div w:id="564611982">
      <w:bodyDiv w:val="1"/>
      <w:marLeft w:val="0"/>
      <w:marRight w:val="0"/>
      <w:marTop w:val="0"/>
      <w:marBottom w:val="0"/>
      <w:divBdr>
        <w:top w:val="none" w:sz="0" w:space="0" w:color="auto"/>
        <w:left w:val="none" w:sz="0" w:space="0" w:color="auto"/>
        <w:bottom w:val="none" w:sz="0" w:space="0" w:color="auto"/>
        <w:right w:val="none" w:sz="0" w:space="0" w:color="auto"/>
      </w:divBdr>
    </w:div>
    <w:div w:id="660275643">
      <w:bodyDiv w:val="1"/>
      <w:marLeft w:val="0"/>
      <w:marRight w:val="0"/>
      <w:marTop w:val="0"/>
      <w:marBottom w:val="0"/>
      <w:divBdr>
        <w:top w:val="none" w:sz="0" w:space="0" w:color="auto"/>
        <w:left w:val="none" w:sz="0" w:space="0" w:color="auto"/>
        <w:bottom w:val="none" w:sz="0" w:space="0" w:color="auto"/>
        <w:right w:val="none" w:sz="0" w:space="0" w:color="auto"/>
      </w:divBdr>
    </w:div>
    <w:div w:id="668825035">
      <w:bodyDiv w:val="1"/>
      <w:marLeft w:val="0"/>
      <w:marRight w:val="0"/>
      <w:marTop w:val="0"/>
      <w:marBottom w:val="0"/>
      <w:divBdr>
        <w:top w:val="none" w:sz="0" w:space="0" w:color="auto"/>
        <w:left w:val="none" w:sz="0" w:space="0" w:color="auto"/>
        <w:bottom w:val="none" w:sz="0" w:space="0" w:color="auto"/>
        <w:right w:val="none" w:sz="0" w:space="0" w:color="auto"/>
      </w:divBdr>
    </w:div>
    <w:div w:id="833495452">
      <w:bodyDiv w:val="1"/>
      <w:marLeft w:val="0"/>
      <w:marRight w:val="0"/>
      <w:marTop w:val="0"/>
      <w:marBottom w:val="0"/>
      <w:divBdr>
        <w:top w:val="none" w:sz="0" w:space="0" w:color="auto"/>
        <w:left w:val="none" w:sz="0" w:space="0" w:color="auto"/>
        <w:bottom w:val="none" w:sz="0" w:space="0" w:color="auto"/>
        <w:right w:val="none" w:sz="0" w:space="0" w:color="auto"/>
      </w:divBdr>
    </w:div>
    <w:div w:id="917326776">
      <w:bodyDiv w:val="1"/>
      <w:marLeft w:val="0"/>
      <w:marRight w:val="0"/>
      <w:marTop w:val="0"/>
      <w:marBottom w:val="0"/>
      <w:divBdr>
        <w:top w:val="none" w:sz="0" w:space="0" w:color="auto"/>
        <w:left w:val="none" w:sz="0" w:space="0" w:color="auto"/>
        <w:bottom w:val="none" w:sz="0" w:space="0" w:color="auto"/>
        <w:right w:val="none" w:sz="0" w:space="0" w:color="auto"/>
      </w:divBdr>
    </w:div>
    <w:div w:id="933592377">
      <w:bodyDiv w:val="1"/>
      <w:marLeft w:val="0"/>
      <w:marRight w:val="0"/>
      <w:marTop w:val="0"/>
      <w:marBottom w:val="0"/>
      <w:divBdr>
        <w:top w:val="none" w:sz="0" w:space="0" w:color="auto"/>
        <w:left w:val="none" w:sz="0" w:space="0" w:color="auto"/>
        <w:bottom w:val="none" w:sz="0" w:space="0" w:color="auto"/>
        <w:right w:val="none" w:sz="0" w:space="0" w:color="auto"/>
      </w:divBdr>
      <w:divsChild>
        <w:div w:id="502161192">
          <w:marLeft w:val="0"/>
          <w:marRight w:val="0"/>
          <w:marTop w:val="0"/>
          <w:marBottom w:val="0"/>
          <w:divBdr>
            <w:top w:val="none" w:sz="0" w:space="0" w:color="auto"/>
            <w:left w:val="none" w:sz="0" w:space="0" w:color="auto"/>
            <w:bottom w:val="none" w:sz="0" w:space="0" w:color="auto"/>
            <w:right w:val="none" w:sz="0" w:space="0" w:color="auto"/>
          </w:divBdr>
          <w:divsChild>
            <w:div w:id="786050739">
              <w:marLeft w:val="0"/>
              <w:marRight w:val="0"/>
              <w:marTop w:val="0"/>
              <w:marBottom w:val="0"/>
              <w:divBdr>
                <w:top w:val="none" w:sz="0" w:space="0" w:color="auto"/>
                <w:left w:val="none" w:sz="0" w:space="0" w:color="auto"/>
                <w:bottom w:val="none" w:sz="0" w:space="0" w:color="auto"/>
                <w:right w:val="none" w:sz="0" w:space="0" w:color="auto"/>
              </w:divBdr>
              <w:divsChild>
                <w:div w:id="878250696">
                  <w:marLeft w:val="0"/>
                  <w:marRight w:val="0"/>
                  <w:marTop w:val="0"/>
                  <w:marBottom w:val="0"/>
                  <w:divBdr>
                    <w:top w:val="none" w:sz="0" w:space="0" w:color="auto"/>
                    <w:left w:val="none" w:sz="0" w:space="0" w:color="auto"/>
                    <w:bottom w:val="none" w:sz="0" w:space="0" w:color="auto"/>
                    <w:right w:val="none" w:sz="0" w:space="0" w:color="auto"/>
                  </w:divBdr>
                  <w:divsChild>
                    <w:div w:id="440691701">
                      <w:marLeft w:val="1"/>
                      <w:marRight w:val="1"/>
                      <w:marTop w:val="0"/>
                      <w:marBottom w:val="0"/>
                      <w:divBdr>
                        <w:top w:val="none" w:sz="0" w:space="0" w:color="auto"/>
                        <w:left w:val="none" w:sz="0" w:space="0" w:color="auto"/>
                        <w:bottom w:val="none" w:sz="0" w:space="0" w:color="auto"/>
                        <w:right w:val="none" w:sz="0" w:space="0" w:color="auto"/>
                      </w:divBdr>
                      <w:divsChild>
                        <w:div w:id="1646274166">
                          <w:marLeft w:val="0"/>
                          <w:marRight w:val="0"/>
                          <w:marTop w:val="0"/>
                          <w:marBottom w:val="0"/>
                          <w:divBdr>
                            <w:top w:val="none" w:sz="0" w:space="0" w:color="auto"/>
                            <w:left w:val="none" w:sz="0" w:space="0" w:color="auto"/>
                            <w:bottom w:val="none" w:sz="0" w:space="0" w:color="auto"/>
                            <w:right w:val="none" w:sz="0" w:space="0" w:color="auto"/>
                          </w:divBdr>
                          <w:divsChild>
                            <w:div w:id="685643216">
                              <w:marLeft w:val="0"/>
                              <w:marRight w:val="0"/>
                              <w:marTop w:val="0"/>
                              <w:marBottom w:val="360"/>
                              <w:divBdr>
                                <w:top w:val="none" w:sz="0" w:space="0" w:color="auto"/>
                                <w:left w:val="none" w:sz="0" w:space="0" w:color="auto"/>
                                <w:bottom w:val="none" w:sz="0" w:space="0" w:color="auto"/>
                                <w:right w:val="none" w:sz="0" w:space="0" w:color="auto"/>
                              </w:divBdr>
                              <w:divsChild>
                                <w:div w:id="1376664431">
                                  <w:marLeft w:val="0"/>
                                  <w:marRight w:val="0"/>
                                  <w:marTop w:val="0"/>
                                  <w:marBottom w:val="0"/>
                                  <w:divBdr>
                                    <w:top w:val="none" w:sz="0" w:space="0" w:color="auto"/>
                                    <w:left w:val="none" w:sz="0" w:space="0" w:color="auto"/>
                                    <w:bottom w:val="none" w:sz="0" w:space="0" w:color="auto"/>
                                    <w:right w:val="none" w:sz="0" w:space="0" w:color="auto"/>
                                  </w:divBdr>
                                  <w:divsChild>
                                    <w:div w:id="159936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0404061">
      <w:bodyDiv w:val="1"/>
      <w:marLeft w:val="0"/>
      <w:marRight w:val="0"/>
      <w:marTop w:val="0"/>
      <w:marBottom w:val="0"/>
      <w:divBdr>
        <w:top w:val="none" w:sz="0" w:space="0" w:color="auto"/>
        <w:left w:val="none" w:sz="0" w:space="0" w:color="auto"/>
        <w:bottom w:val="none" w:sz="0" w:space="0" w:color="auto"/>
        <w:right w:val="none" w:sz="0" w:space="0" w:color="auto"/>
      </w:divBdr>
      <w:divsChild>
        <w:div w:id="587541809">
          <w:marLeft w:val="0"/>
          <w:marRight w:val="0"/>
          <w:marTop w:val="0"/>
          <w:marBottom w:val="0"/>
          <w:divBdr>
            <w:top w:val="none" w:sz="0" w:space="0" w:color="auto"/>
            <w:left w:val="none" w:sz="0" w:space="0" w:color="auto"/>
            <w:bottom w:val="none" w:sz="0" w:space="0" w:color="auto"/>
            <w:right w:val="none" w:sz="0" w:space="0" w:color="auto"/>
          </w:divBdr>
          <w:divsChild>
            <w:div w:id="292830877">
              <w:marLeft w:val="0"/>
              <w:marRight w:val="0"/>
              <w:marTop w:val="0"/>
              <w:marBottom w:val="0"/>
              <w:divBdr>
                <w:top w:val="none" w:sz="0" w:space="0" w:color="auto"/>
                <w:left w:val="none" w:sz="0" w:space="0" w:color="auto"/>
                <w:bottom w:val="none" w:sz="0" w:space="0" w:color="auto"/>
                <w:right w:val="none" w:sz="0" w:space="0" w:color="auto"/>
              </w:divBdr>
              <w:divsChild>
                <w:div w:id="1987203812">
                  <w:marLeft w:val="0"/>
                  <w:marRight w:val="0"/>
                  <w:marTop w:val="0"/>
                  <w:marBottom w:val="0"/>
                  <w:divBdr>
                    <w:top w:val="none" w:sz="0" w:space="0" w:color="auto"/>
                    <w:left w:val="none" w:sz="0" w:space="0" w:color="auto"/>
                    <w:bottom w:val="none" w:sz="0" w:space="0" w:color="auto"/>
                    <w:right w:val="none" w:sz="0" w:space="0" w:color="auto"/>
                  </w:divBdr>
                  <w:divsChild>
                    <w:div w:id="25771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149392">
      <w:bodyDiv w:val="1"/>
      <w:marLeft w:val="0"/>
      <w:marRight w:val="0"/>
      <w:marTop w:val="0"/>
      <w:marBottom w:val="0"/>
      <w:divBdr>
        <w:top w:val="none" w:sz="0" w:space="0" w:color="auto"/>
        <w:left w:val="none" w:sz="0" w:space="0" w:color="auto"/>
        <w:bottom w:val="none" w:sz="0" w:space="0" w:color="auto"/>
        <w:right w:val="none" w:sz="0" w:space="0" w:color="auto"/>
      </w:divBdr>
      <w:divsChild>
        <w:div w:id="169102388">
          <w:marLeft w:val="0"/>
          <w:marRight w:val="0"/>
          <w:marTop w:val="0"/>
          <w:marBottom w:val="0"/>
          <w:divBdr>
            <w:top w:val="none" w:sz="0" w:space="0" w:color="auto"/>
            <w:left w:val="none" w:sz="0" w:space="0" w:color="auto"/>
            <w:bottom w:val="none" w:sz="0" w:space="0" w:color="auto"/>
            <w:right w:val="none" w:sz="0" w:space="0" w:color="auto"/>
          </w:divBdr>
          <w:divsChild>
            <w:div w:id="111609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7974">
      <w:bodyDiv w:val="1"/>
      <w:marLeft w:val="0"/>
      <w:marRight w:val="0"/>
      <w:marTop w:val="0"/>
      <w:marBottom w:val="0"/>
      <w:divBdr>
        <w:top w:val="none" w:sz="0" w:space="0" w:color="auto"/>
        <w:left w:val="none" w:sz="0" w:space="0" w:color="auto"/>
        <w:bottom w:val="none" w:sz="0" w:space="0" w:color="auto"/>
        <w:right w:val="none" w:sz="0" w:space="0" w:color="auto"/>
      </w:divBdr>
    </w:div>
    <w:div w:id="1042250432">
      <w:bodyDiv w:val="1"/>
      <w:marLeft w:val="0"/>
      <w:marRight w:val="0"/>
      <w:marTop w:val="0"/>
      <w:marBottom w:val="0"/>
      <w:divBdr>
        <w:top w:val="none" w:sz="0" w:space="0" w:color="auto"/>
        <w:left w:val="none" w:sz="0" w:space="0" w:color="auto"/>
        <w:bottom w:val="none" w:sz="0" w:space="0" w:color="auto"/>
        <w:right w:val="none" w:sz="0" w:space="0" w:color="auto"/>
      </w:divBdr>
    </w:div>
    <w:div w:id="1077628046">
      <w:bodyDiv w:val="1"/>
      <w:marLeft w:val="0"/>
      <w:marRight w:val="0"/>
      <w:marTop w:val="0"/>
      <w:marBottom w:val="0"/>
      <w:divBdr>
        <w:top w:val="none" w:sz="0" w:space="0" w:color="auto"/>
        <w:left w:val="none" w:sz="0" w:space="0" w:color="auto"/>
        <w:bottom w:val="none" w:sz="0" w:space="0" w:color="auto"/>
        <w:right w:val="none" w:sz="0" w:space="0" w:color="auto"/>
      </w:divBdr>
    </w:div>
    <w:div w:id="1149059982">
      <w:bodyDiv w:val="1"/>
      <w:marLeft w:val="0"/>
      <w:marRight w:val="0"/>
      <w:marTop w:val="0"/>
      <w:marBottom w:val="0"/>
      <w:divBdr>
        <w:top w:val="none" w:sz="0" w:space="0" w:color="auto"/>
        <w:left w:val="none" w:sz="0" w:space="0" w:color="auto"/>
        <w:bottom w:val="none" w:sz="0" w:space="0" w:color="auto"/>
        <w:right w:val="none" w:sz="0" w:space="0" w:color="auto"/>
      </w:divBdr>
    </w:div>
    <w:div w:id="1209148595">
      <w:bodyDiv w:val="1"/>
      <w:marLeft w:val="0"/>
      <w:marRight w:val="0"/>
      <w:marTop w:val="0"/>
      <w:marBottom w:val="0"/>
      <w:divBdr>
        <w:top w:val="none" w:sz="0" w:space="0" w:color="auto"/>
        <w:left w:val="none" w:sz="0" w:space="0" w:color="auto"/>
        <w:bottom w:val="none" w:sz="0" w:space="0" w:color="auto"/>
        <w:right w:val="none" w:sz="0" w:space="0" w:color="auto"/>
      </w:divBdr>
    </w:div>
    <w:div w:id="1236235088">
      <w:bodyDiv w:val="1"/>
      <w:marLeft w:val="0"/>
      <w:marRight w:val="0"/>
      <w:marTop w:val="0"/>
      <w:marBottom w:val="0"/>
      <w:divBdr>
        <w:top w:val="none" w:sz="0" w:space="0" w:color="auto"/>
        <w:left w:val="none" w:sz="0" w:space="0" w:color="auto"/>
        <w:bottom w:val="none" w:sz="0" w:space="0" w:color="auto"/>
        <w:right w:val="none" w:sz="0" w:space="0" w:color="auto"/>
      </w:divBdr>
    </w:div>
    <w:div w:id="1358434551">
      <w:bodyDiv w:val="1"/>
      <w:marLeft w:val="0"/>
      <w:marRight w:val="0"/>
      <w:marTop w:val="0"/>
      <w:marBottom w:val="0"/>
      <w:divBdr>
        <w:top w:val="none" w:sz="0" w:space="0" w:color="auto"/>
        <w:left w:val="none" w:sz="0" w:space="0" w:color="auto"/>
        <w:bottom w:val="none" w:sz="0" w:space="0" w:color="auto"/>
        <w:right w:val="none" w:sz="0" w:space="0" w:color="auto"/>
      </w:divBdr>
    </w:div>
    <w:div w:id="1381322004">
      <w:bodyDiv w:val="1"/>
      <w:marLeft w:val="0"/>
      <w:marRight w:val="0"/>
      <w:marTop w:val="0"/>
      <w:marBottom w:val="0"/>
      <w:divBdr>
        <w:top w:val="none" w:sz="0" w:space="0" w:color="auto"/>
        <w:left w:val="none" w:sz="0" w:space="0" w:color="auto"/>
        <w:bottom w:val="none" w:sz="0" w:space="0" w:color="auto"/>
        <w:right w:val="none" w:sz="0" w:space="0" w:color="auto"/>
      </w:divBdr>
    </w:div>
    <w:div w:id="1390811674">
      <w:bodyDiv w:val="1"/>
      <w:marLeft w:val="0"/>
      <w:marRight w:val="0"/>
      <w:marTop w:val="0"/>
      <w:marBottom w:val="0"/>
      <w:divBdr>
        <w:top w:val="none" w:sz="0" w:space="0" w:color="auto"/>
        <w:left w:val="none" w:sz="0" w:space="0" w:color="auto"/>
        <w:bottom w:val="none" w:sz="0" w:space="0" w:color="auto"/>
        <w:right w:val="none" w:sz="0" w:space="0" w:color="auto"/>
      </w:divBdr>
    </w:div>
    <w:div w:id="1484345598">
      <w:bodyDiv w:val="1"/>
      <w:marLeft w:val="0"/>
      <w:marRight w:val="0"/>
      <w:marTop w:val="0"/>
      <w:marBottom w:val="0"/>
      <w:divBdr>
        <w:top w:val="none" w:sz="0" w:space="0" w:color="auto"/>
        <w:left w:val="none" w:sz="0" w:space="0" w:color="auto"/>
        <w:bottom w:val="none" w:sz="0" w:space="0" w:color="auto"/>
        <w:right w:val="none" w:sz="0" w:space="0" w:color="auto"/>
      </w:divBdr>
    </w:div>
    <w:div w:id="1512338110">
      <w:bodyDiv w:val="1"/>
      <w:marLeft w:val="0"/>
      <w:marRight w:val="0"/>
      <w:marTop w:val="0"/>
      <w:marBottom w:val="0"/>
      <w:divBdr>
        <w:top w:val="none" w:sz="0" w:space="0" w:color="auto"/>
        <w:left w:val="none" w:sz="0" w:space="0" w:color="auto"/>
        <w:bottom w:val="none" w:sz="0" w:space="0" w:color="auto"/>
        <w:right w:val="none" w:sz="0" w:space="0" w:color="auto"/>
      </w:divBdr>
      <w:divsChild>
        <w:div w:id="1245382832">
          <w:marLeft w:val="0"/>
          <w:marRight w:val="0"/>
          <w:marTop w:val="0"/>
          <w:marBottom w:val="0"/>
          <w:divBdr>
            <w:top w:val="none" w:sz="0" w:space="0" w:color="auto"/>
            <w:left w:val="none" w:sz="0" w:space="0" w:color="auto"/>
            <w:bottom w:val="none" w:sz="0" w:space="0" w:color="auto"/>
            <w:right w:val="none" w:sz="0" w:space="0" w:color="auto"/>
          </w:divBdr>
        </w:div>
      </w:divsChild>
    </w:div>
    <w:div w:id="1558080949">
      <w:bodyDiv w:val="1"/>
      <w:marLeft w:val="0"/>
      <w:marRight w:val="0"/>
      <w:marTop w:val="0"/>
      <w:marBottom w:val="0"/>
      <w:divBdr>
        <w:top w:val="none" w:sz="0" w:space="0" w:color="auto"/>
        <w:left w:val="none" w:sz="0" w:space="0" w:color="auto"/>
        <w:bottom w:val="none" w:sz="0" w:space="0" w:color="auto"/>
        <w:right w:val="none" w:sz="0" w:space="0" w:color="auto"/>
      </w:divBdr>
    </w:div>
    <w:div w:id="1581712722">
      <w:bodyDiv w:val="1"/>
      <w:marLeft w:val="0"/>
      <w:marRight w:val="0"/>
      <w:marTop w:val="0"/>
      <w:marBottom w:val="0"/>
      <w:divBdr>
        <w:top w:val="none" w:sz="0" w:space="0" w:color="auto"/>
        <w:left w:val="none" w:sz="0" w:space="0" w:color="auto"/>
        <w:bottom w:val="none" w:sz="0" w:space="0" w:color="auto"/>
        <w:right w:val="none" w:sz="0" w:space="0" w:color="auto"/>
      </w:divBdr>
      <w:divsChild>
        <w:div w:id="720639814">
          <w:marLeft w:val="0"/>
          <w:marRight w:val="0"/>
          <w:marTop w:val="0"/>
          <w:marBottom w:val="0"/>
          <w:divBdr>
            <w:top w:val="none" w:sz="0" w:space="0" w:color="auto"/>
            <w:left w:val="none" w:sz="0" w:space="0" w:color="auto"/>
            <w:bottom w:val="none" w:sz="0" w:space="0" w:color="auto"/>
            <w:right w:val="none" w:sz="0" w:space="0" w:color="auto"/>
          </w:divBdr>
        </w:div>
      </w:divsChild>
    </w:div>
    <w:div w:id="1583294558">
      <w:bodyDiv w:val="1"/>
      <w:marLeft w:val="0"/>
      <w:marRight w:val="0"/>
      <w:marTop w:val="0"/>
      <w:marBottom w:val="0"/>
      <w:divBdr>
        <w:top w:val="none" w:sz="0" w:space="0" w:color="auto"/>
        <w:left w:val="none" w:sz="0" w:space="0" w:color="auto"/>
        <w:bottom w:val="none" w:sz="0" w:space="0" w:color="auto"/>
        <w:right w:val="none" w:sz="0" w:space="0" w:color="auto"/>
      </w:divBdr>
    </w:div>
    <w:div w:id="1738935701">
      <w:bodyDiv w:val="1"/>
      <w:marLeft w:val="0"/>
      <w:marRight w:val="0"/>
      <w:marTop w:val="0"/>
      <w:marBottom w:val="0"/>
      <w:divBdr>
        <w:top w:val="none" w:sz="0" w:space="0" w:color="auto"/>
        <w:left w:val="none" w:sz="0" w:space="0" w:color="auto"/>
        <w:bottom w:val="none" w:sz="0" w:space="0" w:color="auto"/>
        <w:right w:val="none" w:sz="0" w:space="0" w:color="auto"/>
      </w:divBdr>
    </w:div>
    <w:div w:id="1773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1124290">
          <w:marLeft w:val="0"/>
          <w:marRight w:val="0"/>
          <w:marTop w:val="0"/>
          <w:marBottom w:val="0"/>
          <w:divBdr>
            <w:top w:val="none" w:sz="0" w:space="0" w:color="auto"/>
            <w:left w:val="none" w:sz="0" w:space="0" w:color="auto"/>
            <w:bottom w:val="none" w:sz="0" w:space="0" w:color="auto"/>
            <w:right w:val="none" w:sz="0" w:space="0" w:color="auto"/>
          </w:divBdr>
        </w:div>
      </w:divsChild>
    </w:div>
    <w:div w:id="2085906173">
      <w:bodyDiv w:val="1"/>
      <w:marLeft w:val="0"/>
      <w:marRight w:val="0"/>
      <w:marTop w:val="0"/>
      <w:marBottom w:val="0"/>
      <w:divBdr>
        <w:top w:val="none" w:sz="0" w:space="0" w:color="auto"/>
        <w:left w:val="none" w:sz="0" w:space="0" w:color="auto"/>
        <w:bottom w:val="none" w:sz="0" w:space="0" w:color="auto"/>
        <w:right w:val="none" w:sz="0" w:space="0" w:color="auto"/>
      </w:divBdr>
      <w:divsChild>
        <w:div w:id="361515190">
          <w:marLeft w:val="0"/>
          <w:marRight w:val="0"/>
          <w:marTop w:val="0"/>
          <w:marBottom w:val="0"/>
          <w:divBdr>
            <w:top w:val="none" w:sz="0" w:space="0" w:color="auto"/>
            <w:left w:val="none" w:sz="0" w:space="0" w:color="auto"/>
            <w:bottom w:val="none" w:sz="0" w:space="0" w:color="auto"/>
            <w:right w:val="none" w:sz="0" w:space="0" w:color="auto"/>
          </w:divBdr>
        </w:div>
      </w:divsChild>
    </w:div>
    <w:div w:id="2104110272">
      <w:bodyDiv w:val="1"/>
      <w:marLeft w:val="0"/>
      <w:marRight w:val="0"/>
      <w:marTop w:val="0"/>
      <w:marBottom w:val="0"/>
      <w:divBdr>
        <w:top w:val="none" w:sz="0" w:space="0" w:color="auto"/>
        <w:left w:val="none" w:sz="0" w:space="0" w:color="auto"/>
        <w:bottom w:val="none" w:sz="0" w:space="0" w:color="auto"/>
        <w:right w:val="none" w:sz="0" w:space="0" w:color="auto"/>
      </w:divBdr>
    </w:div>
    <w:div w:id="2105148246">
      <w:bodyDiv w:val="1"/>
      <w:marLeft w:val="0"/>
      <w:marRight w:val="0"/>
      <w:marTop w:val="0"/>
      <w:marBottom w:val="0"/>
      <w:divBdr>
        <w:top w:val="none" w:sz="0" w:space="0" w:color="auto"/>
        <w:left w:val="none" w:sz="0" w:space="0" w:color="auto"/>
        <w:bottom w:val="none" w:sz="0" w:space="0" w:color="auto"/>
        <w:right w:val="none" w:sz="0" w:space="0" w:color="auto"/>
      </w:divBdr>
      <w:divsChild>
        <w:div w:id="1652325218">
          <w:marLeft w:val="0"/>
          <w:marRight w:val="0"/>
          <w:marTop w:val="0"/>
          <w:marBottom w:val="0"/>
          <w:divBdr>
            <w:top w:val="none" w:sz="0" w:space="0" w:color="auto"/>
            <w:left w:val="none" w:sz="0" w:space="0" w:color="auto"/>
            <w:bottom w:val="none" w:sz="0" w:space="0" w:color="auto"/>
            <w:right w:val="none" w:sz="0" w:space="0" w:color="auto"/>
          </w:divBdr>
        </w:div>
      </w:divsChild>
    </w:div>
    <w:div w:id="2125464848">
      <w:bodyDiv w:val="1"/>
      <w:marLeft w:val="0"/>
      <w:marRight w:val="0"/>
      <w:marTop w:val="0"/>
      <w:marBottom w:val="0"/>
      <w:divBdr>
        <w:top w:val="none" w:sz="0" w:space="0" w:color="auto"/>
        <w:left w:val="none" w:sz="0" w:space="0" w:color="auto"/>
        <w:bottom w:val="none" w:sz="0" w:space="0" w:color="auto"/>
        <w:right w:val="none" w:sz="0" w:space="0" w:color="auto"/>
      </w:divBdr>
      <w:divsChild>
        <w:div w:id="1443038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growth/tools-databases/tris/en/" TargetMode="External"/><Relationship Id="rId1" Type="http://schemas.openxmlformats.org/officeDocument/2006/relationships/hyperlink" Target="https://ec.europa.eu/info/sites/info/files/communication-enforcement-implementation-single-market-rules_en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CE6F2-3A5C-4FC7-9F74-4D703498E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6347</Words>
  <Characters>35994</Characters>
  <Application>Microsoft Office Word</Application>
  <DocSecurity>0</DocSecurity>
  <Lines>553</Lines>
  <Paragraphs>147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42194</CharactersWithSpaces>
  <SharedDoc>false</SharedDoc>
  <HLinks>
    <vt:vector size="108" baseType="variant">
      <vt:variant>
        <vt:i4>1966141</vt:i4>
      </vt:variant>
      <vt:variant>
        <vt:i4>92</vt:i4>
      </vt:variant>
      <vt:variant>
        <vt:i4>0</vt:i4>
      </vt:variant>
      <vt:variant>
        <vt:i4>5</vt:i4>
      </vt:variant>
      <vt:variant>
        <vt:lpwstr/>
      </vt:variant>
      <vt:variant>
        <vt:lpwstr>_Toc486585713</vt:lpwstr>
      </vt:variant>
      <vt:variant>
        <vt:i4>1966141</vt:i4>
      </vt:variant>
      <vt:variant>
        <vt:i4>86</vt:i4>
      </vt:variant>
      <vt:variant>
        <vt:i4>0</vt:i4>
      </vt:variant>
      <vt:variant>
        <vt:i4>5</vt:i4>
      </vt:variant>
      <vt:variant>
        <vt:lpwstr/>
      </vt:variant>
      <vt:variant>
        <vt:lpwstr>_Toc486585712</vt:lpwstr>
      </vt:variant>
      <vt:variant>
        <vt:i4>1966141</vt:i4>
      </vt:variant>
      <vt:variant>
        <vt:i4>80</vt:i4>
      </vt:variant>
      <vt:variant>
        <vt:i4>0</vt:i4>
      </vt:variant>
      <vt:variant>
        <vt:i4>5</vt:i4>
      </vt:variant>
      <vt:variant>
        <vt:lpwstr/>
      </vt:variant>
      <vt:variant>
        <vt:lpwstr>_Toc486585711</vt:lpwstr>
      </vt:variant>
      <vt:variant>
        <vt:i4>1966141</vt:i4>
      </vt:variant>
      <vt:variant>
        <vt:i4>74</vt:i4>
      </vt:variant>
      <vt:variant>
        <vt:i4>0</vt:i4>
      </vt:variant>
      <vt:variant>
        <vt:i4>5</vt:i4>
      </vt:variant>
      <vt:variant>
        <vt:lpwstr/>
      </vt:variant>
      <vt:variant>
        <vt:lpwstr>_Toc486585710</vt:lpwstr>
      </vt:variant>
      <vt:variant>
        <vt:i4>2031677</vt:i4>
      </vt:variant>
      <vt:variant>
        <vt:i4>68</vt:i4>
      </vt:variant>
      <vt:variant>
        <vt:i4>0</vt:i4>
      </vt:variant>
      <vt:variant>
        <vt:i4>5</vt:i4>
      </vt:variant>
      <vt:variant>
        <vt:lpwstr/>
      </vt:variant>
      <vt:variant>
        <vt:lpwstr>_Toc486585709</vt:lpwstr>
      </vt:variant>
      <vt:variant>
        <vt:i4>2031677</vt:i4>
      </vt:variant>
      <vt:variant>
        <vt:i4>62</vt:i4>
      </vt:variant>
      <vt:variant>
        <vt:i4>0</vt:i4>
      </vt:variant>
      <vt:variant>
        <vt:i4>5</vt:i4>
      </vt:variant>
      <vt:variant>
        <vt:lpwstr/>
      </vt:variant>
      <vt:variant>
        <vt:lpwstr>_Toc486585708</vt:lpwstr>
      </vt:variant>
      <vt:variant>
        <vt:i4>2031677</vt:i4>
      </vt:variant>
      <vt:variant>
        <vt:i4>56</vt:i4>
      </vt:variant>
      <vt:variant>
        <vt:i4>0</vt:i4>
      </vt:variant>
      <vt:variant>
        <vt:i4>5</vt:i4>
      </vt:variant>
      <vt:variant>
        <vt:lpwstr/>
      </vt:variant>
      <vt:variant>
        <vt:lpwstr>_Toc486585707</vt:lpwstr>
      </vt:variant>
      <vt:variant>
        <vt:i4>2031677</vt:i4>
      </vt:variant>
      <vt:variant>
        <vt:i4>50</vt:i4>
      </vt:variant>
      <vt:variant>
        <vt:i4>0</vt:i4>
      </vt:variant>
      <vt:variant>
        <vt:i4>5</vt:i4>
      </vt:variant>
      <vt:variant>
        <vt:lpwstr/>
      </vt:variant>
      <vt:variant>
        <vt:lpwstr>_Toc486585706</vt:lpwstr>
      </vt:variant>
      <vt:variant>
        <vt:i4>2031677</vt:i4>
      </vt:variant>
      <vt:variant>
        <vt:i4>44</vt:i4>
      </vt:variant>
      <vt:variant>
        <vt:i4>0</vt:i4>
      </vt:variant>
      <vt:variant>
        <vt:i4>5</vt:i4>
      </vt:variant>
      <vt:variant>
        <vt:lpwstr/>
      </vt:variant>
      <vt:variant>
        <vt:lpwstr>_Toc486585705</vt:lpwstr>
      </vt:variant>
      <vt:variant>
        <vt:i4>2031677</vt:i4>
      </vt:variant>
      <vt:variant>
        <vt:i4>38</vt:i4>
      </vt:variant>
      <vt:variant>
        <vt:i4>0</vt:i4>
      </vt:variant>
      <vt:variant>
        <vt:i4>5</vt:i4>
      </vt:variant>
      <vt:variant>
        <vt:lpwstr/>
      </vt:variant>
      <vt:variant>
        <vt:lpwstr>_Toc486585704</vt:lpwstr>
      </vt:variant>
      <vt:variant>
        <vt:i4>2031677</vt:i4>
      </vt:variant>
      <vt:variant>
        <vt:i4>32</vt:i4>
      </vt:variant>
      <vt:variant>
        <vt:i4>0</vt:i4>
      </vt:variant>
      <vt:variant>
        <vt:i4>5</vt:i4>
      </vt:variant>
      <vt:variant>
        <vt:lpwstr/>
      </vt:variant>
      <vt:variant>
        <vt:lpwstr>_Toc486585703</vt:lpwstr>
      </vt:variant>
      <vt:variant>
        <vt:i4>2031677</vt:i4>
      </vt:variant>
      <vt:variant>
        <vt:i4>26</vt:i4>
      </vt:variant>
      <vt:variant>
        <vt:i4>0</vt:i4>
      </vt:variant>
      <vt:variant>
        <vt:i4>5</vt:i4>
      </vt:variant>
      <vt:variant>
        <vt:lpwstr/>
      </vt:variant>
      <vt:variant>
        <vt:lpwstr>_Toc486585702</vt:lpwstr>
      </vt:variant>
      <vt:variant>
        <vt:i4>2031677</vt:i4>
      </vt:variant>
      <vt:variant>
        <vt:i4>20</vt:i4>
      </vt:variant>
      <vt:variant>
        <vt:i4>0</vt:i4>
      </vt:variant>
      <vt:variant>
        <vt:i4>5</vt:i4>
      </vt:variant>
      <vt:variant>
        <vt:lpwstr/>
      </vt:variant>
      <vt:variant>
        <vt:lpwstr>_Toc486585701</vt:lpwstr>
      </vt:variant>
      <vt:variant>
        <vt:i4>2031677</vt:i4>
      </vt:variant>
      <vt:variant>
        <vt:i4>14</vt:i4>
      </vt:variant>
      <vt:variant>
        <vt:i4>0</vt:i4>
      </vt:variant>
      <vt:variant>
        <vt:i4>5</vt:i4>
      </vt:variant>
      <vt:variant>
        <vt:lpwstr/>
      </vt:variant>
      <vt:variant>
        <vt:lpwstr>_Toc486585700</vt:lpwstr>
      </vt:variant>
      <vt:variant>
        <vt:i4>1441852</vt:i4>
      </vt:variant>
      <vt:variant>
        <vt:i4>8</vt:i4>
      </vt:variant>
      <vt:variant>
        <vt:i4>0</vt:i4>
      </vt:variant>
      <vt:variant>
        <vt:i4>5</vt:i4>
      </vt:variant>
      <vt:variant>
        <vt:lpwstr/>
      </vt:variant>
      <vt:variant>
        <vt:lpwstr>_Toc486585699</vt:lpwstr>
      </vt:variant>
      <vt:variant>
        <vt:i4>1441852</vt:i4>
      </vt:variant>
      <vt:variant>
        <vt:i4>2</vt:i4>
      </vt:variant>
      <vt:variant>
        <vt:i4>0</vt:i4>
      </vt:variant>
      <vt:variant>
        <vt:i4>5</vt:i4>
      </vt:variant>
      <vt:variant>
        <vt:lpwstr/>
      </vt:variant>
      <vt:variant>
        <vt:lpwstr>_Toc486585698</vt:lpwstr>
      </vt:variant>
      <vt:variant>
        <vt:i4>7995492</vt:i4>
      </vt:variant>
      <vt:variant>
        <vt:i4>3</vt:i4>
      </vt:variant>
      <vt:variant>
        <vt:i4>0</vt:i4>
      </vt:variant>
      <vt:variant>
        <vt:i4>5</vt:i4>
      </vt:variant>
      <vt:variant>
        <vt:lpwstr>http://ec.europa.eu/growth/tools-databases/tris/en/</vt:lpwstr>
      </vt:variant>
      <vt:variant>
        <vt:lpwstr/>
      </vt:variant>
      <vt:variant>
        <vt:i4>4718675</vt:i4>
      </vt:variant>
      <vt:variant>
        <vt:i4>0</vt:i4>
      </vt:variant>
      <vt:variant>
        <vt:i4>0</vt:i4>
      </vt:variant>
      <vt:variant>
        <vt:i4>5</vt:i4>
      </vt:variant>
      <vt:variant>
        <vt:lpwstr>http://ec.europa.eu/DocsRoom/documents/20502/attachments/2/translations/en/renditions/native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2022-09-05T08:43:00Z</dcterms:created>
  <dcterms:modified xsi:type="dcterms:W3CDTF">2022-09-21T06:33:00Z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8.0.1, Build 20220429</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CP-007</vt:lpwstr>
  </property>
  <property fmtid="{D5CDD505-2E9C-101B-9397-08002B2CF9AE}" pid="8" name="MSIP_Label_6bd9ddd1-4d20-43f6-abfa-fc3c07406f94_Enabled">
    <vt:lpwstr>true</vt:lpwstr>
  </property>
  <property fmtid="{D5CDD505-2E9C-101B-9397-08002B2CF9AE}" pid="9" name="MSIP_Label_6bd9ddd1-4d20-43f6-abfa-fc3c07406f94_SetDate">
    <vt:lpwstr>2022-06-20T16:00:34Z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0644da00-f176-4881-a050-56260c5c7556</vt:lpwstr>
  </property>
  <property fmtid="{D5CDD505-2E9C-101B-9397-08002B2CF9AE}" pid="14" name="MSIP_Label_6bd9ddd1-4d20-43f6-abfa-fc3c07406f94_ContentBits">
    <vt:lpwstr>0</vt:lpwstr>
  </property>
</Properties>
</file>