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11E0" w14:textId="16031E31" w:rsidR="00167262" w:rsidRDefault="00EA0D7C" w:rsidP="00EA0D7C">
      <w:pPr>
        <w:pStyle w:val="Pagedecouverture"/>
        <w:rPr>
          <w:noProof/>
        </w:rPr>
      </w:pPr>
      <w:bookmarkStart w:id="0" w:name="LW_BM_COVERPAGE"/>
      <w:r>
        <w:rPr>
          <w:noProof/>
        </w:rPr>
        <w:pict w14:anchorId="67197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54DBFCC-261E-4B9C-8F77-8CDFA42072B8" style="width:455.25pt;height:351.75pt">
            <v:imagedata r:id="rId11" o:title=""/>
          </v:shape>
        </w:pict>
      </w:r>
    </w:p>
    <w:bookmarkEnd w:id="0"/>
    <w:p w14:paraId="45DFA0F3" w14:textId="77777777" w:rsidR="00EA0D7C" w:rsidRPr="00EA0D7C" w:rsidRDefault="00EA0D7C" w:rsidP="00EA0D7C">
      <w:pPr>
        <w:pStyle w:val="Pagedecouverture"/>
        <w:sectPr w:rsidR="00EA0D7C" w:rsidRPr="00EA0D7C" w:rsidSect="00EA0D7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noProof/>
          <w:sz w:val="22"/>
        </w:rPr>
        <w:alias w:val="Table of Contents"/>
        <w:tag w:val="eqT1QegFOKAi3zHpinqjV4"/>
        <w:id w:val="64073399"/>
      </w:sdtPr>
      <w:sdtEndPr/>
      <w:sdtContent>
        <w:p w14:paraId="046DEB9F" w14:textId="77777777" w:rsidR="00190177" w:rsidRDefault="00EA0D7C">
          <w:pPr>
            <w:pStyle w:val="TOCHeading"/>
            <w:rPr>
              <w:noProof/>
            </w:rPr>
          </w:pPr>
          <w:sdt>
            <w:sdtPr>
              <w:rPr>
                <w:noProof/>
              </w:rPr>
              <w:id w:val="-214508680"/>
              <w:dataBinding w:xpath="/Texts/TOCHeading" w:storeItemID="{4EF90DE6-88B6-4264-9629-4D8DFDFE87D2}"/>
              <w:text w:multiLine="1"/>
            </w:sdtPr>
            <w:sdtEndPr/>
            <w:sdtContent>
              <w:r w:rsidR="008B0A53">
                <w:rPr>
                  <w:noProof/>
                </w:rPr>
                <w:t>Table of Contents</w:t>
              </w:r>
            </w:sdtContent>
          </w:sdt>
        </w:p>
        <w:p w14:paraId="1B0F4D5D" w14:textId="7EE65A13" w:rsidR="008D0328" w:rsidRDefault="004F6F3F">
          <w:pPr>
            <w:pStyle w:val="TOC1"/>
            <w:rPr>
              <w:rFonts w:asciiTheme="minorHAnsi" w:eastAsiaTheme="minorEastAsia" w:hAnsiTheme="minorHAnsi" w:cstheme="minorBidi"/>
              <w:b w:val="0"/>
              <w:noProof/>
              <w:sz w:val="22"/>
              <w:szCs w:val="22"/>
            </w:rPr>
          </w:pPr>
          <w:r>
            <w:rPr>
              <w:noProof/>
            </w:rPr>
            <w:fldChar w:fldCharType="begin"/>
          </w:r>
          <w:r>
            <w:rPr>
              <w:noProof/>
            </w:rPr>
            <w:instrText>TOC \o "1-4" \h \z \t "ChapterTitle;5;PartTitle;5;SectionTitle;5;AnnexTitle;6" \* MERGEFORMAT</w:instrText>
          </w:r>
          <w:r>
            <w:rPr>
              <w:noProof/>
            </w:rPr>
            <w:fldChar w:fldCharType="separate"/>
          </w:r>
          <w:hyperlink w:anchor="_Toc110444028" w:history="1">
            <w:r w:rsidR="008D0328" w:rsidRPr="00D17389">
              <w:rPr>
                <w:rStyle w:val="Hyperlink"/>
                <w:noProof/>
              </w:rPr>
              <w:t>1.</w:t>
            </w:r>
            <w:r w:rsidR="008D0328">
              <w:rPr>
                <w:rFonts w:asciiTheme="minorHAnsi" w:eastAsiaTheme="minorEastAsia" w:hAnsiTheme="minorHAnsi" w:cstheme="minorBidi"/>
                <w:b w:val="0"/>
                <w:noProof/>
                <w:sz w:val="22"/>
                <w:szCs w:val="22"/>
              </w:rPr>
              <w:tab/>
            </w:r>
            <w:r w:rsidR="008D0328" w:rsidRPr="00D17389">
              <w:rPr>
                <w:rStyle w:val="Hyperlink"/>
                <w:noProof/>
              </w:rPr>
              <w:t>Introduction</w:t>
            </w:r>
            <w:r w:rsidR="008D0328">
              <w:rPr>
                <w:noProof/>
                <w:webHidden/>
              </w:rPr>
              <w:tab/>
            </w:r>
            <w:r w:rsidR="008D0328">
              <w:rPr>
                <w:noProof/>
                <w:webHidden/>
              </w:rPr>
              <w:fldChar w:fldCharType="begin"/>
            </w:r>
            <w:r w:rsidR="008D0328">
              <w:rPr>
                <w:noProof/>
                <w:webHidden/>
              </w:rPr>
              <w:instrText xml:space="preserve"> PAGEREF _Toc110444028 \h </w:instrText>
            </w:r>
            <w:r w:rsidR="008D0328">
              <w:rPr>
                <w:noProof/>
                <w:webHidden/>
              </w:rPr>
            </w:r>
            <w:r w:rsidR="008D0328">
              <w:rPr>
                <w:noProof/>
                <w:webHidden/>
              </w:rPr>
              <w:fldChar w:fldCharType="separate"/>
            </w:r>
            <w:r w:rsidR="00F963A8">
              <w:rPr>
                <w:noProof/>
                <w:webHidden/>
              </w:rPr>
              <w:t>5</w:t>
            </w:r>
            <w:r w:rsidR="008D0328">
              <w:rPr>
                <w:noProof/>
                <w:webHidden/>
              </w:rPr>
              <w:fldChar w:fldCharType="end"/>
            </w:r>
          </w:hyperlink>
        </w:p>
        <w:p w14:paraId="3517B2BE" w14:textId="661A8C74" w:rsidR="008D0328" w:rsidRDefault="00EA0D7C">
          <w:pPr>
            <w:pStyle w:val="TOC2"/>
            <w:rPr>
              <w:rFonts w:asciiTheme="minorHAnsi" w:eastAsiaTheme="minorEastAsia" w:hAnsiTheme="minorHAnsi" w:cstheme="minorBidi"/>
              <w:sz w:val="22"/>
              <w:szCs w:val="22"/>
            </w:rPr>
          </w:pPr>
          <w:hyperlink w:anchor="_Toc110444029" w:history="1">
            <w:r w:rsidR="008D0328" w:rsidRPr="00D17389">
              <w:rPr>
                <w:rStyle w:val="Hyperlink"/>
              </w:rPr>
              <w:t>1.1.</w:t>
            </w:r>
            <w:r w:rsidR="008D0328">
              <w:rPr>
                <w:rFonts w:asciiTheme="minorHAnsi" w:eastAsiaTheme="minorEastAsia" w:hAnsiTheme="minorHAnsi" w:cstheme="minorBidi"/>
                <w:sz w:val="22"/>
                <w:szCs w:val="22"/>
              </w:rPr>
              <w:tab/>
            </w:r>
            <w:r w:rsidR="008D0328" w:rsidRPr="00D17389">
              <w:rPr>
                <w:rStyle w:val="Hyperlink"/>
              </w:rPr>
              <w:t>Key concepts</w:t>
            </w:r>
            <w:r w:rsidR="008D0328">
              <w:rPr>
                <w:webHidden/>
              </w:rPr>
              <w:tab/>
            </w:r>
            <w:r w:rsidR="008D0328">
              <w:rPr>
                <w:webHidden/>
              </w:rPr>
              <w:fldChar w:fldCharType="begin"/>
            </w:r>
            <w:r w:rsidR="008D0328">
              <w:rPr>
                <w:webHidden/>
              </w:rPr>
              <w:instrText xml:space="preserve"> PAGEREF _Toc110444029 \h </w:instrText>
            </w:r>
            <w:r w:rsidR="008D0328">
              <w:rPr>
                <w:webHidden/>
              </w:rPr>
            </w:r>
            <w:r w:rsidR="008D0328">
              <w:rPr>
                <w:webHidden/>
              </w:rPr>
              <w:fldChar w:fldCharType="separate"/>
            </w:r>
            <w:r w:rsidR="00F963A8">
              <w:rPr>
                <w:webHidden/>
              </w:rPr>
              <w:t>5</w:t>
            </w:r>
            <w:r w:rsidR="008D0328">
              <w:rPr>
                <w:webHidden/>
              </w:rPr>
              <w:fldChar w:fldCharType="end"/>
            </w:r>
          </w:hyperlink>
        </w:p>
        <w:p w14:paraId="6930E136" w14:textId="238B1A3B" w:rsidR="008D0328" w:rsidRDefault="00EA0D7C">
          <w:pPr>
            <w:pStyle w:val="TOC2"/>
            <w:rPr>
              <w:rFonts w:asciiTheme="minorHAnsi" w:eastAsiaTheme="minorEastAsia" w:hAnsiTheme="minorHAnsi" w:cstheme="minorBidi"/>
              <w:sz w:val="22"/>
              <w:szCs w:val="22"/>
            </w:rPr>
          </w:pPr>
          <w:hyperlink w:anchor="_Toc110444030" w:history="1">
            <w:r w:rsidR="008D0328" w:rsidRPr="00D17389">
              <w:rPr>
                <w:rStyle w:val="Hyperlink"/>
              </w:rPr>
              <w:t>1.2.</w:t>
            </w:r>
            <w:r w:rsidR="008D0328">
              <w:rPr>
                <w:rFonts w:asciiTheme="minorHAnsi" w:eastAsiaTheme="minorEastAsia" w:hAnsiTheme="minorHAnsi" w:cstheme="minorBidi"/>
                <w:sz w:val="22"/>
                <w:szCs w:val="22"/>
              </w:rPr>
              <w:tab/>
            </w:r>
            <w:r w:rsidR="008D0328" w:rsidRPr="00D17389">
              <w:rPr>
                <w:rStyle w:val="Hyperlink"/>
              </w:rPr>
              <w:t>The EU’s financial interests in 2021</w:t>
            </w:r>
            <w:r w:rsidR="008D0328">
              <w:rPr>
                <w:webHidden/>
              </w:rPr>
              <w:tab/>
            </w:r>
            <w:r w:rsidR="008D0328">
              <w:rPr>
                <w:webHidden/>
              </w:rPr>
              <w:fldChar w:fldCharType="begin"/>
            </w:r>
            <w:r w:rsidR="008D0328">
              <w:rPr>
                <w:webHidden/>
              </w:rPr>
              <w:instrText xml:space="preserve"> PAGEREF _Toc110444030 \h </w:instrText>
            </w:r>
            <w:r w:rsidR="008D0328">
              <w:rPr>
                <w:webHidden/>
              </w:rPr>
            </w:r>
            <w:r w:rsidR="008D0328">
              <w:rPr>
                <w:webHidden/>
              </w:rPr>
              <w:fldChar w:fldCharType="separate"/>
            </w:r>
            <w:r w:rsidR="00F963A8">
              <w:rPr>
                <w:webHidden/>
              </w:rPr>
              <w:t>6</w:t>
            </w:r>
            <w:r w:rsidR="008D0328">
              <w:rPr>
                <w:webHidden/>
              </w:rPr>
              <w:fldChar w:fldCharType="end"/>
            </w:r>
          </w:hyperlink>
        </w:p>
        <w:p w14:paraId="133CCBAE" w14:textId="2A7A05FA" w:rsidR="008D0328" w:rsidRDefault="00EA0D7C">
          <w:pPr>
            <w:pStyle w:val="TOC1"/>
            <w:rPr>
              <w:rFonts w:asciiTheme="minorHAnsi" w:eastAsiaTheme="minorEastAsia" w:hAnsiTheme="minorHAnsi" w:cstheme="minorBidi"/>
              <w:b w:val="0"/>
              <w:noProof/>
              <w:sz w:val="22"/>
              <w:szCs w:val="22"/>
            </w:rPr>
          </w:pPr>
          <w:hyperlink w:anchor="_Toc110444031" w:history="1">
            <w:r w:rsidR="008D0328" w:rsidRPr="00D17389">
              <w:rPr>
                <w:rStyle w:val="Hyperlink"/>
                <w:noProof/>
              </w:rPr>
              <w:t>2.</w:t>
            </w:r>
            <w:r w:rsidR="008D0328">
              <w:rPr>
                <w:rFonts w:asciiTheme="minorHAnsi" w:eastAsiaTheme="minorEastAsia" w:hAnsiTheme="minorHAnsi" w:cstheme="minorBidi"/>
                <w:b w:val="0"/>
                <w:noProof/>
                <w:sz w:val="22"/>
                <w:szCs w:val="22"/>
              </w:rPr>
              <w:tab/>
            </w:r>
            <w:r w:rsidR="008D0328" w:rsidRPr="00D17389">
              <w:rPr>
                <w:rStyle w:val="Hyperlink"/>
                <w:noProof/>
              </w:rPr>
              <w:t>Highlights of 2021</w:t>
            </w:r>
            <w:r w:rsidR="008D0328">
              <w:rPr>
                <w:noProof/>
                <w:webHidden/>
              </w:rPr>
              <w:tab/>
            </w:r>
            <w:r w:rsidR="008D0328">
              <w:rPr>
                <w:noProof/>
                <w:webHidden/>
              </w:rPr>
              <w:fldChar w:fldCharType="begin"/>
            </w:r>
            <w:r w:rsidR="008D0328">
              <w:rPr>
                <w:noProof/>
                <w:webHidden/>
              </w:rPr>
              <w:instrText xml:space="preserve"> PAGEREF _Toc110444031 \h </w:instrText>
            </w:r>
            <w:r w:rsidR="008D0328">
              <w:rPr>
                <w:noProof/>
                <w:webHidden/>
              </w:rPr>
            </w:r>
            <w:r w:rsidR="008D0328">
              <w:rPr>
                <w:noProof/>
                <w:webHidden/>
              </w:rPr>
              <w:fldChar w:fldCharType="separate"/>
            </w:r>
            <w:r w:rsidR="00F963A8">
              <w:rPr>
                <w:noProof/>
                <w:webHidden/>
              </w:rPr>
              <w:t>8</w:t>
            </w:r>
            <w:r w:rsidR="008D0328">
              <w:rPr>
                <w:noProof/>
                <w:webHidden/>
              </w:rPr>
              <w:fldChar w:fldCharType="end"/>
            </w:r>
          </w:hyperlink>
        </w:p>
        <w:p w14:paraId="1E5E9DBE" w14:textId="264418AB" w:rsidR="008D0328" w:rsidRDefault="00EA0D7C">
          <w:pPr>
            <w:pStyle w:val="TOC2"/>
            <w:rPr>
              <w:rFonts w:asciiTheme="minorHAnsi" w:eastAsiaTheme="minorEastAsia" w:hAnsiTheme="minorHAnsi" w:cstheme="minorBidi"/>
              <w:sz w:val="22"/>
              <w:szCs w:val="22"/>
            </w:rPr>
          </w:pPr>
          <w:hyperlink w:anchor="_Toc110444032" w:history="1">
            <w:r w:rsidR="008D0328" w:rsidRPr="00D17389">
              <w:rPr>
                <w:rStyle w:val="Hyperlink"/>
              </w:rPr>
              <w:t>2.1.</w:t>
            </w:r>
            <w:r w:rsidR="008D0328">
              <w:rPr>
                <w:rFonts w:asciiTheme="minorHAnsi" w:eastAsiaTheme="minorEastAsia" w:hAnsiTheme="minorHAnsi" w:cstheme="minorBidi"/>
                <w:sz w:val="22"/>
                <w:szCs w:val="22"/>
              </w:rPr>
              <w:tab/>
            </w:r>
            <w:r w:rsidR="008D0328" w:rsidRPr="00D17389">
              <w:rPr>
                <w:rStyle w:val="Hyperlink"/>
              </w:rPr>
              <w:t>Key acts adopted</w:t>
            </w:r>
            <w:r w:rsidR="008D0328">
              <w:rPr>
                <w:webHidden/>
              </w:rPr>
              <w:tab/>
            </w:r>
            <w:r w:rsidR="008D0328">
              <w:rPr>
                <w:webHidden/>
              </w:rPr>
              <w:fldChar w:fldCharType="begin"/>
            </w:r>
            <w:r w:rsidR="008D0328">
              <w:rPr>
                <w:webHidden/>
              </w:rPr>
              <w:instrText xml:space="preserve"> PAGEREF _Toc110444032 \h </w:instrText>
            </w:r>
            <w:r w:rsidR="008D0328">
              <w:rPr>
                <w:webHidden/>
              </w:rPr>
            </w:r>
            <w:r w:rsidR="008D0328">
              <w:rPr>
                <w:webHidden/>
              </w:rPr>
              <w:fldChar w:fldCharType="separate"/>
            </w:r>
            <w:r w:rsidR="00F963A8">
              <w:rPr>
                <w:webHidden/>
              </w:rPr>
              <w:t>8</w:t>
            </w:r>
            <w:r w:rsidR="008D0328">
              <w:rPr>
                <w:webHidden/>
              </w:rPr>
              <w:fldChar w:fldCharType="end"/>
            </w:r>
          </w:hyperlink>
        </w:p>
        <w:p w14:paraId="2ED63919" w14:textId="1D733197" w:rsidR="008D0328" w:rsidRDefault="00EA0D7C">
          <w:pPr>
            <w:pStyle w:val="TOC2"/>
            <w:rPr>
              <w:rFonts w:asciiTheme="minorHAnsi" w:eastAsiaTheme="minorEastAsia" w:hAnsiTheme="minorHAnsi" w:cstheme="minorBidi"/>
              <w:sz w:val="22"/>
              <w:szCs w:val="22"/>
            </w:rPr>
          </w:pPr>
          <w:hyperlink w:anchor="_Toc110444033" w:history="1">
            <w:r w:rsidR="008D0328" w:rsidRPr="00D17389">
              <w:rPr>
                <w:rStyle w:val="Hyperlink"/>
              </w:rPr>
              <w:t>2.2.</w:t>
            </w:r>
            <w:r w:rsidR="008D0328">
              <w:rPr>
                <w:rFonts w:asciiTheme="minorHAnsi" w:eastAsiaTheme="minorEastAsia" w:hAnsiTheme="minorHAnsi" w:cstheme="minorBidi"/>
                <w:sz w:val="22"/>
                <w:szCs w:val="22"/>
              </w:rPr>
              <w:tab/>
            </w:r>
            <w:r w:rsidR="008D0328" w:rsidRPr="00D17389">
              <w:rPr>
                <w:rStyle w:val="Hyperlink"/>
              </w:rPr>
              <w:t>Jurisprudence on PIF matters</w:t>
            </w:r>
            <w:r w:rsidR="008D0328">
              <w:rPr>
                <w:webHidden/>
              </w:rPr>
              <w:tab/>
            </w:r>
            <w:r w:rsidR="008D0328">
              <w:rPr>
                <w:webHidden/>
              </w:rPr>
              <w:fldChar w:fldCharType="begin"/>
            </w:r>
            <w:r w:rsidR="008D0328">
              <w:rPr>
                <w:webHidden/>
              </w:rPr>
              <w:instrText xml:space="preserve"> PAGEREF _Toc110444033 \h </w:instrText>
            </w:r>
            <w:r w:rsidR="008D0328">
              <w:rPr>
                <w:webHidden/>
              </w:rPr>
            </w:r>
            <w:r w:rsidR="008D0328">
              <w:rPr>
                <w:webHidden/>
              </w:rPr>
              <w:fldChar w:fldCharType="separate"/>
            </w:r>
            <w:r w:rsidR="00F963A8">
              <w:rPr>
                <w:webHidden/>
              </w:rPr>
              <w:t>9</w:t>
            </w:r>
            <w:r w:rsidR="008D0328">
              <w:rPr>
                <w:webHidden/>
              </w:rPr>
              <w:fldChar w:fldCharType="end"/>
            </w:r>
          </w:hyperlink>
        </w:p>
        <w:p w14:paraId="6B593AF6" w14:textId="67421CAF" w:rsidR="008D0328" w:rsidRDefault="00EA0D7C">
          <w:pPr>
            <w:pStyle w:val="TOC1"/>
            <w:rPr>
              <w:rFonts w:asciiTheme="minorHAnsi" w:eastAsiaTheme="minorEastAsia" w:hAnsiTheme="minorHAnsi" w:cstheme="minorBidi"/>
              <w:b w:val="0"/>
              <w:noProof/>
              <w:sz w:val="22"/>
              <w:szCs w:val="22"/>
            </w:rPr>
          </w:pPr>
          <w:hyperlink w:anchor="_Toc110444034" w:history="1">
            <w:r w:rsidR="008D0328" w:rsidRPr="00D17389">
              <w:rPr>
                <w:rStyle w:val="Hyperlink"/>
                <w:noProof/>
              </w:rPr>
              <w:t>3.</w:t>
            </w:r>
            <w:r w:rsidR="008D0328">
              <w:rPr>
                <w:rFonts w:asciiTheme="minorHAnsi" w:eastAsiaTheme="minorEastAsia" w:hAnsiTheme="minorHAnsi" w:cstheme="minorBidi"/>
                <w:b w:val="0"/>
                <w:noProof/>
                <w:sz w:val="22"/>
                <w:szCs w:val="22"/>
              </w:rPr>
              <w:tab/>
            </w:r>
            <w:r w:rsidR="008D0328" w:rsidRPr="00D17389">
              <w:rPr>
                <w:rStyle w:val="Hyperlink"/>
                <w:noProof/>
              </w:rPr>
              <w:t>The EU Anti-fraud architecture</w:t>
            </w:r>
            <w:r w:rsidR="008D0328">
              <w:rPr>
                <w:noProof/>
                <w:webHidden/>
              </w:rPr>
              <w:tab/>
            </w:r>
            <w:r w:rsidR="008D0328">
              <w:rPr>
                <w:noProof/>
                <w:webHidden/>
              </w:rPr>
              <w:fldChar w:fldCharType="begin"/>
            </w:r>
            <w:r w:rsidR="008D0328">
              <w:rPr>
                <w:noProof/>
                <w:webHidden/>
              </w:rPr>
              <w:instrText xml:space="preserve"> PAGEREF _Toc110444034 \h </w:instrText>
            </w:r>
            <w:r w:rsidR="008D0328">
              <w:rPr>
                <w:noProof/>
                <w:webHidden/>
              </w:rPr>
            </w:r>
            <w:r w:rsidR="008D0328">
              <w:rPr>
                <w:noProof/>
                <w:webHidden/>
              </w:rPr>
              <w:fldChar w:fldCharType="separate"/>
            </w:r>
            <w:r w:rsidR="00F963A8">
              <w:rPr>
                <w:noProof/>
                <w:webHidden/>
              </w:rPr>
              <w:t>10</w:t>
            </w:r>
            <w:r w:rsidR="008D0328">
              <w:rPr>
                <w:noProof/>
                <w:webHidden/>
              </w:rPr>
              <w:fldChar w:fldCharType="end"/>
            </w:r>
          </w:hyperlink>
        </w:p>
        <w:p w14:paraId="5937E920" w14:textId="6F12D67F" w:rsidR="008D0328" w:rsidRDefault="00EA0D7C">
          <w:pPr>
            <w:pStyle w:val="TOC2"/>
            <w:rPr>
              <w:rFonts w:asciiTheme="minorHAnsi" w:eastAsiaTheme="minorEastAsia" w:hAnsiTheme="minorHAnsi" w:cstheme="minorBidi"/>
              <w:sz w:val="22"/>
              <w:szCs w:val="22"/>
            </w:rPr>
          </w:pPr>
          <w:hyperlink w:anchor="_Toc110444035" w:history="1">
            <w:r w:rsidR="008D0328" w:rsidRPr="00D17389">
              <w:rPr>
                <w:rStyle w:val="Hyperlink"/>
              </w:rPr>
              <w:t>3.1.</w:t>
            </w:r>
            <w:r w:rsidR="008D0328">
              <w:rPr>
                <w:rFonts w:asciiTheme="minorHAnsi" w:eastAsiaTheme="minorEastAsia" w:hAnsiTheme="minorHAnsi" w:cstheme="minorBidi"/>
                <w:sz w:val="22"/>
                <w:szCs w:val="22"/>
              </w:rPr>
              <w:tab/>
            </w:r>
            <w:r w:rsidR="008D0328" w:rsidRPr="00D17389">
              <w:rPr>
                <w:rStyle w:val="Hyperlink"/>
              </w:rPr>
              <w:t>European level</w:t>
            </w:r>
            <w:r w:rsidR="008D0328">
              <w:rPr>
                <w:webHidden/>
              </w:rPr>
              <w:tab/>
            </w:r>
            <w:r w:rsidR="008D0328">
              <w:rPr>
                <w:webHidden/>
              </w:rPr>
              <w:fldChar w:fldCharType="begin"/>
            </w:r>
            <w:r w:rsidR="008D0328">
              <w:rPr>
                <w:webHidden/>
              </w:rPr>
              <w:instrText xml:space="preserve"> PAGEREF _Toc110444035 \h </w:instrText>
            </w:r>
            <w:r w:rsidR="008D0328">
              <w:rPr>
                <w:webHidden/>
              </w:rPr>
            </w:r>
            <w:r w:rsidR="008D0328">
              <w:rPr>
                <w:webHidden/>
              </w:rPr>
              <w:fldChar w:fldCharType="separate"/>
            </w:r>
            <w:r w:rsidR="00F963A8">
              <w:rPr>
                <w:webHidden/>
              </w:rPr>
              <w:t>11</w:t>
            </w:r>
            <w:r w:rsidR="008D0328">
              <w:rPr>
                <w:webHidden/>
              </w:rPr>
              <w:fldChar w:fldCharType="end"/>
            </w:r>
          </w:hyperlink>
        </w:p>
        <w:p w14:paraId="50F750E8" w14:textId="7A427C90" w:rsidR="008D0328" w:rsidRDefault="00EA0D7C">
          <w:pPr>
            <w:pStyle w:val="TOC3"/>
            <w:rPr>
              <w:rFonts w:asciiTheme="minorHAnsi" w:eastAsiaTheme="minorEastAsia" w:hAnsiTheme="minorHAnsi" w:cstheme="minorBidi"/>
              <w:noProof/>
              <w:sz w:val="22"/>
              <w:szCs w:val="22"/>
            </w:rPr>
          </w:pPr>
          <w:hyperlink w:anchor="_Toc110444036" w:history="1">
            <w:r w:rsidR="008D0328" w:rsidRPr="00D17389">
              <w:rPr>
                <w:rStyle w:val="Hyperlink"/>
                <w:noProof/>
              </w:rPr>
              <w:t>3.1.1.</w:t>
            </w:r>
            <w:r w:rsidR="008D0328">
              <w:rPr>
                <w:rFonts w:asciiTheme="minorHAnsi" w:eastAsiaTheme="minorEastAsia" w:hAnsiTheme="minorHAnsi" w:cstheme="minorBidi"/>
                <w:noProof/>
                <w:sz w:val="22"/>
                <w:szCs w:val="22"/>
              </w:rPr>
              <w:tab/>
            </w:r>
            <w:r w:rsidR="008D0328" w:rsidRPr="00D17389">
              <w:rPr>
                <w:rStyle w:val="Hyperlink"/>
                <w:noProof/>
              </w:rPr>
              <w:t>European Parliament</w:t>
            </w:r>
            <w:r w:rsidR="008D0328">
              <w:rPr>
                <w:noProof/>
                <w:webHidden/>
              </w:rPr>
              <w:tab/>
            </w:r>
            <w:r w:rsidR="008D0328">
              <w:rPr>
                <w:noProof/>
                <w:webHidden/>
              </w:rPr>
              <w:fldChar w:fldCharType="begin"/>
            </w:r>
            <w:r w:rsidR="008D0328">
              <w:rPr>
                <w:noProof/>
                <w:webHidden/>
              </w:rPr>
              <w:instrText xml:space="preserve"> PAGEREF _Toc110444036 \h </w:instrText>
            </w:r>
            <w:r w:rsidR="008D0328">
              <w:rPr>
                <w:noProof/>
                <w:webHidden/>
              </w:rPr>
            </w:r>
            <w:r w:rsidR="008D0328">
              <w:rPr>
                <w:noProof/>
                <w:webHidden/>
              </w:rPr>
              <w:fldChar w:fldCharType="separate"/>
            </w:r>
            <w:r w:rsidR="00F963A8">
              <w:rPr>
                <w:noProof/>
                <w:webHidden/>
              </w:rPr>
              <w:t>11</w:t>
            </w:r>
            <w:r w:rsidR="008D0328">
              <w:rPr>
                <w:noProof/>
                <w:webHidden/>
              </w:rPr>
              <w:fldChar w:fldCharType="end"/>
            </w:r>
          </w:hyperlink>
        </w:p>
        <w:p w14:paraId="3AE7BDC8" w14:textId="6E535391" w:rsidR="008D0328" w:rsidRDefault="00EA0D7C">
          <w:pPr>
            <w:pStyle w:val="TOC3"/>
            <w:rPr>
              <w:rFonts w:asciiTheme="minorHAnsi" w:eastAsiaTheme="minorEastAsia" w:hAnsiTheme="minorHAnsi" w:cstheme="minorBidi"/>
              <w:noProof/>
              <w:sz w:val="22"/>
              <w:szCs w:val="22"/>
            </w:rPr>
          </w:pPr>
          <w:hyperlink w:anchor="_Toc110444037" w:history="1">
            <w:r w:rsidR="008D0328" w:rsidRPr="00D17389">
              <w:rPr>
                <w:rStyle w:val="Hyperlink"/>
                <w:noProof/>
              </w:rPr>
              <w:t>3.1.2.</w:t>
            </w:r>
            <w:r w:rsidR="008D0328">
              <w:rPr>
                <w:rFonts w:asciiTheme="minorHAnsi" w:eastAsiaTheme="minorEastAsia" w:hAnsiTheme="minorHAnsi" w:cstheme="minorBidi"/>
                <w:noProof/>
                <w:sz w:val="22"/>
                <w:szCs w:val="22"/>
              </w:rPr>
              <w:tab/>
            </w:r>
            <w:r w:rsidR="008D0328" w:rsidRPr="00D17389">
              <w:rPr>
                <w:rStyle w:val="Hyperlink"/>
                <w:noProof/>
              </w:rPr>
              <w:t>Council</w:t>
            </w:r>
            <w:r w:rsidR="008D0328">
              <w:rPr>
                <w:noProof/>
                <w:webHidden/>
              </w:rPr>
              <w:tab/>
            </w:r>
            <w:r w:rsidR="008D0328">
              <w:rPr>
                <w:noProof/>
                <w:webHidden/>
              </w:rPr>
              <w:fldChar w:fldCharType="begin"/>
            </w:r>
            <w:r w:rsidR="008D0328">
              <w:rPr>
                <w:noProof/>
                <w:webHidden/>
              </w:rPr>
              <w:instrText xml:space="preserve"> PAGEREF _Toc110444037 \h </w:instrText>
            </w:r>
            <w:r w:rsidR="008D0328">
              <w:rPr>
                <w:noProof/>
                <w:webHidden/>
              </w:rPr>
            </w:r>
            <w:r w:rsidR="008D0328">
              <w:rPr>
                <w:noProof/>
                <w:webHidden/>
              </w:rPr>
              <w:fldChar w:fldCharType="separate"/>
            </w:r>
            <w:r w:rsidR="00F963A8">
              <w:rPr>
                <w:noProof/>
                <w:webHidden/>
              </w:rPr>
              <w:t>11</w:t>
            </w:r>
            <w:r w:rsidR="008D0328">
              <w:rPr>
                <w:noProof/>
                <w:webHidden/>
              </w:rPr>
              <w:fldChar w:fldCharType="end"/>
            </w:r>
          </w:hyperlink>
        </w:p>
        <w:p w14:paraId="676871E7" w14:textId="6753268B" w:rsidR="008D0328" w:rsidRDefault="00EA0D7C">
          <w:pPr>
            <w:pStyle w:val="TOC3"/>
            <w:rPr>
              <w:rFonts w:asciiTheme="minorHAnsi" w:eastAsiaTheme="minorEastAsia" w:hAnsiTheme="minorHAnsi" w:cstheme="minorBidi"/>
              <w:noProof/>
              <w:sz w:val="22"/>
              <w:szCs w:val="22"/>
            </w:rPr>
          </w:pPr>
          <w:hyperlink w:anchor="_Toc110444038" w:history="1">
            <w:r w:rsidR="008D0328" w:rsidRPr="00D17389">
              <w:rPr>
                <w:rStyle w:val="Hyperlink"/>
                <w:noProof/>
              </w:rPr>
              <w:t>3.1.3.</w:t>
            </w:r>
            <w:r w:rsidR="008D0328">
              <w:rPr>
                <w:rFonts w:asciiTheme="minorHAnsi" w:eastAsiaTheme="minorEastAsia" w:hAnsiTheme="minorHAnsi" w:cstheme="minorBidi"/>
                <w:noProof/>
                <w:sz w:val="22"/>
                <w:szCs w:val="22"/>
              </w:rPr>
              <w:tab/>
            </w:r>
            <w:r w:rsidR="008D0328" w:rsidRPr="00D17389">
              <w:rPr>
                <w:rStyle w:val="Hyperlink"/>
                <w:noProof/>
              </w:rPr>
              <w:t>European Commission</w:t>
            </w:r>
            <w:r w:rsidR="008D0328">
              <w:rPr>
                <w:noProof/>
                <w:webHidden/>
              </w:rPr>
              <w:tab/>
            </w:r>
            <w:r w:rsidR="008D0328">
              <w:rPr>
                <w:noProof/>
                <w:webHidden/>
              </w:rPr>
              <w:fldChar w:fldCharType="begin"/>
            </w:r>
            <w:r w:rsidR="008D0328">
              <w:rPr>
                <w:noProof/>
                <w:webHidden/>
              </w:rPr>
              <w:instrText xml:space="preserve"> PAGEREF _Toc110444038 \h </w:instrText>
            </w:r>
            <w:r w:rsidR="008D0328">
              <w:rPr>
                <w:noProof/>
                <w:webHidden/>
              </w:rPr>
            </w:r>
            <w:r w:rsidR="008D0328">
              <w:rPr>
                <w:noProof/>
                <w:webHidden/>
              </w:rPr>
              <w:fldChar w:fldCharType="separate"/>
            </w:r>
            <w:r w:rsidR="00F963A8">
              <w:rPr>
                <w:noProof/>
                <w:webHidden/>
              </w:rPr>
              <w:t>12</w:t>
            </w:r>
            <w:r w:rsidR="008D0328">
              <w:rPr>
                <w:noProof/>
                <w:webHidden/>
              </w:rPr>
              <w:fldChar w:fldCharType="end"/>
            </w:r>
          </w:hyperlink>
        </w:p>
        <w:p w14:paraId="2CE6995D" w14:textId="5968BCE3" w:rsidR="008D0328" w:rsidRDefault="00EA0D7C">
          <w:pPr>
            <w:pStyle w:val="TOC3"/>
            <w:rPr>
              <w:rFonts w:asciiTheme="minorHAnsi" w:eastAsiaTheme="minorEastAsia" w:hAnsiTheme="minorHAnsi" w:cstheme="minorBidi"/>
              <w:noProof/>
              <w:sz w:val="22"/>
              <w:szCs w:val="22"/>
            </w:rPr>
          </w:pPr>
          <w:hyperlink w:anchor="_Toc110444039" w:history="1">
            <w:r w:rsidR="008D0328" w:rsidRPr="00D17389">
              <w:rPr>
                <w:rStyle w:val="Hyperlink"/>
                <w:noProof/>
              </w:rPr>
              <w:t>3.1.4.</w:t>
            </w:r>
            <w:r w:rsidR="008D0328">
              <w:rPr>
                <w:rFonts w:asciiTheme="minorHAnsi" w:eastAsiaTheme="minorEastAsia" w:hAnsiTheme="minorHAnsi" w:cstheme="minorBidi"/>
                <w:noProof/>
                <w:sz w:val="22"/>
                <w:szCs w:val="22"/>
              </w:rPr>
              <w:tab/>
            </w:r>
            <w:r w:rsidR="008D0328" w:rsidRPr="00D17389">
              <w:rPr>
                <w:rStyle w:val="Hyperlink"/>
                <w:noProof/>
              </w:rPr>
              <w:t>European Anti-Fraud Office (OLAF)</w:t>
            </w:r>
            <w:r w:rsidR="008D0328">
              <w:rPr>
                <w:noProof/>
                <w:webHidden/>
              </w:rPr>
              <w:tab/>
            </w:r>
            <w:r w:rsidR="008D0328">
              <w:rPr>
                <w:noProof/>
                <w:webHidden/>
              </w:rPr>
              <w:fldChar w:fldCharType="begin"/>
            </w:r>
            <w:r w:rsidR="008D0328">
              <w:rPr>
                <w:noProof/>
                <w:webHidden/>
              </w:rPr>
              <w:instrText xml:space="preserve"> PAGEREF _Toc110444039 \h </w:instrText>
            </w:r>
            <w:r w:rsidR="008D0328">
              <w:rPr>
                <w:noProof/>
                <w:webHidden/>
              </w:rPr>
            </w:r>
            <w:r w:rsidR="008D0328">
              <w:rPr>
                <w:noProof/>
                <w:webHidden/>
              </w:rPr>
              <w:fldChar w:fldCharType="separate"/>
            </w:r>
            <w:r w:rsidR="00F963A8">
              <w:rPr>
                <w:noProof/>
                <w:webHidden/>
              </w:rPr>
              <w:t>13</w:t>
            </w:r>
            <w:r w:rsidR="008D0328">
              <w:rPr>
                <w:noProof/>
                <w:webHidden/>
              </w:rPr>
              <w:fldChar w:fldCharType="end"/>
            </w:r>
          </w:hyperlink>
        </w:p>
        <w:p w14:paraId="25965496" w14:textId="0DB9D465" w:rsidR="008D0328" w:rsidRDefault="00EA0D7C">
          <w:pPr>
            <w:pStyle w:val="TOC3"/>
            <w:rPr>
              <w:rFonts w:asciiTheme="minorHAnsi" w:eastAsiaTheme="minorEastAsia" w:hAnsiTheme="minorHAnsi" w:cstheme="minorBidi"/>
              <w:noProof/>
              <w:sz w:val="22"/>
              <w:szCs w:val="22"/>
            </w:rPr>
          </w:pPr>
          <w:hyperlink w:anchor="_Toc110444040" w:history="1">
            <w:r w:rsidR="008D0328" w:rsidRPr="00D17389">
              <w:rPr>
                <w:rStyle w:val="Hyperlink"/>
                <w:noProof/>
              </w:rPr>
              <w:t>3.1.5.</w:t>
            </w:r>
            <w:r w:rsidR="008D0328">
              <w:rPr>
                <w:rFonts w:asciiTheme="minorHAnsi" w:eastAsiaTheme="minorEastAsia" w:hAnsiTheme="minorHAnsi" w:cstheme="minorBidi"/>
                <w:noProof/>
                <w:sz w:val="22"/>
                <w:szCs w:val="22"/>
              </w:rPr>
              <w:tab/>
            </w:r>
            <w:r w:rsidR="008D0328" w:rsidRPr="00D17389">
              <w:rPr>
                <w:rStyle w:val="Hyperlink"/>
                <w:noProof/>
              </w:rPr>
              <w:t>European Public Prosecutor’s Office (EPPO)</w:t>
            </w:r>
            <w:r w:rsidR="008D0328">
              <w:rPr>
                <w:noProof/>
                <w:webHidden/>
              </w:rPr>
              <w:tab/>
            </w:r>
            <w:r w:rsidR="008D0328">
              <w:rPr>
                <w:noProof/>
                <w:webHidden/>
              </w:rPr>
              <w:fldChar w:fldCharType="begin"/>
            </w:r>
            <w:r w:rsidR="008D0328">
              <w:rPr>
                <w:noProof/>
                <w:webHidden/>
              </w:rPr>
              <w:instrText xml:space="preserve"> PAGEREF _Toc110444040 \h </w:instrText>
            </w:r>
            <w:r w:rsidR="008D0328">
              <w:rPr>
                <w:noProof/>
                <w:webHidden/>
              </w:rPr>
            </w:r>
            <w:r w:rsidR="008D0328">
              <w:rPr>
                <w:noProof/>
                <w:webHidden/>
              </w:rPr>
              <w:fldChar w:fldCharType="separate"/>
            </w:r>
            <w:r w:rsidR="00F963A8">
              <w:rPr>
                <w:noProof/>
                <w:webHidden/>
              </w:rPr>
              <w:t>13</w:t>
            </w:r>
            <w:r w:rsidR="008D0328">
              <w:rPr>
                <w:noProof/>
                <w:webHidden/>
              </w:rPr>
              <w:fldChar w:fldCharType="end"/>
            </w:r>
          </w:hyperlink>
        </w:p>
        <w:p w14:paraId="1337C321" w14:textId="2D15DDC4" w:rsidR="008D0328" w:rsidRDefault="00EA0D7C">
          <w:pPr>
            <w:pStyle w:val="TOC3"/>
            <w:rPr>
              <w:rFonts w:asciiTheme="minorHAnsi" w:eastAsiaTheme="minorEastAsia" w:hAnsiTheme="minorHAnsi" w:cstheme="minorBidi"/>
              <w:noProof/>
              <w:sz w:val="22"/>
              <w:szCs w:val="22"/>
            </w:rPr>
          </w:pPr>
          <w:hyperlink w:anchor="_Toc110444041" w:history="1">
            <w:r w:rsidR="008D0328" w:rsidRPr="00D17389">
              <w:rPr>
                <w:rStyle w:val="Hyperlink"/>
                <w:noProof/>
              </w:rPr>
              <w:t>3.1.6.</w:t>
            </w:r>
            <w:r w:rsidR="008D0328">
              <w:rPr>
                <w:rFonts w:asciiTheme="minorHAnsi" w:eastAsiaTheme="minorEastAsia" w:hAnsiTheme="minorHAnsi" w:cstheme="minorBidi"/>
                <w:noProof/>
                <w:sz w:val="22"/>
                <w:szCs w:val="22"/>
              </w:rPr>
              <w:tab/>
            </w:r>
            <w:r w:rsidR="008D0328" w:rsidRPr="00D17389">
              <w:rPr>
                <w:rStyle w:val="Hyperlink"/>
                <w:noProof/>
              </w:rPr>
              <w:t>European Court of Auditors (ECA)</w:t>
            </w:r>
            <w:r w:rsidR="008D0328">
              <w:rPr>
                <w:noProof/>
                <w:webHidden/>
              </w:rPr>
              <w:tab/>
            </w:r>
            <w:r w:rsidR="008D0328">
              <w:rPr>
                <w:noProof/>
                <w:webHidden/>
              </w:rPr>
              <w:fldChar w:fldCharType="begin"/>
            </w:r>
            <w:r w:rsidR="008D0328">
              <w:rPr>
                <w:noProof/>
                <w:webHidden/>
              </w:rPr>
              <w:instrText xml:space="preserve"> PAGEREF _Toc110444041 \h </w:instrText>
            </w:r>
            <w:r w:rsidR="008D0328">
              <w:rPr>
                <w:noProof/>
                <w:webHidden/>
              </w:rPr>
            </w:r>
            <w:r w:rsidR="008D0328">
              <w:rPr>
                <w:noProof/>
                <w:webHidden/>
              </w:rPr>
              <w:fldChar w:fldCharType="separate"/>
            </w:r>
            <w:r w:rsidR="00F963A8">
              <w:rPr>
                <w:noProof/>
                <w:webHidden/>
              </w:rPr>
              <w:t>14</w:t>
            </w:r>
            <w:r w:rsidR="008D0328">
              <w:rPr>
                <w:noProof/>
                <w:webHidden/>
              </w:rPr>
              <w:fldChar w:fldCharType="end"/>
            </w:r>
          </w:hyperlink>
        </w:p>
        <w:p w14:paraId="5D458B26" w14:textId="3AE96F16" w:rsidR="008D0328" w:rsidRDefault="00EA0D7C">
          <w:pPr>
            <w:pStyle w:val="TOC3"/>
            <w:rPr>
              <w:rFonts w:asciiTheme="minorHAnsi" w:eastAsiaTheme="minorEastAsia" w:hAnsiTheme="minorHAnsi" w:cstheme="minorBidi"/>
              <w:noProof/>
              <w:sz w:val="22"/>
              <w:szCs w:val="22"/>
            </w:rPr>
          </w:pPr>
          <w:hyperlink w:anchor="_Toc110444042" w:history="1">
            <w:r w:rsidR="008D0328" w:rsidRPr="00D17389">
              <w:rPr>
                <w:rStyle w:val="Hyperlink"/>
                <w:noProof/>
              </w:rPr>
              <w:t>3.1.7.</w:t>
            </w:r>
            <w:r w:rsidR="008D0328">
              <w:rPr>
                <w:rFonts w:asciiTheme="minorHAnsi" w:eastAsiaTheme="minorEastAsia" w:hAnsiTheme="minorHAnsi" w:cstheme="minorBidi"/>
                <w:noProof/>
                <w:sz w:val="22"/>
                <w:szCs w:val="22"/>
              </w:rPr>
              <w:tab/>
            </w:r>
            <w:r w:rsidR="008D0328" w:rsidRPr="00D17389">
              <w:rPr>
                <w:rStyle w:val="Hyperlink"/>
                <w:noProof/>
              </w:rPr>
              <w:t>Eurojust</w:t>
            </w:r>
            <w:r w:rsidR="008D0328">
              <w:rPr>
                <w:noProof/>
                <w:webHidden/>
              </w:rPr>
              <w:tab/>
            </w:r>
            <w:r w:rsidR="008D0328">
              <w:rPr>
                <w:noProof/>
                <w:webHidden/>
              </w:rPr>
              <w:fldChar w:fldCharType="begin"/>
            </w:r>
            <w:r w:rsidR="008D0328">
              <w:rPr>
                <w:noProof/>
                <w:webHidden/>
              </w:rPr>
              <w:instrText xml:space="preserve"> PAGEREF _Toc110444042 \h </w:instrText>
            </w:r>
            <w:r w:rsidR="008D0328">
              <w:rPr>
                <w:noProof/>
                <w:webHidden/>
              </w:rPr>
            </w:r>
            <w:r w:rsidR="008D0328">
              <w:rPr>
                <w:noProof/>
                <w:webHidden/>
              </w:rPr>
              <w:fldChar w:fldCharType="separate"/>
            </w:r>
            <w:r w:rsidR="00F963A8">
              <w:rPr>
                <w:noProof/>
                <w:webHidden/>
              </w:rPr>
              <w:t>15</w:t>
            </w:r>
            <w:r w:rsidR="008D0328">
              <w:rPr>
                <w:noProof/>
                <w:webHidden/>
              </w:rPr>
              <w:fldChar w:fldCharType="end"/>
            </w:r>
          </w:hyperlink>
        </w:p>
        <w:p w14:paraId="4FF8198E" w14:textId="28577264" w:rsidR="008D0328" w:rsidRDefault="00EA0D7C">
          <w:pPr>
            <w:pStyle w:val="TOC3"/>
            <w:rPr>
              <w:rFonts w:asciiTheme="minorHAnsi" w:eastAsiaTheme="minorEastAsia" w:hAnsiTheme="minorHAnsi" w:cstheme="minorBidi"/>
              <w:noProof/>
              <w:sz w:val="22"/>
              <w:szCs w:val="22"/>
            </w:rPr>
          </w:pPr>
          <w:hyperlink w:anchor="_Toc110444043" w:history="1">
            <w:r w:rsidR="008D0328" w:rsidRPr="00D17389">
              <w:rPr>
                <w:rStyle w:val="Hyperlink"/>
                <w:noProof/>
              </w:rPr>
              <w:t>3.1.8.</w:t>
            </w:r>
            <w:r w:rsidR="008D0328">
              <w:rPr>
                <w:rFonts w:asciiTheme="minorHAnsi" w:eastAsiaTheme="minorEastAsia" w:hAnsiTheme="minorHAnsi" w:cstheme="minorBidi"/>
                <w:noProof/>
                <w:sz w:val="22"/>
                <w:szCs w:val="22"/>
              </w:rPr>
              <w:tab/>
            </w:r>
            <w:r w:rsidR="008D0328" w:rsidRPr="00D17389">
              <w:rPr>
                <w:rStyle w:val="Hyperlink"/>
                <w:noProof/>
              </w:rPr>
              <w:t>Europol</w:t>
            </w:r>
            <w:r w:rsidR="008D0328">
              <w:rPr>
                <w:noProof/>
                <w:webHidden/>
              </w:rPr>
              <w:tab/>
            </w:r>
            <w:r w:rsidR="008D0328">
              <w:rPr>
                <w:noProof/>
                <w:webHidden/>
              </w:rPr>
              <w:fldChar w:fldCharType="begin"/>
            </w:r>
            <w:r w:rsidR="008D0328">
              <w:rPr>
                <w:noProof/>
                <w:webHidden/>
              </w:rPr>
              <w:instrText xml:space="preserve"> PAGEREF _Toc110444043 \h </w:instrText>
            </w:r>
            <w:r w:rsidR="008D0328">
              <w:rPr>
                <w:noProof/>
                <w:webHidden/>
              </w:rPr>
            </w:r>
            <w:r w:rsidR="008D0328">
              <w:rPr>
                <w:noProof/>
                <w:webHidden/>
              </w:rPr>
              <w:fldChar w:fldCharType="separate"/>
            </w:r>
            <w:r w:rsidR="00F963A8">
              <w:rPr>
                <w:noProof/>
                <w:webHidden/>
              </w:rPr>
              <w:t>15</w:t>
            </w:r>
            <w:r w:rsidR="008D0328">
              <w:rPr>
                <w:noProof/>
                <w:webHidden/>
              </w:rPr>
              <w:fldChar w:fldCharType="end"/>
            </w:r>
          </w:hyperlink>
        </w:p>
        <w:p w14:paraId="7BF933E0" w14:textId="3DCC202C" w:rsidR="008D0328" w:rsidRDefault="00EA0D7C">
          <w:pPr>
            <w:pStyle w:val="TOC2"/>
            <w:rPr>
              <w:rFonts w:asciiTheme="minorHAnsi" w:eastAsiaTheme="minorEastAsia" w:hAnsiTheme="minorHAnsi" w:cstheme="minorBidi"/>
              <w:sz w:val="22"/>
              <w:szCs w:val="22"/>
            </w:rPr>
          </w:pPr>
          <w:hyperlink w:anchor="_Toc110444044" w:history="1">
            <w:r w:rsidR="008D0328" w:rsidRPr="00D17389">
              <w:rPr>
                <w:rStyle w:val="Hyperlink"/>
              </w:rPr>
              <w:t>3.2.</w:t>
            </w:r>
            <w:r w:rsidR="008D0328">
              <w:rPr>
                <w:rFonts w:asciiTheme="minorHAnsi" w:eastAsiaTheme="minorEastAsia" w:hAnsiTheme="minorHAnsi" w:cstheme="minorBidi"/>
                <w:sz w:val="22"/>
                <w:szCs w:val="22"/>
              </w:rPr>
              <w:tab/>
            </w:r>
            <w:r w:rsidR="008D0328" w:rsidRPr="00D17389">
              <w:rPr>
                <w:rStyle w:val="Hyperlink"/>
              </w:rPr>
              <w:t>Member State level</w:t>
            </w:r>
            <w:r w:rsidR="008D0328">
              <w:rPr>
                <w:webHidden/>
              </w:rPr>
              <w:tab/>
            </w:r>
            <w:r w:rsidR="008D0328">
              <w:rPr>
                <w:webHidden/>
              </w:rPr>
              <w:fldChar w:fldCharType="begin"/>
            </w:r>
            <w:r w:rsidR="008D0328">
              <w:rPr>
                <w:webHidden/>
              </w:rPr>
              <w:instrText xml:space="preserve"> PAGEREF _Toc110444044 \h </w:instrText>
            </w:r>
            <w:r w:rsidR="008D0328">
              <w:rPr>
                <w:webHidden/>
              </w:rPr>
            </w:r>
            <w:r w:rsidR="008D0328">
              <w:rPr>
                <w:webHidden/>
              </w:rPr>
              <w:fldChar w:fldCharType="separate"/>
            </w:r>
            <w:r w:rsidR="00F963A8">
              <w:rPr>
                <w:webHidden/>
              </w:rPr>
              <w:t>16</w:t>
            </w:r>
            <w:r w:rsidR="008D0328">
              <w:rPr>
                <w:webHidden/>
              </w:rPr>
              <w:fldChar w:fldCharType="end"/>
            </w:r>
          </w:hyperlink>
        </w:p>
        <w:p w14:paraId="224809AB" w14:textId="5AFB1A84" w:rsidR="008D0328" w:rsidRDefault="00EA0D7C">
          <w:pPr>
            <w:pStyle w:val="TOC3"/>
            <w:rPr>
              <w:rFonts w:asciiTheme="minorHAnsi" w:eastAsiaTheme="minorEastAsia" w:hAnsiTheme="minorHAnsi" w:cstheme="minorBidi"/>
              <w:noProof/>
              <w:sz w:val="22"/>
              <w:szCs w:val="22"/>
            </w:rPr>
          </w:pPr>
          <w:hyperlink w:anchor="_Toc110444045" w:history="1">
            <w:r w:rsidR="008D0328" w:rsidRPr="00D17389">
              <w:rPr>
                <w:rStyle w:val="Hyperlink"/>
                <w:noProof/>
              </w:rPr>
              <w:t>3.2.1.</w:t>
            </w:r>
            <w:r w:rsidR="008D0328">
              <w:rPr>
                <w:rFonts w:asciiTheme="minorHAnsi" w:eastAsiaTheme="minorEastAsia" w:hAnsiTheme="minorHAnsi" w:cstheme="minorBidi"/>
                <w:noProof/>
                <w:sz w:val="22"/>
                <w:szCs w:val="22"/>
              </w:rPr>
              <w:tab/>
            </w:r>
            <w:r w:rsidR="008D0328" w:rsidRPr="00D17389">
              <w:rPr>
                <w:rStyle w:val="Hyperlink"/>
                <w:noProof/>
              </w:rPr>
              <w:t>Anti-fraud Coordination Services (AFCOS)</w:t>
            </w:r>
            <w:r w:rsidR="008D0328">
              <w:rPr>
                <w:noProof/>
                <w:webHidden/>
              </w:rPr>
              <w:tab/>
            </w:r>
            <w:r w:rsidR="008D0328">
              <w:rPr>
                <w:noProof/>
                <w:webHidden/>
              </w:rPr>
              <w:fldChar w:fldCharType="begin"/>
            </w:r>
            <w:r w:rsidR="008D0328">
              <w:rPr>
                <w:noProof/>
                <w:webHidden/>
              </w:rPr>
              <w:instrText xml:space="preserve"> PAGEREF _Toc110444045 \h </w:instrText>
            </w:r>
            <w:r w:rsidR="008D0328">
              <w:rPr>
                <w:noProof/>
                <w:webHidden/>
              </w:rPr>
            </w:r>
            <w:r w:rsidR="008D0328">
              <w:rPr>
                <w:noProof/>
                <w:webHidden/>
              </w:rPr>
              <w:fldChar w:fldCharType="separate"/>
            </w:r>
            <w:r w:rsidR="00F963A8">
              <w:rPr>
                <w:noProof/>
                <w:webHidden/>
              </w:rPr>
              <w:t>16</w:t>
            </w:r>
            <w:r w:rsidR="008D0328">
              <w:rPr>
                <w:noProof/>
                <w:webHidden/>
              </w:rPr>
              <w:fldChar w:fldCharType="end"/>
            </w:r>
          </w:hyperlink>
        </w:p>
        <w:p w14:paraId="40A7B12C" w14:textId="6E350E52" w:rsidR="008D0328" w:rsidRDefault="00EA0D7C">
          <w:pPr>
            <w:pStyle w:val="TOC3"/>
            <w:rPr>
              <w:rFonts w:asciiTheme="minorHAnsi" w:eastAsiaTheme="minorEastAsia" w:hAnsiTheme="minorHAnsi" w:cstheme="minorBidi"/>
              <w:noProof/>
              <w:sz w:val="22"/>
              <w:szCs w:val="22"/>
            </w:rPr>
          </w:pPr>
          <w:hyperlink w:anchor="_Toc110444046" w:history="1">
            <w:r w:rsidR="008D0328" w:rsidRPr="00D17389">
              <w:rPr>
                <w:rStyle w:val="Hyperlink"/>
                <w:noProof/>
              </w:rPr>
              <w:t>3.2.2.</w:t>
            </w:r>
            <w:r w:rsidR="008D0328">
              <w:rPr>
                <w:rFonts w:asciiTheme="minorHAnsi" w:eastAsiaTheme="minorEastAsia" w:hAnsiTheme="minorHAnsi" w:cstheme="minorBidi"/>
                <w:noProof/>
                <w:sz w:val="22"/>
                <w:szCs w:val="22"/>
              </w:rPr>
              <w:tab/>
            </w:r>
            <w:r w:rsidR="008D0328" w:rsidRPr="00D17389">
              <w:rPr>
                <w:rStyle w:val="Hyperlink"/>
                <w:noProof/>
              </w:rPr>
              <w:t>National Anti-Fraud Strategies (NAFS)</w:t>
            </w:r>
            <w:r w:rsidR="008D0328">
              <w:rPr>
                <w:noProof/>
                <w:webHidden/>
              </w:rPr>
              <w:tab/>
            </w:r>
            <w:r w:rsidR="008D0328">
              <w:rPr>
                <w:noProof/>
                <w:webHidden/>
              </w:rPr>
              <w:fldChar w:fldCharType="begin"/>
            </w:r>
            <w:r w:rsidR="008D0328">
              <w:rPr>
                <w:noProof/>
                <w:webHidden/>
              </w:rPr>
              <w:instrText xml:space="preserve"> PAGEREF _Toc110444046 \h </w:instrText>
            </w:r>
            <w:r w:rsidR="008D0328">
              <w:rPr>
                <w:noProof/>
                <w:webHidden/>
              </w:rPr>
            </w:r>
            <w:r w:rsidR="008D0328">
              <w:rPr>
                <w:noProof/>
                <w:webHidden/>
              </w:rPr>
              <w:fldChar w:fldCharType="separate"/>
            </w:r>
            <w:r w:rsidR="00F963A8">
              <w:rPr>
                <w:noProof/>
                <w:webHidden/>
              </w:rPr>
              <w:t>16</w:t>
            </w:r>
            <w:r w:rsidR="008D0328">
              <w:rPr>
                <w:noProof/>
                <w:webHidden/>
              </w:rPr>
              <w:fldChar w:fldCharType="end"/>
            </w:r>
          </w:hyperlink>
        </w:p>
        <w:p w14:paraId="7C44CCD5" w14:textId="04734DDD" w:rsidR="008D0328" w:rsidRDefault="00EA0D7C">
          <w:pPr>
            <w:pStyle w:val="TOC3"/>
            <w:rPr>
              <w:rFonts w:asciiTheme="minorHAnsi" w:eastAsiaTheme="minorEastAsia" w:hAnsiTheme="minorHAnsi" w:cstheme="minorBidi"/>
              <w:noProof/>
              <w:sz w:val="22"/>
              <w:szCs w:val="22"/>
            </w:rPr>
          </w:pPr>
          <w:hyperlink w:anchor="_Toc110444047" w:history="1">
            <w:r w:rsidR="008D0328" w:rsidRPr="00D17389">
              <w:rPr>
                <w:rStyle w:val="Hyperlink"/>
                <w:noProof/>
              </w:rPr>
              <w:t>3.2.3.</w:t>
            </w:r>
            <w:r w:rsidR="008D0328">
              <w:rPr>
                <w:rFonts w:asciiTheme="minorHAnsi" w:eastAsiaTheme="minorEastAsia" w:hAnsiTheme="minorHAnsi" w:cstheme="minorBidi"/>
                <w:noProof/>
                <w:sz w:val="22"/>
                <w:szCs w:val="22"/>
              </w:rPr>
              <w:tab/>
            </w:r>
            <w:r w:rsidR="008D0328" w:rsidRPr="00D17389">
              <w:rPr>
                <w:rStyle w:val="Hyperlink"/>
                <w:noProof/>
              </w:rPr>
              <w:t>Implementation of the 2020 recommendations by the Member States</w:t>
            </w:r>
            <w:r w:rsidR="008D0328">
              <w:rPr>
                <w:noProof/>
                <w:webHidden/>
              </w:rPr>
              <w:tab/>
            </w:r>
            <w:r w:rsidR="008D0328">
              <w:rPr>
                <w:noProof/>
                <w:webHidden/>
              </w:rPr>
              <w:fldChar w:fldCharType="begin"/>
            </w:r>
            <w:r w:rsidR="008D0328">
              <w:rPr>
                <w:noProof/>
                <w:webHidden/>
              </w:rPr>
              <w:instrText xml:space="preserve"> PAGEREF _Toc110444047 \h </w:instrText>
            </w:r>
            <w:r w:rsidR="008D0328">
              <w:rPr>
                <w:noProof/>
                <w:webHidden/>
              </w:rPr>
            </w:r>
            <w:r w:rsidR="008D0328">
              <w:rPr>
                <w:noProof/>
                <w:webHidden/>
              </w:rPr>
              <w:fldChar w:fldCharType="separate"/>
            </w:r>
            <w:r w:rsidR="00F963A8">
              <w:rPr>
                <w:noProof/>
                <w:webHidden/>
              </w:rPr>
              <w:t>17</w:t>
            </w:r>
            <w:r w:rsidR="008D0328">
              <w:rPr>
                <w:noProof/>
                <w:webHidden/>
              </w:rPr>
              <w:fldChar w:fldCharType="end"/>
            </w:r>
          </w:hyperlink>
        </w:p>
        <w:p w14:paraId="7672FE23" w14:textId="567EC451" w:rsidR="008D0328" w:rsidRDefault="00EA0D7C">
          <w:pPr>
            <w:pStyle w:val="TOC1"/>
            <w:rPr>
              <w:rFonts w:asciiTheme="minorHAnsi" w:eastAsiaTheme="minorEastAsia" w:hAnsiTheme="minorHAnsi" w:cstheme="minorBidi"/>
              <w:b w:val="0"/>
              <w:noProof/>
              <w:sz w:val="22"/>
              <w:szCs w:val="22"/>
            </w:rPr>
          </w:pPr>
          <w:hyperlink w:anchor="_Toc110444048" w:history="1">
            <w:r w:rsidR="008D0328" w:rsidRPr="00D17389">
              <w:rPr>
                <w:rStyle w:val="Hyperlink"/>
                <w:noProof/>
              </w:rPr>
              <w:t>4.</w:t>
            </w:r>
            <w:r w:rsidR="008D0328">
              <w:rPr>
                <w:rFonts w:asciiTheme="minorHAnsi" w:eastAsiaTheme="minorEastAsia" w:hAnsiTheme="minorHAnsi" w:cstheme="minorBidi"/>
                <w:b w:val="0"/>
                <w:noProof/>
                <w:sz w:val="22"/>
                <w:szCs w:val="22"/>
              </w:rPr>
              <w:tab/>
            </w:r>
            <w:r w:rsidR="008D0328" w:rsidRPr="00D17389">
              <w:rPr>
                <w:rStyle w:val="Hyperlink"/>
                <w:noProof/>
              </w:rPr>
              <w:t>Anti-fraud cooperation</w:t>
            </w:r>
            <w:r w:rsidR="008D0328">
              <w:rPr>
                <w:noProof/>
                <w:webHidden/>
              </w:rPr>
              <w:tab/>
            </w:r>
            <w:r w:rsidR="008D0328">
              <w:rPr>
                <w:noProof/>
                <w:webHidden/>
              </w:rPr>
              <w:fldChar w:fldCharType="begin"/>
            </w:r>
            <w:r w:rsidR="008D0328">
              <w:rPr>
                <w:noProof/>
                <w:webHidden/>
              </w:rPr>
              <w:instrText xml:space="preserve"> PAGEREF _Toc110444048 \h </w:instrText>
            </w:r>
            <w:r w:rsidR="008D0328">
              <w:rPr>
                <w:noProof/>
                <w:webHidden/>
              </w:rPr>
            </w:r>
            <w:r w:rsidR="008D0328">
              <w:rPr>
                <w:noProof/>
                <w:webHidden/>
              </w:rPr>
              <w:fldChar w:fldCharType="separate"/>
            </w:r>
            <w:r w:rsidR="00F963A8">
              <w:rPr>
                <w:noProof/>
                <w:webHidden/>
              </w:rPr>
              <w:t>19</w:t>
            </w:r>
            <w:r w:rsidR="008D0328">
              <w:rPr>
                <w:noProof/>
                <w:webHidden/>
              </w:rPr>
              <w:fldChar w:fldCharType="end"/>
            </w:r>
          </w:hyperlink>
        </w:p>
        <w:p w14:paraId="348C812C" w14:textId="583E37A2" w:rsidR="008D0328" w:rsidRDefault="00EA0D7C">
          <w:pPr>
            <w:pStyle w:val="TOC2"/>
            <w:rPr>
              <w:rFonts w:asciiTheme="minorHAnsi" w:eastAsiaTheme="minorEastAsia" w:hAnsiTheme="minorHAnsi" w:cstheme="minorBidi"/>
              <w:sz w:val="22"/>
              <w:szCs w:val="22"/>
            </w:rPr>
          </w:pPr>
          <w:hyperlink w:anchor="_Toc110444049" w:history="1">
            <w:r w:rsidR="008D0328" w:rsidRPr="00D17389">
              <w:rPr>
                <w:rStyle w:val="Hyperlink"/>
              </w:rPr>
              <w:t>4.1.</w:t>
            </w:r>
            <w:r w:rsidR="008D0328">
              <w:rPr>
                <w:rFonts w:asciiTheme="minorHAnsi" w:eastAsiaTheme="minorEastAsia" w:hAnsiTheme="minorHAnsi" w:cstheme="minorBidi"/>
                <w:sz w:val="22"/>
                <w:szCs w:val="22"/>
              </w:rPr>
              <w:tab/>
            </w:r>
            <w:r w:rsidR="008D0328" w:rsidRPr="00D17389">
              <w:rPr>
                <w:rStyle w:val="Hyperlink"/>
              </w:rPr>
              <w:t>International cooperation</w:t>
            </w:r>
            <w:r w:rsidR="008D0328">
              <w:rPr>
                <w:webHidden/>
              </w:rPr>
              <w:tab/>
            </w:r>
            <w:r w:rsidR="008D0328">
              <w:rPr>
                <w:webHidden/>
              </w:rPr>
              <w:fldChar w:fldCharType="begin"/>
            </w:r>
            <w:r w:rsidR="008D0328">
              <w:rPr>
                <w:webHidden/>
              </w:rPr>
              <w:instrText xml:space="preserve"> PAGEREF _Toc110444049 \h </w:instrText>
            </w:r>
            <w:r w:rsidR="008D0328">
              <w:rPr>
                <w:webHidden/>
              </w:rPr>
            </w:r>
            <w:r w:rsidR="008D0328">
              <w:rPr>
                <w:webHidden/>
              </w:rPr>
              <w:fldChar w:fldCharType="separate"/>
            </w:r>
            <w:r w:rsidR="00F963A8">
              <w:rPr>
                <w:webHidden/>
              </w:rPr>
              <w:t>19</w:t>
            </w:r>
            <w:r w:rsidR="008D0328">
              <w:rPr>
                <w:webHidden/>
              </w:rPr>
              <w:fldChar w:fldCharType="end"/>
            </w:r>
          </w:hyperlink>
        </w:p>
        <w:p w14:paraId="0D444396" w14:textId="65E92461" w:rsidR="008D0328" w:rsidRDefault="00EA0D7C">
          <w:pPr>
            <w:pStyle w:val="TOC3"/>
            <w:rPr>
              <w:rFonts w:asciiTheme="minorHAnsi" w:eastAsiaTheme="minorEastAsia" w:hAnsiTheme="minorHAnsi" w:cstheme="minorBidi"/>
              <w:noProof/>
              <w:sz w:val="22"/>
              <w:szCs w:val="22"/>
            </w:rPr>
          </w:pPr>
          <w:hyperlink w:anchor="_Toc110444050" w:history="1">
            <w:r w:rsidR="008D0328" w:rsidRPr="00D17389">
              <w:rPr>
                <w:rStyle w:val="Hyperlink"/>
                <w:noProof/>
              </w:rPr>
              <w:t>4.1.1.</w:t>
            </w:r>
            <w:r w:rsidR="008D0328">
              <w:rPr>
                <w:rFonts w:asciiTheme="minorHAnsi" w:eastAsiaTheme="minorEastAsia" w:hAnsiTheme="minorHAnsi" w:cstheme="minorBidi"/>
                <w:noProof/>
                <w:sz w:val="22"/>
                <w:szCs w:val="22"/>
              </w:rPr>
              <w:tab/>
            </w:r>
            <w:r w:rsidR="008D0328" w:rsidRPr="00D17389">
              <w:rPr>
                <w:rStyle w:val="Hyperlink"/>
                <w:noProof/>
              </w:rPr>
              <w:t>Cooperation with non-EU countries and mutual assistance and anti-fraud provisions in international agreements</w:t>
            </w:r>
            <w:r w:rsidR="008D0328">
              <w:rPr>
                <w:noProof/>
                <w:webHidden/>
              </w:rPr>
              <w:tab/>
            </w:r>
            <w:r w:rsidR="008D0328">
              <w:rPr>
                <w:noProof/>
                <w:webHidden/>
              </w:rPr>
              <w:fldChar w:fldCharType="begin"/>
            </w:r>
            <w:r w:rsidR="008D0328">
              <w:rPr>
                <w:noProof/>
                <w:webHidden/>
              </w:rPr>
              <w:instrText xml:space="preserve"> PAGEREF _Toc110444050 \h </w:instrText>
            </w:r>
            <w:r w:rsidR="008D0328">
              <w:rPr>
                <w:noProof/>
                <w:webHidden/>
              </w:rPr>
            </w:r>
            <w:r w:rsidR="008D0328">
              <w:rPr>
                <w:noProof/>
                <w:webHidden/>
              </w:rPr>
              <w:fldChar w:fldCharType="separate"/>
            </w:r>
            <w:r w:rsidR="00F963A8">
              <w:rPr>
                <w:noProof/>
                <w:webHidden/>
              </w:rPr>
              <w:t>19</w:t>
            </w:r>
            <w:r w:rsidR="008D0328">
              <w:rPr>
                <w:noProof/>
                <w:webHidden/>
              </w:rPr>
              <w:fldChar w:fldCharType="end"/>
            </w:r>
          </w:hyperlink>
        </w:p>
        <w:p w14:paraId="0EE199BA" w14:textId="3C2597F9" w:rsidR="008D0328" w:rsidRDefault="00EA0D7C">
          <w:pPr>
            <w:pStyle w:val="TOC3"/>
            <w:rPr>
              <w:rFonts w:asciiTheme="minorHAnsi" w:eastAsiaTheme="minorEastAsia" w:hAnsiTheme="minorHAnsi" w:cstheme="minorBidi"/>
              <w:noProof/>
              <w:sz w:val="22"/>
              <w:szCs w:val="22"/>
            </w:rPr>
          </w:pPr>
          <w:hyperlink w:anchor="_Toc110444051" w:history="1">
            <w:r w:rsidR="008D0328" w:rsidRPr="00D17389">
              <w:rPr>
                <w:rStyle w:val="Hyperlink"/>
                <w:noProof/>
              </w:rPr>
              <w:t>4.1.2.</w:t>
            </w:r>
            <w:r w:rsidR="008D0328">
              <w:rPr>
                <w:rFonts w:asciiTheme="minorHAnsi" w:eastAsiaTheme="minorEastAsia" w:hAnsiTheme="minorHAnsi" w:cstheme="minorBidi"/>
                <w:noProof/>
                <w:sz w:val="22"/>
                <w:szCs w:val="22"/>
              </w:rPr>
              <w:tab/>
            </w:r>
            <w:r w:rsidR="008D0328" w:rsidRPr="00D17389">
              <w:rPr>
                <w:rStyle w:val="Hyperlink"/>
                <w:noProof/>
              </w:rPr>
              <w:t>United Nations Convention against Corruption CoSP9 and EU sponsored resolutions</w:t>
            </w:r>
            <w:r w:rsidR="008D0328">
              <w:rPr>
                <w:noProof/>
                <w:webHidden/>
              </w:rPr>
              <w:tab/>
            </w:r>
            <w:r w:rsidR="008D0328">
              <w:rPr>
                <w:noProof/>
                <w:webHidden/>
              </w:rPr>
              <w:fldChar w:fldCharType="begin"/>
            </w:r>
            <w:r w:rsidR="008D0328">
              <w:rPr>
                <w:noProof/>
                <w:webHidden/>
              </w:rPr>
              <w:instrText xml:space="preserve"> PAGEREF _Toc110444051 \h </w:instrText>
            </w:r>
            <w:r w:rsidR="008D0328">
              <w:rPr>
                <w:noProof/>
                <w:webHidden/>
              </w:rPr>
            </w:r>
            <w:r w:rsidR="008D0328">
              <w:rPr>
                <w:noProof/>
                <w:webHidden/>
              </w:rPr>
              <w:fldChar w:fldCharType="separate"/>
            </w:r>
            <w:r w:rsidR="00F963A8">
              <w:rPr>
                <w:noProof/>
                <w:webHidden/>
              </w:rPr>
              <w:t>20</w:t>
            </w:r>
            <w:r w:rsidR="008D0328">
              <w:rPr>
                <w:noProof/>
                <w:webHidden/>
              </w:rPr>
              <w:fldChar w:fldCharType="end"/>
            </w:r>
          </w:hyperlink>
        </w:p>
        <w:p w14:paraId="7FD32BF0" w14:textId="0943F32B" w:rsidR="008D0328" w:rsidRDefault="00EA0D7C">
          <w:pPr>
            <w:pStyle w:val="TOC3"/>
            <w:rPr>
              <w:rFonts w:asciiTheme="minorHAnsi" w:eastAsiaTheme="minorEastAsia" w:hAnsiTheme="minorHAnsi" w:cstheme="minorBidi"/>
              <w:noProof/>
              <w:sz w:val="22"/>
              <w:szCs w:val="22"/>
            </w:rPr>
          </w:pPr>
          <w:hyperlink w:anchor="_Toc110444052" w:history="1">
            <w:r w:rsidR="008D0328" w:rsidRPr="00D17389">
              <w:rPr>
                <w:rStyle w:val="Hyperlink"/>
                <w:noProof/>
              </w:rPr>
              <w:t>4.1.3.</w:t>
            </w:r>
            <w:r w:rsidR="008D0328">
              <w:rPr>
                <w:rFonts w:asciiTheme="minorHAnsi" w:eastAsiaTheme="minorEastAsia" w:hAnsiTheme="minorHAnsi" w:cstheme="minorBidi"/>
                <w:noProof/>
                <w:sz w:val="22"/>
                <w:szCs w:val="22"/>
              </w:rPr>
              <w:tab/>
            </w:r>
            <w:r w:rsidR="008D0328" w:rsidRPr="00D17389">
              <w:rPr>
                <w:rStyle w:val="Hyperlink"/>
                <w:noProof/>
              </w:rPr>
              <w:t>Fight against illicit trade in tobacco products</w:t>
            </w:r>
            <w:r w:rsidR="008D0328">
              <w:rPr>
                <w:noProof/>
                <w:webHidden/>
              </w:rPr>
              <w:tab/>
            </w:r>
            <w:r w:rsidR="008D0328">
              <w:rPr>
                <w:noProof/>
                <w:webHidden/>
              </w:rPr>
              <w:fldChar w:fldCharType="begin"/>
            </w:r>
            <w:r w:rsidR="008D0328">
              <w:rPr>
                <w:noProof/>
                <w:webHidden/>
              </w:rPr>
              <w:instrText xml:space="preserve"> PAGEREF _Toc110444052 \h </w:instrText>
            </w:r>
            <w:r w:rsidR="008D0328">
              <w:rPr>
                <w:noProof/>
                <w:webHidden/>
              </w:rPr>
            </w:r>
            <w:r w:rsidR="008D0328">
              <w:rPr>
                <w:noProof/>
                <w:webHidden/>
              </w:rPr>
              <w:fldChar w:fldCharType="separate"/>
            </w:r>
            <w:r w:rsidR="00F963A8">
              <w:rPr>
                <w:noProof/>
                <w:webHidden/>
              </w:rPr>
              <w:t>20</w:t>
            </w:r>
            <w:r w:rsidR="008D0328">
              <w:rPr>
                <w:noProof/>
                <w:webHidden/>
              </w:rPr>
              <w:fldChar w:fldCharType="end"/>
            </w:r>
          </w:hyperlink>
        </w:p>
        <w:p w14:paraId="63499F4E" w14:textId="0ED46595" w:rsidR="008D0328" w:rsidRDefault="00EA0D7C">
          <w:pPr>
            <w:pStyle w:val="TOC2"/>
            <w:rPr>
              <w:rFonts w:asciiTheme="minorHAnsi" w:eastAsiaTheme="minorEastAsia" w:hAnsiTheme="minorHAnsi" w:cstheme="minorBidi"/>
              <w:sz w:val="22"/>
              <w:szCs w:val="22"/>
            </w:rPr>
          </w:pPr>
          <w:hyperlink w:anchor="_Toc110444053" w:history="1">
            <w:r w:rsidR="008D0328" w:rsidRPr="00D17389">
              <w:rPr>
                <w:rStyle w:val="Hyperlink"/>
              </w:rPr>
              <w:t>4.2.</w:t>
            </w:r>
            <w:r w:rsidR="008D0328">
              <w:rPr>
                <w:rFonts w:asciiTheme="minorHAnsi" w:eastAsiaTheme="minorEastAsia" w:hAnsiTheme="minorHAnsi" w:cstheme="minorBidi"/>
                <w:sz w:val="22"/>
                <w:szCs w:val="22"/>
              </w:rPr>
              <w:tab/>
            </w:r>
            <w:r w:rsidR="008D0328" w:rsidRPr="00D17389">
              <w:rPr>
                <w:rStyle w:val="Hyperlink"/>
              </w:rPr>
              <w:t>Cooperation between the EU and Member States</w:t>
            </w:r>
            <w:r w:rsidR="008D0328">
              <w:rPr>
                <w:webHidden/>
              </w:rPr>
              <w:tab/>
            </w:r>
            <w:r w:rsidR="008D0328">
              <w:rPr>
                <w:webHidden/>
              </w:rPr>
              <w:fldChar w:fldCharType="begin"/>
            </w:r>
            <w:r w:rsidR="008D0328">
              <w:rPr>
                <w:webHidden/>
              </w:rPr>
              <w:instrText xml:space="preserve"> PAGEREF _Toc110444053 \h </w:instrText>
            </w:r>
            <w:r w:rsidR="008D0328">
              <w:rPr>
                <w:webHidden/>
              </w:rPr>
            </w:r>
            <w:r w:rsidR="008D0328">
              <w:rPr>
                <w:webHidden/>
              </w:rPr>
              <w:fldChar w:fldCharType="separate"/>
            </w:r>
            <w:r w:rsidR="00F963A8">
              <w:rPr>
                <w:webHidden/>
              </w:rPr>
              <w:t>21</w:t>
            </w:r>
            <w:r w:rsidR="008D0328">
              <w:rPr>
                <w:webHidden/>
              </w:rPr>
              <w:fldChar w:fldCharType="end"/>
            </w:r>
          </w:hyperlink>
        </w:p>
        <w:p w14:paraId="1A715CC3" w14:textId="0549B802" w:rsidR="008D0328" w:rsidRDefault="00EA0D7C">
          <w:pPr>
            <w:pStyle w:val="TOC3"/>
            <w:rPr>
              <w:rFonts w:asciiTheme="minorHAnsi" w:eastAsiaTheme="minorEastAsia" w:hAnsiTheme="minorHAnsi" w:cstheme="minorBidi"/>
              <w:noProof/>
              <w:sz w:val="22"/>
              <w:szCs w:val="22"/>
            </w:rPr>
          </w:pPr>
          <w:hyperlink w:anchor="_Toc110444054" w:history="1">
            <w:r w:rsidR="008D0328" w:rsidRPr="00D17389">
              <w:rPr>
                <w:rStyle w:val="Hyperlink"/>
                <w:noProof/>
              </w:rPr>
              <w:t>4.2.1.</w:t>
            </w:r>
            <w:r w:rsidR="008D0328">
              <w:rPr>
                <w:rFonts w:asciiTheme="minorHAnsi" w:eastAsiaTheme="minorEastAsia" w:hAnsiTheme="minorHAnsi" w:cstheme="minorBidi"/>
                <w:noProof/>
                <w:sz w:val="22"/>
                <w:szCs w:val="22"/>
              </w:rPr>
              <w:tab/>
            </w:r>
            <w:r w:rsidR="008D0328" w:rsidRPr="00D17389">
              <w:rPr>
                <w:rStyle w:val="Hyperlink"/>
                <w:noProof/>
              </w:rPr>
              <w:t>Activities of the Advisory Committee for the Coordination of Fraud Prevention (COCOLAF)</w:t>
            </w:r>
            <w:r w:rsidR="008D0328">
              <w:rPr>
                <w:noProof/>
                <w:webHidden/>
              </w:rPr>
              <w:tab/>
            </w:r>
            <w:r w:rsidR="008D0328">
              <w:rPr>
                <w:noProof/>
                <w:webHidden/>
              </w:rPr>
              <w:fldChar w:fldCharType="begin"/>
            </w:r>
            <w:r w:rsidR="008D0328">
              <w:rPr>
                <w:noProof/>
                <w:webHidden/>
              </w:rPr>
              <w:instrText xml:space="preserve"> PAGEREF _Toc110444054 \h </w:instrText>
            </w:r>
            <w:r w:rsidR="008D0328">
              <w:rPr>
                <w:noProof/>
                <w:webHidden/>
              </w:rPr>
            </w:r>
            <w:r w:rsidR="008D0328">
              <w:rPr>
                <w:noProof/>
                <w:webHidden/>
              </w:rPr>
              <w:fldChar w:fldCharType="separate"/>
            </w:r>
            <w:r w:rsidR="00F963A8">
              <w:rPr>
                <w:noProof/>
                <w:webHidden/>
              </w:rPr>
              <w:t>21</w:t>
            </w:r>
            <w:r w:rsidR="008D0328">
              <w:rPr>
                <w:noProof/>
                <w:webHidden/>
              </w:rPr>
              <w:fldChar w:fldCharType="end"/>
            </w:r>
          </w:hyperlink>
        </w:p>
        <w:p w14:paraId="0A006E20" w14:textId="7824E503" w:rsidR="008D0328" w:rsidRDefault="00EA0D7C">
          <w:pPr>
            <w:pStyle w:val="TOC3"/>
            <w:rPr>
              <w:rFonts w:asciiTheme="minorHAnsi" w:eastAsiaTheme="minorEastAsia" w:hAnsiTheme="minorHAnsi" w:cstheme="minorBidi"/>
              <w:noProof/>
              <w:sz w:val="22"/>
              <w:szCs w:val="22"/>
            </w:rPr>
          </w:pPr>
          <w:hyperlink w:anchor="_Toc110444055" w:history="1">
            <w:r w:rsidR="008D0328" w:rsidRPr="00D17389">
              <w:rPr>
                <w:rStyle w:val="Hyperlink"/>
                <w:noProof/>
              </w:rPr>
              <w:t>4.2.2.</w:t>
            </w:r>
            <w:r w:rsidR="008D0328">
              <w:rPr>
                <w:rFonts w:asciiTheme="minorHAnsi" w:eastAsiaTheme="minorEastAsia" w:hAnsiTheme="minorHAnsi" w:cstheme="minorBidi"/>
                <w:noProof/>
                <w:sz w:val="22"/>
                <w:szCs w:val="22"/>
              </w:rPr>
              <w:tab/>
            </w:r>
            <w:r w:rsidR="008D0328" w:rsidRPr="00D17389">
              <w:rPr>
                <w:rStyle w:val="Hyperlink"/>
                <w:noProof/>
              </w:rPr>
              <w:t>The EU’s anti-fraud programme</w:t>
            </w:r>
            <w:r w:rsidR="008D0328">
              <w:rPr>
                <w:noProof/>
                <w:webHidden/>
              </w:rPr>
              <w:tab/>
            </w:r>
            <w:r w:rsidR="008D0328">
              <w:rPr>
                <w:noProof/>
                <w:webHidden/>
              </w:rPr>
              <w:fldChar w:fldCharType="begin"/>
            </w:r>
            <w:r w:rsidR="008D0328">
              <w:rPr>
                <w:noProof/>
                <w:webHidden/>
              </w:rPr>
              <w:instrText xml:space="preserve"> PAGEREF _Toc110444055 \h </w:instrText>
            </w:r>
            <w:r w:rsidR="008D0328">
              <w:rPr>
                <w:noProof/>
                <w:webHidden/>
              </w:rPr>
            </w:r>
            <w:r w:rsidR="008D0328">
              <w:rPr>
                <w:noProof/>
                <w:webHidden/>
              </w:rPr>
              <w:fldChar w:fldCharType="separate"/>
            </w:r>
            <w:r w:rsidR="00F963A8">
              <w:rPr>
                <w:noProof/>
                <w:webHidden/>
              </w:rPr>
              <w:t>21</w:t>
            </w:r>
            <w:r w:rsidR="008D0328">
              <w:rPr>
                <w:noProof/>
                <w:webHidden/>
              </w:rPr>
              <w:fldChar w:fldCharType="end"/>
            </w:r>
          </w:hyperlink>
        </w:p>
        <w:p w14:paraId="4D8D6777" w14:textId="3A729E73" w:rsidR="008D0328" w:rsidRDefault="00EA0D7C">
          <w:pPr>
            <w:pStyle w:val="TOC3"/>
            <w:rPr>
              <w:rFonts w:asciiTheme="minorHAnsi" w:eastAsiaTheme="minorEastAsia" w:hAnsiTheme="minorHAnsi" w:cstheme="minorBidi"/>
              <w:noProof/>
              <w:sz w:val="22"/>
              <w:szCs w:val="22"/>
            </w:rPr>
          </w:pPr>
          <w:hyperlink w:anchor="_Toc110444056" w:history="1">
            <w:r w:rsidR="008D0328" w:rsidRPr="00D17389">
              <w:rPr>
                <w:rStyle w:val="Hyperlink"/>
                <w:noProof/>
              </w:rPr>
              <w:t>4.2.3.</w:t>
            </w:r>
            <w:r w:rsidR="008D0328">
              <w:rPr>
                <w:rFonts w:asciiTheme="minorHAnsi" w:eastAsiaTheme="minorEastAsia" w:hAnsiTheme="minorHAnsi" w:cstheme="minorBidi"/>
                <w:noProof/>
                <w:sz w:val="22"/>
                <w:szCs w:val="22"/>
              </w:rPr>
              <w:tab/>
            </w:r>
            <w:r w:rsidR="008D0328" w:rsidRPr="00D17389">
              <w:rPr>
                <w:rStyle w:val="Hyperlink"/>
                <w:noProof/>
              </w:rPr>
              <w:t>Cooperation in the area of revenue</w:t>
            </w:r>
            <w:r w:rsidR="008D0328">
              <w:rPr>
                <w:noProof/>
                <w:webHidden/>
              </w:rPr>
              <w:tab/>
            </w:r>
            <w:r w:rsidR="008D0328">
              <w:rPr>
                <w:noProof/>
                <w:webHidden/>
              </w:rPr>
              <w:fldChar w:fldCharType="begin"/>
            </w:r>
            <w:r w:rsidR="008D0328">
              <w:rPr>
                <w:noProof/>
                <w:webHidden/>
              </w:rPr>
              <w:instrText xml:space="preserve"> PAGEREF _Toc110444056 \h </w:instrText>
            </w:r>
            <w:r w:rsidR="008D0328">
              <w:rPr>
                <w:noProof/>
                <w:webHidden/>
              </w:rPr>
            </w:r>
            <w:r w:rsidR="008D0328">
              <w:rPr>
                <w:noProof/>
                <w:webHidden/>
              </w:rPr>
              <w:fldChar w:fldCharType="separate"/>
            </w:r>
            <w:r w:rsidR="00F963A8">
              <w:rPr>
                <w:noProof/>
                <w:webHidden/>
              </w:rPr>
              <w:t>22</w:t>
            </w:r>
            <w:r w:rsidR="008D0328">
              <w:rPr>
                <w:noProof/>
                <w:webHidden/>
              </w:rPr>
              <w:fldChar w:fldCharType="end"/>
            </w:r>
          </w:hyperlink>
        </w:p>
        <w:p w14:paraId="44C70FA8" w14:textId="5A356D14" w:rsidR="008D0328" w:rsidRDefault="00EA0D7C">
          <w:pPr>
            <w:pStyle w:val="TOC4"/>
            <w:rPr>
              <w:rFonts w:asciiTheme="minorHAnsi" w:eastAsiaTheme="minorEastAsia" w:hAnsiTheme="minorHAnsi" w:cstheme="minorBidi"/>
              <w:sz w:val="22"/>
              <w:szCs w:val="22"/>
            </w:rPr>
          </w:pPr>
          <w:hyperlink w:anchor="_Toc110444057" w:history="1">
            <w:r w:rsidR="008D0328" w:rsidRPr="00D17389">
              <w:rPr>
                <w:rStyle w:val="Hyperlink"/>
              </w:rPr>
              <w:t>4.2.3.1.</w:t>
            </w:r>
            <w:r w:rsidR="008D0328">
              <w:rPr>
                <w:rFonts w:asciiTheme="minorHAnsi" w:eastAsiaTheme="minorEastAsia" w:hAnsiTheme="minorHAnsi" w:cstheme="minorBidi"/>
                <w:sz w:val="22"/>
                <w:szCs w:val="22"/>
              </w:rPr>
              <w:tab/>
            </w:r>
            <w:r w:rsidR="008D0328" w:rsidRPr="00D17389">
              <w:rPr>
                <w:rStyle w:val="Hyperlink"/>
              </w:rPr>
              <w:t>The customs programme</w:t>
            </w:r>
            <w:r w:rsidR="008D0328">
              <w:rPr>
                <w:webHidden/>
              </w:rPr>
              <w:tab/>
            </w:r>
            <w:r w:rsidR="008D0328">
              <w:rPr>
                <w:webHidden/>
              </w:rPr>
              <w:fldChar w:fldCharType="begin"/>
            </w:r>
            <w:r w:rsidR="008D0328">
              <w:rPr>
                <w:webHidden/>
              </w:rPr>
              <w:instrText xml:space="preserve"> PAGEREF _Toc110444057 \h </w:instrText>
            </w:r>
            <w:r w:rsidR="008D0328">
              <w:rPr>
                <w:webHidden/>
              </w:rPr>
            </w:r>
            <w:r w:rsidR="008D0328">
              <w:rPr>
                <w:webHidden/>
              </w:rPr>
              <w:fldChar w:fldCharType="separate"/>
            </w:r>
            <w:r w:rsidR="00F963A8">
              <w:rPr>
                <w:webHidden/>
              </w:rPr>
              <w:t>22</w:t>
            </w:r>
            <w:r w:rsidR="008D0328">
              <w:rPr>
                <w:webHidden/>
              </w:rPr>
              <w:fldChar w:fldCharType="end"/>
            </w:r>
          </w:hyperlink>
        </w:p>
        <w:p w14:paraId="23B06830" w14:textId="4EA68729" w:rsidR="008D0328" w:rsidRDefault="00EA0D7C">
          <w:pPr>
            <w:pStyle w:val="TOC4"/>
            <w:rPr>
              <w:rFonts w:asciiTheme="minorHAnsi" w:eastAsiaTheme="minorEastAsia" w:hAnsiTheme="minorHAnsi" w:cstheme="minorBidi"/>
              <w:sz w:val="22"/>
              <w:szCs w:val="22"/>
            </w:rPr>
          </w:pPr>
          <w:hyperlink w:anchor="_Toc110444058" w:history="1">
            <w:r w:rsidR="008D0328" w:rsidRPr="00D17389">
              <w:rPr>
                <w:rStyle w:val="Hyperlink"/>
              </w:rPr>
              <w:t>4.2.3.2.</w:t>
            </w:r>
            <w:r w:rsidR="008D0328">
              <w:rPr>
                <w:rFonts w:asciiTheme="minorHAnsi" w:eastAsiaTheme="minorEastAsia" w:hAnsiTheme="minorHAnsi" w:cstheme="minorBidi"/>
                <w:sz w:val="22"/>
                <w:szCs w:val="22"/>
              </w:rPr>
              <w:tab/>
            </w:r>
            <w:r w:rsidR="008D0328" w:rsidRPr="00D17389">
              <w:rPr>
                <w:rStyle w:val="Hyperlink"/>
              </w:rPr>
              <w:t>The Fiscalis programme</w:t>
            </w:r>
            <w:r w:rsidR="008D0328">
              <w:rPr>
                <w:webHidden/>
              </w:rPr>
              <w:tab/>
            </w:r>
            <w:r w:rsidR="008D0328">
              <w:rPr>
                <w:webHidden/>
              </w:rPr>
              <w:fldChar w:fldCharType="begin"/>
            </w:r>
            <w:r w:rsidR="008D0328">
              <w:rPr>
                <w:webHidden/>
              </w:rPr>
              <w:instrText xml:space="preserve"> PAGEREF _Toc110444058 \h </w:instrText>
            </w:r>
            <w:r w:rsidR="008D0328">
              <w:rPr>
                <w:webHidden/>
              </w:rPr>
            </w:r>
            <w:r w:rsidR="008D0328">
              <w:rPr>
                <w:webHidden/>
              </w:rPr>
              <w:fldChar w:fldCharType="separate"/>
            </w:r>
            <w:r w:rsidR="00F963A8">
              <w:rPr>
                <w:webHidden/>
              </w:rPr>
              <w:t>23</w:t>
            </w:r>
            <w:r w:rsidR="008D0328">
              <w:rPr>
                <w:webHidden/>
              </w:rPr>
              <w:fldChar w:fldCharType="end"/>
            </w:r>
          </w:hyperlink>
        </w:p>
        <w:p w14:paraId="4199D034" w14:textId="659C0323" w:rsidR="008D0328" w:rsidRDefault="00EA0D7C">
          <w:pPr>
            <w:pStyle w:val="TOC4"/>
            <w:rPr>
              <w:rFonts w:asciiTheme="minorHAnsi" w:eastAsiaTheme="minorEastAsia" w:hAnsiTheme="minorHAnsi" w:cstheme="minorBidi"/>
              <w:sz w:val="22"/>
              <w:szCs w:val="22"/>
            </w:rPr>
          </w:pPr>
          <w:hyperlink w:anchor="_Toc110444059" w:history="1">
            <w:r w:rsidR="008D0328" w:rsidRPr="00D17389">
              <w:rPr>
                <w:rStyle w:val="Hyperlink"/>
              </w:rPr>
              <w:t>4.2.3.3.</w:t>
            </w:r>
            <w:r w:rsidR="008D0328">
              <w:rPr>
                <w:rFonts w:asciiTheme="minorHAnsi" w:eastAsiaTheme="minorEastAsia" w:hAnsiTheme="minorHAnsi" w:cstheme="minorBidi"/>
                <w:sz w:val="22"/>
                <w:szCs w:val="22"/>
              </w:rPr>
              <w:tab/>
            </w:r>
            <w:r w:rsidR="008D0328" w:rsidRPr="00D17389">
              <w:rPr>
                <w:rStyle w:val="Hyperlink"/>
              </w:rPr>
              <w:t>Joint customs operations (JCOs)</w:t>
            </w:r>
            <w:r w:rsidR="008D0328">
              <w:rPr>
                <w:webHidden/>
              </w:rPr>
              <w:tab/>
            </w:r>
            <w:r w:rsidR="008D0328">
              <w:rPr>
                <w:webHidden/>
              </w:rPr>
              <w:fldChar w:fldCharType="begin"/>
            </w:r>
            <w:r w:rsidR="008D0328">
              <w:rPr>
                <w:webHidden/>
              </w:rPr>
              <w:instrText xml:space="preserve"> PAGEREF _Toc110444059 \h </w:instrText>
            </w:r>
            <w:r w:rsidR="008D0328">
              <w:rPr>
                <w:webHidden/>
              </w:rPr>
            </w:r>
            <w:r w:rsidR="008D0328">
              <w:rPr>
                <w:webHidden/>
              </w:rPr>
              <w:fldChar w:fldCharType="separate"/>
            </w:r>
            <w:r w:rsidR="00F963A8">
              <w:rPr>
                <w:webHidden/>
              </w:rPr>
              <w:t>23</w:t>
            </w:r>
            <w:r w:rsidR="008D0328">
              <w:rPr>
                <w:webHidden/>
              </w:rPr>
              <w:fldChar w:fldCharType="end"/>
            </w:r>
          </w:hyperlink>
        </w:p>
        <w:p w14:paraId="44D541C4" w14:textId="2D314E5A" w:rsidR="008D0328" w:rsidRDefault="00EA0D7C">
          <w:pPr>
            <w:pStyle w:val="TOC1"/>
            <w:rPr>
              <w:rFonts w:asciiTheme="minorHAnsi" w:eastAsiaTheme="minorEastAsia" w:hAnsiTheme="minorHAnsi" w:cstheme="minorBidi"/>
              <w:b w:val="0"/>
              <w:noProof/>
              <w:sz w:val="22"/>
              <w:szCs w:val="22"/>
            </w:rPr>
          </w:pPr>
          <w:hyperlink w:anchor="_Toc110444060" w:history="1">
            <w:r w:rsidR="008D0328" w:rsidRPr="00D17389">
              <w:rPr>
                <w:rStyle w:val="Hyperlink"/>
                <w:noProof/>
              </w:rPr>
              <w:t>5.</w:t>
            </w:r>
            <w:r w:rsidR="008D0328">
              <w:rPr>
                <w:rFonts w:asciiTheme="minorHAnsi" w:eastAsiaTheme="minorEastAsia" w:hAnsiTheme="minorHAnsi" w:cstheme="minorBidi"/>
                <w:b w:val="0"/>
                <w:noProof/>
                <w:sz w:val="22"/>
                <w:szCs w:val="22"/>
              </w:rPr>
              <w:tab/>
            </w:r>
            <w:r w:rsidR="008D0328" w:rsidRPr="00D17389">
              <w:rPr>
                <w:rStyle w:val="Hyperlink"/>
                <w:noProof/>
              </w:rPr>
              <w:t>key measures for the protection of the EU’s financial interests and the fight against fraud</w:t>
            </w:r>
            <w:r w:rsidR="008D0328">
              <w:rPr>
                <w:noProof/>
                <w:webHidden/>
              </w:rPr>
              <w:tab/>
            </w:r>
            <w:r w:rsidR="008D0328">
              <w:rPr>
                <w:noProof/>
                <w:webHidden/>
              </w:rPr>
              <w:fldChar w:fldCharType="begin"/>
            </w:r>
            <w:r w:rsidR="008D0328">
              <w:rPr>
                <w:noProof/>
                <w:webHidden/>
              </w:rPr>
              <w:instrText xml:space="preserve"> PAGEREF _Toc110444060 \h </w:instrText>
            </w:r>
            <w:r w:rsidR="008D0328">
              <w:rPr>
                <w:noProof/>
                <w:webHidden/>
              </w:rPr>
            </w:r>
            <w:r w:rsidR="008D0328">
              <w:rPr>
                <w:noProof/>
                <w:webHidden/>
              </w:rPr>
              <w:fldChar w:fldCharType="separate"/>
            </w:r>
            <w:r w:rsidR="00F963A8">
              <w:rPr>
                <w:noProof/>
                <w:webHidden/>
              </w:rPr>
              <w:t>25</w:t>
            </w:r>
            <w:r w:rsidR="008D0328">
              <w:rPr>
                <w:noProof/>
                <w:webHidden/>
              </w:rPr>
              <w:fldChar w:fldCharType="end"/>
            </w:r>
          </w:hyperlink>
        </w:p>
        <w:p w14:paraId="4448E51A" w14:textId="5797971B" w:rsidR="008D0328" w:rsidRDefault="00EA0D7C">
          <w:pPr>
            <w:pStyle w:val="TOC2"/>
            <w:rPr>
              <w:rFonts w:asciiTheme="minorHAnsi" w:eastAsiaTheme="minorEastAsia" w:hAnsiTheme="minorHAnsi" w:cstheme="minorBidi"/>
              <w:sz w:val="22"/>
              <w:szCs w:val="22"/>
            </w:rPr>
          </w:pPr>
          <w:hyperlink w:anchor="_Toc110444061" w:history="1">
            <w:r w:rsidR="008D0328" w:rsidRPr="00D17389">
              <w:rPr>
                <w:rStyle w:val="Hyperlink"/>
              </w:rPr>
              <w:t>5.1.</w:t>
            </w:r>
            <w:r w:rsidR="008D0328">
              <w:rPr>
                <w:rFonts w:asciiTheme="minorHAnsi" w:eastAsiaTheme="minorEastAsia" w:hAnsiTheme="minorHAnsi" w:cstheme="minorBidi"/>
                <w:sz w:val="22"/>
                <w:szCs w:val="22"/>
              </w:rPr>
              <w:tab/>
            </w:r>
            <w:r w:rsidR="008D0328" w:rsidRPr="00D17389">
              <w:rPr>
                <w:rStyle w:val="Hyperlink"/>
              </w:rPr>
              <w:t>Transposition of the PIF Directive</w:t>
            </w:r>
            <w:r w:rsidR="008D0328">
              <w:rPr>
                <w:webHidden/>
              </w:rPr>
              <w:tab/>
            </w:r>
            <w:r w:rsidR="008D0328">
              <w:rPr>
                <w:webHidden/>
              </w:rPr>
              <w:fldChar w:fldCharType="begin"/>
            </w:r>
            <w:r w:rsidR="008D0328">
              <w:rPr>
                <w:webHidden/>
              </w:rPr>
              <w:instrText xml:space="preserve"> PAGEREF _Toc110444061 \h </w:instrText>
            </w:r>
            <w:r w:rsidR="008D0328">
              <w:rPr>
                <w:webHidden/>
              </w:rPr>
            </w:r>
            <w:r w:rsidR="008D0328">
              <w:rPr>
                <w:webHidden/>
              </w:rPr>
              <w:fldChar w:fldCharType="separate"/>
            </w:r>
            <w:r w:rsidR="00F963A8">
              <w:rPr>
                <w:webHidden/>
              </w:rPr>
              <w:t>25</w:t>
            </w:r>
            <w:r w:rsidR="008D0328">
              <w:rPr>
                <w:webHidden/>
              </w:rPr>
              <w:fldChar w:fldCharType="end"/>
            </w:r>
          </w:hyperlink>
        </w:p>
        <w:p w14:paraId="3B89FBAD" w14:textId="6D8CBA6D" w:rsidR="008D0328" w:rsidRDefault="00EA0D7C">
          <w:pPr>
            <w:pStyle w:val="TOC2"/>
            <w:rPr>
              <w:rFonts w:asciiTheme="minorHAnsi" w:eastAsiaTheme="minorEastAsia" w:hAnsiTheme="minorHAnsi" w:cstheme="minorBidi"/>
              <w:sz w:val="22"/>
              <w:szCs w:val="22"/>
            </w:rPr>
          </w:pPr>
          <w:hyperlink w:anchor="_Toc110444062" w:history="1">
            <w:r w:rsidR="008D0328" w:rsidRPr="00D17389">
              <w:rPr>
                <w:rStyle w:val="Hyperlink"/>
              </w:rPr>
              <w:t>5.2.</w:t>
            </w:r>
            <w:r w:rsidR="008D0328">
              <w:rPr>
                <w:rFonts w:asciiTheme="minorHAnsi" w:eastAsiaTheme="minorEastAsia" w:hAnsiTheme="minorHAnsi" w:cstheme="minorBidi"/>
                <w:sz w:val="22"/>
                <w:szCs w:val="22"/>
              </w:rPr>
              <w:tab/>
            </w:r>
            <w:r w:rsidR="008D0328" w:rsidRPr="00D17389">
              <w:rPr>
                <w:rStyle w:val="Hyperlink"/>
              </w:rPr>
              <w:t>Anti-money laundering</w:t>
            </w:r>
            <w:r w:rsidR="008D0328">
              <w:rPr>
                <w:webHidden/>
              </w:rPr>
              <w:tab/>
            </w:r>
            <w:r w:rsidR="008D0328">
              <w:rPr>
                <w:webHidden/>
              </w:rPr>
              <w:fldChar w:fldCharType="begin"/>
            </w:r>
            <w:r w:rsidR="008D0328">
              <w:rPr>
                <w:webHidden/>
              </w:rPr>
              <w:instrText xml:space="preserve"> PAGEREF _Toc110444062 \h </w:instrText>
            </w:r>
            <w:r w:rsidR="008D0328">
              <w:rPr>
                <w:webHidden/>
              </w:rPr>
            </w:r>
            <w:r w:rsidR="008D0328">
              <w:rPr>
                <w:webHidden/>
              </w:rPr>
              <w:fldChar w:fldCharType="separate"/>
            </w:r>
            <w:r w:rsidR="00F963A8">
              <w:rPr>
                <w:webHidden/>
              </w:rPr>
              <w:t>25</w:t>
            </w:r>
            <w:r w:rsidR="008D0328">
              <w:rPr>
                <w:webHidden/>
              </w:rPr>
              <w:fldChar w:fldCharType="end"/>
            </w:r>
          </w:hyperlink>
        </w:p>
        <w:p w14:paraId="3788DE89" w14:textId="4AD8DCB6" w:rsidR="008D0328" w:rsidRDefault="00EA0D7C">
          <w:pPr>
            <w:pStyle w:val="TOC2"/>
            <w:rPr>
              <w:rFonts w:asciiTheme="minorHAnsi" w:eastAsiaTheme="minorEastAsia" w:hAnsiTheme="minorHAnsi" w:cstheme="minorBidi"/>
              <w:sz w:val="22"/>
              <w:szCs w:val="22"/>
            </w:rPr>
          </w:pPr>
          <w:hyperlink w:anchor="_Toc110444063" w:history="1">
            <w:r w:rsidR="008D0328" w:rsidRPr="00D17389">
              <w:rPr>
                <w:rStyle w:val="Hyperlink"/>
              </w:rPr>
              <w:t>5.3.</w:t>
            </w:r>
            <w:r w:rsidR="008D0328">
              <w:rPr>
                <w:rFonts w:asciiTheme="minorHAnsi" w:eastAsiaTheme="minorEastAsia" w:hAnsiTheme="minorHAnsi" w:cstheme="minorBidi"/>
                <w:sz w:val="22"/>
                <w:szCs w:val="22"/>
              </w:rPr>
              <w:tab/>
            </w:r>
            <w:r w:rsidR="008D0328" w:rsidRPr="00D17389">
              <w:rPr>
                <w:rStyle w:val="Hyperlink"/>
              </w:rPr>
              <w:t>Recovery and Resilience Facility</w:t>
            </w:r>
            <w:r w:rsidR="008D0328">
              <w:rPr>
                <w:webHidden/>
              </w:rPr>
              <w:tab/>
            </w:r>
            <w:r w:rsidR="008D0328">
              <w:rPr>
                <w:webHidden/>
              </w:rPr>
              <w:fldChar w:fldCharType="begin"/>
            </w:r>
            <w:r w:rsidR="008D0328">
              <w:rPr>
                <w:webHidden/>
              </w:rPr>
              <w:instrText xml:space="preserve"> PAGEREF _Toc110444063 \h </w:instrText>
            </w:r>
            <w:r w:rsidR="008D0328">
              <w:rPr>
                <w:webHidden/>
              </w:rPr>
            </w:r>
            <w:r w:rsidR="008D0328">
              <w:rPr>
                <w:webHidden/>
              </w:rPr>
              <w:fldChar w:fldCharType="separate"/>
            </w:r>
            <w:r w:rsidR="00F963A8">
              <w:rPr>
                <w:webHidden/>
              </w:rPr>
              <w:t>26</w:t>
            </w:r>
            <w:r w:rsidR="008D0328">
              <w:rPr>
                <w:webHidden/>
              </w:rPr>
              <w:fldChar w:fldCharType="end"/>
            </w:r>
          </w:hyperlink>
        </w:p>
        <w:p w14:paraId="18CDFA93" w14:textId="7C98085B" w:rsidR="008D0328" w:rsidRDefault="00EA0D7C">
          <w:pPr>
            <w:pStyle w:val="TOC2"/>
            <w:rPr>
              <w:rFonts w:asciiTheme="minorHAnsi" w:eastAsiaTheme="minorEastAsia" w:hAnsiTheme="minorHAnsi" w:cstheme="minorBidi"/>
              <w:sz w:val="22"/>
              <w:szCs w:val="22"/>
            </w:rPr>
          </w:pPr>
          <w:hyperlink w:anchor="_Toc110444064" w:history="1">
            <w:r w:rsidR="008D0328" w:rsidRPr="00D17389">
              <w:rPr>
                <w:rStyle w:val="Hyperlink"/>
              </w:rPr>
              <w:t>5.4.</w:t>
            </w:r>
            <w:r w:rsidR="008D0328">
              <w:rPr>
                <w:rFonts w:asciiTheme="minorHAnsi" w:eastAsiaTheme="minorEastAsia" w:hAnsiTheme="minorHAnsi" w:cstheme="minorBidi"/>
                <w:sz w:val="22"/>
                <w:szCs w:val="22"/>
              </w:rPr>
              <w:tab/>
            </w:r>
            <w:r w:rsidR="008D0328" w:rsidRPr="00D17389">
              <w:rPr>
                <w:rStyle w:val="Hyperlink"/>
              </w:rPr>
              <w:t>Protection of whistle-blowers</w:t>
            </w:r>
            <w:r w:rsidR="008D0328">
              <w:rPr>
                <w:webHidden/>
              </w:rPr>
              <w:tab/>
            </w:r>
            <w:r w:rsidR="008D0328">
              <w:rPr>
                <w:webHidden/>
              </w:rPr>
              <w:fldChar w:fldCharType="begin"/>
            </w:r>
            <w:r w:rsidR="008D0328">
              <w:rPr>
                <w:webHidden/>
              </w:rPr>
              <w:instrText xml:space="preserve"> PAGEREF _Toc110444064 \h </w:instrText>
            </w:r>
            <w:r w:rsidR="008D0328">
              <w:rPr>
                <w:webHidden/>
              </w:rPr>
            </w:r>
            <w:r w:rsidR="008D0328">
              <w:rPr>
                <w:webHidden/>
              </w:rPr>
              <w:fldChar w:fldCharType="separate"/>
            </w:r>
            <w:r w:rsidR="00F963A8">
              <w:rPr>
                <w:webHidden/>
              </w:rPr>
              <w:t>28</w:t>
            </w:r>
            <w:r w:rsidR="008D0328">
              <w:rPr>
                <w:webHidden/>
              </w:rPr>
              <w:fldChar w:fldCharType="end"/>
            </w:r>
          </w:hyperlink>
        </w:p>
        <w:p w14:paraId="311293D9" w14:textId="6F858DE1" w:rsidR="008D0328" w:rsidRDefault="00EA0D7C">
          <w:pPr>
            <w:pStyle w:val="TOC2"/>
            <w:rPr>
              <w:rFonts w:asciiTheme="minorHAnsi" w:eastAsiaTheme="minorEastAsia" w:hAnsiTheme="minorHAnsi" w:cstheme="minorBidi"/>
              <w:sz w:val="22"/>
              <w:szCs w:val="22"/>
            </w:rPr>
          </w:pPr>
          <w:hyperlink w:anchor="_Toc110444065" w:history="1">
            <w:r w:rsidR="008D0328" w:rsidRPr="00D17389">
              <w:rPr>
                <w:rStyle w:val="Hyperlink"/>
              </w:rPr>
              <w:t>5.5.</w:t>
            </w:r>
            <w:r w:rsidR="008D0328">
              <w:rPr>
                <w:rFonts w:asciiTheme="minorHAnsi" w:eastAsiaTheme="minorEastAsia" w:hAnsiTheme="minorHAnsi" w:cstheme="minorBidi"/>
                <w:sz w:val="22"/>
                <w:szCs w:val="22"/>
              </w:rPr>
              <w:tab/>
            </w:r>
            <w:r w:rsidR="008D0328" w:rsidRPr="00D17389">
              <w:rPr>
                <w:rStyle w:val="Hyperlink"/>
              </w:rPr>
              <w:t>The Rule of Law toolbox</w:t>
            </w:r>
            <w:r w:rsidR="008D0328">
              <w:rPr>
                <w:webHidden/>
              </w:rPr>
              <w:tab/>
            </w:r>
            <w:r w:rsidR="008D0328">
              <w:rPr>
                <w:webHidden/>
              </w:rPr>
              <w:fldChar w:fldCharType="begin"/>
            </w:r>
            <w:r w:rsidR="008D0328">
              <w:rPr>
                <w:webHidden/>
              </w:rPr>
              <w:instrText xml:space="preserve"> PAGEREF _Toc110444065 \h </w:instrText>
            </w:r>
            <w:r w:rsidR="008D0328">
              <w:rPr>
                <w:webHidden/>
              </w:rPr>
            </w:r>
            <w:r w:rsidR="008D0328">
              <w:rPr>
                <w:webHidden/>
              </w:rPr>
              <w:fldChar w:fldCharType="separate"/>
            </w:r>
            <w:r w:rsidR="00F963A8">
              <w:rPr>
                <w:webHidden/>
              </w:rPr>
              <w:t>28</w:t>
            </w:r>
            <w:r w:rsidR="008D0328">
              <w:rPr>
                <w:webHidden/>
              </w:rPr>
              <w:fldChar w:fldCharType="end"/>
            </w:r>
          </w:hyperlink>
        </w:p>
        <w:p w14:paraId="30BEB962" w14:textId="71A0F6A2" w:rsidR="008D0328" w:rsidRDefault="00EA0D7C">
          <w:pPr>
            <w:pStyle w:val="TOC3"/>
            <w:rPr>
              <w:rFonts w:asciiTheme="minorHAnsi" w:eastAsiaTheme="minorEastAsia" w:hAnsiTheme="minorHAnsi" w:cstheme="minorBidi"/>
              <w:noProof/>
              <w:sz w:val="22"/>
              <w:szCs w:val="22"/>
            </w:rPr>
          </w:pPr>
          <w:hyperlink w:anchor="_Toc110444066" w:history="1">
            <w:r w:rsidR="008D0328" w:rsidRPr="00D17389">
              <w:rPr>
                <w:rStyle w:val="Hyperlink"/>
                <w:noProof/>
              </w:rPr>
              <w:t>5.5.1.</w:t>
            </w:r>
            <w:r w:rsidR="008D0328">
              <w:rPr>
                <w:rFonts w:asciiTheme="minorHAnsi" w:eastAsiaTheme="minorEastAsia" w:hAnsiTheme="minorHAnsi" w:cstheme="minorBidi"/>
                <w:noProof/>
                <w:sz w:val="22"/>
                <w:szCs w:val="22"/>
              </w:rPr>
              <w:tab/>
            </w:r>
            <w:r w:rsidR="008D0328" w:rsidRPr="00D17389">
              <w:rPr>
                <w:rStyle w:val="Hyperlink"/>
                <w:noProof/>
              </w:rPr>
              <w:t>Rule of law report – main findings and highlights in relation to the protection of the EU’s financial interests</w:t>
            </w:r>
            <w:r w:rsidR="008D0328">
              <w:rPr>
                <w:noProof/>
                <w:webHidden/>
              </w:rPr>
              <w:tab/>
            </w:r>
            <w:r w:rsidR="008D0328">
              <w:rPr>
                <w:noProof/>
                <w:webHidden/>
              </w:rPr>
              <w:fldChar w:fldCharType="begin"/>
            </w:r>
            <w:r w:rsidR="008D0328">
              <w:rPr>
                <w:noProof/>
                <w:webHidden/>
              </w:rPr>
              <w:instrText xml:space="preserve"> PAGEREF _Toc110444066 \h </w:instrText>
            </w:r>
            <w:r w:rsidR="008D0328">
              <w:rPr>
                <w:noProof/>
                <w:webHidden/>
              </w:rPr>
            </w:r>
            <w:r w:rsidR="008D0328">
              <w:rPr>
                <w:noProof/>
                <w:webHidden/>
              </w:rPr>
              <w:fldChar w:fldCharType="separate"/>
            </w:r>
            <w:r w:rsidR="00F963A8">
              <w:rPr>
                <w:noProof/>
                <w:webHidden/>
              </w:rPr>
              <w:t>28</w:t>
            </w:r>
            <w:r w:rsidR="008D0328">
              <w:rPr>
                <w:noProof/>
                <w:webHidden/>
              </w:rPr>
              <w:fldChar w:fldCharType="end"/>
            </w:r>
          </w:hyperlink>
        </w:p>
        <w:p w14:paraId="1FDABE5E" w14:textId="47229578" w:rsidR="008D0328" w:rsidRDefault="00EA0D7C">
          <w:pPr>
            <w:pStyle w:val="TOC3"/>
            <w:rPr>
              <w:rFonts w:asciiTheme="minorHAnsi" w:eastAsiaTheme="minorEastAsia" w:hAnsiTheme="minorHAnsi" w:cstheme="minorBidi"/>
              <w:noProof/>
              <w:sz w:val="22"/>
              <w:szCs w:val="22"/>
            </w:rPr>
          </w:pPr>
          <w:hyperlink w:anchor="_Toc110444067" w:history="1">
            <w:r w:rsidR="008D0328" w:rsidRPr="00D17389">
              <w:rPr>
                <w:rStyle w:val="Hyperlink"/>
                <w:noProof/>
              </w:rPr>
              <w:t>5.5.2.</w:t>
            </w:r>
            <w:r w:rsidR="008D0328">
              <w:rPr>
                <w:rFonts w:asciiTheme="minorHAnsi" w:eastAsiaTheme="minorEastAsia" w:hAnsiTheme="minorHAnsi" w:cstheme="minorBidi"/>
                <w:noProof/>
                <w:sz w:val="22"/>
                <w:szCs w:val="22"/>
              </w:rPr>
              <w:tab/>
            </w:r>
            <w:r w:rsidR="008D0328" w:rsidRPr="00D17389">
              <w:rPr>
                <w:rStyle w:val="Hyperlink"/>
                <w:noProof/>
              </w:rPr>
              <w:t>Progress in the implementation of the EU regulation on a general regime of conditionality for the protection of the EU budget</w:t>
            </w:r>
            <w:r w:rsidR="008D0328">
              <w:rPr>
                <w:noProof/>
                <w:webHidden/>
              </w:rPr>
              <w:tab/>
            </w:r>
            <w:r w:rsidR="008D0328">
              <w:rPr>
                <w:noProof/>
                <w:webHidden/>
              </w:rPr>
              <w:fldChar w:fldCharType="begin"/>
            </w:r>
            <w:r w:rsidR="008D0328">
              <w:rPr>
                <w:noProof/>
                <w:webHidden/>
              </w:rPr>
              <w:instrText xml:space="preserve"> PAGEREF _Toc110444067 \h </w:instrText>
            </w:r>
            <w:r w:rsidR="008D0328">
              <w:rPr>
                <w:noProof/>
                <w:webHidden/>
              </w:rPr>
            </w:r>
            <w:r w:rsidR="008D0328">
              <w:rPr>
                <w:noProof/>
                <w:webHidden/>
              </w:rPr>
              <w:fldChar w:fldCharType="separate"/>
            </w:r>
            <w:r w:rsidR="00F963A8">
              <w:rPr>
                <w:noProof/>
                <w:webHidden/>
              </w:rPr>
              <w:t>29</w:t>
            </w:r>
            <w:r w:rsidR="008D0328">
              <w:rPr>
                <w:noProof/>
                <w:webHidden/>
              </w:rPr>
              <w:fldChar w:fldCharType="end"/>
            </w:r>
          </w:hyperlink>
        </w:p>
        <w:p w14:paraId="25C5E6DB" w14:textId="14CCF6BC" w:rsidR="008D0328" w:rsidRDefault="00EA0D7C">
          <w:pPr>
            <w:pStyle w:val="TOC2"/>
            <w:rPr>
              <w:rFonts w:asciiTheme="minorHAnsi" w:eastAsiaTheme="minorEastAsia" w:hAnsiTheme="minorHAnsi" w:cstheme="minorBidi"/>
              <w:sz w:val="22"/>
              <w:szCs w:val="22"/>
            </w:rPr>
          </w:pPr>
          <w:hyperlink w:anchor="_Toc110444068" w:history="1">
            <w:r w:rsidR="008D0328" w:rsidRPr="00D17389">
              <w:rPr>
                <w:rStyle w:val="Hyperlink"/>
              </w:rPr>
              <w:t>5.6.</w:t>
            </w:r>
            <w:r w:rsidR="008D0328">
              <w:rPr>
                <w:rFonts w:asciiTheme="minorHAnsi" w:eastAsiaTheme="minorEastAsia" w:hAnsiTheme="minorHAnsi" w:cstheme="minorBidi"/>
                <w:sz w:val="22"/>
                <w:szCs w:val="22"/>
              </w:rPr>
              <w:tab/>
            </w:r>
            <w:r w:rsidR="008D0328" w:rsidRPr="00D17389">
              <w:rPr>
                <w:rStyle w:val="Hyperlink"/>
              </w:rPr>
              <w:t>Anti-corruption policy</w:t>
            </w:r>
            <w:r w:rsidR="008D0328">
              <w:rPr>
                <w:webHidden/>
              </w:rPr>
              <w:tab/>
            </w:r>
            <w:r w:rsidR="008D0328">
              <w:rPr>
                <w:webHidden/>
              </w:rPr>
              <w:fldChar w:fldCharType="begin"/>
            </w:r>
            <w:r w:rsidR="008D0328">
              <w:rPr>
                <w:webHidden/>
              </w:rPr>
              <w:instrText xml:space="preserve"> PAGEREF _Toc110444068 \h </w:instrText>
            </w:r>
            <w:r w:rsidR="008D0328">
              <w:rPr>
                <w:webHidden/>
              </w:rPr>
            </w:r>
            <w:r w:rsidR="008D0328">
              <w:rPr>
                <w:webHidden/>
              </w:rPr>
              <w:fldChar w:fldCharType="separate"/>
            </w:r>
            <w:r w:rsidR="00F963A8">
              <w:rPr>
                <w:webHidden/>
              </w:rPr>
              <w:t>29</w:t>
            </w:r>
            <w:r w:rsidR="008D0328">
              <w:rPr>
                <w:webHidden/>
              </w:rPr>
              <w:fldChar w:fldCharType="end"/>
            </w:r>
          </w:hyperlink>
        </w:p>
        <w:p w14:paraId="343616B5" w14:textId="1622517B" w:rsidR="008D0328" w:rsidRDefault="00EA0D7C">
          <w:pPr>
            <w:pStyle w:val="TOC1"/>
            <w:rPr>
              <w:rFonts w:asciiTheme="minorHAnsi" w:eastAsiaTheme="minorEastAsia" w:hAnsiTheme="minorHAnsi" w:cstheme="minorBidi"/>
              <w:b w:val="0"/>
              <w:noProof/>
              <w:sz w:val="22"/>
              <w:szCs w:val="22"/>
            </w:rPr>
          </w:pPr>
          <w:hyperlink w:anchor="_Toc110444069" w:history="1">
            <w:r w:rsidR="008D0328" w:rsidRPr="00D17389">
              <w:rPr>
                <w:rStyle w:val="Hyperlink"/>
                <w:noProof/>
              </w:rPr>
              <w:t>6.</w:t>
            </w:r>
            <w:r w:rsidR="008D0328">
              <w:rPr>
                <w:rFonts w:asciiTheme="minorHAnsi" w:eastAsiaTheme="minorEastAsia" w:hAnsiTheme="minorHAnsi" w:cstheme="minorBidi"/>
                <w:b w:val="0"/>
                <w:noProof/>
                <w:sz w:val="22"/>
                <w:szCs w:val="22"/>
              </w:rPr>
              <w:tab/>
            </w:r>
            <w:r w:rsidR="008D0328" w:rsidRPr="00D17389">
              <w:rPr>
                <w:rStyle w:val="Hyperlink"/>
                <w:noProof/>
              </w:rPr>
              <w:t>The results of control activities</w:t>
            </w:r>
            <w:r w:rsidR="008D0328">
              <w:rPr>
                <w:noProof/>
                <w:webHidden/>
              </w:rPr>
              <w:tab/>
            </w:r>
            <w:r w:rsidR="008D0328">
              <w:rPr>
                <w:noProof/>
                <w:webHidden/>
              </w:rPr>
              <w:fldChar w:fldCharType="begin"/>
            </w:r>
            <w:r w:rsidR="008D0328">
              <w:rPr>
                <w:noProof/>
                <w:webHidden/>
              </w:rPr>
              <w:instrText xml:space="preserve"> PAGEREF _Toc110444069 \h </w:instrText>
            </w:r>
            <w:r w:rsidR="008D0328">
              <w:rPr>
                <w:noProof/>
                <w:webHidden/>
              </w:rPr>
            </w:r>
            <w:r w:rsidR="008D0328">
              <w:rPr>
                <w:noProof/>
                <w:webHidden/>
              </w:rPr>
              <w:fldChar w:fldCharType="separate"/>
            </w:r>
            <w:r w:rsidR="00F963A8">
              <w:rPr>
                <w:noProof/>
                <w:webHidden/>
              </w:rPr>
              <w:t>30</w:t>
            </w:r>
            <w:r w:rsidR="008D0328">
              <w:rPr>
                <w:noProof/>
                <w:webHidden/>
              </w:rPr>
              <w:fldChar w:fldCharType="end"/>
            </w:r>
          </w:hyperlink>
        </w:p>
        <w:p w14:paraId="1A11EB9B" w14:textId="3D9CA497" w:rsidR="008D0328" w:rsidRDefault="00EA0D7C">
          <w:pPr>
            <w:pStyle w:val="TOC2"/>
            <w:rPr>
              <w:rFonts w:asciiTheme="minorHAnsi" w:eastAsiaTheme="minorEastAsia" w:hAnsiTheme="minorHAnsi" w:cstheme="minorBidi"/>
              <w:sz w:val="22"/>
              <w:szCs w:val="22"/>
            </w:rPr>
          </w:pPr>
          <w:hyperlink w:anchor="_Toc110444070" w:history="1">
            <w:r w:rsidR="008D0328" w:rsidRPr="00D17389">
              <w:rPr>
                <w:rStyle w:val="Hyperlink"/>
              </w:rPr>
              <w:t>6.1.</w:t>
            </w:r>
            <w:r w:rsidR="008D0328">
              <w:rPr>
                <w:rFonts w:asciiTheme="minorHAnsi" w:eastAsiaTheme="minorEastAsia" w:hAnsiTheme="minorHAnsi" w:cstheme="minorBidi"/>
                <w:sz w:val="22"/>
                <w:szCs w:val="22"/>
              </w:rPr>
              <w:tab/>
            </w:r>
            <w:r w:rsidR="008D0328" w:rsidRPr="00D17389">
              <w:rPr>
                <w:rStyle w:val="Hyperlink"/>
              </w:rPr>
              <w:t>Data sources and methodology</w:t>
            </w:r>
            <w:r w:rsidR="008D0328">
              <w:rPr>
                <w:webHidden/>
              </w:rPr>
              <w:tab/>
            </w:r>
            <w:r w:rsidR="008D0328">
              <w:rPr>
                <w:webHidden/>
              </w:rPr>
              <w:fldChar w:fldCharType="begin"/>
            </w:r>
            <w:r w:rsidR="008D0328">
              <w:rPr>
                <w:webHidden/>
              </w:rPr>
              <w:instrText xml:space="preserve"> PAGEREF _Toc110444070 \h </w:instrText>
            </w:r>
            <w:r w:rsidR="008D0328">
              <w:rPr>
                <w:webHidden/>
              </w:rPr>
            </w:r>
            <w:r w:rsidR="008D0328">
              <w:rPr>
                <w:webHidden/>
              </w:rPr>
              <w:fldChar w:fldCharType="separate"/>
            </w:r>
            <w:r w:rsidR="00F963A8">
              <w:rPr>
                <w:webHidden/>
              </w:rPr>
              <w:t>30</w:t>
            </w:r>
            <w:r w:rsidR="008D0328">
              <w:rPr>
                <w:webHidden/>
              </w:rPr>
              <w:fldChar w:fldCharType="end"/>
            </w:r>
          </w:hyperlink>
        </w:p>
        <w:p w14:paraId="3C886895" w14:textId="3D630494" w:rsidR="008D0328" w:rsidRDefault="00EA0D7C">
          <w:pPr>
            <w:pStyle w:val="TOC2"/>
            <w:rPr>
              <w:rFonts w:asciiTheme="minorHAnsi" w:eastAsiaTheme="minorEastAsia" w:hAnsiTheme="minorHAnsi" w:cstheme="minorBidi"/>
              <w:sz w:val="22"/>
              <w:szCs w:val="22"/>
            </w:rPr>
          </w:pPr>
          <w:hyperlink w:anchor="_Toc110444071" w:history="1">
            <w:r w:rsidR="008D0328" w:rsidRPr="00D17389">
              <w:rPr>
                <w:rStyle w:val="Hyperlink"/>
              </w:rPr>
              <w:t>6.2.</w:t>
            </w:r>
            <w:r w:rsidR="008D0328">
              <w:rPr>
                <w:rFonts w:asciiTheme="minorHAnsi" w:eastAsiaTheme="minorEastAsia" w:hAnsiTheme="minorHAnsi" w:cstheme="minorBidi"/>
                <w:sz w:val="22"/>
                <w:szCs w:val="22"/>
              </w:rPr>
              <w:tab/>
            </w:r>
            <w:r w:rsidR="008D0328" w:rsidRPr="00D17389">
              <w:rPr>
                <w:rStyle w:val="Hyperlink"/>
              </w:rPr>
              <w:t>Revenue</w:t>
            </w:r>
            <w:r w:rsidR="008D0328">
              <w:rPr>
                <w:webHidden/>
              </w:rPr>
              <w:tab/>
            </w:r>
            <w:r w:rsidR="008D0328">
              <w:rPr>
                <w:webHidden/>
              </w:rPr>
              <w:fldChar w:fldCharType="begin"/>
            </w:r>
            <w:r w:rsidR="008D0328">
              <w:rPr>
                <w:webHidden/>
              </w:rPr>
              <w:instrText xml:space="preserve"> PAGEREF _Toc110444071 \h </w:instrText>
            </w:r>
            <w:r w:rsidR="008D0328">
              <w:rPr>
                <w:webHidden/>
              </w:rPr>
            </w:r>
            <w:r w:rsidR="008D0328">
              <w:rPr>
                <w:webHidden/>
              </w:rPr>
              <w:fldChar w:fldCharType="separate"/>
            </w:r>
            <w:r w:rsidR="00F963A8">
              <w:rPr>
                <w:webHidden/>
              </w:rPr>
              <w:t>31</w:t>
            </w:r>
            <w:r w:rsidR="008D0328">
              <w:rPr>
                <w:webHidden/>
              </w:rPr>
              <w:fldChar w:fldCharType="end"/>
            </w:r>
          </w:hyperlink>
        </w:p>
        <w:p w14:paraId="5820FCB6" w14:textId="69028A98" w:rsidR="008D0328" w:rsidRDefault="00EA0D7C">
          <w:pPr>
            <w:pStyle w:val="TOC3"/>
            <w:rPr>
              <w:rFonts w:asciiTheme="minorHAnsi" w:eastAsiaTheme="minorEastAsia" w:hAnsiTheme="minorHAnsi" w:cstheme="minorBidi"/>
              <w:noProof/>
              <w:sz w:val="22"/>
              <w:szCs w:val="22"/>
            </w:rPr>
          </w:pPr>
          <w:hyperlink w:anchor="_Toc110444072" w:history="1">
            <w:r w:rsidR="008D0328" w:rsidRPr="00D17389">
              <w:rPr>
                <w:rStyle w:val="Hyperlink"/>
                <w:noProof/>
              </w:rPr>
              <w:t>6.2.1.</w:t>
            </w:r>
            <w:r w:rsidR="008D0328">
              <w:rPr>
                <w:rFonts w:asciiTheme="minorHAnsi" w:eastAsiaTheme="minorEastAsia" w:hAnsiTheme="minorHAnsi" w:cstheme="minorBidi"/>
                <w:noProof/>
                <w:sz w:val="22"/>
                <w:szCs w:val="22"/>
              </w:rPr>
              <w:tab/>
            </w:r>
            <w:r w:rsidR="008D0328" w:rsidRPr="00D17389">
              <w:rPr>
                <w:rStyle w:val="Hyperlink"/>
                <w:noProof/>
              </w:rPr>
              <w:t>VAT fraud</w:t>
            </w:r>
            <w:r w:rsidR="008D0328">
              <w:rPr>
                <w:noProof/>
                <w:webHidden/>
              </w:rPr>
              <w:tab/>
            </w:r>
            <w:r w:rsidR="008D0328">
              <w:rPr>
                <w:noProof/>
                <w:webHidden/>
              </w:rPr>
              <w:fldChar w:fldCharType="begin"/>
            </w:r>
            <w:r w:rsidR="008D0328">
              <w:rPr>
                <w:noProof/>
                <w:webHidden/>
              </w:rPr>
              <w:instrText xml:space="preserve"> PAGEREF _Toc110444072 \h </w:instrText>
            </w:r>
            <w:r w:rsidR="008D0328">
              <w:rPr>
                <w:noProof/>
                <w:webHidden/>
              </w:rPr>
            </w:r>
            <w:r w:rsidR="008D0328">
              <w:rPr>
                <w:noProof/>
                <w:webHidden/>
              </w:rPr>
              <w:fldChar w:fldCharType="separate"/>
            </w:r>
            <w:r w:rsidR="00F963A8">
              <w:rPr>
                <w:noProof/>
                <w:webHidden/>
              </w:rPr>
              <w:t>32</w:t>
            </w:r>
            <w:r w:rsidR="008D0328">
              <w:rPr>
                <w:noProof/>
                <w:webHidden/>
              </w:rPr>
              <w:fldChar w:fldCharType="end"/>
            </w:r>
          </w:hyperlink>
        </w:p>
        <w:p w14:paraId="048BB121" w14:textId="1AB385CC" w:rsidR="008D0328" w:rsidRDefault="00EA0D7C">
          <w:pPr>
            <w:pStyle w:val="TOC3"/>
            <w:rPr>
              <w:rFonts w:asciiTheme="minorHAnsi" w:eastAsiaTheme="minorEastAsia" w:hAnsiTheme="minorHAnsi" w:cstheme="minorBidi"/>
              <w:noProof/>
              <w:sz w:val="22"/>
              <w:szCs w:val="22"/>
            </w:rPr>
          </w:pPr>
          <w:hyperlink w:anchor="_Toc110444073" w:history="1">
            <w:r w:rsidR="008D0328" w:rsidRPr="00D17389">
              <w:rPr>
                <w:rStyle w:val="Hyperlink"/>
                <w:noProof/>
              </w:rPr>
              <w:t>6.2.2.</w:t>
            </w:r>
            <w:r w:rsidR="008D0328">
              <w:rPr>
                <w:rFonts w:asciiTheme="minorHAnsi" w:eastAsiaTheme="minorEastAsia" w:hAnsiTheme="minorHAnsi" w:cstheme="minorBidi"/>
                <w:noProof/>
                <w:sz w:val="22"/>
                <w:szCs w:val="22"/>
              </w:rPr>
              <w:tab/>
            </w:r>
            <w:r w:rsidR="008D0328" w:rsidRPr="00D17389">
              <w:rPr>
                <w:rStyle w:val="Hyperlink"/>
                <w:noProof/>
              </w:rPr>
              <w:t>Traditional own resources</w:t>
            </w:r>
            <w:r w:rsidR="008D0328">
              <w:rPr>
                <w:noProof/>
                <w:webHidden/>
              </w:rPr>
              <w:tab/>
            </w:r>
            <w:r w:rsidR="008D0328">
              <w:rPr>
                <w:noProof/>
                <w:webHidden/>
              </w:rPr>
              <w:fldChar w:fldCharType="begin"/>
            </w:r>
            <w:r w:rsidR="008D0328">
              <w:rPr>
                <w:noProof/>
                <w:webHidden/>
              </w:rPr>
              <w:instrText xml:space="preserve"> PAGEREF _Toc110444073 \h </w:instrText>
            </w:r>
            <w:r w:rsidR="008D0328">
              <w:rPr>
                <w:noProof/>
                <w:webHidden/>
              </w:rPr>
            </w:r>
            <w:r w:rsidR="008D0328">
              <w:rPr>
                <w:noProof/>
                <w:webHidden/>
              </w:rPr>
              <w:fldChar w:fldCharType="separate"/>
            </w:r>
            <w:r w:rsidR="00F963A8">
              <w:rPr>
                <w:noProof/>
                <w:webHidden/>
              </w:rPr>
              <w:t>32</w:t>
            </w:r>
            <w:r w:rsidR="008D0328">
              <w:rPr>
                <w:noProof/>
                <w:webHidden/>
              </w:rPr>
              <w:fldChar w:fldCharType="end"/>
            </w:r>
          </w:hyperlink>
        </w:p>
        <w:p w14:paraId="7E16FEC0" w14:textId="7420A964" w:rsidR="008D0328" w:rsidRDefault="00EA0D7C">
          <w:pPr>
            <w:pStyle w:val="TOC2"/>
            <w:rPr>
              <w:rFonts w:asciiTheme="minorHAnsi" w:eastAsiaTheme="minorEastAsia" w:hAnsiTheme="minorHAnsi" w:cstheme="minorBidi"/>
              <w:sz w:val="22"/>
              <w:szCs w:val="22"/>
            </w:rPr>
          </w:pPr>
          <w:hyperlink w:anchor="_Toc110444074" w:history="1">
            <w:r w:rsidR="008D0328" w:rsidRPr="00D17389">
              <w:rPr>
                <w:rStyle w:val="Hyperlink"/>
              </w:rPr>
              <w:t>6.3.</w:t>
            </w:r>
            <w:r w:rsidR="008D0328">
              <w:rPr>
                <w:rFonts w:asciiTheme="minorHAnsi" w:eastAsiaTheme="minorEastAsia" w:hAnsiTheme="minorHAnsi" w:cstheme="minorBidi"/>
                <w:sz w:val="22"/>
                <w:szCs w:val="22"/>
              </w:rPr>
              <w:tab/>
            </w:r>
            <w:r w:rsidR="008D0328" w:rsidRPr="00D17389">
              <w:rPr>
                <w:rStyle w:val="Hyperlink"/>
              </w:rPr>
              <w:t>Expenditure</w:t>
            </w:r>
            <w:r w:rsidR="008D0328">
              <w:rPr>
                <w:webHidden/>
              </w:rPr>
              <w:tab/>
            </w:r>
            <w:r w:rsidR="008D0328">
              <w:rPr>
                <w:webHidden/>
              </w:rPr>
              <w:fldChar w:fldCharType="begin"/>
            </w:r>
            <w:r w:rsidR="008D0328">
              <w:rPr>
                <w:webHidden/>
              </w:rPr>
              <w:instrText xml:space="preserve"> PAGEREF _Toc110444074 \h </w:instrText>
            </w:r>
            <w:r w:rsidR="008D0328">
              <w:rPr>
                <w:webHidden/>
              </w:rPr>
            </w:r>
            <w:r w:rsidR="008D0328">
              <w:rPr>
                <w:webHidden/>
              </w:rPr>
              <w:fldChar w:fldCharType="separate"/>
            </w:r>
            <w:r w:rsidR="00F963A8">
              <w:rPr>
                <w:webHidden/>
              </w:rPr>
              <w:t>34</w:t>
            </w:r>
            <w:r w:rsidR="008D0328">
              <w:rPr>
                <w:webHidden/>
              </w:rPr>
              <w:fldChar w:fldCharType="end"/>
            </w:r>
          </w:hyperlink>
        </w:p>
        <w:p w14:paraId="5337FBB1" w14:textId="240F49B5" w:rsidR="008D0328" w:rsidRDefault="00EA0D7C">
          <w:pPr>
            <w:pStyle w:val="TOC3"/>
            <w:rPr>
              <w:rFonts w:asciiTheme="minorHAnsi" w:eastAsiaTheme="minorEastAsia" w:hAnsiTheme="minorHAnsi" w:cstheme="minorBidi"/>
              <w:noProof/>
              <w:sz w:val="22"/>
              <w:szCs w:val="22"/>
            </w:rPr>
          </w:pPr>
          <w:hyperlink w:anchor="_Toc110444075" w:history="1">
            <w:r w:rsidR="008D0328" w:rsidRPr="00D17389">
              <w:rPr>
                <w:rStyle w:val="Hyperlink"/>
                <w:noProof/>
              </w:rPr>
              <w:t>6.3.1.</w:t>
            </w:r>
            <w:r w:rsidR="008D0328">
              <w:rPr>
                <w:rFonts w:asciiTheme="minorHAnsi" w:eastAsiaTheme="minorEastAsia" w:hAnsiTheme="minorHAnsi" w:cstheme="minorBidi"/>
                <w:noProof/>
                <w:sz w:val="22"/>
                <w:szCs w:val="22"/>
              </w:rPr>
              <w:tab/>
            </w:r>
            <w:r w:rsidR="008D0328" w:rsidRPr="00D17389">
              <w:rPr>
                <w:rStyle w:val="Hyperlink"/>
                <w:noProof/>
              </w:rPr>
              <w:t>Shared management</w:t>
            </w:r>
            <w:r w:rsidR="008D0328">
              <w:rPr>
                <w:noProof/>
                <w:webHidden/>
              </w:rPr>
              <w:tab/>
            </w:r>
            <w:r w:rsidR="008D0328">
              <w:rPr>
                <w:noProof/>
                <w:webHidden/>
              </w:rPr>
              <w:fldChar w:fldCharType="begin"/>
            </w:r>
            <w:r w:rsidR="008D0328">
              <w:rPr>
                <w:noProof/>
                <w:webHidden/>
              </w:rPr>
              <w:instrText xml:space="preserve"> PAGEREF _Toc110444075 \h </w:instrText>
            </w:r>
            <w:r w:rsidR="008D0328">
              <w:rPr>
                <w:noProof/>
                <w:webHidden/>
              </w:rPr>
            </w:r>
            <w:r w:rsidR="008D0328">
              <w:rPr>
                <w:noProof/>
                <w:webHidden/>
              </w:rPr>
              <w:fldChar w:fldCharType="separate"/>
            </w:r>
            <w:r w:rsidR="00F963A8">
              <w:rPr>
                <w:noProof/>
                <w:webHidden/>
              </w:rPr>
              <w:t>35</w:t>
            </w:r>
            <w:r w:rsidR="008D0328">
              <w:rPr>
                <w:noProof/>
                <w:webHidden/>
              </w:rPr>
              <w:fldChar w:fldCharType="end"/>
            </w:r>
          </w:hyperlink>
        </w:p>
        <w:p w14:paraId="25BF9D87" w14:textId="798B5947" w:rsidR="008D0328" w:rsidRDefault="00EA0D7C">
          <w:pPr>
            <w:pStyle w:val="TOC3"/>
            <w:rPr>
              <w:rFonts w:asciiTheme="minorHAnsi" w:eastAsiaTheme="minorEastAsia" w:hAnsiTheme="minorHAnsi" w:cstheme="minorBidi"/>
              <w:noProof/>
              <w:sz w:val="22"/>
              <w:szCs w:val="22"/>
            </w:rPr>
          </w:pPr>
          <w:hyperlink w:anchor="_Toc110444076" w:history="1">
            <w:r w:rsidR="008D0328" w:rsidRPr="00D17389">
              <w:rPr>
                <w:rStyle w:val="Hyperlink"/>
                <w:noProof/>
              </w:rPr>
              <w:t>6.3.2.</w:t>
            </w:r>
            <w:r w:rsidR="008D0328">
              <w:rPr>
                <w:rFonts w:asciiTheme="minorHAnsi" w:eastAsiaTheme="minorEastAsia" w:hAnsiTheme="minorHAnsi" w:cstheme="minorBidi"/>
                <w:noProof/>
                <w:sz w:val="22"/>
                <w:szCs w:val="22"/>
              </w:rPr>
              <w:tab/>
            </w:r>
            <w:r w:rsidR="008D0328" w:rsidRPr="00D17389">
              <w:rPr>
                <w:rStyle w:val="Hyperlink"/>
                <w:noProof/>
              </w:rPr>
              <w:t>Indirect management</w:t>
            </w:r>
            <w:r w:rsidR="008D0328">
              <w:rPr>
                <w:noProof/>
                <w:webHidden/>
              </w:rPr>
              <w:tab/>
            </w:r>
            <w:r w:rsidR="008D0328">
              <w:rPr>
                <w:noProof/>
                <w:webHidden/>
              </w:rPr>
              <w:fldChar w:fldCharType="begin"/>
            </w:r>
            <w:r w:rsidR="008D0328">
              <w:rPr>
                <w:noProof/>
                <w:webHidden/>
              </w:rPr>
              <w:instrText xml:space="preserve"> PAGEREF _Toc110444076 \h </w:instrText>
            </w:r>
            <w:r w:rsidR="008D0328">
              <w:rPr>
                <w:noProof/>
                <w:webHidden/>
              </w:rPr>
            </w:r>
            <w:r w:rsidR="008D0328">
              <w:rPr>
                <w:noProof/>
                <w:webHidden/>
              </w:rPr>
              <w:fldChar w:fldCharType="separate"/>
            </w:r>
            <w:r w:rsidR="00F963A8">
              <w:rPr>
                <w:noProof/>
                <w:webHidden/>
              </w:rPr>
              <w:t>39</w:t>
            </w:r>
            <w:r w:rsidR="008D0328">
              <w:rPr>
                <w:noProof/>
                <w:webHidden/>
              </w:rPr>
              <w:fldChar w:fldCharType="end"/>
            </w:r>
          </w:hyperlink>
        </w:p>
        <w:p w14:paraId="430B10EB" w14:textId="71ECDF4B" w:rsidR="008D0328" w:rsidRDefault="00EA0D7C">
          <w:pPr>
            <w:pStyle w:val="TOC3"/>
            <w:rPr>
              <w:rFonts w:asciiTheme="minorHAnsi" w:eastAsiaTheme="minorEastAsia" w:hAnsiTheme="minorHAnsi" w:cstheme="minorBidi"/>
              <w:noProof/>
              <w:sz w:val="22"/>
              <w:szCs w:val="22"/>
            </w:rPr>
          </w:pPr>
          <w:hyperlink w:anchor="_Toc110444077" w:history="1">
            <w:r w:rsidR="008D0328" w:rsidRPr="00D17389">
              <w:rPr>
                <w:rStyle w:val="Hyperlink"/>
                <w:noProof/>
              </w:rPr>
              <w:t>6.3.3.</w:t>
            </w:r>
            <w:r w:rsidR="008D0328">
              <w:rPr>
                <w:rFonts w:asciiTheme="minorHAnsi" w:eastAsiaTheme="minorEastAsia" w:hAnsiTheme="minorHAnsi" w:cstheme="minorBidi"/>
                <w:noProof/>
                <w:sz w:val="22"/>
                <w:szCs w:val="22"/>
              </w:rPr>
              <w:tab/>
            </w:r>
            <w:r w:rsidR="008D0328" w:rsidRPr="00D17389">
              <w:rPr>
                <w:rStyle w:val="Hyperlink"/>
                <w:noProof/>
              </w:rPr>
              <w:t>Direct management</w:t>
            </w:r>
            <w:r w:rsidR="008D0328">
              <w:rPr>
                <w:noProof/>
                <w:webHidden/>
              </w:rPr>
              <w:tab/>
            </w:r>
            <w:r w:rsidR="008D0328">
              <w:rPr>
                <w:noProof/>
                <w:webHidden/>
              </w:rPr>
              <w:fldChar w:fldCharType="begin"/>
            </w:r>
            <w:r w:rsidR="008D0328">
              <w:rPr>
                <w:noProof/>
                <w:webHidden/>
              </w:rPr>
              <w:instrText xml:space="preserve"> PAGEREF _Toc110444077 \h </w:instrText>
            </w:r>
            <w:r w:rsidR="008D0328">
              <w:rPr>
                <w:noProof/>
                <w:webHidden/>
              </w:rPr>
            </w:r>
            <w:r w:rsidR="008D0328">
              <w:rPr>
                <w:noProof/>
                <w:webHidden/>
              </w:rPr>
              <w:fldChar w:fldCharType="separate"/>
            </w:r>
            <w:r w:rsidR="00F963A8">
              <w:rPr>
                <w:noProof/>
                <w:webHidden/>
              </w:rPr>
              <w:t>39</w:t>
            </w:r>
            <w:r w:rsidR="008D0328">
              <w:rPr>
                <w:noProof/>
                <w:webHidden/>
              </w:rPr>
              <w:fldChar w:fldCharType="end"/>
            </w:r>
          </w:hyperlink>
        </w:p>
        <w:p w14:paraId="1A94EF26" w14:textId="32FFB850" w:rsidR="008D0328" w:rsidRDefault="00EA0D7C">
          <w:pPr>
            <w:pStyle w:val="TOC1"/>
            <w:rPr>
              <w:rFonts w:asciiTheme="minorHAnsi" w:eastAsiaTheme="minorEastAsia" w:hAnsiTheme="minorHAnsi" w:cstheme="minorBidi"/>
              <w:b w:val="0"/>
              <w:noProof/>
              <w:sz w:val="22"/>
              <w:szCs w:val="22"/>
            </w:rPr>
          </w:pPr>
          <w:hyperlink w:anchor="_Toc110444078" w:history="1">
            <w:r w:rsidR="008D0328" w:rsidRPr="00D17389">
              <w:rPr>
                <w:rStyle w:val="Hyperlink"/>
                <w:noProof/>
              </w:rPr>
              <w:t>7.</w:t>
            </w:r>
            <w:r w:rsidR="008D0328">
              <w:rPr>
                <w:rFonts w:asciiTheme="minorHAnsi" w:eastAsiaTheme="minorEastAsia" w:hAnsiTheme="minorHAnsi" w:cstheme="minorBidi"/>
                <w:b w:val="0"/>
                <w:noProof/>
                <w:sz w:val="22"/>
                <w:szCs w:val="22"/>
              </w:rPr>
              <w:tab/>
            </w:r>
            <w:r w:rsidR="008D0328" w:rsidRPr="00D17389">
              <w:rPr>
                <w:rStyle w:val="Hyperlink"/>
                <w:noProof/>
              </w:rPr>
              <w:t>Outlook for 2022, Conclusions and Recommendations</w:t>
            </w:r>
            <w:r w:rsidR="008D0328">
              <w:rPr>
                <w:noProof/>
                <w:webHidden/>
              </w:rPr>
              <w:tab/>
            </w:r>
            <w:r w:rsidR="008D0328">
              <w:rPr>
                <w:noProof/>
                <w:webHidden/>
              </w:rPr>
              <w:fldChar w:fldCharType="begin"/>
            </w:r>
            <w:r w:rsidR="008D0328">
              <w:rPr>
                <w:noProof/>
                <w:webHidden/>
              </w:rPr>
              <w:instrText xml:space="preserve"> PAGEREF _Toc110444078 \h </w:instrText>
            </w:r>
            <w:r w:rsidR="008D0328">
              <w:rPr>
                <w:noProof/>
                <w:webHidden/>
              </w:rPr>
            </w:r>
            <w:r w:rsidR="008D0328">
              <w:rPr>
                <w:noProof/>
                <w:webHidden/>
              </w:rPr>
              <w:fldChar w:fldCharType="separate"/>
            </w:r>
            <w:r w:rsidR="00F963A8">
              <w:rPr>
                <w:noProof/>
                <w:webHidden/>
              </w:rPr>
              <w:t>40</w:t>
            </w:r>
            <w:r w:rsidR="008D0328">
              <w:rPr>
                <w:noProof/>
                <w:webHidden/>
              </w:rPr>
              <w:fldChar w:fldCharType="end"/>
            </w:r>
          </w:hyperlink>
        </w:p>
        <w:p w14:paraId="5EA74E3C" w14:textId="273F2CAB" w:rsidR="008D0328" w:rsidRDefault="00EA0D7C">
          <w:pPr>
            <w:pStyle w:val="TOC2"/>
            <w:rPr>
              <w:rFonts w:asciiTheme="minorHAnsi" w:eastAsiaTheme="minorEastAsia" w:hAnsiTheme="minorHAnsi" w:cstheme="minorBidi"/>
              <w:sz w:val="22"/>
              <w:szCs w:val="22"/>
            </w:rPr>
          </w:pPr>
          <w:hyperlink w:anchor="_Toc110444079" w:history="1">
            <w:r w:rsidR="008D0328" w:rsidRPr="00D17389">
              <w:rPr>
                <w:rStyle w:val="Hyperlink"/>
              </w:rPr>
              <w:t>7.1.</w:t>
            </w:r>
            <w:r w:rsidR="008D0328">
              <w:rPr>
                <w:rFonts w:asciiTheme="minorHAnsi" w:eastAsiaTheme="minorEastAsia" w:hAnsiTheme="minorHAnsi" w:cstheme="minorBidi"/>
                <w:sz w:val="22"/>
                <w:szCs w:val="22"/>
              </w:rPr>
              <w:tab/>
            </w:r>
            <w:r w:rsidR="008D0328" w:rsidRPr="00D17389">
              <w:rPr>
                <w:rStyle w:val="Hyperlink"/>
              </w:rPr>
              <w:t>The EU anti-fraud area</w:t>
            </w:r>
            <w:r w:rsidR="008D0328">
              <w:rPr>
                <w:webHidden/>
              </w:rPr>
              <w:tab/>
            </w:r>
            <w:r w:rsidR="008D0328">
              <w:rPr>
                <w:webHidden/>
              </w:rPr>
              <w:fldChar w:fldCharType="begin"/>
            </w:r>
            <w:r w:rsidR="008D0328">
              <w:rPr>
                <w:webHidden/>
              </w:rPr>
              <w:instrText xml:space="preserve"> PAGEREF _Toc110444079 \h </w:instrText>
            </w:r>
            <w:r w:rsidR="008D0328">
              <w:rPr>
                <w:webHidden/>
              </w:rPr>
            </w:r>
            <w:r w:rsidR="008D0328">
              <w:rPr>
                <w:webHidden/>
              </w:rPr>
              <w:fldChar w:fldCharType="separate"/>
            </w:r>
            <w:r w:rsidR="00F963A8">
              <w:rPr>
                <w:webHidden/>
              </w:rPr>
              <w:t>40</w:t>
            </w:r>
            <w:r w:rsidR="008D0328">
              <w:rPr>
                <w:webHidden/>
              </w:rPr>
              <w:fldChar w:fldCharType="end"/>
            </w:r>
          </w:hyperlink>
        </w:p>
        <w:p w14:paraId="53712DEF" w14:textId="3DA16FAB" w:rsidR="008D0328" w:rsidRDefault="00EA0D7C">
          <w:pPr>
            <w:pStyle w:val="TOC2"/>
            <w:rPr>
              <w:rFonts w:asciiTheme="minorHAnsi" w:eastAsiaTheme="minorEastAsia" w:hAnsiTheme="minorHAnsi" w:cstheme="minorBidi"/>
              <w:sz w:val="22"/>
              <w:szCs w:val="22"/>
            </w:rPr>
          </w:pPr>
          <w:hyperlink w:anchor="_Toc110444080" w:history="1">
            <w:r w:rsidR="008D0328" w:rsidRPr="00D17389">
              <w:rPr>
                <w:rStyle w:val="Hyperlink"/>
              </w:rPr>
              <w:t>7.2.</w:t>
            </w:r>
            <w:r w:rsidR="008D0328">
              <w:rPr>
                <w:rFonts w:asciiTheme="minorHAnsi" w:eastAsiaTheme="minorEastAsia" w:hAnsiTheme="minorHAnsi" w:cstheme="minorBidi"/>
                <w:sz w:val="22"/>
                <w:szCs w:val="22"/>
              </w:rPr>
              <w:tab/>
            </w:r>
            <w:r w:rsidR="008D0328" w:rsidRPr="00D17389">
              <w:rPr>
                <w:rStyle w:val="Hyperlink"/>
                <w:shd w:val="clear" w:color="auto" w:fill="FEFFFF"/>
              </w:rPr>
              <w:t>Transparency, fraud risk management and digitalisation of the fight against fraud</w:t>
            </w:r>
            <w:r w:rsidR="008D0328">
              <w:rPr>
                <w:webHidden/>
              </w:rPr>
              <w:tab/>
            </w:r>
            <w:r w:rsidR="008D0328">
              <w:rPr>
                <w:webHidden/>
              </w:rPr>
              <w:fldChar w:fldCharType="begin"/>
            </w:r>
            <w:r w:rsidR="008D0328">
              <w:rPr>
                <w:webHidden/>
              </w:rPr>
              <w:instrText xml:space="preserve"> PAGEREF _Toc110444080 \h </w:instrText>
            </w:r>
            <w:r w:rsidR="008D0328">
              <w:rPr>
                <w:webHidden/>
              </w:rPr>
            </w:r>
            <w:r w:rsidR="008D0328">
              <w:rPr>
                <w:webHidden/>
              </w:rPr>
              <w:fldChar w:fldCharType="separate"/>
            </w:r>
            <w:r w:rsidR="00F963A8">
              <w:rPr>
                <w:webHidden/>
              </w:rPr>
              <w:t>41</w:t>
            </w:r>
            <w:r w:rsidR="008D0328">
              <w:rPr>
                <w:webHidden/>
              </w:rPr>
              <w:fldChar w:fldCharType="end"/>
            </w:r>
          </w:hyperlink>
        </w:p>
        <w:p w14:paraId="48C09575" w14:textId="04021778" w:rsidR="00190177" w:rsidRDefault="004F6F3F">
          <w:pPr>
            <w:rPr>
              <w:noProof/>
            </w:rPr>
          </w:pPr>
          <w:r>
            <w:rPr>
              <w:noProof/>
            </w:rPr>
            <w:fldChar w:fldCharType="end"/>
          </w:r>
          <w:r>
            <w:rPr>
              <w:noProof/>
            </w:rPr>
            <w:br w:type="page"/>
          </w:r>
        </w:p>
      </w:sdtContent>
    </w:sdt>
    <w:p w14:paraId="2D13733E" w14:textId="77777777" w:rsidR="001E21E5" w:rsidRDefault="00440F24" w:rsidP="001E21E5">
      <w:pPr>
        <w:rPr>
          <w:b/>
          <w:noProof/>
        </w:rPr>
      </w:pPr>
      <w:r w:rsidRPr="00440F24">
        <w:rPr>
          <w:b/>
          <w:noProof/>
        </w:rPr>
        <w:t>EXECUTIVE SUMMARY</w:t>
      </w:r>
    </w:p>
    <w:p w14:paraId="0E61B5BF" w14:textId="4A42DCFB" w:rsidR="005D2D3A" w:rsidRDefault="005D2D3A" w:rsidP="005D2D3A">
      <w:pPr>
        <w:rPr>
          <w:noProof/>
        </w:rPr>
      </w:pPr>
      <w:r>
        <w:rPr>
          <w:noProof/>
        </w:rPr>
        <w:t>The COVID-19 pandemic brought new challenges to which the EU reacted swiftly, in a flexible way and by deploying new instruments and resources. With the introduction of the Recovery and Resilience Facility (RRF) and the implementation of the national recovery and resilience plans, the role of national authorities to ensure an adequate level of protection of the EU’s financial interests has significantly increased. The Commission has supported national authorities while assessing the national plans, paying particular attention to the design of measures to protect the RRF resources from fraud, corruption, conflict of interest and double funding.</w:t>
      </w:r>
    </w:p>
    <w:p w14:paraId="558625EB" w14:textId="37AB22CD" w:rsidR="005D2D3A" w:rsidRDefault="005D2D3A" w:rsidP="005D2D3A">
      <w:pPr>
        <w:rPr>
          <w:noProof/>
        </w:rPr>
      </w:pPr>
      <w:r>
        <w:rPr>
          <w:noProof/>
        </w:rPr>
        <w:t>The EU and national anti-fraud players have strengthened their cooperation throughout 2021, both in relation to the protection of EU revenue and expenditure. The European Public Prosecutor’s Office (EPPO) started its operations on 1 June 2021. The operational results from the European Anti-Fraud Office (OLAF) and the EPPO show the added value that EU bodies bring to the protection of the EU’s financial interests and the fight against fraud, overcoming national systems’ limitations in dealing with cross-border crime in particular.</w:t>
      </w:r>
    </w:p>
    <w:p w14:paraId="166997CB" w14:textId="77777777" w:rsidR="005D2D3A" w:rsidRDefault="005D2D3A" w:rsidP="005D2D3A">
      <w:pPr>
        <w:rPr>
          <w:noProof/>
        </w:rPr>
      </w:pPr>
      <w:r>
        <w:rPr>
          <w:noProof/>
        </w:rPr>
        <w:t>In 2021 the EU completed the adoption of the 2021-2027 spending programmes. The legislation ensures that the Commission, OLAF, the European Court of Auditors and the EPPO can exercise their mandate and that national authorities put in place effective anti-fraud measures taking into account any risk identified. Among these programmes, the Union Anti-Fraud Programme supports the fight against fraud by providing grants for specific initiatives and enabling the financing of dedicated IT platform and tools to facilitate the exchange of information between the Member States and the EU.</w:t>
      </w:r>
    </w:p>
    <w:p w14:paraId="6BF0FE0A" w14:textId="0209DAFD" w:rsidR="005D2D3A" w:rsidRDefault="005D2D3A" w:rsidP="005D2D3A">
      <w:pPr>
        <w:rPr>
          <w:noProof/>
        </w:rPr>
      </w:pPr>
      <w:r>
        <w:rPr>
          <w:noProof/>
        </w:rPr>
        <w:t>The number of fraud and irregularities reported by the competent EU and national authorities remained stable in 2021 compared to 2020, while the related irregular amounts increased, due to significant detections in a limited number of Member States. The number of non-fraudulent irregularities reported in certain areas of spending is low when compared to the previous programming period. This drop may partly be explained by e.g. delays in the implementation of operational programmes, changes in reporting practices and the use of simplified cost options.</w:t>
      </w:r>
    </w:p>
    <w:p w14:paraId="174EC7C9" w14:textId="7171D82E" w:rsidR="005D2D3A" w:rsidRDefault="005D2D3A" w:rsidP="005D2D3A">
      <w:pPr>
        <w:rPr>
          <w:noProof/>
        </w:rPr>
      </w:pPr>
      <w:r>
        <w:rPr>
          <w:noProof/>
        </w:rPr>
        <w:t>Besides recurring risks, the implementation of the RRF will increase the pressure on national administrations in the coming years, as they will need to implement the RRF plans and, at the same time, the 2021-2027 spending programmes. In this respect they will need to show expertise and control of different management modes linked to the implementation of the various funds.</w:t>
      </w:r>
    </w:p>
    <w:p w14:paraId="2EE0861A" w14:textId="552FF0AA" w:rsidR="00AB08C0" w:rsidRDefault="005D2D3A" w:rsidP="005D2D3A">
      <w:pPr>
        <w:rPr>
          <w:noProof/>
          <w:lang w:val="en-IE"/>
        </w:rPr>
      </w:pPr>
      <w:r>
        <w:rPr>
          <w:noProof/>
        </w:rPr>
        <w:t xml:space="preserve">The EU </w:t>
      </w:r>
      <w:r w:rsidR="00C24DE6">
        <w:rPr>
          <w:noProof/>
        </w:rPr>
        <w:t>aims to</w:t>
      </w:r>
      <w:r>
        <w:rPr>
          <w:noProof/>
        </w:rPr>
        <w:t xml:space="preserve"> pursu</w:t>
      </w:r>
      <w:r w:rsidR="00C24DE6">
        <w:rPr>
          <w:noProof/>
        </w:rPr>
        <w:t xml:space="preserve">e </w:t>
      </w:r>
      <w:r>
        <w:rPr>
          <w:noProof/>
        </w:rPr>
        <w:t xml:space="preserve">increased coherence and harmonisation to eliminate </w:t>
      </w:r>
      <w:r w:rsidR="00C24DE6">
        <w:rPr>
          <w:noProof/>
        </w:rPr>
        <w:t>potential</w:t>
      </w:r>
      <w:r>
        <w:rPr>
          <w:noProof/>
        </w:rPr>
        <w:t xml:space="preserve"> loopholes in the overall control architecture that c</w:t>
      </w:r>
      <w:r w:rsidR="00C24DE6">
        <w:rPr>
          <w:noProof/>
        </w:rPr>
        <w:t>ould</w:t>
      </w:r>
      <w:r>
        <w:rPr>
          <w:noProof/>
        </w:rPr>
        <w:t xml:space="preserve"> be exploited by fraudsters. The guiding principles have already been laid down in EU legislation, but can be further reinforced. Member States should correct the identified problems linked to the transposition of the PIF Directive and pursue the enhancement of transparency, digitalisation of the fight against fraud and the continuous strengthening and development of fraud risk assessment and management. The Commission has put forward a proposal for the amendment of the Financial Regulation that aims </w:t>
      </w:r>
      <w:r w:rsidR="00C24DE6">
        <w:rPr>
          <w:noProof/>
        </w:rPr>
        <w:t xml:space="preserve">to </w:t>
      </w:r>
      <w:r>
        <w:rPr>
          <w:noProof/>
        </w:rPr>
        <w:t>strengthen EU action along these lines.</w:t>
      </w:r>
    </w:p>
    <w:p w14:paraId="1F327BDA" w14:textId="59D476B4" w:rsidR="00440F24" w:rsidRPr="00DC1244" w:rsidRDefault="004F6F3F" w:rsidP="009A3D43">
      <w:pPr>
        <w:rPr>
          <w:b/>
          <w:noProof/>
          <w:lang w:val="en-IE"/>
        </w:rPr>
      </w:pPr>
      <w:r w:rsidRPr="00DC1244">
        <w:rPr>
          <w:b/>
          <w:noProof/>
          <w:lang w:val="en-IE"/>
        </w:rPr>
        <w:br w:type="page"/>
      </w:r>
    </w:p>
    <w:p w14:paraId="6EC62592" w14:textId="77777777" w:rsidR="00190177" w:rsidRDefault="00440F24">
      <w:pPr>
        <w:rPr>
          <w:b/>
          <w:noProof/>
          <w:lang w:val="en-IE"/>
        </w:rPr>
      </w:pPr>
      <w:bookmarkStart w:id="2" w:name="_Toc76127613"/>
      <w:r w:rsidRPr="00440F24">
        <w:rPr>
          <w:b/>
          <w:noProof/>
          <w:lang w:val="en-IE"/>
        </w:rPr>
        <w:t>LIST OF ABBREVIATIONS</w:t>
      </w:r>
      <w:bookmarkEnd w:id="2"/>
    </w:p>
    <w:tbl>
      <w:tblPr>
        <w:tblW w:w="8364" w:type="dxa"/>
        <w:tblInd w:w="108" w:type="dxa"/>
        <w:tblLook w:val="04A0" w:firstRow="1" w:lastRow="0" w:firstColumn="1" w:lastColumn="0" w:noHBand="0" w:noVBand="1"/>
      </w:tblPr>
      <w:tblGrid>
        <w:gridCol w:w="1400"/>
        <w:gridCol w:w="6964"/>
      </w:tblGrid>
      <w:tr w:rsidR="00CF7811" w:rsidRPr="00A9447A" w14:paraId="2B98B084" w14:textId="77777777" w:rsidTr="00A27EF6">
        <w:trPr>
          <w:trHeight w:val="315"/>
        </w:trPr>
        <w:tc>
          <w:tcPr>
            <w:tcW w:w="1400" w:type="dxa"/>
            <w:tcBorders>
              <w:top w:val="nil"/>
              <w:left w:val="nil"/>
              <w:bottom w:val="nil"/>
              <w:right w:val="nil"/>
            </w:tcBorders>
            <w:shd w:val="clear" w:color="auto" w:fill="auto"/>
            <w:noWrap/>
            <w:vAlign w:val="bottom"/>
          </w:tcPr>
          <w:p w14:paraId="429C47E7" w14:textId="77777777" w:rsidR="00CF7811" w:rsidRPr="00A9447A" w:rsidRDefault="00CF7811" w:rsidP="00A27EF6">
            <w:pPr>
              <w:spacing w:after="0"/>
              <w:jc w:val="left"/>
              <w:rPr>
                <w:noProof/>
                <w:color w:val="000000"/>
                <w:szCs w:val="24"/>
              </w:rPr>
            </w:pPr>
            <w:r>
              <w:rPr>
                <w:noProof/>
                <w:color w:val="000000"/>
                <w:szCs w:val="24"/>
              </w:rPr>
              <w:t>AFIS</w:t>
            </w:r>
          </w:p>
        </w:tc>
        <w:tc>
          <w:tcPr>
            <w:tcW w:w="6964" w:type="dxa"/>
            <w:tcBorders>
              <w:top w:val="nil"/>
              <w:left w:val="nil"/>
              <w:bottom w:val="nil"/>
              <w:right w:val="nil"/>
            </w:tcBorders>
            <w:shd w:val="clear" w:color="auto" w:fill="auto"/>
            <w:noWrap/>
            <w:vAlign w:val="bottom"/>
          </w:tcPr>
          <w:p w14:paraId="007F381F" w14:textId="77777777" w:rsidR="00CF7811" w:rsidRPr="00A9447A" w:rsidRDefault="00CF7811" w:rsidP="00A27EF6">
            <w:pPr>
              <w:spacing w:after="0"/>
              <w:jc w:val="left"/>
              <w:rPr>
                <w:noProof/>
                <w:color w:val="000000"/>
                <w:szCs w:val="24"/>
              </w:rPr>
            </w:pPr>
            <w:r>
              <w:rPr>
                <w:noProof/>
                <w:color w:val="000000"/>
                <w:szCs w:val="24"/>
              </w:rPr>
              <w:t>Anti-Fraud Information System</w:t>
            </w:r>
          </w:p>
        </w:tc>
      </w:tr>
      <w:tr w:rsidR="00440F24" w:rsidRPr="00A9447A" w14:paraId="79D7A2D4" w14:textId="77777777" w:rsidTr="00A27EF6">
        <w:trPr>
          <w:trHeight w:val="315"/>
        </w:trPr>
        <w:tc>
          <w:tcPr>
            <w:tcW w:w="1400" w:type="dxa"/>
            <w:tcBorders>
              <w:top w:val="nil"/>
              <w:left w:val="nil"/>
              <w:bottom w:val="nil"/>
              <w:right w:val="nil"/>
            </w:tcBorders>
            <w:shd w:val="clear" w:color="auto" w:fill="auto"/>
            <w:noWrap/>
            <w:vAlign w:val="bottom"/>
            <w:hideMark/>
          </w:tcPr>
          <w:p w14:paraId="1BB874B9" w14:textId="77777777" w:rsidR="00440F24" w:rsidRPr="00A9447A" w:rsidRDefault="00440F24" w:rsidP="00A27EF6">
            <w:pPr>
              <w:spacing w:after="0"/>
              <w:jc w:val="left"/>
              <w:rPr>
                <w:noProof/>
                <w:color w:val="000000"/>
                <w:szCs w:val="24"/>
              </w:rPr>
            </w:pPr>
            <w:r w:rsidRPr="00A9447A">
              <w:rPr>
                <w:noProof/>
                <w:color w:val="000000"/>
                <w:szCs w:val="24"/>
              </w:rPr>
              <w:t>AFCOS</w:t>
            </w:r>
          </w:p>
        </w:tc>
        <w:tc>
          <w:tcPr>
            <w:tcW w:w="6964" w:type="dxa"/>
            <w:tcBorders>
              <w:top w:val="nil"/>
              <w:left w:val="nil"/>
              <w:bottom w:val="nil"/>
              <w:right w:val="nil"/>
            </w:tcBorders>
            <w:shd w:val="clear" w:color="auto" w:fill="auto"/>
            <w:noWrap/>
            <w:vAlign w:val="bottom"/>
            <w:hideMark/>
          </w:tcPr>
          <w:p w14:paraId="0E62A81A" w14:textId="77777777" w:rsidR="00440F24" w:rsidRPr="00A9447A" w:rsidRDefault="00440F24" w:rsidP="00A27EF6">
            <w:pPr>
              <w:spacing w:after="0"/>
              <w:jc w:val="left"/>
              <w:rPr>
                <w:noProof/>
                <w:color w:val="000000"/>
                <w:szCs w:val="24"/>
              </w:rPr>
            </w:pPr>
            <w:r w:rsidRPr="00A9447A">
              <w:rPr>
                <w:noProof/>
                <w:color w:val="000000"/>
                <w:szCs w:val="24"/>
              </w:rPr>
              <w:t>Anti-Fraud Coordination Service</w:t>
            </w:r>
          </w:p>
        </w:tc>
      </w:tr>
      <w:tr w:rsidR="00440F24" w:rsidRPr="00A9447A" w14:paraId="73BB2D50" w14:textId="77777777" w:rsidTr="00A27EF6">
        <w:trPr>
          <w:trHeight w:val="315"/>
        </w:trPr>
        <w:tc>
          <w:tcPr>
            <w:tcW w:w="1400" w:type="dxa"/>
            <w:tcBorders>
              <w:top w:val="nil"/>
              <w:left w:val="nil"/>
              <w:bottom w:val="nil"/>
              <w:right w:val="nil"/>
            </w:tcBorders>
            <w:shd w:val="clear" w:color="auto" w:fill="auto"/>
            <w:noWrap/>
            <w:vAlign w:val="bottom"/>
            <w:hideMark/>
          </w:tcPr>
          <w:p w14:paraId="608E9C1B" w14:textId="77777777" w:rsidR="00440F24" w:rsidRPr="00A9447A" w:rsidRDefault="00440F24" w:rsidP="00A27EF6">
            <w:pPr>
              <w:spacing w:after="0"/>
              <w:jc w:val="left"/>
              <w:rPr>
                <w:noProof/>
                <w:color w:val="000000"/>
                <w:szCs w:val="24"/>
              </w:rPr>
            </w:pPr>
            <w:r w:rsidRPr="00A9447A">
              <w:rPr>
                <w:noProof/>
                <w:color w:val="000000"/>
                <w:szCs w:val="24"/>
              </w:rPr>
              <w:t>CAFS</w:t>
            </w:r>
          </w:p>
        </w:tc>
        <w:tc>
          <w:tcPr>
            <w:tcW w:w="6964" w:type="dxa"/>
            <w:tcBorders>
              <w:top w:val="nil"/>
              <w:left w:val="nil"/>
              <w:bottom w:val="nil"/>
              <w:right w:val="nil"/>
            </w:tcBorders>
            <w:shd w:val="clear" w:color="auto" w:fill="auto"/>
            <w:noWrap/>
            <w:vAlign w:val="bottom"/>
            <w:hideMark/>
          </w:tcPr>
          <w:p w14:paraId="5A07AE6B" w14:textId="77777777" w:rsidR="00440F24" w:rsidRPr="00A9447A" w:rsidRDefault="00440F24" w:rsidP="00A27EF6">
            <w:pPr>
              <w:spacing w:after="0"/>
              <w:jc w:val="left"/>
              <w:rPr>
                <w:noProof/>
                <w:color w:val="000000"/>
                <w:szCs w:val="24"/>
              </w:rPr>
            </w:pPr>
            <w:r w:rsidRPr="00A9447A">
              <w:rPr>
                <w:noProof/>
                <w:color w:val="000000"/>
                <w:szCs w:val="24"/>
              </w:rPr>
              <w:t>Commission Anti-Fraud Strategy</w:t>
            </w:r>
          </w:p>
        </w:tc>
      </w:tr>
      <w:tr w:rsidR="00CF7811" w:rsidRPr="00A9447A" w14:paraId="3521EEDD" w14:textId="77777777" w:rsidTr="00A27EF6">
        <w:trPr>
          <w:trHeight w:val="315"/>
        </w:trPr>
        <w:tc>
          <w:tcPr>
            <w:tcW w:w="1400" w:type="dxa"/>
            <w:tcBorders>
              <w:top w:val="nil"/>
              <w:left w:val="nil"/>
              <w:bottom w:val="nil"/>
              <w:right w:val="nil"/>
            </w:tcBorders>
            <w:shd w:val="clear" w:color="auto" w:fill="auto"/>
            <w:noWrap/>
            <w:vAlign w:val="bottom"/>
          </w:tcPr>
          <w:p w14:paraId="6EC64C39" w14:textId="77777777" w:rsidR="00CF7811" w:rsidRPr="00A9447A" w:rsidRDefault="00CF7811" w:rsidP="00A27EF6">
            <w:pPr>
              <w:spacing w:after="0"/>
              <w:jc w:val="left"/>
              <w:rPr>
                <w:noProof/>
                <w:color w:val="000000"/>
                <w:szCs w:val="24"/>
              </w:rPr>
            </w:pPr>
            <w:r>
              <w:rPr>
                <w:noProof/>
                <w:color w:val="000000"/>
                <w:szCs w:val="24"/>
              </w:rPr>
              <w:t>CoSP</w:t>
            </w:r>
          </w:p>
        </w:tc>
        <w:tc>
          <w:tcPr>
            <w:tcW w:w="6964" w:type="dxa"/>
            <w:tcBorders>
              <w:top w:val="nil"/>
              <w:left w:val="nil"/>
              <w:bottom w:val="nil"/>
              <w:right w:val="nil"/>
            </w:tcBorders>
            <w:shd w:val="clear" w:color="auto" w:fill="auto"/>
            <w:noWrap/>
            <w:vAlign w:val="bottom"/>
          </w:tcPr>
          <w:p w14:paraId="486711C8" w14:textId="77777777" w:rsidR="00CF7811" w:rsidRPr="00A9447A" w:rsidRDefault="00CF7811" w:rsidP="00A27EF6">
            <w:pPr>
              <w:spacing w:after="0"/>
              <w:jc w:val="left"/>
              <w:rPr>
                <w:noProof/>
                <w:color w:val="000000"/>
                <w:szCs w:val="24"/>
              </w:rPr>
            </w:pPr>
            <w:r>
              <w:rPr>
                <w:noProof/>
                <w:color w:val="000000"/>
                <w:szCs w:val="24"/>
              </w:rPr>
              <w:t>Conference of State Parties</w:t>
            </w:r>
          </w:p>
        </w:tc>
      </w:tr>
      <w:tr w:rsidR="00CF7811" w:rsidRPr="00A9447A" w14:paraId="1CF1E425" w14:textId="77777777" w:rsidTr="00A27EF6">
        <w:trPr>
          <w:trHeight w:val="315"/>
        </w:trPr>
        <w:tc>
          <w:tcPr>
            <w:tcW w:w="1400" w:type="dxa"/>
            <w:tcBorders>
              <w:top w:val="nil"/>
              <w:left w:val="nil"/>
              <w:bottom w:val="nil"/>
              <w:right w:val="nil"/>
            </w:tcBorders>
            <w:shd w:val="clear" w:color="auto" w:fill="auto"/>
            <w:noWrap/>
            <w:vAlign w:val="bottom"/>
          </w:tcPr>
          <w:p w14:paraId="71D55984" w14:textId="77777777" w:rsidR="00CF7811" w:rsidRPr="00A9447A" w:rsidRDefault="00CF7811" w:rsidP="00A27EF6">
            <w:pPr>
              <w:spacing w:after="0"/>
              <w:jc w:val="left"/>
              <w:rPr>
                <w:noProof/>
                <w:color w:val="000000"/>
                <w:szCs w:val="24"/>
              </w:rPr>
            </w:pPr>
            <w:r>
              <w:rPr>
                <w:noProof/>
                <w:color w:val="000000"/>
                <w:szCs w:val="24"/>
              </w:rPr>
              <w:t>DG</w:t>
            </w:r>
          </w:p>
        </w:tc>
        <w:tc>
          <w:tcPr>
            <w:tcW w:w="6964" w:type="dxa"/>
            <w:tcBorders>
              <w:top w:val="nil"/>
              <w:left w:val="nil"/>
              <w:bottom w:val="nil"/>
              <w:right w:val="nil"/>
            </w:tcBorders>
            <w:shd w:val="clear" w:color="auto" w:fill="auto"/>
            <w:noWrap/>
            <w:vAlign w:val="bottom"/>
          </w:tcPr>
          <w:p w14:paraId="20D816DD" w14:textId="77777777" w:rsidR="00CF7811" w:rsidRPr="00A9447A" w:rsidRDefault="00CF7811" w:rsidP="00A27EF6">
            <w:pPr>
              <w:spacing w:after="0"/>
              <w:jc w:val="left"/>
              <w:rPr>
                <w:noProof/>
                <w:color w:val="000000"/>
                <w:szCs w:val="24"/>
              </w:rPr>
            </w:pPr>
            <w:r>
              <w:rPr>
                <w:noProof/>
                <w:color w:val="000000"/>
                <w:szCs w:val="24"/>
              </w:rPr>
              <w:t>Directorate General</w:t>
            </w:r>
          </w:p>
        </w:tc>
      </w:tr>
      <w:tr w:rsidR="00440F24" w:rsidRPr="00A9447A" w14:paraId="3404D990" w14:textId="77777777" w:rsidTr="00A27EF6">
        <w:trPr>
          <w:trHeight w:val="315"/>
        </w:trPr>
        <w:tc>
          <w:tcPr>
            <w:tcW w:w="1400" w:type="dxa"/>
            <w:tcBorders>
              <w:top w:val="nil"/>
              <w:left w:val="nil"/>
              <w:bottom w:val="nil"/>
              <w:right w:val="nil"/>
            </w:tcBorders>
            <w:shd w:val="clear" w:color="auto" w:fill="auto"/>
            <w:noWrap/>
            <w:vAlign w:val="bottom"/>
            <w:hideMark/>
          </w:tcPr>
          <w:p w14:paraId="06CA1A57" w14:textId="77777777" w:rsidR="00440F24" w:rsidRPr="00A9447A" w:rsidRDefault="00440F24" w:rsidP="00A27EF6">
            <w:pPr>
              <w:spacing w:after="0"/>
              <w:jc w:val="left"/>
              <w:rPr>
                <w:noProof/>
                <w:color w:val="000000"/>
                <w:szCs w:val="24"/>
              </w:rPr>
            </w:pPr>
            <w:r w:rsidRPr="00A9447A">
              <w:rPr>
                <w:noProof/>
                <w:color w:val="000000"/>
                <w:szCs w:val="24"/>
              </w:rPr>
              <w:t>ECA</w:t>
            </w:r>
          </w:p>
        </w:tc>
        <w:tc>
          <w:tcPr>
            <w:tcW w:w="6964" w:type="dxa"/>
            <w:tcBorders>
              <w:top w:val="nil"/>
              <w:left w:val="nil"/>
              <w:bottom w:val="nil"/>
              <w:right w:val="nil"/>
            </w:tcBorders>
            <w:shd w:val="clear" w:color="auto" w:fill="auto"/>
            <w:noWrap/>
            <w:vAlign w:val="bottom"/>
            <w:hideMark/>
          </w:tcPr>
          <w:p w14:paraId="1261263E" w14:textId="77777777" w:rsidR="00440F24" w:rsidRPr="00A9447A" w:rsidRDefault="00440F24" w:rsidP="00A27EF6">
            <w:pPr>
              <w:spacing w:after="0"/>
              <w:jc w:val="left"/>
              <w:rPr>
                <w:noProof/>
                <w:color w:val="000000"/>
                <w:szCs w:val="24"/>
              </w:rPr>
            </w:pPr>
            <w:r w:rsidRPr="00A9447A">
              <w:rPr>
                <w:noProof/>
                <w:color w:val="000000"/>
                <w:szCs w:val="24"/>
              </w:rPr>
              <w:t>European Court of Auditors</w:t>
            </w:r>
          </w:p>
        </w:tc>
      </w:tr>
      <w:tr w:rsidR="00440F24" w:rsidRPr="00A9447A" w14:paraId="1299EC4E" w14:textId="77777777" w:rsidTr="00A27EF6">
        <w:trPr>
          <w:trHeight w:val="315"/>
        </w:trPr>
        <w:tc>
          <w:tcPr>
            <w:tcW w:w="1400" w:type="dxa"/>
            <w:tcBorders>
              <w:top w:val="nil"/>
              <w:left w:val="nil"/>
              <w:bottom w:val="nil"/>
              <w:right w:val="nil"/>
            </w:tcBorders>
            <w:shd w:val="clear" w:color="auto" w:fill="auto"/>
            <w:noWrap/>
            <w:vAlign w:val="bottom"/>
            <w:hideMark/>
          </w:tcPr>
          <w:p w14:paraId="391B3644" w14:textId="77777777" w:rsidR="00440F24" w:rsidRPr="00A9447A" w:rsidRDefault="00440F24" w:rsidP="00A27EF6">
            <w:pPr>
              <w:spacing w:after="0"/>
              <w:jc w:val="left"/>
              <w:rPr>
                <w:noProof/>
                <w:color w:val="000000"/>
                <w:szCs w:val="24"/>
              </w:rPr>
            </w:pPr>
            <w:r w:rsidRPr="00A9447A">
              <w:rPr>
                <w:noProof/>
                <w:color w:val="000000"/>
                <w:szCs w:val="24"/>
              </w:rPr>
              <w:t>EDES</w:t>
            </w:r>
          </w:p>
        </w:tc>
        <w:tc>
          <w:tcPr>
            <w:tcW w:w="6964" w:type="dxa"/>
            <w:tcBorders>
              <w:top w:val="nil"/>
              <w:left w:val="nil"/>
              <w:bottom w:val="nil"/>
              <w:right w:val="nil"/>
            </w:tcBorders>
            <w:shd w:val="clear" w:color="auto" w:fill="auto"/>
            <w:noWrap/>
            <w:vAlign w:val="bottom"/>
            <w:hideMark/>
          </w:tcPr>
          <w:p w14:paraId="63FD9715" w14:textId="77777777" w:rsidR="00440F24" w:rsidRPr="00A9447A" w:rsidRDefault="00440F24" w:rsidP="00A27EF6">
            <w:pPr>
              <w:spacing w:after="0"/>
              <w:jc w:val="left"/>
              <w:rPr>
                <w:noProof/>
                <w:color w:val="000000"/>
                <w:szCs w:val="24"/>
              </w:rPr>
            </w:pPr>
            <w:r w:rsidRPr="00A9447A">
              <w:rPr>
                <w:noProof/>
                <w:color w:val="000000"/>
                <w:szCs w:val="24"/>
              </w:rPr>
              <w:t>Early Detection and Exclusion System</w:t>
            </w:r>
          </w:p>
        </w:tc>
      </w:tr>
      <w:tr w:rsidR="00440F24" w:rsidRPr="00A9447A" w14:paraId="27B6D034" w14:textId="77777777" w:rsidTr="00A27EF6">
        <w:trPr>
          <w:trHeight w:val="315"/>
        </w:trPr>
        <w:tc>
          <w:tcPr>
            <w:tcW w:w="1400" w:type="dxa"/>
            <w:tcBorders>
              <w:top w:val="nil"/>
              <w:left w:val="nil"/>
              <w:bottom w:val="nil"/>
              <w:right w:val="nil"/>
            </w:tcBorders>
            <w:shd w:val="clear" w:color="auto" w:fill="auto"/>
            <w:noWrap/>
            <w:vAlign w:val="bottom"/>
            <w:hideMark/>
          </w:tcPr>
          <w:p w14:paraId="360B207D" w14:textId="77777777" w:rsidR="00440F24" w:rsidRPr="00A9447A" w:rsidRDefault="00440F24" w:rsidP="00A27EF6">
            <w:pPr>
              <w:spacing w:after="0"/>
              <w:jc w:val="left"/>
              <w:rPr>
                <w:noProof/>
                <w:color w:val="000000"/>
                <w:szCs w:val="24"/>
              </w:rPr>
            </w:pPr>
            <w:r w:rsidRPr="00A9447A">
              <w:rPr>
                <w:noProof/>
                <w:color w:val="000000"/>
                <w:szCs w:val="24"/>
              </w:rPr>
              <w:t>EP</w:t>
            </w:r>
          </w:p>
        </w:tc>
        <w:tc>
          <w:tcPr>
            <w:tcW w:w="6964" w:type="dxa"/>
            <w:tcBorders>
              <w:top w:val="nil"/>
              <w:left w:val="nil"/>
              <w:bottom w:val="nil"/>
              <w:right w:val="nil"/>
            </w:tcBorders>
            <w:shd w:val="clear" w:color="auto" w:fill="auto"/>
            <w:noWrap/>
            <w:vAlign w:val="bottom"/>
            <w:hideMark/>
          </w:tcPr>
          <w:p w14:paraId="63EA1F12" w14:textId="77777777" w:rsidR="00440F24" w:rsidRPr="00A9447A" w:rsidRDefault="00440F24" w:rsidP="00A27EF6">
            <w:pPr>
              <w:spacing w:after="0"/>
              <w:jc w:val="left"/>
              <w:rPr>
                <w:noProof/>
                <w:color w:val="000000"/>
                <w:szCs w:val="24"/>
              </w:rPr>
            </w:pPr>
            <w:r w:rsidRPr="00A9447A">
              <w:rPr>
                <w:noProof/>
                <w:color w:val="000000"/>
                <w:szCs w:val="24"/>
              </w:rPr>
              <w:t>European Parliament</w:t>
            </w:r>
          </w:p>
        </w:tc>
      </w:tr>
      <w:tr w:rsidR="00B06C44" w:rsidRPr="00A9447A" w14:paraId="0BFD82BB" w14:textId="77777777" w:rsidTr="00A27EF6">
        <w:trPr>
          <w:trHeight w:val="315"/>
        </w:trPr>
        <w:tc>
          <w:tcPr>
            <w:tcW w:w="1400" w:type="dxa"/>
            <w:tcBorders>
              <w:top w:val="nil"/>
              <w:left w:val="nil"/>
              <w:bottom w:val="nil"/>
              <w:right w:val="nil"/>
            </w:tcBorders>
            <w:shd w:val="clear" w:color="auto" w:fill="auto"/>
            <w:noWrap/>
            <w:vAlign w:val="bottom"/>
          </w:tcPr>
          <w:p w14:paraId="2B5E2C7D" w14:textId="77777777" w:rsidR="00B06C44" w:rsidRPr="00A9447A" w:rsidRDefault="00B06C44" w:rsidP="00A27EF6">
            <w:pPr>
              <w:spacing w:after="0"/>
              <w:jc w:val="left"/>
              <w:rPr>
                <w:noProof/>
                <w:color w:val="000000"/>
                <w:szCs w:val="24"/>
              </w:rPr>
            </w:pPr>
            <w:r>
              <w:rPr>
                <w:noProof/>
                <w:color w:val="000000"/>
                <w:szCs w:val="24"/>
              </w:rPr>
              <w:t>EPF</w:t>
            </w:r>
          </w:p>
        </w:tc>
        <w:tc>
          <w:tcPr>
            <w:tcW w:w="6964" w:type="dxa"/>
            <w:tcBorders>
              <w:top w:val="nil"/>
              <w:left w:val="nil"/>
              <w:bottom w:val="nil"/>
              <w:right w:val="nil"/>
            </w:tcBorders>
            <w:shd w:val="clear" w:color="auto" w:fill="auto"/>
            <w:noWrap/>
            <w:vAlign w:val="bottom"/>
          </w:tcPr>
          <w:p w14:paraId="56DD89D5" w14:textId="77777777" w:rsidR="00B06C44" w:rsidRPr="00A9447A" w:rsidRDefault="00B06C44" w:rsidP="00A27EF6">
            <w:pPr>
              <w:spacing w:after="0"/>
              <w:jc w:val="left"/>
              <w:rPr>
                <w:noProof/>
                <w:color w:val="000000"/>
                <w:szCs w:val="24"/>
              </w:rPr>
            </w:pPr>
            <w:r>
              <w:rPr>
                <w:noProof/>
                <w:color w:val="000000"/>
                <w:szCs w:val="24"/>
              </w:rPr>
              <w:t>European Peace Facility</w:t>
            </w:r>
          </w:p>
        </w:tc>
      </w:tr>
      <w:tr w:rsidR="00440F24" w:rsidRPr="00A9447A" w14:paraId="68755A6A" w14:textId="77777777" w:rsidTr="00A27EF6">
        <w:trPr>
          <w:trHeight w:val="315"/>
        </w:trPr>
        <w:tc>
          <w:tcPr>
            <w:tcW w:w="1400" w:type="dxa"/>
            <w:tcBorders>
              <w:top w:val="nil"/>
              <w:left w:val="nil"/>
              <w:bottom w:val="nil"/>
              <w:right w:val="nil"/>
            </w:tcBorders>
            <w:shd w:val="clear" w:color="auto" w:fill="auto"/>
            <w:noWrap/>
            <w:vAlign w:val="bottom"/>
            <w:hideMark/>
          </w:tcPr>
          <w:p w14:paraId="178CE4F3" w14:textId="77777777" w:rsidR="00440F24" w:rsidRPr="00A9447A" w:rsidRDefault="00440F24" w:rsidP="00A27EF6">
            <w:pPr>
              <w:spacing w:after="0"/>
              <w:jc w:val="left"/>
              <w:rPr>
                <w:noProof/>
                <w:color w:val="000000"/>
                <w:szCs w:val="24"/>
              </w:rPr>
            </w:pPr>
            <w:r w:rsidRPr="00A9447A">
              <w:rPr>
                <w:noProof/>
                <w:color w:val="000000"/>
                <w:szCs w:val="24"/>
              </w:rPr>
              <w:t>EPPO</w:t>
            </w:r>
          </w:p>
        </w:tc>
        <w:tc>
          <w:tcPr>
            <w:tcW w:w="6964" w:type="dxa"/>
            <w:tcBorders>
              <w:top w:val="nil"/>
              <w:left w:val="nil"/>
              <w:bottom w:val="nil"/>
              <w:right w:val="nil"/>
            </w:tcBorders>
            <w:shd w:val="clear" w:color="auto" w:fill="auto"/>
            <w:noWrap/>
            <w:vAlign w:val="bottom"/>
            <w:hideMark/>
          </w:tcPr>
          <w:p w14:paraId="13380DC8" w14:textId="77777777" w:rsidR="00440F24" w:rsidRPr="00A9447A" w:rsidRDefault="00440F24" w:rsidP="00A27EF6">
            <w:pPr>
              <w:spacing w:after="0"/>
              <w:jc w:val="left"/>
              <w:rPr>
                <w:noProof/>
                <w:color w:val="000000"/>
                <w:szCs w:val="24"/>
              </w:rPr>
            </w:pPr>
            <w:r w:rsidRPr="00A9447A">
              <w:rPr>
                <w:noProof/>
                <w:color w:val="000000"/>
                <w:szCs w:val="24"/>
              </w:rPr>
              <w:t>European Public Prosecutor's Office</w:t>
            </w:r>
          </w:p>
        </w:tc>
      </w:tr>
      <w:tr w:rsidR="00440F24" w:rsidRPr="00A9447A" w14:paraId="32DFF86B" w14:textId="77777777" w:rsidTr="00A27EF6">
        <w:trPr>
          <w:trHeight w:val="315"/>
        </w:trPr>
        <w:tc>
          <w:tcPr>
            <w:tcW w:w="1400" w:type="dxa"/>
            <w:tcBorders>
              <w:top w:val="nil"/>
              <w:left w:val="nil"/>
              <w:bottom w:val="nil"/>
              <w:right w:val="nil"/>
            </w:tcBorders>
            <w:shd w:val="clear" w:color="auto" w:fill="auto"/>
            <w:noWrap/>
            <w:vAlign w:val="bottom"/>
            <w:hideMark/>
          </w:tcPr>
          <w:p w14:paraId="791A8D84" w14:textId="77777777" w:rsidR="00440F24" w:rsidRPr="00A9447A" w:rsidRDefault="00440F24" w:rsidP="00A27EF6">
            <w:pPr>
              <w:spacing w:after="0"/>
              <w:jc w:val="left"/>
              <w:rPr>
                <w:noProof/>
                <w:color w:val="000000"/>
                <w:szCs w:val="24"/>
              </w:rPr>
            </w:pPr>
            <w:r w:rsidRPr="00A9447A">
              <w:rPr>
                <w:noProof/>
                <w:color w:val="000000"/>
                <w:szCs w:val="24"/>
              </w:rPr>
              <w:t>ESIF</w:t>
            </w:r>
          </w:p>
        </w:tc>
        <w:tc>
          <w:tcPr>
            <w:tcW w:w="6964" w:type="dxa"/>
            <w:tcBorders>
              <w:top w:val="nil"/>
              <w:left w:val="nil"/>
              <w:bottom w:val="nil"/>
              <w:right w:val="nil"/>
            </w:tcBorders>
            <w:shd w:val="clear" w:color="auto" w:fill="auto"/>
            <w:noWrap/>
            <w:vAlign w:val="bottom"/>
            <w:hideMark/>
          </w:tcPr>
          <w:p w14:paraId="0AB3E835" w14:textId="77777777" w:rsidR="00440F24" w:rsidRPr="00A9447A" w:rsidRDefault="00440F24" w:rsidP="00A27EF6">
            <w:pPr>
              <w:spacing w:after="0"/>
              <w:jc w:val="left"/>
              <w:rPr>
                <w:noProof/>
                <w:color w:val="000000"/>
                <w:szCs w:val="24"/>
              </w:rPr>
            </w:pPr>
            <w:r w:rsidRPr="00A9447A">
              <w:rPr>
                <w:noProof/>
                <w:color w:val="000000"/>
                <w:szCs w:val="24"/>
              </w:rPr>
              <w:t>European Structural and Investment Funds</w:t>
            </w:r>
          </w:p>
        </w:tc>
      </w:tr>
      <w:tr w:rsidR="00440F24" w:rsidRPr="00A9447A" w14:paraId="2A20D2E3" w14:textId="77777777" w:rsidTr="00A27EF6">
        <w:trPr>
          <w:trHeight w:val="315"/>
        </w:trPr>
        <w:tc>
          <w:tcPr>
            <w:tcW w:w="1400" w:type="dxa"/>
            <w:tcBorders>
              <w:top w:val="nil"/>
              <w:left w:val="nil"/>
              <w:bottom w:val="nil"/>
              <w:right w:val="nil"/>
            </w:tcBorders>
            <w:shd w:val="clear" w:color="auto" w:fill="auto"/>
            <w:noWrap/>
            <w:vAlign w:val="bottom"/>
            <w:hideMark/>
          </w:tcPr>
          <w:p w14:paraId="5549FF6E" w14:textId="77777777" w:rsidR="00440F24" w:rsidRPr="00A9447A" w:rsidRDefault="00440F24" w:rsidP="00A27EF6">
            <w:pPr>
              <w:spacing w:after="0"/>
              <w:jc w:val="left"/>
              <w:rPr>
                <w:noProof/>
                <w:color w:val="000000"/>
                <w:szCs w:val="24"/>
              </w:rPr>
            </w:pPr>
            <w:r w:rsidRPr="00A9447A">
              <w:rPr>
                <w:noProof/>
                <w:color w:val="000000"/>
                <w:szCs w:val="24"/>
              </w:rPr>
              <w:t>EU</w:t>
            </w:r>
          </w:p>
        </w:tc>
        <w:tc>
          <w:tcPr>
            <w:tcW w:w="6964" w:type="dxa"/>
            <w:tcBorders>
              <w:top w:val="nil"/>
              <w:left w:val="nil"/>
              <w:bottom w:val="nil"/>
              <w:right w:val="nil"/>
            </w:tcBorders>
            <w:shd w:val="clear" w:color="auto" w:fill="auto"/>
            <w:noWrap/>
            <w:vAlign w:val="bottom"/>
            <w:hideMark/>
          </w:tcPr>
          <w:p w14:paraId="12D901A5" w14:textId="77777777" w:rsidR="00440F24" w:rsidRPr="00A9447A" w:rsidRDefault="00440F24" w:rsidP="00A27EF6">
            <w:pPr>
              <w:spacing w:after="0"/>
              <w:jc w:val="left"/>
              <w:rPr>
                <w:noProof/>
                <w:color w:val="000000"/>
                <w:szCs w:val="24"/>
              </w:rPr>
            </w:pPr>
            <w:r w:rsidRPr="00A9447A">
              <w:rPr>
                <w:noProof/>
                <w:color w:val="000000"/>
                <w:szCs w:val="24"/>
              </w:rPr>
              <w:t>European Union</w:t>
            </w:r>
          </w:p>
        </w:tc>
      </w:tr>
      <w:tr w:rsidR="00CF7811" w:rsidRPr="00A9447A" w14:paraId="15D52E9B" w14:textId="77777777" w:rsidTr="00A27EF6">
        <w:trPr>
          <w:trHeight w:val="315"/>
        </w:trPr>
        <w:tc>
          <w:tcPr>
            <w:tcW w:w="1400" w:type="dxa"/>
            <w:tcBorders>
              <w:top w:val="nil"/>
              <w:left w:val="nil"/>
              <w:bottom w:val="nil"/>
              <w:right w:val="nil"/>
            </w:tcBorders>
            <w:shd w:val="clear" w:color="auto" w:fill="auto"/>
            <w:noWrap/>
            <w:vAlign w:val="bottom"/>
          </w:tcPr>
          <w:p w14:paraId="48470DEE" w14:textId="77777777" w:rsidR="00CF7811" w:rsidRPr="00A9447A" w:rsidRDefault="00CF7811" w:rsidP="00A27EF6">
            <w:pPr>
              <w:spacing w:after="0"/>
              <w:jc w:val="left"/>
              <w:rPr>
                <w:noProof/>
                <w:color w:val="000000"/>
                <w:szCs w:val="24"/>
              </w:rPr>
            </w:pPr>
            <w:r>
              <w:rPr>
                <w:noProof/>
                <w:color w:val="000000"/>
                <w:szCs w:val="24"/>
              </w:rPr>
              <w:t>EUBAM</w:t>
            </w:r>
          </w:p>
        </w:tc>
        <w:tc>
          <w:tcPr>
            <w:tcW w:w="6964" w:type="dxa"/>
            <w:tcBorders>
              <w:top w:val="nil"/>
              <w:left w:val="nil"/>
              <w:bottom w:val="nil"/>
              <w:right w:val="nil"/>
            </w:tcBorders>
            <w:shd w:val="clear" w:color="auto" w:fill="auto"/>
            <w:noWrap/>
            <w:vAlign w:val="bottom"/>
          </w:tcPr>
          <w:p w14:paraId="68EE3787" w14:textId="77777777" w:rsidR="00CF7811" w:rsidRPr="00A9447A" w:rsidRDefault="00CF7811" w:rsidP="00A27EF6">
            <w:pPr>
              <w:spacing w:after="0"/>
              <w:jc w:val="left"/>
              <w:rPr>
                <w:noProof/>
                <w:color w:val="000000"/>
                <w:szCs w:val="24"/>
              </w:rPr>
            </w:pPr>
            <w:r w:rsidRPr="00CF7811">
              <w:rPr>
                <w:noProof/>
                <w:color w:val="000000"/>
                <w:szCs w:val="24"/>
              </w:rPr>
              <w:t>European Union Border Assistance Mission to Moldova and Ukrain</w:t>
            </w:r>
            <w:r>
              <w:rPr>
                <w:noProof/>
                <w:color w:val="000000"/>
                <w:szCs w:val="24"/>
              </w:rPr>
              <w:t>e</w:t>
            </w:r>
          </w:p>
        </w:tc>
      </w:tr>
      <w:tr w:rsidR="00CF7811" w:rsidRPr="00A9447A" w14:paraId="2F3D8E26" w14:textId="77777777" w:rsidTr="00A27EF6">
        <w:trPr>
          <w:trHeight w:val="315"/>
        </w:trPr>
        <w:tc>
          <w:tcPr>
            <w:tcW w:w="1400" w:type="dxa"/>
            <w:tcBorders>
              <w:top w:val="nil"/>
              <w:left w:val="nil"/>
              <w:bottom w:val="nil"/>
              <w:right w:val="nil"/>
            </w:tcBorders>
            <w:shd w:val="clear" w:color="auto" w:fill="auto"/>
            <w:noWrap/>
            <w:vAlign w:val="bottom"/>
          </w:tcPr>
          <w:p w14:paraId="2E69ADC0" w14:textId="77777777" w:rsidR="00CF7811" w:rsidRPr="00A9447A" w:rsidRDefault="00CF7811" w:rsidP="00A27EF6">
            <w:pPr>
              <w:spacing w:after="0"/>
              <w:jc w:val="left"/>
              <w:rPr>
                <w:noProof/>
                <w:color w:val="000000"/>
                <w:szCs w:val="24"/>
              </w:rPr>
            </w:pPr>
            <w:r>
              <w:rPr>
                <w:noProof/>
                <w:color w:val="000000"/>
                <w:szCs w:val="24"/>
              </w:rPr>
              <w:t>FCTC</w:t>
            </w:r>
          </w:p>
        </w:tc>
        <w:tc>
          <w:tcPr>
            <w:tcW w:w="6964" w:type="dxa"/>
            <w:tcBorders>
              <w:top w:val="nil"/>
              <w:left w:val="nil"/>
              <w:bottom w:val="nil"/>
              <w:right w:val="nil"/>
            </w:tcBorders>
            <w:shd w:val="clear" w:color="auto" w:fill="auto"/>
            <w:noWrap/>
            <w:vAlign w:val="bottom"/>
          </w:tcPr>
          <w:p w14:paraId="273B767E" w14:textId="77777777" w:rsidR="00CF7811" w:rsidRPr="00A9447A" w:rsidRDefault="00CF7811" w:rsidP="00A27EF6">
            <w:pPr>
              <w:spacing w:after="0"/>
              <w:jc w:val="left"/>
              <w:rPr>
                <w:noProof/>
                <w:color w:val="000000"/>
                <w:szCs w:val="24"/>
              </w:rPr>
            </w:pPr>
            <w:r w:rsidRPr="00CF7811">
              <w:rPr>
                <w:noProof/>
                <w:color w:val="000000"/>
                <w:szCs w:val="24"/>
              </w:rPr>
              <w:t>Framework Convention on Tobacco Control</w:t>
            </w:r>
          </w:p>
        </w:tc>
      </w:tr>
      <w:tr w:rsidR="00CF7811" w:rsidRPr="00A9447A" w14:paraId="622EF4A4" w14:textId="77777777" w:rsidTr="00A27EF6">
        <w:trPr>
          <w:trHeight w:val="315"/>
        </w:trPr>
        <w:tc>
          <w:tcPr>
            <w:tcW w:w="1400" w:type="dxa"/>
            <w:tcBorders>
              <w:top w:val="nil"/>
              <w:left w:val="nil"/>
              <w:bottom w:val="nil"/>
              <w:right w:val="nil"/>
            </w:tcBorders>
            <w:shd w:val="clear" w:color="auto" w:fill="auto"/>
            <w:noWrap/>
            <w:vAlign w:val="bottom"/>
          </w:tcPr>
          <w:p w14:paraId="6783217E" w14:textId="77777777" w:rsidR="00CF7811" w:rsidRPr="00A9447A" w:rsidRDefault="00CF7811" w:rsidP="00A27EF6">
            <w:pPr>
              <w:spacing w:after="0"/>
              <w:jc w:val="left"/>
              <w:rPr>
                <w:noProof/>
                <w:color w:val="000000"/>
                <w:szCs w:val="24"/>
              </w:rPr>
            </w:pPr>
            <w:r>
              <w:rPr>
                <w:noProof/>
                <w:color w:val="000000"/>
                <w:szCs w:val="24"/>
              </w:rPr>
              <w:t>FDR</w:t>
            </w:r>
          </w:p>
        </w:tc>
        <w:tc>
          <w:tcPr>
            <w:tcW w:w="6964" w:type="dxa"/>
            <w:tcBorders>
              <w:top w:val="nil"/>
              <w:left w:val="nil"/>
              <w:bottom w:val="nil"/>
              <w:right w:val="nil"/>
            </w:tcBorders>
            <w:shd w:val="clear" w:color="auto" w:fill="auto"/>
            <w:noWrap/>
            <w:vAlign w:val="bottom"/>
          </w:tcPr>
          <w:p w14:paraId="2CA8C8E0" w14:textId="77777777" w:rsidR="00CF7811" w:rsidRPr="00A9447A" w:rsidRDefault="00CF7811" w:rsidP="00A27EF6">
            <w:pPr>
              <w:spacing w:after="0"/>
              <w:jc w:val="left"/>
              <w:rPr>
                <w:noProof/>
                <w:color w:val="000000"/>
                <w:szCs w:val="24"/>
              </w:rPr>
            </w:pPr>
            <w:r>
              <w:rPr>
                <w:noProof/>
                <w:color w:val="000000"/>
                <w:szCs w:val="24"/>
              </w:rPr>
              <w:t>Fraud Detection Rate</w:t>
            </w:r>
          </w:p>
        </w:tc>
      </w:tr>
      <w:tr w:rsidR="00440F24" w:rsidRPr="00A9447A" w14:paraId="30D0C0F2" w14:textId="77777777" w:rsidTr="00A27EF6">
        <w:trPr>
          <w:trHeight w:val="315"/>
        </w:trPr>
        <w:tc>
          <w:tcPr>
            <w:tcW w:w="1400" w:type="dxa"/>
            <w:tcBorders>
              <w:top w:val="nil"/>
              <w:left w:val="nil"/>
              <w:bottom w:val="nil"/>
              <w:right w:val="nil"/>
            </w:tcBorders>
            <w:shd w:val="clear" w:color="auto" w:fill="auto"/>
            <w:noWrap/>
            <w:vAlign w:val="bottom"/>
            <w:hideMark/>
          </w:tcPr>
          <w:p w14:paraId="3E6C2B6B" w14:textId="77777777" w:rsidR="00440F24" w:rsidRPr="00A9447A" w:rsidRDefault="00440F24" w:rsidP="00A27EF6">
            <w:pPr>
              <w:spacing w:after="0"/>
              <w:jc w:val="left"/>
              <w:rPr>
                <w:noProof/>
                <w:color w:val="000000"/>
                <w:szCs w:val="24"/>
              </w:rPr>
            </w:pPr>
            <w:r w:rsidRPr="00A9447A">
              <w:rPr>
                <w:noProof/>
                <w:color w:val="000000"/>
                <w:szCs w:val="24"/>
              </w:rPr>
              <w:t>HFC</w:t>
            </w:r>
          </w:p>
        </w:tc>
        <w:tc>
          <w:tcPr>
            <w:tcW w:w="6964" w:type="dxa"/>
            <w:tcBorders>
              <w:top w:val="nil"/>
              <w:left w:val="nil"/>
              <w:bottom w:val="nil"/>
              <w:right w:val="nil"/>
            </w:tcBorders>
            <w:shd w:val="clear" w:color="auto" w:fill="auto"/>
            <w:noWrap/>
            <w:vAlign w:val="bottom"/>
            <w:hideMark/>
          </w:tcPr>
          <w:p w14:paraId="56CA7AAA" w14:textId="7CB08F88" w:rsidR="00440F24" w:rsidRPr="00A9447A" w:rsidRDefault="00167262" w:rsidP="00167262">
            <w:pPr>
              <w:spacing w:after="0"/>
              <w:jc w:val="left"/>
              <w:rPr>
                <w:noProof/>
                <w:color w:val="000000"/>
                <w:szCs w:val="24"/>
              </w:rPr>
            </w:pPr>
            <w:r>
              <w:rPr>
                <w:noProof/>
                <w:color w:val="000000"/>
                <w:szCs w:val="24"/>
              </w:rPr>
              <w:t>Hydrofluorocarbons (r</w:t>
            </w:r>
            <w:r w:rsidR="00440F24" w:rsidRPr="00A9447A">
              <w:rPr>
                <w:noProof/>
                <w:color w:val="000000"/>
                <w:szCs w:val="24"/>
              </w:rPr>
              <w:t xml:space="preserve">efrigerant </w:t>
            </w:r>
            <w:r>
              <w:rPr>
                <w:noProof/>
                <w:color w:val="000000"/>
                <w:szCs w:val="24"/>
              </w:rPr>
              <w:t>g</w:t>
            </w:r>
            <w:r w:rsidR="00440F24" w:rsidRPr="00A9447A">
              <w:rPr>
                <w:noProof/>
                <w:color w:val="000000"/>
                <w:szCs w:val="24"/>
              </w:rPr>
              <w:t>ases</w:t>
            </w:r>
            <w:r>
              <w:rPr>
                <w:noProof/>
                <w:color w:val="000000"/>
                <w:szCs w:val="24"/>
              </w:rPr>
              <w:t>)</w:t>
            </w:r>
          </w:p>
        </w:tc>
      </w:tr>
      <w:tr w:rsidR="00CF7811" w:rsidRPr="00A9447A" w14:paraId="2889599A" w14:textId="77777777" w:rsidTr="00A27EF6">
        <w:trPr>
          <w:trHeight w:val="315"/>
        </w:trPr>
        <w:tc>
          <w:tcPr>
            <w:tcW w:w="1400" w:type="dxa"/>
            <w:tcBorders>
              <w:top w:val="nil"/>
              <w:left w:val="nil"/>
              <w:bottom w:val="nil"/>
              <w:right w:val="nil"/>
            </w:tcBorders>
            <w:shd w:val="clear" w:color="auto" w:fill="auto"/>
            <w:noWrap/>
            <w:vAlign w:val="bottom"/>
          </w:tcPr>
          <w:p w14:paraId="5386E10D" w14:textId="77777777" w:rsidR="00CF7811" w:rsidRDefault="00CF7811" w:rsidP="00A27EF6">
            <w:pPr>
              <w:spacing w:after="0"/>
              <w:jc w:val="left"/>
              <w:rPr>
                <w:noProof/>
                <w:color w:val="000000"/>
                <w:szCs w:val="24"/>
              </w:rPr>
            </w:pPr>
            <w:r>
              <w:rPr>
                <w:noProof/>
                <w:color w:val="000000"/>
                <w:szCs w:val="24"/>
              </w:rPr>
              <w:t>IDR</w:t>
            </w:r>
          </w:p>
        </w:tc>
        <w:tc>
          <w:tcPr>
            <w:tcW w:w="6964" w:type="dxa"/>
            <w:tcBorders>
              <w:top w:val="nil"/>
              <w:left w:val="nil"/>
              <w:bottom w:val="nil"/>
              <w:right w:val="nil"/>
            </w:tcBorders>
            <w:shd w:val="clear" w:color="auto" w:fill="auto"/>
            <w:noWrap/>
            <w:vAlign w:val="bottom"/>
          </w:tcPr>
          <w:p w14:paraId="78748117" w14:textId="77777777" w:rsidR="00CF7811" w:rsidRDefault="00CF7811" w:rsidP="00CF7811">
            <w:pPr>
              <w:spacing w:after="0"/>
              <w:jc w:val="left"/>
              <w:rPr>
                <w:noProof/>
                <w:color w:val="000000"/>
                <w:szCs w:val="24"/>
              </w:rPr>
            </w:pPr>
            <w:r>
              <w:rPr>
                <w:noProof/>
                <w:color w:val="000000"/>
                <w:szCs w:val="24"/>
              </w:rPr>
              <w:t>Irregularity Detection Rate</w:t>
            </w:r>
          </w:p>
        </w:tc>
      </w:tr>
      <w:tr w:rsidR="00440F24" w:rsidRPr="00A9447A" w14:paraId="5618E674" w14:textId="77777777" w:rsidTr="00A27EF6">
        <w:trPr>
          <w:trHeight w:val="315"/>
        </w:trPr>
        <w:tc>
          <w:tcPr>
            <w:tcW w:w="1400" w:type="dxa"/>
            <w:tcBorders>
              <w:top w:val="nil"/>
              <w:left w:val="nil"/>
              <w:bottom w:val="nil"/>
              <w:right w:val="nil"/>
            </w:tcBorders>
            <w:shd w:val="clear" w:color="auto" w:fill="auto"/>
            <w:noWrap/>
            <w:vAlign w:val="bottom"/>
          </w:tcPr>
          <w:p w14:paraId="383F215E" w14:textId="77777777" w:rsidR="00440F24" w:rsidRPr="00A9447A" w:rsidRDefault="00440F24" w:rsidP="00A27EF6">
            <w:pPr>
              <w:spacing w:after="0"/>
              <w:jc w:val="left"/>
              <w:rPr>
                <w:noProof/>
                <w:color w:val="000000"/>
                <w:szCs w:val="24"/>
              </w:rPr>
            </w:pPr>
            <w:r>
              <w:rPr>
                <w:noProof/>
                <w:color w:val="000000"/>
                <w:szCs w:val="24"/>
              </w:rPr>
              <w:t>IMS</w:t>
            </w:r>
          </w:p>
        </w:tc>
        <w:tc>
          <w:tcPr>
            <w:tcW w:w="6964" w:type="dxa"/>
            <w:tcBorders>
              <w:top w:val="nil"/>
              <w:left w:val="nil"/>
              <w:bottom w:val="nil"/>
              <w:right w:val="nil"/>
            </w:tcBorders>
            <w:shd w:val="clear" w:color="auto" w:fill="auto"/>
            <w:noWrap/>
            <w:vAlign w:val="bottom"/>
          </w:tcPr>
          <w:p w14:paraId="68EFE45E" w14:textId="77777777" w:rsidR="00440F24" w:rsidRPr="00A9447A" w:rsidRDefault="00440F24" w:rsidP="00A27EF6">
            <w:pPr>
              <w:spacing w:after="0"/>
              <w:jc w:val="left"/>
              <w:rPr>
                <w:noProof/>
                <w:color w:val="000000"/>
                <w:szCs w:val="24"/>
              </w:rPr>
            </w:pPr>
            <w:r>
              <w:rPr>
                <w:noProof/>
                <w:color w:val="000000"/>
                <w:szCs w:val="24"/>
              </w:rPr>
              <w:t>Irregularity Management System</w:t>
            </w:r>
          </w:p>
        </w:tc>
      </w:tr>
      <w:tr w:rsidR="00CF7811" w:rsidRPr="00A9447A" w14:paraId="306DD4D1" w14:textId="77777777" w:rsidTr="00A27EF6">
        <w:trPr>
          <w:trHeight w:val="315"/>
        </w:trPr>
        <w:tc>
          <w:tcPr>
            <w:tcW w:w="1400" w:type="dxa"/>
            <w:tcBorders>
              <w:top w:val="nil"/>
              <w:left w:val="nil"/>
              <w:bottom w:val="nil"/>
              <w:right w:val="nil"/>
            </w:tcBorders>
            <w:shd w:val="clear" w:color="auto" w:fill="auto"/>
            <w:noWrap/>
            <w:vAlign w:val="bottom"/>
          </w:tcPr>
          <w:p w14:paraId="144DD718" w14:textId="77777777" w:rsidR="00CF7811" w:rsidRPr="00A9447A" w:rsidRDefault="00CF7811" w:rsidP="00A27EF6">
            <w:pPr>
              <w:spacing w:after="0"/>
              <w:jc w:val="left"/>
              <w:rPr>
                <w:noProof/>
                <w:color w:val="000000"/>
                <w:szCs w:val="24"/>
              </w:rPr>
            </w:pPr>
            <w:r>
              <w:rPr>
                <w:noProof/>
                <w:color w:val="000000"/>
                <w:szCs w:val="24"/>
              </w:rPr>
              <w:t>JIT</w:t>
            </w:r>
          </w:p>
        </w:tc>
        <w:tc>
          <w:tcPr>
            <w:tcW w:w="6964" w:type="dxa"/>
            <w:tcBorders>
              <w:top w:val="nil"/>
              <w:left w:val="nil"/>
              <w:bottom w:val="nil"/>
              <w:right w:val="nil"/>
            </w:tcBorders>
            <w:shd w:val="clear" w:color="auto" w:fill="auto"/>
            <w:noWrap/>
            <w:vAlign w:val="bottom"/>
          </w:tcPr>
          <w:p w14:paraId="09417D3A" w14:textId="77777777" w:rsidR="00CF7811" w:rsidRPr="00A9447A" w:rsidRDefault="00CF7811" w:rsidP="00CF7811">
            <w:pPr>
              <w:spacing w:after="0"/>
              <w:jc w:val="left"/>
              <w:rPr>
                <w:noProof/>
                <w:color w:val="000000"/>
                <w:szCs w:val="24"/>
              </w:rPr>
            </w:pPr>
            <w:r>
              <w:rPr>
                <w:noProof/>
                <w:color w:val="000000"/>
                <w:szCs w:val="24"/>
              </w:rPr>
              <w:t>Joint Investigation Team</w:t>
            </w:r>
          </w:p>
        </w:tc>
      </w:tr>
      <w:tr w:rsidR="00440F24" w:rsidRPr="00A9447A" w14:paraId="4B360301" w14:textId="77777777" w:rsidTr="00A27EF6">
        <w:trPr>
          <w:trHeight w:val="315"/>
        </w:trPr>
        <w:tc>
          <w:tcPr>
            <w:tcW w:w="1400" w:type="dxa"/>
            <w:tcBorders>
              <w:top w:val="nil"/>
              <w:left w:val="nil"/>
              <w:bottom w:val="nil"/>
              <w:right w:val="nil"/>
            </w:tcBorders>
            <w:shd w:val="clear" w:color="auto" w:fill="auto"/>
            <w:noWrap/>
            <w:vAlign w:val="bottom"/>
            <w:hideMark/>
          </w:tcPr>
          <w:p w14:paraId="008A18FE" w14:textId="77777777" w:rsidR="00440F24" w:rsidRPr="00A9447A" w:rsidRDefault="00440F24" w:rsidP="00A27EF6">
            <w:pPr>
              <w:spacing w:after="0"/>
              <w:jc w:val="left"/>
              <w:rPr>
                <w:noProof/>
                <w:color w:val="000000"/>
                <w:szCs w:val="24"/>
              </w:rPr>
            </w:pPr>
            <w:r w:rsidRPr="00A9447A">
              <w:rPr>
                <w:noProof/>
                <w:color w:val="000000"/>
                <w:szCs w:val="24"/>
              </w:rPr>
              <w:t>MFF</w:t>
            </w:r>
          </w:p>
        </w:tc>
        <w:tc>
          <w:tcPr>
            <w:tcW w:w="6964" w:type="dxa"/>
            <w:tcBorders>
              <w:top w:val="nil"/>
              <w:left w:val="nil"/>
              <w:bottom w:val="nil"/>
              <w:right w:val="nil"/>
            </w:tcBorders>
            <w:shd w:val="clear" w:color="auto" w:fill="auto"/>
            <w:noWrap/>
            <w:vAlign w:val="bottom"/>
            <w:hideMark/>
          </w:tcPr>
          <w:p w14:paraId="4CED6B31" w14:textId="77777777" w:rsidR="00440F24" w:rsidRPr="00A9447A" w:rsidRDefault="00440F24" w:rsidP="00A27EF6">
            <w:pPr>
              <w:spacing w:after="0"/>
              <w:jc w:val="left"/>
              <w:rPr>
                <w:noProof/>
                <w:color w:val="000000"/>
                <w:szCs w:val="24"/>
              </w:rPr>
            </w:pPr>
            <w:r w:rsidRPr="00A9447A">
              <w:rPr>
                <w:noProof/>
                <w:color w:val="000000"/>
                <w:szCs w:val="24"/>
              </w:rPr>
              <w:t>Multiannual Financial Framework</w:t>
            </w:r>
          </w:p>
        </w:tc>
      </w:tr>
      <w:tr w:rsidR="00440F24" w:rsidRPr="00A9447A" w14:paraId="023BF32D" w14:textId="77777777" w:rsidTr="00A27EF6">
        <w:trPr>
          <w:trHeight w:val="315"/>
        </w:trPr>
        <w:tc>
          <w:tcPr>
            <w:tcW w:w="1400" w:type="dxa"/>
            <w:tcBorders>
              <w:top w:val="nil"/>
              <w:left w:val="nil"/>
              <w:bottom w:val="nil"/>
              <w:right w:val="nil"/>
            </w:tcBorders>
            <w:shd w:val="clear" w:color="auto" w:fill="auto"/>
            <w:noWrap/>
            <w:vAlign w:val="bottom"/>
            <w:hideMark/>
          </w:tcPr>
          <w:p w14:paraId="721E1840" w14:textId="77777777" w:rsidR="00440F24" w:rsidRPr="00A9447A" w:rsidRDefault="00440F24" w:rsidP="00A27EF6">
            <w:pPr>
              <w:spacing w:after="0"/>
              <w:jc w:val="left"/>
              <w:rPr>
                <w:noProof/>
                <w:color w:val="000000"/>
                <w:szCs w:val="24"/>
              </w:rPr>
            </w:pPr>
            <w:r w:rsidRPr="00A9447A">
              <w:rPr>
                <w:noProof/>
                <w:color w:val="000000"/>
                <w:szCs w:val="24"/>
              </w:rPr>
              <w:t>NGEU</w:t>
            </w:r>
          </w:p>
        </w:tc>
        <w:tc>
          <w:tcPr>
            <w:tcW w:w="6964" w:type="dxa"/>
            <w:tcBorders>
              <w:top w:val="nil"/>
              <w:left w:val="nil"/>
              <w:bottom w:val="nil"/>
              <w:right w:val="nil"/>
            </w:tcBorders>
            <w:shd w:val="clear" w:color="auto" w:fill="auto"/>
            <w:noWrap/>
            <w:vAlign w:val="bottom"/>
            <w:hideMark/>
          </w:tcPr>
          <w:p w14:paraId="079535C1" w14:textId="77777777" w:rsidR="00440F24" w:rsidRPr="00A9447A" w:rsidRDefault="00440F24" w:rsidP="00A27EF6">
            <w:pPr>
              <w:spacing w:after="0"/>
              <w:jc w:val="left"/>
              <w:rPr>
                <w:noProof/>
                <w:color w:val="000000"/>
                <w:szCs w:val="24"/>
              </w:rPr>
            </w:pPr>
            <w:r w:rsidRPr="00A9447A">
              <w:rPr>
                <w:noProof/>
                <w:color w:val="000000"/>
                <w:szCs w:val="24"/>
              </w:rPr>
              <w:t>NextGenerationEU</w:t>
            </w:r>
          </w:p>
        </w:tc>
      </w:tr>
      <w:tr w:rsidR="00EB636F" w:rsidRPr="00A9447A" w14:paraId="0B315FD8" w14:textId="77777777" w:rsidTr="00A27EF6">
        <w:trPr>
          <w:trHeight w:val="315"/>
        </w:trPr>
        <w:tc>
          <w:tcPr>
            <w:tcW w:w="1400" w:type="dxa"/>
            <w:tcBorders>
              <w:top w:val="nil"/>
              <w:left w:val="nil"/>
              <w:bottom w:val="nil"/>
              <w:right w:val="nil"/>
            </w:tcBorders>
            <w:shd w:val="clear" w:color="auto" w:fill="auto"/>
            <w:noWrap/>
            <w:vAlign w:val="bottom"/>
          </w:tcPr>
          <w:p w14:paraId="50ECB274" w14:textId="77777777" w:rsidR="00EB636F" w:rsidRPr="00A9447A" w:rsidRDefault="00EB636F" w:rsidP="00A27EF6">
            <w:pPr>
              <w:spacing w:after="0"/>
              <w:jc w:val="left"/>
              <w:rPr>
                <w:noProof/>
                <w:color w:val="000000"/>
                <w:szCs w:val="24"/>
              </w:rPr>
            </w:pPr>
            <w:r>
              <w:rPr>
                <w:noProof/>
                <w:color w:val="000000"/>
                <w:szCs w:val="24"/>
              </w:rPr>
              <w:t>OFIS</w:t>
            </w:r>
          </w:p>
        </w:tc>
        <w:tc>
          <w:tcPr>
            <w:tcW w:w="6964" w:type="dxa"/>
            <w:tcBorders>
              <w:top w:val="nil"/>
              <w:left w:val="nil"/>
              <w:bottom w:val="nil"/>
              <w:right w:val="nil"/>
            </w:tcBorders>
            <w:shd w:val="clear" w:color="auto" w:fill="auto"/>
            <w:noWrap/>
            <w:vAlign w:val="bottom"/>
          </w:tcPr>
          <w:p w14:paraId="2386F352" w14:textId="77777777" w:rsidR="00EB636F" w:rsidRPr="00A9447A" w:rsidRDefault="00EB636F" w:rsidP="00A27EF6">
            <w:pPr>
              <w:spacing w:after="0"/>
              <w:jc w:val="left"/>
              <w:rPr>
                <w:noProof/>
                <w:color w:val="000000"/>
                <w:szCs w:val="24"/>
              </w:rPr>
            </w:pPr>
            <w:r w:rsidRPr="00EB636F">
              <w:rPr>
                <w:noProof/>
                <w:color w:val="000000"/>
                <w:szCs w:val="24"/>
              </w:rPr>
              <w:t>Organic Information System</w:t>
            </w:r>
          </w:p>
        </w:tc>
      </w:tr>
      <w:tr w:rsidR="00440F24" w:rsidRPr="00A9447A" w14:paraId="3D37FB8C" w14:textId="77777777" w:rsidTr="00A27EF6">
        <w:trPr>
          <w:trHeight w:val="315"/>
        </w:trPr>
        <w:tc>
          <w:tcPr>
            <w:tcW w:w="1400" w:type="dxa"/>
            <w:tcBorders>
              <w:top w:val="nil"/>
              <w:left w:val="nil"/>
              <w:bottom w:val="nil"/>
              <w:right w:val="nil"/>
            </w:tcBorders>
            <w:shd w:val="clear" w:color="auto" w:fill="auto"/>
            <w:noWrap/>
            <w:vAlign w:val="bottom"/>
            <w:hideMark/>
          </w:tcPr>
          <w:p w14:paraId="003686CA" w14:textId="77777777" w:rsidR="00440F24" w:rsidRPr="00A9447A" w:rsidRDefault="00440F24" w:rsidP="00A27EF6">
            <w:pPr>
              <w:spacing w:after="0"/>
              <w:jc w:val="left"/>
              <w:rPr>
                <w:noProof/>
                <w:color w:val="000000"/>
                <w:szCs w:val="24"/>
              </w:rPr>
            </w:pPr>
            <w:r w:rsidRPr="00A9447A">
              <w:rPr>
                <w:noProof/>
                <w:color w:val="000000"/>
                <w:szCs w:val="24"/>
              </w:rPr>
              <w:t>OLAF</w:t>
            </w:r>
          </w:p>
        </w:tc>
        <w:tc>
          <w:tcPr>
            <w:tcW w:w="6964" w:type="dxa"/>
            <w:tcBorders>
              <w:top w:val="nil"/>
              <w:left w:val="nil"/>
              <w:bottom w:val="nil"/>
              <w:right w:val="nil"/>
            </w:tcBorders>
            <w:shd w:val="clear" w:color="auto" w:fill="auto"/>
            <w:noWrap/>
            <w:vAlign w:val="bottom"/>
            <w:hideMark/>
          </w:tcPr>
          <w:p w14:paraId="46DD9207" w14:textId="77777777" w:rsidR="00440F24" w:rsidRPr="00A9447A" w:rsidRDefault="00440F24" w:rsidP="00A27EF6">
            <w:pPr>
              <w:spacing w:after="0"/>
              <w:jc w:val="left"/>
              <w:rPr>
                <w:noProof/>
                <w:color w:val="000000"/>
                <w:szCs w:val="24"/>
              </w:rPr>
            </w:pPr>
            <w:r w:rsidRPr="00A9447A">
              <w:rPr>
                <w:noProof/>
                <w:color w:val="000000"/>
                <w:szCs w:val="24"/>
              </w:rPr>
              <w:t>European Anti-Fraud Office</w:t>
            </w:r>
          </w:p>
        </w:tc>
      </w:tr>
      <w:tr w:rsidR="00440F24" w:rsidRPr="00A9447A" w14:paraId="151196BD" w14:textId="77777777" w:rsidTr="00A27EF6">
        <w:trPr>
          <w:trHeight w:val="315"/>
        </w:trPr>
        <w:tc>
          <w:tcPr>
            <w:tcW w:w="1400" w:type="dxa"/>
            <w:tcBorders>
              <w:top w:val="nil"/>
              <w:left w:val="nil"/>
              <w:bottom w:val="nil"/>
              <w:right w:val="nil"/>
            </w:tcBorders>
            <w:shd w:val="clear" w:color="auto" w:fill="auto"/>
            <w:noWrap/>
            <w:vAlign w:val="bottom"/>
            <w:hideMark/>
          </w:tcPr>
          <w:p w14:paraId="27BA0C64" w14:textId="77777777" w:rsidR="00440F24" w:rsidRPr="00A9447A" w:rsidRDefault="00440F24" w:rsidP="00A27EF6">
            <w:pPr>
              <w:spacing w:after="0"/>
              <w:jc w:val="left"/>
              <w:rPr>
                <w:noProof/>
                <w:color w:val="000000"/>
                <w:szCs w:val="24"/>
              </w:rPr>
            </w:pPr>
            <w:r w:rsidRPr="00A9447A">
              <w:rPr>
                <w:noProof/>
                <w:color w:val="000000"/>
                <w:szCs w:val="24"/>
              </w:rPr>
              <w:t>PIF</w:t>
            </w:r>
          </w:p>
        </w:tc>
        <w:tc>
          <w:tcPr>
            <w:tcW w:w="6964" w:type="dxa"/>
            <w:tcBorders>
              <w:top w:val="nil"/>
              <w:left w:val="nil"/>
              <w:bottom w:val="nil"/>
              <w:right w:val="nil"/>
            </w:tcBorders>
            <w:shd w:val="clear" w:color="auto" w:fill="auto"/>
            <w:noWrap/>
            <w:vAlign w:val="bottom"/>
            <w:hideMark/>
          </w:tcPr>
          <w:p w14:paraId="277A2CB3" w14:textId="77777777" w:rsidR="00440F24" w:rsidRPr="00A9447A" w:rsidRDefault="00440F24" w:rsidP="00A27EF6">
            <w:pPr>
              <w:spacing w:after="0"/>
              <w:jc w:val="left"/>
              <w:rPr>
                <w:noProof/>
                <w:color w:val="000000"/>
                <w:szCs w:val="24"/>
              </w:rPr>
            </w:pPr>
            <w:r w:rsidRPr="00A9447A">
              <w:rPr>
                <w:noProof/>
                <w:color w:val="000000"/>
                <w:szCs w:val="24"/>
              </w:rPr>
              <w:t>Protection of financial interests</w:t>
            </w:r>
          </w:p>
        </w:tc>
      </w:tr>
      <w:tr w:rsidR="00440F24" w:rsidRPr="00A9447A" w14:paraId="044926DF" w14:textId="77777777" w:rsidTr="00A27EF6">
        <w:trPr>
          <w:trHeight w:val="315"/>
        </w:trPr>
        <w:tc>
          <w:tcPr>
            <w:tcW w:w="1400" w:type="dxa"/>
            <w:tcBorders>
              <w:top w:val="nil"/>
              <w:left w:val="nil"/>
              <w:bottom w:val="nil"/>
              <w:right w:val="nil"/>
            </w:tcBorders>
            <w:shd w:val="clear" w:color="auto" w:fill="auto"/>
            <w:noWrap/>
            <w:vAlign w:val="bottom"/>
            <w:hideMark/>
          </w:tcPr>
          <w:p w14:paraId="5ED07D9E" w14:textId="77777777" w:rsidR="00440F24" w:rsidRPr="00A9447A" w:rsidRDefault="00440F24" w:rsidP="00A27EF6">
            <w:pPr>
              <w:spacing w:after="0"/>
              <w:jc w:val="left"/>
              <w:rPr>
                <w:noProof/>
                <w:color w:val="000000"/>
                <w:szCs w:val="24"/>
              </w:rPr>
            </w:pPr>
            <w:r w:rsidRPr="00A9447A">
              <w:rPr>
                <w:noProof/>
                <w:color w:val="000000"/>
                <w:szCs w:val="24"/>
              </w:rPr>
              <w:t>RRF</w:t>
            </w:r>
          </w:p>
        </w:tc>
        <w:tc>
          <w:tcPr>
            <w:tcW w:w="6964" w:type="dxa"/>
            <w:tcBorders>
              <w:top w:val="nil"/>
              <w:left w:val="nil"/>
              <w:bottom w:val="nil"/>
              <w:right w:val="nil"/>
            </w:tcBorders>
            <w:shd w:val="clear" w:color="auto" w:fill="auto"/>
            <w:noWrap/>
            <w:vAlign w:val="bottom"/>
            <w:hideMark/>
          </w:tcPr>
          <w:p w14:paraId="7F6FEFA2" w14:textId="77777777" w:rsidR="00440F24" w:rsidRPr="00A9447A" w:rsidRDefault="00440F24" w:rsidP="00A27EF6">
            <w:pPr>
              <w:spacing w:after="0"/>
              <w:jc w:val="left"/>
              <w:rPr>
                <w:noProof/>
                <w:color w:val="000000"/>
                <w:szCs w:val="24"/>
              </w:rPr>
            </w:pPr>
            <w:r w:rsidRPr="00A9447A">
              <w:rPr>
                <w:noProof/>
                <w:color w:val="000000"/>
                <w:szCs w:val="24"/>
              </w:rPr>
              <w:t>Recovery and Resilience Facility</w:t>
            </w:r>
          </w:p>
        </w:tc>
      </w:tr>
      <w:tr w:rsidR="00CF7811" w:rsidRPr="00A9447A" w14:paraId="3A061454" w14:textId="77777777" w:rsidTr="00A27EF6">
        <w:trPr>
          <w:trHeight w:val="315"/>
        </w:trPr>
        <w:tc>
          <w:tcPr>
            <w:tcW w:w="1400" w:type="dxa"/>
            <w:tcBorders>
              <w:top w:val="nil"/>
              <w:left w:val="nil"/>
              <w:bottom w:val="nil"/>
              <w:right w:val="nil"/>
            </w:tcBorders>
            <w:shd w:val="clear" w:color="auto" w:fill="auto"/>
            <w:noWrap/>
            <w:vAlign w:val="bottom"/>
          </w:tcPr>
          <w:p w14:paraId="0564E6CC" w14:textId="77777777" w:rsidR="00CF7811" w:rsidRPr="00A9447A" w:rsidRDefault="00CF7811" w:rsidP="00A27EF6">
            <w:pPr>
              <w:spacing w:after="0"/>
              <w:jc w:val="left"/>
              <w:rPr>
                <w:noProof/>
                <w:color w:val="000000"/>
                <w:szCs w:val="24"/>
              </w:rPr>
            </w:pPr>
            <w:r>
              <w:rPr>
                <w:noProof/>
                <w:color w:val="000000"/>
                <w:szCs w:val="24"/>
              </w:rPr>
              <w:t>SCO</w:t>
            </w:r>
          </w:p>
        </w:tc>
        <w:tc>
          <w:tcPr>
            <w:tcW w:w="6964" w:type="dxa"/>
            <w:tcBorders>
              <w:top w:val="nil"/>
              <w:left w:val="nil"/>
              <w:bottom w:val="nil"/>
              <w:right w:val="nil"/>
            </w:tcBorders>
            <w:shd w:val="clear" w:color="auto" w:fill="auto"/>
            <w:noWrap/>
            <w:vAlign w:val="bottom"/>
          </w:tcPr>
          <w:p w14:paraId="0AF6D2EA" w14:textId="77777777" w:rsidR="00CF7811" w:rsidRPr="00A9447A" w:rsidRDefault="00CF7811" w:rsidP="00A27EF6">
            <w:pPr>
              <w:spacing w:after="0"/>
              <w:jc w:val="left"/>
              <w:rPr>
                <w:noProof/>
                <w:color w:val="000000"/>
                <w:szCs w:val="24"/>
              </w:rPr>
            </w:pPr>
            <w:r>
              <w:rPr>
                <w:noProof/>
                <w:color w:val="000000"/>
                <w:szCs w:val="24"/>
              </w:rPr>
              <w:t>Simplified Cost Options</w:t>
            </w:r>
          </w:p>
        </w:tc>
      </w:tr>
      <w:tr w:rsidR="00440F24" w:rsidRPr="00A9447A" w14:paraId="7510D3D6" w14:textId="77777777" w:rsidTr="00A27EF6">
        <w:trPr>
          <w:trHeight w:val="315"/>
        </w:trPr>
        <w:tc>
          <w:tcPr>
            <w:tcW w:w="1400" w:type="dxa"/>
            <w:tcBorders>
              <w:top w:val="nil"/>
              <w:left w:val="nil"/>
              <w:bottom w:val="nil"/>
              <w:right w:val="nil"/>
            </w:tcBorders>
            <w:shd w:val="clear" w:color="auto" w:fill="auto"/>
            <w:noWrap/>
            <w:vAlign w:val="bottom"/>
            <w:hideMark/>
          </w:tcPr>
          <w:p w14:paraId="1646B2A2" w14:textId="77777777" w:rsidR="00440F24" w:rsidRPr="00A9447A" w:rsidRDefault="00440F24" w:rsidP="00A27EF6">
            <w:pPr>
              <w:spacing w:after="0"/>
              <w:jc w:val="left"/>
              <w:rPr>
                <w:noProof/>
                <w:color w:val="000000"/>
                <w:szCs w:val="24"/>
              </w:rPr>
            </w:pPr>
            <w:r w:rsidRPr="00A9447A">
              <w:rPr>
                <w:noProof/>
                <w:color w:val="000000"/>
                <w:szCs w:val="24"/>
              </w:rPr>
              <w:t>TFEU</w:t>
            </w:r>
          </w:p>
        </w:tc>
        <w:tc>
          <w:tcPr>
            <w:tcW w:w="6964" w:type="dxa"/>
            <w:tcBorders>
              <w:top w:val="nil"/>
              <w:left w:val="nil"/>
              <w:bottom w:val="nil"/>
              <w:right w:val="nil"/>
            </w:tcBorders>
            <w:shd w:val="clear" w:color="auto" w:fill="auto"/>
            <w:noWrap/>
            <w:vAlign w:val="bottom"/>
            <w:hideMark/>
          </w:tcPr>
          <w:p w14:paraId="313FBBB5" w14:textId="77777777" w:rsidR="00440F24" w:rsidRPr="00A9447A" w:rsidRDefault="00440F24" w:rsidP="00A27EF6">
            <w:pPr>
              <w:spacing w:after="0"/>
              <w:jc w:val="left"/>
              <w:rPr>
                <w:noProof/>
                <w:color w:val="000000"/>
                <w:szCs w:val="24"/>
              </w:rPr>
            </w:pPr>
            <w:r w:rsidRPr="00A9447A">
              <w:rPr>
                <w:noProof/>
                <w:color w:val="000000"/>
                <w:szCs w:val="24"/>
              </w:rPr>
              <w:t xml:space="preserve">Treaty on the Functioning of the European Union </w:t>
            </w:r>
          </w:p>
        </w:tc>
      </w:tr>
      <w:tr w:rsidR="00440F24" w:rsidRPr="00A9447A" w14:paraId="18F09E47" w14:textId="77777777" w:rsidTr="00A27EF6">
        <w:trPr>
          <w:trHeight w:val="315"/>
        </w:trPr>
        <w:tc>
          <w:tcPr>
            <w:tcW w:w="1400" w:type="dxa"/>
            <w:tcBorders>
              <w:top w:val="nil"/>
              <w:left w:val="nil"/>
              <w:bottom w:val="nil"/>
              <w:right w:val="nil"/>
            </w:tcBorders>
            <w:shd w:val="clear" w:color="auto" w:fill="auto"/>
            <w:noWrap/>
            <w:vAlign w:val="bottom"/>
            <w:hideMark/>
          </w:tcPr>
          <w:p w14:paraId="219BA4B7" w14:textId="77777777" w:rsidR="00440F24" w:rsidRPr="00A9447A" w:rsidRDefault="00440F24" w:rsidP="00A27EF6">
            <w:pPr>
              <w:spacing w:after="0"/>
              <w:jc w:val="left"/>
              <w:rPr>
                <w:noProof/>
                <w:color w:val="000000"/>
                <w:szCs w:val="24"/>
              </w:rPr>
            </w:pPr>
            <w:r w:rsidRPr="00A9447A">
              <w:rPr>
                <w:noProof/>
                <w:color w:val="000000"/>
                <w:szCs w:val="24"/>
              </w:rPr>
              <w:t>TOR</w:t>
            </w:r>
          </w:p>
        </w:tc>
        <w:tc>
          <w:tcPr>
            <w:tcW w:w="6964" w:type="dxa"/>
            <w:tcBorders>
              <w:top w:val="nil"/>
              <w:left w:val="nil"/>
              <w:bottom w:val="nil"/>
              <w:right w:val="nil"/>
            </w:tcBorders>
            <w:shd w:val="clear" w:color="auto" w:fill="auto"/>
            <w:noWrap/>
            <w:vAlign w:val="bottom"/>
            <w:hideMark/>
          </w:tcPr>
          <w:p w14:paraId="6B0AD094" w14:textId="77777777" w:rsidR="00440F24" w:rsidRPr="00A9447A" w:rsidRDefault="00440F24" w:rsidP="00A27EF6">
            <w:pPr>
              <w:spacing w:after="0"/>
              <w:jc w:val="left"/>
              <w:rPr>
                <w:noProof/>
                <w:color w:val="000000"/>
                <w:szCs w:val="24"/>
              </w:rPr>
            </w:pPr>
            <w:r w:rsidRPr="00A9447A">
              <w:rPr>
                <w:noProof/>
                <w:color w:val="000000"/>
                <w:szCs w:val="24"/>
              </w:rPr>
              <w:t>Traditional Own Resources</w:t>
            </w:r>
          </w:p>
        </w:tc>
      </w:tr>
      <w:tr w:rsidR="00F90561" w:rsidRPr="00A9447A" w14:paraId="279A2BAD" w14:textId="77777777" w:rsidTr="00A27EF6">
        <w:trPr>
          <w:trHeight w:val="315"/>
        </w:trPr>
        <w:tc>
          <w:tcPr>
            <w:tcW w:w="1400" w:type="dxa"/>
            <w:tcBorders>
              <w:top w:val="nil"/>
              <w:left w:val="nil"/>
              <w:bottom w:val="nil"/>
              <w:right w:val="nil"/>
            </w:tcBorders>
            <w:shd w:val="clear" w:color="auto" w:fill="auto"/>
            <w:noWrap/>
            <w:vAlign w:val="bottom"/>
          </w:tcPr>
          <w:p w14:paraId="61F4BB78" w14:textId="77777777" w:rsidR="00F90561" w:rsidRDefault="00F90561" w:rsidP="00A27EF6">
            <w:pPr>
              <w:spacing w:after="0"/>
              <w:jc w:val="left"/>
              <w:rPr>
                <w:noProof/>
                <w:color w:val="000000"/>
                <w:szCs w:val="24"/>
              </w:rPr>
            </w:pPr>
            <w:r>
              <w:rPr>
                <w:noProof/>
                <w:color w:val="000000"/>
                <w:szCs w:val="24"/>
              </w:rPr>
              <w:t>UNCAC</w:t>
            </w:r>
          </w:p>
        </w:tc>
        <w:tc>
          <w:tcPr>
            <w:tcW w:w="6964" w:type="dxa"/>
            <w:tcBorders>
              <w:top w:val="nil"/>
              <w:left w:val="nil"/>
              <w:bottom w:val="nil"/>
              <w:right w:val="nil"/>
            </w:tcBorders>
            <w:shd w:val="clear" w:color="auto" w:fill="auto"/>
            <w:noWrap/>
            <w:vAlign w:val="bottom"/>
          </w:tcPr>
          <w:p w14:paraId="04C8D4D9" w14:textId="77777777" w:rsidR="00F90561" w:rsidRDefault="00F90561" w:rsidP="00F90561">
            <w:pPr>
              <w:spacing w:after="0"/>
              <w:jc w:val="left"/>
              <w:rPr>
                <w:noProof/>
                <w:color w:val="000000"/>
                <w:szCs w:val="24"/>
              </w:rPr>
            </w:pPr>
            <w:r>
              <w:rPr>
                <w:noProof/>
                <w:color w:val="000000"/>
                <w:szCs w:val="24"/>
              </w:rPr>
              <w:t>United Nations Convention Against Corruption</w:t>
            </w:r>
          </w:p>
        </w:tc>
      </w:tr>
      <w:tr w:rsidR="00440F24" w:rsidRPr="00A9447A" w14:paraId="283D9421" w14:textId="77777777" w:rsidTr="00A27EF6">
        <w:trPr>
          <w:trHeight w:val="315"/>
        </w:trPr>
        <w:tc>
          <w:tcPr>
            <w:tcW w:w="1400" w:type="dxa"/>
            <w:tcBorders>
              <w:top w:val="nil"/>
              <w:left w:val="nil"/>
              <w:bottom w:val="nil"/>
              <w:right w:val="nil"/>
            </w:tcBorders>
            <w:shd w:val="clear" w:color="auto" w:fill="auto"/>
            <w:noWrap/>
            <w:vAlign w:val="bottom"/>
          </w:tcPr>
          <w:p w14:paraId="608A5114" w14:textId="77777777" w:rsidR="00440F24" w:rsidRPr="00A9447A" w:rsidRDefault="00440F24" w:rsidP="00A27EF6">
            <w:pPr>
              <w:spacing w:after="0"/>
              <w:jc w:val="left"/>
              <w:rPr>
                <w:noProof/>
                <w:color w:val="000000"/>
                <w:szCs w:val="24"/>
              </w:rPr>
            </w:pPr>
            <w:r>
              <w:rPr>
                <w:noProof/>
                <w:color w:val="000000"/>
                <w:szCs w:val="24"/>
              </w:rPr>
              <w:t>VAT</w:t>
            </w:r>
          </w:p>
        </w:tc>
        <w:tc>
          <w:tcPr>
            <w:tcW w:w="6964" w:type="dxa"/>
            <w:tcBorders>
              <w:top w:val="nil"/>
              <w:left w:val="nil"/>
              <w:bottom w:val="nil"/>
              <w:right w:val="nil"/>
            </w:tcBorders>
            <w:shd w:val="clear" w:color="auto" w:fill="auto"/>
            <w:noWrap/>
            <w:vAlign w:val="bottom"/>
          </w:tcPr>
          <w:p w14:paraId="3555662D" w14:textId="77777777" w:rsidR="00440F24" w:rsidRPr="00A9447A" w:rsidRDefault="00440F24" w:rsidP="00A27EF6">
            <w:pPr>
              <w:spacing w:after="0"/>
              <w:jc w:val="left"/>
              <w:rPr>
                <w:noProof/>
                <w:color w:val="000000"/>
                <w:szCs w:val="24"/>
              </w:rPr>
            </w:pPr>
            <w:r>
              <w:rPr>
                <w:noProof/>
                <w:color w:val="000000"/>
                <w:szCs w:val="24"/>
              </w:rPr>
              <w:t>Value Added Tax</w:t>
            </w:r>
          </w:p>
        </w:tc>
      </w:tr>
      <w:tr w:rsidR="00440F24" w:rsidRPr="00A9447A" w14:paraId="67EF79AB" w14:textId="77777777" w:rsidTr="00A27EF6">
        <w:trPr>
          <w:trHeight w:val="315"/>
        </w:trPr>
        <w:tc>
          <w:tcPr>
            <w:tcW w:w="1400" w:type="dxa"/>
            <w:tcBorders>
              <w:top w:val="nil"/>
              <w:left w:val="nil"/>
              <w:bottom w:val="nil"/>
              <w:right w:val="nil"/>
            </w:tcBorders>
            <w:shd w:val="clear" w:color="auto" w:fill="auto"/>
            <w:noWrap/>
            <w:vAlign w:val="bottom"/>
            <w:hideMark/>
          </w:tcPr>
          <w:p w14:paraId="5D689047" w14:textId="77777777" w:rsidR="00440F24" w:rsidRPr="00A9447A" w:rsidRDefault="00440F24" w:rsidP="00A27EF6">
            <w:pPr>
              <w:spacing w:after="0"/>
              <w:jc w:val="left"/>
              <w:rPr>
                <w:noProof/>
                <w:color w:val="000000"/>
                <w:szCs w:val="24"/>
              </w:rPr>
            </w:pPr>
            <w:r w:rsidRPr="00A9447A">
              <w:rPr>
                <w:noProof/>
                <w:color w:val="000000"/>
                <w:szCs w:val="24"/>
              </w:rPr>
              <w:t>VOCU</w:t>
            </w:r>
          </w:p>
        </w:tc>
        <w:tc>
          <w:tcPr>
            <w:tcW w:w="6964" w:type="dxa"/>
            <w:tcBorders>
              <w:top w:val="nil"/>
              <w:left w:val="nil"/>
              <w:bottom w:val="nil"/>
              <w:right w:val="nil"/>
            </w:tcBorders>
            <w:shd w:val="clear" w:color="auto" w:fill="auto"/>
            <w:noWrap/>
            <w:vAlign w:val="bottom"/>
            <w:hideMark/>
          </w:tcPr>
          <w:p w14:paraId="0F73C8EA" w14:textId="77777777" w:rsidR="00440F24" w:rsidRPr="00A9447A" w:rsidRDefault="00440F24" w:rsidP="00A27EF6">
            <w:pPr>
              <w:spacing w:after="0"/>
              <w:jc w:val="left"/>
              <w:rPr>
                <w:noProof/>
                <w:color w:val="000000"/>
                <w:szCs w:val="24"/>
              </w:rPr>
            </w:pPr>
            <w:r w:rsidRPr="00A9447A">
              <w:rPr>
                <w:noProof/>
                <w:color w:val="000000"/>
                <w:szCs w:val="24"/>
              </w:rPr>
              <w:t xml:space="preserve">Virtual Operations Coordination Unit </w:t>
            </w:r>
          </w:p>
        </w:tc>
      </w:tr>
      <w:tr w:rsidR="00440F24" w:rsidRPr="00A9447A" w14:paraId="69465DB5" w14:textId="77777777" w:rsidTr="00A27EF6">
        <w:trPr>
          <w:trHeight w:val="315"/>
        </w:trPr>
        <w:tc>
          <w:tcPr>
            <w:tcW w:w="1400" w:type="dxa"/>
            <w:tcBorders>
              <w:top w:val="nil"/>
              <w:left w:val="nil"/>
              <w:bottom w:val="nil"/>
              <w:right w:val="nil"/>
            </w:tcBorders>
            <w:shd w:val="clear" w:color="auto" w:fill="auto"/>
            <w:noWrap/>
            <w:vAlign w:val="bottom"/>
            <w:hideMark/>
          </w:tcPr>
          <w:p w14:paraId="691B8BF5" w14:textId="77777777" w:rsidR="00440F24" w:rsidRPr="00A9447A" w:rsidRDefault="00440F24" w:rsidP="00A27EF6">
            <w:pPr>
              <w:spacing w:after="0"/>
              <w:jc w:val="left"/>
              <w:rPr>
                <w:noProof/>
                <w:color w:val="000000"/>
                <w:szCs w:val="24"/>
              </w:rPr>
            </w:pPr>
            <w:r w:rsidRPr="00A9447A">
              <w:rPr>
                <w:noProof/>
                <w:color w:val="000000"/>
                <w:szCs w:val="24"/>
              </w:rPr>
              <w:t>WCO</w:t>
            </w:r>
          </w:p>
        </w:tc>
        <w:tc>
          <w:tcPr>
            <w:tcW w:w="6964" w:type="dxa"/>
            <w:tcBorders>
              <w:top w:val="nil"/>
              <w:left w:val="nil"/>
              <w:bottom w:val="nil"/>
              <w:right w:val="nil"/>
            </w:tcBorders>
            <w:shd w:val="clear" w:color="auto" w:fill="auto"/>
            <w:noWrap/>
            <w:vAlign w:val="bottom"/>
            <w:hideMark/>
          </w:tcPr>
          <w:p w14:paraId="60D512FD" w14:textId="389DF73A" w:rsidR="00440F24" w:rsidRPr="00A9447A" w:rsidRDefault="00440F24" w:rsidP="00167262">
            <w:pPr>
              <w:spacing w:after="0"/>
              <w:jc w:val="left"/>
              <w:rPr>
                <w:noProof/>
                <w:color w:val="000000"/>
                <w:szCs w:val="24"/>
              </w:rPr>
            </w:pPr>
            <w:r w:rsidRPr="00A9447A">
              <w:rPr>
                <w:noProof/>
                <w:color w:val="000000"/>
                <w:szCs w:val="24"/>
              </w:rPr>
              <w:t xml:space="preserve">World Customs </w:t>
            </w:r>
            <w:r w:rsidR="00167262" w:rsidRPr="00A9447A">
              <w:rPr>
                <w:noProof/>
                <w:color w:val="000000"/>
                <w:szCs w:val="24"/>
              </w:rPr>
              <w:t>Organi</w:t>
            </w:r>
            <w:r w:rsidR="00167262">
              <w:rPr>
                <w:noProof/>
                <w:color w:val="000000"/>
                <w:szCs w:val="24"/>
              </w:rPr>
              <w:t>z</w:t>
            </w:r>
            <w:r w:rsidR="00167262" w:rsidRPr="00A9447A">
              <w:rPr>
                <w:noProof/>
                <w:color w:val="000000"/>
                <w:szCs w:val="24"/>
              </w:rPr>
              <w:t>ation</w:t>
            </w:r>
          </w:p>
        </w:tc>
      </w:tr>
    </w:tbl>
    <w:p w14:paraId="4B85D4E0" w14:textId="77777777" w:rsidR="00440F24" w:rsidRDefault="00440F24">
      <w:pPr>
        <w:rPr>
          <w:b/>
          <w:noProof/>
        </w:rPr>
      </w:pPr>
    </w:p>
    <w:p w14:paraId="68447355" w14:textId="77777777" w:rsidR="00440F24" w:rsidRDefault="00440F24" w:rsidP="00440F24">
      <w:pPr>
        <w:rPr>
          <w:noProof/>
        </w:rPr>
      </w:pPr>
      <w:r>
        <w:rPr>
          <w:noProof/>
        </w:rPr>
        <w:br w:type="page"/>
      </w:r>
    </w:p>
    <w:p w14:paraId="25097B8B" w14:textId="77777777" w:rsidR="00190177" w:rsidRDefault="0048430C" w:rsidP="0048430C">
      <w:pPr>
        <w:pStyle w:val="Heading1"/>
        <w:rPr>
          <w:noProof/>
        </w:rPr>
      </w:pPr>
      <w:bookmarkStart w:id="3" w:name="_Toc110444028"/>
      <w:r>
        <w:rPr>
          <w:noProof/>
        </w:rPr>
        <w:t>Introduction</w:t>
      </w:r>
      <w:bookmarkEnd w:id="3"/>
    </w:p>
    <w:p w14:paraId="77D53A0A" w14:textId="51BFEDC1" w:rsidR="0048430C" w:rsidRDefault="0048430C" w:rsidP="0048430C">
      <w:pPr>
        <w:rPr>
          <w:noProof/>
        </w:rPr>
      </w:pPr>
      <w:r>
        <w:rPr>
          <w:noProof/>
        </w:rPr>
        <w:t xml:space="preserve">The EU and its Member States share responsibility for protecting the EU’s financial interests and fighting fraud. EU Member State authorities manage the largest share of EU expenditure and collect traditional own resources (TOR). The Commission oversees both these areas, sets standards and checks compliance. In line with Article 325(5) of the Treaty on the Functioning of the European Union (TFEU), the Commission, in cooperation with EU Member States, </w:t>
      </w:r>
      <w:r w:rsidR="00167262">
        <w:rPr>
          <w:noProof/>
        </w:rPr>
        <w:t xml:space="preserve">is obliged to </w:t>
      </w:r>
      <w:r>
        <w:rPr>
          <w:noProof/>
        </w:rPr>
        <w:t xml:space="preserve">submit an annual report to the European Parliament and the Council on measures taken to counter fraud and other illegal activities affecting the EU’s financial interests (the PIF </w:t>
      </w:r>
      <w:r w:rsidR="00167262">
        <w:rPr>
          <w:noProof/>
        </w:rPr>
        <w:t>Report</w:t>
      </w:r>
      <w:r w:rsidR="00167262">
        <w:rPr>
          <w:rStyle w:val="FootnoteReference"/>
          <w:noProof/>
        </w:rPr>
        <w:footnoteReference w:id="1"/>
      </w:r>
      <w:r>
        <w:rPr>
          <w:noProof/>
        </w:rPr>
        <w:t>). For 2021, this report and its accompanying documents meet this obligation.</w:t>
      </w:r>
    </w:p>
    <w:p w14:paraId="4A209AD4" w14:textId="4BC00DA0" w:rsidR="0048430C" w:rsidRDefault="0048430C" w:rsidP="0048430C">
      <w:pPr>
        <w:rPr>
          <w:noProof/>
        </w:rPr>
      </w:pPr>
      <w:r w:rsidRPr="0048430C">
        <w:rPr>
          <w:noProof/>
        </w:rPr>
        <w:t xml:space="preserve">The </w:t>
      </w:r>
      <w:r w:rsidR="00AE2579" w:rsidRPr="0048430C">
        <w:rPr>
          <w:noProof/>
        </w:rPr>
        <w:t>202</w:t>
      </w:r>
      <w:r w:rsidR="00AE2579">
        <w:rPr>
          <w:noProof/>
        </w:rPr>
        <w:t>1</w:t>
      </w:r>
      <w:r w:rsidR="00AE2579" w:rsidRPr="0048430C">
        <w:rPr>
          <w:noProof/>
        </w:rPr>
        <w:t xml:space="preserve"> </w:t>
      </w:r>
      <w:r w:rsidRPr="0048430C">
        <w:rPr>
          <w:noProof/>
        </w:rPr>
        <w:t xml:space="preserve">PIF </w:t>
      </w:r>
      <w:r w:rsidR="00167262">
        <w:rPr>
          <w:noProof/>
        </w:rPr>
        <w:t>R</w:t>
      </w:r>
      <w:r w:rsidR="00167262" w:rsidRPr="0048430C">
        <w:rPr>
          <w:noProof/>
        </w:rPr>
        <w:t xml:space="preserve">eport </w:t>
      </w:r>
      <w:r w:rsidRPr="0048430C">
        <w:rPr>
          <w:noProof/>
        </w:rPr>
        <w:t>presents:</w:t>
      </w:r>
    </w:p>
    <w:p w14:paraId="3277A690" w14:textId="6783B7AA" w:rsidR="00FB11CB" w:rsidRDefault="00167262" w:rsidP="009701A5">
      <w:pPr>
        <w:pStyle w:val="ListNumber"/>
        <w:numPr>
          <w:ilvl w:val="0"/>
          <w:numId w:val="8"/>
        </w:numPr>
        <w:rPr>
          <w:noProof/>
        </w:rPr>
      </w:pPr>
      <w:r>
        <w:rPr>
          <w:noProof/>
        </w:rPr>
        <w:t>a</w:t>
      </w:r>
      <w:r w:rsidR="00677134">
        <w:rPr>
          <w:noProof/>
        </w:rPr>
        <w:t>n overview of the EU’s financial interests</w:t>
      </w:r>
      <w:r w:rsidR="00FB11CB">
        <w:rPr>
          <w:noProof/>
        </w:rPr>
        <w:t>, of the key legal acts adopted for their protection and the relevant jurisprudence of the Court of Justice;</w:t>
      </w:r>
    </w:p>
    <w:p w14:paraId="42C08EA6" w14:textId="4BCEDC0E" w:rsidR="00677134" w:rsidRDefault="00167262" w:rsidP="008A6DCE">
      <w:pPr>
        <w:pStyle w:val="ListNumber"/>
        <w:numPr>
          <w:ilvl w:val="0"/>
          <w:numId w:val="8"/>
        </w:numPr>
        <w:rPr>
          <w:noProof/>
        </w:rPr>
      </w:pPr>
      <w:r>
        <w:rPr>
          <w:noProof/>
        </w:rPr>
        <w:t>t</w:t>
      </w:r>
      <w:r w:rsidR="00677134">
        <w:rPr>
          <w:noProof/>
        </w:rPr>
        <w:t xml:space="preserve">he most </w:t>
      </w:r>
      <w:r>
        <w:rPr>
          <w:noProof/>
        </w:rPr>
        <w:t xml:space="preserve">significant anti-fraud </w:t>
      </w:r>
      <w:r w:rsidR="00677134">
        <w:rPr>
          <w:noProof/>
        </w:rPr>
        <w:t xml:space="preserve">developments </w:t>
      </w:r>
      <w:r>
        <w:rPr>
          <w:noProof/>
        </w:rPr>
        <w:t xml:space="preserve">in the </w:t>
      </w:r>
      <w:r w:rsidR="00677134">
        <w:rPr>
          <w:noProof/>
        </w:rPr>
        <w:t xml:space="preserve">EU </w:t>
      </w:r>
      <w:r>
        <w:rPr>
          <w:noProof/>
        </w:rPr>
        <w:t xml:space="preserve">as a whole </w:t>
      </w:r>
      <w:r w:rsidR="00677134">
        <w:rPr>
          <w:noProof/>
        </w:rPr>
        <w:t xml:space="preserve">and </w:t>
      </w:r>
      <w:r>
        <w:rPr>
          <w:noProof/>
        </w:rPr>
        <w:t xml:space="preserve">in </w:t>
      </w:r>
      <w:r w:rsidR="00677134">
        <w:rPr>
          <w:noProof/>
        </w:rPr>
        <w:t>Member State</w:t>
      </w:r>
      <w:r>
        <w:rPr>
          <w:noProof/>
        </w:rPr>
        <w:t>s</w:t>
      </w:r>
      <w:r w:rsidR="00677134">
        <w:rPr>
          <w:noProof/>
        </w:rPr>
        <w:t>;</w:t>
      </w:r>
    </w:p>
    <w:p w14:paraId="702D4700" w14:textId="59DCDB1A" w:rsidR="00677134" w:rsidRDefault="00167262" w:rsidP="008A6DCE">
      <w:pPr>
        <w:pStyle w:val="ListNumber"/>
        <w:numPr>
          <w:ilvl w:val="0"/>
          <w:numId w:val="8"/>
        </w:numPr>
        <w:rPr>
          <w:noProof/>
        </w:rPr>
      </w:pPr>
      <w:r>
        <w:rPr>
          <w:noProof/>
        </w:rPr>
        <w:t>a</w:t>
      </w:r>
      <w:r w:rsidR="00677134">
        <w:rPr>
          <w:noProof/>
        </w:rPr>
        <w:t>nti-fraud cooperation;</w:t>
      </w:r>
    </w:p>
    <w:p w14:paraId="1409BCE5" w14:textId="56C9C3E3" w:rsidR="00677134" w:rsidRDefault="00677134" w:rsidP="008A6DCE">
      <w:pPr>
        <w:pStyle w:val="ListNumber"/>
        <w:numPr>
          <w:ilvl w:val="0"/>
          <w:numId w:val="8"/>
        </w:numPr>
        <w:rPr>
          <w:noProof/>
        </w:rPr>
      </w:pPr>
      <w:r>
        <w:rPr>
          <w:noProof/>
        </w:rPr>
        <w:t xml:space="preserve">key areas for </w:t>
      </w:r>
      <w:r w:rsidR="00167262">
        <w:rPr>
          <w:noProof/>
        </w:rPr>
        <w:t xml:space="preserve">the consistent and </w:t>
      </w:r>
      <w:r>
        <w:rPr>
          <w:noProof/>
        </w:rPr>
        <w:t>harmonised protection of the EU’s financial interests;</w:t>
      </w:r>
    </w:p>
    <w:p w14:paraId="54A05443" w14:textId="156CC172" w:rsidR="00677134" w:rsidRDefault="00167262" w:rsidP="008A6DCE">
      <w:pPr>
        <w:pStyle w:val="ListNumber"/>
        <w:numPr>
          <w:ilvl w:val="0"/>
          <w:numId w:val="8"/>
        </w:numPr>
        <w:rPr>
          <w:noProof/>
        </w:rPr>
      </w:pPr>
      <w:r>
        <w:rPr>
          <w:noProof/>
        </w:rPr>
        <w:t xml:space="preserve">statistics </w:t>
      </w:r>
      <w:r w:rsidR="00677134">
        <w:rPr>
          <w:noProof/>
        </w:rPr>
        <w:t>and data on fraud and irregularities affecting the EU budget and their analysis;</w:t>
      </w:r>
    </w:p>
    <w:p w14:paraId="570AFCE3" w14:textId="12686D3D" w:rsidR="00677134" w:rsidRDefault="0010609B" w:rsidP="00FB11CB">
      <w:pPr>
        <w:pStyle w:val="ListNumber"/>
        <w:numPr>
          <w:ilvl w:val="0"/>
          <w:numId w:val="8"/>
        </w:numPr>
        <w:rPr>
          <w:noProof/>
        </w:rPr>
      </w:pPr>
      <w:r>
        <w:rPr>
          <w:noProof/>
        </w:rPr>
        <w:t>an out</w:t>
      </w:r>
      <w:r w:rsidR="00677134">
        <w:rPr>
          <w:noProof/>
        </w:rPr>
        <w:t xml:space="preserve">look </w:t>
      </w:r>
      <w:r>
        <w:rPr>
          <w:noProof/>
        </w:rPr>
        <w:t>for</w:t>
      </w:r>
      <w:r w:rsidR="00167262">
        <w:rPr>
          <w:noProof/>
        </w:rPr>
        <w:t xml:space="preserve"> </w:t>
      </w:r>
      <w:r w:rsidR="00677134">
        <w:rPr>
          <w:noProof/>
        </w:rPr>
        <w:t>2022</w:t>
      </w:r>
      <w:r w:rsidR="00FB11CB">
        <w:rPr>
          <w:noProof/>
        </w:rPr>
        <w:t xml:space="preserve">, </w:t>
      </w:r>
      <w:r w:rsidR="00167262">
        <w:rPr>
          <w:noProof/>
        </w:rPr>
        <w:t>c</w:t>
      </w:r>
      <w:r w:rsidR="00677134">
        <w:rPr>
          <w:noProof/>
        </w:rPr>
        <w:t>onclusions and recommendations.</w:t>
      </w:r>
    </w:p>
    <w:p w14:paraId="5B9470AC" w14:textId="77777777" w:rsidR="0048430C" w:rsidRDefault="000B4633" w:rsidP="0048430C">
      <w:pPr>
        <w:pStyle w:val="Heading2"/>
        <w:rPr>
          <w:noProof/>
        </w:rPr>
      </w:pPr>
      <w:bookmarkStart w:id="4" w:name="_Toc110444029"/>
      <w:r>
        <w:rPr>
          <w:noProof/>
        </w:rPr>
        <w:t>Key concepts</w:t>
      </w:r>
      <w:bookmarkEnd w:id="4"/>
    </w:p>
    <w:p w14:paraId="68B35903" w14:textId="77777777" w:rsidR="0048430C" w:rsidRDefault="000B4633" w:rsidP="0048430C">
      <w:pPr>
        <w:rPr>
          <w:noProof/>
        </w:rPr>
      </w:pPr>
      <w:r>
        <w:rPr>
          <w:noProof/>
        </w:rPr>
        <w:t xml:space="preserve">The most important </w:t>
      </w:r>
      <w:r w:rsidR="0072454B">
        <w:rPr>
          <w:noProof/>
        </w:rPr>
        <w:t xml:space="preserve">terms </w:t>
      </w:r>
      <w:r w:rsidR="00873938">
        <w:rPr>
          <w:noProof/>
        </w:rPr>
        <w:t xml:space="preserve">that are used in the PIF Report </w:t>
      </w:r>
      <w:r>
        <w:rPr>
          <w:noProof/>
        </w:rPr>
        <w:t xml:space="preserve">are summarised in </w:t>
      </w:r>
      <w:r>
        <w:rPr>
          <w:b/>
          <w:i/>
          <w:noProof/>
        </w:rPr>
        <w:t>Box</w:t>
      </w:r>
      <w:r w:rsidRPr="004D2B33">
        <w:rPr>
          <w:b/>
          <w:i/>
          <w:noProof/>
        </w:rPr>
        <w:t xml:space="preserve"> </w:t>
      </w:r>
      <w:r w:rsidRPr="00505DEA">
        <w:rPr>
          <w:b/>
          <w:i/>
          <w:noProof/>
        </w:rPr>
        <w:t>1</w:t>
      </w:r>
      <w:r>
        <w:rPr>
          <w:noProof/>
        </w:rPr>
        <w:t xml:space="preserve">. </w:t>
      </w:r>
    </w:p>
    <w:p w14:paraId="436AC2D3" w14:textId="2C833D2B" w:rsidR="000B4633" w:rsidRDefault="000B4633" w:rsidP="00242925">
      <w:pPr>
        <w:pStyle w:val="Caption"/>
        <w:pBdr>
          <w:top w:val="single" w:sz="4" w:space="1" w:color="auto"/>
          <w:left w:val="single" w:sz="4" w:space="4" w:color="auto"/>
          <w:bottom w:val="single" w:sz="4" w:space="1" w:color="auto"/>
          <w:right w:val="single" w:sz="4" w:space="4" w:color="auto"/>
        </w:pBdr>
        <w:shd w:val="clear" w:color="auto" w:fill="E2EFD9" w:themeFill="accent6" w:themeFillTint="33"/>
        <w:rPr>
          <w:noProof/>
        </w:rPr>
      </w:pPr>
      <w:bookmarkStart w:id="5" w:name="_Toc106662322"/>
      <w:r>
        <w:rPr>
          <w:noProof/>
        </w:rPr>
        <w:t xml:space="preserve">Box </w:t>
      </w:r>
      <w:r w:rsidR="00EA0D7C">
        <w:rPr>
          <w:noProof/>
        </w:rPr>
        <w:fldChar w:fldCharType="begin"/>
      </w:r>
      <w:r w:rsidR="00EA0D7C">
        <w:rPr>
          <w:noProof/>
        </w:rPr>
        <w:instrText xml:space="preserve"> SEQ Box \* ARABIC </w:instrText>
      </w:r>
      <w:r w:rsidR="00EA0D7C">
        <w:rPr>
          <w:noProof/>
        </w:rPr>
        <w:fldChar w:fldCharType="separate"/>
      </w:r>
      <w:r w:rsidR="00F963A8">
        <w:rPr>
          <w:noProof/>
        </w:rPr>
        <w:t>1</w:t>
      </w:r>
      <w:r w:rsidR="00EA0D7C">
        <w:rPr>
          <w:noProof/>
        </w:rPr>
        <w:fldChar w:fldCharType="end"/>
      </w:r>
      <w:r>
        <w:rPr>
          <w:noProof/>
        </w:rPr>
        <w:t>: Applicable definitions</w:t>
      </w:r>
      <w:bookmarkEnd w:id="5"/>
    </w:p>
    <w:p w14:paraId="71C0E05B" w14:textId="53522CC0" w:rsidR="00131B72" w:rsidRPr="00131B72" w:rsidRDefault="00131B72"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For a full description of the </w:t>
      </w:r>
      <w:r>
        <w:rPr>
          <w:b/>
          <w:noProof/>
        </w:rPr>
        <w:t>EU’s financial interests</w:t>
      </w:r>
      <w:r>
        <w:rPr>
          <w:noProof/>
        </w:rPr>
        <w:t xml:space="preserve"> see </w:t>
      </w:r>
      <w:r w:rsidR="00167262">
        <w:rPr>
          <w:b/>
          <w:noProof/>
        </w:rPr>
        <w:t xml:space="preserve">Section </w:t>
      </w:r>
      <w:r>
        <w:rPr>
          <w:b/>
          <w:noProof/>
        </w:rPr>
        <w:t>1.2</w:t>
      </w:r>
      <w:r>
        <w:rPr>
          <w:noProof/>
        </w:rPr>
        <w:t>.</w:t>
      </w:r>
    </w:p>
    <w:p w14:paraId="0F6BFCBF" w14:textId="6EDF647B" w:rsidR="000B4633" w:rsidRDefault="000B4633"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b/>
          <w:noProof/>
        </w:rPr>
        <w:t>I</w:t>
      </w:r>
      <w:r w:rsidR="00AC5DD3">
        <w:rPr>
          <w:b/>
          <w:noProof/>
        </w:rPr>
        <w:t xml:space="preserve">rregularity </w:t>
      </w:r>
      <w:r w:rsidR="00AC5DD3">
        <w:rPr>
          <w:noProof/>
        </w:rPr>
        <w:t xml:space="preserve">means </w:t>
      </w:r>
      <w:r w:rsidR="00AC5DD3" w:rsidRPr="00AC5DD3">
        <w:rPr>
          <w:noProof/>
        </w:rPr>
        <w:t xml:space="preserve">any breach of </w:t>
      </w:r>
      <w:r w:rsidR="00167262">
        <w:rPr>
          <w:noProof/>
        </w:rPr>
        <w:t>E</w:t>
      </w:r>
      <w:r w:rsidR="00AC5DD3" w:rsidRPr="00AC5DD3">
        <w:rPr>
          <w:noProof/>
        </w:rPr>
        <w:t>U law, or of national law relating to its application, resulting from an act or omission by an economic operator</w:t>
      </w:r>
      <w:r w:rsidR="00AC5DD3">
        <w:rPr>
          <w:noProof/>
        </w:rPr>
        <w:t xml:space="preserve">, </w:t>
      </w:r>
      <w:r w:rsidR="00AC5DD3" w:rsidRPr="00AC5DD3">
        <w:rPr>
          <w:noProof/>
        </w:rPr>
        <w:t xml:space="preserve">which has, or would have, the effect of prejudicing the </w:t>
      </w:r>
      <w:r w:rsidR="00167262">
        <w:rPr>
          <w:noProof/>
        </w:rPr>
        <w:t xml:space="preserve">EU </w:t>
      </w:r>
      <w:r w:rsidR="00AC5DD3" w:rsidRPr="00AC5DD3">
        <w:rPr>
          <w:noProof/>
        </w:rPr>
        <w:t>budget</w:t>
      </w:r>
      <w:r w:rsidR="00AC5DD3">
        <w:rPr>
          <w:noProof/>
        </w:rPr>
        <w:t xml:space="preserve">, </w:t>
      </w:r>
      <w:r w:rsidR="00AC5DD3" w:rsidRPr="00AC5DD3">
        <w:rPr>
          <w:noProof/>
        </w:rPr>
        <w:t xml:space="preserve">either by reducing or losing revenue accruing from own resources collected directly on behalf of the </w:t>
      </w:r>
      <w:r w:rsidR="00167262">
        <w:rPr>
          <w:noProof/>
        </w:rPr>
        <w:t>E</w:t>
      </w:r>
      <w:r w:rsidR="00AC5DD3">
        <w:rPr>
          <w:noProof/>
        </w:rPr>
        <w:t>U or</w:t>
      </w:r>
      <w:r w:rsidR="00AC5DD3" w:rsidRPr="00AC5DD3">
        <w:rPr>
          <w:noProof/>
        </w:rPr>
        <w:t xml:space="preserve"> by charging an unjustified item of expenditure to the </w:t>
      </w:r>
      <w:r w:rsidR="00167262">
        <w:rPr>
          <w:noProof/>
        </w:rPr>
        <w:t xml:space="preserve">EU </w:t>
      </w:r>
      <w:r w:rsidR="00AC5DD3" w:rsidRPr="00AC5DD3">
        <w:rPr>
          <w:noProof/>
        </w:rPr>
        <w:t>budget</w:t>
      </w:r>
      <w:r w:rsidR="00AC5DD3">
        <w:rPr>
          <w:rStyle w:val="FootnoteReference"/>
          <w:noProof/>
        </w:rPr>
        <w:footnoteReference w:id="2"/>
      </w:r>
      <w:r w:rsidR="00AC5DD3" w:rsidRPr="00AC5DD3">
        <w:rPr>
          <w:noProof/>
        </w:rPr>
        <w:t>.</w:t>
      </w:r>
    </w:p>
    <w:p w14:paraId="3CCBDE43" w14:textId="0B1EBFBE" w:rsidR="00DF51DB" w:rsidRDefault="00131B72"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Following the adoption of </w:t>
      </w:r>
      <w:r w:rsidRPr="00131B72">
        <w:rPr>
          <w:noProof/>
        </w:rPr>
        <w:t>Directive (EU) 2017/1371</w:t>
      </w:r>
      <w:r>
        <w:rPr>
          <w:noProof/>
        </w:rPr>
        <w:t xml:space="preserve"> (the ‘PIF Directive’), </w:t>
      </w:r>
      <w:r w:rsidR="00DF51DB">
        <w:rPr>
          <w:noProof/>
        </w:rPr>
        <w:t>a</w:t>
      </w:r>
      <w:r w:rsidR="00DF51DB" w:rsidRPr="00DF51DB">
        <w:rPr>
          <w:noProof/>
        </w:rPr>
        <w:t xml:space="preserve">ny intentional act or omission affecting </w:t>
      </w:r>
      <w:r w:rsidR="0045480B">
        <w:rPr>
          <w:noProof/>
        </w:rPr>
        <w:t xml:space="preserve">the </w:t>
      </w:r>
      <w:r w:rsidR="00DF51DB" w:rsidRPr="00DF51DB">
        <w:rPr>
          <w:noProof/>
        </w:rPr>
        <w:t>EU’s financial interests, includ</w:t>
      </w:r>
      <w:r w:rsidR="00DF51DB">
        <w:rPr>
          <w:noProof/>
        </w:rPr>
        <w:t>ing</w:t>
      </w:r>
      <w:r w:rsidR="00DF51DB" w:rsidRPr="00DF51DB">
        <w:rPr>
          <w:noProof/>
        </w:rPr>
        <w:t xml:space="preserve"> the use or presentation of false, incorrect or incomplete statement</w:t>
      </w:r>
      <w:r w:rsidR="0045480B">
        <w:rPr>
          <w:noProof/>
        </w:rPr>
        <w:t>s</w:t>
      </w:r>
      <w:r w:rsidR="00DF51DB" w:rsidRPr="00DF51DB">
        <w:rPr>
          <w:noProof/>
        </w:rPr>
        <w:t xml:space="preserve"> or documents or failure to disclose information despite </w:t>
      </w:r>
      <w:r w:rsidR="0045480B">
        <w:rPr>
          <w:noProof/>
        </w:rPr>
        <w:t xml:space="preserve">a </w:t>
      </w:r>
      <w:r w:rsidR="00DF51DB" w:rsidRPr="00DF51DB">
        <w:rPr>
          <w:noProof/>
        </w:rPr>
        <w:t xml:space="preserve">specific obligation </w:t>
      </w:r>
      <w:r w:rsidR="0045480B">
        <w:rPr>
          <w:noProof/>
        </w:rPr>
        <w:t>to do so,</w:t>
      </w:r>
      <w:r w:rsidR="00FB11CB">
        <w:rPr>
          <w:noProof/>
        </w:rPr>
        <w:t xml:space="preserve"> </w:t>
      </w:r>
      <w:r w:rsidR="00DF51DB" w:rsidRPr="00DF51DB">
        <w:rPr>
          <w:noProof/>
        </w:rPr>
        <w:t>or the misapplication of funds or benefits, amounts</w:t>
      </w:r>
      <w:r w:rsidR="00DF51DB">
        <w:rPr>
          <w:noProof/>
        </w:rPr>
        <w:t xml:space="preserve"> to</w:t>
      </w:r>
      <w:r w:rsidR="00DF51DB" w:rsidRPr="00DF51DB">
        <w:rPr>
          <w:noProof/>
        </w:rPr>
        <w:t xml:space="preserve"> </w:t>
      </w:r>
      <w:r>
        <w:rPr>
          <w:b/>
          <w:noProof/>
        </w:rPr>
        <w:t>fraud</w:t>
      </w:r>
      <w:r w:rsidR="00DF51DB">
        <w:rPr>
          <w:noProof/>
        </w:rPr>
        <w:t>.</w:t>
      </w:r>
      <w:r>
        <w:rPr>
          <w:b/>
          <w:noProof/>
        </w:rPr>
        <w:t xml:space="preserve"> </w:t>
      </w:r>
      <w:r w:rsidR="00DF51DB">
        <w:rPr>
          <w:noProof/>
        </w:rPr>
        <w:t>The PIF Directive also distinguishes between fraud in:</w:t>
      </w:r>
    </w:p>
    <w:p w14:paraId="741A96FD" w14:textId="35AE95A5" w:rsidR="00DF51DB"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non</w:t>
      </w:r>
      <w:r w:rsidR="00DF51DB">
        <w:rPr>
          <w:noProof/>
        </w:rPr>
        <w:t>-procurement-related expenditure;</w:t>
      </w:r>
    </w:p>
    <w:p w14:paraId="3B1F6245" w14:textId="05AFA892" w:rsidR="00DF51DB"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procurement</w:t>
      </w:r>
      <w:r w:rsidR="00DF51DB">
        <w:rPr>
          <w:noProof/>
        </w:rPr>
        <w:t>-related expenditure;</w:t>
      </w:r>
    </w:p>
    <w:p w14:paraId="3E09BC5F" w14:textId="3EE2A369" w:rsidR="00DF51DB"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revenue </w:t>
      </w:r>
      <w:r w:rsidR="00DF51DB">
        <w:rPr>
          <w:noProof/>
        </w:rPr>
        <w:t>other than revenue arising from VAT own resources;</w:t>
      </w:r>
    </w:p>
    <w:p w14:paraId="168C510C" w14:textId="17A3B9BB" w:rsidR="00DF51DB" w:rsidRDefault="0045480B" w:rsidP="00242925">
      <w:pPr>
        <w:pStyle w:val="ListNumbe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revenue </w:t>
      </w:r>
      <w:r w:rsidR="00DF51DB">
        <w:rPr>
          <w:noProof/>
        </w:rPr>
        <w:t>arising from VAT own resources.</w:t>
      </w:r>
    </w:p>
    <w:p w14:paraId="200DE63E" w14:textId="389C9869" w:rsidR="00292801" w:rsidRDefault="00292801"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Sectoral regulations </w:t>
      </w:r>
      <w:r w:rsidR="00602423">
        <w:rPr>
          <w:noProof/>
        </w:rPr>
        <w:t>on</w:t>
      </w:r>
      <w:r>
        <w:rPr>
          <w:noProof/>
        </w:rPr>
        <w:t xml:space="preserve"> the reporting of irregularities in shared management introduce </w:t>
      </w:r>
      <w:r w:rsidR="001C7027">
        <w:rPr>
          <w:noProof/>
        </w:rPr>
        <w:t>the</w:t>
      </w:r>
      <w:r>
        <w:rPr>
          <w:noProof/>
        </w:rPr>
        <w:t xml:space="preserve"> concep</w:t>
      </w:r>
      <w:r w:rsidR="004D2B33">
        <w:rPr>
          <w:noProof/>
        </w:rPr>
        <w:t>t</w:t>
      </w:r>
      <w:r>
        <w:rPr>
          <w:noProof/>
        </w:rPr>
        <w:t xml:space="preserve"> of </w:t>
      </w:r>
      <w:r>
        <w:rPr>
          <w:b/>
          <w:noProof/>
        </w:rPr>
        <w:t>suspected fraud</w:t>
      </w:r>
      <w:r w:rsidR="00602423">
        <w:rPr>
          <w:b/>
          <w:noProof/>
        </w:rPr>
        <w:t xml:space="preserve">, </w:t>
      </w:r>
      <w:r w:rsidR="00602423" w:rsidRPr="00602423">
        <w:rPr>
          <w:noProof/>
        </w:rPr>
        <w:t>defined as</w:t>
      </w:r>
      <w:r>
        <w:rPr>
          <w:noProof/>
        </w:rPr>
        <w:t xml:space="preserve"> </w:t>
      </w:r>
      <w:r w:rsidR="0045480B">
        <w:rPr>
          <w:noProof/>
        </w:rPr>
        <w:t>‘</w:t>
      </w:r>
      <w:r w:rsidR="00B7631B" w:rsidRPr="00B7631B">
        <w:rPr>
          <w:noProof/>
        </w:rPr>
        <w:t>an irregularity that gives rise to the initiation of administrative or judicial proceedings at national level in order to establish the presence of intentional behaviour, in particular fraud</w:t>
      </w:r>
      <w:r w:rsidR="0045480B">
        <w:rPr>
          <w:noProof/>
        </w:rPr>
        <w:t>’</w:t>
      </w:r>
      <w:r w:rsidR="00B7631B">
        <w:rPr>
          <w:rStyle w:val="FootnoteReference"/>
          <w:noProof/>
        </w:rPr>
        <w:footnoteReference w:id="3"/>
      </w:r>
      <w:r w:rsidR="00B7631B">
        <w:rPr>
          <w:noProof/>
        </w:rPr>
        <w:t>.</w:t>
      </w:r>
    </w:p>
    <w:p w14:paraId="5046AACB" w14:textId="6A8FD6AC" w:rsidR="00B7631B" w:rsidRDefault="0045480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F</w:t>
      </w:r>
      <w:r w:rsidR="00B7631B">
        <w:rPr>
          <w:noProof/>
        </w:rPr>
        <w:t xml:space="preserve">raud is considered </w:t>
      </w:r>
      <w:r w:rsidR="00B7631B">
        <w:rPr>
          <w:b/>
          <w:noProof/>
        </w:rPr>
        <w:t>established fraud</w:t>
      </w:r>
      <w:r w:rsidR="00B7631B">
        <w:rPr>
          <w:noProof/>
        </w:rPr>
        <w:t xml:space="preserve"> once a definitive decision (judicial or administrative) has been taken by a competent body, establishing the presence of intentional behaviour.</w:t>
      </w:r>
    </w:p>
    <w:p w14:paraId="42131885" w14:textId="59FD743C" w:rsidR="00B7631B" w:rsidRPr="00B7631B" w:rsidRDefault="0045480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b/>
          <w:noProof/>
        </w:rPr>
        <w:t>B</w:t>
      </w:r>
      <w:r w:rsidR="00F7378C">
        <w:rPr>
          <w:b/>
          <w:noProof/>
        </w:rPr>
        <w:t>ox</w:t>
      </w:r>
      <w:r>
        <w:rPr>
          <w:b/>
          <w:noProof/>
        </w:rPr>
        <w:t xml:space="preserve"> 2 </w:t>
      </w:r>
      <w:r>
        <w:rPr>
          <w:noProof/>
        </w:rPr>
        <w:t>explains h</w:t>
      </w:r>
      <w:r w:rsidR="00B7631B">
        <w:rPr>
          <w:noProof/>
        </w:rPr>
        <w:t xml:space="preserve">ow the concepts of </w:t>
      </w:r>
      <w:r w:rsidR="00B7631B">
        <w:rPr>
          <w:b/>
          <w:noProof/>
        </w:rPr>
        <w:t xml:space="preserve">suspected </w:t>
      </w:r>
      <w:r w:rsidR="00B7631B">
        <w:rPr>
          <w:noProof/>
        </w:rPr>
        <w:t xml:space="preserve">and </w:t>
      </w:r>
      <w:r w:rsidR="00B7631B">
        <w:rPr>
          <w:b/>
          <w:noProof/>
        </w:rPr>
        <w:t>established fraud</w:t>
      </w:r>
      <w:r w:rsidR="00B7631B">
        <w:rPr>
          <w:noProof/>
        </w:rPr>
        <w:t xml:space="preserve"> are used in relation to the statistics published in this report.</w:t>
      </w:r>
      <w:r w:rsidR="00B7631B">
        <w:rPr>
          <w:b/>
          <w:noProof/>
        </w:rPr>
        <w:t xml:space="preserve"> </w:t>
      </w:r>
    </w:p>
    <w:p w14:paraId="71A079EF" w14:textId="6B610872" w:rsidR="00131B72" w:rsidRDefault="00DF51DB" w:rsidP="00242925">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b/>
          <w:noProof/>
        </w:rPr>
        <w:t xml:space="preserve">Corruption </w:t>
      </w:r>
      <w:r>
        <w:rPr>
          <w:noProof/>
        </w:rPr>
        <w:t>refers to a</w:t>
      </w:r>
      <w:r w:rsidRPr="00DF51DB">
        <w:rPr>
          <w:noProof/>
        </w:rPr>
        <w:t xml:space="preserve">ny abuse of power by a public official for private gain, which has the effect of prejudicing the </w:t>
      </w:r>
      <w:r w:rsidR="0045480B">
        <w:rPr>
          <w:noProof/>
        </w:rPr>
        <w:t>E</w:t>
      </w:r>
      <w:r w:rsidRPr="00DF51DB">
        <w:rPr>
          <w:noProof/>
        </w:rPr>
        <w:t>U’s financial interests</w:t>
      </w:r>
      <w:r>
        <w:rPr>
          <w:noProof/>
        </w:rPr>
        <w:t>.</w:t>
      </w:r>
    </w:p>
    <w:p w14:paraId="3472BAF0" w14:textId="77777777" w:rsidR="0048430C" w:rsidRDefault="0048430C" w:rsidP="0048430C">
      <w:pPr>
        <w:pStyle w:val="Heading2"/>
        <w:rPr>
          <w:noProof/>
        </w:rPr>
      </w:pPr>
      <w:bookmarkStart w:id="6" w:name="_Toc110444030"/>
      <w:r>
        <w:rPr>
          <w:noProof/>
        </w:rPr>
        <w:t>The EU’s financial interests in 2021</w:t>
      </w:r>
      <w:bookmarkEnd w:id="6"/>
    </w:p>
    <w:p w14:paraId="307A5F6E" w14:textId="72FEF053" w:rsidR="00DC489A" w:rsidRDefault="00DC489A" w:rsidP="00DC489A">
      <w:pPr>
        <w:rPr>
          <w:noProof/>
        </w:rPr>
      </w:pPr>
      <w:r>
        <w:rPr>
          <w:noProof/>
        </w:rPr>
        <w:t xml:space="preserve">The EU’s financial interests include revenues, expenditures and assets covered by the EU budget and those covered by the budgets of the EU institutions, bodies, offices and agencies and the budgets </w:t>
      </w:r>
      <w:r w:rsidR="0045480B">
        <w:rPr>
          <w:noProof/>
        </w:rPr>
        <w:t xml:space="preserve">they </w:t>
      </w:r>
      <w:r>
        <w:rPr>
          <w:noProof/>
        </w:rPr>
        <w:t>manage and monitor</w:t>
      </w:r>
      <w:r w:rsidR="002571D1">
        <w:rPr>
          <w:rStyle w:val="FootnoteReference"/>
          <w:noProof/>
        </w:rPr>
        <w:footnoteReference w:id="4"/>
      </w:r>
      <w:r>
        <w:rPr>
          <w:noProof/>
        </w:rPr>
        <w:t>.</w:t>
      </w:r>
    </w:p>
    <w:p w14:paraId="61ABDB6C" w14:textId="5D314D6C" w:rsidR="0048430C" w:rsidRDefault="00DC489A" w:rsidP="00DC489A">
      <w:pPr>
        <w:rPr>
          <w:noProof/>
        </w:rPr>
      </w:pPr>
      <w:r>
        <w:rPr>
          <w:noProof/>
        </w:rPr>
        <w:t xml:space="preserve">The revenue side of the budget is made up of </w:t>
      </w:r>
      <w:r w:rsidR="00A828A1">
        <w:rPr>
          <w:noProof/>
        </w:rPr>
        <w:t>traditional own resources (TOR)</w:t>
      </w:r>
      <w:r w:rsidR="00A828A1">
        <w:rPr>
          <w:rStyle w:val="FootnoteReference"/>
          <w:noProof/>
        </w:rPr>
        <w:footnoteReference w:id="5"/>
      </w:r>
      <w:r>
        <w:rPr>
          <w:noProof/>
        </w:rPr>
        <w:t xml:space="preserve">, </w:t>
      </w:r>
      <w:r w:rsidR="0045480B">
        <w:rPr>
          <w:noProof/>
        </w:rPr>
        <w:t>value added tax</w:t>
      </w:r>
      <w:r w:rsidR="0072454B">
        <w:rPr>
          <w:noProof/>
        </w:rPr>
        <w:t xml:space="preserve">, plastics own resource </w:t>
      </w:r>
      <w:r>
        <w:rPr>
          <w:noProof/>
        </w:rPr>
        <w:t>and a share of the gross national income of EU Member States.</w:t>
      </w:r>
    </w:p>
    <w:p w14:paraId="190D9D9F" w14:textId="77777777" w:rsidR="00DC489A" w:rsidRPr="00DC489A" w:rsidRDefault="00DC489A" w:rsidP="00DC489A">
      <w:pPr>
        <w:rPr>
          <w:noProof/>
        </w:rPr>
      </w:pPr>
      <w:r>
        <w:rPr>
          <w:b/>
          <w:noProof/>
        </w:rPr>
        <w:t>Figure 1</w:t>
      </w:r>
      <w:r>
        <w:rPr>
          <w:noProof/>
        </w:rPr>
        <w:t xml:space="preserve"> shows the resources available to the EU in 2021.</w:t>
      </w:r>
    </w:p>
    <w:p w14:paraId="3A649901" w14:textId="5DD46608" w:rsidR="00DC489A" w:rsidRDefault="00DC489A" w:rsidP="00DC489A">
      <w:pPr>
        <w:pStyle w:val="Caption"/>
        <w:keepNext/>
        <w:rPr>
          <w:noProof/>
        </w:rPr>
      </w:pPr>
      <w:r>
        <w:rPr>
          <w:noProof/>
        </w:rPr>
        <w:t xml:space="preserve">Figure </w:t>
      </w:r>
      <w:r w:rsidR="00EA0D7C">
        <w:rPr>
          <w:noProof/>
        </w:rPr>
        <w:fldChar w:fldCharType="begin"/>
      </w:r>
      <w:r w:rsidR="00EA0D7C">
        <w:rPr>
          <w:noProof/>
        </w:rPr>
        <w:instrText xml:space="preserve"> SEQ Figure \* ARABIC </w:instrText>
      </w:r>
      <w:r w:rsidR="00EA0D7C">
        <w:rPr>
          <w:noProof/>
        </w:rPr>
        <w:fldChar w:fldCharType="separate"/>
      </w:r>
      <w:r w:rsidR="00F963A8">
        <w:rPr>
          <w:noProof/>
        </w:rPr>
        <w:t>1</w:t>
      </w:r>
      <w:r w:rsidR="00EA0D7C">
        <w:rPr>
          <w:noProof/>
        </w:rPr>
        <w:fldChar w:fldCharType="end"/>
      </w:r>
      <w:r>
        <w:rPr>
          <w:noProof/>
        </w:rPr>
        <w:t xml:space="preserve"> – EU revenue in 2021</w:t>
      </w:r>
    </w:p>
    <w:p w14:paraId="404E96B4" w14:textId="2788A11B" w:rsidR="00DC489A" w:rsidRDefault="00797CA2" w:rsidP="00DC489A">
      <w:pPr>
        <w:rPr>
          <w:noProof/>
        </w:rPr>
      </w:pPr>
      <w:r>
        <w:rPr>
          <w:noProof/>
        </w:rPr>
        <w:drawing>
          <wp:inline distT="0" distB="0" distL="0" distR="0" wp14:anchorId="43F67DF0" wp14:editId="22BBF890">
            <wp:extent cx="5454650" cy="351730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5860" cy="3537434"/>
                    </a:xfrm>
                    <a:prstGeom prst="rect">
                      <a:avLst/>
                    </a:prstGeom>
                    <a:noFill/>
                  </pic:spPr>
                </pic:pic>
              </a:graphicData>
            </a:graphic>
          </wp:inline>
        </w:drawing>
      </w:r>
    </w:p>
    <w:p w14:paraId="21F83AFA" w14:textId="47741DB9" w:rsidR="00623B82" w:rsidRDefault="000A2ED7" w:rsidP="00DC489A">
      <w:pPr>
        <w:rPr>
          <w:noProof/>
        </w:rPr>
      </w:pPr>
      <w:r w:rsidRPr="000A2ED7">
        <w:rPr>
          <w:noProof/>
        </w:rPr>
        <w:t>T</w:t>
      </w:r>
      <w:r w:rsidR="00623B82" w:rsidRPr="00623B82">
        <w:rPr>
          <w:noProof/>
        </w:rPr>
        <w:t xml:space="preserve">he EU finances its policies </w:t>
      </w:r>
      <w:r w:rsidR="0045480B">
        <w:rPr>
          <w:noProof/>
        </w:rPr>
        <w:t>using</w:t>
      </w:r>
      <w:r w:rsidR="0045480B" w:rsidRPr="00623B82">
        <w:rPr>
          <w:noProof/>
        </w:rPr>
        <w:t xml:space="preserve"> </w:t>
      </w:r>
      <w:r w:rsidR="00623B82" w:rsidRPr="00623B82">
        <w:rPr>
          <w:noProof/>
        </w:rPr>
        <w:t xml:space="preserve">these resources (see </w:t>
      </w:r>
      <w:r w:rsidR="00623B82" w:rsidRPr="00623B82">
        <w:rPr>
          <w:b/>
          <w:noProof/>
        </w:rPr>
        <w:t>Figure 2</w:t>
      </w:r>
      <w:r w:rsidR="00623B82" w:rsidRPr="00623B82">
        <w:rPr>
          <w:noProof/>
        </w:rPr>
        <w:t>).</w:t>
      </w:r>
    </w:p>
    <w:p w14:paraId="4AFB5C84" w14:textId="18FAA921" w:rsidR="00623B82" w:rsidRDefault="00623B82" w:rsidP="00623B82">
      <w:pPr>
        <w:pStyle w:val="Caption"/>
        <w:keepNext/>
        <w:rPr>
          <w:noProof/>
        </w:rPr>
      </w:pPr>
      <w:r>
        <w:rPr>
          <w:noProof/>
        </w:rPr>
        <w:t xml:space="preserve">Figure </w:t>
      </w:r>
      <w:r w:rsidR="00EA0D7C">
        <w:rPr>
          <w:noProof/>
        </w:rPr>
        <w:fldChar w:fldCharType="begin"/>
      </w:r>
      <w:r w:rsidR="00EA0D7C">
        <w:rPr>
          <w:noProof/>
        </w:rPr>
        <w:instrText xml:space="preserve"> SEQ Figure \* ARABIC </w:instrText>
      </w:r>
      <w:r w:rsidR="00EA0D7C">
        <w:rPr>
          <w:noProof/>
        </w:rPr>
        <w:fldChar w:fldCharType="separate"/>
      </w:r>
      <w:r w:rsidR="00F963A8">
        <w:rPr>
          <w:noProof/>
        </w:rPr>
        <w:t>2</w:t>
      </w:r>
      <w:r w:rsidR="00EA0D7C">
        <w:rPr>
          <w:noProof/>
        </w:rPr>
        <w:fldChar w:fldCharType="end"/>
      </w:r>
      <w:r>
        <w:rPr>
          <w:noProof/>
        </w:rPr>
        <w:t xml:space="preserve"> – EU expenditure in 2021</w:t>
      </w:r>
    </w:p>
    <w:p w14:paraId="281909AC" w14:textId="69F6589A" w:rsidR="00623B82" w:rsidRDefault="00261CD5" w:rsidP="00623B82">
      <w:pPr>
        <w:rPr>
          <w:noProof/>
        </w:rPr>
      </w:pPr>
      <w:r>
        <w:rPr>
          <w:noProof/>
        </w:rPr>
        <w:drawing>
          <wp:inline distT="0" distB="0" distL="0" distR="0" wp14:anchorId="748F14B0" wp14:editId="707F56A1">
            <wp:extent cx="5509729" cy="3552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7594" cy="3564345"/>
                    </a:xfrm>
                    <a:prstGeom prst="rect">
                      <a:avLst/>
                    </a:prstGeom>
                    <a:noFill/>
                  </pic:spPr>
                </pic:pic>
              </a:graphicData>
            </a:graphic>
          </wp:inline>
        </w:drawing>
      </w:r>
    </w:p>
    <w:p w14:paraId="6394DD87" w14:textId="76E50EFC" w:rsidR="00623B82" w:rsidRPr="00623B82" w:rsidRDefault="00623B82" w:rsidP="00623B82">
      <w:pPr>
        <w:rPr>
          <w:noProof/>
        </w:rPr>
      </w:pPr>
      <w:r>
        <w:rPr>
          <w:noProof/>
        </w:rPr>
        <w:t xml:space="preserve">Although </w:t>
      </w:r>
      <w:r w:rsidR="0045480B">
        <w:rPr>
          <w:noProof/>
        </w:rPr>
        <w:t>implemented on a yearly basis</w:t>
      </w:r>
      <w:r w:rsidR="00662EE8">
        <w:rPr>
          <w:rStyle w:val="FootnoteReference"/>
          <w:noProof/>
        </w:rPr>
        <w:footnoteReference w:id="6"/>
      </w:r>
      <w:r>
        <w:rPr>
          <w:noProof/>
        </w:rPr>
        <w:t xml:space="preserve">, </w:t>
      </w:r>
      <w:r w:rsidR="0045480B">
        <w:rPr>
          <w:noProof/>
        </w:rPr>
        <w:t xml:space="preserve">the budget </w:t>
      </w:r>
      <w:r>
        <w:rPr>
          <w:noProof/>
        </w:rPr>
        <w:t xml:space="preserve">is part of the </w:t>
      </w:r>
      <w:r w:rsidR="0045480B">
        <w:rPr>
          <w:noProof/>
        </w:rPr>
        <w:t>E</w:t>
      </w:r>
      <w:r>
        <w:rPr>
          <w:noProof/>
        </w:rPr>
        <w:t xml:space="preserve">U’s long-term budget, the Multiannual Financial Framework (MFF), which provides the </w:t>
      </w:r>
      <w:r w:rsidR="0045480B">
        <w:rPr>
          <w:noProof/>
        </w:rPr>
        <w:t xml:space="preserve">spending </w:t>
      </w:r>
      <w:r>
        <w:rPr>
          <w:noProof/>
        </w:rPr>
        <w:t xml:space="preserve">limits for </w:t>
      </w:r>
      <w:r w:rsidR="0045480B">
        <w:rPr>
          <w:noProof/>
        </w:rPr>
        <w:t xml:space="preserve">7 </w:t>
      </w:r>
      <w:r>
        <w:rPr>
          <w:noProof/>
        </w:rPr>
        <w:t>years.</w:t>
      </w:r>
    </w:p>
    <w:p w14:paraId="61038046" w14:textId="77777777" w:rsidR="0048430C" w:rsidRDefault="0048430C" w:rsidP="0048430C">
      <w:pPr>
        <w:pStyle w:val="Heading1"/>
        <w:rPr>
          <w:noProof/>
        </w:rPr>
      </w:pPr>
      <w:bookmarkStart w:id="7" w:name="_Toc110444031"/>
      <w:r>
        <w:rPr>
          <w:noProof/>
        </w:rPr>
        <w:t>Highlights of 2021</w:t>
      </w:r>
      <w:bookmarkEnd w:id="7"/>
    </w:p>
    <w:p w14:paraId="5E5CDD69" w14:textId="1D8C1B2A" w:rsidR="0048430C" w:rsidRDefault="00FD4ACD" w:rsidP="0048430C">
      <w:pPr>
        <w:rPr>
          <w:noProof/>
        </w:rPr>
      </w:pPr>
      <w:r>
        <w:rPr>
          <w:noProof/>
        </w:rPr>
        <w:t>Th</w:t>
      </w:r>
      <w:r w:rsidR="0048430C">
        <w:rPr>
          <w:noProof/>
        </w:rPr>
        <w:t xml:space="preserve">is section </w:t>
      </w:r>
      <w:r w:rsidR="0045480B">
        <w:rPr>
          <w:noProof/>
        </w:rPr>
        <w:t>summarises</w:t>
      </w:r>
      <w:r w:rsidR="0048430C">
        <w:rPr>
          <w:noProof/>
        </w:rPr>
        <w:t xml:space="preserve"> the key acts adopted and </w:t>
      </w:r>
      <w:r>
        <w:rPr>
          <w:noProof/>
        </w:rPr>
        <w:t>European Court of Justice case-law</w:t>
      </w:r>
      <w:r w:rsidR="0048430C">
        <w:rPr>
          <w:noProof/>
        </w:rPr>
        <w:t xml:space="preserve"> on PIF matters</w:t>
      </w:r>
      <w:r>
        <w:rPr>
          <w:noProof/>
        </w:rPr>
        <w:t xml:space="preserve"> in 2021.</w:t>
      </w:r>
    </w:p>
    <w:p w14:paraId="2BA6F923" w14:textId="77777777" w:rsidR="0048430C" w:rsidRDefault="00FE789E" w:rsidP="00FE789E">
      <w:pPr>
        <w:pStyle w:val="Heading2"/>
        <w:rPr>
          <w:noProof/>
        </w:rPr>
      </w:pPr>
      <w:bookmarkStart w:id="8" w:name="_Toc110444032"/>
      <w:r>
        <w:rPr>
          <w:noProof/>
        </w:rPr>
        <w:t>Key acts adopted</w:t>
      </w:r>
      <w:bookmarkEnd w:id="8"/>
    </w:p>
    <w:p w14:paraId="3FB06E16" w14:textId="1E79880D" w:rsidR="00A83949" w:rsidRDefault="00A83949" w:rsidP="00FE789E">
      <w:pPr>
        <w:rPr>
          <w:noProof/>
        </w:rPr>
      </w:pPr>
      <w:r w:rsidRPr="00A10036">
        <w:rPr>
          <w:b/>
          <w:noProof/>
        </w:rPr>
        <w:t>Table 1</w:t>
      </w:r>
      <w:r>
        <w:rPr>
          <w:noProof/>
        </w:rPr>
        <w:t xml:space="preserve"> shows the key legislative acts adopted in 2021.</w:t>
      </w:r>
      <w:r w:rsidR="00F7378C">
        <w:rPr>
          <w:noProof/>
        </w:rPr>
        <w:t xml:space="preserve"> During this year a wide range of regulations hav</w:t>
      </w:r>
      <w:r w:rsidR="00EC70C3">
        <w:rPr>
          <w:noProof/>
        </w:rPr>
        <w:t>e been adopted</w:t>
      </w:r>
      <w:r w:rsidR="00F7378C">
        <w:rPr>
          <w:noProof/>
        </w:rPr>
        <w:t xml:space="preserve"> </w:t>
      </w:r>
      <w:r w:rsidR="00EC70C3">
        <w:rPr>
          <w:noProof/>
        </w:rPr>
        <w:t xml:space="preserve">concerning the 2021-2027 spending programmes. They contain specific </w:t>
      </w:r>
      <w:r w:rsidR="009701A5">
        <w:rPr>
          <w:noProof/>
        </w:rPr>
        <w:t>provisions reiterating the competence of the European Anti-Fraud Office (OLAF) and the European Public Prosecutor’s Office (EPPO) to protect the EU’s financial interests</w:t>
      </w:r>
      <w:r w:rsidR="0010609B">
        <w:rPr>
          <w:noProof/>
        </w:rPr>
        <w:t>,</w:t>
      </w:r>
      <w:r w:rsidR="009701A5">
        <w:rPr>
          <w:noProof/>
        </w:rPr>
        <w:t xml:space="preserve"> and require third countries participating in the programmes to grant the Commission, OLAF and the European Court of Auditors (ECA) </w:t>
      </w:r>
      <w:r w:rsidR="009701A5" w:rsidRPr="009701A5">
        <w:rPr>
          <w:noProof/>
        </w:rPr>
        <w:t>the necessary rights and access</w:t>
      </w:r>
      <w:r w:rsidR="0010609B">
        <w:rPr>
          <w:noProof/>
        </w:rPr>
        <w:t>es</w:t>
      </w:r>
      <w:r w:rsidR="009701A5" w:rsidRPr="009701A5">
        <w:rPr>
          <w:noProof/>
        </w:rPr>
        <w:t xml:space="preserve"> required</w:t>
      </w:r>
      <w:r w:rsidR="009701A5">
        <w:rPr>
          <w:noProof/>
        </w:rPr>
        <w:t xml:space="preserve"> </w:t>
      </w:r>
      <w:r w:rsidR="009701A5" w:rsidRPr="009701A5">
        <w:rPr>
          <w:noProof/>
        </w:rPr>
        <w:t>to comprehensively exercise their respective competences.</w:t>
      </w:r>
      <w:r w:rsidR="00EC70C3">
        <w:rPr>
          <w:noProof/>
        </w:rPr>
        <w:t xml:space="preserve"> </w:t>
      </w:r>
    </w:p>
    <w:p w14:paraId="77BE926F" w14:textId="18C3046B" w:rsidR="009701A5" w:rsidRDefault="009701A5" w:rsidP="00FE789E">
      <w:pPr>
        <w:rPr>
          <w:noProof/>
        </w:rPr>
      </w:pPr>
      <w:r>
        <w:rPr>
          <w:noProof/>
        </w:rPr>
        <w:t>Reference to those regulations has not been inserted in the table.</w:t>
      </w:r>
    </w:p>
    <w:p w14:paraId="6E7C0892" w14:textId="421AA327" w:rsidR="00A83949" w:rsidRDefault="00A83949" w:rsidP="008A6DCE">
      <w:pPr>
        <w:pStyle w:val="Caption"/>
        <w:rPr>
          <w:noProof/>
        </w:rPr>
      </w:pPr>
      <w:bookmarkStart w:id="9" w:name="_Toc106662325"/>
      <w:r>
        <w:rPr>
          <w:noProof/>
        </w:rPr>
        <w:t xml:space="preserve">Table </w:t>
      </w:r>
      <w:r w:rsidR="00EA0D7C">
        <w:rPr>
          <w:noProof/>
        </w:rPr>
        <w:fldChar w:fldCharType="begin"/>
      </w:r>
      <w:r w:rsidR="00EA0D7C">
        <w:rPr>
          <w:noProof/>
        </w:rPr>
        <w:instrText xml:space="preserve"> SEQ Table \* ARABIC </w:instrText>
      </w:r>
      <w:r w:rsidR="00EA0D7C">
        <w:rPr>
          <w:noProof/>
        </w:rPr>
        <w:fldChar w:fldCharType="separate"/>
      </w:r>
      <w:r w:rsidR="00F963A8">
        <w:rPr>
          <w:noProof/>
        </w:rPr>
        <w:t>1</w:t>
      </w:r>
      <w:r w:rsidR="00EA0D7C">
        <w:rPr>
          <w:noProof/>
        </w:rPr>
        <w:fldChar w:fldCharType="end"/>
      </w:r>
      <w:r>
        <w:rPr>
          <w:noProof/>
        </w:rPr>
        <w:t xml:space="preserve"> – Key acts adopted</w:t>
      </w:r>
      <w:bookmarkEnd w:id="9"/>
    </w:p>
    <w:tbl>
      <w:tblPr>
        <w:tblStyle w:val="GridTable4-Accent5"/>
        <w:tblW w:w="0" w:type="auto"/>
        <w:tblLook w:val="04A0" w:firstRow="1" w:lastRow="0" w:firstColumn="1" w:lastColumn="0" w:noHBand="0" w:noVBand="1"/>
      </w:tblPr>
      <w:tblGrid>
        <w:gridCol w:w="4219"/>
        <w:gridCol w:w="4536"/>
      </w:tblGrid>
      <w:tr w:rsidR="00A83949" w:rsidRPr="00064746" w14:paraId="114D8A86" w14:textId="77777777" w:rsidTr="002B1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2761CD4A" w14:textId="77777777" w:rsidR="00A83949" w:rsidRPr="002F6819" w:rsidRDefault="00A83949" w:rsidP="002B1B19">
            <w:pPr>
              <w:tabs>
                <w:tab w:val="left" w:pos="898"/>
              </w:tabs>
              <w:rPr>
                <w:noProof/>
                <w:sz w:val="20"/>
                <w:szCs w:val="24"/>
                <w:lang w:val="en-IE"/>
              </w:rPr>
            </w:pPr>
            <w:r w:rsidRPr="002F6819">
              <w:rPr>
                <w:noProof/>
                <w:sz w:val="20"/>
                <w:szCs w:val="24"/>
                <w:lang w:val="en-IE"/>
              </w:rPr>
              <w:t>Title</w:t>
            </w:r>
          </w:p>
        </w:tc>
        <w:tc>
          <w:tcPr>
            <w:tcW w:w="4536" w:type="dxa"/>
          </w:tcPr>
          <w:p w14:paraId="6E0D5A49" w14:textId="541F5EBE" w:rsidR="00A83949" w:rsidRPr="002F6819" w:rsidRDefault="00A83949" w:rsidP="0045480B">
            <w:pPr>
              <w:tabs>
                <w:tab w:val="left" w:pos="898"/>
              </w:tabs>
              <w:cnfStyle w:val="100000000000" w:firstRow="1" w:lastRow="0" w:firstColumn="0" w:lastColumn="0" w:oddVBand="0" w:evenVBand="0" w:oddHBand="0" w:evenHBand="0" w:firstRowFirstColumn="0" w:firstRowLastColumn="0" w:lastRowFirstColumn="0" w:lastRowLastColumn="0"/>
              <w:rPr>
                <w:noProof/>
                <w:sz w:val="20"/>
                <w:szCs w:val="24"/>
                <w:lang w:val="en-IE"/>
              </w:rPr>
            </w:pPr>
            <w:r w:rsidRPr="002F6819">
              <w:rPr>
                <w:noProof/>
                <w:sz w:val="20"/>
                <w:szCs w:val="24"/>
                <w:lang w:val="en-IE"/>
              </w:rPr>
              <w:t>Description</w:t>
            </w:r>
            <w:r>
              <w:rPr>
                <w:noProof/>
                <w:sz w:val="20"/>
                <w:szCs w:val="24"/>
                <w:lang w:val="en-IE"/>
              </w:rPr>
              <w:t xml:space="preserve"> of </w:t>
            </w:r>
            <w:r w:rsidR="0045480B">
              <w:rPr>
                <w:noProof/>
                <w:sz w:val="20"/>
                <w:szCs w:val="24"/>
                <w:lang w:val="en-IE"/>
              </w:rPr>
              <w:t xml:space="preserve">how the act </w:t>
            </w:r>
            <w:r>
              <w:rPr>
                <w:noProof/>
                <w:sz w:val="20"/>
                <w:szCs w:val="24"/>
                <w:lang w:val="en-IE"/>
              </w:rPr>
              <w:t>protect</w:t>
            </w:r>
            <w:r w:rsidR="0045480B">
              <w:rPr>
                <w:noProof/>
                <w:sz w:val="20"/>
                <w:szCs w:val="24"/>
                <w:lang w:val="en-IE"/>
              </w:rPr>
              <w:t>s</w:t>
            </w:r>
            <w:r>
              <w:rPr>
                <w:noProof/>
                <w:sz w:val="20"/>
                <w:szCs w:val="24"/>
                <w:lang w:val="en-IE"/>
              </w:rPr>
              <w:t xml:space="preserve"> the EU’s financial interests </w:t>
            </w:r>
          </w:p>
        </w:tc>
      </w:tr>
      <w:tr w:rsidR="00A83949" w:rsidRPr="00064746" w14:paraId="7503BFB8" w14:textId="77777777" w:rsidTr="002B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6C7EEA6" w14:textId="77777777" w:rsidR="00A83949" w:rsidRPr="002F6819" w:rsidRDefault="00A83949" w:rsidP="002B1B19">
            <w:pPr>
              <w:tabs>
                <w:tab w:val="left" w:pos="898"/>
              </w:tabs>
              <w:rPr>
                <w:noProof/>
                <w:sz w:val="20"/>
                <w:szCs w:val="24"/>
                <w:lang w:val="en-IE"/>
              </w:rPr>
            </w:pPr>
            <w:r w:rsidRPr="002F6819">
              <w:rPr>
                <w:noProof/>
                <w:sz w:val="20"/>
                <w:szCs w:val="24"/>
                <w:lang w:val="en-IE"/>
              </w:rPr>
              <w:t>Regulation (EU) 2021/241 of the European Parliament and of the Council of 12 February 2021 establishing the Recovery and Resilience Facility</w:t>
            </w:r>
            <w:r>
              <w:rPr>
                <w:rStyle w:val="FootnoteReference"/>
                <w:noProof/>
                <w:sz w:val="20"/>
                <w:szCs w:val="24"/>
                <w:lang w:val="en-IE"/>
              </w:rPr>
              <w:footnoteReference w:id="7"/>
            </w:r>
          </w:p>
        </w:tc>
        <w:tc>
          <w:tcPr>
            <w:tcW w:w="4536" w:type="dxa"/>
          </w:tcPr>
          <w:p w14:paraId="1F1B4A72" w14:textId="10B27B12" w:rsidR="00A83949" w:rsidRPr="002F6819" w:rsidRDefault="00A83949" w:rsidP="001576E8">
            <w:pPr>
              <w:tabs>
                <w:tab w:val="left" w:pos="898"/>
              </w:tabs>
              <w:cnfStyle w:val="000000100000" w:firstRow="0" w:lastRow="0" w:firstColumn="0" w:lastColumn="0" w:oddVBand="0" w:evenVBand="0" w:oddHBand="1" w:evenHBand="0" w:firstRowFirstColumn="0" w:firstRowLastColumn="0" w:lastRowFirstColumn="0" w:lastRowLastColumn="0"/>
              <w:rPr>
                <w:noProof/>
                <w:sz w:val="20"/>
                <w:szCs w:val="24"/>
                <w:lang w:val="en-IE"/>
              </w:rPr>
            </w:pPr>
            <w:r>
              <w:rPr>
                <w:noProof/>
                <w:sz w:val="20"/>
                <w:szCs w:val="24"/>
                <w:lang w:val="en-IE"/>
              </w:rPr>
              <w:t xml:space="preserve">The </w:t>
            </w:r>
            <w:r w:rsidR="0045480B">
              <w:rPr>
                <w:noProof/>
                <w:sz w:val="20"/>
                <w:szCs w:val="24"/>
                <w:lang w:val="en-IE"/>
              </w:rPr>
              <w:t>‘</w:t>
            </w:r>
            <w:r>
              <w:rPr>
                <w:noProof/>
                <w:sz w:val="20"/>
                <w:szCs w:val="24"/>
                <w:lang w:val="en-IE"/>
              </w:rPr>
              <w:t>RRF Regulation</w:t>
            </w:r>
            <w:r w:rsidR="0045480B">
              <w:rPr>
                <w:noProof/>
                <w:sz w:val="20"/>
                <w:szCs w:val="24"/>
                <w:lang w:val="en-IE"/>
              </w:rPr>
              <w:t>’</w:t>
            </w:r>
            <w:r>
              <w:rPr>
                <w:noProof/>
                <w:sz w:val="20"/>
                <w:szCs w:val="24"/>
                <w:lang w:val="en-IE"/>
              </w:rPr>
              <w:t xml:space="preserve">. </w:t>
            </w:r>
            <w:r w:rsidR="00BE4D60">
              <w:rPr>
                <w:noProof/>
                <w:sz w:val="20"/>
                <w:szCs w:val="24"/>
                <w:lang w:val="en-IE"/>
              </w:rPr>
              <w:t>A</w:t>
            </w:r>
            <w:r w:rsidRPr="002F6819">
              <w:rPr>
                <w:noProof/>
                <w:sz w:val="20"/>
                <w:szCs w:val="24"/>
                <w:lang w:val="en-IE"/>
              </w:rPr>
              <w:t>rticle 22 contains provisions concerning the protection of the EU’s financial interests</w:t>
            </w:r>
            <w:r>
              <w:rPr>
                <w:rStyle w:val="FootnoteReference"/>
                <w:noProof/>
                <w:sz w:val="20"/>
                <w:szCs w:val="24"/>
                <w:lang w:val="en-IE"/>
              </w:rPr>
              <w:footnoteReference w:id="8"/>
            </w:r>
            <w:r w:rsidRPr="002F6819">
              <w:rPr>
                <w:noProof/>
                <w:sz w:val="20"/>
                <w:szCs w:val="24"/>
                <w:lang w:val="en-IE"/>
              </w:rPr>
              <w:t>.</w:t>
            </w:r>
          </w:p>
        </w:tc>
      </w:tr>
      <w:tr w:rsidR="001576E8" w:rsidRPr="00064746" w14:paraId="3B401180" w14:textId="77777777" w:rsidTr="002B1B19">
        <w:tc>
          <w:tcPr>
            <w:cnfStyle w:val="001000000000" w:firstRow="0" w:lastRow="0" w:firstColumn="1" w:lastColumn="0" w:oddVBand="0" w:evenVBand="0" w:oddHBand="0" w:evenHBand="0" w:firstRowFirstColumn="0" w:firstRowLastColumn="0" w:lastRowFirstColumn="0" w:lastRowLastColumn="0"/>
            <w:tcW w:w="4219" w:type="dxa"/>
          </w:tcPr>
          <w:p w14:paraId="2E8037D1" w14:textId="1CE7EF22" w:rsidR="001576E8" w:rsidRPr="00505DEA" w:rsidRDefault="001576E8" w:rsidP="00A83949">
            <w:pPr>
              <w:tabs>
                <w:tab w:val="left" w:pos="898"/>
              </w:tabs>
              <w:rPr>
                <w:noProof/>
                <w:sz w:val="20"/>
              </w:rPr>
            </w:pPr>
            <w:r w:rsidRPr="001576E8">
              <w:rPr>
                <w:noProof/>
                <w:sz w:val="20"/>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Pr>
                <w:rStyle w:val="FootnoteReference"/>
                <w:noProof/>
                <w:sz w:val="20"/>
              </w:rPr>
              <w:footnoteReference w:id="9"/>
            </w:r>
          </w:p>
        </w:tc>
        <w:tc>
          <w:tcPr>
            <w:tcW w:w="4536" w:type="dxa"/>
          </w:tcPr>
          <w:p w14:paraId="0D51244D" w14:textId="2C422B1A" w:rsidR="001576E8"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szCs w:val="24"/>
                <w:lang w:val="en-IE"/>
              </w:rPr>
            </w:pPr>
            <w:r w:rsidRPr="001576E8">
              <w:rPr>
                <w:noProof/>
                <w:sz w:val="20"/>
                <w:szCs w:val="24"/>
                <w:lang w:val="en-IE"/>
              </w:rPr>
              <w:t>Recital 7</w:t>
            </w:r>
            <w:r>
              <w:rPr>
                <w:noProof/>
                <w:sz w:val="20"/>
                <w:szCs w:val="24"/>
                <w:lang w:val="en-IE"/>
              </w:rPr>
              <w:t>1</w:t>
            </w:r>
            <w:r w:rsidRPr="001576E8">
              <w:rPr>
                <w:noProof/>
                <w:sz w:val="20"/>
                <w:szCs w:val="24"/>
                <w:lang w:val="en-IE"/>
              </w:rPr>
              <w:t xml:space="preserve"> reiterates the competence of OLAF and the EPPO to protect EU financial interests for the related programmes.</w:t>
            </w:r>
          </w:p>
          <w:p w14:paraId="2E4C96A4" w14:textId="17D1B44C" w:rsidR="001576E8"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szCs w:val="24"/>
                <w:lang w:val="en-IE"/>
              </w:rPr>
            </w:pPr>
            <w:r>
              <w:rPr>
                <w:noProof/>
                <w:sz w:val="20"/>
                <w:szCs w:val="24"/>
                <w:lang w:val="en-IE"/>
              </w:rPr>
              <w:t>Article 69 requires Member States to ensure the legality and regularity of expenditure and to take actions to prevent, detect and correct and report on irregularities, including fraud. It also ensures that the Commission, OLAF and the ECA have the necessary access to information concerning beneficial owners of the recipients of EU funds.</w:t>
            </w:r>
          </w:p>
          <w:p w14:paraId="646FBCCE" w14:textId="77777777" w:rsidR="001576E8"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szCs w:val="24"/>
                <w:lang w:val="en-IE"/>
              </w:rPr>
            </w:pPr>
            <w:r>
              <w:rPr>
                <w:noProof/>
                <w:sz w:val="20"/>
                <w:szCs w:val="24"/>
                <w:lang w:val="en-IE"/>
              </w:rPr>
              <w:t>Under Article 74 managing authorities are requested to have in place effective and proportionate anti-fraud measures and procedure, taking into account the risks identified.</w:t>
            </w:r>
          </w:p>
          <w:p w14:paraId="07EA1BFB" w14:textId="36BB443B" w:rsidR="001576E8" w:rsidRPr="00A83949" w:rsidRDefault="001576E8" w:rsidP="001576E8">
            <w:pPr>
              <w:tabs>
                <w:tab w:val="left" w:pos="898"/>
              </w:tabs>
              <w:cnfStyle w:val="000000000000" w:firstRow="0" w:lastRow="0" w:firstColumn="0" w:lastColumn="0" w:oddVBand="0" w:evenVBand="0" w:oddHBand="0" w:evenHBand="0" w:firstRowFirstColumn="0" w:firstRowLastColumn="0" w:lastRowFirstColumn="0" w:lastRowLastColumn="0"/>
              <w:rPr>
                <w:noProof/>
                <w:sz w:val="20"/>
                <w:szCs w:val="24"/>
                <w:lang w:val="en-IE"/>
              </w:rPr>
            </w:pPr>
            <w:r>
              <w:rPr>
                <w:noProof/>
                <w:sz w:val="20"/>
                <w:szCs w:val="24"/>
                <w:lang w:val="en-IE"/>
              </w:rPr>
              <w:t>Annex XII sets detailed rules and the template for the reporting of irregularities.</w:t>
            </w:r>
          </w:p>
        </w:tc>
      </w:tr>
      <w:tr w:rsidR="008A17E3" w:rsidRPr="00064746" w14:paraId="6684BD59" w14:textId="77777777" w:rsidTr="002B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0DFF6DBB" w14:textId="77777777" w:rsidR="008A17E3" w:rsidRDefault="008A17E3" w:rsidP="002B1B19">
            <w:pPr>
              <w:tabs>
                <w:tab w:val="left" w:pos="898"/>
              </w:tabs>
              <w:rPr>
                <w:noProof/>
                <w:sz w:val="20"/>
                <w:szCs w:val="24"/>
                <w:lang w:val="en-IE"/>
              </w:rPr>
            </w:pPr>
            <w:r w:rsidRPr="008A17E3">
              <w:rPr>
                <w:noProof/>
                <w:sz w:val="20"/>
                <w:szCs w:val="24"/>
                <w:lang w:val="en-IE"/>
              </w:rPr>
              <w:t>Regulation (EU) 2021/785 of the European Parliament and of the Council of 29 April 2021 establishing the Union Anti-Fraud Programme and repealing Regulation (EU) No 250/2014</w:t>
            </w:r>
            <w:r>
              <w:rPr>
                <w:rStyle w:val="FootnoteReference"/>
                <w:noProof/>
                <w:sz w:val="20"/>
                <w:szCs w:val="24"/>
                <w:lang w:val="en-IE"/>
              </w:rPr>
              <w:footnoteReference w:id="10"/>
            </w:r>
          </w:p>
        </w:tc>
        <w:tc>
          <w:tcPr>
            <w:tcW w:w="4536" w:type="dxa"/>
          </w:tcPr>
          <w:p w14:paraId="1B2145F0" w14:textId="55CE714E" w:rsidR="008A17E3" w:rsidRDefault="008A17E3" w:rsidP="0045480B">
            <w:pPr>
              <w:tabs>
                <w:tab w:val="left" w:pos="898"/>
              </w:tabs>
              <w:cnfStyle w:val="000000100000" w:firstRow="0" w:lastRow="0" w:firstColumn="0" w:lastColumn="0" w:oddVBand="0" w:evenVBand="0" w:oddHBand="1" w:evenHBand="0" w:firstRowFirstColumn="0" w:firstRowLastColumn="0" w:lastRowFirstColumn="0" w:lastRowLastColumn="0"/>
              <w:rPr>
                <w:noProof/>
                <w:sz w:val="20"/>
                <w:szCs w:val="24"/>
                <w:lang w:val="en-IE"/>
              </w:rPr>
            </w:pPr>
            <w:r>
              <w:rPr>
                <w:noProof/>
                <w:sz w:val="20"/>
                <w:szCs w:val="24"/>
                <w:lang w:val="en-IE"/>
              </w:rPr>
              <w:t>The Union Anti-Fraud Programme</w:t>
            </w:r>
            <w:r w:rsidR="0045480B">
              <w:rPr>
                <w:noProof/>
                <w:sz w:val="20"/>
                <w:szCs w:val="24"/>
                <w:lang w:val="en-IE"/>
              </w:rPr>
              <w:t>,</w:t>
            </w:r>
            <w:r>
              <w:rPr>
                <w:noProof/>
                <w:sz w:val="20"/>
                <w:szCs w:val="24"/>
                <w:lang w:val="en-IE"/>
              </w:rPr>
              <w:t xml:space="preserve"> the successor </w:t>
            </w:r>
            <w:r w:rsidR="0045480B">
              <w:rPr>
                <w:noProof/>
                <w:sz w:val="20"/>
                <w:szCs w:val="24"/>
                <w:lang w:val="en-IE"/>
              </w:rPr>
              <w:t xml:space="preserve">to </w:t>
            </w:r>
            <w:r>
              <w:rPr>
                <w:noProof/>
                <w:sz w:val="20"/>
                <w:szCs w:val="24"/>
                <w:lang w:val="en-IE"/>
              </w:rPr>
              <w:t>HERCULE III</w:t>
            </w:r>
            <w:r w:rsidR="0045480B">
              <w:rPr>
                <w:noProof/>
                <w:sz w:val="20"/>
                <w:szCs w:val="24"/>
                <w:lang w:val="en-IE"/>
              </w:rPr>
              <w:t>,</w:t>
            </w:r>
            <w:r>
              <w:rPr>
                <w:noProof/>
                <w:sz w:val="20"/>
                <w:szCs w:val="24"/>
                <w:lang w:val="en-IE"/>
              </w:rPr>
              <w:t xml:space="preserve"> finances activities </w:t>
            </w:r>
            <w:r w:rsidRPr="008A17E3">
              <w:rPr>
                <w:noProof/>
                <w:sz w:val="20"/>
                <w:szCs w:val="24"/>
                <w:lang w:val="en-IE"/>
              </w:rPr>
              <w:t xml:space="preserve">to counter fraud and any other illegal activities affecting the financial interests of the </w:t>
            </w:r>
            <w:r w:rsidR="0045480B">
              <w:rPr>
                <w:noProof/>
                <w:sz w:val="20"/>
                <w:szCs w:val="24"/>
                <w:lang w:val="en-IE"/>
              </w:rPr>
              <w:t>E</w:t>
            </w:r>
            <w:r w:rsidRPr="008A17E3">
              <w:rPr>
                <w:noProof/>
                <w:sz w:val="20"/>
                <w:szCs w:val="24"/>
                <w:lang w:val="en-IE"/>
              </w:rPr>
              <w:t>U</w:t>
            </w:r>
            <w:r>
              <w:rPr>
                <w:rStyle w:val="FootnoteReference"/>
                <w:noProof/>
                <w:sz w:val="20"/>
                <w:szCs w:val="24"/>
                <w:lang w:val="en-IE"/>
              </w:rPr>
              <w:footnoteReference w:id="11"/>
            </w:r>
            <w:r w:rsidRPr="008A17E3">
              <w:rPr>
                <w:noProof/>
                <w:sz w:val="20"/>
                <w:szCs w:val="24"/>
                <w:lang w:val="en-IE"/>
              </w:rPr>
              <w:t>.</w:t>
            </w:r>
          </w:p>
        </w:tc>
      </w:tr>
    </w:tbl>
    <w:p w14:paraId="0D60E786" w14:textId="77777777" w:rsidR="00FE789E" w:rsidRDefault="00FE789E" w:rsidP="00FE789E">
      <w:pPr>
        <w:pStyle w:val="Heading2"/>
        <w:rPr>
          <w:noProof/>
        </w:rPr>
      </w:pPr>
      <w:bookmarkStart w:id="10" w:name="_Toc110444033"/>
      <w:r>
        <w:rPr>
          <w:noProof/>
        </w:rPr>
        <w:t>Jurisprudence on PIF matters</w:t>
      </w:r>
      <w:bookmarkEnd w:id="10"/>
    </w:p>
    <w:p w14:paraId="599EB5ED" w14:textId="6BDD9E4A" w:rsidR="00FE789E" w:rsidRDefault="002F71B1" w:rsidP="00FE789E">
      <w:pPr>
        <w:rPr>
          <w:noProof/>
        </w:rPr>
      </w:pPr>
      <w:r w:rsidRPr="002F71B1">
        <w:rPr>
          <w:noProof/>
        </w:rPr>
        <w:t>The Court of Justice of the European Union ensures the uniform application and interpretation of EU law. In 202</w:t>
      </w:r>
      <w:r>
        <w:rPr>
          <w:noProof/>
        </w:rPr>
        <w:t>1</w:t>
      </w:r>
      <w:r w:rsidRPr="002F71B1">
        <w:rPr>
          <w:noProof/>
        </w:rPr>
        <w:t xml:space="preserve">, the Court delivered three decisions </w:t>
      </w:r>
      <w:r w:rsidR="0045480B">
        <w:rPr>
          <w:noProof/>
        </w:rPr>
        <w:t>on</w:t>
      </w:r>
      <w:r w:rsidRPr="002F71B1">
        <w:rPr>
          <w:noProof/>
        </w:rPr>
        <w:t xml:space="preserve"> the protection of the EU’s financial interests.</w:t>
      </w:r>
    </w:p>
    <w:tbl>
      <w:tblPr>
        <w:tblStyle w:val="GridTable4-Accent1"/>
        <w:tblW w:w="0" w:type="auto"/>
        <w:tblLook w:val="04A0" w:firstRow="1" w:lastRow="0" w:firstColumn="1" w:lastColumn="0" w:noHBand="0" w:noVBand="1"/>
      </w:tblPr>
      <w:tblGrid>
        <w:gridCol w:w="8834"/>
      </w:tblGrid>
      <w:tr w:rsidR="002F71B1" w:rsidRPr="00064746" w14:paraId="40B90D3C" w14:textId="77777777" w:rsidTr="00A27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38B6326B" w14:textId="77777777" w:rsidR="002F71B1" w:rsidRPr="002F6819" w:rsidRDefault="002F71B1" w:rsidP="00A27EF6">
            <w:pPr>
              <w:tabs>
                <w:tab w:val="left" w:pos="898"/>
              </w:tabs>
              <w:rPr>
                <w:noProof/>
                <w:sz w:val="20"/>
                <w:szCs w:val="24"/>
                <w:lang w:val="en-IE"/>
              </w:rPr>
            </w:pPr>
            <w:r w:rsidRPr="002F6819">
              <w:rPr>
                <w:noProof/>
                <w:sz w:val="20"/>
                <w:szCs w:val="24"/>
                <w:lang w:val="en-IE"/>
              </w:rPr>
              <w:t>Case number and description</w:t>
            </w:r>
          </w:p>
        </w:tc>
      </w:tr>
      <w:tr w:rsidR="002F71B1" w:rsidRPr="00064746" w14:paraId="44D0DC9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163D92E3" w14:textId="77777777" w:rsidR="002F71B1" w:rsidRPr="002F6819" w:rsidRDefault="002F71B1" w:rsidP="00DC1244">
            <w:pPr>
              <w:tabs>
                <w:tab w:val="left" w:pos="898"/>
              </w:tabs>
              <w:spacing w:before="120"/>
              <w:rPr>
                <w:b w:val="0"/>
                <w:noProof/>
                <w:sz w:val="20"/>
                <w:szCs w:val="24"/>
                <w:lang w:val="en-IE"/>
              </w:rPr>
            </w:pPr>
            <w:r w:rsidRPr="002F71B1">
              <w:rPr>
                <w:noProof/>
                <w:sz w:val="20"/>
                <w:szCs w:val="24"/>
                <w:lang w:val="en-IE"/>
              </w:rPr>
              <w:t>C-130/19</w:t>
            </w:r>
            <w:r>
              <w:rPr>
                <w:rStyle w:val="FootnoteReference"/>
                <w:noProof/>
                <w:sz w:val="20"/>
                <w:szCs w:val="24"/>
                <w:lang w:val="en-IE"/>
              </w:rPr>
              <w:footnoteReference w:id="12"/>
            </w:r>
            <w:r>
              <w:rPr>
                <w:noProof/>
                <w:sz w:val="20"/>
                <w:szCs w:val="24"/>
                <w:lang w:val="en-IE"/>
              </w:rPr>
              <w:t xml:space="preserve">, </w:t>
            </w:r>
            <w:r w:rsidRPr="002F71B1">
              <w:rPr>
                <w:noProof/>
                <w:sz w:val="20"/>
                <w:szCs w:val="24"/>
                <w:lang w:val="en-IE"/>
              </w:rPr>
              <w:t>Court of Auditors v Pinxten</w:t>
            </w:r>
            <w:r>
              <w:rPr>
                <w:b w:val="0"/>
                <w:noProof/>
                <w:sz w:val="20"/>
                <w:szCs w:val="24"/>
                <w:lang w:val="en-IE"/>
              </w:rPr>
              <w:t>.</w:t>
            </w:r>
          </w:p>
          <w:p w14:paraId="5338CB02" w14:textId="3ECBB69A" w:rsidR="002F71B1" w:rsidRPr="002F6819" w:rsidRDefault="002F71B1">
            <w:pPr>
              <w:tabs>
                <w:tab w:val="left" w:pos="898"/>
              </w:tabs>
              <w:rPr>
                <w:b w:val="0"/>
                <w:noProof/>
                <w:sz w:val="20"/>
                <w:szCs w:val="24"/>
                <w:lang w:val="en-IE"/>
              </w:rPr>
            </w:pPr>
            <w:r>
              <w:rPr>
                <w:b w:val="0"/>
                <w:noProof/>
                <w:sz w:val="20"/>
                <w:szCs w:val="24"/>
                <w:lang w:val="en-IE"/>
              </w:rPr>
              <w:t>In this case,</w:t>
            </w:r>
            <w:r w:rsidRPr="002F71B1">
              <w:rPr>
                <w:b w:val="0"/>
                <w:noProof/>
                <w:sz w:val="20"/>
                <w:szCs w:val="24"/>
                <w:lang w:val="en-IE"/>
              </w:rPr>
              <w:t xml:space="preserve"> the Court of Justice declared that a former Member of the </w:t>
            </w:r>
            <w:r w:rsidR="001E5FDE">
              <w:rPr>
                <w:b w:val="0"/>
                <w:noProof/>
                <w:sz w:val="20"/>
                <w:szCs w:val="24"/>
                <w:lang w:val="en-IE"/>
              </w:rPr>
              <w:t>ECA</w:t>
            </w:r>
            <w:r w:rsidRPr="002F71B1">
              <w:rPr>
                <w:b w:val="0"/>
                <w:noProof/>
                <w:sz w:val="20"/>
                <w:szCs w:val="24"/>
                <w:lang w:val="en-IE"/>
              </w:rPr>
              <w:t xml:space="preserve"> had breached the obligations arising from his office as a Member of the </w:t>
            </w:r>
            <w:r w:rsidR="001E5FDE">
              <w:rPr>
                <w:b w:val="0"/>
                <w:noProof/>
                <w:sz w:val="20"/>
                <w:szCs w:val="24"/>
                <w:lang w:val="en-IE"/>
              </w:rPr>
              <w:t>ECA</w:t>
            </w:r>
            <w:r w:rsidRPr="002F71B1">
              <w:rPr>
                <w:b w:val="0"/>
                <w:noProof/>
                <w:sz w:val="20"/>
                <w:szCs w:val="24"/>
                <w:lang w:val="en-IE"/>
              </w:rPr>
              <w:t xml:space="preserve"> by undertaking a number of acts including the improper use of the resources of the </w:t>
            </w:r>
            <w:r w:rsidR="001E5FDE">
              <w:rPr>
                <w:b w:val="0"/>
                <w:noProof/>
                <w:sz w:val="20"/>
                <w:szCs w:val="24"/>
                <w:lang w:val="en-IE"/>
              </w:rPr>
              <w:t xml:space="preserve">ECA </w:t>
            </w:r>
            <w:r w:rsidRPr="002F71B1">
              <w:rPr>
                <w:b w:val="0"/>
                <w:noProof/>
                <w:sz w:val="20"/>
                <w:szCs w:val="24"/>
                <w:lang w:val="en-IE"/>
              </w:rPr>
              <w:t xml:space="preserve">to finance activities unrelated to his duties and the use of a fuel card provided by the Court to purchase fuel for vehicles belonging to third parties. The Court deprived the former Member of two thirds of his pension rights. In its judgment, the Court of Justice underlined that it is important that Members of the </w:t>
            </w:r>
            <w:r w:rsidR="001E5FDE">
              <w:rPr>
                <w:b w:val="0"/>
                <w:noProof/>
                <w:sz w:val="20"/>
                <w:szCs w:val="24"/>
                <w:lang w:val="en-IE"/>
              </w:rPr>
              <w:t>ECA</w:t>
            </w:r>
            <w:r w:rsidRPr="002F71B1">
              <w:rPr>
                <w:b w:val="0"/>
                <w:noProof/>
                <w:sz w:val="20"/>
                <w:szCs w:val="24"/>
                <w:lang w:val="en-IE"/>
              </w:rPr>
              <w:t xml:space="preserve"> observe the highest standards of conduct and ensure that the general interest of the EU takes precedence at all times, not only over national interests but also over personal interests. In this regard, the Court of Justice concluded that although </w:t>
            </w:r>
            <w:r w:rsidR="007C19BE">
              <w:rPr>
                <w:b w:val="0"/>
                <w:noProof/>
                <w:sz w:val="20"/>
                <w:szCs w:val="24"/>
                <w:lang w:val="en-IE"/>
              </w:rPr>
              <w:t>people</w:t>
            </w:r>
            <w:r w:rsidRPr="002F71B1">
              <w:rPr>
                <w:b w:val="0"/>
                <w:noProof/>
                <w:sz w:val="20"/>
                <w:szCs w:val="24"/>
                <w:lang w:val="en-IE"/>
              </w:rPr>
              <w:t xml:space="preserve"> holding important positions in </w:t>
            </w:r>
            <w:r w:rsidR="004D2B33">
              <w:rPr>
                <w:b w:val="0"/>
                <w:noProof/>
                <w:sz w:val="20"/>
                <w:szCs w:val="24"/>
                <w:lang w:val="en-IE"/>
              </w:rPr>
              <w:t>EU</w:t>
            </w:r>
            <w:r w:rsidRPr="002F71B1">
              <w:rPr>
                <w:b w:val="0"/>
                <w:noProof/>
                <w:sz w:val="20"/>
                <w:szCs w:val="24"/>
                <w:lang w:val="en-IE"/>
              </w:rPr>
              <w:t xml:space="preserve"> institutions and bodies must observe the highest standards of conduct, the specific function </w:t>
            </w:r>
            <w:r w:rsidR="007C19BE">
              <w:rPr>
                <w:b w:val="0"/>
                <w:noProof/>
                <w:sz w:val="20"/>
                <w:szCs w:val="24"/>
                <w:lang w:val="en-IE"/>
              </w:rPr>
              <w:t>of</w:t>
            </w:r>
            <w:r w:rsidRPr="002F71B1">
              <w:rPr>
                <w:b w:val="0"/>
                <w:noProof/>
                <w:sz w:val="20"/>
                <w:szCs w:val="24"/>
                <w:lang w:val="en-IE"/>
              </w:rPr>
              <w:t xml:space="preserve"> the Court of Auditors</w:t>
            </w:r>
            <w:r w:rsidR="007C19BE">
              <w:rPr>
                <w:b w:val="0"/>
                <w:noProof/>
                <w:sz w:val="20"/>
                <w:szCs w:val="24"/>
                <w:lang w:val="en-IE"/>
              </w:rPr>
              <w:t xml:space="preserve"> – </w:t>
            </w:r>
            <w:r w:rsidRPr="002F71B1">
              <w:rPr>
                <w:b w:val="0"/>
                <w:noProof/>
                <w:sz w:val="20"/>
                <w:szCs w:val="24"/>
                <w:lang w:val="en-IE"/>
              </w:rPr>
              <w:t>checking the regularity of EU expenditure and the soundness of financial management</w:t>
            </w:r>
            <w:r w:rsidR="007C19BE">
              <w:rPr>
                <w:b w:val="0"/>
                <w:noProof/>
                <w:sz w:val="20"/>
                <w:szCs w:val="24"/>
                <w:lang w:val="en-IE"/>
              </w:rPr>
              <w:t xml:space="preserve"> – </w:t>
            </w:r>
            <w:r w:rsidRPr="002F71B1">
              <w:rPr>
                <w:b w:val="0"/>
                <w:noProof/>
                <w:sz w:val="20"/>
                <w:szCs w:val="24"/>
                <w:lang w:val="en-IE"/>
              </w:rPr>
              <w:t>increased the gravity of the irregularities committed by the former Member.</w:t>
            </w:r>
          </w:p>
        </w:tc>
      </w:tr>
      <w:tr w:rsidR="002F71B1" w:rsidRPr="00064746" w14:paraId="64F5B279" w14:textId="77777777" w:rsidTr="00A27EF6">
        <w:tc>
          <w:tcPr>
            <w:cnfStyle w:val="001000000000" w:firstRow="0" w:lastRow="0" w:firstColumn="1" w:lastColumn="0" w:oddVBand="0" w:evenVBand="0" w:oddHBand="0" w:evenHBand="0" w:firstRowFirstColumn="0" w:firstRowLastColumn="0" w:lastRowFirstColumn="0" w:lastRowLastColumn="0"/>
            <w:tcW w:w="8834" w:type="dxa"/>
          </w:tcPr>
          <w:p w14:paraId="028235D9" w14:textId="77777777" w:rsidR="002F71B1" w:rsidRPr="002F6819" w:rsidRDefault="002F71B1" w:rsidP="00DC1244">
            <w:pPr>
              <w:tabs>
                <w:tab w:val="left" w:pos="898"/>
              </w:tabs>
              <w:spacing w:before="120"/>
              <w:rPr>
                <w:b w:val="0"/>
                <w:noProof/>
                <w:sz w:val="20"/>
                <w:szCs w:val="24"/>
                <w:lang w:val="en-IE"/>
              </w:rPr>
            </w:pPr>
            <w:r w:rsidRPr="002F71B1">
              <w:rPr>
                <w:noProof/>
                <w:sz w:val="20"/>
                <w:szCs w:val="24"/>
                <w:lang w:val="en-IE"/>
              </w:rPr>
              <w:t>C-360/20</w:t>
            </w:r>
            <w:r w:rsidRPr="00245228">
              <w:rPr>
                <w:rStyle w:val="FootnoteReference"/>
                <w:noProof/>
                <w:sz w:val="20"/>
                <w:szCs w:val="24"/>
                <w:lang w:val="en-IE"/>
              </w:rPr>
              <w:footnoteReference w:id="13"/>
            </w:r>
            <w:r w:rsidRPr="00245228">
              <w:rPr>
                <w:noProof/>
                <w:sz w:val="20"/>
                <w:szCs w:val="24"/>
                <w:lang w:val="en-IE"/>
              </w:rPr>
              <w:t xml:space="preserve">, </w:t>
            </w:r>
            <w:r w:rsidRPr="002F71B1">
              <w:rPr>
                <w:noProof/>
                <w:sz w:val="20"/>
                <w:szCs w:val="24"/>
                <w:lang w:val="en-IE"/>
              </w:rPr>
              <w:t>Ministerul Lucrărilor Publice, Dezvoltării şi Administraţiei</w:t>
            </w:r>
            <w:r w:rsidRPr="002F6819">
              <w:rPr>
                <w:b w:val="0"/>
                <w:noProof/>
                <w:sz w:val="20"/>
                <w:szCs w:val="24"/>
                <w:lang w:val="en-IE"/>
              </w:rPr>
              <w:t>.</w:t>
            </w:r>
          </w:p>
          <w:p w14:paraId="58586719" w14:textId="60F9CC11" w:rsidR="002F71B1" w:rsidRDefault="002F71B1" w:rsidP="00A27EF6">
            <w:pPr>
              <w:tabs>
                <w:tab w:val="left" w:pos="898"/>
              </w:tabs>
              <w:rPr>
                <w:b w:val="0"/>
                <w:noProof/>
                <w:sz w:val="20"/>
                <w:szCs w:val="24"/>
                <w:lang w:val="en-IE"/>
              </w:rPr>
            </w:pPr>
            <w:r w:rsidRPr="002F6819">
              <w:rPr>
                <w:b w:val="0"/>
                <w:noProof/>
                <w:sz w:val="20"/>
                <w:szCs w:val="24"/>
                <w:lang w:val="en-IE"/>
              </w:rPr>
              <w:t xml:space="preserve">In this decision, the Court </w:t>
            </w:r>
            <w:r w:rsidRPr="002F71B1">
              <w:rPr>
                <w:b w:val="0"/>
                <w:noProof/>
                <w:sz w:val="20"/>
                <w:szCs w:val="24"/>
                <w:lang w:val="en-IE"/>
              </w:rPr>
              <w:t>considered that the concept of ‘fraud affecting the Union’s financial interests’, within the meaning of Article 1(1)(a) of the PIF Convention</w:t>
            </w:r>
            <w:r w:rsidR="00CF7811">
              <w:rPr>
                <w:rStyle w:val="FootnoteReference"/>
                <w:b w:val="0"/>
                <w:noProof/>
                <w:sz w:val="20"/>
                <w:szCs w:val="24"/>
                <w:lang w:val="en-IE"/>
              </w:rPr>
              <w:footnoteReference w:id="14"/>
            </w:r>
            <w:r w:rsidRPr="002F71B1">
              <w:rPr>
                <w:b w:val="0"/>
                <w:noProof/>
                <w:sz w:val="20"/>
                <w:szCs w:val="24"/>
                <w:lang w:val="en-IE"/>
              </w:rPr>
              <w:t xml:space="preserve"> does not only include the illegal receipt of funds from the </w:t>
            </w:r>
            <w:r w:rsidR="007C19BE">
              <w:rPr>
                <w:b w:val="0"/>
                <w:noProof/>
                <w:sz w:val="20"/>
                <w:szCs w:val="24"/>
                <w:lang w:val="en-IE"/>
              </w:rPr>
              <w:t>E</w:t>
            </w:r>
            <w:r w:rsidRPr="002F71B1">
              <w:rPr>
                <w:b w:val="0"/>
                <w:noProof/>
                <w:sz w:val="20"/>
                <w:szCs w:val="24"/>
                <w:lang w:val="en-IE"/>
              </w:rPr>
              <w:t>U</w:t>
            </w:r>
            <w:r w:rsidR="007C19BE">
              <w:rPr>
                <w:b w:val="0"/>
                <w:noProof/>
                <w:sz w:val="20"/>
                <w:szCs w:val="24"/>
                <w:lang w:val="en-IE"/>
              </w:rPr>
              <w:t xml:space="preserve"> </w:t>
            </w:r>
            <w:r w:rsidRPr="002F71B1">
              <w:rPr>
                <w:b w:val="0"/>
                <w:noProof/>
                <w:sz w:val="20"/>
                <w:szCs w:val="24"/>
                <w:lang w:val="en-IE"/>
              </w:rPr>
              <w:t xml:space="preserve">budget, but also their illegal retention. Fraud may therefore take the form of a failure to comply with reporting obligations after obtaining those funds. </w:t>
            </w:r>
            <w:r w:rsidR="007C19BE">
              <w:rPr>
                <w:b w:val="0"/>
                <w:noProof/>
                <w:sz w:val="20"/>
                <w:szCs w:val="24"/>
                <w:lang w:val="en-IE"/>
              </w:rPr>
              <w:t>C</w:t>
            </w:r>
            <w:r w:rsidRPr="002F71B1">
              <w:rPr>
                <w:b w:val="0"/>
                <w:noProof/>
                <w:sz w:val="20"/>
                <w:szCs w:val="24"/>
                <w:lang w:val="en-IE"/>
              </w:rPr>
              <w:t>onsequen</w:t>
            </w:r>
            <w:r w:rsidR="007C19BE">
              <w:rPr>
                <w:b w:val="0"/>
                <w:noProof/>
                <w:sz w:val="20"/>
                <w:szCs w:val="24"/>
                <w:lang w:val="en-IE"/>
              </w:rPr>
              <w:t>tly</w:t>
            </w:r>
            <w:r w:rsidRPr="002F71B1">
              <w:rPr>
                <w:b w:val="0"/>
                <w:noProof/>
                <w:sz w:val="20"/>
                <w:szCs w:val="24"/>
                <w:lang w:val="en-IE"/>
              </w:rPr>
              <w:t xml:space="preserve">, fraud within the meaning of Article 1(1)(a) of the PIF Convention covers the intentional use of false or incorrect statements made after the implementation of an EU-financed project to create the illusion that the obligations under the financing agreement have been met during the sustainability period of the project, with the purpose of unlawfully withholding funds from the </w:t>
            </w:r>
            <w:r w:rsidR="007C19BE">
              <w:rPr>
                <w:b w:val="0"/>
                <w:noProof/>
                <w:sz w:val="20"/>
                <w:szCs w:val="24"/>
                <w:lang w:val="en-IE"/>
              </w:rPr>
              <w:t>E</w:t>
            </w:r>
            <w:r w:rsidR="007C19BE" w:rsidRPr="002F71B1">
              <w:rPr>
                <w:b w:val="0"/>
                <w:noProof/>
                <w:sz w:val="20"/>
                <w:szCs w:val="24"/>
                <w:lang w:val="en-IE"/>
              </w:rPr>
              <w:t>U</w:t>
            </w:r>
            <w:r w:rsidR="007C19BE">
              <w:rPr>
                <w:b w:val="0"/>
                <w:noProof/>
                <w:sz w:val="20"/>
                <w:szCs w:val="24"/>
                <w:lang w:val="en-IE"/>
              </w:rPr>
              <w:t xml:space="preserve"> </w:t>
            </w:r>
            <w:r w:rsidRPr="002F71B1">
              <w:rPr>
                <w:b w:val="0"/>
                <w:noProof/>
                <w:sz w:val="20"/>
                <w:szCs w:val="24"/>
                <w:lang w:val="en-IE"/>
              </w:rPr>
              <w:t>budget.</w:t>
            </w:r>
          </w:p>
          <w:p w14:paraId="52781CCC" w14:textId="71DF675F" w:rsidR="00C458DD" w:rsidRPr="002F6819" w:rsidRDefault="00C458DD" w:rsidP="007C19BE">
            <w:pPr>
              <w:tabs>
                <w:tab w:val="left" w:pos="898"/>
              </w:tabs>
              <w:rPr>
                <w:b w:val="0"/>
                <w:noProof/>
                <w:sz w:val="20"/>
                <w:szCs w:val="24"/>
                <w:lang w:val="en-IE"/>
              </w:rPr>
            </w:pPr>
            <w:r w:rsidRPr="00C458DD">
              <w:rPr>
                <w:b w:val="0"/>
                <w:noProof/>
                <w:sz w:val="20"/>
                <w:szCs w:val="24"/>
                <w:lang w:val="en-IE"/>
              </w:rPr>
              <w:t>The Court of Justice added that national legislation</w:t>
            </w:r>
            <w:r w:rsidR="00FA7F41">
              <w:rPr>
                <w:b w:val="0"/>
                <w:noProof/>
                <w:sz w:val="20"/>
                <w:szCs w:val="24"/>
                <w:lang w:val="en-IE"/>
              </w:rPr>
              <w:t>,</w:t>
            </w:r>
            <w:r w:rsidRPr="00C458DD">
              <w:rPr>
                <w:b w:val="0"/>
                <w:noProof/>
                <w:sz w:val="20"/>
                <w:szCs w:val="24"/>
                <w:lang w:val="en-IE"/>
              </w:rPr>
              <w:t xml:space="preserve"> </w:t>
            </w:r>
            <w:r w:rsidR="00FA7F41">
              <w:rPr>
                <w:b w:val="0"/>
                <w:noProof/>
                <w:sz w:val="20"/>
                <w:szCs w:val="24"/>
                <w:lang w:val="en-IE"/>
              </w:rPr>
              <w:t xml:space="preserve">according to </w:t>
            </w:r>
            <w:r w:rsidRPr="00C458DD">
              <w:rPr>
                <w:b w:val="0"/>
                <w:noProof/>
                <w:sz w:val="20"/>
                <w:szCs w:val="24"/>
                <w:lang w:val="en-IE"/>
              </w:rPr>
              <w:t xml:space="preserve">which a person cannot be prosecuted for such statements unless they were made during the implementation </w:t>
            </w:r>
            <w:r w:rsidR="007C19BE">
              <w:rPr>
                <w:b w:val="0"/>
                <w:noProof/>
                <w:sz w:val="20"/>
                <w:szCs w:val="24"/>
                <w:lang w:val="en-IE"/>
              </w:rPr>
              <w:t>of the project</w:t>
            </w:r>
            <w:r w:rsidR="00FA7F41">
              <w:rPr>
                <w:b w:val="0"/>
                <w:noProof/>
                <w:sz w:val="20"/>
                <w:szCs w:val="24"/>
                <w:lang w:val="en-IE"/>
              </w:rPr>
              <w:t>,</w:t>
            </w:r>
            <w:r w:rsidRPr="00C458DD">
              <w:rPr>
                <w:b w:val="0"/>
                <w:noProof/>
                <w:sz w:val="20"/>
                <w:szCs w:val="24"/>
                <w:lang w:val="en-IE"/>
              </w:rPr>
              <w:t xml:space="preserve"> is incompatible with Article 325 </w:t>
            </w:r>
            <w:r w:rsidR="00FA7F41">
              <w:rPr>
                <w:b w:val="0"/>
                <w:noProof/>
                <w:sz w:val="20"/>
                <w:szCs w:val="24"/>
                <w:lang w:val="en-IE"/>
              </w:rPr>
              <w:t>TFEU</w:t>
            </w:r>
            <w:r w:rsidRPr="00C458DD">
              <w:rPr>
                <w:b w:val="0"/>
                <w:noProof/>
                <w:sz w:val="20"/>
                <w:szCs w:val="24"/>
                <w:lang w:val="en-IE"/>
              </w:rPr>
              <w:t xml:space="preserve">. However, in order to respect the fundamental rights of the persons concerned, national courts will not be obliged to interpret such national legislation as applying to statements made after the </w:t>
            </w:r>
            <w:r w:rsidR="007C19BE">
              <w:rPr>
                <w:b w:val="0"/>
                <w:noProof/>
                <w:sz w:val="20"/>
                <w:szCs w:val="24"/>
                <w:lang w:val="en-IE"/>
              </w:rPr>
              <w:t xml:space="preserve">project’s </w:t>
            </w:r>
            <w:r w:rsidRPr="00C458DD">
              <w:rPr>
                <w:b w:val="0"/>
                <w:noProof/>
                <w:sz w:val="20"/>
                <w:szCs w:val="24"/>
                <w:lang w:val="en-IE"/>
              </w:rPr>
              <w:t xml:space="preserve">implementation where this would lead to an infringement of the principle of </w:t>
            </w:r>
            <w:r w:rsidR="007C19BE">
              <w:rPr>
                <w:b w:val="0"/>
                <w:noProof/>
                <w:sz w:val="20"/>
                <w:szCs w:val="24"/>
                <w:lang w:val="en-IE"/>
              </w:rPr>
              <w:t xml:space="preserve">the </w:t>
            </w:r>
            <w:r w:rsidRPr="00C458DD">
              <w:rPr>
                <w:b w:val="0"/>
                <w:noProof/>
                <w:sz w:val="20"/>
                <w:szCs w:val="24"/>
                <w:lang w:val="en-IE"/>
              </w:rPr>
              <w:t>legality of criminal offences and penalties. In the event of a potential infringement, it will be for the national legislator to take the appropriate steps.</w:t>
            </w:r>
          </w:p>
        </w:tc>
      </w:tr>
      <w:tr w:rsidR="002F71B1" w:rsidRPr="00064746" w14:paraId="47E299D9"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tcPr>
          <w:p w14:paraId="0682AEF7" w14:textId="77777777" w:rsidR="002F71B1" w:rsidRPr="002F6819" w:rsidRDefault="00C458DD" w:rsidP="00DC1244">
            <w:pPr>
              <w:tabs>
                <w:tab w:val="left" w:pos="898"/>
              </w:tabs>
              <w:spacing w:before="120"/>
              <w:rPr>
                <w:b w:val="0"/>
                <w:noProof/>
                <w:sz w:val="20"/>
                <w:szCs w:val="24"/>
                <w:lang w:val="en-IE"/>
              </w:rPr>
            </w:pPr>
            <w:r w:rsidRPr="00C458DD">
              <w:rPr>
                <w:noProof/>
                <w:sz w:val="20"/>
                <w:szCs w:val="24"/>
                <w:lang w:val="en-IE"/>
              </w:rPr>
              <w:t>C-357/19</w:t>
            </w:r>
            <w:r>
              <w:rPr>
                <w:noProof/>
                <w:sz w:val="20"/>
                <w:szCs w:val="24"/>
                <w:lang w:val="en-IE"/>
              </w:rPr>
              <w:t xml:space="preserve">, </w:t>
            </w:r>
            <w:r w:rsidRPr="00C458DD">
              <w:rPr>
                <w:noProof/>
                <w:sz w:val="20"/>
                <w:szCs w:val="24"/>
                <w:lang w:val="en-IE"/>
              </w:rPr>
              <w:t xml:space="preserve">C-379/19, C-547/19, C-811/19 </w:t>
            </w:r>
            <w:r w:rsidR="002F71B1" w:rsidRPr="002F6819">
              <w:rPr>
                <w:noProof/>
                <w:sz w:val="20"/>
                <w:szCs w:val="24"/>
                <w:lang w:val="en-IE"/>
              </w:rPr>
              <w:t xml:space="preserve">and </w:t>
            </w:r>
            <w:r w:rsidRPr="00C458DD">
              <w:rPr>
                <w:noProof/>
                <w:sz w:val="20"/>
                <w:szCs w:val="24"/>
                <w:lang w:val="en-IE"/>
              </w:rPr>
              <w:t>C-840/19</w:t>
            </w:r>
            <w:r w:rsidR="002F71B1">
              <w:rPr>
                <w:rStyle w:val="FootnoteReference"/>
                <w:noProof/>
                <w:sz w:val="20"/>
                <w:szCs w:val="24"/>
                <w:lang w:val="en-IE"/>
              </w:rPr>
              <w:footnoteReference w:id="15"/>
            </w:r>
            <w:r w:rsidR="002F71B1">
              <w:rPr>
                <w:noProof/>
                <w:sz w:val="20"/>
                <w:szCs w:val="24"/>
                <w:lang w:val="en-IE"/>
              </w:rPr>
              <w:t xml:space="preserve">, </w:t>
            </w:r>
            <w:r w:rsidRPr="00C458DD">
              <w:rPr>
                <w:noProof/>
                <w:sz w:val="20"/>
                <w:szCs w:val="24"/>
                <w:lang w:val="en-IE"/>
              </w:rPr>
              <w:t>Euro Box Promotion and Others</w:t>
            </w:r>
            <w:r w:rsidR="002F71B1">
              <w:rPr>
                <w:b w:val="0"/>
                <w:noProof/>
                <w:sz w:val="20"/>
                <w:szCs w:val="24"/>
                <w:lang w:val="en-IE"/>
              </w:rPr>
              <w:t>.</w:t>
            </w:r>
          </w:p>
          <w:p w14:paraId="5E7EF320" w14:textId="0506527E" w:rsidR="002F71B1" w:rsidRDefault="00FA7F41" w:rsidP="00A27EF6">
            <w:pPr>
              <w:tabs>
                <w:tab w:val="left" w:pos="898"/>
              </w:tabs>
              <w:rPr>
                <w:b w:val="0"/>
                <w:noProof/>
                <w:sz w:val="20"/>
                <w:szCs w:val="24"/>
                <w:lang w:val="en-IE"/>
              </w:rPr>
            </w:pPr>
            <w:r w:rsidRPr="00C458DD">
              <w:rPr>
                <w:b w:val="0"/>
                <w:noProof/>
                <w:sz w:val="20"/>
                <w:szCs w:val="24"/>
                <w:lang w:val="en-IE"/>
              </w:rPr>
              <w:t>The</w:t>
            </w:r>
            <w:r w:rsidR="00C458DD" w:rsidRPr="00C458DD">
              <w:rPr>
                <w:b w:val="0"/>
                <w:noProof/>
                <w:sz w:val="20"/>
                <w:szCs w:val="24"/>
                <w:lang w:val="en-IE"/>
              </w:rPr>
              <w:t xml:space="preserve"> Court of Justice was asked to rule on the compatibility with EU law of case-law of the Romanian Constitutional Court on the rules of criminal procedure applicable to fraud and corruption proceedings. In 2018, the Romanian Constitutional Court overturned the decisions of the Romanian High Court of Cassation and Justice convicting several </w:t>
            </w:r>
            <w:r w:rsidR="007C19BE">
              <w:rPr>
                <w:b w:val="0"/>
                <w:noProof/>
                <w:sz w:val="20"/>
                <w:szCs w:val="24"/>
                <w:lang w:val="en-IE"/>
              </w:rPr>
              <w:t>people</w:t>
            </w:r>
            <w:r w:rsidR="007C19BE" w:rsidRPr="00C458DD">
              <w:rPr>
                <w:b w:val="0"/>
                <w:noProof/>
                <w:sz w:val="20"/>
                <w:szCs w:val="24"/>
                <w:lang w:val="en-IE"/>
              </w:rPr>
              <w:t xml:space="preserve"> </w:t>
            </w:r>
            <w:r w:rsidR="00C458DD" w:rsidRPr="00C458DD">
              <w:rPr>
                <w:b w:val="0"/>
                <w:noProof/>
                <w:sz w:val="20"/>
                <w:szCs w:val="24"/>
                <w:lang w:val="en-IE"/>
              </w:rPr>
              <w:t xml:space="preserve">for VAT fraud, corruption and exerting influence in connection with the management of EU funds, stating, in substance, that the panels of judges </w:t>
            </w:r>
            <w:r w:rsidR="007C19BE">
              <w:rPr>
                <w:b w:val="0"/>
                <w:noProof/>
                <w:sz w:val="20"/>
                <w:szCs w:val="24"/>
                <w:lang w:val="en-IE"/>
              </w:rPr>
              <w:t xml:space="preserve">who </w:t>
            </w:r>
            <w:r w:rsidR="00C458DD" w:rsidRPr="00C458DD">
              <w:rPr>
                <w:b w:val="0"/>
                <w:noProof/>
                <w:sz w:val="20"/>
                <w:szCs w:val="24"/>
                <w:lang w:val="en-IE"/>
              </w:rPr>
              <w:t xml:space="preserve">had heard the cases were irregularly constituted. A preliminary reference was made to the Court of Justice by a lower Romanian court on the question, </w:t>
            </w:r>
            <w:r w:rsidR="007C19BE">
              <w:rPr>
                <w:b w:val="0"/>
                <w:noProof/>
                <w:sz w:val="20"/>
                <w:szCs w:val="24"/>
                <w:lang w:val="en-IE"/>
              </w:rPr>
              <w:t>among other matters</w:t>
            </w:r>
            <w:r w:rsidR="00C458DD" w:rsidRPr="00C458DD">
              <w:rPr>
                <w:b w:val="0"/>
                <w:noProof/>
                <w:sz w:val="20"/>
                <w:szCs w:val="24"/>
                <w:lang w:val="en-IE"/>
              </w:rPr>
              <w:t>, of whether the Constitutional Court’s case-law gave rise to a systemic risk of impunity in the fight against fraud and corruption, in particular as offences will go unpunished because they become time-barred.</w:t>
            </w:r>
          </w:p>
          <w:p w14:paraId="4741F1B5" w14:textId="05BB55CE" w:rsidR="00C458DD" w:rsidRPr="002F6819" w:rsidRDefault="00C458DD">
            <w:pPr>
              <w:tabs>
                <w:tab w:val="left" w:pos="898"/>
              </w:tabs>
              <w:rPr>
                <w:b w:val="0"/>
                <w:noProof/>
                <w:sz w:val="20"/>
                <w:szCs w:val="24"/>
                <w:lang w:val="en-IE"/>
              </w:rPr>
            </w:pPr>
            <w:r w:rsidRPr="00C458DD">
              <w:rPr>
                <w:b w:val="0"/>
                <w:noProof/>
                <w:sz w:val="20"/>
                <w:szCs w:val="24"/>
                <w:lang w:val="en-IE"/>
              </w:rPr>
              <w:t xml:space="preserve">In its judgment, the Court of Justice held that even though the rules governing the organisation of the judicial system in the Member States </w:t>
            </w:r>
            <w:r w:rsidR="007C19BE">
              <w:rPr>
                <w:b w:val="0"/>
                <w:noProof/>
                <w:sz w:val="20"/>
                <w:szCs w:val="24"/>
                <w:lang w:val="en-IE"/>
              </w:rPr>
              <w:t xml:space="preserve">are </w:t>
            </w:r>
            <w:r w:rsidRPr="00C458DD">
              <w:rPr>
                <w:b w:val="0"/>
                <w:noProof/>
                <w:sz w:val="20"/>
                <w:szCs w:val="24"/>
                <w:lang w:val="en-IE"/>
              </w:rPr>
              <w:t xml:space="preserve">in principle </w:t>
            </w:r>
            <w:r w:rsidR="007C19BE">
              <w:rPr>
                <w:b w:val="0"/>
                <w:noProof/>
                <w:sz w:val="20"/>
                <w:szCs w:val="24"/>
                <w:lang w:val="en-IE"/>
              </w:rPr>
              <w:t xml:space="preserve">a matter for the Member </w:t>
            </w:r>
            <w:r w:rsidRPr="00C458DD">
              <w:rPr>
                <w:b w:val="0"/>
                <w:noProof/>
                <w:sz w:val="20"/>
                <w:szCs w:val="24"/>
                <w:lang w:val="en-IE"/>
              </w:rPr>
              <w:t>States</w:t>
            </w:r>
            <w:r w:rsidR="007C19BE">
              <w:rPr>
                <w:b w:val="0"/>
                <w:noProof/>
                <w:sz w:val="20"/>
                <w:szCs w:val="24"/>
                <w:lang w:val="en-IE"/>
              </w:rPr>
              <w:t>’ jurisdiction</w:t>
            </w:r>
            <w:r w:rsidRPr="00C458DD">
              <w:rPr>
                <w:b w:val="0"/>
                <w:noProof/>
                <w:sz w:val="20"/>
                <w:szCs w:val="24"/>
                <w:lang w:val="en-IE"/>
              </w:rPr>
              <w:t xml:space="preserve">, these rules must nevertheless </w:t>
            </w:r>
            <w:r w:rsidR="007C19BE">
              <w:rPr>
                <w:b w:val="0"/>
                <w:noProof/>
                <w:sz w:val="20"/>
                <w:szCs w:val="24"/>
                <w:lang w:val="en-IE"/>
              </w:rPr>
              <w:t xml:space="preserve">tally </w:t>
            </w:r>
            <w:r w:rsidRPr="00C458DD">
              <w:rPr>
                <w:b w:val="0"/>
                <w:noProof/>
                <w:sz w:val="20"/>
                <w:szCs w:val="24"/>
                <w:lang w:val="en-IE"/>
              </w:rPr>
              <w:t xml:space="preserve">with </w:t>
            </w:r>
            <w:r w:rsidR="00B74C05">
              <w:rPr>
                <w:b w:val="0"/>
                <w:noProof/>
                <w:sz w:val="20"/>
                <w:szCs w:val="24"/>
                <w:lang w:val="en-IE"/>
              </w:rPr>
              <w:t>their</w:t>
            </w:r>
            <w:r w:rsidRPr="00C458DD">
              <w:rPr>
                <w:b w:val="0"/>
                <w:noProof/>
                <w:sz w:val="20"/>
                <w:szCs w:val="24"/>
                <w:lang w:val="en-IE"/>
              </w:rPr>
              <w:t xml:space="preserve"> obligations under EU law. Such obligations include the fight against illegal activities, including corruption offences, affecting the </w:t>
            </w:r>
            <w:r w:rsidR="00B74C05">
              <w:rPr>
                <w:b w:val="0"/>
                <w:noProof/>
                <w:sz w:val="20"/>
                <w:szCs w:val="24"/>
                <w:lang w:val="en-IE"/>
              </w:rPr>
              <w:t xml:space="preserve">EU’s </w:t>
            </w:r>
            <w:r w:rsidRPr="00C458DD">
              <w:rPr>
                <w:b w:val="0"/>
                <w:noProof/>
                <w:sz w:val="20"/>
                <w:szCs w:val="24"/>
                <w:lang w:val="en-IE"/>
              </w:rPr>
              <w:t xml:space="preserve">financial interests by means of effective </w:t>
            </w:r>
            <w:r w:rsidR="00AD5A9B">
              <w:rPr>
                <w:b w:val="0"/>
                <w:noProof/>
                <w:sz w:val="20"/>
                <w:szCs w:val="24"/>
                <w:lang w:val="en-IE"/>
              </w:rPr>
              <w:t xml:space="preserve">deterrent </w:t>
            </w:r>
            <w:r w:rsidRPr="00C458DD">
              <w:rPr>
                <w:b w:val="0"/>
                <w:noProof/>
                <w:sz w:val="20"/>
                <w:szCs w:val="24"/>
                <w:lang w:val="en-IE"/>
              </w:rPr>
              <w:t xml:space="preserve">measures. The effectiveness </w:t>
            </w:r>
            <w:r w:rsidR="00AD5A9B">
              <w:rPr>
                <w:b w:val="0"/>
                <w:noProof/>
                <w:sz w:val="20"/>
                <w:szCs w:val="24"/>
                <w:lang w:val="en-IE"/>
              </w:rPr>
              <w:t xml:space="preserve">requirement applies </w:t>
            </w:r>
            <w:r w:rsidRPr="00C458DD">
              <w:rPr>
                <w:b w:val="0"/>
                <w:noProof/>
                <w:sz w:val="20"/>
                <w:szCs w:val="24"/>
                <w:lang w:val="en-IE"/>
              </w:rPr>
              <w:t xml:space="preserve">to both proceedings and penalties for those offences and to the </w:t>
            </w:r>
            <w:r w:rsidR="00AD5A9B">
              <w:rPr>
                <w:b w:val="0"/>
                <w:noProof/>
                <w:sz w:val="20"/>
                <w:szCs w:val="24"/>
                <w:lang w:val="en-IE"/>
              </w:rPr>
              <w:t xml:space="preserve">enforcement </w:t>
            </w:r>
            <w:r w:rsidRPr="00C458DD">
              <w:rPr>
                <w:b w:val="0"/>
                <w:noProof/>
                <w:sz w:val="20"/>
                <w:szCs w:val="24"/>
                <w:lang w:val="en-IE"/>
              </w:rPr>
              <w:t xml:space="preserve">of the penalties imposed. It is primarily for the national legislature to ensure that the procedural rules applicable to those offences do not present a systemic risk of impunity. National courts, for their part, must </w:t>
            </w:r>
            <w:r w:rsidR="00AD5A9B">
              <w:rPr>
                <w:b w:val="0"/>
                <w:noProof/>
                <w:sz w:val="20"/>
                <w:szCs w:val="24"/>
                <w:lang w:val="en-IE"/>
              </w:rPr>
              <w:t xml:space="preserve">not </w:t>
            </w:r>
            <w:r w:rsidR="00AD5A9B" w:rsidRPr="00C458DD">
              <w:rPr>
                <w:b w:val="0"/>
                <w:noProof/>
                <w:sz w:val="20"/>
                <w:szCs w:val="24"/>
                <w:lang w:val="en-IE"/>
              </w:rPr>
              <w:t>apply</w:t>
            </w:r>
            <w:r w:rsidRPr="00C458DD">
              <w:rPr>
                <w:b w:val="0"/>
                <w:noProof/>
                <w:sz w:val="20"/>
                <w:szCs w:val="24"/>
                <w:lang w:val="en-IE"/>
              </w:rPr>
              <w:t xml:space="preserve"> domestic provisions prevent</w:t>
            </w:r>
            <w:r w:rsidR="00AD5A9B">
              <w:rPr>
                <w:b w:val="0"/>
                <w:noProof/>
                <w:sz w:val="20"/>
                <w:szCs w:val="24"/>
                <w:lang w:val="en-IE"/>
              </w:rPr>
              <w:t>ing</w:t>
            </w:r>
            <w:r w:rsidRPr="00C458DD">
              <w:rPr>
                <w:b w:val="0"/>
                <w:noProof/>
                <w:sz w:val="20"/>
                <w:szCs w:val="24"/>
                <w:lang w:val="en-IE"/>
              </w:rPr>
              <w:t xml:space="preserve"> the application of effective </w:t>
            </w:r>
            <w:r w:rsidR="00AD5A9B">
              <w:rPr>
                <w:b w:val="0"/>
                <w:noProof/>
                <w:sz w:val="20"/>
                <w:szCs w:val="24"/>
                <w:lang w:val="en-IE"/>
              </w:rPr>
              <w:t xml:space="preserve">deterrent </w:t>
            </w:r>
            <w:r w:rsidRPr="00C458DD">
              <w:rPr>
                <w:b w:val="0"/>
                <w:noProof/>
                <w:sz w:val="20"/>
                <w:szCs w:val="24"/>
                <w:lang w:val="en-IE"/>
              </w:rPr>
              <w:t>penalties. In the case</w:t>
            </w:r>
            <w:r w:rsidR="00AD5A9B">
              <w:rPr>
                <w:b w:val="0"/>
                <w:noProof/>
                <w:sz w:val="20"/>
                <w:szCs w:val="24"/>
                <w:lang w:val="en-IE"/>
              </w:rPr>
              <w:t xml:space="preserve"> in point</w:t>
            </w:r>
            <w:r w:rsidRPr="00C458DD">
              <w:rPr>
                <w:b w:val="0"/>
                <w:noProof/>
                <w:sz w:val="20"/>
                <w:szCs w:val="24"/>
                <w:lang w:val="en-IE"/>
              </w:rPr>
              <w:t xml:space="preserve">, the </w:t>
            </w:r>
            <w:r w:rsidR="00AD5A9B">
              <w:rPr>
                <w:b w:val="0"/>
                <w:noProof/>
                <w:sz w:val="20"/>
                <w:szCs w:val="24"/>
                <w:lang w:val="en-IE"/>
              </w:rPr>
              <w:t xml:space="preserve">consequence of the </w:t>
            </w:r>
            <w:r w:rsidRPr="00C458DD">
              <w:rPr>
                <w:b w:val="0"/>
                <w:noProof/>
                <w:sz w:val="20"/>
                <w:szCs w:val="24"/>
                <w:lang w:val="en-IE"/>
              </w:rPr>
              <w:t xml:space="preserve">application of the case-law of the Romanian Constitutional Court </w:t>
            </w:r>
            <w:r w:rsidR="00AD5A9B">
              <w:rPr>
                <w:b w:val="0"/>
                <w:noProof/>
                <w:sz w:val="20"/>
                <w:szCs w:val="24"/>
                <w:lang w:val="en-IE"/>
              </w:rPr>
              <w:t>i</w:t>
            </w:r>
            <w:r w:rsidR="00AD5A9B" w:rsidRPr="00C458DD">
              <w:rPr>
                <w:b w:val="0"/>
                <w:noProof/>
                <w:sz w:val="20"/>
                <w:szCs w:val="24"/>
                <w:lang w:val="en-IE"/>
              </w:rPr>
              <w:t xml:space="preserve">s </w:t>
            </w:r>
            <w:r w:rsidRPr="00C458DD">
              <w:rPr>
                <w:b w:val="0"/>
                <w:noProof/>
                <w:sz w:val="20"/>
                <w:szCs w:val="24"/>
                <w:lang w:val="en-IE"/>
              </w:rPr>
              <w:t>that the cases of fraud and corruption concerned must be re-examined, if necessary on several occasions, at first instance and/or on appeal</w:t>
            </w:r>
            <w:r w:rsidR="00AD5A9B">
              <w:rPr>
                <w:b w:val="0"/>
                <w:noProof/>
                <w:sz w:val="20"/>
                <w:szCs w:val="24"/>
                <w:lang w:val="en-IE"/>
              </w:rPr>
              <w:t>. This</w:t>
            </w:r>
            <w:r w:rsidRPr="00C458DD">
              <w:rPr>
                <w:b w:val="0"/>
                <w:noProof/>
                <w:sz w:val="20"/>
                <w:szCs w:val="24"/>
                <w:lang w:val="en-IE"/>
              </w:rPr>
              <w:t xml:space="preserve"> may lead to the</w:t>
            </w:r>
            <w:r w:rsidR="00AD5A9B">
              <w:rPr>
                <w:b w:val="0"/>
                <w:noProof/>
                <w:sz w:val="20"/>
                <w:szCs w:val="24"/>
                <w:lang w:val="en-IE"/>
              </w:rPr>
              <w:t>ir</w:t>
            </w:r>
            <w:r w:rsidRPr="00C458DD">
              <w:rPr>
                <w:b w:val="0"/>
                <w:noProof/>
                <w:sz w:val="20"/>
                <w:szCs w:val="24"/>
                <w:lang w:val="en-IE"/>
              </w:rPr>
              <w:t xml:space="preserve"> being time-</w:t>
            </w:r>
            <w:r w:rsidR="00AD5A9B" w:rsidRPr="00C458DD">
              <w:rPr>
                <w:b w:val="0"/>
                <w:noProof/>
                <w:sz w:val="20"/>
                <w:szCs w:val="24"/>
                <w:lang w:val="en-IE"/>
              </w:rPr>
              <w:t>barred</w:t>
            </w:r>
            <w:r w:rsidR="00AD5A9B">
              <w:rPr>
                <w:b w:val="0"/>
                <w:noProof/>
                <w:sz w:val="20"/>
                <w:szCs w:val="24"/>
                <w:lang w:val="en-IE"/>
              </w:rPr>
              <w:t>, with the result</w:t>
            </w:r>
            <w:r w:rsidRPr="00C458DD">
              <w:rPr>
                <w:b w:val="0"/>
                <w:noProof/>
                <w:sz w:val="20"/>
                <w:szCs w:val="24"/>
                <w:lang w:val="en-IE"/>
              </w:rPr>
              <w:t xml:space="preserve"> that </w:t>
            </w:r>
            <w:r w:rsidR="00AD5A9B">
              <w:rPr>
                <w:b w:val="0"/>
                <w:noProof/>
                <w:sz w:val="20"/>
                <w:szCs w:val="24"/>
                <w:lang w:val="en-IE"/>
              </w:rPr>
              <w:t xml:space="preserve">people </w:t>
            </w:r>
            <w:r w:rsidRPr="00C458DD">
              <w:rPr>
                <w:b w:val="0"/>
                <w:noProof/>
                <w:sz w:val="20"/>
                <w:szCs w:val="24"/>
                <w:lang w:val="en-IE"/>
              </w:rPr>
              <w:t xml:space="preserve">occupying the highest positions in the Romanian State who have been convicted of fraud or corruption are not penalised in a manner </w:t>
            </w:r>
            <w:r w:rsidR="00AD5A9B">
              <w:rPr>
                <w:b w:val="0"/>
                <w:noProof/>
                <w:sz w:val="20"/>
                <w:szCs w:val="24"/>
                <w:lang w:val="en-IE"/>
              </w:rPr>
              <w:t xml:space="preserve">that </w:t>
            </w:r>
            <w:r w:rsidRPr="00C458DD">
              <w:rPr>
                <w:b w:val="0"/>
                <w:noProof/>
                <w:sz w:val="20"/>
                <w:szCs w:val="24"/>
                <w:lang w:val="en-IE"/>
              </w:rPr>
              <w:t xml:space="preserve">is effective and acts as a deterrent. The risk of impunity would become systemic for that category of </w:t>
            </w:r>
            <w:r w:rsidR="00AD5A9B">
              <w:rPr>
                <w:b w:val="0"/>
                <w:noProof/>
                <w:sz w:val="20"/>
                <w:szCs w:val="24"/>
                <w:lang w:val="en-IE"/>
              </w:rPr>
              <w:t xml:space="preserve">people </w:t>
            </w:r>
            <w:r w:rsidRPr="00C458DD">
              <w:rPr>
                <w:b w:val="0"/>
                <w:noProof/>
                <w:sz w:val="20"/>
                <w:szCs w:val="24"/>
                <w:lang w:val="en-IE"/>
              </w:rPr>
              <w:t>and would call into question the objective of combating high-level corruption. Consequently, the Court of Justice ruled that Article 325 TFEU and Article 2 of the PIF Convention preclude national rules or practices under which judgments in corruption and VAT fraud cases were not delivered due to irregularly constituted panels of judges, where this leads to a systemic risk of acts constituting serious fraud affecting the EU’s financial interests or corruption in general going unpunished. The Court of Justice added that the referring court had to verify the compatibility of such an approach with the accused’s right to a fair trial under Article 47 of the Charter of Fundamental Rights.</w:t>
            </w:r>
          </w:p>
        </w:tc>
      </w:tr>
    </w:tbl>
    <w:p w14:paraId="5B3505A7" w14:textId="77777777" w:rsidR="00FE789E" w:rsidRDefault="00FE789E" w:rsidP="00FE789E">
      <w:pPr>
        <w:pStyle w:val="Heading1"/>
        <w:rPr>
          <w:noProof/>
        </w:rPr>
      </w:pPr>
      <w:bookmarkStart w:id="11" w:name="_Toc110444034"/>
      <w:r>
        <w:rPr>
          <w:noProof/>
        </w:rPr>
        <w:t xml:space="preserve">The </w:t>
      </w:r>
      <w:r w:rsidR="00FD4ACD">
        <w:rPr>
          <w:noProof/>
        </w:rPr>
        <w:t xml:space="preserve">EU </w:t>
      </w:r>
      <w:r>
        <w:rPr>
          <w:noProof/>
        </w:rPr>
        <w:t>Anti-fraud architecture</w:t>
      </w:r>
      <w:bookmarkEnd w:id="11"/>
    </w:p>
    <w:p w14:paraId="1C26C01F" w14:textId="048A5D9D" w:rsidR="006C1E6D" w:rsidRPr="006C1E6D" w:rsidRDefault="004D2B33" w:rsidP="006C1E6D">
      <w:pPr>
        <w:rPr>
          <w:noProof/>
        </w:rPr>
      </w:pPr>
      <w:r>
        <w:rPr>
          <w:noProof/>
        </w:rPr>
        <w:t xml:space="preserve">The complex legislative and organisational architecture </w:t>
      </w:r>
      <w:r w:rsidR="00AD5A9B">
        <w:rPr>
          <w:noProof/>
        </w:rPr>
        <w:t xml:space="preserve">in place to </w:t>
      </w:r>
      <w:r>
        <w:rPr>
          <w:noProof/>
        </w:rPr>
        <w:t>protect the EU’s financial interests is the result of a continuous process</w:t>
      </w:r>
      <w:r w:rsidR="00AD5A9B">
        <w:rPr>
          <w:noProof/>
        </w:rPr>
        <w:t xml:space="preserve"> spanning </w:t>
      </w:r>
      <w:r>
        <w:rPr>
          <w:noProof/>
        </w:rPr>
        <w:t>over three decades</w:t>
      </w:r>
      <w:r>
        <w:rPr>
          <w:rStyle w:val="FootnoteReference"/>
          <w:noProof/>
        </w:rPr>
        <w:footnoteReference w:id="16"/>
      </w:r>
      <w:r>
        <w:rPr>
          <w:noProof/>
        </w:rPr>
        <w:t xml:space="preserve">. </w:t>
      </w:r>
      <w:r w:rsidR="006C1E6D">
        <w:rPr>
          <w:noProof/>
        </w:rPr>
        <w:t xml:space="preserve">This section presents the most significant developments </w:t>
      </w:r>
      <w:r w:rsidR="00AD5A9B">
        <w:rPr>
          <w:noProof/>
        </w:rPr>
        <w:t xml:space="preserve">in this area </w:t>
      </w:r>
      <w:r w:rsidR="006C1E6D">
        <w:rPr>
          <w:noProof/>
        </w:rPr>
        <w:t>in 2021</w:t>
      </w:r>
      <w:r w:rsidR="006C1E6D">
        <w:rPr>
          <w:rStyle w:val="FootnoteReference"/>
          <w:noProof/>
        </w:rPr>
        <w:footnoteReference w:id="17"/>
      </w:r>
      <w:r w:rsidR="006C1E6D">
        <w:rPr>
          <w:noProof/>
        </w:rPr>
        <w:t>.</w:t>
      </w:r>
      <w:r w:rsidR="00A83949">
        <w:rPr>
          <w:noProof/>
        </w:rPr>
        <w:t xml:space="preserve"> </w:t>
      </w:r>
    </w:p>
    <w:p w14:paraId="15A520AF" w14:textId="77777777" w:rsidR="00FE789E" w:rsidRDefault="00FE789E" w:rsidP="00FE789E">
      <w:pPr>
        <w:pStyle w:val="Heading2"/>
        <w:rPr>
          <w:noProof/>
        </w:rPr>
      </w:pPr>
      <w:bookmarkStart w:id="12" w:name="_Toc110444035"/>
      <w:r>
        <w:rPr>
          <w:noProof/>
        </w:rPr>
        <w:t>European level</w:t>
      </w:r>
      <w:bookmarkEnd w:id="12"/>
    </w:p>
    <w:p w14:paraId="7AE38E9F" w14:textId="77777777" w:rsidR="00FE789E" w:rsidRDefault="00FE789E" w:rsidP="00CD7B44">
      <w:pPr>
        <w:pStyle w:val="Heading3"/>
        <w:rPr>
          <w:noProof/>
        </w:rPr>
      </w:pPr>
      <w:bookmarkStart w:id="13" w:name="_Toc110444036"/>
      <w:r>
        <w:rPr>
          <w:noProof/>
        </w:rPr>
        <w:t>European Parliament</w:t>
      </w:r>
      <w:bookmarkEnd w:id="13"/>
    </w:p>
    <w:p w14:paraId="06E35AAF" w14:textId="10479E69" w:rsidR="00FE789E" w:rsidRDefault="00AD5A9B" w:rsidP="00FE789E">
      <w:pPr>
        <w:rPr>
          <w:noProof/>
        </w:rPr>
      </w:pPr>
      <w:r>
        <w:rPr>
          <w:noProof/>
        </w:rPr>
        <w:t xml:space="preserve">Besides </w:t>
      </w:r>
      <w:r w:rsidR="006C1E6D">
        <w:rPr>
          <w:noProof/>
        </w:rPr>
        <w:t xml:space="preserve">its legislative activities, the </w:t>
      </w:r>
      <w:r w:rsidR="006C1E6D">
        <w:rPr>
          <w:b/>
          <w:noProof/>
        </w:rPr>
        <w:t xml:space="preserve">European Parliament </w:t>
      </w:r>
      <w:r w:rsidRPr="00DC1244">
        <w:rPr>
          <w:noProof/>
        </w:rPr>
        <w:t>(</w:t>
      </w:r>
      <w:r>
        <w:rPr>
          <w:noProof/>
        </w:rPr>
        <w:t xml:space="preserve">EP) </w:t>
      </w:r>
      <w:r w:rsidR="007B7F1F">
        <w:rPr>
          <w:noProof/>
        </w:rPr>
        <w:t>scrutinises the Commission’s (and other institutions’ and bodies’) implementation of the EU budget through a procedure known as ‘discharge’.</w:t>
      </w:r>
      <w:r w:rsidR="006C1E6D">
        <w:rPr>
          <w:noProof/>
        </w:rPr>
        <w:t xml:space="preserve"> </w:t>
      </w:r>
      <w:r w:rsidR="007B7F1F">
        <w:rPr>
          <w:noProof/>
        </w:rPr>
        <w:t xml:space="preserve">In 2021 the </w:t>
      </w:r>
      <w:r>
        <w:rPr>
          <w:noProof/>
        </w:rPr>
        <w:t>E</w:t>
      </w:r>
      <w:r w:rsidR="007B7F1F">
        <w:rPr>
          <w:noProof/>
        </w:rPr>
        <w:t xml:space="preserve">P granted discharge for the </w:t>
      </w:r>
      <w:r>
        <w:rPr>
          <w:noProof/>
        </w:rPr>
        <w:t xml:space="preserve">2019 </w:t>
      </w:r>
      <w:r w:rsidR="007B7F1F">
        <w:rPr>
          <w:noProof/>
        </w:rPr>
        <w:t>financial year</w:t>
      </w:r>
      <w:r w:rsidR="007B7F1F">
        <w:rPr>
          <w:rStyle w:val="FootnoteReference"/>
          <w:noProof/>
        </w:rPr>
        <w:footnoteReference w:id="18"/>
      </w:r>
      <w:r w:rsidR="007B7F1F">
        <w:rPr>
          <w:noProof/>
        </w:rPr>
        <w:t xml:space="preserve"> and started the procedure for the </w:t>
      </w:r>
      <w:r>
        <w:rPr>
          <w:noProof/>
        </w:rPr>
        <w:t xml:space="preserve">2020 </w:t>
      </w:r>
      <w:r w:rsidR="007B7F1F">
        <w:rPr>
          <w:noProof/>
        </w:rPr>
        <w:t>financial year</w:t>
      </w:r>
      <w:r w:rsidR="007B7F1F">
        <w:rPr>
          <w:rStyle w:val="FootnoteReference"/>
          <w:noProof/>
        </w:rPr>
        <w:footnoteReference w:id="19"/>
      </w:r>
      <w:r w:rsidR="007B7F1F">
        <w:rPr>
          <w:noProof/>
        </w:rPr>
        <w:t xml:space="preserve">. The </w:t>
      </w:r>
      <w:r w:rsidR="007B7F1F" w:rsidRPr="00A10036">
        <w:rPr>
          <w:b/>
          <w:noProof/>
        </w:rPr>
        <w:t xml:space="preserve">Committee on </w:t>
      </w:r>
      <w:r w:rsidR="00FA7F41" w:rsidRPr="00A10036">
        <w:rPr>
          <w:b/>
          <w:noProof/>
        </w:rPr>
        <w:t>Budgetary Control</w:t>
      </w:r>
      <w:r w:rsidR="00FA7F41">
        <w:rPr>
          <w:noProof/>
        </w:rPr>
        <w:t xml:space="preserve"> </w:t>
      </w:r>
      <w:r w:rsidR="007B7F1F">
        <w:rPr>
          <w:noProof/>
        </w:rPr>
        <w:t xml:space="preserve">(CONT) </w:t>
      </w:r>
      <w:r w:rsidR="000A022B">
        <w:rPr>
          <w:noProof/>
        </w:rPr>
        <w:t xml:space="preserve">is </w:t>
      </w:r>
      <w:r w:rsidR="004D2B33">
        <w:rPr>
          <w:noProof/>
        </w:rPr>
        <w:t>central to</w:t>
      </w:r>
      <w:r w:rsidR="000A022B">
        <w:rPr>
          <w:noProof/>
        </w:rPr>
        <w:t xml:space="preserve"> the discharge procedure</w:t>
      </w:r>
      <w:r w:rsidR="0010609B">
        <w:rPr>
          <w:noProof/>
        </w:rPr>
        <w:t xml:space="preserve"> and</w:t>
      </w:r>
      <w:r w:rsidR="006B16B5">
        <w:rPr>
          <w:noProof/>
        </w:rPr>
        <w:t xml:space="preserve"> </w:t>
      </w:r>
      <w:r w:rsidR="000A022B">
        <w:rPr>
          <w:noProof/>
        </w:rPr>
        <w:t xml:space="preserve">also </w:t>
      </w:r>
      <w:r w:rsidR="00FA7F41">
        <w:rPr>
          <w:noProof/>
        </w:rPr>
        <w:t xml:space="preserve">drafts an annual </w:t>
      </w:r>
      <w:r w:rsidR="000A022B">
        <w:rPr>
          <w:noProof/>
        </w:rPr>
        <w:t xml:space="preserve">report </w:t>
      </w:r>
      <w:r w:rsidR="00D83BC8">
        <w:rPr>
          <w:noProof/>
        </w:rPr>
        <w:t>on</w:t>
      </w:r>
      <w:r w:rsidR="000A022B">
        <w:rPr>
          <w:noProof/>
        </w:rPr>
        <w:t xml:space="preserve"> the protection of the EU’s financial interests</w:t>
      </w:r>
      <w:r w:rsidR="009741DA">
        <w:rPr>
          <w:noProof/>
        </w:rPr>
        <w:t>. The report</w:t>
      </w:r>
      <w:r w:rsidR="000A022B">
        <w:rPr>
          <w:noProof/>
        </w:rPr>
        <w:t xml:space="preserve"> </w:t>
      </w:r>
      <w:r w:rsidR="007B7F1F">
        <w:rPr>
          <w:noProof/>
        </w:rPr>
        <w:t>provide</w:t>
      </w:r>
      <w:r w:rsidR="00A23E50">
        <w:rPr>
          <w:noProof/>
        </w:rPr>
        <w:t>s</w:t>
      </w:r>
      <w:r w:rsidR="007B7F1F">
        <w:rPr>
          <w:noProof/>
        </w:rPr>
        <w:t xml:space="preserve"> political </w:t>
      </w:r>
      <w:r w:rsidR="009741DA">
        <w:rPr>
          <w:noProof/>
        </w:rPr>
        <w:t xml:space="preserve">guidance for </w:t>
      </w:r>
      <w:r w:rsidR="000A022B">
        <w:rPr>
          <w:noProof/>
        </w:rPr>
        <w:t xml:space="preserve">the Commission and the Member States once </w:t>
      </w:r>
      <w:r w:rsidR="005440DB">
        <w:rPr>
          <w:noProof/>
        </w:rPr>
        <w:t>adopted</w:t>
      </w:r>
      <w:r w:rsidR="000A022B">
        <w:rPr>
          <w:noProof/>
        </w:rPr>
        <w:t xml:space="preserve"> </w:t>
      </w:r>
      <w:r w:rsidR="00FA7F41">
        <w:rPr>
          <w:noProof/>
        </w:rPr>
        <w:t xml:space="preserve">as a </w:t>
      </w:r>
      <w:r w:rsidR="000A022B">
        <w:rPr>
          <w:noProof/>
        </w:rPr>
        <w:t>resolution</w:t>
      </w:r>
      <w:r w:rsidR="005440DB">
        <w:rPr>
          <w:noProof/>
        </w:rPr>
        <w:t xml:space="preserve"> </w:t>
      </w:r>
      <w:r w:rsidR="009741DA">
        <w:rPr>
          <w:noProof/>
        </w:rPr>
        <w:t xml:space="preserve">in </w:t>
      </w:r>
      <w:r w:rsidR="005440DB">
        <w:rPr>
          <w:noProof/>
        </w:rPr>
        <w:t>the Parliament’s plenary</w:t>
      </w:r>
      <w:r w:rsidR="000A022B">
        <w:rPr>
          <w:noProof/>
        </w:rPr>
        <w:t>.</w:t>
      </w:r>
      <w:r w:rsidR="00CF1D95">
        <w:rPr>
          <w:noProof/>
        </w:rPr>
        <w:t xml:space="preserve"> In 2021, several </w:t>
      </w:r>
      <w:r w:rsidR="00FA7F41">
        <w:rPr>
          <w:noProof/>
        </w:rPr>
        <w:t xml:space="preserve">CONT </w:t>
      </w:r>
      <w:r w:rsidR="009741DA">
        <w:rPr>
          <w:noProof/>
        </w:rPr>
        <w:t xml:space="preserve">meetings </w:t>
      </w:r>
      <w:r w:rsidR="00CF1D95">
        <w:rPr>
          <w:noProof/>
        </w:rPr>
        <w:t>focused on OLAF’s activities</w:t>
      </w:r>
      <w:r w:rsidR="009741DA">
        <w:rPr>
          <w:noProof/>
        </w:rPr>
        <w:t>, with</w:t>
      </w:r>
      <w:r w:rsidR="00FA7F41">
        <w:rPr>
          <w:noProof/>
        </w:rPr>
        <w:t xml:space="preserve"> </w:t>
      </w:r>
      <w:r w:rsidR="00CF1D95">
        <w:rPr>
          <w:noProof/>
        </w:rPr>
        <w:t xml:space="preserve">the Office </w:t>
      </w:r>
      <w:r w:rsidR="00FA7F41">
        <w:rPr>
          <w:noProof/>
        </w:rPr>
        <w:t xml:space="preserve">invited to </w:t>
      </w:r>
      <w:r w:rsidR="00CF1D95">
        <w:rPr>
          <w:noProof/>
        </w:rPr>
        <w:t>present its results.</w:t>
      </w:r>
    </w:p>
    <w:p w14:paraId="5B1A94DC" w14:textId="4CCBCC28" w:rsidR="000A022B" w:rsidRDefault="000A022B" w:rsidP="005440DB">
      <w:pPr>
        <w:pStyle w:val="Caption"/>
        <w:pBdr>
          <w:top w:val="single" w:sz="4" w:space="1" w:color="auto"/>
          <w:left w:val="single" w:sz="4" w:space="4" w:color="auto"/>
          <w:bottom w:val="single" w:sz="4" w:space="1" w:color="auto"/>
          <w:right w:val="single" w:sz="4" w:space="4" w:color="auto"/>
        </w:pBdr>
        <w:shd w:val="clear" w:color="auto" w:fill="DEEAF6" w:themeFill="accent1" w:themeFillTint="33"/>
        <w:rPr>
          <w:noProof/>
        </w:rPr>
      </w:pPr>
      <w:bookmarkStart w:id="14" w:name="_Toc105777766"/>
      <w:bookmarkStart w:id="15" w:name="_Toc110444009"/>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w:t>
      </w:r>
      <w:r w:rsidR="00EA0D7C">
        <w:rPr>
          <w:noProof/>
        </w:rPr>
        <w:fldChar w:fldCharType="end"/>
      </w:r>
      <w:r>
        <w:rPr>
          <w:noProof/>
        </w:rPr>
        <w:t xml:space="preserve"> - </w:t>
      </w:r>
      <w:r w:rsidR="00CA08E5">
        <w:rPr>
          <w:noProof/>
        </w:rPr>
        <w:t xml:space="preserve">The </w:t>
      </w:r>
      <w:r w:rsidR="009741DA">
        <w:rPr>
          <w:noProof/>
        </w:rPr>
        <w:t>EP</w:t>
      </w:r>
      <w:r w:rsidR="00CA08E5">
        <w:rPr>
          <w:noProof/>
        </w:rPr>
        <w:t xml:space="preserve">’s </w:t>
      </w:r>
      <w:r w:rsidR="009741DA">
        <w:rPr>
          <w:noProof/>
        </w:rPr>
        <w:t xml:space="preserve">2019 </w:t>
      </w:r>
      <w:r w:rsidR="00CA08E5">
        <w:rPr>
          <w:noProof/>
        </w:rPr>
        <w:t>resolution on the protection of the EU’s financial interests</w:t>
      </w:r>
      <w:bookmarkEnd w:id="14"/>
      <w:bookmarkEnd w:id="15"/>
      <w:r w:rsidR="00595022">
        <w:rPr>
          <w:noProof/>
        </w:rPr>
        <w:t xml:space="preserve"> </w:t>
      </w:r>
    </w:p>
    <w:p w14:paraId="25CD98FC" w14:textId="6580A668" w:rsidR="00CA08E5" w:rsidRDefault="00CA08E5" w:rsidP="005440DB">
      <w:pPr>
        <w:pBdr>
          <w:top w:val="single" w:sz="4" w:space="1" w:color="auto"/>
          <w:left w:val="single" w:sz="4" w:space="4" w:color="auto"/>
          <w:bottom w:val="single" w:sz="4" w:space="1" w:color="auto"/>
          <w:right w:val="single" w:sz="4" w:space="4" w:color="auto"/>
        </w:pBdr>
        <w:shd w:val="clear" w:color="auto" w:fill="DEEAF6" w:themeFill="accent1" w:themeFillTint="33"/>
        <w:rPr>
          <w:noProof/>
        </w:rPr>
      </w:pPr>
      <w:r>
        <w:rPr>
          <w:noProof/>
        </w:rPr>
        <w:t xml:space="preserve">The </w:t>
      </w:r>
      <w:r w:rsidR="009741DA">
        <w:rPr>
          <w:noProof/>
        </w:rPr>
        <w:t>EP</w:t>
      </w:r>
      <w:r>
        <w:rPr>
          <w:noProof/>
        </w:rPr>
        <w:t xml:space="preserve">’s resolution </w:t>
      </w:r>
      <w:r w:rsidR="00CA3326">
        <w:rPr>
          <w:noProof/>
        </w:rPr>
        <w:t xml:space="preserve">for 2019 </w:t>
      </w:r>
      <w:r>
        <w:rPr>
          <w:noProof/>
        </w:rPr>
        <w:t xml:space="preserve">was adopted in </w:t>
      </w:r>
      <w:r w:rsidR="009741DA">
        <w:rPr>
          <w:noProof/>
        </w:rPr>
        <w:t xml:space="preserve">its </w:t>
      </w:r>
      <w:r>
        <w:rPr>
          <w:noProof/>
        </w:rPr>
        <w:t>plenary session of 7 July 2021, after receiv</w:t>
      </w:r>
      <w:r w:rsidR="009741DA">
        <w:rPr>
          <w:noProof/>
        </w:rPr>
        <w:t>ing</w:t>
      </w:r>
      <w:r>
        <w:rPr>
          <w:noProof/>
        </w:rPr>
        <w:t xml:space="preserve"> a favourable </w:t>
      </w:r>
      <w:r w:rsidR="009741DA">
        <w:rPr>
          <w:noProof/>
        </w:rPr>
        <w:t xml:space="preserve">CONT </w:t>
      </w:r>
      <w:r>
        <w:rPr>
          <w:noProof/>
        </w:rPr>
        <w:t>vote on 21 June 2021</w:t>
      </w:r>
      <w:r>
        <w:rPr>
          <w:rStyle w:val="FootnoteReference"/>
          <w:noProof/>
        </w:rPr>
        <w:footnoteReference w:id="20"/>
      </w:r>
      <w:r>
        <w:rPr>
          <w:noProof/>
        </w:rPr>
        <w:t>.</w:t>
      </w:r>
    </w:p>
    <w:p w14:paraId="5B72C5F3" w14:textId="2A63F872" w:rsidR="00101327" w:rsidRPr="00B358B1" w:rsidRDefault="00101327" w:rsidP="005440DB">
      <w:p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rPr>
          <w:noProof/>
        </w:rPr>
      </w:pPr>
      <w:r>
        <w:rPr>
          <w:noProof/>
        </w:rPr>
        <w:t>T</w:t>
      </w:r>
      <w:r w:rsidRPr="00B52AAF">
        <w:rPr>
          <w:noProof/>
        </w:rPr>
        <w:t xml:space="preserve">he resolution strikes a largely positive tone while recommending further Commission action in a variety of </w:t>
      </w:r>
      <w:r w:rsidR="009741DA">
        <w:rPr>
          <w:noProof/>
        </w:rPr>
        <w:t xml:space="preserve">areas </w:t>
      </w:r>
      <w:r w:rsidRPr="00B52AAF">
        <w:rPr>
          <w:noProof/>
        </w:rPr>
        <w:t xml:space="preserve">related to the fight against fraud. </w:t>
      </w:r>
      <w:r w:rsidRPr="003F4962">
        <w:rPr>
          <w:noProof/>
        </w:rPr>
        <w:t xml:space="preserve">It takes note of the decrease </w:t>
      </w:r>
      <w:r w:rsidR="009741DA">
        <w:rPr>
          <w:noProof/>
        </w:rPr>
        <w:t xml:space="preserve">in the number of </w:t>
      </w:r>
      <w:r w:rsidRPr="003F4962">
        <w:rPr>
          <w:noProof/>
        </w:rPr>
        <w:t>fraudulent and non-fraudulent</w:t>
      </w:r>
      <w:r>
        <w:rPr>
          <w:noProof/>
        </w:rPr>
        <w:t xml:space="preserve"> irregularities reported in 2019</w:t>
      </w:r>
      <w:r w:rsidRPr="003F4962">
        <w:rPr>
          <w:noProof/>
        </w:rPr>
        <w:t xml:space="preserve"> and demands closer cooperation by the Member States </w:t>
      </w:r>
      <w:r w:rsidR="009741DA">
        <w:rPr>
          <w:noProof/>
        </w:rPr>
        <w:t>on</w:t>
      </w:r>
      <w:r w:rsidRPr="003F4962">
        <w:rPr>
          <w:noProof/>
        </w:rPr>
        <w:t xml:space="preserve"> </w:t>
      </w:r>
      <w:r w:rsidR="009741DA">
        <w:rPr>
          <w:noProof/>
        </w:rPr>
        <w:t xml:space="preserve">the </w:t>
      </w:r>
      <w:r w:rsidRPr="003F4962">
        <w:rPr>
          <w:noProof/>
        </w:rPr>
        <w:t xml:space="preserve">exchange of information. The resolution </w:t>
      </w:r>
      <w:r>
        <w:rPr>
          <w:noProof/>
        </w:rPr>
        <w:t>recognises</w:t>
      </w:r>
      <w:r w:rsidRPr="003F4962">
        <w:rPr>
          <w:noProof/>
        </w:rPr>
        <w:t xml:space="preserve"> the Commission</w:t>
      </w:r>
      <w:r w:rsidR="00CA3326">
        <w:rPr>
          <w:noProof/>
        </w:rPr>
        <w:t>’s</w:t>
      </w:r>
      <w:r w:rsidRPr="003F4962">
        <w:rPr>
          <w:noProof/>
        </w:rPr>
        <w:t xml:space="preserve"> efforts to reform the anti-fraud landscape</w:t>
      </w:r>
      <w:r w:rsidR="005440DB">
        <w:rPr>
          <w:noProof/>
        </w:rPr>
        <w:t xml:space="preserve"> and</w:t>
      </w:r>
      <w:r>
        <w:rPr>
          <w:noProof/>
        </w:rPr>
        <w:t xml:space="preserve"> request</w:t>
      </w:r>
      <w:r w:rsidR="005440DB">
        <w:rPr>
          <w:noProof/>
        </w:rPr>
        <w:t>s</w:t>
      </w:r>
      <w:r>
        <w:rPr>
          <w:noProof/>
        </w:rPr>
        <w:t xml:space="preserve"> </w:t>
      </w:r>
      <w:r w:rsidRPr="005E1127">
        <w:rPr>
          <w:noProof/>
        </w:rPr>
        <w:t xml:space="preserve">that OLAF </w:t>
      </w:r>
      <w:r>
        <w:rPr>
          <w:noProof/>
        </w:rPr>
        <w:t>and</w:t>
      </w:r>
      <w:r w:rsidRPr="005E1127">
        <w:rPr>
          <w:noProof/>
        </w:rPr>
        <w:t xml:space="preserve"> </w:t>
      </w:r>
      <w:r w:rsidR="00322192">
        <w:rPr>
          <w:noProof/>
        </w:rPr>
        <w:t xml:space="preserve">the </w:t>
      </w:r>
      <w:r w:rsidRPr="005E1127">
        <w:rPr>
          <w:noProof/>
        </w:rPr>
        <w:t>EPPO</w:t>
      </w:r>
      <w:r>
        <w:rPr>
          <w:noProof/>
        </w:rPr>
        <w:t xml:space="preserve"> </w:t>
      </w:r>
      <w:r w:rsidR="009741DA">
        <w:rPr>
          <w:noProof/>
        </w:rPr>
        <w:t xml:space="preserve">be given </w:t>
      </w:r>
      <w:r>
        <w:rPr>
          <w:noProof/>
        </w:rPr>
        <w:t>adequate resources.</w:t>
      </w:r>
      <w:r w:rsidRPr="009A49B1">
        <w:rPr>
          <w:noProof/>
        </w:rPr>
        <w:t xml:space="preserve"> </w:t>
      </w:r>
      <w:r w:rsidR="009741DA">
        <w:rPr>
          <w:noProof/>
        </w:rPr>
        <w:t>The resolution e</w:t>
      </w:r>
      <w:r w:rsidRPr="009A49B1">
        <w:rPr>
          <w:noProof/>
        </w:rPr>
        <w:t>mphasis</w:t>
      </w:r>
      <w:r w:rsidR="009741DA">
        <w:rPr>
          <w:noProof/>
        </w:rPr>
        <w:t>es</w:t>
      </w:r>
      <w:r w:rsidRPr="009A49B1">
        <w:rPr>
          <w:noProof/>
        </w:rPr>
        <w:t xml:space="preserve"> the crucial role </w:t>
      </w:r>
      <w:r>
        <w:rPr>
          <w:noProof/>
        </w:rPr>
        <w:t xml:space="preserve">of </w:t>
      </w:r>
      <w:r w:rsidRPr="009A49B1">
        <w:rPr>
          <w:noProof/>
        </w:rPr>
        <w:t xml:space="preserve">detection capability and calls on the Commission to continue supporting Member States to ensure that both the quality </w:t>
      </w:r>
      <w:r w:rsidR="009741DA">
        <w:rPr>
          <w:noProof/>
        </w:rPr>
        <w:t xml:space="preserve">of controls is improved </w:t>
      </w:r>
      <w:r w:rsidRPr="009A49B1">
        <w:rPr>
          <w:noProof/>
        </w:rPr>
        <w:t xml:space="preserve">and </w:t>
      </w:r>
      <w:r w:rsidR="009741DA">
        <w:rPr>
          <w:noProof/>
        </w:rPr>
        <w:t xml:space="preserve">their </w:t>
      </w:r>
      <w:r w:rsidRPr="009A49B1">
        <w:rPr>
          <w:noProof/>
        </w:rPr>
        <w:t xml:space="preserve">number </w:t>
      </w:r>
      <w:r w:rsidR="009741DA">
        <w:rPr>
          <w:noProof/>
        </w:rPr>
        <w:t>increased</w:t>
      </w:r>
      <w:r>
        <w:rPr>
          <w:noProof/>
        </w:rPr>
        <w:t xml:space="preserve">. </w:t>
      </w:r>
      <w:r w:rsidR="005440DB">
        <w:rPr>
          <w:noProof/>
        </w:rPr>
        <w:t>The</w:t>
      </w:r>
      <w:r w:rsidRPr="00B358B1">
        <w:rPr>
          <w:noProof/>
        </w:rPr>
        <w:t xml:space="preserve"> </w:t>
      </w:r>
      <w:r w:rsidR="009741DA">
        <w:rPr>
          <w:noProof/>
        </w:rPr>
        <w:t xml:space="preserve">EP asks the </w:t>
      </w:r>
      <w:r w:rsidRPr="00B358B1">
        <w:rPr>
          <w:noProof/>
        </w:rPr>
        <w:t xml:space="preserve">Commission </w:t>
      </w:r>
      <w:r w:rsidR="005440DB">
        <w:rPr>
          <w:noProof/>
        </w:rPr>
        <w:t xml:space="preserve">in particular </w:t>
      </w:r>
      <w:r w:rsidRPr="00B358B1">
        <w:rPr>
          <w:noProof/>
        </w:rPr>
        <w:t>to:</w:t>
      </w:r>
    </w:p>
    <w:p w14:paraId="5D20E347" w14:textId="5EC8CA57" w:rsidR="00101327" w:rsidRPr="00602423" w:rsidRDefault="005440DB"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sidRPr="00602423">
        <w:rPr>
          <w:rFonts w:ascii="Times New Roman" w:hAnsi="Times New Roman"/>
          <w:noProof/>
        </w:rPr>
        <w:t>c</w:t>
      </w:r>
      <w:r w:rsidR="00101327" w:rsidRPr="00602423">
        <w:rPr>
          <w:rFonts w:ascii="Times New Roman" w:hAnsi="Times New Roman"/>
          <w:noProof/>
        </w:rPr>
        <w:t xml:space="preserve">reate an interoperable digital reporting and monitoring system </w:t>
      </w:r>
      <w:r w:rsidR="009741DA">
        <w:rPr>
          <w:rFonts w:ascii="Times New Roman" w:hAnsi="Times New Roman"/>
          <w:noProof/>
        </w:rPr>
        <w:t xml:space="preserve">for </w:t>
      </w:r>
      <w:r w:rsidR="00101327" w:rsidRPr="00602423">
        <w:rPr>
          <w:rFonts w:ascii="Times New Roman" w:hAnsi="Times New Roman"/>
          <w:noProof/>
        </w:rPr>
        <w:t>timely, uniform and standardised reporting by the Member States in shared management;</w:t>
      </w:r>
    </w:p>
    <w:p w14:paraId="51BBF920" w14:textId="521C8ED9" w:rsidR="00101327" w:rsidRPr="00602423" w:rsidRDefault="00101327" w:rsidP="00505DEA">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sidRPr="00602423">
        <w:rPr>
          <w:rFonts w:ascii="Times New Roman" w:hAnsi="Times New Roman"/>
          <w:noProof/>
        </w:rPr>
        <w:t xml:space="preserve">adopt an </w:t>
      </w:r>
      <w:r w:rsidR="009741DA">
        <w:rPr>
          <w:rFonts w:ascii="Times New Roman" w:hAnsi="Times New Roman"/>
          <w:noProof/>
        </w:rPr>
        <w:t>a</w:t>
      </w:r>
      <w:r w:rsidR="009741DA" w:rsidRPr="00602423">
        <w:rPr>
          <w:rFonts w:ascii="Times New Roman" w:hAnsi="Times New Roman"/>
          <w:noProof/>
        </w:rPr>
        <w:t>nti</w:t>
      </w:r>
      <w:r w:rsidRPr="00602423">
        <w:rPr>
          <w:rFonts w:ascii="Times New Roman" w:hAnsi="Times New Roman"/>
          <w:noProof/>
        </w:rPr>
        <w:t>-</w:t>
      </w:r>
      <w:r w:rsidR="009741DA">
        <w:rPr>
          <w:rFonts w:ascii="Times New Roman" w:hAnsi="Times New Roman"/>
          <w:noProof/>
        </w:rPr>
        <w:t>f</w:t>
      </w:r>
      <w:r w:rsidR="009741DA" w:rsidRPr="00602423">
        <w:rPr>
          <w:rFonts w:ascii="Times New Roman" w:hAnsi="Times New Roman"/>
          <w:noProof/>
        </w:rPr>
        <w:t xml:space="preserve">raud </w:t>
      </w:r>
      <w:r w:rsidR="009741DA">
        <w:rPr>
          <w:rFonts w:ascii="Times New Roman" w:hAnsi="Times New Roman"/>
          <w:noProof/>
        </w:rPr>
        <w:t>s</w:t>
      </w:r>
      <w:r w:rsidR="009741DA" w:rsidRPr="00602423">
        <w:rPr>
          <w:rFonts w:ascii="Times New Roman" w:hAnsi="Times New Roman"/>
          <w:noProof/>
        </w:rPr>
        <w:t xml:space="preserve">trategy </w:t>
      </w:r>
      <w:r w:rsidRPr="00602423">
        <w:rPr>
          <w:rFonts w:ascii="Times New Roman" w:hAnsi="Times New Roman"/>
          <w:noProof/>
        </w:rPr>
        <w:t>which involves the Member States;</w:t>
      </w:r>
    </w:p>
    <w:p w14:paraId="335134C4" w14:textId="77777777" w:rsidR="00101327" w:rsidRPr="00602423"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sidRPr="00602423">
        <w:rPr>
          <w:rFonts w:ascii="Times New Roman" w:hAnsi="Times New Roman"/>
          <w:noProof/>
        </w:rPr>
        <w:t>present a legislative proposal on mutual administrative assistance in the area of EU expenditures;</w:t>
      </w:r>
    </w:p>
    <w:p w14:paraId="4D620B82" w14:textId="2CA0FCB1" w:rsidR="00101327" w:rsidRPr="00602423"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sidRPr="00602423">
        <w:rPr>
          <w:rFonts w:ascii="Times New Roman" w:hAnsi="Times New Roman"/>
          <w:noProof/>
        </w:rPr>
        <w:t xml:space="preserve">include proposals for caps per natural person for </w:t>
      </w:r>
      <w:r w:rsidR="009741DA">
        <w:rPr>
          <w:rFonts w:ascii="Times New Roman" w:hAnsi="Times New Roman"/>
          <w:noProof/>
        </w:rPr>
        <w:t>the beneficiaries of the Commission Agricultural Policy (</w:t>
      </w:r>
      <w:r w:rsidRPr="00602423">
        <w:rPr>
          <w:rFonts w:ascii="Times New Roman" w:hAnsi="Times New Roman"/>
          <w:noProof/>
        </w:rPr>
        <w:t>CAP</w:t>
      </w:r>
      <w:r w:rsidR="009741DA">
        <w:rPr>
          <w:rFonts w:ascii="Times New Roman" w:hAnsi="Times New Roman"/>
          <w:noProof/>
        </w:rPr>
        <w:t>)</w:t>
      </w:r>
      <w:r w:rsidRPr="00602423">
        <w:rPr>
          <w:rFonts w:ascii="Times New Roman" w:hAnsi="Times New Roman"/>
          <w:noProof/>
        </w:rPr>
        <w:t xml:space="preserve"> and cohesion funds in its proposal for the revision of the Financial Regulation</w:t>
      </w:r>
      <w:r w:rsidR="00CA3326">
        <w:rPr>
          <w:rFonts w:ascii="Times New Roman" w:hAnsi="Times New Roman"/>
          <w:noProof/>
        </w:rPr>
        <w:t>;</w:t>
      </w:r>
    </w:p>
    <w:p w14:paraId="45605EEE" w14:textId="48562BDF" w:rsidR="00101327" w:rsidRPr="00602423" w:rsidRDefault="00101327"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sidRPr="00602423">
        <w:rPr>
          <w:rFonts w:ascii="Times New Roman" w:hAnsi="Times New Roman"/>
          <w:noProof/>
        </w:rPr>
        <w:t xml:space="preserve">extend </w:t>
      </w:r>
      <w:r w:rsidR="009741DA">
        <w:rPr>
          <w:rFonts w:ascii="Times New Roman" w:hAnsi="Times New Roman"/>
          <w:noProof/>
        </w:rPr>
        <w:t>Early Detection and Exclusion System (</w:t>
      </w:r>
      <w:r w:rsidRPr="00602423">
        <w:rPr>
          <w:rFonts w:ascii="Times New Roman" w:hAnsi="Times New Roman"/>
          <w:noProof/>
        </w:rPr>
        <w:t>EDES</w:t>
      </w:r>
      <w:r w:rsidR="009741DA">
        <w:rPr>
          <w:rFonts w:ascii="Times New Roman" w:hAnsi="Times New Roman"/>
          <w:noProof/>
        </w:rPr>
        <w:t>)</w:t>
      </w:r>
      <w:r w:rsidRPr="00602423">
        <w:rPr>
          <w:rFonts w:ascii="Times New Roman" w:hAnsi="Times New Roman"/>
          <w:noProof/>
        </w:rPr>
        <w:t xml:space="preserve"> to shared management; and</w:t>
      </w:r>
    </w:p>
    <w:p w14:paraId="1D26AF19" w14:textId="370ACE52" w:rsidR="00101327" w:rsidRPr="00602423" w:rsidRDefault="009741DA" w:rsidP="005440DB">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jc w:val="both"/>
        <w:rPr>
          <w:rFonts w:ascii="Times New Roman" w:hAnsi="Times New Roman"/>
          <w:noProof/>
        </w:rPr>
      </w:pPr>
      <w:r>
        <w:rPr>
          <w:rFonts w:ascii="Times New Roman" w:hAnsi="Times New Roman"/>
          <w:noProof/>
        </w:rPr>
        <w:t xml:space="preserve">support </w:t>
      </w:r>
      <w:r w:rsidR="00101327" w:rsidRPr="00602423">
        <w:rPr>
          <w:rFonts w:ascii="Times New Roman" w:hAnsi="Times New Roman"/>
          <w:noProof/>
        </w:rPr>
        <w:t>and protect investigat</w:t>
      </w:r>
      <w:r w:rsidR="0072054A">
        <w:rPr>
          <w:rFonts w:ascii="Times New Roman" w:hAnsi="Times New Roman"/>
          <w:noProof/>
        </w:rPr>
        <w:t>iv</w:t>
      </w:r>
      <w:r w:rsidR="00101327" w:rsidRPr="00602423">
        <w:rPr>
          <w:rFonts w:ascii="Times New Roman" w:hAnsi="Times New Roman"/>
          <w:noProof/>
        </w:rPr>
        <w:t>e journalism.</w:t>
      </w:r>
    </w:p>
    <w:p w14:paraId="7018155D" w14:textId="77777777" w:rsidR="00242925" w:rsidRDefault="00242925" w:rsidP="00CD7B44">
      <w:pPr>
        <w:pStyle w:val="Heading3"/>
        <w:rPr>
          <w:noProof/>
        </w:rPr>
      </w:pPr>
      <w:bookmarkStart w:id="16" w:name="_Toc110444037"/>
      <w:r>
        <w:rPr>
          <w:noProof/>
        </w:rPr>
        <w:t>Council</w:t>
      </w:r>
      <w:bookmarkEnd w:id="16"/>
    </w:p>
    <w:p w14:paraId="66F89555" w14:textId="1DB2BF3B" w:rsidR="00242925" w:rsidRDefault="00242925" w:rsidP="008A6DCE">
      <w:pPr>
        <w:rPr>
          <w:noProof/>
        </w:rPr>
      </w:pPr>
      <w:r w:rsidRPr="00242925">
        <w:rPr>
          <w:noProof/>
        </w:rPr>
        <w:t xml:space="preserve">The </w:t>
      </w:r>
      <w:r w:rsidR="009A107F" w:rsidRPr="00A10036">
        <w:rPr>
          <w:b/>
          <w:noProof/>
        </w:rPr>
        <w:t>Council</w:t>
      </w:r>
      <w:r w:rsidR="009A107F" w:rsidRPr="0010609B">
        <w:rPr>
          <w:b/>
          <w:noProof/>
        </w:rPr>
        <w:t xml:space="preserve">’s </w:t>
      </w:r>
      <w:r w:rsidRPr="0010609B">
        <w:rPr>
          <w:b/>
          <w:noProof/>
        </w:rPr>
        <w:t>Working</w:t>
      </w:r>
      <w:r w:rsidRPr="00A10036">
        <w:rPr>
          <w:b/>
          <w:noProof/>
        </w:rPr>
        <w:t xml:space="preserve"> Party on Combating Fraud</w:t>
      </w:r>
      <w:r w:rsidRPr="00242925">
        <w:rPr>
          <w:noProof/>
        </w:rPr>
        <w:t xml:space="preserve"> deals with </w:t>
      </w:r>
      <w:r w:rsidR="00CF5F78">
        <w:rPr>
          <w:noProof/>
        </w:rPr>
        <w:t xml:space="preserve">matters </w:t>
      </w:r>
      <w:r w:rsidRPr="00242925">
        <w:rPr>
          <w:noProof/>
        </w:rPr>
        <w:t xml:space="preserve">related to the protection of the </w:t>
      </w:r>
      <w:r w:rsidR="00FA7F41">
        <w:rPr>
          <w:noProof/>
        </w:rPr>
        <w:t xml:space="preserve">EU’s </w:t>
      </w:r>
      <w:r w:rsidRPr="00242925">
        <w:rPr>
          <w:noProof/>
        </w:rPr>
        <w:t xml:space="preserve">financial interests and the fight against fraud and other illegal activities affecting those interests. It also works on </w:t>
      </w:r>
      <w:r w:rsidR="00CF5F78">
        <w:rPr>
          <w:noProof/>
        </w:rPr>
        <w:t xml:space="preserve">matters </w:t>
      </w:r>
      <w:r w:rsidRPr="00242925">
        <w:rPr>
          <w:noProof/>
        </w:rPr>
        <w:t xml:space="preserve">concerning the OLAF and its </w:t>
      </w:r>
      <w:r w:rsidR="00FA7F41">
        <w:rPr>
          <w:noProof/>
        </w:rPr>
        <w:t>S</w:t>
      </w:r>
      <w:r w:rsidR="00FA7F41" w:rsidRPr="00242925">
        <w:rPr>
          <w:noProof/>
        </w:rPr>
        <w:t xml:space="preserve">upervisory </w:t>
      </w:r>
      <w:r w:rsidR="00FA7F41">
        <w:rPr>
          <w:noProof/>
        </w:rPr>
        <w:t>C</w:t>
      </w:r>
      <w:r w:rsidR="00FA7F41" w:rsidRPr="00242925">
        <w:rPr>
          <w:noProof/>
        </w:rPr>
        <w:t>ommittee</w:t>
      </w:r>
      <w:r w:rsidRPr="00242925">
        <w:rPr>
          <w:noProof/>
        </w:rPr>
        <w:t>.</w:t>
      </w:r>
    </w:p>
    <w:p w14:paraId="6985C427" w14:textId="42A97256" w:rsidR="009A107F" w:rsidRDefault="009A107F" w:rsidP="008A6DCE">
      <w:pPr>
        <w:rPr>
          <w:noProof/>
        </w:rPr>
      </w:pPr>
      <w:r>
        <w:rPr>
          <w:noProof/>
        </w:rPr>
        <w:t>The working party is responsible for</w:t>
      </w:r>
      <w:r w:rsidR="00CF5F78">
        <w:rPr>
          <w:noProof/>
        </w:rPr>
        <w:t xml:space="preserve"> examining</w:t>
      </w:r>
      <w:r>
        <w:rPr>
          <w:noProof/>
        </w:rPr>
        <w:t>:</w:t>
      </w:r>
    </w:p>
    <w:p w14:paraId="4BC30A0C" w14:textId="3F62AB40" w:rsidR="009A107F" w:rsidRDefault="00CF5F78" w:rsidP="008A6DCE">
      <w:pPr>
        <w:pStyle w:val="ListBullet"/>
        <w:numPr>
          <w:ilvl w:val="0"/>
          <w:numId w:val="9"/>
        </w:numPr>
        <w:rPr>
          <w:noProof/>
        </w:rPr>
      </w:pPr>
      <w:r>
        <w:rPr>
          <w:noProof/>
        </w:rPr>
        <w:t>legislative</w:t>
      </w:r>
      <w:r w:rsidR="009A107F" w:rsidRPr="009A107F">
        <w:rPr>
          <w:noProof/>
        </w:rPr>
        <w:t xml:space="preserve"> proposals on combating fraud and on OLAF</w:t>
      </w:r>
      <w:r>
        <w:rPr>
          <w:noProof/>
        </w:rPr>
        <w:t>’</w:t>
      </w:r>
      <w:r w:rsidR="009A107F" w:rsidRPr="009A107F">
        <w:rPr>
          <w:noProof/>
        </w:rPr>
        <w:t>s activities</w:t>
      </w:r>
      <w:r w:rsidR="009A107F">
        <w:rPr>
          <w:noProof/>
        </w:rPr>
        <w:t>;</w:t>
      </w:r>
    </w:p>
    <w:p w14:paraId="14654E32" w14:textId="77777777" w:rsidR="009A107F" w:rsidRDefault="009A107F" w:rsidP="008A6DCE">
      <w:pPr>
        <w:pStyle w:val="ListBullet"/>
        <w:numPr>
          <w:ilvl w:val="0"/>
          <w:numId w:val="9"/>
        </w:numPr>
        <w:rPr>
          <w:noProof/>
        </w:rPr>
      </w:pPr>
      <w:r w:rsidRPr="009A107F">
        <w:rPr>
          <w:noProof/>
        </w:rPr>
        <w:t>annual reports on the protection of the EU's financial interests</w:t>
      </w:r>
      <w:r>
        <w:rPr>
          <w:noProof/>
        </w:rPr>
        <w:t>.</w:t>
      </w:r>
    </w:p>
    <w:p w14:paraId="0D7593DB" w14:textId="47509BED" w:rsidR="00CF1D95" w:rsidRPr="00242925" w:rsidRDefault="00CF1D95" w:rsidP="008A6DCE">
      <w:pPr>
        <w:rPr>
          <w:noProof/>
        </w:rPr>
      </w:pPr>
      <w:r w:rsidRPr="00CF1D95">
        <w:rPr>
          <w:noProof/>
        </w:rPr>
        <w:t xml:space="preserve">OLAF </w:t>
      </w:r>
      <w:r w:rsidR="00CF5F78">
        <w:rPr>
          <w:noProof/>
        </w:rPr>
        <w:t xml:space="preserve">has </w:t>
      </w:r>
      <w:r w:rsidRPr="00CF1D95">
        <w:rPr>
          <w:noProof/>
        </w:rPr>
        <w:t>represented the Commission in several Council working groups</w:t>
      </w:r>
      <w:r w:rsidR="00CB0BD5">
        <w:rPr>
          <w:noProof/>
        </w:rPr>
        <w:t>,</w:t>
      </w:r>
      <w:r w:rsidRPr="00CF1D95">
        <w:rPr>
          <w:noProof/>
        </w:rPr>
        <w:t xml:space="preserve"> notably in the Working Party on Combating Fraud.</w:t>
      </w:r>
    </w:p>
    <w:p w14:paraId="72B5FB2B" w14:textId="77777777" w:rsidR="00FE789E" w:rsidRDefault="00FE789E" w:rsidP="00CD7B44">
      <w:pPr>
        <w:pStyle w:val="Heading3"/>
        <w:rPr>
          <w:noProof/>
        </w:rPr>
      </w:pPr>
      <w:bookmarkStart w:id="17" w:name="_Toc110444038"/>
      <w:r>
        <w:rPr>
          <w:noProof/>
        </w:rPr>
        <w:t>European Commission</w:t>
      </w:r>
      <w:bookmarkEnd w:id="17"/>
    </w:p>
    <w:p w14:paraId="4A718CD1" w14:textId="10BAFEA6" w:rsidR="00D83BC8" w:rsidRDefault="00D83BC8" w:rsidP="00FE789E">
      <w:pPr>
        <w:rPr>
          <w:noProof/>
        </w:rPr>
      </w:pPr>
      <w:r w:rsidRPr="00711721">
        <w:rPr>
          <w:noProof/>
          <w:szCs w:val="24"/>
          <w:lang w:val="en-IE"/>
        </w:rPr>
        <w:t xml:space="preserve">The </w:t>
      </w:r>
      <w:r w:rsidRPr="00711721">
        <w:rPr>
          <w:b/>
          <w:noProof/>
          <w:szCs w:val="24"/>
          <w:lang w:val="en-IE"/>
        </w:rPr>
        <w:t>European Commission</w:t>
      </w:r>
      <w:r w:rsidRPr="00711721">
        <w:rPr>
          <w:noProof/>
          <w:szCs w:val="24"/>
          <w:lang w:val="en-IE"/>
        </w:rPr>
        <w:t xml:space="preserve"> defines the strategies and translates into policies and initiatives the overall political goals developed collectively by the EU institutions. </w:t>
      </w:r>
      <w:r w:rsidR="00CF5F78">
        <w:rPr>
          <w:noProof/>
          <w:szCs w:val="24"/>
          <w:lang w:val="en-IE"/>
        </w:rPr>
        <w:t xml:space="preserve">Commission </w:t>
      </w:r>
      <w:r w:rsidRPr="00711721">
        <w:rPr>
          <w:noProof/>
          <w:szCs w:val="24"/>
          <w:lang w:val="en-IE"/>
        </w:rPr>
        <w:t>Directorates</w:t>
      </w:r>
      <w:r>
        <w:rPr>
          <w:noProof/>
          <w:szCs w:val="24"/>
          <w:lang w:val="en-IE"/>
        </w:rPr>
        <w:t>-</w:t>
      </w:r>
      <w:r w:rsidRPr="00711721">
        <w:rPr>
          <w:noProof/>
          <w:szCs w:val="24"/>
          <w:lang w:val="en-IE"/>
        </w:rPr>
        <w:t xml:space="preserve">General </w:t>
      </w:r>
      <w:r w:rsidR="00CF5F78">
        <w:rPr>
          <w:noProof/>
          <w:szCs w:val="24"/>
          <w:lang w:val="en-IE"/>
        </w:rPr>
        <w:t xml:space="preserve">(DGs) </w:t>
      </w:r>
      <w:r w:rsidRPr="00711721">
        <w:rPr>
          <w:noProof/>
          <w:szCs w:val="24"/>
          <w:lang w:val="en-IE"/>
        </w:rPr>
        <w:t xml:space="preserve">manage specific policies and the related spending programmes </w:t>
      </w:r>
      <w:r w:rsidR="00CF5F78">
        <w:rPr>
          <w:noProof/>
          <w:szCs w:val="24"/>
          <w:lang w:val="en-IE"/>
        </w:rPr>
        <w:t>that</w:t>
      </w:r>
      <w:r w:rsidR="00CF5F78" w:rsidRPr="00711721">
        <w:rPr>
          <w:noProof/>
          <w:szCs w:val="24"/>
          <w:lang w:val="en-IE"/>
        </w:rPr>
        <w:t xml:space="preserve"> </w:t>
      </w:r>
      <w:r w:rsidRPr="00711721">
        <w:rPr>
          <w:noProof/>
          <w:szCs w:val="24"/>
          <w:lang w:val="en-IE"/>
        </w:rPr>
        <w:t>support them.</w:t>
      </w:r>
      <w:r>
        <w:rPr>
          <w:noProof/>
          <w:szCs w:val="24"/>
          <w:lang w:val="en-IE"/>
        </w:rPr>
        <w:t xml:space="preserve"> To </w:t>
      </w:r>
      <w:r w:rsidR="00CF5F78">
        <w:rPr>
          <w:noProof/>
          <w:szCs w:val="24"/>
          <w:lang w:val="en-IE"/>
        </w:rPr>
        <w:t>better</w:t>
      </w:r>
      <w:r>
        <w:rPr>
          <w:noProof/>
          <w:szCs w:val="24"/>
          <w:lang w:val="en-IE"/>
        </w:rPr>
        <w:t xml:space="preserve"> protect the EU budget, </w:t>
      </w:r>
      <w:r w:rsidR="00CF5F78">
        <w:rPr>
          <w:noProof/>
          <w:szCs w:val="24"/>
          <w:lang w:val="en-IE"/>
        </w:rPr>
        <w:t xml:space="preserve">in 2019, </w:t>
      </w:r>
      <w:r>
        <w:rPr>
          <w:noProof/>
          <w:szCs w:val="24"/>
          <w:lang w:val="en-IE"/>
        </w:rPr>
        <w:t>the Commission adopted its anti-fraud strategy (</w:t>
      </w:r>
      <w:r w:rsidR="00CF5F78">
        <w:rPr>
          <w:noProof/>
          <w:szCs w:val="24"/>
          <w:lang w:val="en-IE"/>
        </w:rPr>
        <w:t>Commission Anti-Fraud Strategy (</w:t>
      </w:r>
      <w:r>
        <w:rPr>
          <w:noProof/>
          <w:szCs w:val="24"/>
          <w:lang w:val="en-IE"/>
        </w:rPr>
        <w:t>CAFS</w:t>
      </w:r>
      <w:r w:rsidR="00CF5F78">
        <w:rPr>
          <w:noProof/>
          <w:szCs w:val="24"/>
          <w:lang w:val="en-IE"/>
        </w:rPr>
        <w:t>)</w:t>
      </w:r>
      <w:r>
        <w:rPr>
          <w:noProof/>
          <w:szCs w:val="24"/>
          <w:lang w:val="en-IE"/>
        </w:rPr>
        <w:t>), accompanied by an action plan.</w:t>
      </w:r>
    </w:p>
    <w:p w14:paraId="013412DC" w14:textId="33135544" w:rsidR="00D83BC8" w:rsidRDefault="00D83BC8" w:rsidP="008A4E1B">
      <w:pPr>
        <w:pStyle w:val="Caption"/>
        <w:pBdr>
          <w:top w:val="single" w:sz="4" w:space="1" w:color="auto"/>
          <w:left w:val="single" w:sz="4" w:space="1" w:color="auto"/>
          <w:bottom w:val="single" w:sz="4" w:space="1" w:color="auto"/>
          <w:right w:val="single" w:sz="4" w:space="1" w:color="auto"/>
        </w:pBdr>
        <w:shd w:val="clear" w:color="auto" w:fill="D9E2F3" w:themeFill="accent5" w:themeFillTint="33"/>
        <w:rPr>
          <w:noProof/>
        </w:rPr>
      </w:pPr>
      <w:bookmarkStart w:id="18" w:name="_Toc105777767"/>
      <w:bookmarkStart w:id="19" w:name="_Toc110444010"/>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2</w:t>
      </w:r>
      <w:r w:rsidR="00EA0D7C">
        <w:rPr>
          <w:noProof/>
        </w:rPr>
        <w:fldChar w:fldCharType="end"/>
      </w:r>
      <w:r>
        <w:rPr>
          <w:noProof/>
        </w:rPr>
        <w:t xml:space="preserve"> – State of play of the implementation of the </w:t>
      </w:r>
      <w:r w:rsidR="00CF5F78">
        <w:rPr>
          <w:noProof/>
        </w:rPr>
        <w:t xml:space="preserve">action plan </w:t>
      </w:r>
      <w:r>
        <w:rPr>
          <w:noProof/>
        </w:rPr>
        <w:t>accompanying the CAFS</w:t>
      </w:r>
      <w:bookmarkEnd w:id="18"/>
      <w:bookmarkEnd w:id="19"/>
    </w:p>
    <w:p w14:paraId="45C428BC" w14:textId="56AB135A" w:rsidR="00B06C44" w:rsidRDefault="002B1B19"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sidRPr="00BD5EAA">
        <w:rPr>
          <w:noProof/>
          <w:lang w:eastAsia="zh-CN"/>
        </w:rPr>
        <w:t xml:space="preserve">The Commission’s Anti-Fraud Strategy (CAFS) and its associated action plan comprising 63 actions, play a significant role in preventing the possible misuse of EU </w:t>
      </w:r>
      <w:r w:rsidR="00CF5F78">
        <w:rPr>
          <w:noProof/>
          <w:lang w:eastAsia="zh-CN"/>
        </w:rPr>
        <w:t>funds</w:t>
      </w:r>
      <w:r w:rsidRPr="00BD5EAA">
        <w:rPr>
          <w:noProof/>
          <w:lang w:eastAsia="zh-CN"/>
        </w:rPr>
        <w:t xml:space="preserve">. </w:t>
      </w:r>
      <w:r w:rsidR="00CA3326">
        <w:rPr>
          <w:noProof/>
          <w:lang w:eastAsia="zh-CN"/>
        </w:rPr>
        <w:t>Under the coordination of OLAF, t</w:t>
      </w:r>
      <w:r w:rsidRPr="00BD5EAA">
        <w:rPr>
          <w:noProof/>
          <w:lang w:eastAsia="zh-CN"/>
        </w:rPr>
        <w:t xml:space="preserve">he responsible Commission </w:t>
      </w:r>
      <w:r w:rsidR="0010609B">
        <w:rPr>
          <w:noProof/>
          <w:lang w:eastAsia="zh-CN"/>
        </w:rPr>
        <w:t xml:space="preserve">departments </w:t>
      </w:r>
      <w:r w:rsidRPr="00BD5EAA">
        <w:rPr>
          <w:noProof/>
          <w:lang w:eastAsia="zh-CN"/>
        </w:rPr>
        <w:t>made very good progress in implementing the actions</w:t>
      </w:r>
      <w:r w:rsidR="00CF5F78">
        <w:rPr>
          <w:noProof/>
          <w:lang w:eastAsia="zh-CN"/>
        </w:rPr>
        <w:t>, putting them on track to meet</w:t>
      </w:r>
      <w:r w:rsidRPr="00BD5EAA">
        <w:rPr>
          <w:noProof/>
          <w:lang w:eastAsia="zh-CN"/>
        </w:rPr>
        <w:t xml:space="preserve"> the </w:t>
      </w:r>
      <w:r w:rsidR="00CF5F78" w:rsidRPr="00BD5EAA">
        <w:rPr>
          <w:noProof/>
          <w:lang w:eastAsia="zh-CN"/>
        </w:rPr>
        <w:t>December 2021</w:t>
      </w:r>
      <w:r w:rsidR="00CF5F78">
        <w:rPr>
          <w:noProof/>
          <w:lang w:eastAsia="zh-CN"/>
        </w:rPr>
        <w:t xml:space="preserve"> </w:t>
      </w:r>
      <w:r w:rsidRPr="00BD5EAA">
        <w:rPr>
          <w:noProof/>
          <w:lang w:eastAsia="zh-CN"/>
        </w:rPr>
        <w:t xml:space="preserve">deadline for completion. By June 2022, </w:t>
      </w:r>
      <w:r w:rsidR="0094226F">
        <w:rPr>
          <w:noProof/>
          <w:lang w:eastAsia="zh-CN"/>
        </w:rPr>
        <w:t>59</w:t>
      </w:r>
      <w:r w:rsidRPr="00BD5EAA">
        <w:rPr>
          <w:noProof/>
          <w:lang w:eastAsia="zh-CN"/>
        </w:rPr>
        <w:t xml:space="preserve"> of the 63 actions – approximately 9</w:t>
      </w:r>
      <w:r w:rsidR="0094226F">
        <w:rPr>
          <w:noProof/>
          <w:lang w:eastAsia="zh-CN"/>
        </w:rPr>
        <w:t>4</w:t>
      </w:r>
      <w:r w:rsidRPr="00BD5EAA">
        <w:rPr>
          <w:noProof/>
          <w:lang w:eastAsia="zh-CN"/>
        </w:rPr>
        <w:t>%</w:t>
      </w:r>
      <w:r w:rsidR="00CF5F78">
        <w:rPr>
          <w:noProof/>
          <w:lang w:eastAsia="zh-CN"/>
        </w:rPr>
        <w:t xml:space="preserve"> </w:t>
      </w:r>
      <w:r w:rsidR="00CF5F78" w:rsidRPr="00BD5EAA">
        <w:rPr>
          <w:noProof/>
          <w:lang w:eastAsia="zh-CN"/>
        </w:rPr>
        <w:t>–</w:t>
      </w:r>
      <w:r w:rsidR="00CA3326">
        <w:rPr>
          <w:noProof/>
          <w:lang w:eastAsia="zh-CN"/>
        </w:rPr>
        <w:t xml:space="preserve"> had been completed</w:t>
      </w:r>
      <w:r w:rsidR="009542F2">
        <w:rPr>
          <w:rStyle w:val="FootnoteReference"/>
          <w:noProof/>
          <w:lang w:eastAsia="zh-CN"/>
        </w:rPr>
        <w:footnoteReference w:id="21"/>
      </w:r>
      <w:r>
        <w:rPr>
          <w:noProof/>
          <w:lang w:eastAsia="zh-CN"/>
        </w:rPr>
        <w:t>.</w:t>
      </w:r>
    </w:p>
    <w:p w14:paraId="115B9196" w14:textId="54EEA392" w:rsidR="008A4E1B" w:rsidRPr="00B1353F"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eastAsia="zh-CN"/>
        </w:rPr>
      </w:pPr>
      <w:r w:rsidRPr="00B1353F">
        <w:rPr>
          <w:noProof/>
          <w:lang w:eastAsia="zh-CN"/>
        </w:rPr>
        <w:t xml:space="preserve">The strategy has two </w:t>
      </w:r>
      <w:r w:rsidR="00CF5F78">
        <w:rPr>
          <w:noProof/>
          <w:lang w:eastAsia="zh-CN"/>
        </w:rPr>
        <w:t xml:space="preserve">main </w:t>
      </w:r>
      <w:r w:rsidRPr="00B1353F">
        <w:rPr>
          <w:noProof/>
          <w:lang w:eastAsia="zh-CN"/>
        </w:rPr>
        <w:t>objectives</w:t>
      </w:r>
      <w:r w:rsidR="00CB0BD5">
        <w:rPr>
          <w:noProof/>
          <w:lang w:eastAsia="zh-CN"/>
        </w:rPr>
        <w:t>,</w:t>
      </w:r>
      <w:r w:rsidRPr="00B1353F">
        <w:rPr>
          <w:noProof/>
          <w:lang w:eastAsia="zh-CN"/>
        </w:rPr>
        <w:t xml:space="preserve"> </w:t>
      </w:r>
      <w:r w:rsidR="00CB0BD5">
        <w:rPr>
          <w:noProof/>
          <w:lang w:eastAsia="zh-CN"/>
        </w:rPr>
        <w:t xml:space="preserve">to improve: </w:t>
      </w:r>
      <w:r w:rsidRPr="00B1353F">
        <w:rPr>
          <w:noProof/>
          <w:lang w:eastAsia="zh-CN"/>
        </w:rPr>
        <w:t>(i)</w:t>
      </w:r>
      <w:r w:rsidR="00CB0BD5">
        <w:rPr>
          <w:noProof/>
          <w:lang w:eastAsia="zh-CN"/>
        </w:rPr>
        <w:t xml:space="preserve"> </w:t>
      </w:r>
      <w:r w:rsidRPr="00B1353F">
        <w:rPr>
          <w:noProof/>
          <w:lang w:eastAsia="zh-CN"/>
        </w:rPr>
        <w:t>data collection and analysis</w:t>
      </w:r>
      <w:r w:rsidR="00CB0BD5">
        <w:rPr>
          <w:noProof/>
          <w:lang w:eastAsia="zh-CN"/>
        </w:rPr>
        <w:t>;</w:t>
      </w:r>
      <w:r w:rsidRPr="00B1353F">
        <w:rPr>
          <w:noProof/>
          <w:lang w:eastAsia="zh-CN"/>
        </w:rPr>
        <w:t xml:space="preserve"> and (ii) coordination, cooperation and processes. </w:t>
      </w:r>
    </w:p>
    <w:p w14:paraId="00ECEBE8" w14:textId="2896BBBF" w:rsidR="008A4E1B" w:rsidRPr="00B1353F"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autoSpaceDE w:val="0"/>
        <w:autoSpaceDN w:val="0"/>
        <w:rPr>
          <w:noProof/>
          <w:sz w:val="20"/>
        </w:rPr>
      </w:pPr>
      <w:r w:rsidRPr="00B1353F">
        <w:rPr>
          <w:noProof/>
          <w:lang w:eastAsia="zh-CN"/>
        </w:rPr>
        <w:t xml:space="preserve">In line with the first objective, OLAF intensified its analytical work, </w:t>
      </w:r>
      <w:r w:rsidR="0010609B">
        <w:rPr>
          <w:noProof/>
          <w:lang w:eastAsia="zh-CN"/>
        </w:rPr>
        <w:t xml:space="preserve">notably </w:t>
      </w:r>
      <w:r w:rsidRPr="00B1353F">
        <w:rPr>
          <w:noProof/>
          <w:lang w:eastAsia="zh-CN"/>
        </w:rPr>
        <w:t>by developing a r</w:t>
      </w:r>
      <w:r w:rsidRPr="00B1353F">
        <w:rPr>
          <w:rStyle w:val="normaltextrun"/>
          <w:bCs/>
          <w:iCs/>
          <w:noProof/>
        </w:rPr>
        <w:t xml:space="preserve">isk framework for the Recovery and Resilience Facility (RRF), </w:t>
      </w:r>
      <w:r w:rsidR="00CF5F78">
        <w:rPr>
          <w:rStyle w:val="normaltextrun"/>
          <w:bCs/>
          <w:iCs/>
          <w:noProof/>
        </w:rPr>
        <w:t xml:space="preserve">covering </w:t>
      </w:r>
      <w:r w:rsidRPr="00B1353F">
        <w:rPr>
          <w:rStyle w:val="normaltextrun"/>
          <w:bCs/>
          <w:iCs/>
          <w:noProof/>
        </w:rPr>
        <w:t>potential serious irregularities – fraud, corruption and conflict</w:t>
      </w:r>
      <w:r w:rsidR="00CF5F78">
        <w:rPr>
          <w:rStyle w:val="normaltextrun"/>
          <w:bCs/>
          <w:iCs/>
          <w:noProof/>
        </w:rPr>
        <w:t>s</w:t>
      </w:r>
      <w:r w:rsidRPr="00B1353F">
        <w:rPr>
          <w:rStyle w:val="normaltextrun"/>
          <w:bCs/>
          <w:iCs/>
          <w:noProof/>
        </w:rPr>
        <w:t xml:space="preserve"> of interest </w:t>
      </w:r>
      <w:r w:rsidR="00CF5F78" w:rsidRPr="00B1353F">
        <w:rPr>
          <w:rStyle w:val="normaltextrun"/>
          <w:bCs/>
          <w:iCs/>
          <w:noProof/>
        </w:rPr>
        <w:t>–</w:t>
      </w:r>
      <w:r w:rsidRPr="00B1353F">
        <w:rPr>
          <w:rStyle w:val="normaltextrun"/>
          <w:bCs/>
          <w:iCs/>
          <w:noProof/>
        </w:rPr>
        <w:t xml:space="preserve"> arising in the implementation of the RRF. It also launched a study on the future development of the Irregularity Management System</w:t>
      </w:r>
      <w:r w:rsidR="00CF5F78">
        <w:rPr>
          <w:rStyle w:val="normaltextrun"/>
          <w:bCs/>
          <w:iCs/>
          <w:noProof/>
        </w:rPr>
        <w:t xml:space="preserve"> (IMS)</w:t>
      </w:r>
      <w:r w:rsidRPr="00B1353F">
        <w:rPr>
          <w:rStyle w:val="normaltextrun"/>
          <w:bCs/>
          <w:iCs/>
          <w:noProof/>
        </w:rPr>
        <w:t xml:space="preserve">, to </w:t>
      </w:r>
      <w:r w:rsidR="00CF5F78">
        <w:rPr>
          <w:rStyle w:val="normaltextrun"/>
          <w:bCs/>
          <w:iCs/>
          <w:noProof/>
        </w:rPr>
        <w:t>address</w:t>
      </w:r>
      <w:r w:rsidRPr="00B1353F">
        <w:rPr>
          <w:rStyle w:val="normaltextrun"/>
          <w:bCs/>
          <w:iCs/>
          <w:noProof/>
        </w:rPr>
        <w:t xml:space="preserve"> questions of interoperability and </w:t>
      </w:r>
      <w:r w:rsidR="00CF5F78" w:rsidRPr="00B1353F">
        <w:rPr>
          <w:rStyle w:val="normaltextrun"/>
          <w:bCs/>
          <w:iCs/>
          <w:noProof/>
        </w:rPr>
        <w:t>improv</w:t>
      </w:r>
      <w:r w:rsidR="00CF5F78">
        <w:rPr>
          <w:rStyle w:val="normaltextrun"/>
          <w:bCs/>
          <w:iCs/>
          <w:noProof/>
        </w:rPr>
        <w:t>e</w:t>
      </w:r>
      <w:r w:rsidR="00CF5F78" w:rsidRPr="00B1353F">
        <w:rPr>
          <w:rStyle w:val="normaltextrun"/>
          <w:bCs/>
          <w:iCs/>
          <w:noProof/>
        </w:rPr>
        <w:t xml:space="preserve"> </w:t>
      </w:r>
      <w:r w:rsidRPr="00B1353F">
        <w:rPr>
          <w:rStyle w:val="normaltextrun"/>
          <w:bCs/>
          <w:iCs/>
          <w:noProof/>
        </w:rPr>
        <w:t>reporting by the Member States.</w:t>
      </w:r>
    </w:p>
    <w:p w14:paraId="1C22D08A" w14:textId="4F6BE081" w:rsidR="008A4E1B" w:rsidRPr="00B1353F"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sidRPr="00B1353F">
        <w:rPr>
          <w:noProof/>
          <w:lang w:eastAsia="zh-CN"/>
        </w:rPr>
        <w:t xml:space="preserve">In line with the second objective of the CAFS, progress continued on a number of actions aimed at fostering coordination and cooperation between Commission departments and equipping the Commission with a more effective system of anti-fraud oversight. </w:t>
      </w:r>
      <w:r w:rsidRPr="00B1353F">
        <w:rPr>
          <w:noProof/>
        </w:rPr>
        <w:t xml:space="preserve">Contacts and cooperation between Commission departments have been intensified, in particular through regular meetings of groups of Commission representatives – set up </w:t>
      </w:r>
      <w:r w:rsidR="00CF5F78">
        <w:rPr>
          <w:noProof/>
        </w:rPr>
        <w:t xml:space="preserve">according to </w:t>
      </w:r>
      <w:r w:rsidRPr="00B1353F">
        <w:rPr>
          <w:noProof/>
        </w:rPr>
        <w:t xml:space="preserve">management mode or theme </w:t>
      </w:r>
      <w:r w:rsidR="00CF5F78" w:rsidRPr="00B1353F">
        <w:rPr>
          <w:noProof/>
        </w:rPr>
        <w:t>–</w:t>
      </w:r>
      <w:r w:rsidRPr="00B1353F">
        <w:rPr>
          <w:noProof/>
        </w:rPr>
        <w:t xml:space="preserve"> under the </w:t>
      </w:r>
      <w:r w:rsidR="00CF5F78">
        <w:rPr>
          <w:noProof/>
        </w:rPr>
        <w:t xml:space="preserve">aegis </w:t>
      </w:r>
      <w:r w:rsidRPr="00B1353F">
        <w:rPr>
          <w:noProof/>
        </w:rPr>
        <w:t xml:space="preserve">of the Fraud Prevention and Detection network (FPDNet) led by OLAF. </w:t>
      </w:r>
    </w:p>
    <w:p w14:paraId="7EA70CE1" w14:textId="7187B766" w:rsidR="008A4E1B" w:rsidRPr="00B1353F"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lang w:val="en-IE"/>
        </w:rPr>
      </w:pPr>
      <w:r w:rsidRPr="00B1353F">
        <w:rPr>
          <w:noProof/>
        </w:rPr>
        <w:t xml:space="preserve">The Commission has also committed </w:t>
      </w:r>
      <w:r w:rsidR="00CF5F78">
        <w:rPr>
          <w:noProof/>
        </w:rPr>
        <w:t xml:space="preserve">itself </w:t>
      </w:r>
      <w:r w:rsidRPr="00B1353F">
        <w:rPr>
          <w:noProof/>
        </w:rPr>
        <w:t>to improv</w:t>
      </w:r>
      <w:r w:rsidR="00CF5F78">
        <w:rPr>
          <w:noProof/>
        </w:rPr>
        <w:t>ing</w:t>
      </w:r>
      <w:r w:rsidRPr="00B1353F">
        <w:rPr>
          <w:noProof/>
        </w:rPr>
        <w:t xml:space="preserve"> monitoring of the follow-up given to OLAF recommendations, an essential </w:t>
      </w:r>
      <w:r w:rsidR="00CF5F78">
        <w:rPr>
          <w:noProof/>
        </w:rPr>
        <w:t>part of</w:t>
      </w:r>
      <w:r w:rsidRPr="00B1353F">
        <w:rPr>
          <w:noProof/>
        </w:rPr>
        <w:t xml:space="preserve"> the efforts to </w:t>
      </w:r>
      <w:r w:rsidR="00CF5F78">
        <w:rPr>
          <w:noProof/>
        </w:rPr>
        <w:t xml:space="preserve">put </w:t>
      </w:r>
      <w:r w:rsidRPr="00B1353F">
        <w:rPr>
          <w:noProof/>
        </w:rPr>
        <w:t xml:space="preserve">misspent funds back into the EU budget. </w:t>
      </w:r>
      <w:r w:rsidRPr="0072054A">
        <w:rPr>
          <w:noProof/>
        </w:rPr>
        <w:t>The Commission and OLAF made a concerted effort to increase the efficiency of this monitoring</w:t>
      </w:r>
      <w:r w:rsidRPr="00CC711E">
        <w:rPr>
          <w:noProof/>
        </w:rPr>
        <w:t xml:space="preserve"> </w:t>
      </w:r>
      <w:r w:rsidRPr="0072054A">
        <w:rPr>
          <w:noProof/>
        </w:rPr>
        <w:t>and took stock of approximately 1 </w:t>
      </w:r>
      <w:r w:rsidR="00030F3C">
        <w:rPr>
          <w:noProof/>
        </w:rPr>
        <w:t>7</w:t>
      </w:r>
      <w:r w:rsidR="00CC711E" w:rsidRPr="0072054A">
        <w:rPr>
          <w:noProof/>
        </w:rPr>
        <w:t xml:space="preserve">00 </w:t>
      </w:r>
      <w:r w:rsidRPr="0072054A">
        <w:rPr>
          <w:noProof/>
        </w:rPr>
        <w:t xml:space="preserve">financial recommendations issued </w:t>
      </w:r>
      <w:r w:rsidR="00CC711E" w:rsidRPr="0072054A">
        <w:rPr>
          <w:noProof/>
        </w:rPr>
        <w:t xml:space="preserve">to Commission </w:t>
      </w:r>
      <w:r w:rsidR="0010609B">
        <w:rPr>
          <w:noProof/>
        </w:rPr>
        <w:t xml:space="preserve">departments </w:t>
      </w:r>
      <w:r w:rsidR="00CC711E" w:rsidRPr="0072054A">
        <w:rPr>
          <w:noProof/>
        </w:rPr>
        <w:t xml:space="preserve">and executive agencies </w:t>
      </w:r>
      <w:r w:rsidRPr="0072054A">
        <w:rPr>
          <w:noProof/>
        </w:rPr>
        <w:t xml:space="preserve">between 2012 and </w:t>
      </w:r>
      <w:r w:rsidR="00FF1D58">
        <w:rPr>
          <w:noProof/>
        </w:rPr>
        <w:t>2020</w:t>
      </w:r>
      <w:r w:rsidRPr="0072054A">
        <w:rPr>
          <w:noProof/>
        </w:rPr>
        <w:t xml:space="preserve">. In total, the sum of recommended amounts for recoveries for 2012-2020 is equivalent to more than EUR </w:t>
      </w:r>
      <w:r w:rsidR="00FF1D58">
        <w:rPr>
          <w:noProof/>
        </w:rPr>
        <w:t>7</w:t>
      </w:r>
      <w:r w:rsidRPr="0072054A">
        <w:rPr>
          <w:noProof/>
        </w:rPr>
        <w:t xml:space="preserve"> billion with </w:t>
      </w:r>
      <w:r w:rsidR="00A828A1">
        <w:rPr>
          <w:noProof/>
        </w:rPr>
        <w:t>almost</w:t>
      </w:r>
      <w:r w:rsidRPr="0072054A">
        <w:rPr>
          <w:noProof/>
        </w:rPr>
        <w:t xml:space="preserve"> </w:t>
      </w:r>
      <w:r w:rsidR="00FF1D58">
        <w:rPr>
          <w:noProof/>
        </w:rPr>
        <w:t>40%</w:t>
      </w:r>
      <w:r w:rsidRPr="0072054A">
        <w:rPr>
          <w:noProof/>
        </w:rPr>
        <w:t xml:space="preserve"> linked to </w:t>
      </w:r>
      <w:r w:rsidR="00FF1D58">
        <w:rPr>
          <w:noProof/>
        </w:rPr>
        <w:t xml:space="preserve">five major </w:t>
      </w:r>
      <w:r w:rsidRPr="0072054A">
        <w:rPr>
          <w:noProof/>
        </w:rPr>
        <w:t xml:space="preserve">customs </w:t>
      </w:r>
      <w:r w:rsidR="00A828A1">
        <w:rPr>
          <w:noProof/>
        </w:rPr>
        <w:t xml:space="preserve">undervaluation </w:t>
      </w:r>
      <w:r w:rsidRPr="0072054A">
        <w:rPr>
          <w:noProof/>
        </w:rPr>
        <w:t>cases</w:t>
      </w:r>
      <w:r w:rsidR="00A828A1">
        <w:rPr>
          <w:rStyle w:val="FootnoteReference"/>
          <w:noProof/>
        </w:rPr>
        <w:footnoteReference w:id="22"/>
      </w:r>
      <w:r w:rsidRPr="00CC711E">
        <w:rPr>
          <w:noProof/>
        </w:rPr>
        <w:t>.</w:t>
      </w:r>
    </w:p>
    <w:p w14:paraId="69A61BC5" w14:textId="21F6DF2F" w:rsidR="00B06C44" w:rsidRDefault="008A4E1B" w:rsidP="008A4E1B">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sidRPr="00B1353F">
        <w:rPr>
          <w:noProof/>
        </w:rPr>
        <w:t xml:space="preserve">To </w:t>
      </w:r>
      <w:r w:rsidR="00CA3326">
        <w:rPr>
          <w:noProof/>
        </w:rPr>
        <w:t xml:space="preserve">ensure sustained anti-fraud efforts in the Commission, and </w:t>
      </w:r>
      <w:r w:rsidRPr="00B1353F">
        <w:rPr>
          <w:noProof/>
        </w:rPr>
        <w:t>address</w:t>
      </w:r>
      <w:r w:rsidR="00CA3326">
        <w:rPr>
          <w:noProof/>
        </w:rPr>
        <w:t xml:space="preserve"> both</w:t>
      </w:r>
      <w:r w:rsidRPr="00B1353F">
        <w:rPr>
          <w:noProof/>
        </w:rPr>
        <w:t xml:space="preserve"> the remaining actions of the 2019 CAFS action plan and new Commission priorities, OLAF </w:t>
      </w:r>
      <w:r w:rsidR="00B6242E">
        <w:rPr>
          <w:noProof/>
        </w:rPr>
        <w:t>is considering</w:t>
      </w:r>
      <w:r w:rsidRPr="00B1353F">
        <w:rPr>
          <w:noProof/>
        </w:rPr>
        <w:t xml:space="preserve"> a </w:t>
      </w:r>
      <w:r w:rsidR="0010609B">
        <w:rPr>
          <w:noProof/>
        </w:rPr>
        <w:t xml:space="preserve">targeted </w:t>
      </w:r>
      <w:r w:rsidRPr="00B1353F">
        <w:rPr>
          <w:noProof/>
        </w:rPr>
        <w:t xml:space="preserve">revision of the plan. The </w:t>
      </w:r>
      <w:r w:rsidR="00B6242E">
        <w:rPr>
          <w:noProof/>
        </w:rPr>
        <w:t>CAFS</w:t>
      </w:r>
      <w:r w:rsidR="0010609B">
        <w:rPr>
          <w:noProof/>
        </w:rPr>
        <w:t>’</w:t>
      </w:r>
      <w:r w:rsidR="00B6242E">
        <w:rPr>
          <w:noProof/>
        </w:rPr>
        <w:t xml:space="preserve"> </w:t>
      </w:r>
      <w:r w:rsidRPr="00B1353F">
        <w:rPr>
          <w:noProof/>
        </w:rPr>
        <w:t xml:space="preserve">main objectives and underlying principles remain valid and the </w:t>
      </w:r>
      <w:r w:rsidR="0010609B">
        <w:rPr>
          <w:noProof/>
        </w:rPr>
        <w:t xml:space="preserve">intended </w:t>
      </w:r>
      <w:r w:rsidRPr="00B1353F">
        <w:rPr>
          <w:noProof/>
        </w:rPr>
        <w:t xml:space="preserve">focus of </w:t>
      </w:r>
      <w:r w:rsidR="0010609B">
        <w:rPr>
          <w:noProof/>
        </w:rPr>
        <w:t xml:space="preserve">a revised </w:t>
      </w:r>
      <w:r w:rsidRPr="00B1353F">
        <w:rPr>
          <w:noProof/>
        </w:rPr>
        <w:t xml:space="preserve">action plan </w:t>
      </w:r>
      <w:r w:rsidR="0010609B">
        <w:rPr>
          <w:noProof/>
        </w:rPr>
        <w:t xml:space="preserve">will be </w:t>
      </w:r>
      <w:r w:rsidR="00CA3326">
        <w:rPr>
          <w:noProof/>
        </w:rPr>
        <w:t>on</w:t>
      </w:r>
      <w:r w:rsidRPr="00B1353F">
        <w:rPr>
          <w:noProof/>
        </w:rPr>
        <w:t xml:space="preserve"> Commission priorities such as the new </w:t>
      </w:r>
      <w:r w:rsidR="00CA3326">
        <w:rPr>
          <w:noProof/>
        </w:rPr>
        <w:t xml:space="preserve">MFF, </w:t>
      </w:r>
      <w:r w:rsidRPr="00B1353F">
        <w:rPr>
          <w:noProof/>
        </w:rPr>
        <w:t xml:space="preserve">the RRF, cooperation with the EPPO, and the role of digitalisation in the fight against fraud. </w:t>
      </w:r>
    </w:p>
    <w:p w14:paraId="248438BF" w14:textId="77777777" w:rsidR="00FE789E" w:rsidRDefault="00FE789E" w:rsidP="00CD7B44">
      <w:pPr>
        <w:pStyle w:val="Heading3"/>
        <w:rPr>
          <w:noProof/>
        </w:rPr>
      </w:pPr>
      <w:bookmarkStart w:id="20" w:name="_Toc110444039"/>
      <w:r>
        <w:rPr>
          <w:noProof/>
        </w:rPr>
        <w:t>European Anti-Fraud Office</w:t>
      </w:r>
      <w:r w:rsidR="00FA7F41">
        <w:rPr>
          <w:noProof/>
        </w:rPr>
        <w:t xml:space="preserve"> (OLAF)</w:t>
      </w:r>
      <w:bookmarkEnd w:id="20"/>
    </w:p>
    <w:p w14:paraId="7F81CB9A" w14:textId="4B679C50" w:rsidR="00FE789E" w:rsidRDefault="00B06C44" w:rsidP="00FE789E">
      <w:pPr>
        <w:rPr>
          <w:noProof/>
          <w:szCs w:val="24"/>
          <w:lang w:val="en-IE"/>
        </w:rPr>
      </w:pPr>
      <w:r w:rsidRPr="00711721">
        <w:rPr>
          <w:noProof/>
          <w:szCs w:val="24"/>
          <w:lang w:val="en-IE"/>
        </w:rPr>
        <w:t xml:space="preserve">The </w:t>
      </w:r>
      <w:r w:rsidRPr="00711721">
        <w:rPr>
          <w:b/>
          <w:noProof/>
          <w:szCs w:val="24"/>
          <w:lang w:val="en-IE"/>
        </w:rPr>
        <w:t xml:space="preserve">European Anti-Fraud Office </w:t>
      </w:r>
      <w:r w:rsidRPr="00716C00">
        <w:rPr>
          <w:noProof/>
          <w:szCs w:val="24"/>
          <w:lang w:val="en-IE"/>
        </w:rPr>
        <w:t>(OLAF)</w:t>
      </w:r>
      <w:r>
        <w:rPr>
          <w:noProof/>
          <w:szCs w:val="24"/>
          <w:lang w:val="en-IE"/>
        </w:rPr>
        <w:t xml:space="preserve"> </w:t>
      </w:r>
      <w:r w:rsidRPr="00711721">
        <w:rPr>
          <w:noProof/>
          <w:szCs w:val="24"/>
          <w:lang w:val="en-IE"/>
        </w:rPr>
        <w:t xml:space="preserve">carries out independent investigations into fraud and corruption involving EU funds and develops EU anti-fraud policy to fight fraud, corruption and any other illegal </w:t>
      </w:r>
      <w:r w:rsidR="00CC21E3" w:rsidRPr="00711721">
        <w:rPr>
          <w:noProof/>
          <w:szCs w:val="24"/>
          <w:lang w:val="en-IE"/>
        </w:rPr>
        <w:t>activit</w:t>
      </w:r>
      <w:r w:rsidR="00CC21E3">
        <w:rPr>
          <w:noProof/>
          <w:szCs w:val="24"/>
          <w:lang w:val="en-IE"/>
        </w:rPr>
        <w:t>ies</w:t>
      </w:r>
      <w:r w:rsidR="00CC21E3" w:rsidRPr="00711721">
        <w:rPr>
          <w:noProof/>
          <w:szCs w:val="24"/>
          <w:lang w:val="en-IE"/>
        </w:rPr>
        <w:t xml:space="preserve"> </w:t>
      </w:r>
      <w:r w:rsidRPr="00711721">
        <w:rPr>
          <w:noProof/>
          <w:szCs w:val="24"/>
          <w:lang w:val="en-IE"/>
        </w:rPr>
        <w:t>affecting the EU’s financial interests.</w:t>
      </w:r>
    </w:p>
    <w:p w14:paraId="316CD971" w14:textId="289089E5" w:rsidR="000A2CB4" w:rsidRDefault="000A2CB4" w:rsidP="009542F2">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21" w:name="_Toc105777768"/>
      <w:bookmarkStart w:id="22" w:name="_Toc110444011"/>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3</w:t>
      </w:r>
      <w:r w:rsidR="00EA0D7C">
        <w:rPr>
          <w:noProof/>
        </w:rPr>
        <w:fldChar w:fldCharType="end"/>
      </w:r>
      <w:r>
        <w:rPr>
          <w:noProof/>
        </w:rPr>
        <w:t xml:space="preserve"> – OLAF activities in 2021</w:t>
      </w:r>
      <w:bookmarkEnd w:id="21"/>
      <w:bookmarkEnd w:id="22"/>
    </w:p>
    <w:p w14:paraId="37DE9FB0" w14:textId="7DC482B6" w:rsidR="000A2CB4" w:rsidRDefault="000A2CB4" w:rsidP="000A2CB4">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Some </w:t>
      </w:r>
      <w:r w:rsidR="00CC21E3">
        <w:rPr>
          <w:noProof/>
        </w:rPr>
        <w:t>1 </w:t>
      </w:r>
      <w:r>
        <w:rPr>
          <w:noProof/>
        </w:rPr>
        <w:t>100 selections were made during the year, leading to 234 new investigative cases being opened. A total of 212 investigations were successfully concluded during the year, leading to OLAF</w:t>
      </w:r>
      <w:r w:rsidR="00CC21E3">
        <w:rPr>
          <w:noProof/>
        </w:rPr>
        <w:t>’s</w:t>
      </w:r>
      <w:r>
        <w:rPr>
          <w:noProof/>
        </w:rPr>
        <w:t xml:space="preserve"> issuing 294 financial, judicial, disciplinary and administrative recommendations to competent </w:t>
      </w:r>
      <w:r w:rsidR="00CC21E3">
        <w:rPr>
          <w:noProof/>
        </w:rPr>
        <w:t xml:space="preserve">EU and national </w:t>
      </w:r>
      <w:r>
        <w:rPr>
          <w:noProof/>
        </w:rPr>
        <w:t xml:space="preserve">authorities. The majority of these recommendations concerned the recovery of EU funds by the </w:t>
      </w:r>
      <w:r w:rsidR="00CC21E3">
        <w:rPr>
          <w:noProof/>
        </w:rPr>
        <w:t xml:space="preserve">EU and national </w:t>
      </w:r>
      <w:r>
        <w:rPr>
          <w:noProof/>
        </w:rPr>
        <w:t xml:space="preserve">authorities </w:t>
      </w:r>
      <w:r w:rsidR="00CC21E3">
        <w:rPr>
          <w:noProof/>
        </w:rPr>
        <w:t>in question</w:t>
      </w:r>
      <w:r>
        <w:rPr>
          <w:noProof/>
        </w:rPr>
        <w:t xml:space="preserve"> – </w:t>
      </w:r>
      <w:r w:rsidR="00CC21E3">
        <w:rPr>
          <w:noProof/>
        </w:rPr>
        <w:t xml:space="preserve">EUR </w:t>
      </w:r>
      <w:r>
        <w:rPr>
          <w:noProof/>
        </w:rPr>
        <w:t>527.4 million in 2021.</w:t>
      </w:r>
      <w:r w:rsidR="00FA7F41">
        <w:rPr>
          <w:noProof/>
        </w:rPr>
        <w:t xml:space="preserve"> </w:t>
      </w:r>
      <w:r w:rsidR="00FA7F41" w:rsidRPr="00FA7F41">
        <w:rPr>
          <w:noProof/>
        </w:rPr>
        <w:t>Thanks to OLAF</w:t>
      </w:r>
      <w:r w:rsidR="00CC21E3">
        <w:rPr>
          <w:noProof/>
        </w:rPr>
        <w:t>’s</w:t>
      </w:r>
      <w:r w:rsidR="00FA7F41" w:rsidRPr="00FA7F41">
        <w:rPr>
          <w:noProof/>
        </w:rPr>
        <w:t xml:space="preserve"> work, over </w:t>
      </w:r>
      <w:r w:rsidR="00CC21E3">
        <w:rPr>
          <w:noProof/>
        </w:rPr>
        <w:t xml:space="preserve">EUR </w:t>
      </w:r>
      <w:r w:rsidR="00FA7F41" w:rsidRPr="00FA7F41">
        <w:rPr>
          <w:noProof/>
        </w:rPr>
        <w:t>340 million were prevented from being unduly spent</w:t>
      </w:r>
      <w:r w:rsidR="00FA7F41">
        <w:rPr>
          <w:noProof/>
        </w:rPr>
        <w:t>.</w:t>
      </w:r>
    </w:p>
    <w:p w14:paraId="72A10265" w14:textId="77777777" w:rsidR="000A2CB4" w:rsidRDefault="000A2CB4" w:rsidP="000A2CB4">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OLAF’s investigations showed a number of new trends in fraudulent activity, such as fraud </w:t>
      </w:r>
      <w:r w:rsidR="00FA7F41" w:rsidRPr="00FA7F41">
        <w:rPr>
          <w:noProof/>
        </w:rPr>
        <w:t>related to COVID-19, the green t</w:t>
      </w:r>
      <w:r w:rsidR="00FA7F41">
        <w:rPr>
          <w:noProof/>
        </w:rPr>
        <w:t>ransition, and waste management</w:t>
      </w:r>
      <w:r>
        <w:rPr>
          <w:noProof/>
        </w:rPr>
        <w:t>.</w:t>
      </w:r>
    </w:p>
    <w:p w14:paraId="25E5C644" w14:textId="47FE4FC5" w:rsidR="000A2CB4" w:rsidRDefault="00BE6084" w:rsidP="00BE6084">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On 5 July 2021, a working arrangement between OLAF and the EPPO was signed in view of optimising operational cooperation. This cooperation is already producing tangible results. </w:t>
      </w:r>
      <w:r w:rsidR="002118BA" w:rsidRPr="00FA7F41">
        <w:rPr>
          <w:noProof/>
        </w:rPr>
        <w:t xml:space="preserve">In 2021, OLAF was </w:t>
      </w:r>
      <w:r w:rsidR="0072054A">
        <w:rPr>
          <w:noProof/>
        </w:rPr>
        <w:t xml:space="preserve">a significant </w:t>
      </w:r>
      <w:r w:rsidR="002118BA" w:rsidRPr="00FA7F41">
        <w:rPr>
          <w:noProof/>
        </w:rPr>
        <w:t>source of incoming information for the EPPO</w:t>
      </w:r>
      <w:r w:rsidR="006D7177">
        <w:rPr>
          <w:rStyle w:val="FootnoteReference"/>
          <w:noProof/>
        </w:rPr>
        <w:footnoteReference w:id="23"/>
      </w:r>
      <w:r w:rsidR="00CC21E3">
        <w:rPr>
          <w:noProof/>
        </w:rPr>
        <w:t>:</w:t>
      </w:r>
      <w:r w:rsidR="002118BA" w:rsidRPr="00FA7F41">
        <w:rPr>
          <w:noProof/>
        </w:rPr>
        <w:t xml:space="preserve"> 85 </w:t>
      </w:r>
      <w:r w:rsidR="00CC21E3">
        <w:rPr>
          <w:noProof/>
        </w:rPr>
        <w:t xml:space="preserve">of its </w:t>
      </w:r>
      <w:r w:rsidR="002118BA" w:rsidRPr="00FA7F41">
        <w:rPr>
          <w:noProof/>
        </w:rPr>
        <w:t>criminal investigations were based on OLAF’s investigative reporting</w:t>
      </w:r>
      <w:r w:rsidR="0069243F">
        <w:rPr>
          <w:noProof/>
        </w:rPr>
        <w:t xml:space="preserve">. </w:t>
      </w:r>
      <w:r w:rsidR="0069243F" w:rsidRPr="0069243F">
        <w:rPr>
          <w:noProof/>
        </w:rPr>
        <w:t xml:space="preserve">The total possible damage </w:t>
      </w:r>
      <w:r w:rsidR="00CC21E3">
        <w:rPr>
          <w:noProof/>
        </w:rPr>
        <w:t xml:space="preserve">to the EU budget </w:t>
      </w:r>
      <w:r w:rsidR="0069243F" w:rsidRPr="0069243F">
        <w:rPr>
          <w:noProof/>
        </w:rPr>
        <w:t xml:space="preserve">of the matters under investigation reported by OLAF in 2021 was estimated at </w:t>
      </w:r>
      <w:r w:rsidR="00CC21E3">
        <w:rPr>
          <w:noProof/>
        </w:rPr>
        <w:t xml:space="preserve">EUR </w:t>
      </w:r>
      <w:r w:rsidR="0069243F" w:rsidRPr="0069243F">
        <w:rPr>
          <w:noProof/>
        </w:rPr>
        <w:t>2.2 billion</w:t>
      </w:r>
      <w:r w:rsidR="0069243F">
        <w:rPr>
          <w:rStyle w:val="FootnoteReference"/>
          <w:noProof/>
        </w:rPr>
        <w:footnoteReference w:id="24"/>
      </w:r>
      <w:r w:rsidR="0069243F" w:rsidRPr="0069243F">
        <w:rPr>
          <w:noProof/>
        </w:rPr>
        <w:t>.</w:t>
      </w:r>
      <w:r w:rsidR="0069243F">
        <w:rPr>
          <w:noProof/>
        </w:rPr>
        <w:t xml:space="preserve"> </w:t>
      </w:r>
      <w:r w:rsidR="000A2CB4" w:rsidRPr="00505DEA">
        <w:rPr>
          <w:noProof/>
        </w:rPr>
        <w:t xml:space="preserve">OLAF investigators and forensic analysts </w:t>
      </w:r>
      <w:r w:rsidR="00BB428C" w:rsidRPr="00505DEA">
        <w:rPr>
          <w:noProof/>
        </w:rPr>
        <w:t>also</w:t>
      </w:r>
      <w:r w:rsidR="000A2CB4" w:rsidRPr="00505DEA">
        <w:rPr>
          <w:noProof/>
        </w:rPr>
        <w:t xml:space="preserve"> provided substantial support </w:t>
      </w:r>
      <w:r w:rsidR="00CC21E3">
        <w:rPr>
          <w:noProof/>
        </w:rPr>
        <w:t xml:space="preserve">for </w:t>
      </w:r>
      <w:r w:rsidR="000A2CB4" w:rsidRPr="00505DEA">
        <w:rPr>
          <w:noProof/>
        </w:rPr>
        <w:t>EPPO investigations, by participating in witness interviews as experts and providing detailed analysis of customs matters. Several complementary investigations were opened by OLAF</w:t>
      </w:r>
      <w:r w:rsidR="00CC21E3">
        <w:rPr>
          <w:noProof/>
        </w:rPr>
        <w:t>.</w:t>
      </w:r>
      <w:r w:rsidR="000A2CB4" w:rsidRPr="00505DEA">
        <w:rPr>
          <w:noProof/>
        </w:rPr>
        <w:t xml:space="preserve"> </w:t>
      </w:r>
      <w:r w:rsidR="00CC21E3">
        <w:rPr>
          <w:noProof/>
        </w:rPr>
        <w:t xml:space="preserve">These </w:t>
      </w:r>
      <w:r w:rsidR="000A2CB4" w:rsidRPr="00505DEA">
        <w:rPr>
          <w:noProof/>
        </w:rPr>
        <w:t xml:space="preserve">yielded some </w:t>
      </w:r>
      <w:r w:rsidR="00CC21E3">
        <w:rPr>
          <w:noProof/>
        </w:rPr>
        <w:t xml:space="preserve">significant </w:t>
      </w:r>
      <w:r w:rsidR="000A2CB4" w:rsidRPr="00505DEA">
        <w:rPr>
          <w:noProof/>
        </w:rPr>
        <w:t xml:space="preserve">results in </w:t>
      </w:r>
      <w:r w:rsidR="00CC21E3">
        <w:rPr>
          <w:noProof/>
        </w:rPr>
        <w:t xml:space="preserve">terms of </w:t>
      </w:r>
      <w:r w:rsidR="000A2CB4" w:rsidRPr="00505DEA">
        <w:rPr>
          <w:noProof/>
        </w:rPr>
        <w:t>financial and criminal justice.</w:t>
      </w:r>
    </w:p>
    <w:p w14:paraId="7AF3F5FE" w14:textId="77777777" w:rsidR="00FE789E" w:rsidRDefault="00FE789E" w:rsidP="00CD7B44">
      <w:pPr>
        <w:pStyle w:val="Heading3"/>
        <w:rPr>
          <w:noProof/>
        </w:rPr>
      </w:pPr>
      <w:bookmarkStart w:id="23" w:name="_Toc110444040"/>
      <w:r>
        <w:rPr>
          <w:noProof/>
        </w:rPr>
        <w:t>European Public Prosecutor’s Office (EPPO)</w:t>
      </w:r>
      <w:bookmarkEnd w:id="23"/>
    </w:p>
    <w:p w14:paraId="7C310290" w14:textId="52087F4E" w:rsidR="00FE789E" w:rsidRDefault="00262A80" w:rsidP="00FE789E">
      <w:pPr>
        <w:rPr>
          <w:noProof/>
        </w:rPr>
      </w:pPr>
      <w:r w:rsidRPr="00573D60">
        <w:rPr>
          <w:noProof/>
        </w:rPr>
        <w:t xml:space="preserve">The </w:t>
      </w:r>
      <w:r w:rsidRPr="00573D60">
        <w:rPr>
          <w:b/>
          <w:noProof/>
        </w:rPr>
        <w:t>European Public Prosecutor’s Office</w:t>
      </w:r>
      <w:r w:rsidRPr="00573D60">
        <w:rPr>
          <w:noProof/>
        </w:rPr>
        <w:t xml:space="preserve"> (EPPO)</w:t>
      </w:r>
      <w:r w:rsidR="002118BA">
        <w:rPr>
          <w:noProof/>
        </w:rPr>
        <w:t>,</w:t>
      </w:r>
      <w:r w:rsidRPr="00573D60">
        <w:rPr>
          <w:noProof/>
        </w:rPr>
        <w:t xml:space="preserve"> as the first supranational prosecution authority</w:t>
      </w:r>
      <w:r w:rsidR="002118BA">
        <w:rPr>
          <w:noProof/>
        </w:rPr>
        <w:t>,</w:t>
      </w:r>
      <w:r w:rsidRPr="00573D60">
        <w:rPr>
          <w:noProof/>
        </w:rPr>
        <w:t xml:space="preserve"> has</w:t>
      </w:r>
      <w:r w:rsidR="00A50740">
        <w:rPr>
          <w:noProof/>
        </w:rPr>
        <w:t xml:space="preserve"> the</w:t>
      </w:r>
      <w:r w:rsidRPr="00573D60">
        <w:rPr>
          <w:noProof/>
        </w:rPr>
        <w:t xml:space="preserve"> power to investigate and prosecute crimes affecting the EU’s financial interests in the 22 participating Member States</w:t>
      </w:r>
      <w:r w:rsidR="00B06C44">
        <w:rPr>
          <w:rStyle w:val="FootnoteReference"/>
          <w:noProof/>
        </w:rPr>
        <w:footnoteReference w:id="25"/>
      </w:r>
      <w:r w:rsidRPr="00573D60">
        <w:rPr>
          <w:noProof/>
        </w:rPr>
        <w:t xml:space="preserve">. </w:t>
      </w:r>
    </w:p>
    <w:p w14:paraId="7F3C40B9" w14:textId="0ED6A1BC" w:rsidR="00262A80" w:rsidRDefault="00262A80" w:rsidP="00262A80">
      <w:pPr>
        <w:pStyle w:val="Caption"/>
        <w:keepNext/>
        <w:pBdr>
          <w:top w:val="single" w:sz="4" w:space="1" w:color="auto"/>
          <w:left w:val="single" w:sz="4" w:space="1" w:color="auto"/>
          <w:bottom w:val="single" w:sz="4" w:space="1" w:color="auto"/>
          <w:right w:val="single" w:sz="4" w:space="1" w:color="auto"/>
        </w:pBdr>
        <w:shd w:val="clear" w:color="auto" w:fill="D9E2F3" w:themeFill="accent5" w:themeFillTint="33"/>
        <w:rPr>
          <w:noProof/>
        </w:rPr>
      </w:pPr>
      <w:bookmarkStart w:id="24" w:name="_Toc105777769"/>
      <w:bookmarkStart w:id="25" w:name="_Toc110444012"/>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4</w:t>
      </w:r>
      <w:r w:rsidR="00EA0D7C">
        <w:rPr>
          <w:noProof/>
        </w:rPr>
        <w:fldChar w:fldCharType="end"/>
      </w:r>
      <w:r>
        <w:rPr>
          <w:noProof/>
        </w:rPr>
        <w:t xml:space="preserve"> - </w:t>
      </w:r>
      <w:r w:rsidR="00471E85">
        <w:rPr>
          <w:noProof/>
        </w:rPr>
        <w:t>F</w:t>
      </w:r>
      <w:r w:rsidRPr="00262A80">
        <w:rPr>
          <w:noProof/>
        </w:rPr>
        <w:t xml:space="preserve">irst </w:t>
      </w:r>
      <w:r w:rsidR="00CC21E3">
        <w:rPr>
          <w:noProof/>
        </w:rPr>
        <w:t>7</w:t>
      </w:r>
      <w:r w:rsidR="00CC21E3" w:rsidRPr="00262A80">
        <w:rPr>
          <w:noProof/>
        </w:rPr>
        <w:t xml:space="preserve"> </w:t>
      </w:r>
      <w:r w:rsidRPr="00262A80">
        <w:rPr>
          <w:noProof/>
        </w:rPr>
        <w:t xml:space="preserve">months of </w:t>
      </w:r>
      <w:r w:rsidR="00CC21E3">
        <w:rPr>
          <w:noProof/>
        </w:rPr>
        <w:t xml:space="preserve">the EPPO’s </w:t>
      </w:r>
      <w:r w:rsidRPr="00262A80">
        <w:rPr>
          <w:noProof/>
        </w:rPr>
        <w:t xml:space="preserve">operational </w:t>
      </w:r>
      <w:r w:rsidR="004A502D" w:rsidRPr="00262A80">
        <w:rPr>
          <w:noProof/>
        </w:rPr>
        <w:t>activity</w:t>
      </w:r>
      <w:r w:rsidRPr="00262A80">
        <w:rPr>
          <w:noProof/>
        </w:rPr>
        <w:t xml:space="preserve"> in numbers</w:t>
      </w:r>
      <w:bookmarkEnd w:id="24"/>
      <w:bookmarkEnd w:id="25"/>
    </w:p>
    <w:p w14:paraId="458C077F" w14:textId="1EB8A3D8" w:rsidR="00262A80" w:rsidRPr="00573D60" w:rsidRDefault="00A50740"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rPr>
      </w:pPr>
      <w:r>
        <w:rPr>
          <w:noProof/>
        </w:rPr>
        <w:t xml:space="preserve">The </w:t>
      </w:r>
      <w:r w:rsidR="00262A80" w:rsidRPr="00573D60">
        <w:rPr>
          <w:noProof/>
        </w:rPr>
        <w:t>EPPO started operations on 1 June 2021. In total, the</w:t>
      </w:r>
      <w:r w:rsidR="002118BA">
        <w:rPr>
          <w:noProof/>
        </w:rPr>
        <w:t xml:space="preserve"> </w:t>
      </w:r>
      <w:r>
        <w:rPr>
          <w:noProof/>
        </w:rPr>
        <w:t>Office</w:t>
      </w:r>
      <w:r w:rsidRPr="00573D60">
        <w:rPr>
          <w:noProof/>
        </w:rPr>
        <w:t xml:space="preserve"> </w:t>
      </w:r>
      <w:r w:rsidR="00262A80" w:rsidRPr="00573D60">
        <w:rPr>
          <w:noProof/>
        </w:rPr>
        <w:t xml:space="preserve">received </w:t>
      </w:r>
      <w:r w:rsidRPr="00573D60">
        <w:rPr>
          <w:noProof/>
        </w:rPr>
        <w:t>2</w:t>
      </w:r>
      <w:r>
        <w:rPr>
          <w:noProof/>
        </w:rPr>
        <w:t> </w:t>
      </w:r>
      <w:r w:rsidR="00262A80" w:rsidRPr="00573D60">
        <w:rPr>
          <w:noProof/>
        </w:rPr>
        <w:t xml:space="preserve">832 reports and opened 576 investigations </w:t>
      </w:r>
      <w:r>
        <w:rPr>
          <w:noProof/>
        </w:rPr>
        <w:t xml:space="preserve">by the end of 2021 </w:t>
      </w:r>
      <w:r w:rsidR="00262A80" w:rsidRPr="00573D60">
        <w:rPr>
          <w:noProof/>
        </w:rPr>
        <w:t>(515 active investigations by 31 December 2021)</w:t>
      </w:r>
      <w:r w:rsidR="00B06C44">
        <w:rPr>
          <w:rStyle w:val="FootnoteReference"/>
          <w:noProof/>
        </w:rPr>
        <w:footnoteReference w:id="26"/>
      </w:r>
      <w:r w:rsidR="00262A80" w:rsidRPr="00573D60">
        <w:rPr>
          <w:noProof/>
        </w:rPr>
        <w:t xml:space="preserve">. </w:t>
      </w:r>
    </w:p>
    <w:p w14:paraId="28086A94" w14:textId="2C726831" w:rsidR="00262A80" w:rsidRPr="00573D60" w:rsidRDefault="00262A80"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rPr>
      </w:pPr>
      <w:r w:rsidRPr="00573D60">
        <w:rPr>
          <w:noProof/>
        </w:rPr>
        <w:t>Reports mainly came from national autho</w:t>
      </w:r>
      <w:r w:rsidR="00727AB1">
        <w:rPr>
          <w:noProof/>
        </w:rPr>
        <w:t>rities or from private parties.</w:t>
      </w:r>
    </w:p>
    <w:p w14:paraId="65ED88A1" w14:textId="3C13E7A8" w:rsidR="00262A80" w:rsidRPr="00573D60" w:rsidRDefault="0069243F" w:rsidP="00262A80">
      <w:pPr>
        <w:pBdr>
          <w:top w:val="single" w:sz="4" w:space="1" w:color="auto"/>
          <w:left w:val="single" w:sz="4" w:space="1" w:color="auto"/>
          <w:bottom w:val="single" w:sz="4" w:space="1" w:color="auto"/>
          <w:right w:val="single" w:sz="4" w:space="1" w:color="auto"/>
        </w:pBdr>
        <w:shd w:val="clear" w:color="auto" w:fill="D9E2F3" w:themeFill="accent5" w:themeFillTint="33"/>
        <w:spacing w:line="240" w:lineRule="auto"/>
        <w:rPr>
          <w:noProof/>
          <w:sz w:val="23"/>
          <w:szCs w:val="23"/>
        </w:rPr>
      </w:pPr>
      <w:r>
        <w:rPr>
          <w:noProof/>
        </w:rPr>
        <w:t xml:space="preserve">The EPPO </w:t>
      </w:r>
      <w:r w:rsidRPr="00573D60">
        <w:rPr>
          <w:noProof/>
        </w:rPr>
        <w:t xml:space="preserve">concluded a working arrangement </w:t>
      </w:r>
      <w:r>
        <w:rPr>
          <w:noProof/>
        </w:rPr>
        <w:t>w</w:t>
      </w:r>
      <w:r w:rsidRPr="00573D60">
        <w:rPr>
          <w:noProof/>
        </w:rPr>
        <w:t xml:space="preserve">ith the Office of the </w:t>
      </w:r>
      <w:r w:rsidR="00CC21E3" w:rsidRPr="00573D60">
        <w:rPr>
          <w:noProof/>
        </w:rPr>
        <w:t>Prosecutor</w:t>
      </w:r>
      <w:r w:rsidR="00CC21E3">
        <w:rPr>
          <w:noProof/>
        </w:rPr>
        <w:t>-</w:t>
      </w:r>
      <w:r w:rsidRPr="00573D60">
        <w:rPr>
          <w:noProof/>
        </w:rPr>
        <w:t>General of Hungary</w:t>
      </w:r>
      <w:r>
        <w:rPr>
          <w:noProof/>
        </w:rPr>
        <w:t xml:space="preserve"> and n</w:t>
      </w:r>
      <w:r w:rsidR="00262A80" w:rsidRPr="00573D60">
        <w:rPr>
          <w:noProof/>
        </w:rPr>
        <w:t>egotiations on concluding a working arrangement are ongoing with Poland, Ireland and Denmark.</w:t>
      </w:r>
    </w:p>
    <w:p w14:paraId="649F72A9" w14:textId="18C7C85D" w:rsidR="00262A80" w:rsidRDefault="00262A80" w:rsidP="00262A80">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sidRPr="00573D60">
        <w:rPr>
          <w:noProof/>
        </w:rPr>
        <w:t xml:space="preserve">With regard to </w:t>
      </w:r>
      <w:r w:rsidR="00A50740">
        <w:rPr>
          <w:noProof/>
        </w:rPr>
        <w:t xml:space="preserve">the </w:t>
      </w:r>
      <w:r w:rsidRPr="00573D60">
        <w:rPr>
          <w:noProof/>
        </w:rPr>
        <w:t>recovery of the proceeds of criminal activit</w:t>
      </w:r>
      <w:r w:rsidR="00A50740">
        <w:rPr>
          <w:noProof/>
        </w:rPr>
        <w:t>ies</w:t>
      </w:r>
      <w:r w:rsidRPr="00573D60">
        <w:rPr>
          <w:noProof/>
        </w:rPr>
        <w:t xml:space="preserve">, 81 recovery actions took place in 12 of the participating Member States (Italy, Belgium, Germany, Romania, </w:t>
      </w:r>
      <w:r w:rsidR="00D74D00">
        <w:rPr>
          <w:noProof/>
        </w:rPr>
        <w:t>Czechia</w:t>
      </w:r>
      <w:r w:rsidRPr="00573D60">
        <w:rPr>
          <w:noProof/>
        </w:rPr>
        <w:t xml:space="preserve">, Croatia, Finland, Latvia, Luxembourg, Spain, Lithuania, </w:t>
      </w:r>
      <w:r w:rsidR="00996AB3" w:rsidRPr="00573D60">
        <w:rPr>
          <w:noProof/>
        </w:rPr>
        <w:t>and Portugal</w:t>
      </w:r>
      <w:r w:rsidRPr="00573D60">
        <w:rPr>
          <w:noProof/>
        </w:rPr>
        <w:t xml:space="preserve">). In total, the EPPO requested more than </w:t>
      </w:r>
      <w:r w:rsidR="00CC21E3">
        <w:rPr>
          <w:noProof/>
        </w:rPr>
        <w:t xml:space="preserve">EUR </w:t>
      </w:r>
      <w:r w:rsidRPr="00573D60">
        <w:rPr>
          <w:noProof/>
        </w:rPr>
        <w:t xml:space="preserve">152 million to be seized, and the seizure of more than </w:t>
      </w:r>
      <w:r w:rsidR="00CC21E3">
        <w:rPr>
          <w:noProof/>
        </w:rPr>
        <w:t xml:space="preserve">EUR </w:t>
      </w:r>
      <w:r w:rsidRPr="00573D60">
        <w:rPr>
          <w:noProof/>
        </w:rPr>
        <w:t xml:space="preserve">147 million was granted. </w:t>
      </w:r>
    </w:p>
    <w:p w14:paraId="53FEA5FE" w14:textId="7ED244FC" w:rsidR="00262A80" w:rsidRDefault="00A169C9" w:rsidP="00262A80">
      <w:pPr>
        <w:rPr>
          <w:noProof/>
        </w:rPr>
      </w:pPr>
      <w:r>
        <w:rPr>
          <w:noProof/>
        </w:rPr>
        <w:t>In accordance with the principle of legality, t</w:t>
      </w:r>
      <w:r w:rsidR="00262A80" w:rsidRPr="00262A80">
        <w:rPr>
          <w:noProof/>
        </w:rPr>
        <w:t xml:space="preserve">he EPPO </w:t>
      </w:r>
      <w:r>
        <w:rPr>
          <w:noProof/>
        </w:rPr>
        <w:t>is obliged to initiate</w:t>
      </w:r>
      <w:r w:rsidRPr="00262A80">
        <w:rPr>
          <w:noProof/>
        </w:rPr>
        <w:t xml:space="preserve"> </w:t>
      </w:r>
      <w:r>
        <w:rPr>
          <w:noProof/>
        </w:rPr>
        <w:t xml:space="preserve">investigations whenever </w:t>
      </w:r>
      <w:r w:rsidRPr="00FC7AA6">
        <w:rPr>
          <w:noProof/>
        </w:rPr>
        <w:t xml:space="preserve">there are reasonable grounds to believe that an offence within </w:t>
      </w:r>
      <w:r>
        <w:rPr>
          <w:noProof/>
        </w:rPr>
        <w:t xml:space="preserve">its </w:t>
      </w:r>
      <w:r w:rsidRPr="00FC7AA6">
        <w:rPr>
          <w:noProof/>
        </w:rPr>
        <w:t>competence is being or has been committed</w:t>
      </w:r>
      <w:r>
        <w:rPr>
          <w:noProof/>
        </w:rPr>
        <w:t>.</w:t>
      </w:r>
      <w:r w:rsidRPr="00262A80">
        <w:rPr>
          <w:noProof/>
        </w:rPr>
        <w:t xml:space="preserve"> </w:t>
      </w:r>
      <w:r>
        <w:rPr>
          <w:noProof/>
        </w:rPr>
        <w:t>N</w:t>
      </w:r>
      <w:r w:rsidRPr="00262A80">
        <w:rPr>
          <w:noProof/>
        </w:rPr>
        <w:t xml:space="preserve">ational authorities are legally obliged to </w:t>
      </w:r>
      <w:r>
        <w:rPr>
          <w:noProof/>
        </w:rPr>
        <w:t xml:space="preserve">report to the EPPO </w:t>
      </w:r>
      <w:r w:rsidRPr="00FC7AA6">
        <w:rPr>
          <w:noProof/>
        </w:rPr>
        <w:t xml:space="preserve">any criminal conduct in </w:t>
      </w:r>
      <w:r>
        <w:rPr>
          <w:noProof/>
        </w:rPr>
        <w:t>respect of which the EPPO</w:t>
      </w:r>
      <w:r w:rsidRPr="00FC7AA6">
        <w:rPr>
          <w:noProof/>
        </w:rPr>
        <w:t xml:space="preserve"> could exercise its competence</w:t>
      </w:r>
      <w:r>
        <w:rPr>
          <w:noProof/>
        </w:rPr>
        <w:t>. If national authorities have started investigating an offence falling with the EPPO’s competence and the EPPO decides to exercise its right of evocation</w:t>
      </w:r>
      <w:r w:rsidRPr="00262A80">
        <w:rPr>
          <w:noProof/>
        </w:rPr>
        <w:t xml:space="preserve">, </w:t>
      </w:r>
      <w:r>
        <w:rPr>
          <w:noProof/>
        </w:rPr>
        <w:t>they are obliged to hand over their cases to it</w:t>
      </w:r>
      <w:r w:rsidRPr="00262A80">
        <w:rPr>
          <w:noProof/>
        </w:rPr>
        <w:t xml:space="preserve">. </w:t>
      </w:r>
      <w:r w:rsidR="00262A80" w:rsidRPr="00262A80">
        <w:rPr>
          <w:noProof/>
        </w:rPr>
        <w:t xml:space="preserve">Investigations are initiated by the European Delegated Prosecutors in the participating Member States and overseen by 22 European Prosecutors and the European Chief Prosecutor in Luxembourg. </w:t>
      </w:r>
      <w:r>
        <w:rPr>
          <w:noProof/>
        </w:rPr>
        <w:t xml:space="preserve">The </w:t>
      </w:r>
      <w:r w:rsidR="00262A80" w:rsidRPr="00262A80">
        <w:rPr>
          <w:noProof/>
        </w:rPr>
        <w:t xml:space="preserve">European Delegated Prosecutors are embedded in national </w:t>
      </w:r>
      <w:r>
        <w:rPr>
          <w:noProof/>
        </w:rPr>
        <w:t xml:space="preserve">public prosecution services or </w:t>
      </w:r>
      <w:r w:rsidR="00262A80" w:rsidRPr="00262A80">
        <w:rPr>
          <w:noProof/>
        </w:rPr>
        <w:t>judiciaries. However, they can only be given direction with regard to their operational work by the EPPO headquarters, either through the 15 Permanent Chambers</w:t>
      </w:r>
      <w:r>
        <w:rPr>
          <w:noProof/>
        </w:rPr>
        <w:t xml:space="preserve"> </w:t>
      </w:r>
      <w:r w:rsidRPr="00A169C9">
        <w:rPr>
          <w:noProof/>
        </w:rPr>
        <w:t>or the 22 European Prosecutors</w:t>
      </w:r>
      <w:r w:rsidR="00262A80" w:rsidRPr="00262A80">
        <w:rPr>
          <w:noProof/>
        </w:rPr>
        <w:t>.</w:t>
      </w:r>
      <w:r w:rsidR="000A2CB4" w:rsidRPr="000A2CB4">
        <w:rPr>
          <w:noProof/>
        </w:rPr>
        <w:t xml:space="preserve"> </w:t>
      </w:r>
      <w:r w:rsidR="000A2CB4" w:rsidRPr="00573D60">
        <w:rPr>
          <w:noProof/>
        </w:rPr>
        <w:t xml:space="preserve">In 2021, 95 European Delegated Prosecutors were active and the intention is to appoint 140. The College of the EPPO has met 34 times and adopted 125 decisions. It amended and supplemented some decisions based on the first lessons learned, for instance, </w:t>
      </w:r>
      <w:r w:rsidR="00CC21E3">
        <w:rPr>
          <w:noProof/>
        </w:rPr>
        <w:t>about</w:t>
      </w:r>
      <w:r w:rsidR="000A2CB4" w:rsidRPr="00573D60">
        <w:rPr>
          <w:noProof/>
        </w:rPr>
        <w:t xml:space="preserve"> the allocation of cases to the Permanent Chambers or the verification of the information registered to assess the EPPO’s competence.</w:t>
      </w:r>
    </w:p>
    <w:p w14:paraId="6B32F0FD" w14:textId="280EA90B" w:rsidR="00CF1D95" w:rsidRDefault="00CF1D95" w:rsidP="008A6DCE">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26" w:name="_Toc105777770"/>
      <w:bookmarkStart w:id="27" w:name="_Toc110444013"/>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5</w:t>
      </w:r>
      <w:r w:rsidR="00EA0D7C">
        <w:rPr>
          <w:noProof/>
        </w:rPr>
        <w:fldChar w:fldCharType="end"/>
      </w:r>
      <w:r>
        <w:rPr>
          <w:noProof/>
        </w:rPr>
        <w:t xml:space="preserve"> – </w:t>
      </w:r>
      <w:r w:rsidR="006D7177">
        <w:rPr>
          <w:noProof/>
        </w:rPr>
        <w:t xml:space="preserve">The </w:t>
      </w:r>
      <w:r w:rsidR="006D7177" w:rsidRPr="006D7177">
        <w:rPr>
          <w:noProof/>
        </w:rPr>
        <w:t xml:space="preserve">Agreement establishing the modalities of cooperation between the Commission and the </w:t>
      </w:r>
      <w:r w:rsidR="006D7177">
        <w:rPr>
          <w:noProof/>
        </w:rPr>
        <w:t>EPPO</w:t>
      </w:r>
      <w:bookmarkEnd w:id="26"/>
      <w:bookmarkEnd w:id="27"/>
    </w:p>
    <w:p w14:paraId="524C5EA2" w14:textId="2B3AA54B" w:rsidR="00F7378C" w:rsidRDefault="00F7378C" w:rsidP="00F7378C">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The legal framework governing the EPPO provides that </w:t>
      </w:r>
      <w:r w:rsidR="00B61B75">
        <w:rPr>
          <w:noProof/>
        </w:rPr>
        <w:t xml:space="preserve">it </w:t>
      </w:r>
      <w:r>
        <w:rPr>
          <w:noProof/>
        </w:rPr>
        <w:t>establishes and maintains a cooperative relationship with the Commission for the purpose of protecting the EU’s financial interests. To that end, they have concluded an agreement setting out the modalities for their cooperation.</w:t>
      </w:r>
    </w:p>
    <w:p w14:paraId="5AB5674C" w14:textId="649AF635" w:rsidR="00F83AD7" w:rsidRDefault="00F7378C" w:rsidP="00F7378C">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The Agreement, signed on 18 June 2021, details the administrative arrangements for implementing the mutual information and consultation obligations set in the EPPO Regulation. They aim, on the one hand, at enabling the EPPO to effectively investigate and prosecute crimes affecting the EU budget; and, on the other, at enabling Commission </w:t>
      </w:r>
      <w:r w:rsidR="00396C5E">
        <w:rPr>
          <w:noProof/>
        </w:rPr>
        <w:t xml:space="preserve">departments </w:t>
      </w:r>
      <w:r>
        <w:rPr>
          <w:noProof/>
        </w:rPr>
        <w:t>to ensure an appropriate administrative, financial and disciplinary follow-up to the EPPO’s investigations, including precautionary measures to protect the EU budget.</w:t>
      </w:r>
    </w:p>
    <w:p w14:paraId="607AC7DD" w14:textId="01088503" w:rsidR="00CF1D95" w:rsidRPr="00CF1D95" w:rsidRDefault="00F7378C" w:rsidP="008A6DCE">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F7378C">
        <w:rPr>
          <w:noProof/>
        </w:rPr>
        <w:t>The Agreement specifies, in particular, a) the specific types of information or consultations to be transmitted in each case; b) the relevant contact points; c) the applicable procedures, communication tools, template and deadlines; and d) the conditions under which the EPPO is able to access specific relevant databases managed by the Commission. It also includes a reference to the close and timely cooperation between the Commission and the EPPO as regards the application of Regulation (EU) No 2020/2092 on a general regime of conditionality for the protection of the EU budget.</w:t>
      </w:r>
    </w:p>
    <w:p w14:paraId="6152661D" w14:textId="77777777" w:rsidR="00FE789E" w:rsidRDefault="00FE789E" w:rsidP="00CD7B44">
      <w:pPr>
        <w:pStyle w:val="Heading3"/>
        <w:rPr>
          <w:noProof/>
        </w:rPr>
      </w:pPr>
      <w:bookmarkStart w:id="28" w:name="_Toc110444041"/>
      <w:r>
        <w:rPr>
          <w:noProof/>
        </w:rPr>
        <w:t>European Court of Auditors</w:t>
      </w:r>
      <w:r w:rsidR="00F90561">
        <w:rPr>
          <w:noProof/>
        </w:rPr>
        <w:t xml:space="preserve"> (ECA)</w:t>
      </w:r>
      <w:bookmarkEnd w:id="28"/>
    </w:p>
    <w:p w14:paraId="312457E7" w14:textId="77777777" w:rsidR="00FE789E" w:rsidRDefault="0043307E" w:rsidP="00FE789E">
      <w:pPr>
        <w:rPr>
          <w:noProof/>
        </w:rPr>
      </w:pPr>
      <w:r w:rsidRPr="0043307E">
        <w:rPr>
          <w:noProof/>
        </w:rPr>
        <w:t xml:space="preserve">The </w:t>
      </w:r>
      <w:r w:rsidRPr="00A10036">
        <w:rPr>
          <w:b/>
          <w:noProof/>
        </w:rPr>
        <w:t>European Court of Auditors</w:t>
      </w:r>
      <w:r w:rsidRPr="0043307E">
        <w:rPr>
          <w:noProof/>
        </w:rPr>
        <w:t xml:space="preserve"> </w:t>
      </w:r>
      <w:r w:rsidR="00F90561">
        <w:rPr>
          <w:noProof/>
        </w:rPr>
        <w:t xml:space="preserve">(ECA) </w:t>
      </w:r>
      <w:r w:rsidRPr="0043307E">
        <w:rPr>
          <w:noProof/>
        </w:rPr>
        <w:t>assesses the economy, effectiveness, efficiency, legality and regularity of EU action to improve accountability, transparency and financial management.</w:t>
      </w:r>
    </w:p>
    <w:p w14:paraId="5A4D0BF0" w14:textId="052907D1" w:rsidR="0043307E" w:rsidRDefault="0043307E" w:rsidP="00A10036">
      <w:pPr>
        <w:pStyle w:val="Caption"/>
        <w:keepNext/>
        <w:pBdr>
          <w:top w:val="single" w:sz="4" w:space="1" w:color="auto"/>
          <w:left w:val="single" w:sz="4" w:space="1" w:color="auto"/>
          <w:bottom w:val="single" w:sz="4" w:space="1" w:color="auto"/>
          <w:right w:val="single" w:sz="4" w:space="1" w:color="auto"/>
        </w:pBdr>
        <w:shd w:val="clear" w:color="auto" w:fill="D9E2F3" w:themeFill="accent5" w:themeFillTint="33"/>
        <w:rPr>
          <w:noProof/>
        </w:rPr>
      </w:pPr>
      <w:bookmarkStart w:id="29" w:name="_Toc105777771"/>
      <w:bookmarkStart w:id="30" w:name="_Toc110444014"/>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6</w:t>
      </w:r>
      <w:r w:rsidR="00EA0D7C">
        <w:rPr>
          <w:noProof/>
        </w:rPr>
        <w:fldChar w:fldCharType="end"/>
      </w:r>
      <w:r>
        <w:rPr>
          <w:noProof/>
        </w:rPr>
        <w:t xml:space="preserve"> – The European Court of Auditors’ annual report</w:t>
      </w:r>
      <w:bookmarkEnd w:id="29"/>
      <w:bookmarkEnd w:id="30"/>
    </w:p>
    <w:p w14:paraId="58CFD9EA" w14:textId="36D94E13" w:rsidR="0043307E" w:rsidRPr="00B73A7A" w:rsidRDefault="0043307E" w:rsidP="0043307E">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sidRPr="00B73A7A">
        <w:rPr>
          <w:noProof/>
        </w:rPr>
        <w:t xml:space="preserve">Every year </w:t>
      </w:r>
      <w:r w:rsidR="004C0757">
        <w:rPr>
          <w:noProof/>
        </w:rPr>
        <w:t xml:space="preserve">the </w:t>
      </w:r>
      <w:r w:rsidR="00F90561">
        <w:rPr>
          <w:noProof/>
        </w:rPr>
        <w:t>ECA</w:t>
      </w:r>
      <w:r w:rsidRPr="00B73A7A">
        <w:rPr>
          <w:noProof/>
        </w:rPr>
        <w:t xml:space="preserve"> audits the revenue and expenditure of the EU budget and provides its opinion on the extent to which the annual accounts are reliable, and income and spending comply with the rules and regulations</w:t>
      </w:r>
      <w:r w:rsidR="004C0757">
        <w:rPr>
          <w:noProof/>
        </w:rPr>
        <w:t xml:space="preserve"> in force</w:t>
      </w:r>
      <w:r w:rsidRPr="00B73A7A">
        <w:rPr>
          <w:noProof/>
        </w:rPr>
        <w:t xml:space="preserve">. The annual report for the </w:t>
      </w:r>
      <w:r w:rsidR="004C0757">
        <w:rPr>
          <w:noProof/>
        </w:rPr>
        <w:t xml:space="preserve">2020 </w:t>
      </w:r>
      <w:r w:rsidRPr="00B73A7A">
        <w:rPr>
          <w:noProof/>
        </w:rPr>
        <w:t>financial year was published on 26 October 2021</w:t>
      </w:r>
      <w:r w:rsidR="00B61B75">
        <w:rPr>
          <w:rStyle w:val="FootnoteReference"/>
          <w:noProof/>
        </w:rPr>
        <w:footnoteReference w:id="27"/>
      </w:r>
      <w:r w:rsidRPr="00B73A7A">
        <w:rPr>
          <w:noProof/>
        </w:rPr>
        <w:t xml:space="preserve">. </w:t>
      </w:r>
    </w:p>
    <w:p w14:paraId="38E7DD25" w14:textId="24F23881" w:rsidR="0043307E" w:rsidRPr="0043307E" w:rsidRDefault="004C0757" w:rsidP="0043307E">
      <w:pPr>
        <w:pBdr>
          <w:top w:val="single" w:sz="4" w:space="1" w:color="auto"/>
          <w:left w:val="single" w:sz="4" w:space="1" w:color="auto"/>
          <w:bottom w:val="single" w:sz="4" w:space="1" w:color="auto"/>
          <w:right w:val="single" w:sz="4" w:space="1" w:color="auto"/>
        </w:pBdr>
        <w:shd w:val="clear" w:color="auto" w:fill="D9E2F3" w:themeFill="accent5" w:themeFillTint="33"/>
        <w:rPr>
          <w:noProof/>
        </w:rPr>
      </w:pPr>
      <w:r>
        <w:rPr>
          <w:noProof/>
        </w:rPr>
        <w:t xml:space="preserve">The </w:t>
      </w:r>
      <w:r w:rsidR="00F90561">
        <w:rPr>
          <w:noProof/>
        </w:rPr>
        <w:t>ECA</w:t>
      </w:r>
      <w:r w:rsidR="0043307E" w:rsidRPr="00B73A7A">
        <w:rPr>
          <w:noProof/>
        </w:rPr>
        <w:t xml:space="preserve"> concluded that the accounts were not affected by material misstatements. </w:t>
      </w:r>
      <w:r>
        <w:rPr>
          <w:noProof/>
        </w:rPr>
        <w:t xml:space="preserve">On </w:t>
      </w:r>
      <w:r w:rsidR="0043307E" w:rsidRPr="00B73A7A">
        <w:rPr>
          <w:noProof/>
        </w:rPr>
        <w:t xml:space="preserve">the regularity of transactions, it concluded that revenue was free from material error. </w:t>
      </w:r>
      <w:r>
        <w:rPr>
          <w:noProof/>
        </w:rPr>
        <w:t xml:space="preserve">On </w:t>
      </w:r>
      <w:r w:rsidR="0043307E" w:rsidRPr="00B73A7A">
        <w:rPr>
          <w:noProof/>
        </w:rPr>
        <w:t>expenditure, the audit results show that the estimated level of error remained the same as last year</w:t>
      </w:r>
      <w:r>
        <w:rPr>
          <w:noProof/>
        </w:rPr>
        <w:t>,</w:t>
      </w:r>
      <w:r w:rsidR="0043307E" w:rsidRPr="00B73A7A">
        <w:rPr>
          <w:noProof/>
        </w:rPr>
        <w:t xml:space="preserve"> 2.7%. High-risk (mainly reimbursement-based) expenditure was affected by a material level of error. In 2021, six instances of suspected fraud were reported to OLAF.</w:t>
      </w:r>
    </w:p>
    <w:p w14:paraId="321BA6F0" w14:textId="77777777" w:rsidR="00FE789E" w:rsidRDefault="00FE789E" w:rsidP="00CD7B44">
      <w:pPr>
        <w:pStyle w:val="Heading3"/>
        <w:rPr>
          <w:noProof/>
        </w:rPr>
      </w:pPr>
      <w:bookmarkStart w:id="31" w:name="_Toc110444042"/>
      <w:r>
        <w:rPr>
          <w:noProof/>
        </w:rPr>
        <w:t>Eurojust</w:t>
      </w:r>
      <w:bookmarkEnd w:id="31"/>
    </w:p>
    <w:p w14:paraId="69E01E80" w14:textId="0B22EB80" w:rsidR="00FE789E" w:rsidRDefault="0043307E" w:rsidP="00FE789E">
      <w:pPr>
        <w:rPr>
          <w:noProof/>
        </w:rPr>
      </w:pPr>
      <w:r w:rsidRPr="0043307E">
        <w:rPr>
          <w:b/>
          <w:noProof/>
        </w:rPr>
        <w:t>Eurojust</w:t>
      </w:r>
      <w:r w:rsidRPr="0043307E">
        <w:rPr>
          <w:noProof/>
        </w:rPr>
        <w:t xml:space="preserve">, the European Union Agency for Criminal Justice Cooperation, coordinates the work of national authorities – from the Member States </w:t>
      </w:r>
      <w:r w:rsidR="004C0757">
        <w:rPr>
          <w:noProof/>
        </w:rPr>
        <w:t>and</w:t>
      </w:r>
      <w:r w:rsidRPr="0043307E">
        <w:rPr>
          <w:noProof/>
        </w:rPr>
        <w:t xml:space="preserve"> non-EU countries – in investigating and prosecuting cross-border crime.</w:t>
      </w:r>
      <w:r>
        <w:rPr>
          <w:noProof/>
        </w:rPr>
        <w:t xml:space="preserve"> In the protection of the EU’s financial interests, it </w:t>
      </w:r>
      <w:r w:rsidR="00A169C9">
        <w:rPr>
          <w:noProof/>
        </w:rPr>
        <w:t xml:space="preserve">mostly </w:t>
      </w:r>
      <w:r>
        <w:rPr>
          <w:noProof/>
        </w:rPr>
        <w:t xml:space="preserve">plays its role in relation to the Member States </w:t>
      </w:r>
      <w:r w:rsidR="00A169C9">
        <w:rPr>
          <w:noProof/>
        </w:rPr>
        <w:t xml:space="preserve">that do not participate in </w:t>
      </w:r>
      <w:r>
        <w:rPr>
          <w:noProof/>
        </w:rPr>
        <w:t>the EPPO.</w:t>
      </w:r>
    </w:p>
    <w:p w14:paraId="55FF021E" w14:textId="273F7810" w:rsidR="0043307E" w:rsidRDefault="00C87DB6" w:rsidP="00C87DB6">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32" w:name="_Toc105777772"/>
      <w:bookmarkStart w:id="33" w:name="_Toc110444015"/>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7</w:t>
      </w:r>
      <w:r w:rsidR="00EA0D7C">
        <w:rPr>
          <w:noProof/>
        </w:rPr>
        <w:fldChar w:fldCharType="end"/>
      </w:r>
      <w:r>
        <w:rPr>
          <w:noProof/>
        </w:rPr>
        <w:t xml:space="preserve"> – Eurojust’s highlights in 2021</w:t>
      </w:r>
      <w:bookmarkEnd w:id="32"/>
      <w:bookmarkEnd w:id="33"/>
    </w:p>
    <w:p w14:paraId="33012F23" w14:textId="525AEB08" w:rsidR="00C87DB6"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EE2ED6">
        <w:rPr>
          <w:noProof/>
        </w:rPr>
        <w:t xml:space="preserve">In 2021, Eurojust continued its operational work on fighting fraud </w:t>
      </w:r>
      <w:r w:rsidR="004C0757">
        <w:rPr>
          <w:noProof/>
        </w:rPr>
        <w:t>affecting</w:t>
      </w:r>
      <w:r w:rsidR="004C0757" w:rsidRPr="00EE2ED6">
        <w:rPr>
          <w:noProof/>
        </w:rPr>
        <w:t xml:space="preserve"> </w:t>
      </w:r>
      <w:r w:rsidRPr="00EE2ED6">
        <w:rPr>
          <w:noProof/>
        </w:rPr>
        <w:t>the EU budget and other PIF crimes together with</w:t>
      </w:r>
      <w:r w:rsidR="00A169C9">
        <w:rPr>
          <w:noProof/>
        </w:rPr>
        <w:t xml:space="preserve"> the</w:t>
      </w:r>
      <w:r w:rsidRPr="00EE2ED6">
        <w:rPr>
          <w:noProof/>
        </w:rPr>
        <w:t xml:space="preserve"> EPPO, OLAF and Europol. Cooperation in the fight against fraud included Eurojust’s involvement in Operation </w:t>
      </w:r>
      <w:r>
        <w:rPr>
          <w:noProof/>
        </w:rPr>
        <w:t>SENTINEL</w:t>
      </w:r>
      <w:r w:rsidR="00C87DB6">
        <w:rPr>
          <w:noProof/>
        </w:rPr>
        <w:t xml:space="preserve">, aimed </w:t>
      </w:r>
      <w:r w:rsidR="004C0757">
        <w:rPr>
          <w:noProof/>
        </w:rPr>
        <w:t xml:space="preserve">at </w:t>
      </w:r>
      <w:r w:rsidR="00C87DB6">
        <w:rPr>
          <w:noProof/>
        </w:rPr>
        <w:t>protect</w:t>
      </w:r>
      <w:r w:rsidR="004C0757">
        <w:rPr>
          <w:noProof/>
        </w:rPr>
        <w:t>ing</w:t>
      </w:r>
      <w:r w:rsidR="00C87DB6">
        <w:rPr>
          <w:noProof/>
        </w:rPr>
        <w:t xml:space="preserve"> funds </w:t>
      </w:r>
      <w:r w:rsidR="004C0757">
        <w:rPr>
          <w:noProof/>
        </w:rPr>
        <w:t xml:space="preserve">in connection with </w:t>
      </w:r>
      <w:r w:rsidR="00C87DB6">
        <w:rPr>
          <w:noProof/>
        </w:rPr>
        <w:t xml:space="preserve">the NextGenerationEU initiative against fraud, corruption and any other illegal </w:t>
      </w:r>
      <w:r w:rsidR="004C0757">
        <w:rPr>
          <w:noProof/>
        </w:rPr>
        <w:t xml:space="preserve">activities </w:t>
      </w:r>
      <w:r w:rsidR="00C87DB6">
        <w:rPr>
          <w:noProof/>
        </w:rPr>
        <w:t xml:space="preserve">affecting </w:t>
      </w:r>
      <w:r w:rsidR="004C0757">
        <w:rPr>
          <w:noProof/>
        </w:rPr>
        <w:t xml:space="preserve">the </w:t>
      </w:r>
      <w:r w:rsidR="00C87DB6">
        <w:rPr>
          <w:noProof/>
        </w:rPr>
        <w:t>EU’s financial interests</w:t>
      </w:r>
      <w:r>
        <w:rPr>
          <w:noProof/>
        </w:rPr>
        <w:t xml:space="preserve"> (see </w:t>
      </w:r>
      <w:r>
        <w:rPr>
          <w:b/>
          <w:noProof/>
        </w:rPr>
        <w:t>Snapshot 1</w:t>
      </w:r>
      <w:r w:rsidR="00815D66">
        <w:rPr>
          <w:b/>
          <w:noProof/>
        </w:rPr>
        <w:t>1</w:t>
      </w:r>
      <w:r>
        <w:rPr>
          <w:noProof/>
        </w:rPr>
        <w:t>)</w:t>
      </w:r>
      <w:r w:rsidR="00C87DB6">
        <w:rPr>
          <w:noProof/>
        </w:rPr>
        <w:t xml:space="preserve">. </w:t>
      </w:r>
    </w:p>
    <w:p w14:paraId="4F7A1D51" w14:textId="11244ACE" w:rsidR="00C87DB6"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EE2ED6">
        <w:rPr>
          <w:noProof/>
        </w:rPr>
        <w:t>Eurojust’s cooperation with the EPPO</w:t>
      </w:r>
      <w:r w:rsidR="004C0757">
        <w:rPr>
          <w:noProof/>
        </w:rPr>
        <w:t xml:space="preserve"> began in 2021</w:t>
      </w:r>
      <w:r w:rsidRPr="00EE2ED6">
        <w:rPr>
          <w:noProof/>
        </w:rPr>
        <w:t xml:space="preserve">. After signing their </w:t>
      </w:r>
      <w:r w:rsidR="003820D0">
        <w:rPr>
          <w:noProof/>
        </w:rPr>
        <w:t>w</w:t>
      </w:r>
      <w:r w:rsidRPr="00EE2ED6">
        <w:rPr>
          <w:noProof/>
        </w:rPr>
        <w:t xml:space="preserve">orking </w:t>
      </w:r>
      <w:r w:rsidR="003820D0">
        <w:rPr>
          <w:noProof/>
        </w:rPr>
        <w:t>a</w:t>
      </w:r>
      <w:r w:rsidRPr="00EE2ED6">
        <w:rPr>
          <w:noProof/>
        </w:rPr>
        <w:t xml:space="preserve">rrangement in February 2021, Eurojust started cooperating with the EPPO in investigations soon after the EPPO </w:t>
      </w:r>
      <w:r w:rsidR="00396C5E">
        <w:rPr>
          <w:noProof/>
        </w:rPr>
        <w:t>started</w:t>
      </w:r>
      <w:r w:rsidRPr="00EE2ED6">
        <w:rPr>
          <w:noProof/>
        </w:rPr>
        <w:t xml:space="preserve"> its operational work on 1</w:t>
      </w:r>
      <w:r w:rsidR="003820D0">
        <w:rPr>
          <w:noProof/>
        </w:rPr>
        <w:t xml:space="preserve"> </w:t>
      </w:r>
      <w:r w:rsidRPr="00EE2ED6">
        <w:rPr>
          <w:noProof/>
        </w:rPr>
        <w:t>June 2021.</w:t>
      </w:r>
    </w:p>
    <w:p w14:paraId="1AC390D5" w14:textId="572E18C0" w:rsidR="00C87DB6" w:rsidRPr="00C87DB6" w:rsidRDefault="00EE2ED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EE2ED6">
        <w:rPr>
          <w:noProof/>
        </w:rPr>
        <w:t xml:space="preserve">OLAF remained an important operational partner for Eurojust in 2021 </w:t>
      </w:r>
      <w:r w:rsidR="001B0643" w:rsidRPr="00EE2ED6">
        <w:rPr>
          <w:noProof/>
        </w:rPr>
        <w:t>participat</w:t>
      </w:r>
      <w:r w:rsidR="001B0643">
        <w:rPr>
          <w:noProof/>
        </w:rPr>
        <w:t>ing</w:t>
      </w:r>
      <w:r w:rsidR="001B0643" w:rsidRPr="00EE2ED6">
        <w:rPr>
          <w:noProof/>
        </w:rPr>
        <w:t xml:space="preserve"> </w:t>
      </w:r>
      <w:r w:rsidRPr="00EE2ED6">
        <w:rPr>
          <w:noProof/>
        </w:rPr>
        <w:t xml:space="preserve">in several coordination meetings on cases affecting the EU budget. </w:t>
      </w:r>
      <w:r w:rsidR="001B0643">
        <w:rPr>
          <w:noProof/>
        </w:rPr>
        <w:t>T</w:t>
      </w:r>
      <w:r w:rsidRPr="00EE2ED6">
        <w:rPr>
          <w:noProof/>
        </w:rPr>
        <w:t xml:space="preserve">he two bodies </w:t>
      </w:r>
      <w:r w:rsidR="001B0643">
        <w:rPr>
          <w:noProof/>
        </w:rPr>
        <w:t xml:space="preserve">also </w:t>
      </w:r>
      <w:r w:rsidRPr="00EE2ED6">
        <w:rPr>
          <w:noProof/>
        </w:rPr>
        <w:t xml:space="preserve">established a new workflow for </w:t>
      </w:r>
      <w:r w:rsidR="001B0643">
        <w:rPr>
          <w:noProof/>
        </w:rPr>
        <w:t xml:space="preserve">closer </w:t>
      </w:r>
      <w:r w:rsidRPr="00EE2ED6">
        <w:rPr>
          <w:noProof/>
        </w:rPr>
        <w:t xml:space="preserve">cooperation and continued to work on the evaluation of </w:t>
      </w:r>
      <w:r w:rsidR="00F90561">
        <w:rPr>
          <w:noProof/>
        </w:rPr>
        <w:t>Joint Investigation Teams (</w:t>
      </w:r>
      <w:r w:rsidRPr="00EE2ED6">
        <w:rPr>
          <w:noProof/>
        </w:rPr>
        <w:t>JIT</w:t>
      </w:r>
      <w:r w:rsidR="00F90561">
        <w:rPr>
          <w:noProof/>
        </w:rPr>
        <w:t>)</w:t>
      </w:r>
      <w:r w:rsidRPr="00EE2ED6">
        <w:rPr>
          <w:noProof/>
        </w:rPr>
        <w:t xml:space="preserve"> in which OLAF participated. As in previous years, Eurojust and OLAF continued to share expertise </w:t>
      </w:r>
      <w:r w:rsidR="001B0643">
        <w:rPr>
          <w:noProof/>
        </w:rPr>
        <w:t xml:space="preserve">with each other </w:t>
      </w:r>
      <w:r w:rsidRPr="00EE2ED6">
        <w:rPr>
          <w:noProof/>
        </w:rPr>
        <w:t xml:space="preserve">on the fight against fraud. Following </w:t>
      </w:r>
      <w:r w:rsidR="001B0643">
        <w:rPr>
          <w:noProof/>
        </w:rPr>
        <w:t xml:space="preserve">the </w:t>
      </w:r>
      <w:r w:rsidRPr="00EE2ED6">
        <w:rPr>
          <w:noProof/>
        </w:rPr>
        <w:t xml:space="preserve">Eurojust seminar for OLAF investigators in 2020, in 2021 Eurojust experts attended presentations </w:t>
      </w:r>
      <w:r w:rsidR="001B0643">
        <w:rPr>
          <w:noProof/>
        </w:rPr>
        <w:t xml:space="preserve">by OLAF </w:t>
      </w:r>
      <w:r w:rsidRPr="00EE2ED6">
        <w:rPr>
          <w:noProof/>
        </w:rPr>
        <w:t xml:space="preserve">on case studies, data analysis methods </w:t>
      </w:r>
      <w:r w:rsidR="001B0643">
        <w:rPr>
          <w:noProof/>
        </w:rPr>
        <w:t>and</w:t>
      </w:r>
      <w:r w:rsidRPr="00EE2ED6">
        <w:rPr>
          <w:noProof/>
        </w:rPr>
        <w:t xml:space="preserve"> the revised legal framework applicable to OLAF investigations</w:t>
      </w:r>
      <w:r w:rsidR="00C87DB6">
        <w:rPr>
          <w:noProof/>
        </w:rPr>
        <w:t>.</w:t>
      </w:r>
    </w:p>
    <w:p w14:paraId="5B97FE23" w14:textId="77777777" w:rsidR="00FE789E" w:rsidRDefault="00FE789E" w:rsidP="00CD7B44">
      <w:pPr>
        <w:pStyle w:val="Heading3"/>
        <w:rPr>
          <w:noProof/>
        </w:rPr>
      </w:pPr>
      <w:bookmarkStart w:id="34" w:name="_Toc110444043"/>
      <w:r>
        <w:rPr>
          <w:noProof/>
        </w:rPr>
        <w:t>Europol</w:t>
      </w:r>
      <w:bookmarkEnd w:id="34"/>
    </w:p>
    <w:p w14:paraId="70FD7ED8" w14:textId="045A8DEB" w:rsidR="00C87DB6" w:rsidRDefault="00C87DB6" w:rsidP="00C87DB6">
      <w:pPr>
        <w:rPr>
          <w:noProof/>
        </w:rPr>
      </w:pPr>
      <w:r w:rsidRPr="00C87DB6">
        <w:rPr>
          <w:b/>
          <w:noProof/>
        </w:rPr>
        <w:t>Europol</w:t>
      </w:r>
      <w:r w:rsidRPr="00C87DB6">
        <w:rPr>
          <w:noProof/>
        </w:rPr>
        <w:t xml:space="preserve">, the European Union Agency for Law Enforcement Cooperation serves as a support centre for law enforcement operations, </w:t>
      </w:r>
      <w:r w:rsidR="001B0643">
        <w:rPr>
          <w:noProof/>
        </w:rPr>
        <w:t xml:space="preserve">a </w:t>
      </w:r>
      <w:r w:rsidRPr="00C87DB6">
        <w:rPr>
          <w:noProof/>
        </w:rPr>
        <w:t xml:space="preserve">hub for information on criminal activities, and </w:t>
      </w:r>
      <w:r w:rsidR="001B0643">
        <w:rPr>
          <w:noProof/>
        </w:rPr>
        <w:t xml:space="preserve">a </w:t>
      </w:r>
      <w:r w:rsidRPr="00C87DB6">
        <w:rPr>
          <w:noProof/>
        </w:rPr>
        <w:t>centre for law enforcement expertise.</w:t>
      </w:r>
    </w:p>
    <w:p w14:paraId="47F82785" w14:textId="0B18F68A" w:rsidR="00C87DB6" w:rsidRDefault="00C87DB6" w:rsidP="00C87DB6">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35" w:name="_Toc105777773"/>
      <w:bookmarkStart w:id="36" w:name="_Toc110444016"/>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8</w:t>
      </w:r>
      <w:r w:rsidR="00EA0D7C">
        <w:rPr>
          <w:noProof/>
        </w:rPr>
        <w:fldChar w:fldCharType="end"/>
      </w:r>
      <w:r>
        <w:rPr>
          <w:noProof/>
        </w:rPr>
        <w:t xml:space="preserve"> –Europol in </w:t>
      </w:r>
      <w:bookmarkEnd w:id="35"/>
      <w:r w:rsidR="00DF2B13">
        <w:rPr>
          <w:noProof/>
        </w:rPr>
        <w:t>2021</w:t>
      </w:r>
      <w:bookmarkEnd w:id="36"/>
    </w:p>
    <w:p w14:paraId="1610E752" w14:textId="16313216" w:rsidR="00C87DB6" w:rsidRDefault="00C87DB6"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C87DB6">
        <w:rPr>
          <w:noProof/>
        </w:rPr>
        <w:t>In September 2021, Europol’s European Financial and Economic Crime Centre (EFECC)</w:t>
      </w:r>
      <w:r w:rsidR="001B0643">
        <w:rPr>
          <w:noProof/>
        </w:rPr>
        <w:t>,</w:t>
      </w:r>
      <w:r w:rsidRPr="00C87DB6">
        <w:rPr>
          <w:noProof/>
        </w:rPr>
        <w:t xml:space="preserve"> in cooperation with the Italian authorities</w:t>
      </w:r>
      <w:r w:rsidR="001B0643">
        <w:rPr>
          <w:noProof/>
        </w:rPr>
        <w:t>,</w:t>
      </w:r>
      <w:r w:rsidRPr="00C87DB6">
        <w:rPr>
          <w:noProof/>
        </w:rPr>
        <w:t xml:space="preserve"> held a high level law enforcement meeting in Rome and agreed on the following principle: </w:t>
      </w:r>
      <w:r>
        <w:rPr>
          <w:noProof/>
        </w:rPr>
        <w:t>a</w:t>
      </w:r>
      <w:r w:rsidRPr="00C87DB6">
        <w:rPr>
          <w:noProof/>
        </w:rPr>
        <w:t xml:space="preserve">ny threat to the </w:t>
      </w:r>
      <w:r w:rsidR="007004DA">
        <w:rPr>
          <w:noProof/>
        </w:rPr>
        <w:t xml:space="preserve">RRF </w:t>
      </w:r>
      <w:r w:rsidR="00916AE2">
        <w:rPr>
          <w:noProof/>
        </w:rPr>
        <w:t xml:space="preserve">impinges on </w:t>
      </w:r>
      <w:r w:rsidRPr="00C87DB6">
        <w:rPr>
          <w:noProof/>
        </w:rPr>
        <w:t xml:space="preserve">the financial well-being of the </w:t>
      </w:r>
      <w:r w:rsidR="00916AE2">
        <w:rPr>
          <w:noProof/>
        </w:rPr>
        <w:t>E</w:t>
      </w:r>
      <w:r w:rsidRPr="00C87DB6">
        <w:rPr>
          <w:noProof/>
        </w:rPr>
        <w:t>U.</w:t>
      </w:r>
    </w:p>
    <w:p w14:paraId="2186EBA4" w14:textId="1A4B1BAA" w:rsidR="00C87DB6" w:rsidRPr="00C87DB6" w:rsidRDefault="00CA7457" w:rsidP="00C87DB6">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Also in September</w:t>
      </w:r>
      <w:r w:rsidR="00916AE2">
        <w:rPr>
          <w:noProof/>
        </w:rPr>
        <w:t xml:space="preserve"> 2021</w:t>
      </w:r>
      <w:r w:rsidR="00C87DB6">
        <w:rPr>
          <w:noProof/>
        </w:rPr>
        <w:t xml:space="preserve">, </w:t>
      </w:r>
      <w:r w:rsidR="00C87DB6" w:rsidRPr="00C87DB6">
        <w:rPr>
          <w:noProof/>
        </w:rPr>
        <w:t>Europol</w:t>
      </w:r>
      <w:r w:rsidR="00C87DB6">
        <w:rPr>
          <w:noProof/>
        </w:rPr>
        <w:t>, OLAF, the EPPO, Eurojust and 21 Member States</w:t>
      </w:r>
      <w:r w:rsidR="00C87DB6" w:rsidRPr="00C87DB6">
        <w:rPr>
          <w:noProof/>
        </w:rPr>
        <w:t xml:space="preserve"> </w:t>
      </w:r>
      <w:r w:rsidR="00916AE2" w:rsidRPr="00C87DB6">
        <w:rPr>
          <w:noProof/>
        </w:rPr>
        <w:t>join</w:t>
      </w:r>
      <w:r w:rsidR="00916AE2">
        <w:rPr>
          <w:noProof/>
        </w:rPr>
        <w:t>ed</w:t>
      </w:r>
      <w:r w:rsidR="00916AE2" w:rsidRPr="00C87DB6">
        <w:rPr>
          <w:noProof/>
        </w:rPr>
        <w:t xml:space="preserve"> </w:t>
      </w:r>
      <w:r w:rsidR="00C87DB6" w:rsidRPr="00C87DB6">
        <w:rPr>
          <w:noProof/>
        </w:rPr>
        <w:t xml:space="preserve">forces </w:t>
      </w:r>
      <w:r w:rsidR="00C87DB6">
        <w:rPr>
          <w:noProof/>
        </w:rPr>
        <w:t xml:space="preserve">in </w:t>
      </w:r>
      <w:r w:rsidR="00916AE2">
        <w:rPr>
          <w:noProof/>
        </w:rPr>
        <w:t>O</w:t>
      </w:r>
      <w:r w:rsidR="00C87DB6">
        <w:rPr>
          <w:noProof/>
        </w:rPr>
        <w:t>peration SENTINEL</w:t>
      </w:r>
      <w:r w:rsidR="00C11507">
        <w:rPr>
          <w:noProof/>
        </w:rPr>
        <w:t xml:space="preserve"> (see </w:t>
      </w:r>
      <w:r w:rsidR="00C11507">
        <w:rPr>
          <w:b/>
          <w:noProof/>
        </w:rPr>
        <w:t xml:space="preserve">Snapshot </w:t>
      </w:r>
      <w:r w:rsidR="00EE2ED6">
        <w:rPr>
          <w:b/>
          <w:noProof/>
        </w:rPr>
        <w:t>1</w:t>
      </w:r>
      <w:r w:rsidR="007004DA">
        <w:rPr>
          <w:b/>
          <w:noProof/>
        </w:rPr>
        <w:t>1</w:t>
      </w:r>
      <w:r w:rsidR="00C11507">
        <w:rPr>
          <w:noProof/>
        </w:rPr>
        <w:t>).</w:t>
      </w:r>
    </w:p>
    <w:p w14:paraId="500AA48E" w14:textId="4E711363" w:rsidR="00FE789E" w:rsidRDefault="00FE789E" w:rsidP="00FE789E">
      <w:pPr>
        <w:pStyle w:val="Heading2"/>
        <w:rPr>
          <w:noProof/>
        </w:rPr>
      </w:pPr>
      <w:bookmarkStart w:id="37" w:name="_Toc110444044"/>
      <w:r>
        <w:rPr>
          <w:noProof/>
        </w:rPr>
        <w:t>Member State</w:t>
      </w:r>
      <w:r w:rsidR="00FB5CF5">
        <w:rPr>
          <w:noProof/>
        </w:rPr>
        <w:t xml:space="preserve"> level</w:t>
      </w:r>
      <w:bookmarkEnd w:id="37"/>
    </w:p>
    <w:p w14:paraId="4357BB58" w14:textId="77777777" w:rsidR="008324C8" w:rsidRDefault="00A27EF6" w:rsidP="00CD7B44">
      <w:pPr>
        <w:pStyle w:val="Heading3"/>
        <w:rPr>
          <w:noProof/>
        </w:rPr>
      </w:pPr>
      <w:bookmarkStart w:id="38" w:name="_Toc110444045"/>
      <w:r>
        <w:rPr>
          <w:noProof/>
        </w:rPr>
        <w:t>Anti-fraud Coordination Services (AFCOS)</w:t>
      </w:r>
      <w:bookmarkEnd w:id="38"/>
    </w:p>
    <w:p w14:paraId="17BAFE0E" w14:textId="7FCECEB5" w:rsidR="00A27EF6" w:rsidRDefault="00A27EF6" w:rsidP="00A27EF6">
      <w:pPr>
        <w:rPr>
          <w:noProof/>
        </w:rPr>
      </w:pPr>
      <w:r>
        <w:rPr>
          <w:noProof/>
        </w:rPr>
        <w:t>Since 2013</w:t>
      </w:r>
      <w:r>
        <w:rPr>
          <w:rStyle w:val="FootnoteReference"/>
          <w:noProof/>
        </w:rPr>
        <w:footnoteReference w:id="28"/>
      </w:r>
      <w:r>
        <w:rPr>
          <w:noProof/>
        </w:rPr>
        <w:t xml:space="preserve"> </w:t>
      </w:r>
      <w:r w:rsidR="00916AE2">
        <w:rPr>
          <w:noProof/>
        </w:rPr>
        <w:t xml:space="preserve">the </w:t>
      </w:r>
      <w:r>
        <w:rPr>
          <w:noProof/>
        </w:rPr>
        <w:t xml:space="preserve">Member States </w:t>
      </w:r>
      <w:r w:rsidR="00916AE2">
        <w:rPr>
          <w:noProof/>
        </w:rPr>
        <w:t xml:space="preserve">have been </w:t>
      </w:r>
      <w:r>
        <w:rPr>
          <w:noProof/>
        </w:rPr>
        <w:t xml:space="preserve">required to designate an </w:t>
      </w:r>
      <w:r w:rsidR="00F90561" w:rsidRPr="00A10036">
        <w:rPr>
          <w:b/>
          <w:noProof/>
        </w:rPr>
        <w:t>anti-fraud coordination service</w:t>
      </w:r>
      <w:r w:rsidR="00F90561">
        <w:rPr>
          <w:noProof/>
        </w:rPr>
        <w:t xml:space="preserve"> (</w:t>
      </w:r>
      <w:r>
        <w:rPr>
          <w:noProof/>
        </w:rPr>
        <w:t>AFCOS</w:t>
      </w:r>
      <w:r w:rsidR="00F90561">
        <w:rPr>
          <w:noProof/>
        </w:rPr>
        <w:t>)</w:t>
      </w:r>
      <w:r>
        <w:rPr>
          <w:noProof/>
        </w:rPr>
        <w:t xml:space="preserve"> to facilitate effective cooperation and </w:t>
      </w:r>
      <w:r w:rsidR="00916AE2">
        <w:rPr>
          <w:noProof/>
        </w:rPr>
        <w:t xml:space="preserve">the </w:t>
      </w:r>
      <w:r>
        <w:rPr>
          <w:noProof/>
        </w:rPr>
        <w:t xml:space="preserve">exchange of information, including operational </w:t>
      </w:r>
      <w:r w:rsidR="00916AE2">
        <w:rPr>
          <w:noProof/>
        </w:rPr>
        <w:t>information</w:t>
      </w:r>
      <w:r>
        <w:rPr>
          <w:noProof/>
        </w:rPr>
        <w:t xml:space="preserve">, with OLAF. Member States are </w:t>
      </w:r>
      <w:r w:rsidR="00916AE2">
        <w:rPr>
          <w:noProof/>
        </w:rPr>
        <w:t xml:space="preserve">free to decide </w:t>
      </w:r>
      <w:r>
        <w:rPr>
          <w:noProof/>
        </w:rPr>
        <w:t>where to best place the AFCOS in their national administrative structure</w:t>
      </w:r>
      <w:r w:rsidR="00F90561">
        <w:rPr>
          <w:noProof/>
        </w:rPr>
        <w:t xml:space="preserve"> and what powers </w:t>
      </w:r>
      <w:r w:rsidR="00916AE2">
        <w:rPr>
          <w:noProof/>
        </w:rPr>
        <w:t xml:space="preserve">the </w:t>
      </w:r>
      <w:r w:rsidR="00F90561">
        <w:rPr>
          <w:noProof/>
        </w:rPr>
        <w:t>service</w:t>
      </w:r>
      <w:r w:rsidR="00916AE2">
        <w:rPr>
          <w:noProof/>
        </w:rPr>
        <w:t xml:space="preserve"> will have</w:t>
      </w:r>
      <w:r>
        <w:rPr>
          <w:noProof/>
        </w:rPr>
        <w:t>.</w:t>
      </w:r>
    </w:p>
    <w:p w14:paraId="7BB125D1" w14:textId="310D8904" w:rsidR="00A27EF6" w:rsidRDefault="00A27EF6" w:rsidP="00A27EF6">
      <w:pPr>
        <w:rPr>
          <w:noProof/>
        </w:rPr>
      </w:pPr>
      <w:r w:rsidRPr="00A27EF6">
        <w:rPr>
          <w:noProof/>
        </w:rPr>
        <w:t xml:space="preserve">The mandate of the AFCOS may vary, depending on country-specific circumstances. In all cases however, </w:t>
      </w:r>
      <w:r w:rsidR="00916AE2">
        <w:rPr>
          <w:noProof/>
        </w:rPr>
        <w:t>its remit</w:t>
      </w:r>
      <w:r w:rsidRPr="00A27EF6">
        <w:rPr>
          <w:noProof/>
        </w:rPr>
        <w:t xml:space="preserve"> should </w:t>
      </w:r>
      <w:r w:rsidR="00916AE2">
        <w:rPr>
          <w:noProof/>
        </w:rPr>
        <w:t xml:space="preserve">include </w:t>
      </w:r>
      <w:r>
        <w:rPr>
          <w:noProof/>
        </w:rPr>
        <w:t>e</w:t>
      </w:r>
      <w:r w:rsidRPr="00A27EF6">
        <w:rPr>
          <w:noProof/>
        </w:rPr>
        <w:t>nsuring co-operation with OLAF</w:t>
      </w:r>
      <w:r>
        <w:rPr>
          <w:noProof/>
        </w:rPr>
        <w:t xml:space="preserve"> and c</w:t>
      </w:r>
      <w:r w:rsidRPr="00A27EF6">
        <w:rPr>
          <w:noProof/>
        </w:rPr>
        <w:t xml:space="preserve">o-ordinating, in the </w:t>
      </w:r>
      <w:r w:rsidR="00F90561">
        <w:rPr>
          <w:noProof/>
        </w:rPr>
        <w:t>Member State</w:t>
      </w:r>
      <w:r w:rsidR="00916AE2">
        <w:rPr>
          <w:noProof/>
        </w:rPr>
        <w:t xml:space="preserve"> concerned</w:t>
      </w:r>
      <w:r w:rsidRPr="00A27EF6">
        <w:rPr>
          <w:noProof/>
        </w:rPr>
        <w:t>, legislative, administrative and investigative obligations and activities related to the protection of the EU’s financial interests</w:t>
      </w:r>
      <w:r w:rsidR="00AB46D0">
        <w:rPr>
          <w:noProof/>
        </w:rPr>
        <w:t>.</w:t>
      </w:r>
    </w:p>
    <w:p w14:paraId="5604AEBF" w14:textId="55154095" w:rsidR="00AB46D0" w:rsidRDefault="00AB46D0" w:rsidP="00AB46D0">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39" w:name="_Toc105777774"/>
      <w:bookmarkStart w:id="40" w:name="_Toc110444017"/>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9</w:t>
      </w:r>
      <w:r w:rsidR="00EA0D7C">
        <w:rPr>
          <w:noProof/>
        </w:rPr>
        <w:fldChar w:fldCharType="end"/>
      </w:r>
      <w:r>
        <w:rPr>
          <w:noProof/>
        </w:rPr>
        <w:t xml:space="preserve"> – </w:t>
      </w:r>
      <w:r w:rsidR="00756FF8">
        <w:rPr>
          <w:noProof/>
        </w:rPr>
        <w:t xml:space="preserve">Measures </w:t>
      </w:r>
      <w:r>
        <w:rPr>
          <w:noProof/>
        </w:rPr>
        <w:t>adopted by the Member States in 2021</w:t>
      </w:r>
      <w:bookmarkEnd w:id="39"/>
      <w:r w:rsidR="00916AE2">
        <w:rPr>
          <w:rStyle w:val="FootnoteReference"/>
          <w:noProof/>
        </w:rPr>
        <w:footnoteReference w:id="29"/>
      </w:r>
      <w:bookmarkEnd w:id="40"/>
    </w:p>
    <w:p w14:paraId="0CB0BDEA" w14:textId="7DD748DA" w:rsidR="00AB46D0" w:rsidRDefault="00AB46D0" w:rsidP="00AB46D0">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AB46D0">
        <w:rPr>
          <w:noProof/>
        </w:rPr>
        <w:t xml:space="preserve">Luxembourg and Latvia strengthened their AFCOS. In </w:t>
      </w:r>
      <w:r w:rsidRPr="00AB46D0">
        <w:rPr>
          <w:b/>
          <w:noProof/>
        </w:rPr>
        <w:t>Luxembourg</w:t>
      </w:r>
      <w:r w:rsidRPr="00AB46D0">
        <w:rPr>
          <w:noProof/>
        </w:rPr>
        <w:t xml:space="preserve">, the AFCOS team </w:t>
      </w:r>
      <w:r w:rsidR="0091197D">
        <w:rPr>
          <w:noProof/>
        </w:rPr>
        <w:t>was</w:t>
      </w:r>
      <w:r w:rsidR="0091197D" w:rsidRPr="00AB46D0">
        <w:rPr>
          <w:noProof/>
        </w:rPr>
        <w:t xml:space="preserve"> </w:t>
      </w:r>
      <w:r w:rsidRPr="00AB46D0">
        <w:rPr>
          <w:noProof/>
        </w:rPr>
        <w:t xml:space="preserve">reinforced to ensure adequate coordination in the fight against fraud and the protection of </w:t>
      </w:r>
      <w:r w:rsidR="00916AE2">
        <w:rPr>
          <w:noProof/>
        </w:rPr>
        <w:t xml:space="preserve">the </w:t>
      </w:r>
      <w:r w:rsidRPr="00AB46D0">
        <w:rPr>
          <w:noProof/>
        </w:rPr>
        <w:t>EU</w:t>
      </w:r>
      <w:r w:rsidR="00F90561">
        <w:rPr>
          <w:noProof/>
        </w:rPr>
        <w:t>’s</w:t>
      </w:r>
      <w:r w:rsidRPr="00AB46D0">
        <w:rPr>
          <w:noProof/>
        </w:rPr>
        <w:t xml:space="preserve"> financial interests. </w:t>
      </w:r>
      <w:r w:rsidRPr="00AB46D0">
        <w:rPr>
          <w:b/>
          <w:noProof/>
        </w:rPr>
        <w:t>Latvia</w:t>
      </w:r>
      <w:r w:rsidRPr="00AB46D0">
        <w:rPr>
          <w:noProof/>
        </w:rPr>
        <w:t xml:space="preserve"> reported the adoption of a new law and a corresponding procedure</w:t>
      </w:r>
      <w:r w:rsidR="00916AE2">
        <w:rPr>
          <w:noProof/>
        </w:rPr>
        <w:t xml:space="preserve"> manual</w:t>
      </w:r>
      <w:r w:rsidRPr="00AB46D0">
        <w:rPr>
          <w:noProof/>
        </w:rPr>
        <w:t xml:space="preserve">, </w:t>
      </w:r>
      <w:r w:rsidR="00916AE2">
        <w:rPr>
          <w:noProof/>
        </w:rPr>
        <w:t xml:space="preserve">to </w:t>
      </w:r>
      <w:r w:rsidRPr="00AB46D0">
        <w:rPr>
          <w:noProof/>
        </w:rPr>
        <w:t xml:space="preserve">ensure </w:t>
      </w:r>
      <w:r w:rsidR="00916AE2">
        <w:rPr>
          <w:noProof/>
        </w:rPr>
        <w:t>its</w:t>
      </w:r>
      <w:r w:rsidRPr="00AB46D0">
        <w:rPr>
          <w:noProof/>
        </w:rPr>
        <w:t xml:space="preserve"> AFCOS has legal rights </w:t>
      </w:r>
      <w:r w:rsidR="00F90561" w:rsidRPr="00505DEA">
        <w:rPr>
          <w:i/>
          <w:noProof/>
        </w:rPr>
        <w:t>(a)</w:t>
      </w:r>
      <w:r w:rsidR="00F90561">
        <w:rPr>
          <w:noProof/>
        </w:rPr>
        <w:t xml:space="preserve"> </w:t>
      </w:r>
      <w:r w:rsidRPr="00AB46D0">
        <w:rPr>
          <w:noProof/>
        </w:rPr>
        <w:t xml:space="preserve">to participate </w:t>
      </w:r>
      <w:r w:rsidR="00916AE2">
        <w:rPr>
          <w:noProof/>
        </w:rPr>
        <w:t xml:space="preserve">in </w:t>
      </w:r>
      <w:r w:rsidRPr="00AB46D0">
        <w:rPr>
          <w:noProof/>
        </w:rPr>
        <w:t>and provide assistance in on-the-spot checks by OLAF</w:t>
      </w:r>
      <w:r w:rsidR="00F90561">
        <w:rPr>
          <w:noProof/>
        </w:rPr>
        <w:t>,</w:t>
      </w:r>
      <w:r w:rsidRPr="00AB46D0">
        <w:rPr>
          <w:noProof/>
        </w:rPr>
        <w:t xml:space="preserve"> </w:t>
      </w:r>
      <w:r w:rsidR="00F90561">
        <w:rPr>
          <w:i/>
          <w:noProof/>
        </w:rPr>
        <w:t xml:space="preserve">(b) </w:t>
      </w:r>
      <w:r w:rsidRPr="00AB46D0">
        <w:rPr>
          <w:noProof/>
        </w:rPr>
        <w:t xml:space="preserve">to request information or documents </w:t>
      </w:r>
      <w:r w:rsidR="00916AE2">
        <w:rPr>
          <w:noProof/>
        </w:rPr>
        <w:t xml:space="preserve">from </w:t>
      </w:r>
      <w:r w:rsidRPr="00AB46D0">
        <w:rPr>
          <w:noProof/>
        </w:rPr>
        <w:t xml:space="preserve">private </w:t>
      </w:r>
      <w:r w:rsidR="00916AE2">
        <w:rPr>
          <w:noProof/>
        </w:rPr>
        <w:t>individuals</w:t>
      </w:r>
      <w:r w:rsidR="00F90561">
        <w:rPr>
          <w:noProof/>
        </w:rPr>
        <w:t xml:space="preserve">, and </w:t>
      </w:r>
      <w:r w:rsidR="00F90561" w:rsidRPr="00505DEA">
        <w:rPr>
          <w:i/>
          <w:noProof/>
        </w:rPr>
        <w:t>(c)</w:t>
      </w:r>
      <w:r w:rsidRPr="00AB46D0">
        <w:rPr>
          <w:noProof/>
        </w:rPr>
        <w:t xml:space="preserve"> </w:t>
      </w:r>
      <w:r w:rsidR="00F90561">
        <w:rPr>
          <w:noProof/>
        </w:rPr>
        <w:t xml:space="preserve">to </w:t>
      </w:r>
      <w:r w:rsidRPr="00AB46D0">
        <w:rPr>
          <w:noProof/>
        </w:rPr>
        <w:t xml:space="preserve">receive information on bank accounts </w:t>
      </w:r>
      <w:r w:rsidR="00916AE2">
        <w:rPr>
          <w:noProof/>
        </w:rPr>
        <w:t xml:space="preserve">as part </w:t>
      </w:r>
      <w:r w:rsidRPr="00AB46D0">
        <w:rPr>
          <w:noProof/>
        </w:rPr>
        <w:t>of administrative investigation</w:t>
      </w:r>
      <w:r w:rsidR="00916AE2">
        <w:rPr>
          <w:noProof/>
        </w:rPr>
        <w:t>s</w:t>
      </w:r>
      <w:r w:rsidRPr="00AB46D0">
        <w:rPr>
          <w:noProof/>
        </w:rPr>
        <w:t>.</w:t>
      </w:r>
    </w:p>
    <w:p w14:paraId="73727C64" w14:textId="390DF8C0" w:rsidR="00AB46D0" w:rsidRPr="00AB46D0" w:rsidRDefault="00AB46D0" w:rsidP="00AB46D0">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AB46D0">
        <w:rPr>
          <w:b/>
          <w:noProof/>
        </w:rPr>
        <w:t>Greece</w:t>
      </w:r>
      <w:r>
        <w:rPr>
          <w:noProof/>
        </w:rPr>
        <w:t xml:space="preserve">, </w:t>
      </w:r>
      <w:r w:rsidRPr="00AB46D0">
        <w:rPr>
          <w:b/>
          <w:noProof/>
        </w:rPr>
        <w:t>Spain</w:t>
      </w:r>
      <w:r>
        <w:rPr>
          <w:noProof/>
        </w:rPr>
        <w:t xml:space="preserve"> and </w:t>
      </w:r>
      <w:r w:rsidRPr="00AB46D0">
        <w:rPr>
          <w:b/>
          <w:noProof/>
        </w:rPr>
        <w:t>Sweden</w:t>
      </w:r>
      <w:r>
        <w:rPr>
          <w:noProof/>
        </w:rPr>
        <w:t xml:space="preserve"> reported measures taken by their AFCOS </w:t>
      </w:r>
      <w:r w:rsidR="00916AE2">
        <w:rPr>
          <w:noProof/>
        </w:rPr>
        <w:t xml:space="preserve">to help </w:t>
      </w:r>
      <w:r>
        <w:rPr>
          <w:noProof/>
        </w:rPr>
        <w:t xml:space="preserve">managing authorities to </w:t>
      </w:r>
      <w:r w:rsidR="0050564E">
        <w:rPr>
          <w:noProof/>
        </w:rPr>
        <w:t xml:space="preserve">better </w:t>
      </w:r>
      <w:r>
        <w:rPr>
          <w:noProof/>
        </w:rPr>
        <w:t>report possible fraud to law enforcement agencies.</w:t>
      </w:r>
    </w:p>
    <w:p w14:paraId="0A1B05FD" w14:textId="77777777" w:rsidR="00FE789E" w:rsidRDefault="00FE789E" w:rsidP="00CD7B44">
      <w:pPr>
        <w:pStyle w:val="Heading3"/>
        <w:rPr>
          <w:noProof/>
        </w:rPr>
      </w:pPr>
      <w:bookmarkStart w:id="41" w:name="_Toc110444046"/>
      <w:r>
        <w:rPr>
          <w:noProof/>
        </w:rPr>
        <w:t>National Anti-Fraud Strategies (NAFS)</w:t>
      </w:r>
      <w:bookmarkEnd w:id="41"/>
    </w:p>
    <w:p w14:paraId="49C15F8D" w14:textId="63CD3082" w:rsidR="00B844C4" w:rsidRDefault="00B844C4" w:rsidP="00B844C4">
      <w:pPr>
        <w:pStyle w:val="NormalWeb"/>
        <w:spacing w:before="0" w:beforeAutospacing="0" w:after="240" w:afterAutospacing="0"/>
        <w:jc w:val="both"/>
        <w:rPr>
          <w:noProof/>
          <w:sz w:val="22"/>
        </w:rPr>
      </w:pPr>
      <w:r w:rsidRPr="00B844C4">
        <w:rPr>
          <w:noProof/>
          <w:sz w:val="22"/>
        </w:rPr>
        <w:t xml:space="preserve">The Commission's sustained encouragement of Member States to adopt </w:t>
      </w:r>
      <w:r w:rsidRPr="00B844C4">
        <w:rPr>
          <w:b/>
          <w:noProof/>
          <w:sz w:val="22"/>
        </w:rPr>
        <w:t xml:space="preserve">national anti-fraud strategies </w:t>
      </w:r>
      <w:r w:rsidRPr="00A10036">
        <w:rPr>
          <w:noProof/>
          <w:sz w:val="22"/>
        </w:rPr>
        <w:t>(NAFS)</w:t>
      </w:r>
      <w:r w:rsidRPr="00B844C4">
        <w:rPr>
          <w:noProof/>
          <w:sz w:val="22"/>
        </w:rPr>
        <w:t xml:space="preserve"> has resulted in a steady increase in the number of NAFS adopted. By the end of 2021, </w:t>
      </w:r>
      <w:r w:rsidR="0050564E">
        <w:rPr>
          <w:noProof/>
          <w:sz w:val="22"/>
        </w:rPr>
        <w:t>1</w:t>
      </w:r>
      <w:r w:rsidR="00A10036">
        <w:rPr>
          <w:noProof/>
          <w:sz w:val="22"/>
        </w:rPr>
        <w:t>7</w:t>
      </w:r>
      <w:r w:rsidRPr="00B844C4">
        <w:rPr>
          <w:rStyle w:val="FootnoteReference"/>
          <w:noProof/>
          <w:sz w:val="22"/>
        </w:rPr>
        <w:footnoteReference w:id="30"/>
      </w:r>
      <w:r w:rsidRPr="00B844C4">
        <w:rPr>
          <w:noProof/>
          <w:sz w:val="22"/>
        </w:rPr>
        <w:t xml:space="preserve"> Member States had adopted or updated a NAFS and of the </w:t>
      </w:r>
      <w:r w:rsidR="0050564E">
        <w:rPr>
          <w:noProof/>
          <w:sz w:val="22"/>
        </w:rPr>
        <w:t>11</w:t>
      </w:r>
      <w:r w:rsidRPr="00B844C4">
        <w:rPr>
          <w:rStyle w:val="FootnoteReference"/>
          <w:noProof/>
          <w:sz w:val="22"/>
        </w:rPr>
        <w:footnoteReference w:id="31"/>
      </w:r>
      <w:r w:rsidRPr="00B844C4">
        <w:rPr>
          <w:noProof/>
          <w:sz w:val="22"/>
        </w:rPr>
        <w:t xml:space="preserve"> </w:t>
      </w:r>
      <w:r w:rsidR="0050564E">
        <w:rPr>
          <w:noProof/>
          <w:sz w:val="22"/>
        </w:rPr>
        <w:t xml:space="preserve">yet to </w:t>
      </w:r>
      <w:r w:rsidRPr="00B844C4">
        <w:rPr>
          <w:noProof/>
          <w:sz w:val="22"/>
        </w:rPr>
        <w:t xml:space="preserve">adopt one, </w:t>
      </w:r>
      <w:r w:rsidR="0050564E">
        <w:rPr>
          <w:noProof/>
          <w:sz w:val="22"/>
        </w:rPr>
        <w:t>4</w:t>
      </w:r>
      <w:r w:rsidRPr="00B844C4">
        <w:rPr>
          <w:rStyle w:val="FootnoteReference"/>
          <w:noProof/>
          <w:sz w:val="22"/>
        </w:rPr>
        <w:footnoteReference w:id="32"/>
      </w:r>
      <w:r w:rsidRPr="00B844C4">
        <w:rPr>
          <w:noProof/>
          <w:sz w:val="22"/>
        </w:rPr>
        <w:t xml:space="preserve"> reported that they were in the process of drafting</w:t>
      </w:r>
      <w:r w:rsidR="0050564E">
        <w:rPr>
          <w:noProof/>
          <w:sz w:val="22"/>
        </w:rPr>
        <w:t>,</w:t>
      </w:r>
      <w:r w:rsidRPr="00B844C4">
        <w:rPr>
          <w:noProof/>
          <w:sz w:val="22"/>
        </w:rPr>
        <w:t xml:space="preserve"> or close to adopting</w:t>
      </w:r>
      <w:r w:rsidR="0050564E">
        <w:rPr>
          <w:noProof/>
          <w:sz w:val="22"/>
        </w:rPr>
        <w:t>,</w:t>
      </w:r>
      <w:r w:rsidRPr="00B844C4">
        <w:rPr>
          <w:noProof/>
          <w:sz w:val="22"/>
        </w:rPr>
        <w:t xml:space="preserve"> </w:t>
      </w:r>
      <w:r w:rsidR="0050564E">
        <w:rPr>
          <w:noProof/>
          <w:sz w:val="22"/>
        </w:rPr>
        <w:t>a NAFS</w:t>
      </w:r>
      <w:r w:rsidRPr="00B844C4">
        <w:rPr>
          <w:noProof/>
          <w:sz w:val="22"/>
        </w:rPr>
        <w:t xml:space="preserve">. </w:t>
      </w:r>
    </w:p>
    <w:p w14:paraId="1A7B773F" w14:textId="664378A2" w:rsidR="002654B3" w:rsidRDefault="00242925" w:rsidP="00CF1D95">
      <w:pPr>
        <w:pStyle w:val="Caption"/>
        <w:keepNext/>
        <w:rPr>
          <w:noProof/>
        </w:rPr>
      </w:pPr>
      <w:r>
        <w:rPr>
          <w:noProof/>
        </w:rPr>
        <w:t xml:space="preserve">Figure </w:t>
      </w:r>
      <w:r w:rsidR="00EA0D7C">
        <w:rPr>
          <w:noProof/>
        </w:rPr>
        <w:fldChar w:fldCharType="begin"/>
      </w:r>
      <w:r w:rsidR="00EA0D7C">
        <w:rPr>
          <w:noProof/>
        </w:rPr>
        <w:instrText xml:space="preserve"> SEQ Figure \* ARABIC </w:instrText>
      </w:r>
      <w:r w:rsidR="00EA0D7C">
        <w:rPr>
          <w:noProof/>
        </w:rPr>
        <w:fldChar w:fldCharType="separate"/>
      </w:r>
      <w:r w:rsidR="00F963A8">
        <w:rPr>
          <w:noProof/>
        </w:rPr>
        <w:t>3</w:t>
      </w:r>
      <w:r w:rsidR="00EA0D7C">
        <w:rPr>
          <w:noProof/>
        </w:rPr>
        <w:fldChar w:fldCharType="end"/>
      </w:r>
      <w:r>
        <w:rPr>
          <w:noProof/>
        </w:rPr>
        <w:t xml:space="preserve"> – NAFS</w:t>
      </w:r>
      <w:r w:rsidR="0050564E">
        <w:rPr>
          <w:noProof/>
        </w:rPr>
        <w:t>:</w:t>
      </w:r>
      <w:r>
        <w:rPr>
          <w:noProof/>
        </w:rPr>
        <w:t xml:space="preserve"> state of play</w:t>
      </w:r>
      <w:r w:rsidR="0050564E">
        <w:rPr>
          <w:noProof/>
        </w:rPr>
        <w:t xml:space="preserve"> of adoption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3"/>
        <w:gridCol w:w="467"/>
        <w:gridCol w:w="1364"/>
      </w:tblGrid>
      <w:tr w:rsidR="00666E75" w14:paraId="6F995EEB" w14:textId="77777777" w:rsidTr="00283EE7">
        <w:trPr>
          <w:jc w:val="center"/>
        </w:trPr>
        <w:tc>
          <w:tcPr>
            <w:tcW w:w="7003" w:type="dxa"/>
            <w:vMerge w:val="restart"/>
          </w:tcPr>
          <w:p w14:paraId="27D53369" w14:textId="76B48CD7" w:rsidR="00666E75" w:rsidRDefault="00666E75" w:rsidP="00242925">
            <w:pPr>
              <w:rPr>
                <w:noProof/>
              </w:rPr>
            </w:pPr>
            <w:r>
              <w:rPr>
                <w:noProof/>
              </w:rPr>
              <w:drawing>
                <wp:inline distT="0" distB="0" distL="0" distR="0" wp14:anchorId="078C00AE" wp14:editId="3C74F718">
                  <wp:extent cx="4310309" cy="4839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FS_final.png"/>
                          <pic:cNvPicPr/>
                        </pic:nvPicPr>
                        <pic:blipFill>
                          <a:blip r:embed="rId20">
                            <a:extLst>
                              <a:ext uri="{28A0092B-C50C-407E-A947-70E740481C1C}">
                                <a14:useLocalDpi xmlns:a14="http://schemas.microsoft.com/office/drawing/2010/main" val="0"/>
                              </a:ext>
                            </a:extLst>
                          </a:blip>
                          <a:stretch>
                            <a:fillRect/>
                          </a:stretch>
                        </pic:blipFill>
                        <pic:spPr>
                          <a:xfrm>
                            <a:off x="0" y="0"/>
                            <a:ext cx="4310309" cy="4839970"/>
                          </a:xfrm>
                          <a:prstGeom prst="rect">
                            <a:avLst/>
                          </a:prstGeom>
                        </pic:spPr>
                      </pic:pic>
                    </a:graphicData>
                  </a:graphic>
                </wp:inline>
              </w:drawing>
            </w:r>
          </w:p>
        </w:tc>
        <w:tc>
          <w:tcPr>
            <w:tcW w:w="1831" w:type="dxa"/>
            <w:gridSpan w:val="2"/>
          </w:tcPr>
          <w:p w14:paraId="69229ACB" w14:textId="31D73AE8" w:rsidR="00666E75" w:rsidRPr="00666E75" w:rsidRDefault="00666E75" w:rsidP="00242925">
            <w:pPr>
              <w:rPr>
                <w:b/>
                <w:noProof/>
                <w:sz w:val="20"/>
              </w:rPr>
            </w:pPr>
            <w:r w:rsidRPr="00666E75">
              <w:rPr>
                <w:b/>
                <w:noProof/>
                <w:sz w:val="20"/>
              </w:rPr>
              <w:t>Legend</w:t>
            </w:r>
          </w:p>
        </w:tc>
      </w:tr>
      <w:tr w:rsidR="00666E75" w14:paraId="35A820C6" w14:textId="77777777" w:rsidTr="00283EE7">
        <w:trPr>
          <w:jc w:val="center"/>
        </w:trPr>
        <w:tc>
          <w:tcPr>
            <w:tcW w:w="7003" w:type="dxa"/>
            <w:vMerge/>
          </w:tcPr>
          <w:p w14:paraId="69DB6344" w14:textId="77777777" w:rsidR="00666E75" w:rsidRDefault="00666E75" w:rsidP="00242925">
            <w:pPr>
              <w:rPr>
                <w:noProof/>
              </w:rPr>
            </w:pPr>
          </w:p>
        </w:tc>
        <w:tc>
          <w:tcPr>
            <w:tcW w:w="467" w:type="dxa"/>
            <w:shd w:val="clear" w:color="auto" w:fill="1F4E79" w:themeFill="accent1" w:themeFillShade="80"/>
          </w:tcPr>
          <w:p w14:paraId="207C1853" w14:textId="774AF7C1" w:rsidR="00666E75" w:rsidRPr="00283EE7" w:rsidRDefault="00666E75" w:rsidP="00242925">
            <w:pPr>
              <w:rPr>
                <w:b/>
                <w:noProof/>
                <w:color w:val="FFFFFF" w:themeColor="background1"/>
                <w:sz w:val="20"/>
              </w:rPr>
            </w:pPr>
            <w:r w:rsidRPr="006A79C7">
              <w:rPr>
                <w:b/>
                <w:noProof/>
                <w:sz w:val="20"/>
              </w:rPr>
              <w:t>5</w:t>
            </w:r>
          </w:p>
        </w:tc>
        <w:tc>
          <w:tcPr>
            <w:tcW w:w="1364" w:type="dxa"/>
          </w:tcPr>
          <w:p w14:paraId="53BDDBDA" w14:textId="4EFEBBDD" w:rsidR="00666E75" w:rsidRPr="00666E75" w:rsidRDefault="00666E75" w:rsidP="00666E75">
            <w:pPr>
              <w:rPr>
                <w:b/>
                <w:noProof/>
                <w:sz w:val="20"/>
              </w:rPr>
            </w:pPr>
            <w:r w:rsidRPr="00666E75">
              <w:rPr>
                <w:b/>
                <w:noProof/>
                <w:sz w:val="20"/>
              </w:rPr>
              <w:t>NAFS adopted</w:t>
            </w:r>
            <w:r>
              <w:rPr>
                <w:b/>
                <w:noProof/>
                <w:sz w:val="20"/>
              </w:rPr>
              <w:t xml:space="preserve"> or </w:t>
            </w:r>
            <w:r w:rsidRPr="00666E75">
              <w:rPr>
                <w:b/>
                <w:noProof/>
                <w:sz w:val="20"/>
              </w:rPr>
              <w:t>updated and reported</w:t>
            </w:r>
          </w:p>
        </w:tc>
      </w:tr>
      <w:tr w:rsidR="00666E75" w14:paraId="530B4DC6" w14:textId="77777777" w:rsidTr="00283EE7">
        <w:trPr>
          <w:jc w:val="center"/>
        </w:trPr>
        <w:tc>
          <w:tcPr>
            <w:tcW w:w="7003" w:type="dxa"/>
            <w:vMerge/>
          </w:tcPr>
          <w:p w14:paraId="0DFE18F6" w14:textId="77777777" w:rsidR="00666E75" w:rsidRDefault="00666E75" w:rsidP="00242925">
            <w:pPr>
              <w:rPr>
                <w:noProof/>
              </w:rPr>
            </w:pPr>
          </w:p>
        </w:tc>
        <w:tc>
          <w:tcPr>
            <w:tcW w:w="467" w:type="dxa"/>
            <w:shd w:val="clear" w:color="auto" w:fill="2E74B5" w:themeFill="accent1" w:themeFillShade="BF"/>
          </w:tcPr>
          <w:p w14:paraId="68103E5A" w14:textId="30C109F1" w:rsidR="00666E75" w:rsidRPr="00283EE7" w:rsidRDefault="00666E75" w:rsidP="00242925">
            <w:pPr>
              <w:rPr>
                <w:b/>
                <w:noProof/>
                <w:sz w:val="20"/>
              </w:rPr>
            </w:pPr>
            <w:r w:rsidRPr="00283EE7">
              <w:rPr>
                <w:b/>
                <w:noProof/>
                <w:sz w:val="20"/>
              </w:rPr>
              <w:t>4</w:t>
            </w:r>
          </w:p>
        </w:tc>
        <w:tc>
          <w:tcPr>
            <w:tcW w:w="1364" w:type="dxa"/>
          </w:tcPr>
          <w:p w14:paraId="5234EA3F" w14:textId="38B00D9A" w:rsidR="00666E75" w:rsidRPr="00666E75" w:rsidRDefault="00666E75" w:rsidP="00242925">
            <w:pPr>
              <w:rPr>
                <w:b/>
                <w:noProof/>
                <w:sz w:val="20"/>
              </w:rPr>
            </w:pPr>
            <w:r>
              <w:rPr>
                <w:b/>
                <w:noProof/>
                <w:sz w:val="20"/>
              </w:rPr>
              <w:t>Sectoral NAFS</w:t>
            </w:r>
          </w:p>
        </w:tc>
      </w:tr>
      <w:tr w:rsidR="00666E75" w14:paraId="397B6F96" w14:textId="77777777" w:rsidTr="00283EE7">
        <w:trPr>
          <w:jc w:val="center"/>
        </w:trPr>
        <w:tc>
          <w:tcPr>
            <w:tcW w:w="7003" w:type="dxa"/>
            <w:vMerge/>
          </w:tcPr>
          <w:p w14:paraId="73B38B6E" w14:textId="77777777" w:rsidR="00666E75" w:rsidRDefault="00666E75" w:rsidP="00242925">
            <w:pPr>
              <w:rPr>
                <w:noProof/>
              </w:rPr>
            </w:pPr>
          </w:p>
        </w:tc>
        <w:tc>
          <w:tcPr>
            <w:tcW w:w="467" w:type="dxa"/>
            <w:shd w:val="clear" w:color="auto" w:fill="9CC2E5" w:themeFill="accent1" w:themeFillTint="99"/>
          </w:tcPr>
          <w:p w14:paraId="49F8E762" w14:textId="6C7A1AC4" w:rsidR="00666E75" w:rsidRPr="00283EE7" w:rsidRDefault="00666E75" w:rsidP="00242925">
            <w:pPr>
              <w:rPr>
                <w:b/>
                <w:noProof/>
                <w:sz w:val="20"/>
              </w:rPr>
            </w:pPr>
            <w:r w:rsidRPr="00283EE7">
              <w:rPr>
                <w:b/>
                <w:noProof/>
                <w:sz w:val="20"/>
              </w:rPr>
              <w:t>3</w:t>
            </w:r>
          </w:p>
        </w:tc>
        <w:tc>
          <w:tcPr>
            <w:tcW w:w="1364" w:type="dxa"/>
          </w:tcPr>
          <w:p w14:paraId="6CD16E25" w14:textId="2F7866A4" w:rsidR="00666E75" w:rsidRPr="00666E75" w:rsidRDefault="000842E0" w:rsidP="00242925">
            <w:pPr>
              <w:rPr>
                <w:b/>
                <w:noProof/>
                <w:sz w:val="20"/>
              </w:rPr>
            </w:pPr>
            <w:r>
              <w:rPr>
                <w:b/>
                <w:noProof/>
                <w:sz w:val="20"/>
              </w:rPr>
              <w:t>Regional AFS</w:t>
            </w:r>
          </w:p>
        </w:tc>
      </w:tr>
      <w:tr w:rsidR="00666E75" w14:paraId="07A069E3" w14:textId="77777777" w:rsidTr="00283EE7">
        <w:trPr>
          <w:jc w:val="center"/>
        </w:trPr>
        <w:tc>
          <w:tcPr>
            <w:tcW w:w="7003" w:type="dxa"/>
            <w:vMerge/>
          </w:tcPr>
          <w:p w14:paraId="4F74A7EE" w14:textId="77777777" w:rsidR="00666E75" w:rsidRDefault="00666E75" w:rsidP="00242925">
            <w:pPr>
              <w:rPr>
                <w:noProof/>
              </w:rPr>
            </w:pPr>
          </w:p>
        </w:tc>
        <w:tc>
          <w:tcPr>
            <w:tcW w:w="467" w:type="dxa"/>
            <w:shd w:val="clear" w:color="auto" w:fill="BDD6EE" w:themeFill="accent1" w:themeFillTint="66"/>
          </w:tcPr>
          <w:p w14:paraId="495B3884" w14:textId="5319DDDF" w:rsidR="00666E75" w:rsidRPr="00283EE7" w:rsidRDefault="00666E75" w:rsidP="00242925">
            <w:pPr>
              <w:rPr>
                <w:b/>
                <w:noProof/>
                <w:sz w:val="20"/>
              </w:rPr>
            </w:pPr>
            <w:r w:rsidRPr="00283EE7">
              <w:rPr>
                <w:b/>
                <w:noProof/>
                <w:sz w:val="20"/>
              </w:rPr>
              <w:t>2</w:t>
            </w:r>
          </w:p>
        </w:tc>
        <w:tc>
          <w:tcPr>
            <w:tcW w:w="1364" w:type="dxa"/>
          </w:tcPr>
          <w:p w14:paraId="4B93FEBD" w14:textId="4CF811D6" w:rsidR="00666E75" w:rsidRPr="00666E75" w:rsidRDefault="000842E0" w:rsidP="00242925">
            <w:pPr>
              <w:rPr>
                <w:b/>
                <w:noProof/>
                <w:sz w:val="20"/>
              </w:rPr>
            </w:pPr>
            <w:r>
              <w:rPr>
                <w:b/>
                <w:noProof/>
                <w:sz w:val="20"/>
              </w:rPr>
              <w:t>NAFS drafting or adoption ongoing</w:t>
            </w:r>
          </w:p>
        </w:tc>
      </w:tr>
      <w:tr w:rsidR="00666E75" w14:paraId="7E2289C3" w14:textId="77777777" w:rsidTr="00283EE7">
        <w:trPr>
          <w:jc w:val="center"/>
        </w:trPr>
        <w:tc>
          <w:tcPr>
            <w:tcW w:w="7003" w:type="dxa"/>
            <w:vMerge/>
          </w:tcPr>
          <w:p w14:paraId="300AD90C" w14:textId="77777777" w:rsidR="00666E75" w:rsidRDefault="00666E75" w:rsidP="00242925">
            <w:pPr>
              <w:rPr>
                <w:noProof/>
              </w:rPr>
            </w:pPr>
          </w:p>
        </w:tc>
        <w:tc>
          <w:tcPr>
            <w:tcW w:w="467" w:type="dxa"/>
            <w:shd w:val="clear" w:color="auto" w:fill="DEEAF6" w:themeFill="accent1" w:themeFillTint="33"/>
          </w:tcPr>
          <w:p w14:paraId="2B3561F3" w14:textId="384E4C83" w:rsidR="00666E75" w:rsidRPr="00283EE7" w:rsidRDefault="00666E75" w:rsidP="00242925">
            <w:pPr>
              <w:rPr>
                <w:b/>
                <w:noProof/>
                <w:sz w:val="20"/>
              </w:rPr>
            </w:pPr>
            <w:r w:rsidRPr="00283EE7">
              <w:rPr>
                <w:b/>
                <w:noProof/>
                <w:sz w:val="20"/>
              </w:rPr>
              <w:t>1</w:t>
            </w:r>
          </w:p>
        </w:tc>
        <w:tc>
          <w:tcPr>
            <w:tcW w:w="1364" w:type="dxa"/>
          </w:tcPr>
          <w:p w14:paraId="39FB70C8" w14:textId="602617D2" w:rsidR="00666E75" w:rsidRPr="00666E75" w:rsidRDefault="000842E0" w:rsidP="00242925">
            <w:pPr>
              <w:rPr>
                <w:b/>
                <w:noProof/>
                <w:sz w:val="20"/>
              </w:rPr>
            </w:pPr>
            <w:r>
              <w:rPr>
                <w:b/>
                <w:noProof/>
                <w:sz w:val="20"/>
              </w:rPr>
              <w:t>No NAFS</w:t>
            </w:r>
          </w:p>
        </w:tc>
      </w:tr>
      <w:tr w:rsidR="00666E75" w14:paraId="6599F636" w14:textId="77777777" w:rsidTr="00283EE7">
        <w:trPr>
          <w:jc w:val="center"/>
        </w:trPr>
        <w:tc>
          <w:tcPr>
            <w:tcW w:w="7003" w:type="dxa"/>
            <w:vMerge/>
          </w:tcPr>
          <w:p w14:paraId="0E0BE744" w14:textId="77777777" w:rsidR="00666E75" w:rsidRDefault="00666E75" w:rsidP="00242925">
            <w:pPr>
              <w:rPr>
                <w:noProof/>
              </w:rPr>
            </w:pPr>
          </w:p>
        </w:tc>
        <w:tc>
          <w:tcPr>
            <w:tcW w:w="1831" w:type="dxa"/>
            <w:gridSpan w:val="2"/>
          </w:tcPr>
          <w:p w14:paraId="056743A0" w14:textId="77777777" w:rsidR="00666E75" w:rsidRPr="00666E75" w:rsidRDefault="00666E75" w:rsidP="00242925">
            <w:pPr>
              <w:rPr>
                <w:b/>
                <w:noProof/>
                <w:sz w:val="20"/>
              </w:rPr>
            </w:pPr>
          </w:p>
        </w:tc>
      </w:tr>
    </w:tbl>
    <w:p w14:paraId="0D9A6942" w14:textId="41683D0B" w:rsidR="00242925" w:rsidRPr="00242925" w:rsidRDefault="00242925" w:rsidP="00242925">
      <w:pPr>
        <w:rPr>
          <w:noProof/>
        </w:rPr>
      </w:pPr>
    </w:p>
    <w:p w14:paraId="77C4B362" w14:textId="0C43AB81" w:rsidR="00B844C4" w:rsidRPr="00B844C4" w:rsidRDefault="00B844C4" w:rsidP="00B844C4">
      <w:pPr>
        <w:rPr>
          <w:noProof/>
        </w:rPr>
      </w:pPr>
      <w:r w:rsidRPr="00D12A87">
        <w:rPr>
          <w:noProof/>
        </w:rPr>
        <w:t>Although the coverage and content of the strategies continu</w:t>
      </w:r>
      <w:r>
        <w:rPr>
          <w:noProof/>
        </w:rPr>
        <w:t>es to vary across Member States</w:t>
      </w:r>
      <w:r w:rsidR="001149B4">
        <w:rPr>
          <w:rStyle w:val="FootnoteReference"/>
          <w:noProof/>
        </w:rPr>
        <w:footnoteReference w:id="33"/>
      </w:r>
      <w:r>
        <w:rPr>
          <w:noProof/>
        </w:rPr>
        <w:t xml:space="preserve"> and some strategies need to be updated,</w:t>
      </w:r>
      <w:r w:rsidRPr="00D12A87">
        <w:rPr>
          <w:noProof/>
        </w:rPr>
        <w:t xml:space="preserve"> the overall situation has improved compared to </w:t>
      </w:r>
      <w:r w:rsidR="0050564E">
        <w:rPr>
          <w:noProof/>
        </w:rPr>
        <w:t>2020</w:t>
      </w:r>
      <w:r w:rsidRPr="00D12A87">
        <w:rPr>
          <w:noProof/>
        </w:rPr>
        <w:t xml:space="preserve">. </w:t>
      </w:r>
      <w:r w:rsidR="0050564E">
        <w:rPr>
          <w:noProof/>
        </w:rPr>
        <w:t>F</w:t>
      </w:r>
      <w:r w:rsidRPr="00D12A87">
        <w:rPr>
          <w:noProof/>
        </w:rPr>
        <w:t>ollowing the Commission's recommendations, several</w:t>
      </w:r>
      <w:r>
        <w:rPr>
          <w:rStyle w:val="FootnoteReference"/>
          <w:noProof/>
        </w:rPr>
        <w:footnoteReference w:id="34"/>
      </w:r>
      <w:r w:rsidRPr="00D12A87">
        <w:rPr>
          <w:noProof/>
        </w:rPr>
        <w:t xml:space="preserve"> of the current strategies have been updated to reflect new significant risks, such as those associated </w:t>
      </w:r>
      <w:r>
        <w:rPr>
          <w:noProof/>
        </w:rPr>
        <w:t>with the implementation of the Recovery and Resilience Facility (RRF)</w:t>
      </w:r>
      <w:r w:rsidRPr="00D12A87">
        <w:rPr>
          <w:noProof/>
        </w:rPr>
        <w:t xml:space="preserve"> and the effects of the C</w:t>
      </w:r>
      <w:r w:rsidR="00396C5E" w:rsidRPr="00D12A87">
        <w:rPr>
          <w:noProof/>
        </w:rPr>
        <w:t>OVID</w:t>
      </w:r>
      <w:r w:rsidRPr="00D12A87">
        <w:rPr>
          <w:noProof/>
        </w:rPr>
        <w:t>-19 pandemic.</w:t>
      </w:r>
    </w:p>
    <w:p w14:paraId="5022AF76" w14:textId="77777777" w:rsidR="00FE789E" w:rsidRDefault="00FE789E" w:rsidP="00CD7B44">
      <w:pPr>
        <w:pStyle w:val="Heading3"/>
        <w:rPr>
          <w:noProof/>
        </w:rPr>
      </w:pPr>
      <w:bookmarkStart w:id="42" w:name="_Toc110444047"/>
      <w:r>
        <w:rPr>
          <w:noProof/>
        </w:rPr>
        <w:t>Implementation of the 2020 recommendations by the Member States</w:t>
      </w:r>
      <w:r w:rsidR="001149B4">
        <w:rPr>
          <w:rStyle w:val="FootnoteReference"/>
          <w:noProof/>
        </w:rPr>
        <w:footnoteReference w:id="35"/>
      </w:r>
      <w:bookmarkEnd w:id="42"/>
    </w:p>
    <w:p w14:paraId="5DB21B41" w14:textId="0E2733E5" w:rsidR="00471E85" w:rsidRDefault="008D394A" w:rsidP="00B844C4">
      <w:pPr>
        <w:rPr>
          <w:noProof/>
        </w:rPr>
      </w:pPr>
      <w:r w:rsidRPr="008D394A">
        <w:rPr>
          <w:noProof/>
        </w:rPr>
        <w:t xml:space="preserve">In </w:t>
      </w:r>
      <w:r w:rsidR="0050564E">
        <w:rPr>
          <w:noProof/>
        </w:rPr>
        <w:t>its</w:t>
      </w:r>
      <w:r w:rsidR="0050564E" w:rsidRPr="008D394A">
        <w:rPr>
          <w:noProof/>
        </w:rPr>
        <w:t xml:space="preserve"> </w:t>
      </w:r>
      <w:r w:rsidRPr="008D394A">
        <w:rPr>
          <w:noProof/>
        </w:rPr>
        <w:t xml:space="preserve">2020 Report on the protection of the European Union’s financial interests, the Commission made three sets of recommendations to Member States, covering a) cross-cutting aspects of the fight against fraud; b) revenue; and c) expenditure. These recommendations aimed </w:t>
      </w:r>
      <w:r w:rsidR="0050564E">
        <w:rPr>
          <w:noProof/>
        </w:rPr>
        <w:t xml:space="preserve">to improve </w:t>
      </w:r>
      <w:r w:rsidRPr="008D394A">
        <w:rPr>
          <w:noProof/>
        </w:rPr>
        <w:t xml:space="preserve">cooperation between the EU and national </w:t>
      </w:r>
      <w:r w:rsidR="0050564E">
        <w:rPr>
          <w:noProof/>
        </w:rPr>
        <w:t>bodies</w:t>
      </w:r>
      <w:r w:rsidRPr="008D394A">
        <w:rPr>
          <w:noProof/>
        </w:rPr>
        <w:t xml:space="preserve">; </w:t>
      </w:r>
      <w:r w:rsidR="0050564E" w:rsidRPr="008D394A">
        <w:rPr>
          <w:noProof/>
        </w:rPr>
        <w:t>increas</w:t>
      </w:r>
      <w:r w:rsidR="0050564E">
        <w:rPr>
          <w:noProof/>
        </w:rPr>
        <w:t>e</w:t>
      </w:r>
      <w:r w:rsidR="0050564E" w:rsidRPr="008D394A">
        <w:rPr>
          <w:noProof/>
        </w:rPr>
        <w:t xml:space="preserve"> </w:t>
      </w:r>
      <w:r w:rsidRPr="008D394A">
        <w:rPr>
          <w:noProof/>
        </w:rPr>
        <w:t xml:space="preserve">the coherence and consistency of </w:t>
      </w:r>
      <w:r w:rsidR="0050564E">
        <w:rPr>
          <w:noProof/>
        </w:rPr>
        <w:t xml:space="preserve">national </w:t>
      </w:r>
      <w:r w:rsidRPr="008D394A">
        <w:rPr>
          <w:noProof/>
        </w:rPr>
        <w:t xml:space="preserve">anti-fraud measures; </w:t>
      </w:r>
      <w:r w:rsidR="0050564E" w:rsidRPr="008D394A">
        <w:rPr>
          <w:noProof/>
        </w:rPr>
        <w:t>optimis</w:t>
      </w:r>
      <w:r w:rsidR="0050564E">
        <w:rPr>
          <w:noProof/>
        </w:rPr>
        <w:t>e</w:t>
      </w:r>
      <w:r w:rsidR="0050564E" w:rsidRPr="008D394A">
        <w:rPr>
          <w:noProof/>
        </w:rPr>
        <w:t xml:space="preserve"> </w:t>
      </w:r>
      <w:r w:rsidRPr="008D394A">
        <w:rPr>
          <w:noProof/>
        </w:rPr>
        <w:t xml:space="preserve">the functioning of the customs union and Member States’ customs authorities; strengthen internal control frameworks; and </w:t>
      </w:r>
      <w:r w:rsidR="0050564E" w:rsidRPr="008D394A">
        <w:rPr>
          <w:noProof/>
        </w:rPr>
        <w:t>increas</w:t>
      </w:r>
      <w:r w:rsidR="0050564E">
        <w:rPr>
          <w:noProof/>
        </w:rPr>
        <w:t>e</w:t>
      </w:r>
      <w:r w:rsidR="0050564E" w:rsidRPr="008D394A">
        <w:rPr>
          <w:noProof/>
        </w:rPr>
        <w:t xml:space="preserve"> </w:t>
      </w:r>
      <w:r w:rsidRPr="008D394A">
        <w:rPr>
          <w:noProof/>
        </w:rPr>
        <w:t>flexibility and resilience in times of crisis.</w:t>
      </w:r>
    </w:p>
    <w:p w14:paraId="14CC8134" w14:textId="10972CEB" w:rsidR="00B844C4" w:rsidRDefault="0050564E" w:rsidP="00B844C4">
      <w:pPr>
        <w:rPr>
          <w:noProof/>
        </w:rPr>
      </w:pPr>
      <w:r>
        <w:rPr>
          <w:noProof/>
        </w:rPr>
        <w:t>On the</w:t>
      </w:r>
      <w:r w:rsidR="00B844C4" w:rsidRPr="00D12A87">
        <w:rPr>
          <w:noProof/>
        </w:rPr>
        <w:t xml:space="preserve"> cross-cutting aspects of the fight against fraud, the Commission recommend</w:t>
      </w:r>
      <w:r w:rsidR="00B844C4">
        <w:rPr>
          <w:noProof/>
        </w:rPr>
        <w:t xml:space="preserve">ed that Member States who had not joined the EPPO </w:t>
      </w:r>
      <w:r w:rsidR="00B844C4" w:rsidRPr="00D12A87">
        <w:rPr>
          <w:noProof/>
        </w:rPr>
        <w:t>consider doing so</w:t>
      </w:r>
      <w:r w:rsidR="00B844C4">
        <w:rPr>
          <w:noProof/>
        </w:rPr>
        <w:t>.</w:t>
      </w:r>
    </w:p>
    <w:p w14:paraId="048573A6" w14:textId="1A3CCC8F" w:rsidR="00B844C4" w:rsidRDefault="0050564E" w:rsidP="00B844C4">
      <w:pPr>
        <w:rPr>
          <w:noProof/>
        </w:rPr>
      </w:pPr>
      <w:r>
        <w:rPr>
          <w:noProof/>
        </w:rPr>
        <w:t>O</w:t>
      </w:r>
      <w:r w:rsidR="00B844C4" w:rsidRPr="00B844C4">
        <w:rPr>
          <w:noProof/>
        </w:rPr>
        <w:t xml:space="preserve">f the five Member States not yet </w:t>
      </w:r>
      <w:r>
        <w:rPr>
          <w:noProof/>
        </w:rPr>
        <w:t xml:space="preserve">part of </w:t>
      </w:r>
      <w:r w:rsidR="00B844C4" w:rsidRPr="00B844C4">
        <w:rPr>
          <w:noProof/>
        </w:rPr>
        <w:t xml:space="preserve">the EPPO, </w:t>
      </w:r>
      <w:r w:rsidR="00B844C4" w:rsidRPr="00A10036">
        <w:rPr>
          <w:b/>
          <w:noProof/>
        </w:rPr>
        <w:t>Sweden</w:t>
      </w:r>
      <w:r w:rsidR="00B844C4" w:rsidRPr="00B844C4">
        <w:rPr>
          <w:noProof/>
        </w:rPr>
        <w:t xml:space="preserve"> </w:t>
      </w:r>
      <w:r w:rsidR="00396C5E">
        <w:rPr>
          <w:noProof/>
        </w:rPr>
        <w:t xml:space="preserve">has </w:t>
      </w:r>
      <w:r w:rsidR="00B844C4">
        <w:rPr>
          <w:noProof/>
        </w:rPr>
        <w:t>indicated its intention to join</w:t>
      </w:r>
      <w:r w:rsidR="00B844C4" w:rsidRPr="00B844C4">
        <w:rPr>
          <w:noProof/>
        </w:rPr>
        <w:t xml:space="preserve"> </w:t>
      </w:r>
      <w:r w:rsidR="00A169C9">
        <w:rPr>
          <w:noProof/>
        </w:rPr>
        <w:t>in 2023</w:t>
      </w:r>
      <w:r w:rsidR="00B844C4" w:rsidRPr="00B844C4">
        <w:rPr>
          <w:noProof/>
        </w:rPr>
        <w:t xml:space="preserve">; </w:t>
      </w:r>
      <w:r w:rsidR="00B844C4" w:rsidRPr="00A10036">
        <w:rPr>
          <w:b/>
          <w:noProof/>
        </w:rPr>
        <w:t>Denmark</w:t>
      </w:r>
      <w:r w:rsidR="009D39B1">
        <w:rPr>
          <w:noProof/>
        </w:rPr>
        <w:t>,</w:t>
      </w:r>
      <w:r w:rsidR="00B844C4" w:rsidRPr="00B844C4">
        <w:rPr>
          <w:noProof/>
        </w:rPr>
        <w:t xml:space="preserve"> </w:t>
      </w:r>
      <w:r w:rsidR="009D39B1" w:rsidRPr="00A10036">
        <w:rPr>
          <w:b/>
          <w:noProof/>
        </w:rPr>
        <w:t>Ireland</w:t>
      </w:r>
      <w:r w:rsidR="00B844C4" w:rsidRPr="00B844C4">
        <w:rPr>
          <w:noProof/>
        </w:rPr>
        <w:t xml:space="preserve">, </w:t>
      </w:r>
      <w:r w:rsidR="00B844C4" w:rsidRPr="00A10036">
        <w:rPr>
          <w:b/>
          <w:noProof/>
        </w:rPr>
        <w:t>Hungary</w:t>
      </w:r>
      <w:r w:rsidR="00B844C4" w:rsidRPr="00B844C4">
        <w:rPr>
          <w:noProof/>
        </w:rPr>
        <w:t xml:space="preserve">, and </w:t>
      </w:r>
      <w:r w:rsidR="00B844C4" w:rsidRPr="00A10036">
        <w:rPr>
          <w:b/>
          <w:noProof/>
        </w:rPr>
        <w:t>Poland</w:t>
      </w:r>
      <w:r w:rsidR="00B844C4" w:rsidRPr="00B844C4">
        <w:rPr>
          <w:noProof/>
        </w:rPr>
        <w:t xml:space="preserve"> </w:t>
      </w:r>
      <w:r>
        <w:rPr>
          <w:noProof/>
        </w:rPr>
        <w:t>said</w:t>
      </w:r>
      <w:r w:rsidRPr="00B844C4">
        <w:rPr>
          <w:noProof/>
        </w:rPr>
        <w:t xml:space="preserve"> </w:t>
      </w:r>
      <w:r w:rsidR="00B844C4" w:rsidRPr="00B844C4">
        <w:rPr>
          <w:noProof/>
        </w:rPr>
        <w:t>that they did not intend to join</w:t>
      </w:r>
      <w:r w:rsidR="009D39B1">
        <w:rPr>
          <w:rStyle w:val="FootnoteReference"/>
          <w:noProof/>
        </w:rPr>
        <w:footnoteReference w:id="36"/>
      </w:r>
      <w:r w:rsidR="00B844C4" w:rsidRPr="00B844C4">
        <w:rPr>
          <w:noProof/>
        </w:rPr>
        <w:t>.</w:t>
      </w:r>
    </w:p>
    <w:p w14:paraId="0EB24CEC" w14:textId="3A4D4152" w:rsidR="00B844C4" w:rsidRPr="00B87D3E" w:rsidRDefault="00B844C4" w:rsidP="00B844C4">
      <w:pPr>
        <w:pStyle w:val="NormalWeb"/>
        <w:spacing w:before="0" w:beforeAutospacing="0" w:after="240" w:afterAutospacing="0"/>
        <w:jc w:val="both"/>
        <w:rPr>
          <w:noProof/>
          <w:sz w:val="22"/>
        </w:rPr>
      </w:pPr>
      <w:r w:rsidRPr="00B87D3E">
        <w:rPr>
          <w:noProof/>
          <w:sz w:val="22"/>
        </w:rPr>
        <w:t xml:space="preserve">In the area of revenue, </w:t>
      </w:r>
      <w:r w:rsidR="0050564E">
        <w:rPr>
          <w:noProof/>
          <w:sz w:val="22"/>
        </w:rPr>
        <w:t>16</w:t>
      </w:r>
      <w:r w:rsidRPr="00B87D3E">
        <w:rPr>
          <w:rStyle w:val="FootnoteReference"/>
          <w:noProof/>
          <w:sz w:val="22"/>
        </w:rPr>
        <w:footnoteReference w:id="37"/>
      </w:r>
      <w:r w:rsidRPr="00B87D3E">
        <w:rPr>
          <w:noProof/>
          <w:sz w:val="22"/>
          <w:vertAlign w:val="superscript"/>
        </w:rPr>
        <w:t xml:space="preserve"> </w:t>
      </w:r>
      <w:r w:rsidRPr="00B87D3E">
        <w:rPr>
          <w:noProof/>
          <w:sz w:val="22"/>
        </w:rPr>
        <w:t xml:space="preserve">Member states </w:t>
      </w:r>
      <w:r w:rsidR="001149B4">
        <w:rPr>
          <w:noProof/>
          <w:sz w:val="22"/>
        </w:rPr>
        <w:t xml:space="preserve">replied that they </w:t>
      </w:r>
      <w:r w:rsidRPr="00B87D3E">
        <w:rPr>
          <w:noProof/>
          <w:sz w:val="22"/>
        </w:rPr>
        <w:t xml:space="preserve">fully implemented the Commission’s recommendation to assess the </w:t>
      </w:r>
      <w:r w:rsidRPr="00B87D3E">
        <w:rPr>
          <w:b/>
          <w:noProof/>
          <w:sz w:val="22"/>
        </w:rPr>
        <w:t>risks and shortcomings of their national customs control strategies</w:t>
      </w:r>
      <w:r w:rsidRPr="00B87D3E">
        <w:rPr>
          <w:noProof/>
          <w:sz w:val="22"/>
        </w:rPr>
        <w:t xml:space="preserve"> </w:t>
      </w:r>
      <w:r w:rsidR="0050564E">
        <w:rPr>
          <w:noProof/>
          <w:sz w:val="22"/>
        </w:rPr>
        <w:t>brought to the fore by</w:t>
      </w:r>
      <w:r w:rsidRPr="00B87D3E">
        <w:rPr>
          <w:noProof/>
          <w:sz w:val="22"/>
        </w:rPr>
        <w:t xml:space="preserve"> the </w:t>
      </w:r>
      <w:r w:rsidR="00F90561" w:rsidRPr="00B87D3E">
        <w:rPr>
          <w:noProof/>
          <w:sz w:val="22"/>
        </w:rPr>
        <w:t>C</w:t>
      </w:r>
      <w:r w:rsidR="00F90561">
        <w:rPr>
          <w:noProof/>
          <w:sz w:val="22"/>
        </w:rPr>
        <w:t>OVID</w:t>
      </w:r>
      <w:r w:rsidRPr="00B87D3E">
        <w:rPr>
          <w:noProof/>
          <w:sz w:val="22"/>
        </w:rPr>
        <w:t xml:space="preserve">-19 pandemic, </w:t>
      </w:r>
      <w:r w:rsidR="0050564E">
        <w:rPr>
          <w:noProof/>
          <w:sz w:val="22"/>
        </w:rPr>
        <w:t>4</w:t>
      </w:r>
      <w:r w:rsidRPr="00B87D3E">
        <w:rPr>
          <w:rStyle w:val="FootnoteReference"/>
          <w:noProof/>
          <w:sz w:val="22"/>
        </w:rPr>
        <w:footnoteReference w:id="38"/>
      </w:r>
      <w:r w:rsidRPr="00B87D3E">
        <w:rPr>
          <w:noProof/>
          <w:sz w:val="22"/>
        </w:rPr>
        <w:t xml:space="preserve"> partially implemented, and </w:t>
      </w:r>
      <w:r w:rsidR="0050564E">
        <w:rPr>
          <w:noProof/>
          <w:sz w:val="22"/>
        </w:rPr>
        <w:t>6</w:t>
      </w:r>
      <w:r w:rsidRPr="00B87D3E">
        <w:rPr>
          <w:rStyle w:val="FootnoteReference"/>
          <w:noProof/>
          <w:sz w:val="22"/>
        </w:rPr>
        <w:footnoteReference w:id="39"/>
      </w:r>
      <w:r w:rsidRPr="00B87D3E">
        <w:rPr>
          <w:noProof/>
          <w:sz w:val="22"/>
        </w:rPr>
        <w:t xml:space="preserve"> did not implement </w:t>
      </w:r>
      <w:r w:rsidR="0050564E">
        <w:rPr>
          <w:noProof/>
          <w:sz w:val="22"/>
        </w:rPr>
        <w:t>it</w:t>
      </w:r>
      <w:r w:rsidRPr="00B87D3E">
        <w:rPr>
          <w:noProof/>
          <w:sz w:val="22"/>
        </w:rPr>
        <w:t xml:space="preserve">. The replies </w:t>
      </w:r>
      <w:r w:rsidR="0050564E">
        <w:rPr>
          <w:noProof/>
          <w:sz w:val="22"/>
        </w:rPr>
        <w:t xml:space="preserve">show </w:t>
      </w:r>
      <w:r w:rsidRPr="00B87D3E">
        <w:rPr>
          <w:noProof/>
          <w:sz w:val="22"/>
        </w:rPr>
        <w:t xml:space="preserve">a series of successful measures, such as </w:t>
      </w:r>
      <w:r w:rsidR="0050564E">
        <w:rPr>
          <w:noProof/>
          <w:sz w:val="22"/>
        </w:rPr>
        <w:t xml:space="preserve">the </w:t>
      </w:r>
      <w:r w:rsidRPr="00B87D3E">
        <w:rPr>
          <w:noProof/>
          <w:sz w:val="22"/>
        </w:rPr>
        <w:t xml:space="preserve">flexibility of controls and risk profiling, </w:t>
      </w:r>
      <w:r w:rsidR="0050564E">
        <w:rPr>
          <w:noProof/>
          <w:sz w:val="22"/>
        </w:rPr>
        <w:t xml:space="preserve">thereby </w:t>
      </w:r>
      <w:r w:rsidR="0050564E" w:rsidRPr="00B87D3E">
        <w:rPr>
          <w:noProof/>
          <w:sz w:val="22"/>
        </w:rPr>
        <w:t>ensur</w:t>
      </w:r>
      <w:r w:rsidR="0050564E">
        <w:rPr>
          <w:noProof/>
          <w:sz w:val="22"/>
        </w:rPr>
        <w:t>ing</w:t>
      </w:r>
      <w:r w:rsidR="0050564E" w:rsidRPr="00B87D3E">
        <w:rPr>
          <w:noProof/>
          <w:sz w:val="22"/>
        </w:rPr>
        <w:t xml:space="preserve"> </w:t>
      </w:r>
      <w:r w:rsidRPr="00B87D3E">
        <w:rPr>
          <w:noProof/>
          <w:sz w:val="22"/>
        </w:rPr>
        <w:t xml:space="preserve">that controls continued to be carried out efficiently during </w:t>
      </w:r>
      <w:r w:rsidR="0050564E" w:rsidRPr="00B87D3E">
        <w:rPr>
          <w:noProof/>
          <w:sz w:val="22"/>
        </w:rPr>
        <w:t>th</w:t>
      </w:r>
      <w:r w:rsidR="0050564E">
        <w:rPr>
          <w:noProof/>
          <w:sz w:val="22"/>
        </w:rPr>
        <w:t>e COVID-19</w:t>
      </w:r>
      <w:r w:rsidR="0050564E" w:rsidRPr="00B87D3E">
        <w:rPr>
          <w:noProof/>
          <w:sz w:val="22"/>
        </w:rPr>
        <w:t xml:space="preserve"> </w:t>
      </w:r>
      <w:r w:rsidRPr="00B87D3E">
        <w:rPr>
          <w:noProof/>
          <w:sz w:val="22"/>
        </w:rPr>
        <w:t xml:space="preserve">period. </w:t>
      </w:r>
    </w:p>
    <w:p w14:paraId="693DB440" w14:textId="757235B3" w:rsidR="00B844C4" w:rsidRPr="00B87D3E" w:rsidRDefault="0050564E" w:rsidP="00B844C4">
      <w:pPr>
        <w:rPr>
          <w:noProof/>
          <w:szCs w:val="24"/>
        </w:rPr>
      </w:pPr>
      <w:r>
        <w:rPr>
          <w:noProof/>
          <w:szCs w:val="24"/>
        </w:rPr>
        <w:t>I</w:t>
      </w:r>
      <w:r w:rsidR="00B844C4" w:rsidRPr="00B87D3E">
        <w:rPr>
          <w:noProof/>
          <w:szCs w:val="24"/>
        </w:rPr>
        <w:t xml:space="preserve">n response to the recommendation to </w:t>
      </w:r>
      <w:r w:rsidR="00B844C4" w:rsidRPr="00B87D3E">
        <w:rPr>
          <w:b/>
          <w:noProof/>
          <w:szCs w:val="24"/>
        </w:rPr>
        <w:t>assess the risks that may not have been addressed in 2020 and implement remedial measures to address them</w:t>
      </w:r>
      <w:r w:rsidR="00B844C4" w:rsidRPr="00B87D3E">
        <w:rPr>
          <w:noProof/>
          <w:szCs w:val="24"/>
        </w:rPr>
        <w:t xml:space="preserve">, </w:t>
      </w:r>
      <w:r w:rsidR="00295D72">
        <w:rPr>
          <w:noProof/>
          <w:szCs w:val="24"/>
        </w:rPr>
        <w:t>16</w:t>
      </w:r>
      <w:r w:rsidR="00B844C4" w:rsidRPr="00B87D3E">
        <w:rPr>
          <w:rStyle w:val="FootnoteReference"/>
          <w:noProof/>
          <w:szCs w:val="24"/>
        </w:rPr>
        <w:footnoteReference w:id="40"/>
      </w:r>
      <w:r w:rsidR="00B844C4" w:rsidRPr="00B87D3E">
        <w:rPr>
          <w:noProof/>
          <w:szCs w:val="24"/>
        </w:rPr>
        <w:t xml:space="preserve"> Member States fully implemented the recommendation, </w:t>
      </w:r>
      <w:r w:rsidR="00295D72">
        <w:rPr>
          <w:noProof/>
          <w:szCs w:val="24"/>
        </w:rPr>
        <w:t>3</w:t>
      </w:r>
      <w:r w:rsidR="00B844C4" w:rsidRPr="00B87D3E">
        <w:rPr>
          <w:rStyle w:val="FootnoteReference"/>
          <w:noProof/>
          <w:szCs w:val="24"/>
        </w:rPr>
        <w:footnoteReference w:id="41"/>
      </w:r>
      <w:r w:rsidR="00B844C4" w:rsidRPr="00B87D3E">
        <w:rPr>
          <w:noProof/>
          <w:szCs w:val="24"/>
        </w:rPr>
        <w:t xml:space="preserve"> implemented it partially, and </w:t>
      </w:r>
      <w:r w:rsidR="00295D72">
        <w:rPr>
          <w:noProof/>
          <w:szCs w:val="24"/>
        </w:rPr>
        <w:t>7</w:t>
      </w:r>
      <w:r w:rsidR="00B844C4" w:rsidRPr="00B87D3E">
        <w:rPr>
          <w:rStyle w:val="FootnoteReference"/>
          <w:noProof/>
          <w:szCs w:val="24"/>
        </w:rPr>
        <w:footnoteReference w:id="42"/>
      </w:r>
      <w:r w:rsidR="00B844C4" w:rsidRPr="00B87D3E">
        <w:rPr>
          <w:noProof/>
          <w:szCs w:val="24"/>
        </w:rPr>
        <w:t xml:space="preserve"> </w:t>
      </w:r>
      <w:hyperlink r:id="rId21" w:anchor="_ftn3" w:history="1"/>
      <w:r w:rsidR="00B844C4" w:rsidRPr="00B87D3E">
        <w:rPr>
          <w:noProof/>
          <w:szCs w:val="24"/>
        </w:rPr>
        <w:t>did not implement it.</w:t>
      </w:r>
    </w:p>
    <w:p w14:paraId="7F38F621" w14:textId="7AD6BAC8" w:rsidR="00B844C4" w:rsidRPr="00B87D3E" w:rsidRDefault="00295D72" w:rsidP="00B844C4">
      <w:pPr>
        <w:spacing w:line="240" w:lineRule="auto"/>
        <w:rPr>
          <w:noProof/>
          <w:szCs w:val="24"/>
        </w:rPr>
      </w:pPr>
      <w:r>
        <w:rPr>
          <w:noProof/>
          <w:szCs w:val="24"/>
        </w:rPr>
        <w:t>On</w:t>
      </w:r>
      <w:r w:rsidRPr="00B87D3E">
        <w:rPr>
          <w:noProof/>
          <w:szCs w:val="24"/>
        </w:rPr>
        <w:t xml:space="preserve"> </w:t>
      </w:r>
      <w:r w:rsidR="00B844C4" w:rsidRPr="00B87D3E">
        <w:rPr>
          <w:noProof/>
          <w:szCs w:val="24"/>
        </w:rPr>
        <w:t xml:space="preserve">the recommendations on expenditure, </w:t>
      </w:r>
      <w:r>
        <w:rPr>
          <w:noProof/>
          <w:szCs w:val="24"/>
        </w:rPr>
        <w:t>11</w:t>
      </w:r>
      <w:r w:rsidR="00B844C4" w:rsidRPr="00B87D3E">
        <w:rPr>
          <w:rStyle w:val="FootnoteReference"/>
          <w:noProof/>
          <w:szCs w:val="24"/>
        </w:rPr>
        <w:footnoteReference w:id="43"/>
      </w:r>
      <w:r w:rsidR="00893B95">
        <w:rPr>
          <w:noProof/>
          <w:szCs w:val="24"/>
        </w:rPr>
        <w:t xml:space="preserve"> </w:t>
      </w:r>
      <w:r w:rsidR="00B844C4" w:rsidRPr="00B87D3E">
        <w:rPr>
          <w:noProof/>
          <w:szCs w:val="24"/>
        </w:rPr>
        <w:t xml:space="preserve">Member States reported that they had launched </w:t>
      </w:r>
      <w:r w:rsidR="00B844C4" w:rsidRPr="00B87D3E">
        <w:rPr>
          <w:b/>
          <w:noProof/>
          <w:szCs w:val="24"/>
        </w:rPr>
        <w:t>targeted risk management exercises linked to the impact of COVID-19 and the</w:t>
      </w:r>
      <w:r w:rsidR="00B844C4" w:rsidRPr="00B87D3E">
        <w:rPr>
          <w:noProof/>
          <w:szCs w:val="24"/>
        </w:rPr>
        <w:t xml:space="preserve"> </w:t>
      </w:r>
      <w:r w:rsidR="00B844C4" w:rsidRPr="00B87D3E">
        <w:rPr>
          <w:b/>
          <w:noProof/>
          <w:szCs w:val="24"/>
        </w:rPr>
        <w:t>upcoming implementation of the RRF</w:t>
      </w:r>
      <w:r w:rsidR="00B844C4" w:rsidRPr="00B87D3E">
        <w:rPr>
          <w:noProof/>
          <w:szCs w:val="24"/>
        </w:rPr>
        <w:t xml:space="preserve">, and fully implemented the recommendation; </w:t>
      </w:r>
      <w:r>
        <w:rPr>
          <w:noProof/>
          <w:szCs w:val="24"/>
        </w:rPr>
        <w:t>11</w:t>
      </w:r>
      <w:r w:rsidR="00B844C4" w:rsidRPr="00B87D3E">
        <w:rPr>
          <w:rStyle w:val="FootnoteReference"/>
          <w:noProof/>
          <w:szCs w:val="24"/>
        </w:rPr>
        <w:footnoteReference w:id="44"/>
      </w:r>
      <w:r w:rsidR="00B844C4" w:rsidRPr="00B87D3E">
        <w:rPr>
          <w:noProof/>
          <w:szCs w:val="24"/>
        </w:rPr>
        <w:t xml:space="preserve"> did so only partially, and </w:t>
      </w:r>
      <w:r>
        <w:rPr>
          <w:noProof/>
          <w:szCs w:val="24"/>
        </w:rPr>
        <w:t>4</w:t>
      </w:r>
      <w:r w:rsidR="00B844C4" w:rsidRPr="00B87D3E">
        <w:rPr>
          <w:rStyle w:val="FootnoteReference"/>
          <w:noProof/>
          <w:szCs w:val="24"/>
        </w:rPr>
        <w:footnoteReference w:id="45"/>
      </w:r>
      <w:r w:rsidR="00B844C4" w:rsidRPr="00B87D3E">
        <w:rPr>
          <w:noProof/>
          <w:szCs w:val="24"/>
        </w:rPr>
        <w:t xml:space="preserve"> did not implement the recommendation. </w:t>
      </w:r>
    </w:p>
    <w:p w14:paraId="47474BFF" w14:textId="67534712" w:rsidR="00B844C4" w:rsidRPr="00B87D3E" w:rsidRDefault="00295D72" w:rsidP="00B844C4">
      <w:pPr>
        <w:spacing w:line="240" w:lineRule="auto"/>
        <w:rPr>
          <w:noProof/>
          <w:szCs w:val="24"/>
        </w:rPr>
      </w:pPr>
      <w:r>
        <w:rPr>
          <w:noProof/>
          <w:szCs w:val="24"/>
        </w:rPr>
        <w:t>O</w:t>
      </w:r>
      <w:r w:rsidR="00B844C4" w:rsidRPr="00B87D3E">
        <w:rPr>
          <w:noProof/>
          <w:szCs w:val="24"/>
        </w:rPr>
        <w:t xml:space="preserve">n whether they had </w:t>
      </w:r>
      <w:r w:rsidR="00B844C4" w:rsidRPr="00B87D3E">
        <w:rPr>
          <w:b/>
          <w:noProof/>
          <w:szCs w:val="24"/>
        </w:rPr>
        <w:t>improved the way in which underlying data</w:t>
      </w:r>
      <w:r>
        <w:rPr>
          <w:b/>
          <w:noProof/>
          <w:szCs w:val="24"/>
        </w:rPr>
        <w:t xml:space="preserve"> and data</w:t>
      </w:r>
      <w:r w:rsidR="00B61CAD">
        <w:rPr>
          <w:b/>
          <w:noProof/>
          <w:szCs w:val="24"/>
        </w:rPr>
        <w:t xml:space="preserve"> </w:t>
      </w:r>
      <w:r>
        <w:rPr>
          <w:b/>
          <w:noProof/>
          <w:szCs w:val="24"/>
        </w:rPr>
        <w:t xml:space="preserve">on </w:t>
      </w:r>
      <w:r w:rsidR="00B844C4" w:rsidRPr="00B87D3E">
        <w:rPr>
          <w:b/>
          <w:noProof/>
          <w:szCs w:val="24"/>
        </w:rPr>
        <w:t>detected irregularities and fraud, are collected and used</w:t>
      </w:r>
      <w:r w:rsidR="00B844C4" w:rsidRPr="00B87D3E">
        <w:rPr>
          <w:noProof/>
          <w:szCs w:val="24"/>
        </w:rPr>
        <w:t xml:space="preserve">, </w:t>
      </w:r>
      <w:r>
        <w:rPr>
          <w:noProof/>
          <w:szCs w:val="24"/>
        </w:rPr>
        <w:t>14</w:t>
      </w:r>
      <w:r w:rsidR="00B844C4" w:rsidRPr="00B87D3E">
        <w:rPr>
          <w:rStyle w:val="FootnoteReference"/>
          <w:noProof/>
          <w:szCs w:val="24"/>
        </w:rPr>
        <w:footnoteReference w:id="46"/>
      </w:r>
      <w:r w:rsidR="00B844C4" w:rsidRPr="00B87D3E">
        <w:rPr>
          <w:noProof/>
          <w:szCs w:val="24"/>
        </w:rPr>
        <w:t xml:space="preserve"> Member States reported that they fully implemented the recommendation, </w:t>
      </w:r>
      <w:r>
        <w:rPr>
          <w:noProof/>
          <w:szCs w:val="24"/>
        </w:rPr>
        <w:t>7</w:t>
      </w:r>
      <w:r w:rsidR="00B844C4" w:rsidRPr="00B87D3E">
        <w:rPr>
          <w:rStyle w:val="FootnoteReference"/>
          <w:noProof/>
          <w:szCs w:val="24"/>
        </w:rPr>
        <w:footnoteReference w:id="47"/>
      </w:r>
      <w:r w:rsidR="00B844C4" w:rsidRPr="00B87D3E">
        <w:rPr>
          <w:noProof/>
          <w:szCs w:val="24"/>
        </w:rPr>
        <w:t xml:space="preserve"> </w:t>
      </w:r>
      <w:r>
        <w:rPr>
          <w:noProof/>
          <w:szCs w:val="24"/>
        </w:rPr>
        <w:t xml:space="preserve">that they had </w:t>
      </w:r>
      <w:r w:rsidR="00B844C4" w:rsidRPr="00B87D3E">
        <w:rPr>
          <w:noProof/>
          <w:szCs w:val="24"/>
        </w:rPr>
        <w:t xml:space="preserve">partially implemented it, and </w:t>
      </w:r>
      <w:r>
        <w:rPr>
          <w:noProof/>
          <w:szCs w:val="24"/>
        </w:rPr>
        <w:t>5</w:t>
      </w:r>
      <w:r w:rsidR="00B844C4" w:rsidRPr="00B87D3E">
        <w:rPr>
          <w:rStyle w:val="FootnoteReference"/>
          <w:noProof/>
          <w:szCs w:val="24"/>
        </w:rPr>
        <w:footnoteReference w:id="48"/>
      </w:r>
      <w:r w:rsidR="00B844C4" w:rsidRPr="00B87D3E">
        <w:rPr>
          <w:noProof/>
          <w:szCs w:val="24"/>
        </w:rPr>
        <w:t xml:space="preserve"> </w:t>
      </w:r>
      <w:r>
        <w:rPr>
          <w:noProof/>
          <w:szCs w:val="24"/>
        </w:rPr>
        <w:t xml:space="preserve">that they had </w:t>
      </w:r>
      <w:r w:rsidR="00B844C4" w:rsidRPr="00B87D3E">
        <w:rPr>
          <w:noProof/>
          <w:szCs w:val="24"/>
        </w:rPr>
        <w:t>not implement</w:t>
      </w:r>
      <w:r>
        <w:rPr>
          <w:noProof/>
          <w:szCs w:val="24"/>
        </w:rPr>
        <w:t>ed</w:t>
      </w:r>
      <w:r w:rsidR="00B844C4" w:rsidRPr="00B87D3E">
        <w:rPr>
          <w:noProof/>
          <w:szCs w:val="24"/>
        </w:rPr>
        <w:t xml:space="preserve"> </w:t>
      </w:r>
      <w:r>
        <w:rPr>
          <w:noProof/>
          <w:szCs w:val="24"/>
        </w:rPr>
        <w:t>it</w:t>
      </w:r>
      <w:r w:rsidR="00B844C4" w:rsidRPr="00B87D3E">
        <w:rPr>
          <w:noProof/>
          <w:szCs w:val="24"/>
        </w:rPr>
        <w:t xml:space="preserve">. Most Member States reported that they had tailored their use of IT systems such as </w:t>
      </w:r>
      <w:r>
        <w:rPr>
          <w:noProof/>
          <w:szCs w:val="24"/>
        </w:rPr>
        <w:t>the Irregularity Management System (</w:t>
      </w:r>
      <w:r w:rsidR="00B844C4" w:rsidRPr="00B87D3E">
        <w:rPr>
          <w:noProof/>
          <w:szCs w:val="24"/>
        </w:rPr>
        <w:t>IMS</w:t>
      </w:r>
      <w:r>
        <w:rPr>
          <w:noProof/>
          <w:szCs w:val="24"/>
        </w:rPr>
        <w:t>)</w:t>
      </w:r>
      <w:r w:rsidR="00B844C4" w:rsidRPr="00B87D3E">
        <w:rPr>
          <w:noProof/>
          <w:szCs w:val="24"/>
        </w:rPr>
        <w:t>, Arachne</w:t>
      </w:r>
      <w:r w:rsidR="0088672E">
        <w:rPr>
          <w:rStyle w:val="FootnoteReference"/>
          <w:noProof/>
        </w:rPr>
        <w:footnoteReference w:id="49"/>
      </w:r>
      <w:r w:rsidR="00B844C4" w:rsidRPr="00B87D3E">
        <w:rPr>
          <w:noProof/>
          <w:szCs w:val="24"/>
        </w:rPr>
        <w:t xml:space="preserve">, </w:t>
      </w:r>
      <w:r>
        <w:rPr>
          <w:noProof/>
          <w:szCs w:val="24"/>
        </w:rPr>
        <w:t>the Early Detection and Exclusion System (</w:t>
      </w:r>
      <w:r w:rsidR="00B844C4" w:rsidRPr="00B87D3E">
        <w:rPr>
          <w:noProof/>
          <w:szCs w:val="24"/>
        </w:rPr>
        <w:t>EDES</w:t>
      </w:r>
      <w:r>
        <w:rPr>
          <w:noProof/>
          <w:szCs w:val="24"/>
        </w:rPr>
        <w:t>)</w:t>
      </w:r>
      <w:r w:rsidR="0088672E">
        <w:rPr>
          <w:rStyle w:val="FootnoteReference"/>
          <w:noProof/>
          <w:szCs w:val="24"/>
        </w:rPr>
        <w:footnoteReference w:id="50"/>
      </w:r>
      <w:r w:rsidR="00B844C4" w:rsidRPr="00B87D3E">
        <w:rPr>
          <w:noProof/>
          <w:szCs w:val="24"/>
        </w:rPr>
        <w:t xml:space="preserve">, as well as a variety of national IT tools, to </w:t>
      </w:r>
      <w:r>
        <w:rPr>
          <w:noProof/>
          <w:szCs w:val="24"/>
        </w:rPr>
        <w:t xml:space="preserve">improving </w:t>
      </w:r>
      <w:r w:rsidR="00B844C4" w:rsidRPr="00B87D3E">
        <w:rPr>
          <w:noProof/>
          <w:szCs w:val="24"/>
        </w:rPr>
        <w:t xml:space="preserve">the quality of the data they worked with. </w:t>
      </w:r>
    </w:p>
    <w:p w14:paraId="153B40CB" w14:textId="1BABB546" w:rsidR="00B844C4" w:rsidRPr="00B844C4" w:rsidRDefault="00B844C4" w:rsidP="00B844C4">
      <w:pPr>
        <w:spacing w:after="0" w:line="240" w:lineRule="auto"/>
        <w:rPr>
          <w:noProof/>
          <w:szCs w:val="24"/>
        </w:rPr>
      </w:pPr>
      <w:r w:rsidRPr="00B87D3E">
        <w:rPr>
          <w:noProof/>
          <w:szCs w:val="24"/>
        </w:rPr>
        <w:t xml:space="preserve">The last recommendation </w:t>
      </w:r>
      <w:r w:rsidR="00295D72">
        <w:rPr>
          <w:noProof/>
          <w:szCs w:val="24"/>
        </w:rPr>
        <w:t xml:space="preserve">on </w:t>
      </w:r>
      <w:r w:rsidRPr="00B87D3E">
        <w:rPr>
          <w:noProof/>
          <w:szCs w:val="24"/>
        </w:rPr>
        <w:t xml:space="preserve">expenditure encouraged Member States to use the </w:t>
      </w:r>
      <w:r w:rsidRPr="00B87D3E">
        <w:rPr>
          <w:b/>
          <w:noProof/>
          <w:szCs w:val="24"/>
        </w:rPr>
        <w:t>integrated and interoperable information and monitoring system the Commission will make available for the RRF and the EU budget</w:t>
      </w:r>
      <w:r w:rsidRPr="00B87D3E">
        <w:rPr>
          <w:noProof/>
          <w:szCs w:val="24"/>
        </w:rPr>
        <w:t xml:space="preserve">. </w:t>
      </w:r>
      <w:r w:rsidR="00295D72">
        <w:rPr>
          <w:noProof/>
          <w:szCs w:val="24"/>
        </w:rPr>
        <w:t>19</w:t>
      </w:r>
      <w:r w:rsidRPr="00B87D3E">
        <w:rPr>
          <w:rStyle w:val="FootnoteReference"/>
          <w:noProof/>
          <w:szCs w:val="24"/>
        </w:rPr>
        <w:footnoteReference w:id="51"/>
      </w:r>
      <w:r w:rsidRPr="00B87D3E">
        <w:rPr>
          <w:noProof/>
          <w:szCs w:val="24"/>
        </w:rPr>
        <w:t xml:space="preserve"> Member States reported they fully implemented it, </w:t>
      </w:r>
      <w:r w:rsidR="00295D72">
        <w:rPr>
          <w:noProof/>
          <w:szCs w:val="24"/>
        </w:rPr>
        <w:t>4</w:t>
      </w:r>
      <w:r w:rsidRPr="00B87D3E">
        <w:rPr>
          <w:rStyle w:val="FootnoteReference"/>
          <w:noProof/>
          <w:szCs w:val="24"/>
        </w:rPr>
        <w:footnoteReference w:id="52"/>
      </w:r>
      <w:r w:rsidRPr="00B87D3E">
        <w:rPr>
          <w:noProof/>
          <w:szCs w:val="24"/>
        </w:rPr>
        <w:t xml:space="preserve"> partially implemented, and </w:t>
      </w:r>
      <w:r w:rsidR="00295D72">
        <w:rPr>
          <w:noProof/>
          <w:szCs w:val="24"/>
        </w:rPr>
        <w:t>3</w:t>
      </w:r>
      <w:r w:rsidRPr="00B87D3E">
        <w:rPr>
          <w:rStyle w:val="FootnoteReference"/>
          <w:noProof/>
          <w:szCs w:val="24"/>
        </w:rPr>
        <w:footnoteReference w:id="53"/>
      </w:r>
      <w:r w:rsidRPr="00B87D3E">
        <w:rPr>
          <w:noProof/>
          <w:szCs w:val="24"/>
        </w:rPr>
        <w:t xml:space="preserve"> did not implement the recommendation.</w:t>
      </w:r>
    </w:p>
    <w:p w14:paraId="1D316658" w14:textId="77777777" w:rsidR="00FE789E" w:rsidRDefault="00FE789E" w:rsidP="00FE789E">
      <w:pPr>
        <w:pStyle w:val="Heading1"/>
        <w:rPr>
          <w:noProof/>
        </w:rPr>
      </w:pPr>
      <w:bookmarkStart w:id="43" w:name="_Toc110444048"/>
      <w:r>
        <w:rPr>
          <w:noProof/>
        </w:rPr>
        <w:t>Anti-fraud cooperation</w:t>
      </w:r>
      <w:bookmarkEnd w:id="43"/>
    </w:p>
    <w:p w14:paraId="0B2FF319" w14:textId="6533572D" w:rsidR="00FE789E" w:rsidRDefault="00295D72" w:rsidP="00DC489A">
      <w:pPr>
        <w:rPr>
          <w:noProof/>
        </w:rPr>
      </w:pPr>
      <w:r>
        <w:rPr>
          <w:noProof/>
        </w:rPr>
        <w:t xml:space="preserve">Fighting fraud is crucial for the EU, not least given the part it plays on the world stage. Cooperation is key to ensure that this fight is effective. </w:t>
      </w:r>
      <w:r w:rsidR="00242925">
        <w:rPr>
          <w:noProof/>
        </w:rPr>
        <w:t xml:space="preserve">This section </w:t>
      </w:r>
      <w:r>
        <w:rPr>
          <w:noProof/>
        </w:rPr>
        <w:t xml:space="preserve">gives an account of the </w:t>
      </w:r>
      <w:r w:rsidR="00242925">
        <w:rPr>
          <w:noProof/>
        </w:rPr>
        <w:t xml:space="preserve">most </w:t>
      </w:r>
      <w:r>
        <w:rPr>
          <w:noProof/>
        </w:rPr>
        <w:t xml:space="preserve">significant </w:t>
      </w:r>
      <w:r w:rsidR="00242925">
        <w:rPr>
          <w:noProof/>
        </w:rPr>
        <w:t>developments in this area.</w:t>
      </w:r>
    </w:p>
    <w:p w14:paraId="498DB13E" w14:textId="77777777" w:rsidR="00DC489A" w:rsidRDefault="00DC489A" w:rsidP="00DC489A">
      <w:pPr>
        <w:pStyle w:val="Heading2"/>
        <w:rPr>
          <w:noProof/>
        </w:rPr>
      </w:pPr>
      <w:bookmarkStart w:id="44" w:name="_Toc110444049"/>
      <w:r>
        <w:rPr>
          <w:noProof/>
        </w:rPr>
        <w:t>International cooperation</w:t>
      </w:r>
      <w:bookmarkEnd w:id="44"/>
    </w:p>
    <w:p w14:paraId="5BD562FA" w14:textId="77777777" w:rsidR="004F6F3F" w:rsidRDefault="00FF426C" w:rsidP="00CD7B44">
      <w:pPr>
        <w:pStyle w:val="Heading3"/>
        <w:rPr>
          <w:noProof/>
        </w:rPr>
      </w:pPr>
      <w:bookmarkStart w:id="45" w:name="_Toc110444050"/>
      <w:r>
        <w:rPr>
          <w:noProof/>
        </w:rPr>
        <w:t>Cooperation with non-EU countries and m</w:t>
      </w:r>
      <w:r w:rsidR="004F6F3F">
        <w:rPr>
          <w:noProof/>
        </w:rPr>
        <w:t>utual assistance and anti-fraud provisions in international agreements</w:t>
      </w:r>
      <w:bookmarkEnd w:id="45"/>
    </w:p>
    <w:p w14:paraId="2442E74A" w14:textId="19052EEE" w:rsidR="00FF426C" w:rsidRDefault="00FF426C" w:rsidP="00C6311E">
      <w:pPr>
        <w:rPr>
          <w:noProof/>
        </w:rPr>
      </w:pPr>
      <w:r w:rsidRPr="00026DA3">
        <w:rPr>
          <w:b/>
          <w:noProof/>
        </w:rPr>
        <w:t>Cooperation with international partners</w:t>
      </w:r>
      <w:r w:rsidRPr="00FF426C">
        <w:rPr>
          <w:noProof/>
        </w:rPr>
        <w:t xml:space="preserve"> is crucial to protect EU funds spent </w:t>
      </w:r>
      <w:r w:rsidR="00295D72">
        <w:rPr>
          <w:noProof/>
        </w:rPr>
        <w:t>outside</w:t>
      </w:r>
      <w:r w:rsidR="00295D72" w:rsidRPr="00FF426C">
        <w:rPr>
          <w:noProof/>
        </w:rPr>
        <w:t xml:space="preserve"> </w:t>
      </w:r>
      <w:r w:rsidRPr="00FF426C">
        <w:rPr>
          <w:noProof/>
        </w:rPr>
        <w:t xml:space="preserve">Europe </w:t>
      </w:r>
      <w:r w:rsidR="00295D72">
        <w:rPr>
          <w:noProof/>
        </w:rPr>
        <w:t xml:space="preserve">and </w:t>
      </w:r>
      <w:r w:rsidRPr="00FF426C">
        <w:rPr>
          <w:noProof/>
        </w:rPr>
        <w:t xml:space="preserve">the revenue side of the EU budget. To </w:t>
      </w:r>
      <w:r w:rsidR="00295D72">
        <w:rPr>
          <w:noProof/>
        </w:rPr>
        <w:t xml:space="preserve">do </w:t>
      </w:r>
      <w:r w:rsidRPr="00FF426C">
        <w:rPr>
          <w:noProof/>
        </w:rPr>
        <w:t xml:space="preserve">this, </w:t>
      </w:r>
      <w:r w:rsidR="00295D72">
        <w:rPr>
          <w:noProof/>
        </w:rPr>
        <w:t xml:space="preserve">in 2021 </w:t>
      </w:r>
      <w:r w:rsidRPr="00FF426C">
        <w:rPr>
          <w:noProof/>
        </w:rPr>
        <w:t xml:space="preserve">OLAF – together with the relevant Commission </w:t>
      </w:r>
      <w:r w:rsidR="004635F1">
        <w:rPr>
          <w:noProof/>
        </w:rPr>
        <w:t xml:space="preserve">department </w:t>
      </w:r>
      <w:r w:rsidRPr="00FF426C">
        <w:rPr>
          <w:noProof/>
        </w:rPr>
        <w:t xml:space="preserve">– continued to </w:t>
      </w:r>
      <w:r w:rsidRPr="00026DA3">
        <w:rPr>
          <w:b/>
          <w:noProof/>
        </w:rPr>
        <w:t>ensure that financing agreements and other contracts contain</w:t>
      </w:r>
      <w:r w:rsidR="00295D72" w:rsidRPr="00026DA3">
        <w:rPr>
          <w:b/>
          <w:noProof/>
        </w:rPr>
        <w:t>ed</w:t>
      </w:r>
      <w:r w:rsidRPr="00026DA3">
        <w:rPr>
          <w:b/>
          <w:noProof/>
        </w:rPr>
        <w:t xml:space="preserve"> sound anti-fraud provisions</w:t>
      </w:r>
      <w:r w:rsidRPr="00FF426C">
        <w:rPr>
          <w:noProof/>
        </w:rPr>
        <w:t xml:space="preserve">, including the possibility </w:t>
      </w:r>
      <w:r w:rsidR="00B83E3A">
        <w:rPr>
          <w:noProof/>
        </w:rPr>
        <w:t xml:space="preserve">of </w:t>
      </w:r>
      <w:r w:rsidRPr="00FF426C">
        <w:rPr>
          <w:noProof/>
        </w:rPr>
        <w:t>carry</w:t>
      </w:r>
      <w:r w:rsidR="00B83E3A">
        <w:rPr>
          <w:noProof/>
        </w:rPr>
        <w:t>ing</w:t>
      </w:r>
      <w:r w:rsidRPr="00FF426C">
        <w:rPr>
          <w:noProof/>
        </w:rPr>
        <w:t xml:space="preserve"> out controls and investigations relating to funds implemented outside the EU. OLAF </w:t>
      </w:r>
      <w:r w:rsidR="00B83E3A">
        <w:rPr>
          <w:noProof/>
        </w:rPr>
        <w:t xml:space="preserve">also </w:t>
      </w:r>
      <w:r w:rsidRPr="00FF426C">
        <w:rPr>
          <w:noProof/>
        </w:rPr>
        <w:t xml:space="preserve">concluded administrative cooperation arrangements with two international partner authorities, the </w:t>
      </w:r>
      <w:r w:rsidR="00B83E3A" w:rsidRPr="00FF426C">
        <w:rPr>
          <w:noProof/>
        </w:rPr>
        <w:t>Prosecutor</w:t>
      </w:r>
      <w:r w:rsidR="00B83E3A">
        <w:rPr>
          <w:noProof/>
        </w:rPr>
        <w:t>-</w:t>
      </w:r>
      <w:r w:rsidRPr="00FF426C">
        <w:rPr>
          <w:noProof/>
        </w:rPr>
        <w:t>General’s Office of Ukraine and the World Customs Organization</w:t>
      </w:r>
      <w:r w:rsidR="00B83E3A">
        <w:rPr>
          <w:noProof/>
        </w:rPr>
        <w:t xml:space="preserve"> (WCO)</w:t>
      </w:r>
      <w:r w:rsidRPr="00FF426C">
        <w:rPr>
          <w:noProof/>
        </w:rPr>
        <w:t xml:space="preserve">. Such arrangements help to foster close relationships with partners engaged in the fight against fraud by providing a guiding framework for practical cooperation, e.g. the sharing of information or best practices. In 2021, OLAF also organised online outreach events to establish new operational contacts with investigative authorities in non-EU countries and to encourage the reporting of fraud and irregularities </w:t>
      </w:r>
      <w:r w:rsidR="00B83E3A">
        <w:rPr>
          <w:noProof/>
        </w:rPr>
        <w:t>through</w:t>
      </w:r>
      <w:r w:rsidR="00B83E3A" w:rsidRPr="00FF426C">
        <w:rPr>
          <w:noProof/>
        </w:rPr>
        <w:t xml:space="preserve"> </w:t>
      </w:r>
      <w:r w:rsidRPr="00FF426C">
        <w:rPr>
          <w:noProof/>
        </w:rPr>
        <w:t>EU Delegations around the world.</w:t>
      </w:r>
    </w:p>
    <w:p w14:paraId="35AFCCE3" w14:textId="07ABE043" w:rsidR="00C6311E" w:rsidRDefault="00C6311E" w:rsidP="00C6311E">
      <w:pPr>
        <w:rPr>
          <w:noProof/>
        </w:rPr>
      </w:pPr>
      <w:r w:rsidRPr="00C6311E">
        <w:rPr>
          <w:noProof/>
        </w:rPr>
        <w:t xml:space="preserve">Cooperation with third countries to prevent, detect and combat breaches of customs legislation is based on agreements on </w:t>
      </w:r>
      <w:r w:rsidRPr="00026DA3">
        <w:rPr>
          <w:b/>
          <w:noProof/>
        </w:rPr>
        <w:t>mutual administrative assistance</w:t>
      </w:r>
      <w:r w:rsidRPr="00C6311E">
        <w:rPr>
          <w:noProof/>
        </w:rPr>
        <w:t xml:space="preserve"> (MAA) in customs matters. Such agreements </w:t>
      </w:r>
      <w:r w:rsidR="00B83E3A">
        <w:rPr>
          <w:noProof/>
        </w:rPr>
        <w:t xml:space="preserve">make </w:t>
      </w:r>
      <w:r w:rsidRPr="00C6311E">
        <w:rPr>
          <w:noProof/>
        </w:rPr>
        <w:t>a key contribution to protect</w:t>
      </w:r>
      <w:r w:rsidR="00B83E3A">
        <w:rPr>
          <w:noProof/>
        </w:rPr>
        <w:t>ing</w:t>
      </w:r>
      <w:r w:rsidRPr="00C6311E">
        <w:rPr>
          <w:noProof/>
        </w:rPr>
        <w:t xml:space="preserve"> </w:t>
      </w:r>
      <w:r w:rsidR="00B83E3A">
        <w:rPr>
          <w:noProof/>
        </w:rPr>
        <w:t xml:space="preserve">the EU’s </w:t>
      </w:r>
      <w:r w:rsidRPr="00C6311E">
        <w:rPr>
          <w:noProof/>
        </w:rPr>
        <w:t xml:space="preserve">financial interests. </w:t>
      </w:r>
      <w:r w:rsidR="00DA41DB">
        <w:rPr>
          <w:noProof/>
        </w:rPr>
        <w:t>C</w:t>
      </w:r>
      <w:r w:rsidRPr="00C6311E">
        <w:rPr>
          <w:noProof/>
        </w:rPr>
        <w:t>urrently</w:t>
      </w:r>
      <w:r w:rsidR="00B83E3A">
        <w:rPr>
          <w:noProof/>
        </w:rPr>
        <w:t xml:space="preserve"> </w:t>
      </w:r>
      <w:r w:rsidR="00DA41DB">
        <w:rPr>
          <w:noProof/>
        </w:rPr>
        <w:t>there are</w:t>
      </w:r>
      <w:r w:rsidR="00DA41DB" w:rsidRPr="00C6311E">
        <w:rPr>
          <w:noProof/>
        </w:rPr>
        <w:t xml:space="preserve"> </w:t>
      </w:r>
      <w:r w:rsidR="00F90561">
        <w:rPr>
          <w:noProof/>
        </w:rPr>
        <w:t>a</w:t>
      </w:r>
      <w:r w:rsidR="00F90561" w:rsidRPr="00C6311E">
        <w:rPr>
          <w:noProof/>
        </w:rPr>
        <w:t xml:space="preserve">greements </w:t>
      </w:r>
      <w:r w:rsidRPr="00C6311E">
        <w:rPr>
          <w:noProof/>
        </w:rPr>
        <w:t xml:space="preserve">with 87 countries, including with major EU trade partners, </w:t>
      </w:r>
      <w:r w:rsidR="00B83E3A">
        <w:rPr>
          <w:noProof/>
        </w:rPr>
        <w:t xml:space="preserve">such as </w:t>
      </w:r>
      <w:r w:rsidRPr="00C6311E">
        <w:rPr>
          <w:noProof/>
        </w:rPr>
        <w:t xml:space="preserve">the United States, China </w:t>
      </w:r>
      <w:r w:rsidR="00B83E3A">
        <w:rPr>
          <w:noProof/>
        </w:rPr>
        <w:t>and</w:t>
      </w:r>
      <w:r w:rsidR="00B83E3A" w:rsidRPr="00C6311E">
        <w:rPr>
          <w:noProof/>
        </w:rPr>
        <w:t xml:space="preserve"> </w:t>
      </w:r>
      <w:r w:rsidRPr="00C6311E">
        <w:rPr>
          <w:noProof/>
        </w:rPr>
        <w:t>Japan. In 2021, negotiations with the Eastern and Southern Africa (ESA5) countries</w:t>
      </w:r>
      <w:r w:rsidR="00B83E3A">
        <w:rPr>
          <w:rStyle w:val="FootnoteReference"/>
          <w:noProof/>
        </w:rPr>
        <w:footnoteReference w:id="54"/>
      </w:r>
      <w:r w:rsidRPr="00C6311E">
        <w:rPr>
          <w:noProof/>
        </w:rPr>
        <w:t xml:space="preserve"> were finalised, and </w:t>
      </w:r>
      <w:r w:rsidR="00B83E3A">
        <w:rPr>
          <w:noProof/>
        </w:rPr>
        <w:t xml:space="preserve">negotiations </w:t>
      </w:r>
      <w:r w:rsidRPr="00C6311E">
        <w:rPr>
          <w:noProof/>
        </w:rPr>
        <w:t xml:space="preserve">were ongoing with Australia, Indonesia and </w:t>
      </w:r>
      <w:r w:rsidR="00893B95">
        <w:rPr>
          <w:noProof/>
        </w:rPr>
        <w:t xml:space="preserve">the United Kingdom </w:t>
      </w:r>
      <w:r w:rsidR="00DA41DB">
        <w:rPr>
          <w:noProof/>
        </w:rPr>
        <w:t xml:space="preserve">in respect of </w:t>
      </w:r>
      <w:r w:rsidRPr="00C6311E">
        <w:rPr>
          <w:noProof/>
        </w:rPr>
        <w:t>Gibraltar.</w:t>
      </w:r>
    </w:p>
    <w:p w14:paraId="3453F37D" w14:textId="3FCBD6C5" w:rsidR="00C6311E" w:rsidRPr="00C6311E" w:rsidRDefault="00C6311E" w:rsidP="00C6311E">
      <w:pPr>
        <w:rPr>
          <w:noProof/>
        </w:rPr>
      </w:pPr>
      <w:r w:rsidRPr="00C6311E">
        <w:rPr>
          <w:noProof/>
        </w:rPr>
        <w:t>Free trade agreements usually contain an anti</w:t>
      </w:r>
      <w:r w:rsidR="00B83E3A">
        <w:rPr>
          <w:noProof/>
        </w:rPr>
        <w:t>-</w:t>
      </w:r>
      <w:r w:rsidRPr="00C6311E">
        <w:rPr>
          <w:noProof/>
        </w:rPr>
        <w:t xml:space="preserve">fraud clause, </w:t>
      </w:r>
      <w:r w:rsidR="00B83E3A">
        <w:rPr>
          <w:noProof/>
        </w:rPr>
        <w:t xml:space="preserve">involving a </w:t>
      </w:r>
      <w:r w:rsidRPr="00C6311E">
        <w:rPr>
          <w:noProof/>
        </w:rPr>
        <w:t xml:space="preserve">temporary withdrawal of tariff preference for a product in cases of serious customs fraud </w:t>
      </w:r>
      <w:r w:rsidR="00B83E3A">
        <w:rPr>
          <w:noProof/>
        </w:rPr>
        <w:t>or a</w:t>
      </w:r>
      <w:r w:rsidR="00B83E3A" w:rsidRPr="00C6311E">
        <w:rPr>
          <w:noProof/>
        </w:rPr>
        <w:t xml:space="preserve"> </w:t>
      </w:r>
      <w:r w:rsidRPr="00C6311E">
        <w:rPr>
          <w:noProof/>
        </w:rPr>
        <w:t xml:space="preserve">persistent lack of adequate cooperation to combat it. Such a clause is actually a </w:t>
      </w:r>
      <w:r w:rsidRPr="00C6311E">
        <w:rPr>
          <w:i/>
          <w:noProof/>
        </w:rPr>
        <w:t>conditio sine qua non</w:t>
      </w:r>
      <w:r w:rsidRPr="00C6311E">
        <w:rPr>
          <w:noProof/>
        </w:rPr>
        <w:t xml:space="preserve"> </w:t>
      </w:r>
      <w:r w:rsidR="00B83E3A">
        <w:rPr>
          <w:noProof/>
        </w:rPr>
        <w:t>for</w:t>
      </w:r>
      <w:r w:rsidR="00B83E3A" w:rsidRPr="00C6311E">
        <w:rPr>
          <w:noProof/>
        </w:rPr>
        <w:t xml:space="preserve"> </w:t>
      </w:r>
      <w:r w:rsidRPr="00C6311E">
        <w:rPr>
          <w:noProof/>
        </w:rPr>
        <w:t>grant</w:t>
      </w:r>
      <w:r w:rsidR="00B83E3A">
        <w:rPr>
          <w:noProof/>
        </w:rPr>
        <w:t>ing</w:t>
      </w:r>
      <w:r w:rsidRPr="00C6311E">
        <w:rPr>
          <w:noProof/>
        </w:rPr>
        <w:t xml:space="preserve"> tariff preference to third countries. </w:t>
      </w:r>
    </w:p>
    <w:p w14:paraId="13B0BFC8" w14:textId="77777777" w:rsidR="004F6F3F" w:rsidRDefault="00F90561" w:rsidP="00CD7B44">
      <w:pPr>
        <w:pStyle w:val="Heading3"/>
        <w:rPr>
          <w:noProof/>
        </w:rPr>
      </w:pPr>
      <w:bookmarkStart w:id="46" w:name="_Toc110444051"/>
      <w:r w:rsidRPr="00F90561">
        <w:rPr>
          <w:noProof/>
        </w:rPr>
        <w:t>United Nations Convention against Corruption</w:t>
      </w:r>
      <w:r w:rsidR="004F6F3F">
        <w:rPr>
          <w:noProof/>
        </w:rPr>
        <w:t xml:space="preserve"> CoSP9 and EU sponsored resolutions</w:t>
      </w:r>
      <w:bookmarkEnd w:id="46"/>
    </w:p>
    <w:p w14:paraId="7EBA0610" w14:textId="2119FE02" w:rsidR="00AB46D0" w:rsidRDefault="00AB46D0" w:rsidP="00233792">
      <w:pPr>
        <w:rPr>
          <w:noProof/>
        </w:rPr>
      </w:pPr>
      <w:r w:rsidRPr="00026DA3">
        <w:rPr>
          <w:b/>
          <w:noProof/>
        </w:rPr>
        <w:t xml:space="preserve">The </w:t>
      </w:r>
      <w:r w:rsidR="00B83E3A" w:rsidRPr="00026DA3">
        <w:rPr>
          <w:b/>
          <w:noProof/>
        </w:rPr>
        <w:t>EU</w:t>
      </w:r>
      <w:r w:rsidRPr="00026DA3">
        <w:rPr>
          <w:b/>
          <w:noProof/>
        </w:rPr>
        <w:t xml:space="preserve"> is party to the United Nations Convention against Corruption</w:t>
      </w:r>
      <w:r w:rsidRPr="00433EC7">
        <w:rPr>
          <w:noProof/>
        </w:rPr>
        <w:t xml:space="preserve"> (UNCAC), the only legally binding universal anti-corruption instrument. </w:t>
      </w:r>
      <w:r w:rsidR="001149B4" w:rsidRPr="001149B4">
        <w:rPr>
          <w:noProof/>
        </w:rPr>
        <w:t xml:space="preserve">The Commission represents the </w:t>
      </w:r>
      <w:r w:rsidR="00B83E3A">
        <w:rPr>
          <w:noProof/>
        </w:rPr>
        <w:t>EU</w:t>
      </w:r>
      <w:r w:rsidR="001149B4" w:rsidRPr="001149B4">
        <w:rPr>
          <w:noProof/>
        </w:rPr>
        <w:t xml:space="preserve"> at all UNCAC-related processes, including the participation in the implementation review</w:t>
      </w:r>
      <w:r w:rsidR="004635F1">
        <w:rPr>
          <w:noProof/>
        </w:rPr>
        <w:t xml:space="preserve"> </w:t>
      </w:r>
      <w:r w:rsidR="001149B4" w:rsidRPr="001149B4">
        <w:rPr>
          <w:noProof/>
        </w:rPr>
        <w:t>group meetings and in the open-ended working groups on Prevention of Corruption and on Asset Recovery.</w:t>
      </w:r>
    </w:p>
    <w:p w14:paraId="41878CAC" w14:textId="2C2AA34E" w:rsidR="001149B4" w:rsidRPr="00433EC7" w:rsidRDefault="001149B4" w:rsidP="00233792">
      <w:pPr>
        <w:rPr>
          <w:noProof/>
        </w:rPr>
      </w:pPr>
      <w:r w:rsidRPr="001149B4">
        <w:rPr>
          <w:noProof/>
        </w:rPr>
        <w:t xml:space="preserve">The Mechanism for the Review of Implementation of the Convention is binding upon all the parties to the Convention, including the </w:t>
      </w:r>
      <w:r w:rsidR="00B83E3A">
        <w:rPr>
          <w:noProof/>
        </w:rPr>
        <w:t>EU</w:t>
      </w:r>
      <w:r w:rsidRPr="001149B4">
        <w:rPr>
          <w:noProof/>
        </w:rPr>
        <w:t>. In June 202</w:t>
      </w:r>
      <w:r w:rsidR="006C31D8">
        <w:rPr>
          <w:noProof/>
        </w:rPr>
        <w:t xml:space="preserve">1, </w:t>
      </w:r>
      <w:r w:rsidRPr="001149B4">
        <w:rPr>
          <w:noProof/>
        </w:rPr>
        <w:t xml:space="preserve">the Commission announced to the </w:t>
      </w:r>
      <w:r w:rsidR="006C31D8" w:rsidRPr="006C31D8">
        <w:rPr>
          <w:noProof/>
        </w:rPr>
        <w:t xml:space="preserve">United Nations Office on Drugs and </w:t>
      </w:r>
      <w:r w:rsidR="006C31D8" w:rsidRPr="00296A29">
        <w:rPr>
          <w:noProof/>
        </w:rPr>
        <w:t>Crime</w:t>
      </w:r>
      <w:r w:rsidR="006C31D8" w:rsidRPr="00DC1244">
        <w:rPr>
          <w:noProof/>
        </w:rPr>
        <w:t xml:space="preserve"> (</w:t>
      </w:r>
      <w:r w:rsidRPr="00296A29">
        <w:rPr>
          <w:noProof/>
        </w:rPr>
        <w:t>UNODC</w:t>
      </w:r>
      <w:r w:rsidR="006C31D8" w:rsidRPr="00296A29">
        <w:rPr>
          <w:noProof/>
        </w:rPr>
        <w:t>)</w:t>
      </w:r>
      <w:r w:rsidRPr="001149B4">
        <w:rPr>
          <w:noProof/>
        </w:rPr>
        <w:t xml:space="preserve"> its readiness to undergo the review process provided for under the UNCAC</w:t>
      </w:r>
      <w:r w:rsidR="00B83E3A">
        <w:rPr>
          <w:rStyle w:val="FootnoteReference"/>
          <w:noProof/>
        </w:rPr>
        <w:footnoteReference w:id="55"/>
      </w:r>
      <w:r w:rsidRPr="001149B4">
        <w:rPr>
          <w:noProof/>
        </w:rPr>
        <w:t>. In July 2021, the implementation review was officially launched.</w:t>
      </w:r>
    </w:p>
    <w:p w14:paraId="082C7BE1" w14:textId="6BF4C82A" w:rsidR="00AB46D0" w:rsidRPr="00433EC7" w:rsidRDefault="00AB46D0" w:rsidP="00233792">
      <w:pPr>
        <w:rPr>
          <w:noProof/>
        </w:rPr>
      </w:pPr>
      <w:r w:rsidRPr="00433EC7">
        <w:rPr>
          <w:noProof/>
        </w:rPr>
        <w:t>At its ninth Co</w:t>
      </w:r>
      <w:r w:rsidR="00F90561">
        <w:rPr>
          <w:noProof/>
        </w:rPr>
        <w:t xml:space="preserve">nference of </w:t>
      </w:r>
      <w:r w:rsidRPr="00433EC7">
        <w:rPr>
          <w:noProof/>
        </w:rPr>
        <w:t>S</w:t>
      </w:r>
      <w:r w:rsidR="00F90561">
        <w:rPr>
          <w:noProof/>
        </w:rPr>
        <w:t xml:space="preserve">tate </w:t>
      </w:r>
      <w:r w:rsidRPr="00433EC7">
        <w:rPr>
          <w:noProof/>
        </w:rPr>
        <w:t>P</w:t>
      </w:r>
      <w:r w:rsidR="00F90561">
        <w:rPr>
          <w:noProof/>
        </w:rPr>
        <w:t>arties (CoSP)</w:t>
      </w:r>
      <w:r w:rsidRPr="00433EC7">
        <w:rPr>
          <w:noProof/>
        </w:rPr>
        <w:t xml:space="preserve"> in Sharm el-Sheikh, Egypt, </w:t>
      </w:r>
      <w:r w:rsidR="004635F1">
        <w:rPr>
          <w:noProof/>
        </w:rPr>
        <w:t xml:space="preserve">in </w:t>
      </w:r>
      <w:r w:rsidRPr="00433EC7">
        <w:rPr>
          <w:noProof/>
        </w:rPr>
        <w:t xml:space="preserve">December 2021, the </w:t>
      </w:r>
      <w:r w:rsidR="00B83E3A">
        <w:rPr>
          <w:noProof/>
        </w:rPr>
        <w:t>EU</w:t>
      </w:r>
      <w:r w:rsidRPr="00433EC7">
        <w:rPr>
          <w:noProof/>
        </w:rPr>
        <w:t xml:space="preserve"> highlighted </w:t>
      </w:r>
      <w:r w:rsidR="008B7A0B">
        <w:rPr>
          <w:noProof/>
        </w:rPr>
        <w:t>its</w:t>
      </w:r>
      <w:r w:rsidR="008B7A0B" w:rsidRPr="00433EC7">
        <w:rPr>
          <w:noProof/>
        </w:rPr>
        <w:t xml:space="preserve"> </w:t>
      </w:r>
      <w:r w:rsidR="00B83E3A" w:rsidRPr="00433EC7">
        <w:rPr>
          <w:noProof/>
        </w:rPr>
        <w:t>continu</w:t>
      </w:r>
      <w:r w:rsidR="00B83E3A">
        <w:rPr>
          <w:noProof/>
        </w:rPr>
        <w:t>ed</w:t>
      </w:r>
      <w:r w:rsidR="00B83E3A" w:rsidRPr="00433EC7">
        <w:rPr>
          <w:noProof/>
        </w:rPr>
        <w:t xml:space="preserve"> </w:t>
      </w:r>
      <w:r w:rsidR="006C31D8">
        <w:rPr>
          <w:noProof/>
        </w:rPr>
        <w:t>strenuous</w:t>
      </w:r>
      <w:r w:rsidR="00B83E3A" w:rsidRPr="00433EC7">
        <w:rPr>
          <w:noProof/>
        </w:rPr>
        <w:t xml:space="preserve"> </w:t>
      </w:r>
      <w:r w:rsidRPr="00433EC7">
        <w:rPr>
          <w:noProof/>
        </w:rPr>
        <w:t xml:space="preserve">efforts to support the widest </w:t>
      </w:r>
      <w:r w:rsidRPr="00026DA3">
        <w:rPr>
          <w:b/>
          <w:noProof/>
        </w:rPr>
        <w:t>participation of relevant civil society and non-governmental organi</w:t>
      </w:r>
      <w:r w:rsidR="00D73511" w:rsidRPr="00026DA3">
        <w:rPr>
          <w:b/>
          <w:noProof/>
        </w:rPr>
        <w:t>s</w:t>
      </w:r>
      <w:r w:rsidRPr="00026DA3">
        <w:rPr>
          <w:b/>
          <w:noProof/>
        </w:rPr>
        <w:t>ations</w:t>
      </w:r>
      <w:r w:rsidR="008B7A0B">
        <w:rPr>
          <w:noProof/>
        </w:rPr>
        <w:t xml:space="preserve"> in the fight against corruption</w:t>
      </w:r>
      <w:r w:rsidRPr="00433EC7">
        <w:rPr>
          <w:noProof/>
        </w:rPr>
        <w:t xml:space="preserve">. </w:t>
      </w:r>
    </w:p>
    <w:p w14:paraId="2D990E9A" w14:textId="3C63F940" w:rsidR="00AB46D0" w:rsidRPr="00AB46D0" w:rsidRDefault="00AB46D0" w:rsidP="00AB46D0">
      <w:pPr>
        <w:rPr>
          <w:noProof/>
        </w:rPr>
      </w:pPr>
      <w:r w:rsidRPr="00433EC7">
        <w:rPr>
          <w:noProof/>
        </w:rPr>
        <w:t xml:space="preserve">During the general discussion, the EU noted the role of the EPPO and OLAF in the fight against corruption and stressed the importance played by the media and investigative journalists. </w:t>
      </w:r>
      <w:r w:rsidR="00D73511">
        <w:rPr>
          <w:noProof/>
        </w:rPr>
        <w:t>F</w:t>
      </w:r>
      <w:r w:rsidR="00A863FB">
        <w:rPr>
          <w:noProof/>
        </w:rPr>
        <w:t xml:space="preserve">our </w:t>
      </w:r>
      <w:r w:rsidRPr="00433EC7">
        <w:rPr>
          <w:noProof/>
        </w:rPr>
        <w:t xml:space="preserve">out of </w:t>
      </w:r>
      <w:r w:rsidR="008B7A0B">
        <w:rPr>
          <w:noProof/>
        </w:rPr>
        <w:t xml:space="preserve">the </w:t>
      </w:r>
      <w:r w:rsidR="00A863FB">
        <w:rPr>
          <w:noProof/>
        </w:rPr>
        <w:t>eight</w:t>
      </w:r>
      <w:r w:rsidR="00A863FB" w:rsidRPr="00433EC7">
        <w:rPr>
          <w:noProof/>
        </w:rPr>
        <w:t xml:space="preserve"> </w:t>
      </w:r>
      <w:r w:rsidRPr="00433EC7">
        <w:rPr>
          <w:noProof/>
        </w:rPr>
        <w:t xml:space="preserve">resolutions adopted were sponsored by the EU, notably on the prevention of corruption, strengthening international cooperation during times of emergencies and crisis response and recovery as well as the </w:t>
      </w:r>
      <w:r w:rsidR="008B7A0B">
        <w:rPr>
          <w:noProof/>
        </w:rPr>
        <w:t xml:space="preserve">regional </w:t>
      </w:r>
      <w:r w:rsidRPr="00433EC7">
        <w:rPr>
          <w:noProof/>
        </w:rPr>
        <w:t>fight against corruption</w:t>
      </w:r>
      <w:r w:rsidRPr="00433EC7">
        <w:rPr>
          <w:rStyle w:val="FootnoteReference"/>
          <w:noProof/>
        </w:rPr>
        <w:footnoteReference w:id="56"/>
      </w:r>
      <w:r>
        <w:rPr>
          <w:noProof/>
        </w:rPr>
        <w:t>.</w:t>
      </w:r>
    </w:p>
    <w:p w14:paraId="63D1F5B2" w14:textId="77777777" w:rsidR="00C6311E" w:rsidRDefault="00C6311E" w:rsidP="00CD7B44">
      <w:pPr>
        <w:pStyle w:val="Heading3"/>
        <w:rPr>
          <w:noProof/>
        </w:rPr>
      </w:pPr>
      <w:bookmarkStart w:id="47" w:name="_Toc110444052"/>
      <w:r w:rsidRPr="00C6311E">
        <w:rPr>
          <w:noProof/>
        </w:rPr>
        <w:t>Fight against illicit trade in tobacco products</w:t>
      </w:r>
      <w:bookmarkEnd w:id="47"/>
    </w:p>
    <w:p w14:paraId="08CBA002" w14:textId="7F25BF1F" w:rsidR="00C6311E" w:rsidRDefault="00C6311E" w:rsidP="00C6311E">
      <w:pPr>
        <w:rPr>
          <w:noProof/>
        </w:rPr>
      </w:pPr>
      <w:r w:rsidRPr="00C6311E">
        <w:rPr>
          <w:noProof/>
        </w:rPr>
        <w:t xml:space="preserve">The </w:t>
      </w:r>
      <w:r w:rsidR="008B7A0B" w:rsidRPr="00026DA3">
        <w:rPr>
          <w:b/>
          <w:noProof/>
        </w:rPr>
        <w:t>second action plan</w:t>
      </w:r>
      <w:r w:rsidR="008B7A0B" w:rsidRPr="00C6311E">
        <w:rPr>
          <w:noProof/>
        </w:rPr>
        <w:t xml:space="preserve"> </w:t>
      </w:r>
      <w:r w:rsidRPr="00026DA3">
        <w:rPr>
          <w:b/>
          <w:noProof/>
        </w:rPr>
        <w:t>to combat the illegal tobacco trade</w:t>
      </w:r>
      <w:r w:rsidRPr="00C6311E">
        <w:rPr>
          <w:noProof/>
        </w:rPr>
        <w:t xml:space="preserve"> (2018-2022), presented by the Commission in December 2018 and containing both policy and operational law enforcement measures, continued to be implemented throughout 2021, and a large number of key actions were underway or completed by the end of 2021.</w:t>
      </w:r>
    </w:p>
    <w:p w14:paraId="06C62740" w14:textId="10FABB8A" w:rsidR="00C6311E" w:rsidRDefault="00C6311E" w:rsidP="00C6311E">
      <w:pPr>
        <w:rPr>
          <w:noProof/>
        </w:rPr>
      </w:pPr>
      <w:r w:rsidRPr="00C6311E">
        <w:rPr>
          <w:noProof/>
        </w:rPr>
        <w:t xml:space="preserve">The Commission plays a leading role </w:t>
      </w:r>
      <w:r w:rsidR="008B7A0B">
        <w:rPr>
          <w:noProof/>
        </w:rPr>
        <w:t xml:space="preserve">in this area </w:t>
      </w:r>
      <w:r w:rsidRPr="00C6311E">
        <w:rPr>
          <w:noProof/>
        </w:rPr>
        <w:t xml:space="preserve">at multilateral level </w:t>
      </w:r>
      <w:r w:rsidR="008B7A0B">
        <w:rPr>
          <w:noProof/>
        </w:rPr>
        <w:t xml:space="preserve">and </w:t>
      </w:r>
      <w:r w:rsidRPr="00C6311E">
        <w:rPr>
          <w:noProof/>
        </w:rPr>
        <w:t xml:space="preserve">bilaterally with source and transit countries. At the multilateral level, the </w:t>
      </w:r>
      <w:r w:rsidRPr="00026DA3">
        <w:rPr>
          <w:b/>
          <w:noProof/>
        </w:rPr>
        <w:t>Framework Convention on Tobacco Control Protocol to Eliminate Illicit Trade in Tobacco Products</w:t>
      </w:r>
      <w:r w:rsidRPr="00C6311E">
        <w:rPr>
          <w:noProof/>
        </w:rPr>
        <w:t xml:space="preserve"> (FCTC Protocol) is an international agreement aimed at significantly reducing the illicit tobacco trade worldwide. OLAF, in close cooperation with </w:t>
      </w:r>
      <w:r w:rsidR="004635F1">
        <w:rPr>
          <w:noProof/>
        </w:rPr>
        <w:t xml:space="preserve">relevant </w:t>
      </w:r>
      <w:r w:rsidRPr="00C6311E">
        <w:rPr>
          <w:noProof/>
        </w:rPr>
        <w:t xml:space="preserve">Commission </w:t>
      </w:r>
      <w:r w:rsidR="004635F1">
        <w:rPr>
          <w:noProof/>
        </w:rPr>
        <w:t xml:space="preserve">departments </w:t>
      </w:r>
      <w:r w:rsidRPr="00C6311E">
        <w:rPr>
          <w:noProof/>
        </w:rPr>
        <w:t xml:space="preserve">and Member States, has been actively engaged in </w:t>
      </w:r>
      <w:r w:rsidR="008B7A0B">
        <w:rPr>
          <w:noProof/>
        </w:rPr>
        <w:t xml:space="preserve">work related to </w:t>
      </w:r>
      <w:r w:rsidRPr="00C6311E">
        <w:rPr>
          <w:noProof/>
        </w:rPr>
        <w:t xml:space="preserve">the FCTC Protocol. OLAF represented the EU and the participating Member States in the second Meeting of the Parties that took place in November 2021. During this meeting, the conclusions of two </w:t>
      </w:r>
      <w:r w:rsidR="008B7A0B">
        <w:rPr>
          <w:noProof/>
        </w:rPr>
        <w:t>w</w:t>
      </w:r>
      <w:r w:rsidR="008B7A0B" w:rsidRPr="00C6311E">
        <w:rPr>
          <w:noProof/>
        </w:rPr>
        <w:t xml:space="preserve">orking </w:t>
      </w:r>
      <w:r w:rsidR="008B7A0B">
        <w:rPr>
          <w:noProof/>
        </w:rPr>
        <w:t>g</w:t>
      </w:r>
      <w:r w:rsidR="008B7A0B" w:rsidRPr="00C6311E">
        <w:rPr>
          <w:noProof/>
        </w:rPr>
        <w:t xml:space="preserve">roups </w:t>
      </w:r>
      <w:r w:rsidRPr="00C6311E">
        <w:rPr>
          <w:noProof/>
        </w:rPr>
        <w:t>(Tracking and Tracing</w:t>
      </w:r>
      <w:r w:rsidR="004635F1">
        <w:rPr>
          <w:noProof/>
        </w:rPr>
        <w:t>,</w:t>
      </w:r>
      <w:r w:rsidRPr="00C6311E">
        <w:rPr>
          <w:noProof/>
        </w:rPr>
        <w:t xml:space="preserve"> and Assistance and Cooperation) were approved, and a new </w:t>
      </w:r>
      <w:r w:rsidR="008B7A0B">
        <w:rPr>
          <w:noProof/>
        </w:rPr>
        <w:t>a</w:t>
      </w:r>
      <w:r w:rsidR="008B7A0B" w:rsidRPr="00C6311E">
        <w:rPr>
          <w:noProof/>
        </w:rPr>
        <w:t xml:space="preserve">ssistance </w:t>
      </w:r>
      <w:r w:rsidR="008B7A0B">
        <w:rPr>
          <w:noProof/>
        </w:rPr>
        <w:t>s</w:t>
      </w:r>
      <w:r w:rsidR="008B7A0B" w:rsidRPr="00C6311E">
        <w:rPr>
          <w:noProof/>
        </w:rPr>
        <w:t xml:space="preserve">trategy </w:t>
      </w:r>
      <w:r w:rsidRPr="00C6311E">
        <w:rPr>
          <w:noProof/>
        </w:rPr>
        <w:t xml:space="preserve">to support the implementation of the Protocol was proposed. </w:t>
      </w:r>
      <w:r w:rsidR="008B7A0B">
        <w:rPr>
          <w:noProof/>
        </w:rPr>
        <w:t>A</w:t>
      </w:r>
      <w:r w:rsidRPr="00C6311E">
        <w:rPr>
          <w:noProof/>
        </w:rPr>
        <w:t xml:space="preserve">ll the Parties involved </w:t>
      </w:r>
      <w:r w:rsidR="008B7A0B">
        <w:rPr>
          <w:noProof/>
        </w:rPr>
        <w:t xml:space="preserve">also </w:t>
      </w:r>
      <w:r w:rsidRPr="00C6311E">
        <w:rPr>
          <w:noProof/>
        </w:rPr>
        <w:t xml:space="preserve">agreed to continue working on a Global Information-Sharing Focal Point to enable </w:t>
      </w:r>
      <w:r w:rsidR="008B7A0B">
        <w:rPr>
          <w:noProof/>
        </w:rPr>
        <w:t>t</w:t>
      </w:r>
      <w:r w:rsidR="008B7A0B" w:rsidRPr="00C6311E">
        <w:rPr>
          <w:noProof/>
        </w:rPr>
        <w:t xml:space="preserve">racking </w:t>
      </w:r>
      <w:r w:rsidRPr="00C6311E">
        <w:rPr>
          <w:noProof/>
        </w:rPr>
        <w:t xml:space="preserve">and </w:t>
      </w:r>
      <w:r w:rsidR="008B7A0B">
        <w:rPr>
          <w:noProof/>
        </w:rPr>
        <w:t>t</w:t>
      </w:r>
      <w:r w:rsidR="008B7A0B" w:rsidRPr="00C6311E">
        <w:rPr>
          <w:noProof/>
        </w:rPr>
        <w:t xml:space="preserve">racing </w:t>
      </w:r>
      <w:r w:rsidR="008B7A0B">
        <w:rPr>
          <w:noProof/>
        </w:rPr>
        <w:t>s</w:t>
      </w:r>
      <w:r w:rsidR="008B7A0B" w:rsidRPr="00C6311E">
        <w:rPr>
          <w:noProof/>
        </w:rPr>
        <w:t xml:space="preserve">ystems </w:t>
      </w:r>
      <w:r w:rsidRPr="00C6311E">
        <w:rPr>
          <w:noProof/>
        </w:rPr>
        <w:t>to exchange information and support the global fight against illicit tobacco trade.</w:t>
      </w:r>
    </w:p>
    <w:p w14:paraId="7ADC7067" w14:textId="0FB7F9E8" w:rsidR="004F6F3F" w:rsidRDefault="004F6F3F" w:rsidP="004F6F3F">
      <w:pPr>
        <w:pStyle w:val="Heading2"/>
        <w:rPr>
          <w:noProof/>
        </w:rPr>
      </w:pPr>
      <w:bookmarkStart w:id="48" w:name="_Toc110444053"/>
      <w:r w:rsidRPr="004F6F3F">
        <w:rPr>
          <w:noProof/>
        </w:rPr>
        <w:t xml:space="preserve">Cooperation between </w:t>
      </w:r>
      <w:r w:rsidR="008B7A0B">
        <w:rPr>
          <w:noProof/>
        </w:rPr>
        <w:t xml:space="preserve">the </w:t>
      </w:r>
      <w:r w:rsidRPr="004F6F3F">
        <w:rPr>
          <w:noProof/>
        </w:rPr>
        <w:t>EU and Member States</w:t>
      </w:r>
      <w:bookmarkEnd w:id="48"/>
    </w:p>
    <w:p w14:paraId="75D11B6C" w14:textId="70CDAFC3" w:rsidR="00CF1D95" w:rsidRDefault="00CF1D95" w:rsidP="00CD7B44">
      <w:pPr>
        <w:pStyle w:val="Heading3"/>
        <w:rPr>
          <w:noProof/>
        </w:rPr>
      </w:pPr>
      <w:bookmarkStart w:id="49" w:name="_Toc110444054"/>
      <w:r w:rsidRPr="004F6F3F">
        <w:rPr>
          <w:noProof/>
        </w:rPr>
        <w:t xml:space="preserve">Activities of the Advisory Committee for </w:t>
      </w:r>
      <w:r w:rsidR="008B7A0B">
        <w:rPr>
          <w:noProof/>
        </w:rPr>
        <w:t>the Coordination of F</w:t>
      </w:r>
      <w:r w:rsidR="008B7A0B" w:rsidRPr="004F6F3F">
        <w:rPr>
          <w:noProof/>
        </w:rPr>
        <w:t xml:space="preserve">raud </w:t>
      </w:r>
      <w:r w:rsidR="008B7A0B">
        <w:rPr>
          <w:noProof/>
        </w:rPr>
        <w:t>P</w:t>
      </w:r>
      <w:r w:rsidR="008B7A0B" w:rsidRPr="004F6F3F">
        <w:rPr>
          <w:noProof/>
        </w:rPr>
        <w:t xml:space="preserve">revention </w:t>
      </w:r>
      <w:r>
        <w:rPr>
          <w:noProof/>
        </w:rPr>
        <w:t>(COCOLAF)</w:t>
      </w:r>
      <w:bookmarkEnd w:id="49"/>
    </w:p>
    <w:p w14:paraId="7215EFBF" w14:textId="0442C4E3" w:rsidR="004F60DF" w:rsidRDefault="00CF1D95" w:rsidP="004F60DF">
      <w:pPr>
        <w:rPr>
          <w:noProof/>
        </w:rPr>
      </w:pPr>
      <w:r>
        <w:rPr>
          <w:noProof/>
        </w:rPr>
        <w:t xml:space="preserve">The </w:t>
      </w:r>
      <w:r w:rsidRPr="00026DA3">
        <w:rPr>
          <w:b/>
          <w:noProof/>
        </w:rPr>
        <w:t xml:space="preserve">Advisory Committee for </w:t>
      </w:r>
      <w:r w:rsidR="008B7A0B" w:rsidRPr="00026DA3">
        <w:rPr>
          <w:b/>
          <w:noProof/>
        </w:rPr>
        <w:t xml:space="preserve">the </w:t>
      </w:r>
      <w:r w:rsidRPr="00026DA3">
        <w:rPr>
          <w:b/>
          <w:noProof/>
        </w:rPr>
        <w:t>Coordination of Fraud Prevention</w:t>
      </w:r>
      <w:r>
        <w:rPr>
          <w:noProof/>
        </w:rPr>
        <w:t xml:space="preserve"> (COCOLAF) brings together the Commission (represented by OLAF) and Member State experts. It provides a forum for discussing the main developments in the fight against fraud and </w:t>
      </w:r>
      <w:r w:rsidR="008B7A0B">
        <w:rPr>
          <w:noProof/>
        </w:rPr>
        <w:t xml:space="preserve">for </w:t>
      </w:r>
      <w:r>
        <w:rPr>
          <w:noProof/>
        </w:rPr>
        <w:t>the preparation of this report. Its work is structured around four working groups and plenary session</w:t>
      </w:r>
      <w:r w:rsidR="004F60DF">
        <w:rPr>
          <w:noProof/>
        </w:rPr>
        <w:t>s</w:t>
      </w:r>
      <w:r>
        <w:rPr>
          <w:noProof/>
        </w:rPr>
        <w:t xml:space="preserve">. </w:t>
      </w:r>
    </w:p>
    <w:p w14:paraId="4E9B79C8" w14:textId="7E1F46D8" w:rsidR="004F60DF" w:rsidRDefault="004F60DF" w:rsidP="004F60DF">
      <w:pPr>
        <w:rPr>
          <w:noProof/>
        </w:rPr>
      </w:pPr>
      <w:r>
        <w:rPr>
          <w:noProof/>
        </w:rPr>
        <w:t xml:space="preserve">In 2021, two plenary meetings were organised in June and December, </w:t>
      </w:r>
      <w:r w:rsidR="00A863FB">
        <w:rPr>
          <w:noProof/>
        </w:rPr>
        <w:t>two</w:t>
      </w:r>
      <w:r>
        <w:rPr>
          <w:noProof/>
        </w:rPr>
        <w:t xml:space="preserve"> meetings </w:t>
      </w:r>
      <w:r w:rsidR="004635F1">
        <w:rPr>
          <w:noProof/>
        </w:rPr>
        <w:t xml:space="preserve">of </w:t>
      </w:r>
      <w:r>
        <w:rPr>
          <w:noProof/>
        </w:rPr>
        <w:t xml:space="preserve">the subgroup on </w:t>
      </w:r>
      <w:r w:rsidR="008B7A0B">
        <w:rPr>
          <w:noProof/>
        </w:rPr>
        <w:t xml:space="preserve">the </w:t>
      </w:r>
      <w:r>
        <w:rPr>
          <w:noProof/>
        </w:rPr>
        <w:t>reporting and analysis of fraud and other irregularities</w:t>
      </w:r>
      <w:r w:rsidR="004635F1">
        <w:rPr>
          <w:noProof/>
        </w:rPr>
        <w:t xml:space="preserve"> took place</w:t>
      </w:r>
      <w:r w:rsidR="00A863FB">
        <w:rPr>
          <w:noProof/>
        </w:rPr>
        <w:t>,</w:t>
      </w:r>
      <w:r>
        <w:rPr>
          <w:noProof/>
        </w:rPr>
        <w:t xml:space="preserve"> and on</w:t>
      </w:r>
      <w:r w:rsidR="00A863FB">
        <w:rPr>
          <w:noProof/>
        </w:rPr>
        <w:t>e</w:t>
      </w:r>
      <w:r>
        <w:rPr>
          <w:noProof/>
        </w:rPr>
        <w:t xml:space="preserve"> </w:t>
      </w:r>
      <w:r w:rsidR="004635F1">
        <w:rPr>
          <w:noProof/>
        </w:rPr>
        <w:t xml:space="preserve">of </w:t>
      </w:r>
      <w:r w:rsidR="00A863FB">
        <w:rPr>
          <w:noProof/>
        </w:rPr>
        <w:t xml:space="preserve">the </w:t>
      </w:r>
      <w:r>
        <w:rPr>
          <w:noProof/>
        </w:rPr>
        <w:t>fraud prevention</w:t>
      </w:r>
      <w:r w:rsidR="00A863FB">
        <w:rPr>
          <w:noProof/>
        </w:rPr>
        <w:t xml:space="preserve"> subgroup</w:t>
      </w:r>
      <w:r>
        <w:rPr>
          <w:noProof/>
        </w:rPr>
        <w:t xml:space="preserve">. These meetings were good opportunities to discuss the latest trends in irregularities and fraud and the IT tools used </w:t>
      </w:r>
      <w:r w:rsidR="008B7A0B">
        <w:rPr>
          <w:noProof/>
        </w:rPr>
        <w:t>to</w:t>
      </w:r>
      <w:r>
        <w:rPr>
          <w:noProof/>
        </w:rPr>
        <w:t xml:space="preserve"> manage EU funds. They also served as an important link between OLAF and its partners during the pandemic, keeping lines of communication open and allowing participants to share information and best practices. </w:t>
      </w:r>
    </w:p>
    <w:p w14:paraId="3D9BD030" w14:textId="5A01B75A" w:rsidR="004F60DF" w:rsidRDefault="004F60DF" w:rsidP="004F60DF">
      <w:pPr>
        <w:rPr>
          <w:noProof/>
        </w:rPr>
      </w:pPr>
      <w:r>
        <w:rPr>
          <w:noProof/>
        </w:rPr>
        <w:t xml:space="preserve">The annual meeting between Member States </w:t>
      </w:r>
      <w:r w:rsidR="00A863FB">
        <w:rPr>
          <w:noProof/>
        </w:rPr>
        <w:t xml:space="preserve">AFCOS </w:t>
      </w:r>
      <w:r>
        <w:rPr>
          <w:noProof/>
        </w:rPr>
        <w:t xml:space="preserve">took place in September, virtually. The discussions focused on the RRF. In December, the </w:t>
      </w:r>
      <w:r w:rsidR="00A863FB">
        <w:rPr>
          <w:noProof/>
        </w:rPr>
        <w:t>f</w:t>
      </w:r>
      <w:r>
        <w:rPr>
          <w:noProof/>
        </w:rPr>
        <w:t xml:space="preserve">raud </w:t>
      </w:r>
      <w:r w:rsidR="00A863FB">
        <w:rPr>
          <w:noProof/>
        </w:rPr>
        <w:t>p</w:t>
      </w:r>
      <w:r>
        <w:rPr>
          <w:noProof/>
        </w:rPr>
        <w:t xml:space="preserve">revention subgroup agreed on setting-up an expert group dedicated to the use of IT tools to protect the </w:t>
      </w:r>
      <w:r w:rsidR="008B7A0B">
        <w:rPr>
          <w:noProof/>
        </w:rPr>
        <w:t xml:space="preserve">RRF </w:t>
      </w:r>
      <w:r>
        <w:rPr>
          <w:noProof/>
        </w:rPr>
        <w:t>resources.</w:t>
      </w:r>
    </w:p>
    <w:p w14:paraId="1D8E95CF" w14:textId="0EE3D210" w:rsidR="008A17E3" w:rsidRDefault="008A17E3" w:rsidP="00CD7B44">
      <w:pPr>
        <w:pStyle w:val="Heading3"/>
        <w:rPr>
          <w:noProof/>
        </w:rPr>
      </w:pPr>
      <w:bookmarkStart w:id="50" w:name="_Toc110444055"/>
      <w:r>
        <w:rPr>
          <w:noProof/>
        </w:rPr>
        <w:t xml:space="preserve">The </w:t>
      </w:r>
      <w:r w:rsidR="008B7A0B">
        <w:rPr>
          <w:noProof/>
        </w:rPr>
        <w:t>E</w:t>
      </w:r>
      <w:r>
        <w:rPr>
          <w:noProof/>
        </w:rPr>
        <w:t>U’s anti-fraud programme</w:t>
      </w:r>
      <w:bookmarkEnd w:id="50"/>
    </w:p>
    <w:p w14:paraId="0215EDE9" w14:textId="4E3FCF50" w:rsidR="008A17E3" w:rsidRDefault="008A17E3" w:rsidP="008A6DCE">
      <w:pPr>
        <w:rPr>
          <w:noProof/>
        </w:rPr>
      </w:pPr>
      <w:r>
        <w:rPr>
          <w:noProof/>
        </w:rPr>
        <w:t>T</w:t>
      </w:r>
      <w:r w:rsidRPr="008A17E3">
        <w:rPr>
          <w:noProof/>
        </w:rPr>
        <w:t xml:space="preserve">he Hercule III programme, </w:t>
      </w:r>
      <w:r>
        <w:rPr>
          <w:noProof/>
        </w:rPr>
        <w:t xml:space="preserve">which provided assistance for projects supporting the fight against fraud and the protection of the EU’s financial interests under the </w:t>
      </w:r>
      <w:r w:rsidR="008B7A0B">
        <w:rPr>
          <w:noProof/>
        </w:rPr>
        <w:t>2014</w:t>
      </w:r>
      <w:r>
        <w:rPr>
          <w:noProof/>
        </w:rPr>
        <w:t>-2020</w:t>
      </w:r>
      <w:r w:rsidR="008B7A0B">
        <w:rPr>
          <w:noProof/>
        </w:rPr>
        <w:t xml:space="preserve"> Multiannual Financial Framework (MFF)</w:t>
      </w:r>
      <w:r>
        <w:rPr>
          <w:noProof/>
        </w:rPr>
        <w:t>, was replaced by</w:t>
      </w:r>
      <w:r w:rsidRPr="008A17E3">
        <w:rPr>
          <w:noProof/>
        </w:rPr>
        <w:t xml:space="preserve"> the new </w:t>
      </w:r>
      <w:r w:rsidRPr="00026DA3">
        <w:rPr>
          <w:b/>
          <w:noProof/>
        </w:rPr>
        <w:t>Union anti-fraud programme</w:t>
      </w:r>
      <w:r w:rsidRPr="008A17E3">
        <w:rPr>
          <w:noProof/>
        </w:rPr>
        <w:t xml:space="preserve"> (UAFP)</w:t>
      </w:r>
      <w:r>
        <w:rPr>
          <w:noProof/>
        </w:rPr>
        <w:t xml:space="preserve"> with the adoption of Regulation (EU) 2021/785</w:t>
      </w:r>
      <w:r w:rsidRPr="008A17E3">
        <w:rPr>
          <w:noProof/>
        </w:rPr>
        <w:t>.</w:t>
      </w:r>
    </w:p>
    <w:p w14:paraId="1E54B09B" w14:textId="70FC7843" w:rsidR="008A17E3" w:rsidRDefault="008D394A" w:rsidP="008A6DCE">
      <w:pPr>
        <w:rPr>
          <w:noProof/>
        </w:rPr>
      </w:pPr>
      <w:r w:rsidRPr="008D394A">
        <w:rPr>
          <w:noProof/>
        </w:rPr>
        <w:t>The UAFP combines three different previously separate activities, but builds on the success of the Hercule III programme. The UAFP merges</w:t>
      </w:r>
      <w:r w:rsidR="003820D0" w:rsidRPr="003820D0">
        <w:rPr>
          <w:noProof/>
        </w:rPr>
        <w:t xml:space="preserve"> </w:t>
      </w:r>
      <w:r w:rsidR="003820D0" w:rsidRPr="008D394A">
        <w:rPr>
          <w:noProof/>
        </w:rPr>
        <w:t xml:space="preserve">into </w:t>
      </w:r>
      <w:r w:rsidR="003820D0" w:rsidRPr="00026DA3">
        <w:rPr>
          <w:b/>
          <w:noProof/>
        </w:rPr>
        <w:t>one single framework</w:t>
      </w:r>
      <w:r w:rsidRPr="008D394A">
        <w:rPr>
          <w:noProof/>
        </w:rPr>
        <w:t xml:space="preserve"> the </w:t>
      </w:r>
      <w:r w:rsidRPr="009A3B80">
        <w:rPr>
          <w:b/>
          <w:noProof/>
        </w:rPr>
        <w:t>Hercule funding part</w:t>
      </w:r>
      <w:r w:rsidRPr="008D394A">
        <w:rPr>
          <w:noProof/>
        </w:rPr>
        <w:t xml:space="preserve">, the financing of the </w:t>
      </w:r>
      <w:r w:rsidRPr="009A3B80">
        <w:rPr>
          <w:b/>
          <w:noProof/>
        </w:rPr>
        <w:t>Anti-Fraud Information System</w:t>
      </w:r>
      <w:r w:rsidRPr="008D394A">
        <w:rPr>
          <w:noProof/>
        </w:rPr>
        <w:t xml:space="preserve"> (</w:t>
      </w:r>
      <w:r w:rsidR="008B7A0B">
        <w:rPr>
          <w:noProof/>
        </w:rPr>
        <w:t xml:space="preserve">the </w:t>
      </w:r>
      <w:r w:rsidRPr="008D394A">
        <w:rPr>
          <w:noProof/>
        </w:rPr>
        <w:t>AFIS platform</w:t>
      </w:r>
      <w:r w:rsidR="00612B29">
        <w:rPr>
          <w:noProof/>
        </w:rPr>
        <w:t>),</w:t>
      </w:r>
      <w:r w:rsidRPr="008D394A">
        <w:rPr>
          <w:noProof/>
        </w:rPr>
        <w:t xml:space="preserve"> </w:t>
      </w:r>
      <w:r w:rsidR="008B7A0B">
        <w:rPr>
          <w:noProof/>
        </w:rPr>
        <w:t xml:space="preserve">to </w:t>
      </w:r>
      <w:r w:rsidRPr="008D394A">
        <w:rPr>
          <w:noProof/>
        </w:rPr>
        <w:t xml:space="preserve">support Member States in mutual assistance in customs and agricultural matters, </w:t>
      </w:r>
      <w:r w:rsidR="008B7A0B">
        <w:rPr>
          <w:noProof/>
        </w:rPr>
        <w:t xml:space="preserve">and </w:t>
      </w:r>
      <w:r w:rsidRPr="008D394A">
        <w:rPr>
          <w:noProof/>
        </w:rPr>
        <w:t xml:space="preserve">the </w:t>
      </w:r>
      <w:r w:rsidR="00A863FB" w:rsidRPr="009A3B80">
        <w:rPr>
          <w:b/>
          <w:noProof/>
        </w:rPr>
        <w:t xml:space="preserve">Irregularity </w:t>
      </w:r>
      <w:r w:rsidRPr="009A3B80">
        <w:rPr>
          <w:b/>
          <w:noProof/>
        </w:rPr>
        <w:t>Management System</w:t>
      </w:r>
      <w:r w:rsidRPr="008D394A">
        <w:rPr>
          <w:noProof/>
        </w:rPr>
        <w:t xml:space="preserve"> (IMS</w:t>
      </w:r>
      <w:r w:rsidR="00612B29">
        <w:rPr>
          <w:noProof/>
        </w:rPr>
        <w:t>)</w:t>
      </w:r>
      <w:r w:rsidRPr="008D394A">
        <w:rPr>
          <w:noProof/>
        </w:rPr>
        <w:t>, for the reporting of irregularities, including fraud, in cases related to the shared management and pre-accession assistance funds.</w:t>
      </w:r>
    </w:p>
    <w:p w14:paraId="3207DD30" w14:textId="7CF76C78" w:rsidR="008D394A" w:rsidRDefault="008D394A" w:rsidP="008A6DCE">
      <w:pPr>
        <w:rPr>
          <w:noProof/>
        </w:rPr>
      </w:pPr>
      <w:r w:rsidRPr="008D394A">
        <w:rPr>
          <w:noProof/>
        </w:rPr>
        <w:t xml:space="preserve">This </w:t>
      </w:r>
      <w:r w:rsidRPr="009A3B80">
        <w:rPr>
          <w:b/>
          <w:noProof/>
        </w:rPr>
        <w:t>enhance</w:t>
      </w:r>
      <w:r w:rsidR="007A15FF" w:rsidRPr="009A3B80">
        <w:rPr>
          <w:b/>
          <w:noProof/>
        </w:rPr>
        <w:t>s</w:t>
      </w:r>
      <w:r w:rsidRPr="009A3B80">
        <w:rPr>
          <w:b/>
          <w:noProof/>
        </w:rPr>
        <w:t xml:space="preserve"> synergies</w:t>
      </w:r>
      <w:r w:rsidRPr="008D394A">
        <w:rPr>
          <w:noProof/>
        </w:rPr>
        <w:t xml:space="preserve"> between the </w:t>
      </w:r>
      <w:r w:rsidR="008B7A0B">
        <w:rPr>
          <w:noProof/>
        </w:rPr>
        <w:t xml:space="preserve">different </w:t>
      </w:r>
      <w:r w:rsidRPr="008D394A">
        <w:rPr>
          <w:noProof/>
        </w:rPr>
        <w:t>strands and create</w:t>
      </w:r>
      <w:r w:rsidR="007A15FF">
        <w:rPr>
          <w:noProof/>
        </w:rPr>
        <w:t>s</w:t>
      </w:r>
      <w:r w:rsidRPr="008D394A">
        <w:rPr>
          <w:noProof/>
        </w:rPr>
        <w:t xml:space="preserve"> economies </w:t>
      </w:r>
      <w:r w:rsidR="008B454B">
        <w:rPr>
          <w:noProof/>
        </w:rPr>
        <w:t>for</w:t>
      </w:r>
      <w:r w:rsidR="008B454B" w:rsidRPr="008D394A">
        <w:rPr>
          <w:noProof/>
        </w:rPr>
        <w:t xml:space="preserve"> </w:t>
      </w:r>
      <w:r w:rsidRPr="008D394A">
        <w:rPr>
          <w:noProof/>
        </w:rPr>
        <w:t xml:space="preserve">resources, including </w:t>
      </w:r>
      <w:r w:rsidR="008B454B">
        <w:rPr>
          <w:noProof/>
        </w:rPr>
        <w:t xml:space="preserve">the </w:t>
      </w:r>
      <w:r w:rsidRPr="008D394A">
        <w:rPr>
          <w:noProof/>
        </w:rPr>
        <w:t>financial flexibility to reallocate funding within the programme to one or other activity part, where needed.</w:t>
      </w:r>
    </w:p>
    <w:p w14:paraId="72BD51BA" w14:textId="13F4367A" w:rsidR="008D394A" w:rsidRDefault="008D394A" w:rsidP="008A6DCE">
      <w:pPr>
        <w:rPr>
          <w:noProof/>
        </w:rPr>
      </w:pPr>
      <w:r w:rsidRPr="008D394A">
        <w:rPr>
          <w:noProof/>
        </w:rPr>
        <w:t xml:space="preserve">The UAFP </w:t>
      </w:r>
      <w:r w:rsidR="008B454B">
        <w:rPr>
          <w:noProof/>
        </w:rPr>
        <w:t xml:space="preserve">has </w:t>
      </w:r>
      <w:r w:rsidRPr="008D394A">
        <w:rPr>
          <w:noProof/>
        </w:rPr>
        <w:t>two general objectives</w:t>
      </w:r>
      <w:r w:rsidR="00F6664B">
        <w:rPr>
          <w:rStyle w:val="FootnoteReference"/>
          <w:noProof/>
        </w:rPr>
        <w:footnoteReference w:id="57"/>
      </w:r>
      <w:r w:rsidRPr="008D394A">
        <w:rPr>
          <w:noProof/>
        </w:rPr>
        <w:t xml:space="preserve">. First, it aims to protect the </w:t>
      </w:r>
      <w:r w:rsidR="008B454B">
        <w:rPr>
          <w:noProof/>
        </w:rPr>
        <w:t xml:space="preserve">EU’s </w:t>
      </w:r>
      <w:r w:rsidRPr="008D394A">
        <w:rPr>
          <w:noProof/>
        </w:rPr>
        <w:t>financial interests. Second, it aims to support mutual assistance between the administrative authorities of the Member States</w:t>
      </w:r>
      <w:r w:rsidR="007A15FF">
        <w:rPr>
          <w:noProof/>
        </w:rPr>
        <w:t>,</w:t>
      </w:r>
      <w:r w:rsidRPr="008D394A">
        <w:rPr>
          <w:noProof/>
        </w:rPr>
        <w:t xml:space="preserve"> and cooperation between the</w:t>
      </w:r>
      <w:r w:rsidR="008B454B">
        <w:rPr>
          <w:noProof/>
        </w:rPr>
        <w:t>m</w:t>
      </w:r>
      <w:r w:rsidRPr="008D394A">
        <w:rPr>
          <w:noProof/>
        </w:rPr>
        <w:t xml:space="preserve"> and the Commission to ensure that the law on customs and agricultural matters is correctly applied.</w:t>
      </w:r>
    </w:p>
    <w:p w14:paraId="63F53DDC" w14:textId="2313F935" w:rsidR="008D394A" w:rsidRDefault="008D394A" w:rsidP="008A6DCE">
      <w:pPr>
        <w:keepNext/>
        <w:rPr>
          <w:noProof/>
        </w:rPr>
      </w:pPr>
      <w:r w:rsidRPr="008D394A">
        <w:rPr>
          <w:noProof/>
        </w:rPr>
        <w:t xml:space="preserve">The programme </w:t>
      </w:r>
      <w:r w:rsidR="008B454B">
        <w:rPr>
          <w:noProof/>
        </w:rPr>
        <w:t xml:space="preserve">has </w:t>
      </w:r>
      <w:r w:rsidRPr="008D394A">
        <w:rPr>
          <w:noProof/>
        </w:rPr>
        <w:t>three specific objectives:</w:t>
      </w:r>
    </w:p>
    <w:p w14:paraId="52531356" w14:textId="504C25A4" w:rsidR="008D394A" w:rsidRDefault="008D394A" w:rsidP="008A6DCE">
      <w:pPr>
        <w:pStyle w:val="ListNumber"/>
        <w:numPr>
          <w:ilvl w:val="0"/>
          <w:numId w:val="21"/>
        </w:numPr>
        <w:rPr>
          <w:noProof/>
        </w:rPr>
      </w:pPr>
      <w:r w:rsidRPr="008D394A">
        <w:rPr>
          <w:noProof/>
        </w:rPr>
        <w:t xml:space="preserve">to prevent and combat fraud, corruption and any other illegal activities affecting the financial interests of the </w:t>
      </w:r>
      <w:r w:rsidR="008B454B">
        <w:rPr>
          <w:noProof/>
        </w:rPr>
        <w:t>EU</w:t>
      </w:r>
      <w:r w:rsidRPr="008D394A">
        <w:rPr>
          <w:noProof/>
        </w:rPr>
        <w:t>;</w:t>
      </w:r>
    </w:p>
    <w:p w14:paraId="5819B217" w14:textId="144CF80C" w:rsidR="008D394A" w:rsidRDefault="008D394A" w:rsidP="008A6DCE">
      <w:pPr>
        <w:pStyle w:val="ListNumber"/>
        <w:numPr>
          <w:ilvl w:val="0"/>
          <w:numId w:val="21"/>
        </w:numPr>
        <w:rPr>
          <w:noProof/>
        </w:rPr>
      </w:pPr>
      <w:r w:rsidRPr="008D394A">
        <w:rPr>
          <w:noProof/>
        </w:rPr>
        <w:t xml:space="preserve">to support the reporting of irregularities, including fraud, with regard to the shared management funds and pre-accession assistance funds of the EU budget; </w:t>
      </w:r>
    </w:p>
    <w:p w14:paraId="6CD2131D" w14:textId="614AA47E" w:rsidR="008D394A" w:rsidRDefault="008D394A" w:rsidP="008A6DCE">
      <w:pPr>
        <w:pStyle w:val="ListNumber"/>
        <w:numPr>
          <w:ilvl w:val="0"/>
          <w:numId w:val="21"/>
        </w:numPr>
        <w:rPr>
          <w:noProof/>
        </w:rPr>
      </w:pPr>
      <w:r w:rsidRPr="008D394A">
        <w:rPr>
          <w:noProof/>
        </w:rPr>
        <w:t xml:space="preserve">to provide tools for information exchange and support for operational activities in the </w:t>
      </w:r>
      <w:r w:rsidR="008B454B">
        <w:rPr>
          <w:noProof/>
        </w:rPr>
        <w:t xml:space="preserve">area of </w:t>
      </w:r>
      <w:r w:rsidRPr="008D394A">
        <w:rPr>
          <w:noProof/>
        </w:rPr>
        <w:t>mutual administrative assistance in customs and agricultural matters.</w:t>
      </w:r>
    </w:p>
    <w:p w14:paraId="52343BEA" w14:textId="2D9CACE7" w:rsidR="00A86074" w:rsidRDefault="00A86074"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51" w:name="_Toc110444018"/>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10</w:t>
      </w:r>
      <w:r w:rsidR="00EA0D7C">
        <w:rPr>
          <w:noProof/>
        </w:rPr>
        <w:fldChar w:fldCharType="end"/>
      </w:r>
      <w:r>
        <w:rPr>
          <w:noProof/>
        </w:rPr>
        <w:t xml:space="preserve"> – Focus on AFIS</w:t>
      </w:r>
      <w:r w:rsidR="008B454B">
        <w:rPr>
          <w:noProof/>
        </w:rPr>
        <w:t xml:space="preserve"> and IMS</w:t>
      </w:r>
      <w:bookmarkEnd w:id="51"/>
    </w:p>
    <w:p w14:paraId="38EB6DEE" w14:textId="2D985C53" w:rsidR="00A86074"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9A3B80">
        <w:rPr>
          <w:b/>
          <w:noProof/>
        </w:rPr>
        <w:t>AFIS</w:t>
      </w:r>
      <w:r w:rsidRPr="00C6311E">
        <w:rPr>
          <w:noProof/>
        </w:rPr>
        <w:t xml:space="preserve"> is an umbrella term for a set of anti-fraud IT applications operated by OLAF </w:t>
      </w:r>
      <w:r w:rsidR="008B454B">
        <w:rPr>
          <w:noProof/>
        </w:rPr>
        <w:t>using</w:t>
      </w:r>
      <w:r w:rsidR="008B454B" w:rsidRPr="00C6311E">
        <w:rPr>
          <w:noProof/>
        </w:rPr>
        <w:t xml:space="preserve"> </w:t>
      </w:r>
      <w:r w:rsidRPr="00C6311E">
        <w:rPr>
          <w:noProof/>
        </w:rPr>
        <w:t>a common technical infrastructure</w:t>
      </w:r>
      <w:r>
        <w:rPr>
          <w:noProof/>
        </w:rPr>
        <w:t>, the aim of which</w:t>
      </w:r>
      <w:r w:rsidRPr="00C6311E">
        <w:rPr>
          <w:noProof/>
        </w:rPr>
        <w:t xml:space="preserve"> is the timely and secure </w:t>
      </w:r>
      <w:r w:rsidRPr="009A3B80">
        <w:rPr>
          <w:b/>
          <w:noProof/>
        </w:rPr>
        <w:t xml:space="preserve">exchange of information </w:t>
      </w:r>
      <w:r w:rsidR="008B454B" w:rsidRPr="009A3B80">
        <w:rPr>
          <w:b/>
          <w:noProof/>
        </w:rPr>
        <w:t>on fraud</w:t>
      </w:r>
      <w:r w:rsidR="008B454B">
        <w:rPr>
          <w:noProof/>
        </w:rPr>
        <w:t xml:space="preserve"> </w:t>
      </w:r>
      <w:r w:rsidRPr="00C6311E">
        <w:rPr>
          <w:noProof/>
        </w:rPr>
        <w:t xml:space="preserve">between competent national and EU administrations, as well as the storage and analysis of relevant data. The AFIS </w:t>
      </w:r>
      <w:r w:rsidR="008B454B">
        <w:rPr>
          <w:noProof/>
        </w:rPr>
        <w:t>p</w:t>
      </w:r>
      <w:r w:rsidR="008B454B" w:rsidRPr="00C6311E">
        <w:rPr>
          <w:noProof/>
        </w:rPr>
        <w:t xml:space="preserve">ortal </w:t>
      </w:r>
      <w:r w:rsidRPr="00C6311E">
        <w:rPr>
          <w:noProof/>
        </w:rPr>
        <w:t xml:space="preserve">has </w:t>
      </w:r>
      <w:r w:rsidR="008B454B">
        <w:rPr>
          <w:noProof/>
        </w:rPr>
        <w:t xml:space="preserve">over </w:t>
      </w:r>
      <w:r w:rsidR="008B454B" w:rsidRPr="00C6311E">
        <w:rPr>
          <w:noProof/>
        </w:rPr>
        <w:t>8</w:t>
      </w:r>
      <w:r w:rsidR="008B454B">
        <w:rPr>
          <w:noProof/>
        </w:rPr>
        <w:t> </w:t>
      </w:r>
      <w:r w:rsidRPr="00C6311E">
        <w:rPr>
          <w:noProof/>
        </w:rPr>
        <w:t xml:space="preserve">500 registered end-users in nearly </w:t>
      </w:r>
      <w:r w:rsidR="008B454B" w:rsidRPr="00C6311E">
        <w:rPr>
          <w:noProof/>
        </w:rPr>
        <w:t>1</w:t>
      </w:r>
      <w:r w:rsidR="008B454B">
        <w:rPr>
          <w:noProof/>
        </w:rPr>
        <w:t> </w:t>
      </w:r>
      <w:r w:rsidRPr="00C6311E">
        <w:rPr>
          <w:noProof/>
        </w:rPr>
        <w:t xml:space="preserve">400 competent services from Member States, partner third countries, international organisations, the Commission and other EU institutions. </w:t>
      </w:r>
      <w:r w:rsidR="008B454B">
        <w:rPr>
          <w:noProof/>
        </w:rPr>
        <w:t xml:space="preserve">It makes </w:t>
      </w:r>
      <w:r w:rsidRPr="00C6311E">
        <w:rPr>
          <w:noProof/>
        </w:rPr>
        <w:t xml:space="preserve">substantial economies of scale and synergies </w:t>
      </w:r>
      <w:r w:rsidR="008B454B">
        <w:rPr>
          <w:noProof/>
        </w:rPr>
        <w:t xml:space="preserve">possible </w:t>
      </w:r>
      <w:r w:rsidRPr="00C6311E">
        <w:rPr>
          <w:noProof/>
        </w:rPr>
        <w:t>in developing, maintaining and operating such a wide and diverse set of IT services and tools.</w:t>
      </w:r>
    </w:p>
    <w:p w14:paraId="3AE508D8" w14:textId="2599F512" w:rsidR="00A86074"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C6311E">
        <w:rPr>
          <w:noProof/>
        </w:rPr>
        <w:t xml:space="preserve">AFIS supports </w:t>
      </w:r>
      <w:r w:rsidRPr="009A3B80">
        <w:rPr>
          <w:b/>
          <w:noProof/>
        </w:rPr>
        <w:t>mutual assistance in customs</w:t>
      </w:r>
      <w:r w:rsidRPr="00C6311E">
        <w:rPr>
          <w:noProof/>
        </w:rPr>
        <w:t xml:space="preserve"> with collaboration tools such as </w:t>
      </w:r>
      <w:r w:rsidRPr="009A3B80">
        <w:rPr>
          <w:b/>
          <w:noProof/>
        </w:rPr>
        <w:t>VOCU</w:t>
      </w:r>
      <w:r w:rsidRPr="00C6311E">
        <w:rPr>
          <w:noProof/>
        </w:rPr>
        <w:t xml:space="preserve"> (Virtual Operations Coordination Unit) for </w:t>
      </w:r>
      <w:r w:rsidRPr="009A3B80">
        <w:rPr>
          <w:b/>
          <w:noProof/>
        </w:rPr>
        <w:t>joint customs operations</w:t>
      </w:r>
      <w:r w:rsidRPr="00C6311E">
        <w:rPr>
          <w:noProof/>
        </w:rPr>
        <w:t xml:space="preserve">, secure </w:t>
      </w:r>
      <w:r w:rsidR="008B454B">
        <w:rPr>
          <w:noProof/>
        </w:rPr>
        <w:t>e</w:t>
      </w:r>
      <w:r w:rsidRPr="00C6311E">
        <w:rPr>
          <w:noProof/>
        </w:rPr>
        <w:t>mail (AFIS Mail)</w:t>
      </w:r>
      <w:r>
        <w:rPr>
          <w:noProof/>
        </w:rPr>
        <w:t xml:space="preserve"> and</w:t>
      </w:r>
      <w:r w:rsidRPr="00C6311E">
        <w:rPr>
          <w:noProof/>
        </w:rPr>
        <w:t xml:space="preserve"> specific information exchange modules. It also provides support </w:t>
      </w:r>
      <w:r w:rsidR="008B454B">
        <w:rPr>
          <w:noProof/>
        </w:rPr>
        <w:t>through</w:t>
      </w:r>
      <w:r w:rsidR="008B454B" w:rsidRPr="00C6311E">
        <w:rPr>
          <w:noProof/>
        </w:rPr>
        <w:t xml:space="preserve"> </w:t>
      </w:r>
      <w:r w:rsidRPr="00C6311E">
        <w:rPr>
          <w:noProof/>
        </w:rPr>
        <w:t xml:space="preserve">databases such as CIS (Customs Information System) and FIDE (Customs Investigation Files Identification Database), the Container Status Messages (CSM) directory and the Import, Export and Transit (IET) directory; and it provides support </w:t>
      </w:r>
      <w:r w:rsidR="008B454B">
        <w:rPr>
          <w:noProof/>
        </w:rPr>
        <w:t>through</w:t>
      </w:r>
      <w:r w:rsidR="008B454B" w:rsidRPr="00C6311E">
        <w:rPr>
          <w:noProof/>
        </w:rPr>
        <w:t xml:space="preserve"> </w:t>
      </w:r>
      <w:r w:rsidRPr="00C6311E">
        <w:rPr>
          <w:noProof/>
        </w:rPr>
        <w:t xml:space="preserve">data analysis tools such as </w:t>
      </w:r>
      <w:r w:rsidR="008B454B">
        <w:rPr>
          <w:noProof/>
        </w:rPr>
        <w:t xml:space="preserve">the </w:t>
      </w:r>
      <w:r w:rsidRPr="00C6311E">
        <w:rPr>
          <w:noProof/>
        </w:rPr>
        <w:t>AMT (Automated Monitoring Tool) and electronic workflow applications such as ToSMA (Tobacco Seizures Management Application). Further developments are ongoing for the establishment of an analytical platform in AFIS to support strategic and operational analysis.</w:t>
      </w:r>
    </w:p>
    <w:p w14:paraId="7F9127F2" w14:textId="1E5B8C1B" w:rsidR="00A86074" w:rsidRDefault="00A86074"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2F4DA6">
        <w:rPr>
          <w:noProof/>
        </w:rPr>
        <w:t>The main legal basis for the operation of the AFIS platform is Council Regulation (EC) No 515/97 on mutual assistance between the administrative authorities of the Member States and cooperation between the</w:t>
      </w:r>
      <w:r w:rsidR="008B454B">
        <w:rPr>
          <w:noProof/>
        </w:rPr>
        <w:t>m</w:t>
      </w:r>
      <w:r w:rsidRPr="002F4DA6">
        <w:rPr>
          <w:noProof/>
        </w:rPr>
        <w:t xml:space="preserve"> and the Commission to ensure the correct application of the law on customs and agricultural matters</w:t>
      </w:r>
      <w:r>
        <w:rPr>
          <w:rStyle w:val="FootnoteReference"/>
          <w:noProof/>
        </w:rPr>
        <w:footnoteReference w:id="58"/>
      </w:r>
      <w:r>
        <w:rPr>
          <w:noProof/>
        </w:rPr>
        <w:t>.</w:t>
      </w:r>
    </w:p>
    <w:p w14:paraId="2B32F1AC" w14:textId="24E7326C" w:rsidR="008B454B" w:rsidRPr="00363877" w:rsidRDefault="008B454B"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9A3B80">
        <w:rPr>
          <w:b/>
          <w:noProof/>
        </w:rPr>
        <w:t>IMS</w:t>
      </w:r>
      <w:r>
        <w:rPr>
          <w:noProof/>
        </w:rPr>
        <w:t xml:space="preserve"> is an application on the AFIS platform facilitating the </w:t>
      </w:r>
      <w:r w:rsidRPr="009A3B80">
        <w:rPr>
          <w:b/>
          <w:noProof/>
        </w:rPr>
        <w:t>reporting of irregularities and fraud</w:t>
      </w:r>
      <w:r>
        <w:rPr>
          <w:noProof/>
        </w:rPr>
        <w:t xml:space="preserve"> detected by national authorities in the area of shared management and pre-accession in compliance with sectoral regulations and financing agreements. In 2021, a study was commissioned to identify possible improvements to the system based on user and stakeholder needs</w:t>
      </w:r>
      <w:r w:rsidR="004635F1">
        <w:rPr>
          <w:noProof/>
        </w:rPr>
        <w:t>,</w:t>
      </w:r>
      <w:r>
        <w:rPr>
          <w:noProof/>
        </w:rPr>
        <w:t xml:space="preserve"> and </w:t>
      </w:r>
      <w:r w:rsidR="004635F1">
        <w:rPr>
          <w:noProof/>
        </w:rPr>
        <w:t xml:space="preserve">to explore the possibility of </w:t>
      </w:r>
      <w:r w:rsidR="005613B3">
        <w:rPr>
          <w:noProof/>
        </w:rPr>
        <w:t>enhanc</w:t>
      </w:r>
      <w:r w:rsidR="004635F1">
        <w:rPr>
          <w:noProof/>
        </w:rPr>
        <w:t>ing</w:t>
      </w:r>
      <w:r w:rsidR="005613B3">
        <w:rPr>
          <w:noProof/>
        </w:rPr>
        <w:t xml:space="preserve"> interoperability with other Commission anti-fraud IT systems, such as Arachne and </w:t>
      </w:r>
      <w:r w:rsidR="00612B29">
        <w:rPr>
          <w:noProof/>
        </w:rPr>
        <w:t>the EDES</w:t>
      </w:r>
      <w:r w:rsidR="0088672E">
        <w:rPr>
          <w:rStyle w:val="FootnoteReference"/>
          <w:noProof/>
        </w:rPr>
        <w:footnoteReference w:id="59"/>
      </w:r>
      <w:r w:rsidR="005613B3">
        <w:rPr>
          <w:noProof/>
        </w:rPr>
        <w:t>.</w:t>
      </w:r>
    </w:p>
    <w:p w14:paraId="39A06EC0" w14:textId="77777777" w:rsidR="00CF1D95" w:rsidRDefault="00CF1D95" w:rsidP="00CD7B44">
      <w:pPr>
        <w:pStyle w:val="Heading3"/>
        <w:rPr>
          <w:noProof/>
        </w:rPr>
      </w:pPr>
      <w:bookmarkStart w:id="52" w:name="_Toc110444056"/>
      <w:r>
        <w:rPr>
          <w:noProof/>
        </w:rPr>
        <w:t>Cooperation in the area of revenue</w:t>
      </w:r>
      <w:bookmarkEnd w:id="52"/>
    </w:p>
    <w:p w14:paraId="5AC589E6" w14:textId="4F4C730C" w:rsidR="008A17E3" w:rsidRPr="008A17E3" w:rsidRDefault="008A17E3" w:rsidP="008A6DCE">
      <w:pPr>
        <w:pStyle w:val="Heading4"/>
        <w:rPr>
          <w:noProof/>
        </w:rPr>
      </w:pPr>
      <w:bookmarkStart w:id="53" w:name="_Toc110444057"/>
      <w:r>
        <w:rPr>
          <w:noProof/>
        </w:rPr>
        <w:t xml:space="preserve">The </w:t>
      </w:r>
      <w:r w:rsidR="005613B3">
        <w:rPr>
          <w:noProof/>
        </w:rPr>
        <w:t xml:space="preserve">customs </w:t>
      </w:r>
      <w:r>
        <w:rPr>
          <w:noProof/>
        </w:rPr>
        <w:t>programme</w:t>
      </w:r>
      <w:bookmarkEnd w:id="53"/>
    </w:p>
    <w:p w14:paraId="674827B3" w14:textId="4BDDDA44" w:rsidR="00EB636F" w:rsidRDefault="00EB636F" w:rsidP="00EB636F">
      <w:pPr>
        <w:rPr>
          <w:noProof/>
        </w:rPr>
      </w:pPr>
      <w:r>
        <w:rPr>
          <w:noProof/>
        </w:rPr>
        <w:t xml:space="preserve">The </w:t>
      </w:r>
      <w:r w:rsidR="005613B3" w:rsidRPr="009A3B80">
        <w:rPr>
          <w:b/>
          <w:noProof/>
        </w:rPr>
        <w:t xml:space="preserve">customs </w:t>
      </w:r>
      <w:r w:rsidRPr="009A3B80">
        <w:rPr>
          <w:b/>
          <w:noProof/>
        </w:rPr>
        <w:t>programme</w:t>
      </w:r>
      <w:r>
        <w:rPr>
          <w:noProof/>
        </w:rPr>
        <w:t xml:space="preserve"> (Regulation (EU) 2021/444), while </w:t>
      </w:r>
      <w:r w:rsidR="007A15FF">
        <w:rPr>
          <w:noProof/>
        </w:rPr>
        <w:t xml:space="preserve">not </w:t>
      </w:r>
      <w:r>
        <w:rPr>
          <w:noProof/>
        </w:rPr>
        <w:t>directly addressing the fight against fraud, is an important partner in the protection of the EU’s and the M</w:t>
      </w:r>
      <w:r w:rsidR="007A15FF">
        <w:rPr>
          <w:noProof/>
        </w:rPr>
        <w:t xml:space="preserve">ember </w:t>
      </w:r>
      <w:r>
        <w:rPr>
          <w:noProof/>
        </w:rPr>
        <w:t>S</w:t>
      </w:r>
      <w:r w:rsidR="007A15FF">
        <w:rPr>
          <w:noProof/>
        </w:rPr>
        <w:t>tate</w:t>
      </w:r>
      <w:r>
        <w:rPr>
          <w:noProof/>
        </w:rPr>
        <w:t>s’ financial and economic interest</w:t>
      </w:r>
      <w:r w:rsidR="0088672E">
        <w:rPr>
          <w:noProof/>
        </w:rPr>
        <w:t>s</w:t>
      </w:r>
      <w:r>
        <w:rPr>
          <w:noProof/>
        </w:rPr>
        <w:t xml:space="preserve">. As a pillar of the </w:t>
      </w:r>
      <w:r w:rsidR="00A863FB">
        <w:rPr>
          <w:noProof/>
        </w:rPr>
        <w:t>programme</w:t>
      </w:r>
      <w:r>
        <w:rPr>
          <w:noProof/>
        </w:rPr>
        <w:t xml:space="preserve">, </w:t>
      </w:r>
      <w:r w:rsidR="005613B3">
        <w:rPr>
          <w:noProof/>
        </w:rPr>
        <w:t xml:space="preserve">its </w:t>
      </w:r>
      <w:r w:rsidRPr="009A3B80">
        <w:rPr>
          <w:b/>
          <w:noProof/>
        </w:rPr>
        <w:t>IT systems</w:t>
      </w:r>
      <w:r>
        <w:rPr>
          <w:noProof/>
        </w:rPr>
        <w:t xml:space="preserve"> play an essential role in </w:t>
      </w:r>
      <w:r w:rsidR="007A15FF">
        <w:rPr>
          <w:noProof/>
        </w:rPr>
        <w:t xml:space="preserve">facilitating </w:t>
      </w:r>
      <w:r w:rsidR="005613B3">
        <w:rPr>
          <w:noProof/>
        </w:rPr>
        <w:t xml:space="preserve">the </w:t>
      </w:r>
      <w:r>
        <w:rPr>
          <w:noProof/>
        </w:rPr>
        <w:t>exchang</w:t>
      </w:r>
      <w:r w:rsidR="007A15FF">
        <w:rPr>
          <w:noProof/>
        </w:rPr>
        <w:t>e of</w:t>
      </w:r>
      <w:r>
        <w:rPr>
          <w:noProof/>
        </w:rPr>
        <w:t xml:space="preserve"> information and data, including risk information, between the Member States, </w:t>
      </w:r>
      <w:r w:rsidR="005613B3">
        <w:rPr>
          <w:noProof/>
        </w:rPr>
        <w:t xml:space="preserve">thereby buttressing </w:t>
      </w:r>
      <w:r>
        <w:rPr>
          <w:noProof/>
        </w:rPr>
        <w:t>the collection of the various duties (e.g. customs duties, VAT and excise duties on import</w:t>
      </w:r>
      <w:r w:rsidR="007A15FF">
        <w:rPr>
          <w:noProof/>
        </w:rPr>
        <w:t>s</w:t>
      </w:r>
      <w:r>
        <w:rPr>
          <w:noProof/>
        </w:rPr>
        <w:t xml:space="preserve">). </w:t>
      </w:r>
      <w:r w:rsidR="005613B3">
        <w:rPr>
          <w:noProof/>
        </w:rPr>
        <w:t>T</w:t>
      </w:r>
      <w:r>
        <w:rPr>
          <w:noProof/>
        </w:rPr>
        <w:t xml:space="preserve">he </w:t>
      </w:r>
      <w:r w:rsidR="007A15FF">
        <w:rPr>
          <w:noProof/>
        </w:rPr>
        <w:t>p</w:t>
      </w:r>
      <w:r>
        <w:rPr>
          <w:noProof/>
        </w:rPr>
        <w:t xml:space="preserve">rogramme </w:t>
      </w:r>
      <w:r w:rsidR="005613B3">
        <w:rPr>
          <w:noProof/>
        </w:rPr>
        <w:t xml:space="preserve">also </w:t>
      </w:r>
      <w:r>
        <w:rPr>
          <w:noProof/>
        </w:rPr>
        <w:t xml:space="preserve">supports </w:t>
      </w:r>
      <w:r w:rsidRPr="009A3B80">
        <w:rPr>
          <w:b/>
          <w:noProof/>
        </w:rPr>
        <w:t>collaboration actions</w:t>
      </w:r>
      <w:r>
        <w:rPr>
          <w:noProof/>
        </w:rPr>
        <w:t>, including project groups, networks of experts, workshops and training activities and other human competency</w:t>
      </w:r>
      <w:r w:rsidR="0088672E">
        <w:rPr>
          <w:noProof/>
        </w:rPr>
        <w:t>-</w:t>
      </w:r>
      <w:r>
        <w:rPr>
          <w:noProof/>
        </w:rPr>
        <w:t xml:space="preserve">building support, that </w:t>
      </w:r>
      <w:r w:rsidR="005613B3">
        <w:rPr>
          <w:noProof/>
        </w:rPr>
        <w:t>enable</w:t>
      </w:r>
      <w:r>
        <w:rPr>
          <w:noProof/>
        </w:rPr>
        <w:t xml:space="preserve"> Member State authorities to share good practices and to improve customs controls and the collection of duties. Furthermore, the newly established Instrument for </w:t>
      </w:r>
      <w:r w:rsidR="005613B3">
        <w:rPr>
          <w:noProof/>
        </w:rPr>
        <w:t>F</w:t>
      </w:r>
      <w:r w:rsidR="009A3B80">
        <w:rPr>
          <w:noProof/>
        </w:rPr>
        <w:t>i</w:t>
      </w:r>
      <w:r w:rsidR="005613B3">
        <w:rPr>
          <w:noProof/>
        </w:rPr>
        <w:t xml:space="preserve">nancial Support </w:t>
      </w:r>
      <w:r>
        <w:rPr>
          <w:noProof/>
        </w:rPr>
        <w:t xml:space="preserve">for Customs Control Equipment (Regulation (EU) 2021/1077), intended to be used at all types of borders, should support the customs union and the work of the customs authorities, in particular </w:t>
      </w:r>
      <w:r w:rsidR="005613B3">
        <w:rPr>
          <w:noProof/>
        </w:rPr>
        <w:t xml:space="preserve">by </w:t>
      </w:r>
      <w:r>
        <w:rPr>
          <w:noProof/>
        </w:rPr>
        <w:t xml:space="preserve">helping them to protect the </w:t>
      </w:r>
      <w:r w:rsidR="005613B3">
        <w:rPr>
          <w:noProof/>
        </w:rPr>
        <w:t xml:space="preserve">EU’s </w:t>
      </w:r>
      <w:r>
        <w:rPr>
          <w:noProof/>
        </w:rPr>
        <w:t xml:space="preserve">financial and economic interests, to ensure security and safety in the </w:t>
      </w:r>
      <w:r w:rsidR="005613B3">
        <w:rPr>
          <w:noProof/>
        </w:rPr>
        <w:t>E</w:t>
      </w:r>
      <w:r>
        <w:rPr>
          <w:noProof/>
        </w:rPr>
        <w:t xml:space="preserve">U and to protect </w:t>
      </w:r>
      <w:r w:rsidR="005613B3">
        <w:rPr>
          <w:noProof/>
        </w:rPr>
        <w:t xml:space="preserve">it </w:t>
      </w:r>
      <w:r>
        <w:rPr>
          <w:noProof/>
        </w:rPr>
        <w:t xml:space="preserve">from unfair and illegal trade, such as </w:t>
      </w:r>
      <w:r w:rsidR="005613B3">
        <w:rPr>
          <w:noProof/>
        </w:rPr>
        <w:t xml:space="preserve">the </w:t>
      </w:r>
      <w:r>
        <w:rPr>
          <w:noProof/>
        </w:rPr>
        <w:t>counterfeiting of goods, while facilitating legitimate business activity.</w:t>
      </w:r>
    </w:p>
    <w:p w14:paraId="5627F47D" w14:textId="77777777" w:rsidR="008A17E3" w:rsidRDefault="008A17E3" w:rsidP="008A6DCE">
      <w:pPr>
        <w:pStyle w:val="Heading4"/>
        <w:rPr>
          <w:noProof/>
        </w:rPr>
      </w:pPr>
      <w:bookmarkStart w:id="54" w:name="_Toc110444058"/>
      <w:r>
        <w:rPr>
          <w:noProof/>
        </w:rPr>
        <w:t>The Fiscalis programme</w:t>
      </w:r>
      <w:bookmarkEnd w:id="54"/>
    </w:p>
    <w:p w14:paraId="55DB3FEB" w14:textId="2D48CCE7" w:rsidR="00EB636F" w:rsidRPr="00EB636F" w:rsidRDefault="00EB636F" w:rsidP="00EB636F">
      <w:pPr>
        <w:rPr>
          <w:noProof/>
        </w:rPr>
      </w:pPr>
      <w:r>
        <w:rPr>
          <w:noProof/>
        </w:rPr>
        <w:t xml:space="preserve">The </w:t>
      </w:r>
      <w:r w:rsidRPr="009A3B80">
        <w:rPr>
          <w:b/>
          <w:noProof/>
        </w:rPr>
        <w:t>Fiscalis programme</w:t>
      </w:r>
      <w:r>
        <w:rPr>
          <w:noProof/>
        </w:rPr>
        <w:t xml:space="preserve"> (Regulation (EU) 2021/847) </w:t>
      </w:r>
      <w:r w:rsidR="005613B3">
        <w:rPr>
          <w:noProof/>
        </w:rPr>
        <w:t xml:space="preserve">encompasses a broad range </w:t>
      </w:r>
      <w:r>
        <w:rPr>
          <w:noProof/>
        </w:rPr>
        <w:t>of actions to support collaboration between the M</w:t>
      </w:r>
      <w:r w:rsidR="00A863FB">
        <w:rPr>
          <w:noProof/>
        </w:rPr>
        <w:t xml:space="preserve">ember </w:t>
      </w:r>
      <w:r>
        <w:rPr>
          <w:noProof/>
        </w:rPr>
        <w:t>S</w:t>
      </w:r>
      <w:r w:rsidR="00A863FB">
        <w:rPr>
          <w:noProof/>
        </w:rPr>
        <w:t>tates</w:t>
      </w:r>
      <w:r w:rsidR="005613B3">
        <w:rPr>
          <w:noProof/>
        </w:rPr>
        <w:t>’</w:t>
      </w:r>
      <w:r>
        <w:rPr>
          <w:noProof/>
        </w:rPr>
        <w:t xml:space="preserve"> tax authorities to protect the financial and economic interests of the </w:t>
      </w:r>
      <w:r w:rsidR="005613B3">
        <w:rPr>
          <w:noProof/>
        </w:rPr>
        <w:t>E</w:t>
      </w:r>
      <w:r>
        <w:rPr>
          <w:noProof/>
        </w:rPr>
        <w:t xml:space="preserve">U and its Member States, including protecting </w:t>
      </w:r>
      <w:r w:rsidR="005613B3">
        <w:rPr>
          <w:noProof/>
        </w:rPr>
        <w:t xml:space="preserve">them </w:t>
      </w:r>
      <w:r>
        <w:rPr>
          <w:noProof/>
        </w:rPr>
        <w:t xml:space="preserve">from tax fraud, tax evasion and tax avoidance. </w:t>
      </w:r>
      <w:r w:rsidR="005613B3">
        <w:rPr>
          <w:noProof/>
        </w:rPr>
        <w:t>T</w:t>
      </w:r>
      <w:r>
        <w:rPr>
          <w:noProof/>
        </w:rPr>
        <w:t xml:space="preserve">he Fiscalis programme also provides opportunities for </w:t>
      </w:r>
      <w:r w:rsidR="00A863FB">
        <w:rPr>
          <w:noProof/>
        </w:rPr>
        <w:t xml:space="preserve">national </w:t>
      </w:r>
      <w:r>
        <w:rPr>
          <w:noProof/>
        </w:rPr>
        <w:t xml:space="preserve">authorities to cooperate </w:t>
      </w:r>
      <w:r w:rsidR="005613B3">
        <w:rPr>
          <w:noProof/>
        </w:rPr>
        <w:t xml:space="preserve">through </w:t>
      </w:r>
      <w:r>
        <w:rPr>
          <w:noProof/>
        </w:rPr>
        <w:t xml:space="preserve">the use of </w:t>
      </w:r>
      <w:r w:rsidRPr="009A3B80">
        <w:rPr>
          <w:b/>
          <w:noProof/>
        </w:rPr>
        <w:t xml:space="preserve">IT systems, collaborative activities and human </w:t>
      </w:r>
      <w:r w:rsidR="005613B3" w:rsidRPr="009A3B80">
        <w:rPr>
          <w:b/>
          <w:noProof/>
        </w:rPr>
        <w:t>competency-</w:t>
      </w:r>
      <w:r w:rsidRPr="009A3B80">
        <w:rPr>
          <w:b/>
          <w:noProof/>
        </w:rPr>
        <w:t>building actions</w:t>
      </w:r>
      <w:r>
        <w:rPr>
          <w:noProof/>
        </w:rPr>
        <w:t>.</w:t>
      </w:r>
    </w:p>
    <w:p w14:paraId="572FF269" w14:textId="0491D0C9" w:rsidR="004F6F3F" w:rsidRDefault="00E73053" w:rsidP="008A6DCE">
      <w:pPr>
        <w:pStyle w:val="Heading4"/>
        <w:rPr>
          <w:noProof/>
        </w:rPr>
      </w:pPr>
      <w:bookmarkStart w:id="55" w:name="_Toc110444059"/>
      <w:r>
        <w:rPr>
          <w:noProof/>
        </w:rPr>
        <w:t xml:space="preserve">Joint </w:t>
      </w:r>
      <w:r w:rsidR="005613B3">
        <w:rPr>
          <w:noProof/>
        </w:rPr>
        <w:t xml:space="preserve">customs operations </w:t>
      </w:r>
      <w:r>
        <w:rPr>
          <w:noProof/>
        </w:rPr>
        <w:t>(JCOs)</w:t>
      </w:r>
      <w:bookmarkEnd w:id="55"/>
    </w:p>
    <w:p w14:paraId="65739064" w14:textId="6A21B7A7" w:rsidR="00C6311E" w:rsidRDefault="00E73053" w:rsidP="00C6311E">
      <w:pPr>
        <w:rPr>
          <w:noProof/>
        </w:rPr>
      </w:pPr>
      <w:r w:rsidRPr="009A3B80">
        <w:rPr>
          <w:b/>
          <w:noProof/>
        </w:rPr>
        <w:t xml:space="preserve">Joint </w:t>
      </w:r>
      <w:r w:rsidR="005613B3" w:rsidRPr="009A3B80">
        <w:rPr>
          <w:b/>
          <w:noProof/>
        </w:rPr>
        <w:t>customs operations</w:t>
      </w:r>
      <w:r w:rsidR="005613B3" w:rsidRPr="00E73053">
        <w:rPr>
          <w:noProof/>
        </w:rPr>
        <w:t xml:space="preserve"> </w:t>
      </w:r>
      <w:r w:rsidRPr="00E73053">
        <w:rPr>
          <w:noProof/>
        </w:rPr>
        <w:t xml:space="preserve">(JCOs) are </w:t>
      </w:r>
      <w:r w:rsidRPr="009A3B80">
        <w:rPr>
          <w:b/>
          <w:noProof/>
        </w:rPr>
        <w:t>targeted actions of limited duration</w:t>
      </w:r>
      <w:r w:rsidRPr="00E73053">
        <w:rPr>
          <w:noProof/>
        </w:rPr>
        <w:t xml:space="preserve"> to combat fraud and the smuggling of sensitive goods in specific areas at risk and/or on identified trade routes. </w:t>
      </w:r>
    </w:p>
    <w:p w14:paraId="0241ABCB" w14:textId="5908D67A" w:rsidR="00E73053" w:rsidRDefault="00E73053" w:rsidP="00C6311E">
      <w:pPr>
        <w:rPr>
          <w:noProof/>
        </w:rPr>
      </w:pPr>
      <w:r w:rsidRPr="00E73053">
        <w:rPr>
          <w:noProof/>
        </w:rPr>
        <w:t xml:space="preserve">In addition to its investigations </w:t>
      </w:r>
      <w:r w:rsidR="005613B3">
        <w:rPr>
          <w:noProof/>
        </w:rPr>
        <w:t xml:space="preserve">into </w:t>
      </w:r>
      <w:r w:rsidRPr="00E73053">
        <w:rPr>
          <w:noProof/>
        </w:rPr>
        <w:t xml:space="preserve">cases of revenue fraud and counterfeiting, OLAF coordinates large-scale JCOs involving EU and international operational partners. The support OLAF </w:t>
      </w:r>
      <w:r w:rsidR="005613B3">
        <w:rPr>
          <w:noProof/>
        </w:rPr>
        <w:t xml:space="preserve">provides </w:t>
      </w:r>
      <w:r w:rsidRPr="00E73053">
        <w:rPr>
          <w:noProof/>
        </w:rPr>
        <w:t xml:space="preserve">is tailored to each JCO and may include the use of </w:t>
      </w:r>
      <w:r w:rsidR="005613B3">
        <w:rPr>
          <w:noProof/>
        </w:rPr>
        <w:t xml:space="preserve">its </w:t>
      </w:r>
      <w:r w:rsidRPr="00E73053">
        <w:rPr>
          <w:noProof/>
        </w:rPr>
        <w:t xml:space="preserve">permanent technical infrastructure, IT and communications tools, in particular the VOCU for the secure exchange of information, as well as strategic analysis, administrative and financial support. In 2021, OLAF organised or co-organised two operations on facemasks and tobacco products, and was involved in several operations initiated by Member States, Europol, </w:t>
      </w:r>
      <w:r w:rsidR="005613B3">
        <w:rPr>
          <w:noProof/>
        </w:rPr>
        <w:t>the European Border and Coast Guard Agency (</w:t>
      </w:r>
      <w:r w:rsidRPr="00E73053">
        <w:rPr>
          <w:noProof/>
        </w:rPr>
        <w:t>FRONTEX</w:t>
      </w:r>
      <w:r w:rsidR="005613B3">
        <w:rPr>
          <w:noProof/>
        </w:rPr>
        <w:t>)</w:t>
      </w:r>
      <w:r w:rsidRPr="00E73053">
        <w:rPr>
          <w:noProof/>
        </w:rPr>
        <w:t xml:space="preserve"> or the WCO</w:t>
      </w:r>
      <w:r w:rsidR="00F5142E">
        <w:rPr>
          <w:noProof/>
        </w:rPr>
        <w:t>.</w:t>
      </w:r>
    </w:p>
    <w:p w14:paraId="2C6837EE" w14:textId="1703A9B1" w:rsidR="00E73053" w:rsidRDefault="00E73053" w:rsidP="00E73053">
      <w:pPr>
        <w:pStyle w:val="Caption"/>
        <w:rPr>
          <w:noProof/>
        </w:rPr>
      </w:pPr>
      <w:bookmarkStart w:id="56" w:name="_Toc106662326"/>
      <w:r>
        <w:rPr>
          <w:noProof/>
        </w:rPr>
        <w:t xml:space="preserve">Table </w:t>
      </w:r>
      <w:r w:rsidR="00EA0D7C">
        <w:rPr>
          <w:noProof/>
        </w:rPr>
        <w:fldChar w:fldCharType="begin"/>
      </w:r>
      <w:r w:rsidR="00EA0D7C">
        <w:rPr>
          <w:noProof/>
        </w:rPr>
        <w:instrText xml:space="preserve"> SEQ Table \* ARABIC </w:instrText>
      </w:r>
      <w:r w:rsidR="00EA0D7C">
        <w:rPr>
          <w:noProof/>
        </w:rPr>
        <w:fldChar w:fldCharType="separate"/>
      </w:r>
      <w:r w:rsidR="00F963A8">
        <w:rPr>
          <w:noProof/>
        </w:rPr>
        <w:t>2</w:t>
      </w:r>
      <w:r w:rsidR="00EA0D7C">
        <w:rPr>
          <w:noProof/>
        </w:rPr>
        <w:fldChar w:fldCharType="end"/>
      </w:r>
      <w:r>
        <w:rPr>
          <w:noProof/>
        </w:rPr>
        <w:t xml:space="preserve"> - </w:t>
      </w:r>
      <w:r w:rsidR="005613B3">
        <w:rPr>
          <w:noProof/>
        </w:rPr>
        <w:t>JCOs</w:t>
      </w:r>
      <w:r w:rsidR="00363877">
        <w:rPr>
          <w:noProof/>
        </w:rPr>
        <w:t xml:space="preserve"> in 2021</w:t>
      </w:r>
      <w:bookmarkEnd w:id="56"/>
    </w:p>
    <w:tbl>
      <w:tblPr>
        <w:tblStyle w:val="GridTable4-Accent1"/>
        <w:tblW w:w="0" w:type="auto"/>
        <w:tblLook w:val="04A0" w:firstRow="1" w:lastRow="0" w:firstColumn="1" w:lastColumn="0" w:noHBand="0" w:noVBand="1"/>
      </w:tblPr>
      <w:tblGrid>
        <w:gridCol w:w="1668"/>
        <w:gridCol w:w="7166"/>
      </w:tblGrid>
      <w:tr w:rsidR="00363877" w:rsidRPr="009909A5" w14:paraId="083621FB" w14:textId="77777777" w:rsidTr="001157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14:paraId="35366D3F" w14:textId="77777777" w:rsidR="00363877" w:rsidRPr="002F6819" w:rsidRDefault="00363877" w:rsidP="00A27EF6">
            <w:pPr>
              <w:spacing w:after="0"/>
              <w:rPr>
                <w:rFonts w:cstheme="minorHAnsi"/>
                <w:noProof/>
                <w:sz w:val="20"/>
              </w:rPr>
            </w:pPr>
            <w:r w:rsidRPr="002F6819">
              <w:rPr>
                <w:rFonts w:cstheme="minorHAnsi"/>
                <w:noProof/>
                <w:sz w:val="20"/>
              </w:rPr>
              <w:t>Operation</w:t>
            </w:r>
          </w:p>
        </w:tc>
        <w:tc>
          <w:tcPr>
            <w:tcW w:w="7166" w:type="dxa"/>
          </w:tcPr>
          <w:p w14:paraId="0409D4D2" w14:textId="77777777" w:rsidR="00363877" w:rsidRPr="002F6819" w:rsidRDefault="00363877" w:rsidP="00A27EF6">
            <w:pPr>
              <w:spacing w:after="0"/>
              <w:cnfStyle w:val="100000000000" w:firstRow="1" w:lastRow="0" w:firstColumn="0" w:lastColumn="0" w:oddVBand="0" w:evenVBand="0" w:oddHBand="0" w:evenHBand="0" w:firstRowFirstColumn="0" w:firstRowLastColumn="0" w:lastRowFirstColumn="0" w:lastRowLastColumn="0"/>
              <w:rPr>
                <w:rFonts w:cstheme="minorHAnsi"/>
                <w:noProof/>
                <w:sz w:val="20"/>
              </w:rPr>
            </w:pPr>
            <w:r w:rsidRPr="002F6819">
              <w:rPr>
                <w:rFonts w:cstheme="minorHAnsi"/>
                <w:noProof/>
                <w:sz w:val="20"/>
              </w:rPr>
              <w:t>Description</w:t>
            </w:r>
          </w:p>
        </w:tc>
      </w:tr>
      <w:tr w:rsidR="00363877" w:rsidRPr="009909A5" w14:paraId="043FA520"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FC25BAC" w14:textId="77777777" w:rsidR="00363877" w:rsidRPr="002F6819" w:rsidRDefault="00363877" w:rsidP="00A27EF6">
            <w:pPr>
              <w:spacing w:after="0"/>
              <w:rPr>
                <w:rFonts w:cstheme="minorHAnsi"/>
                <w:noProof/>
                <w:sz w:val="20"/>
              </w:rPr>
            </w:pPr>
            <w:r w:rsidRPr="00363877">
              <w:rPr>
                <w:rFonts w:cstheme="minorHAnsi"/>
                <w:noProof/>
                <w:sz w:val="20"/>
              </w:rPr>
              <w:t>S’CARE FACE</w:t>
            </w:r>
          </w:p>
        </w:tc>
        <w:tc>
          <w:tcPr>
            <w:tcW w:w="7166" w:type="dxa"/>
          </w:tcPr>
          <w:p w14:paraId="7E43A5E1" w14:textId="25AFD358" w:rsidR="00363877" w:rsidRPr="002F6819" w:rsidRDefault="00363877" w:rsidP="002F3A1F">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Pr>
                <w:rFonts w:cstheme="minorHAnsi"/>
                <w:noProof/>
                <w:sz w:val="20"/>
              </w:rPr>
              <w:t xml:space="preserve">Organised by OLAF, </w:t>
            </w:r>
            <w:r w:rsidRPr="00363877">
              <w:rPr>
                <w:rFonts w:cstheme="minorHAnsi"/>
                <w:noProof/>
                <w:sz w:val="20"/>
              </w:rPr>
              <w:t>in close coordination with other DGs</w:t>
            </w:r>
            <w:r w:rsidR="005613B3">
              <w:rPr>
                <w:rFonts w:cstheme="minorHAnsi"/>
                <w:noProof/>
                <w:sz w:val="20"/>
              </w:rPr>
              <w:t xml:space="preserve"> </w:t>
            </w:r>
            <w:r w:rsidRPr="00363877">
              <w:rPr>
                <w:rFonts w:cstheme="minorHAnsi"/>
                <w:noProof/>
                <w:sz w:val="20"/>
              </w:rPr>
              <w:t xml:space="preserve">(DGs TAXUD, GROW, SANTE and JUST) to improve knowledge across the EU </w:t>
            </w:r>
            <w:r w:rsidR="005613B3" w:rsidRPr="00363877">
              <w:rPr>
                <w:rFonts w:cstheme="minorHAnsi"/>
                <w:noProof/>
                <w:sz w:val="20"/>
              </w:rPr>
              <w:t>o</w:t>
            </w:r>
            <w:r w:rsidR="005613B3">
              <w:rPr>
                <w:rFonts w:cstheme="minorHAnsi"/>
                <w:noProof/>
                <w:sz w:val="20"/>
              </w:rPr>
              <w:t>f</w:t>
            </w:r>
            <w:r w:rsidR="005613B3" w:rsidRPr="00363877">
              <w:rPr>
                <w:rFonts w:cstheme="minorHAnsi"/>
                <w:noProof/>
                <w:sz w:val="20"/>
              </w:rPr>
              <w:t xml:space="preserve"> </w:t>
            </w:r>
            <w:r w:rsidRPr="00363877">
              <w:rPr>
                <w:rFonts w:cstheme="minorHAnsi"/>
                <w:noProof/>
                <w:sz w:val="20"/>
              </w:rPr>
              <w:t>the process of allowing facemasks into the EU. S’CARE FACE ran from January to March 2021. During the operation, the participating Member States prevented 49 million counterfeit or substandard facemasks from entering the EU market.</w:t>
            </w:r>
          </w:p>
        </w:tc>
      </w:tr>
      <w:tr w:rsidR="00363877" w:rsidRPr="009909A5" w14:paraId="09D6D5F8"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18AE5DD2" w14:textId="77777777" w:rsidR="00363877" w:rsidRPr="002F6819" w:rsidRDefault="00363877" w:rsidP="00A27EF6">
            <w:pPr>
              <w:spacing w:after="0"/>
              <w:rPr>
                <w:rFonts w:cstheme="minorHAnsi"/>
                <w:noProof/>
                <w:sz w:val="20"/>
              </w:rPr>
            </w:pPr>
            <w:r w:rsidRPr="00363877">
              <w:rPr>
                <w:rFonts w:cstheme="minorHAnsi"/>
                <w:noProof/>
                <w:sz w:val="20"/>
              </w:rPr>
              <w:t>SCORPION II</w:t>
            </w:r>
          </w:p>
        </w:tc>
        <w:tc>
          <w:tcPr>
            <w:tcW w:w="7166" w:type="dxa"/>
          </w:tcPr>
          <w:p w14:paraId="745206AB" w14:textId="618211F1" w:rsidR="00363877" w:rsidRPr="002F6819" w:rsidRDefault="00A863FB" w:rsidP="002F3A1F">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Pr>
                <w:rFonts w:cstheme="minorHAnsi"/>
                <w:noProof/>
                <w:sz w:val="20"/>
              </w:rPr>
              <w:t>C</w:t>
            </w:r>
            <w:r w:rsidR="00363877" w:rsidRPr="00363877">
              <w:rPr>
                <w:rFonts w:cstheme="minorHAnsi"/>
                <w:noProof/>
                <w:sz w:val="20"/>
              </w:rPr>
              <w:t>o-organi</w:t>
            </w:r>
            <w:r>
              <w:rPr>
                <w:rFonts w:cstheme="minorHAnsi"/>
                <w:noProof/>
                <w:sz w:val="20"/>
              </w:rPr>
              <w:t>s</w:t>
            </w:r>
            <w:r w:rsidR="00363877" w:rsidRPr="00363877">
              <w:rPr>
                <w:rFonts w:cstheme="minorHAnsi"/>
                <w:noProof/>
                <w:sz w:val="20"/>
              </w:rPr>
              <w:t>ed by the European Union Border Assistance Mission to Moldova and Ukraine (EUBAM) and OLAF</w:t>
            </w:r>
            <w:r w:rsidR="002F3A1F">
              <w:rPr>
                <w:rFonts w:cstheme="minorHAnsi"/>
                <w:noProof/>
                <w:sz w:val="20"/>
              </w:rPr>
              <w:t>, this JCO,</w:t>
            </w:r>
            <w:r w:rsidR="00363877" w:rsidRPr="00363877">
              <w:rPr>
                <w:rFonts w:cstheme="minorHAnsi"/>
                <w:noProof/>
                <w:sz w:val="20"/>
              </w:rPr>
              <w:t xml:space="preserve"> target</w:t>
            </w:r>
            <w:r w:rsidR="002F3A1F">
              <w:rPr>
                <w:rFonts w:cstheme="minorHAnsi"/>
                <w:noProof/>
                <w:sz w:val="20"/>
              </w:rPr>
              <w:t>ing</w:t>
            </w:r>
            <w:r w:rsidR="00363877" w:rsidRPr="00363877">
              <w:rPr>
                <w:rFonts w:cstheme="minorHAnsi"/>
                <w:noProof/>
                <w:sz w:val="20"/>
              </w:rPr>
              <w:t xml:space="preserve"> the smuggling of tobacco products at the EU</w:t>
            </w:r>
            <w:r w:rsidR="002F3A1F">
              <w:rPr>
                <w:rFonts w:cstheme="minorHAnsi"/>
                <w:noProof/>
                <w:sz w:val="20"/>
              </w:rPr>
              <w:t>’s</w:t>
            </w:r>
            <w:r w:rsidR="00363877" w:rsidRPr="00363877">
              <w:rPr>
                <w:rFonts w:cstheme="minorHAnsi"/>
                <w:noProof/>
                <w:sz w:val="20"/>
              </w:rPr>
              <w:t xml:space="preserve"> eastern border</w:t>
            </w:r>
            <w:r w:rsidR="002F3A1F">
              <w:rPr>
                <w:rFonts w:cstheme="minorHAnsi"/>
                <w:noProof/>
                <w:sz w:val="20"/>
              </w:rPr>
              <w:t>,</w:t>
            </w:r>
            <w:r w:rsidR="00363877" w:rsidRPr="00363877">
              <w:rPr>
                <w:rFonts w:cstheme="minorHAnsi"/>
                <w:noProof/>
                <w:sz w:val="20"/>
              </w:rPr>
              <w:t xml:space="preserve"> resulted in the seizures of 8</w:t>
            </w:r>
            <w:r w:rsidR="001950F8">
              <w:rPr>
                <w:rFonts w:cstheme="minorHAnsi"/>
                <w:noProof/>
                <w:sz w:val="20"/>
              </w:rPr>
              <w:t>.</w:t>
            </w:r>
            <w:r w:rsidR="00363877" w:rsidRPr="00363877">
              <w:rPr>
                <w:rFonts w:cstheme="minorHAnsi"/>
                <w:noProof/>
                <w:sz w:val="20"/>
              </w:rPr>
              <w:t>5 million cigarettes.</w:t>
            </w:r>
          </w:p>
        </w:tc>
      </w:tr>
      <w:tr w:rsidR="00363877" w:rsidRPr="009909A5" w14:paraId="09A779CC"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1DB4AB6" w14:textId="77777777" w:rsidR="00363877" w:rsidRPr="002F6819" w:rsidRDefault="00363877" w:rsidP="00A27EF6">
            <w:pPr>
              <w:spacing w:after="0"/>
              <w:rPr>
                <w:rFonts w:cstheme="minorHAnsi"/>
                <w:noProof/>
                <w:sz w:val="20"/>
              </w:rPr>
            </w:pPr>
            <w:r w:rsidRPr="00363877">
              <w:rPr>
                <w:rFonts w:cstheme="minorHAnsi"/>
                <w:noProof/>
                <w:sz w:val="20"/>
              </w:rPr>
              <w:t>POSTBOX III</w:t>
            </w:r>
          </w:p>
        </w:tc>
        <w:tc>
          <w:tcPr>
            <w:tcW w:w="7166" w:type="dxa"/>
          </w:tcPr>
          <w:p w14:paraId="24CDE3C3" w14:textId="536298BC" w:rsidR="00363877" w:rsidRPr="002F6819"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Pr>
                <w:rFonts w:cstheme="minorHAnsi"/>
                <w:noProof/>
                <w:sz w:val="20"/>
              </w:rPr>
              <w:t>C</w:t>
            </w:r>
            <w:r w:rsidR="00363877" w:rsidRPr="00363877">
              <w:rPr>
                <w:rFonts w:cstheme="minorHAnsi"/>
                <w:noProof/>
                <w:sz w:val="20"/>
              </w:rPr>
              <w:t xml:space="preserve">o-organised by </w:t>
            </w:r>
            <w:r w:rsidR="0032188D">
              <w:rPr>
                <w:rFonts w:cstheme="minorHAnsi"/>
                <w:noProof/>
                <w:sz w:val="20"/>
              </w:rPr>
              <w:t xml:space="preserve">the </w:t>
            </w:r>
            <w:r w:rsidR="00363877" w:rsidRPr="00363877">
              <w:rPr>
                <w:rFonts w:cstheme="minorHAnsi"/>
                <w:noProof/>
                <w:sz w:val="20"/>
              </w:rPr>
              <w:t xml:space="preserve">Italian </w:t>
            </w:r>
            <w:r w:rsidR="0032188D">
              <w:rPr>
                <w:rFonts w:cstheme="minorHAnsi"/>
                <w:noProof/>
                <w:sz w:val="20"/>
              </w:rPr>
              <w:t>c</w:t>
            </w:r>
            <w:r w:rsidR="0032188D" w:rsidRPr="00363877">
              <w:rPr>
                <w:rFonts w:cstheme="minorHAnsi"/>
                <w:noProof/>
                <w:sz w:val="20"/>
              </w:rPr>
              <w:t xml:space="preserve">ustoms </w:t>
            </w:r>
            <w:r w:rsidR="00363877" w:rsidRPr="00363877">
              <w:rPr>
                <w:rFonts w:cstheme="minorHAnsi"/>
                <w:noProof/>
                <w:sz w:val="20"/>
              </w:rPr>
              <w:t>and Guardia di Finanza with the support of OLAF</w:t>
            </w:r>
            <w:r w:rsidR="0032188D">
              <w:rPr>
                <w:rFonts w:cstheme="minorHAnsi"/>
                <w:noProof/>
                <w:sz w:val="20"/>
              </w:rPr>
              <w:t>,</w:t>
            </w:r>
            <w:r w:rsidR="00363877" w:rsidRPr="00363877">
              <w:rPr>
                <w:rFonts w:cstheme="minorHAnsi"/>
                <w:noProof/>
                <w:sz w:val="20"/>
              </w:rPr>
              <w:t xml:space="preserve"> the collaboration of Europol and the participation of 20 Member States. The operation focused on the illegal trade of counterfeit products, pharmaceutical products and COVID-19 related goods, drugs, endangered animal and plant species, and goods undervaluation using both the open and the </w:t>
            </w:r>
            <w:r w:rsidR="0032188D">
              <w:rPr>
                <w:rFonts w:cstheme="minorHAnsi"/>
                <w:noProof/>
                <w:sz w:val="20"/>
              </w:rPr>
              <w:t>d</w:t>
            </w:r>
            <w:r w:rsidR="0032188D" w:rsidRPr="00363877">
              <w:rPr>
                <w:rFonts w:cstheme="minorHAnsi"/>
                <w:noProof/>
                <w:sz w:val="20"/>
              </w:rPr>
              <w:t xml:space="preserve">ark </w:t>
            </w:r>
            <w:r w:rsidR="0032188D">
              <w:rPr>
                <w:rFonts w:cstheme="minorHAnsi"/>
                <w:noProof/>
                <w:sz w:val="20"/>
              </w:rPr>
              <w:t>w</w:t>
            </w:r>
            <w:r w:rsidR="0032188D" w:rsidRPr="00363877">
              <w:rPr>
                <w:rFonts w:cstheme="minorHAnsi"/>
                <w:noProof/>
                <w:sz w:val="20"/>
              </w:rPr>
              <w:t>eb</w:t>
            </w:r>
            <w:r w:rsidR="00363877" w:rsidRPr="00363877">
              <w:rPr>
                <w:rFonts w:cstheme="minorHAnsi"/>
                <w:noProof/>
                <w:sz w:val="20"/>
              </w:rPr>
              <w:t xml:space="preserve">. The operation led to the detention of </w:t>
            </w:r>
            <w:r w:rsidR="0032188D">
              <w:rPr>
                <w:rFonts w:cstheme="minorHAnsi"/>
                <w:noProof/>
                <w:sz w:val="20"/>
              </w:rPr>
              <w:t>over</w:t>
            </w:r>
            <w:r w:rsidR="00363877" w:rsidRPr="00363877">
              <w:rPr>
                <w:rFonts w:cstheme="minorHAnsi"/>
                <w:noProof/>
                <w:sz w:val="20"/>
              </w:rPr>
              <w:t xml:space="preserve"> 1</w:t>
            </w:r>
            <w:r w:rsidR="00363877">
              <w:rPr>
                <w:rFonts w:cstheme="minorHAnsi"/>
                <w:noProof/>
                <w:sz w:val="20"/>
              </w:rPr>
              <w:t> </w:t>
            </w:r>
            <w:r w:rsidR="00363877" w:rsidRPr="00363877">
              <w:rPr>
                <w:rFonts w:cstheme="minorHAnsi"/>
                <w:noProof/>
                <w:sz w:val="20"/>
              </w:rPr>
              <w:t>400 shipments of illicit goods, including over 35</w:t>
            </w:r>
            <w:r w:rsidR="00363877">
              <w:rPr>
                <w:rFonts w:cstheme="minorHAnsi"/>
                <w:noProof/>
                <w:sz w:val="20"/>
              </w:rPr>
              <w:t> </w:t>
            </w:r>
            <w:r w:rsidR="00363877" w:rsidRPr="00363877">
              <w:rPr>
                <w:rFonts w:cstheme="minorHAnsi"/>
                <w:noProof/>
                <w:sz w:val="20"/>
              </w:rPr>
              <w:t xml:space="preserve">000 pieces of counterfeit goods, counterfeit bank notes </w:t>
            </w:r>
            <w:r w:rsidR="0032188D">
              <w:rPr>
                <w:rFonts w:cstheme="minorHAnsi"/>
                <w:noProof/>
                <w:sz w:val="20"/>
              </w:rPr>
              <w:t>with</w:t>
            </w:r>
            <w:r w:rsidR="0032188D" w:rsidRPr="00363877">
              <w:rPr>
                <w:rFonts w:cstheme="minorHAnsi"/>
                <w:noProof/>
                <w:sz w:val="20"/>
              </w:rPr>
              <w:t xml:space="preserve"> </w:t>
            </w:r>
            <w:r w:rsidR="00363877" w:rsidRPr="00363877">
              <w:rPr>
                <w:rFonts w:cstheme="minorHAnsi"/>
                <w:noProof/>
                <w:sz w:val="20"/>
              </w:rPr>
              <w:t xml:space="preserve">an approximate value of </w:t>
            </w:r>
            <w:r w:rsidR="00363877">
              <w:rPr>
                <w:rFonts w:cstheme="minorHAnsi"/>
                <w:noProof/>
                <w:sz w:val="20"/>
              </w:rPr>
              <w:t xml:space="preserve">EUR </w:t>
            </w:r>
            <w:r w:rsidR="00363877" w:rsidRPr="00363877">
              <w:rPr>
                <w:rFonts w:cstheme="minorHAnsi"/>
                <w:noProof/>
                <w:sz w:val="20"/>
              </w:rPr>
              <w:t>240</w:t>
            </w:r>
            <w:r w:rsidR="00363877">
              <w:rPr>
                <w:rFonts w:cstheme="minorHAnsi"/>
                <w:noProof/>
                <w:sz w:val="20"/>
              </w:rPr>
              <w:t> </w:t>
            </w:r>
            <w:r w:rsidR="00363877" w:rsidRPr="00363877">
              <w:rPr>
                <w:rFonts w:cstheme="minorHAnsi"/>
                <w:noProof/>
                <w:sz w:val="20"/>
              </w:rPr>
              <w:t xml:space="preserve">000, </w:t>
            </w:r>
            <w:r w:rsidR="0032188D">
              <w:rPr>
                <w:rFonts w:cstheme="minorHAnsi"/>
                <w:noProof/>
                <w:sz w:val="20"/>
              </w:rPr>
              <w:t>over</w:t>
            </w:r>
            <w:r w:rsidR="00363877" w:rsidRPr="00363877">
              <w:rPr>
                <w:rFonts w:cstheme="minorHAnsi"/>
                <w:noProof/>
                <w:sz w:val="20"/>
              </w:rPr>
              <w:t xml:space="preserve"> 1</w:t>
            </w:r>
            <w:r w:rsidR="00363877">
              <w:rPr>
                <w:rFonts w:cstheme="minorHAnsi"/>
                <w:noProof/>
                <w:sz w:val="20"/>
              </w:rPr>
              <w:t> </w:t>
            </w:r>
            <w:r w:rsidR="00363877" w:rsidRPr="00363877">
              <w:rPr>
                <w:rFonts w:cstheme="minorHAnsi"/>
                <w:noProof/>
                <w:sz w:val="20"/>
              </w:rPr>
              <w:t>500 items of COVID-19 related materials, 240 kg of smuggled cigarettes and tobacco and over 20 kg of cannabis and marijuana.</w:t>
            </w:r>
          </w:p>
        </w:tc>
      </w:tr>
      <w:tr w:rsidR="00363877" w:rsidRPr="009909A5" w14:paraId="513A7116"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78F8454C" w14:textId="77777777" w:rsidR="00363877" w:rsidRPr="002F6819" w:rsidRDefault="00363877" w:rsidP="00A27EF6">
            <w:pPr>
              <w:spacing w:after="0"/>
              <w:rPr>
                <w:rFonts w:cstheme="minorHAnsi"/>
                <w:noProof/>
                <w:sz w:val="20"/>
              </w:rPr>
            </w:pPr>
            <w:r w:rsidRPr="00363877">
              <w:rPr>
                <w:rFonts w:cstheme="minorHAnsi"/>
                <w:noProof/>
                <w:sz w:val="20"/>
              </w:rPr>
              <w:t>ATHENA V</w:t>
            </w:r>
          </w:p>
        </w:tc>
        <w:tc>
          <w:tcPr>
            <w:tcW w:w="7166" w:type="dxa"/>
          </w:tcPr>
          <w:p w14:paraId="67876BAB" w14:textId="6DA2E0F4" w:rsidR="00363877" w:rsidRPr="002F6819" w:rsidRDefault="0032188D"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Pr>
                <w:rFonts w:cstheme="minorHAnsi"/>
                <w:noProof/>
                <w:sz w:val="20"/>
              </w:rPr>
              <w:t>O</w:t>
            </w:r>
            <w:r w:rsidR="00363877" w:rsidRPr="00363877">
              <w:rPr>
                <w:rFonts w:cstheme="minorHAnsi"/>
                <w:noProof/>
                <w:sz w:val="20"/>
              </w:rPr>
              <w:t xml:space="preserve">n the </w:t>
            </w:r>
            <w:r>
              <w:rPr>
                <w:rFonts w:cstheme="minorHAnsi"/>
                <w:noProof/>
                <w:sz w:val="20"/>
              </w:rPr>
              <w:t xml:space="preserve">smuggling of </w:t>
            </w:r>
            <w:r w:rsidR="00363877" w:rsidRPr="00363877">
              <w:rPr>
                <w:rFonts w:cstheme="minorHAnsi"/>
                <w:noProof/>
                <w:sz w:val="20"/>
              </w:rPr>
              <w:t xml:space="preserve">cash in the EU using courier, postal and parcel services. This operation was coordinated by the Spanish </w:t>
            </w:r>
            <w:r>
              <w:rPr>
                <w:rFonts w:cstheme="minorHAnsi"/>
                <w:noProof/>
                <w:sz w:val="20"/>
              </w:rPr>
              <w:t>c</w:t>
            </w:r>
            <w:r w:rsidRPr="00363877">
              <w:rPr>
                <w:rFonts w:cstheme="minorHAnsi"/>
                <w:noProof/>
                <w:sz w:val="20"/>
              </w:rPr>
              <w:t xml:space="preserve">ustoms </w:t>
            </w:r>
            <w:r>
              <w:rPr>
                <w:rFonts w:cstheme="minorHAnsi"/>
                <w:noProof/>
                <w:sz w:val="20"/>
              </w:rPr>
              <w:t>a</w:t>
            </w:r>
            <w:r w:rsidRPr="00363877">
              <w:rPr>
                <w:rFonts w:cstheme="minorHAnsi"/>
                <w:noProof/>
                <w:sz w:val="20"/>
              </w:rPr>
              <w:t xml:space="preserve">dministration </w:t>
            </w:r>
            <w:r w:rsidR="00363877" w:rsidRPr="00363877">
              <w:rPr>
                <w:rFonts w:cstheme="minorHAnsi"/>
                <w:noProof/>
                <w:sz w:val="20"/>
              </w:rPr>
              <w:t>with the support of OLAF and the involvement of 13 Member States and Europol. More than 14</w:t>
            </w:r>
            <w:r w:rsidR="00363877">
              <w:rPr>
                <w:rFonts w:cstheme="minorHAnsi"/>
                <w:noProof/>
                <w:sz w:val="20"/>
              </w:rPr>
              <w:t> </w:t>
            </w:r>
            <w:r w:rsidR="00363877" w:rsidRPr="00363877">
              <w:rPr>
                <w:rFonts w:cstheme="minorHAnsi"/>
                <w:noProof/>
                <w:sz w:val="20"/>
              </w:rPr>
              <w:t>000 packages were controlled during the operation. The evaluation of the results is ongoing.</w:t>
            </w:r>
          </w:p>
        </w:tc>
      </w:tr>
      <w:tr w:rsidR="00363877" w:rsidRPr="009909A5" w14:paraId="029009B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A113D65" w14:textId="77777777" w:rsidR="00363877" w:rsidRPr="002F6819" w:rsidRDefault="00363877" w:rsidP="00A27EF6">
            <w:pPr>
              <w:spacing w:after="0"/>
              <w:rPr>
                <w:rFonts w:cstheme="minorHAnsi"/>
                <w:noProof/>
                <w:sz w:val="20"/>
              </w:rPr>
            </w:pPr>
            <w:r w:rsidRPr="00363877">
              <w:rPr>
                <w:rFonts w:cstheme="minorHAnsi"/>
                <w:noProof/>
                <w:sz w:val="20"/>
              </w:rPr>
              <w:t>ARKTOS 3</w:t>
            </w:r>
          </w:p>
        </w:tc>
        <w:tc>
          <w:tcPr>
            <w:tcW w:w="7166" w:type="dxa"/>
          </w:tcPr>
          <w:p w14:paraId="126D34D2" w14:textId="1C9CE11C" w:rsidR="00363877" w:rsidRPr="002F6819" w:rsidRDefault="00363877"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Pr>
                <w:rFonts w:cstheme="minorHAnsi"/>
                <w:noProof/>
                <w:sz w:val="20"/>
              </w:rPr>
              <w:t>J</w:t>
            </w:r>
            <w:r w:rsidRPr="00363877">
              <w:rPr>
                <w:rFonts w:cstheme="minorHAnsi"/>
                <w:noProof/>
                <w:sz w:val="20"/>
              </w:rPr>
              <w:t xml:space="preserve">oint action led by FRONTEX, the European Border and Coast Guard Agency, and co-led by Lithuania and Poland supported by INTERPOL, OLAF, Eurojust and Europol along with border guards, police and customs officers from Estonia, Finland, Latvia, Slovakia and Sweden. It targeted excise fraud, particularly tobacco smuggling, document fraud and migrant smuggling at selected border crossing points at </w:t>
            </w:r>
            <w:r w:rsidR="0032188D">
              <w:rPr>
                <w:rFonts w:cstheme="minorHAnsi"/>
                <w:noProof/>
                <w:sz w:val="20"/>
              </w:rPr>
              <w:t xml:space="preserve">the </w:t>
            </w:r>
            <w:r w:rsidRPr="00363877">
              <w:rPr>
                <w:rFonts w:cstheme="minorHAnsi"/>
                <w:noProof/>
                <w:sz w:val="20"/>
              </w:rPr>
              <w:t xml:space="preserve">EU’s eastern land borders. As a result of the action, law enforcement authorities detected more than 400 innovative tobacco products, such as electronic cigarettes and e-liquids. Among the illegal goods </w:t>
            </w:r>
            <w:r w:rsidR="0032188D" w:rsidRPr="00363877">
              <w:rPr>
                <w:rFonts w:cstheme="minorHAnsi"/>
                <w:noProof/>
                <w:sz w:val="20"/>
              </w:rPr>
              <w:t xml:space="preserve">seized </w:t>
            </w:r>
            <w:r w:rsidRPr="00363877">
              <w:rPr>
                <w:rFonts w:cstheme="minorHAnsi"/>
                <w:noProof/>
                <w:sz w:val="20"/>
              </w:rPr>
              <w:t>were 6.7 million illegal cigarettes and 2.6 tonnes of raw tobacco, along with half-a-tonne of illegal drugs. Fifteen smugglers were arrested, and more than 200 forged documents detected.</w:t>
            </w:r>
          </w:p>
        </w:tc>
      </w:tr>
      <w:tr w:rsidR="00363877" w:rsidRPr="009909A5" w14:paraId="12B56116"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6AD0CE59" w14:textId="77777777" w:rsidR="00363877" w:rsidRPr="002F6819" w:rsidRDefault="00363877" w:rsidP="00A27EF6">
            <w:pPr>
              <w:spacing w:after="0"/>
              <w:rPr>
                <w:rFonts w:cstheme="minorHAnsi"/>
                <w:noProof/>
                <w:sz w:val="20"/>
              </w:rPr>
            </w:pPr>
            <w:r w:rsidRPr="00363877">
              <w:rPr>
                <w:rFonts w:cstheme="minorHAnsi"/>
                <w:noProof/>
                <w:sz w:val="20"/>
              </w:rPr>
              <w:t>Joint CELBET Activity 8</w:t>
            </w:r>
          </w:p>
        </w:tc>
        <w:tc>
          <w:tcPr>
            <w:tcW w:w="7166" w:type="dxa"/>
          </w:tcPr>
          <w:p w14:paraId="6789209F" w14:textId="1E45214D" w:rsidR="00363877" w:rsidRPr="002F6819" w:rsidRDefault="00A863FB"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Pr>
                <w:rFonts w:cstheme="minorHAnsi"/>
                <w:noProof/>
                <w:sz w:val="20"/>
              </w:rPr>
              <w:t>O</w:t>
            </w:r>
            <w:r w:rsidR="00363877" w:rsidRPr="00363877">
              <w:rPr>
                <w:rFonts w:cstheme="minorHAnsi"/>
                <w:noProof/>
                <w:sz w:val="20"/>
              </w:rPr>
              <w:t xml:space="preserve">rganised by the Customs Eastern and South Eastern Land Border Expert Team (CELBET) with the support of OLAF. It focused on controls of cash, and the detection of illegal cigarettes and other tobacco products as well as counterfeit parts of vehicles, clothes, shoes and cosmetics entering the EU </w:t>
            </w:r>
            <w:r w:rsidR="0032188D">
              <w:rPr>
                <w:rFonts w:cstheme="minorHAnsi"/>
                <w:noProof/>
                <w:sz w:val="20"/>
              </w:rPr>
              <w:t>through its e</w:t>
            </w:r>
            <w:r w:rsidR="00363877" w:rsidRPr="00363877">
              <w:rPr>
                <w:rFonts w:cstheme="minorHAnsi"/>
                <w:noProof/>
                <w:sz w:val="20"/>
              </w:rPr>
              <w:t>astern border.</w:t>
            </w:r>
          </w:p>
        </w:tc>
      </w:tr>
      <w:tr w:rsidR="00363877" w:rsidRPr="009909A5" w14:paraId="5FC78453"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35A3CFE" w14:textId="77777777" w:rsidR="00363877" w:rsidRPr="002F6819" w:rsidRDefault="00363877" w:rsidP="00A27EF6">
            <w:pPr>
              <w:spacing w:after="0"/>
              <w:rPr>
                <w:rFonts w:cstheme="minorHAnsi"/>
                <w:noProof/>
                <w:sz w:val="20"/>
              </w:rPr>
            </w:pPr>
            <w:r w:rsidRPr="00363877">
              <w:rPr>
                <w:rFonts w:cstheme="minorHAnsi"/>
                <w:noProof/>
                <w:sz w:val="20"/>
              </w:rPr>
              <w:t>STOP II</w:t>
            </w:r>
          </w:p>
        </w:tc>
        <w:tc>
          <w:tcPr>
            <w:tcW w:w="7166" w:type="dxa"/>
          </w:tcPr>
          <w:p w14:paraId="47E2B85C" w14:textId="782E1189" w:rsidR="00363877"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Pr>
                <w:rFonts w:cstheme="minorHAnsi"/>
                <w:noProof/>
                <w:sz w:val="20"/>
              </w:rPr>
              <w:t>O</w:t>
            </w:r>
            <w:r w:rsidR="00363877" w:rsidRPr="00363877">
              <w:rPr>
                <w:rFonts w:cstheme="minorHAnsi"/>
                <w:noProof/>
                <w:sz w:val="20"/>
              </w:rPr>
              <w:t>rganised by the WCO</w:t>
            </w:r>
            <w:r w:rsidR="0032188D">
              <w:rPr>
                <w:rFonts w:cstheme="minorHAnsi"/>
                <w:noProof/>
                <w:sz w:val="20"/>
              </w:rPr>
              <w:t>, this</w:t>
            </w:r>
            <w:r w:rsidR="00363877" w:rsidRPr="00363877">
              <w:rPr>
                <w:rFonts w:cstheme="minorHAnsi"/>
                <w:noProof/>
                <w:sz w:val="20"/>
              </w:rPr>
              <w:t xml:space="preserve"> was the largest-ever customs-led global operation involving 146 Member </w:t>
            </w:r>
            <w:r w:rsidR="0032188D">
              <w:rPr>
                <w:rFonts w:cstheme="minorHAnsi"/>
                <w:noProof/>
                <w:sz w:val="20"/>
              </w:rPr>
              <w:t>c</w:t>
            </w:r>
            <w:r w:rsidR="0032188D" w:rsidRPr="00363877">
              <w:rPr>
                <w:rFonts w:cstheme="minorHAnsi"/>
                <w:noProof/>
                <w:sz w:val="20"/>
              </w:rPr>
              <w:t xml:space="preserve">ustoms </w:t>
            </w:r>
            <w:r w:rsidR="00363877" w:rsidRPr="00363877">
              <w:rPr>
                <w:rFonts w:cstheme="minorHAnsi"/>
                <w:noProof/>
                <w:sz w:val="20"/>
              </w:rPr>
              <w:t>administrations, with the support of Europol, INTERPOL, the United Nations Office on Drugs and Crime (UNODC) and the W</w:t>
            </w:r>
            <w:r w:rsidR="0032188D">
              <w:rPr>
                <w:rFonts w:cstheme="minorHAnsi"/>
                <w:noProof/>
                <w:sz w:val="20"/>
              </w:rPr>
              <w:t>orld Health Organization (W</w:t>
            </w:r>
            <w:r w:rsidR="00363877" w:rsidRPr="00363877">
              <w:rPr>
                <w:rFonts w:cstheme="minorHAnsi"/>
                <w:noProof/>
                <w:sz w:val="20"/>
              </w:rPr>
              <w:t>HO</w:t>
            </w:r>
            <w:r w:rsidR="0032188D">
              <w:rPr>
                <w:rFonts w:cstheme="minorHAnsi"/>
                <w:noProof/>
                <w:sz w:val="20"/>
              </w:rPr>
              <w:t>)</w:t>
            </w:r>
            <w:r w:rsidR="00363877" w:rsidRPr="00363877">
              <w:rPr>
                <w:rFonts w:cstheme="minorHAnsi"/>
                <w:noProof/>
                <w:sz w:val="20"/>
              </w:rPr>
              <w:t xml:space="preserve">, together with pharmaceutical companies and other private-sector actors. The </w:t>
            </w:r>
            <w:r w:rsidR="0032188D">
              <w:rPr>
                <w:rFonts w:cstheme="minorHAnsi"/>
                <w:noProof/>
                <w:sz w:val="20"/>
              </w:rPr>
              <w:t xml:space="preserve">operation’s </w:t>
            </w:r>
            <w:r w:rsidR="00363877" w:rsidRPr="00363877">
              <w:rPr>
                <w:rFonts w:cstheme="minorHAnsi"/>
                <w:noProof/>
                <w:sz w:val="20"/>
              </w:rPr>
              <w:t xml:space="preserve">target was illicit trade in medicines, vaccines and medical devices related to COVID-19. </w:t>
            </w:r>
            <w:r w:rsidR="0032188D">
              <w:rPr>
                <w:rFonts w:cstheme="minorHAnsi"/>
                <w:noProof/>
                <w:sz w:val="20"/>
              </w:rPr>
              <w:t xml:space="preserve">It </w:t>
            </w:r>
            <w:r w:rsidR="00363877" w:rsidRPr="00363877">
              <w:rPr>
                <w:rFonts w:cstheme="minorHAnsi"/>
                <w:noProof/>
                <w:sz w:val="20"/>
              </w:rPr>
              <w:t xml:space="preserve">resulted in </w:t>
            </w:r>
            <w:r w:rsidR="0032188D">
              <w:rPr>
                <w:rFonts w:cstheme="minorHAnsi"/>
                <w:noProof/>
                <w:sz w:val="20"/>
              </w:rPr>
              <w:t xml:space="preserve">the seizure of </w:t>
            </w:r>
            <w:r w:rsidR="00363877" w:rsidRPr="00363877">
              <w:rPr>
                <w:rFonts w:cstheme="minorHAnsi"/>
                <w:noProof/>
                <w:sz w:val="20"/>
              </w:rPr>
              <w:t xml:space="preserve">365.7 million units, of which 195.5 million medicines related to COVID-19, 156.7 million medical devices (such as COVID-19 test kits, face masks, used gloves, </w:t>
            </w:r>
            <w:r w:rsidR="0032188D" w:rsidRPr="00363877">
              <w:rPr>
                <w:rFonts w:cstheme="minorHAnsi"/>
                <w:noProof/>
                <w:sz w:val="20"/>
              </w:rPr>
              <w:t>saniti</w:t>
            </w:r>
            <w:r w:rsidR="0032188D">
              <w:rPr>
                <w:rFonts w:cstheme="minorHAnsi"/>
                <w:noProof/>
                <w:sz w:val="20"/>
              </w:rPr>
              <w:t>s</w:t>
            </w:r>
            <w:r w:rsidR="0032188D" w:rsidRPr="00363877">
              <w:rPr>
                <w:rFonts w:cstheme="minorHAnsi"/>
                <w:noProof/>
                <w:sz w:val="20"/>
              </w:rPr>
              <w:t xml:space="preserve">er </w:t>
            </w:r>
            <w:r w:rsidR="00363877" w:rsidRPr="00363877">
              <w:rPr>
                <w:rFonts w:cstheme="minorHAnsi"/>
                <w:noProof/>
                <w:sz w:val="20"/>
              </w:rPr>
              <w:t>gel and oxygen cylinders) and around 13.5 million doses of COVID-19 vaccines.</w:t>
            </w:r>
          </w:p>
        </w:tc>
      </w:tr>
      <w:tr w:rsidR="00363877" w:rsidRPr="009909A5" w14:paraId="58A9E471"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042C5B5E" w14:textId="77777777" w:rsidR="00363877" w:rsidRPr="002F6819" w:rsidRDefault="00363877" w:rsidP="00A27EF6">
            <w:pPr>
              <w:spacing w:after="0"/>
              <w:rPr>
                <w:rFonts w:cstheme="minorHAnsi"/>
                <w:b w:val="0"/>
                <w:noProof/>
                <w:sz w:val="20"/>
              </w:rPr>
            </w:pPr>
            <w:r w:rsidRPr="002F6819">
              <w:rPr>
                <w:rFonts w:cstheme="minorHAnsi"/>
                <w:noProof/>
                <w:sz w:val="20"/>
              </w:rPr>
              <w:t>LUDUS</w:t>
            </w:r>
            <w:r>
              <w:rPr>
                <w:rFonts w:cstheme="minorHAnsi"/>
                <w:noProof/>
                <w:sz w:val="20"/>
              </w:rPr>
              <w:t xml:space="preserve"> II</w:t>
            </w:r>
          </w:p>
        </w:tc>
        <w:tc>
          <w:tcPr>
            <w:tcW w:w="7166" w:type="dxa"/>
          </w:tcPr>
          <w:p w14:paraId="34B9D840" w14:textId="1A63A850" w:rsidR="00363877" w:rsidRPr="002F6819" w:rsidRDefault="00363877" w:rsidP="0032188D">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sidRPr="00363877">
              <w:rPr>
                <w:rFonts w:cstheme="minorHAnsi"/>
                <w:noProof/>
                <w:sz w:val="20"/>
              </w:rPr>
              <w:t xml:space="preserve">Organised by Europol with the participation of OLAF, the European Union Intellectual Property Office (EUIPO), the WCO and 21 countries. It led to the seizure of over 5 million fake and illegal toys, worth </w:t>
            </w:r>
            <w:r>
              <w:rPr>
                <w:rFonts w:cstheme="minorHAnsi"/>
                <w:noProof/>
                <w:sz w:val="20"/>
              </w:rPr>
              <w:t xml:space="preserve">EUR </w:t>
            </w:r>
            <w:r w:rsidRPr="00363877">
              <w:rPr>
                <w:rFonts w:cstheme="minorHAnsi"/>
                <w:noProof/>
                <w:sz w:val="20"/>
              </w:rPr>
              <w:t xml:space="preserve">18 million. The seized goods </w:t>
            </w:r>
            <w:r w:rsidR="0032188D">
              <w:rPr>
                <w:rFonts w:cstheme="minorHAnsi"/>
                <w:noProof/>
                <w:sz w:val="20"/>
              </w:rPr>
              <w:t>posed</w:t>
            </w:r>
            <w:r w:rsidR="0032188D" w:rsidRPr="00363877">
              <w:rPr>
                <w:rFonts w:cstheme="minorHAnsi"/>
                <w:noProof/>
                <w:sz w:val="20"/>
              </w:rPr>
              <w:t xml:space="preserve"> </w:t>
            </w:r>
            <w:r w:rsidRPr="00363877">
              <w:rPr>
                <w:rFonts w:cstheme="minorHAnsi"/>
                <w:noProof/>
                <w:sz w:val="20"/>
              </w:rPr>
              <w:t>risks such as chemical exposure, strangulation, choking, electric shock, damage to hearing and fire hazards.</w:t>
            </w:r>
          </w:p>
        </w:tc>
      </w:tr>
      <w:tr w:rsidR="00363877" w:rsidRPr="009909A5" w14:paraId="3512547B"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8ADB10D" w14:textId="77777777" w:rsidR="00363877" w:rsidRPr="002F6819" w:rsidRDefault="00363877" w:rsidP="00A27EF6">
            <w:pPr>
              <w:spacing w:after="0"/>
              <w:rPr>
                <w:rFonts w:cstheme="minorHAnsi"/>
                <w:noProof/>
                <w:sz w:val="20"/>
              </w:rPr>
            </w:pPr>
            <w:r w:rsidRPr="00363877">
              <w:rPr>
                <w:rFonts w:cstheme="minorHAnsi"/>
                <w:noProof/>
                <w:sz w:val="20"/>
              </w:rPr>
              <w:t>OPSON X</w:t>
            </w:r>
          </w:p>
        </w:tc>
        <w:tc>
          <w:tcPr>
            <w:tcW w:w="7166" w:type="dxa"/>
          </w:tcPr>
          <w:p w14:paraId="0A6DE5B7" w14:textId="7C3CBC22" w:rsidR="00363877" w:rsidRPr="00363877" w:rsidRDefault="00363877"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sidRPr="00363877">
              <w:rPr>
                <w:rFonts w:cstheme="minorHAnsi"/>
                <w:noProof/>
                <w:sz w:val="20"/>
              </w:rPr>
              <w:t>Europol/INTERPOL joint operation targeting fake and substandard food and beverages</w:t>
            </w:r>
            <w:r w:rsidR="00A863FB">
              <w:rPr>
                <w:rFonts w:cstheme="minorHAnsi"/>
                <w:noProof/>
                <w:sz w:val="20"/>
              </w:rPr>
              <w:t>.</w:t>
            </w:r>
            <w:r w:rsidRPr="00363877">
              <w:rPr>
                <w:rFonts w:cstheme="minorHAnsi"/>
                <w:noProof/>
                <w:sz w:val="20"/>
              </w:rPr>
              <w:t xml:space="preserve"> OLAF led a targeted action on wine and alcoholic beverages and coordinated the work of 19 Member States and 3 non-EU countries. This action resulted in the seizure of nearly 1.8 million litres of wine and alcoholic beverages by European customs and police authorities: 215</w:t>
            </w:r>
            <w:r>
              <w:rPr>
                <w:rFonts w:cstheme="minorHAnsi"/>
                <w:noProof/>
                <w:sz w:val="20"/>
              </w:rPr>
              <w:t> </w:t>
            </w:r>
            <w:r w:rsidRPr="00363877">
              <w:rPr>
                <w:rFonts w:cstheme="minorHAnsi"/>
                <w:noProof/>
                <w:sz w:val="20"/>
              </w:rPr>
              <w:t>000 litres of counterfeit alcoholic beverages, mostly wine and vodka; and 1</w:t>
            </w:r>
            <w:r>
              <w:rPr>
                <w:rFonts w:cstheme="minorHAnsi"/>
                <w:noProof/>
                <w:sz w:val="20"/>
              </w:rPr>
              <w:t> </w:t>
            </w:r>
            <w:r w:rsidRPr="00363877">
              <w:rPr>
                <w:rFonts w:cstheme="minorHAnsi"/>
                <w:noProof/>
                <w:sz w:val="20"/>
              </w:rPr>
              <w:t>550</w:t>
            </w:r>
            <w:r>
              <w:rPr>
                <w:rFonts w:cstheme="minorHAnsi"/>
                <w:noProof/>
                <w:sz w:val="20"/>
              </w:rPr>
              <w:t> </w:t>
            </w:r>
            <w:r w:rsidRPr="00363877">
              <w:rPr>
                <w:rFonts w:cstheme="minorHAnsi"/>
                <w:noProof/>
                <w:sz w:val="20"/>
              </w:rPr>
              <w:t>000 litres of various alcoholic beverages, wines and beers, infringing fiscal rules or food safety standards.</w:t>
            </w:r>
          </w:p>
        </w:tc>
      </w:tr>
      <w:tr w:rsidR="00363877" w:rsidRPr="009909A5" w14:paraId="7FB9F1E9"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1B3FB29A" w14:textId="77777777" w:rsidR="00363877" w:rsidRPr="00363877" w:rsidRDefault="00363877" w:rsidP="00A27EF6">
            <w:pPr>
              <w:spacing w:after="0"/>
              <w:rPr>
                <w:rFonts w:cstheme="minorHAnsi"/>
                <w:noProof/>
                <w:sz w:val="20"/>
              </w:rPr>
            </w:pPr>
            <w:r w:rsidRPr="00363877">
              <w:rPr>
                <w:rFonts w:cstheme="minorHAnsi"/>
                <w:noProof/>
                <w:sz w:val="20"/>
              </w:rPr>
              <w:t>SHIELD II</w:t>
            </w:r>
          </w:p>
        </w:tc>
        <w:tc>
          <w:tcPr>
            <w:tcW w:w="7166" w:type="dxa"/>
          </w:tcPr>
          <w:p w14:paraId="75B36F18" w14:textId="1D848B3B" w:rsidR="00363877" w:rsidRPr="00363877" w:rsidRDefault="00A863FB" w:rsidP="00363877">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Pr>
                <w:rFonts w:cstheme="minorHAnsi"/>
                <w:noProof/>
                <w:sz w:val="20"/>
              </w:rPr>
              <w:t>O</w:t>
            </w:r>
            <w:r w:rsidR="00363877" w:rsidRPr="00363877">
              <w:rPr>
                <w:rFonts w:cstheme="minorHAnsi"/>
                <w:noProof/>
                <w:sz w:val="20"/>
              </w:rPr>
              <w:t>rganised by Europol</w:t>
            </w:r>
            <w:r>
              <w:rPr>
                <w:rFonts w:cstheme="minorHAnsi"/>
                <w:noProof/>
                <w:sz w:val="20"/>
              </w:rPr>
              <w:t>.</w:t>
            </w:r>
            <w:r w:rsidR="00363877" w:rsidRPr="00363877">
              <w:rPr>
                <w:rFonts w:cstheme="minorHAnsi"/>
                <w:noProof/>
                <w:sz w:val="20"/>
              </w:rPr>
              <w:t xml:space="preserve"> OLAF led a targeted action with 17 Member States against counterfeit and hormonal substances, food supplements and medicines for erectile dysfunction, stopping in total 254</w:t>
            </w:r>
            <w:r w:rsidR="00363877">
              <w:rPr>
                <w:rFonts w:cstheme="minorHAnsi"/>
                <w:noProof/>
                <w:sz w:val="20"/>
              </w:rPr>
              <w:t> </w:t>
            </w:r>
            <w:r w:rsidR="00363877" w:rsidRPr="00363877">
              <w:rPr>
                <w:rFonts w:cstheme="minorHAnsi"/>
                <w:noProof/>
                <w:sz w:val="20"/>
              </w:rPr>
              <w:t>731 tablets and 131</w:t>
            </w:r>
            <w:r w:rsidR="00363877">
              <w:rPr>
                <w:rFonts w:cstheme="minorHAnsi"/>
                <w:noProof/>
                <w:sz w:val="20"/>
              </w:rPr>
              <w:t> </w:t>
            </w:r>
            <w:r w:rsidR="00363877" w:rsidRPr="00363877">
              <w:rPr>
                <w:rFonts w:cstheme="minorHAnsi"/>
                <w:noProof/>
                <w:sz w:val="20"/>
              </w:rPr>
              <w:t xml:space="preserve">027 vials of various medicines and 278 kg of food supplements </w:t>
            </w:r>
            <w:r w:rsidR="0032188D">
              <w:rPr>
                <w:rFonts w:cstheme="minorHAnsi"/>
                <w:noProof/>
                <w:sz w:val="20"/>
              </w:rPr>
              <w:t xml:space="preserve">from </w:t>
            </w:r>
            <w:r w:rsidR="00363877" w:rsidRPr="00363877">
              <w:rPr>
                <w:rFonts w:cstheme="minorHAnsi"/>
                <w:noProof/>
                <w:sz w:val="20"/>
              </w:rPr>
              <w:t>entering the EU.</w:t>
            </w:r>
          </w:p>
        </w:tc>
      </w:tr>
      <w:tr w:rsidR="00363877" w:rsidRPr="009909A5" w14:paraId="0EC59132" w14:textId="77777777" w:rsidTr="00A27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B828423" w14:textId="77777777" w:rsidR="00363877" w:rsidRPr="00363877" w:rsidRDefault="00363877" w:rsidP="00A27EF6">
            <w:pPr>
              <w:spacing w:after="0"/>
              <w:rPr>
                <w:rFonts w:cstheme="minorHAnsi"/>
                <w:noProof/>
                <w:sz w:val="20"/>
              </w:rPr>
            </w:pPr>
            <w:r w:rsidRPr="00363877">
              <w:rPr>
                <w:rFonts w:cstheme="minorHAnsi"/>
                <w:noProof/>
                <w:sz w:val="20"/>
              </w:rPr>
              <w:t>DEMETER VII</w:t>
            </w:r>
          </w:p>
        </w:tc>
        <w:tc>
          <w:tcPr>
            <w:tcW w:w="7166" w:type="dxa"/>
          </w:tcPr>
          <w:p w14:paraId="7913FC5E" w14:textId="5D1BB2DB" w:rsidR="00363877" w:rsidRPr="00363877" w:rsidRDefault="00A863FB" w:rsidP="0032188D">
            <w:pPr>
              <w:spacing w:after="0"/>
              <w:cnfStyle w:val="000000100000" w:firstRow="0" w:lastRow="0" w:firstColumn="0" w:lastColumn="0" w:oddVBand="0" w:evenVBand="0" w:oddHBand="1" w:evenHBand="0" w:firstRowFirstColumn="0" w:firstRowLastColumn="0" w:lastRowFirstColumn="0" w:lastRowLastColumn="0"/>
              <w:rPr>
                <w:rFonts w:cstheme="minorHAnsi"/>
                <w:noProof/>
                <w:sz w:val="20"/>
              </w:rPr>
            </w:pPr>
            <w:r>
              <w:rPr>
                <w:rFonts w:cstheme="minorHAnsi"/>
                <w:noProof/>
                <w:sz w:val="20"/>
              </w:rPr>
              <w:t>C</w:t>
            </w:r>
            <w:r w:rsidR="00363877" w:rsidRPr="00363877">
              <w:rPr>
                <w:rFonts w:cstheme="minorHAnsi"/>
                <w:noProof/>
                <w:sz w:val="20"/>
              </w:rPr>
              <w:t xml:space="preserve">oordinated by the WCO </w:t>
            </w:r>
            <w:r>
              <w:rPr>
                <w:rFonts w:cstheme="minorHAnsi"/>
                <w:noProof/>
                <w:sz w:val="20"/>
              </w:rPr>
              <w:t xml:space="preserve">to </w:t>
            </w:r>
            <w:r w:rsidR="00363877" w:rsidRPr="00363877">
              <w:rPr>
                <w:rFonts w:cstheme="minorHAnsi"/>
                <w:noProof/>
                <w:sz w:val="20"/>
              </w:rPr>
              <w:t>tackle the illicit trafficking of waste, ozone-depleting substances (ODS) and hydrofluorocarbons (HFCs). A total of 102 law enforcement agencies participated in this operation. OLAF’s role was to liaise between EU and non-EU countries to obtain information and intelligence, which led to the detection and seizure of over 4</w:t>
            </w:r>
            <w:r w:rsidR="00363877">
              <w:rPr>
                <w:rFonts w:cstheme="minorHAnsi"/>
                <w:noProof/>
                <w:sz w:val="20"/>
              </w:rPr>
              <w:t> </w:t>
            </w:r>
            <w:r w:rsidR="00363877" w:rsidRPr="00363877">
              <w:rPr>
                <w:rFonts w:cstheme="minorHAnsi"/>
                <w:noProof/>
                <w:sz w:val="20"/>
              </w:rPr>
              <w:t xml:space="preserve">000 tonnes of waste (e.g. used electronic items, waste </w:t>
            </w:r>
            <w:r w:rsidR="0032188D" w:rsidRPr="00363877">
              <w:rPr>
                <w:rFonts w:cstheme="minorHAnsi"/>
                <w:noProof/>
                <w:sz w:val="20"/>
              </w:rPr>
              <w:t>batter</w:t>
            </w:r>
            <w:r w:rsidR="0032188D">
              <w:rPr>
                <w:rFonts w:cstheme="minorHAnsi"/>
                <w:noProof/>
                <w:sz w:val="20"/>
              </w:rPr>
              <w:t>ies</w:t>
            </w:r>
            <w:r w:rsidR="00363877" w:rsidRPr="00363877">
              <w:rPr>
                <w:rFonts w:cstheme="minorHAnsi"/>
                <w:noProof/>
                <w:sz w:val="20"/>
              </w:rPr>
              <w:t xml:space="preserve">, used vehicles, printing machines), </w:t>
            </w:r>
            <w:r w:rsidR="0032188D">
              <w:rPr>
                <w:rFonts w:cstheme="minorHAnsi"/>
                <w:noProof/>
                <w:sz w:val="20"/>
              </w:rPr>
              <w:t xml:space="preserve">and </w:t>
            </w:r>
            <w:r w:rsidR="00363877" w:rsidRPr="00363877">
              <w:rPr>
                <w:rFonts w:cstheme="minorHAnsi"/>
                <w:noProof/>
                <w:sz w:val="20"/>
              </w:rPr>
              <w:t>493 items of ODS and HFCs.</w:t>
            </w:r>
          </w:p>
        </w:tc>
      </w:tr>
      <w:tr w:rsidR="00363877" w:rsidRPr="009909A5" w14:paraId="7856CCB4" w14:textId="77777777" w:rsidTr="00A27EF6">
        <w:tc>
          <w:tcPr>
            <w:cnfStyle w:val="001000000000" w:firstRow="0" w:lastRow="0" w:firstColumn="1" w:lastColumn="0" w:oddVBand="0" w:evenVBand="0" w:oddHBand="0" w:evenHBand="0" w:firstRowFirstColumn="0" w:firstRowLastColumn="0" w:lastRowFirstColumn="0" w:lastRowLastColumn="0"/>
            <w:tcW w:w="1668" w:type="dxa"/>
          </w:tcPr>
          <w:p w14:paraId="4C5FE622" w14:textId="77777777" w:rsidR="00363877" w:rsidRPr="00363877" w:rsidRDefault="00363877" w:rsidP="00A27EF6">
            <w:pPr>
              <w:spacing w:after="0"/>
              <w:rPr>
                <w:rFonts w:cstheme="minorHAnsi"/>
                <w:noProof/>
                <w:sz w:val="20"/>
              </w:rPr>
            </w:pPr>
            <w:r w:rsidRPr="00363877">
              <w:rPr>
                <w:rFonts w:cstheme="minorHAnsi"/>
                <w:noProof/>
                <w:sz w:val="20"/>
              </w:rPr>
              <w:t>SILVER AXE VI</w:t>
            </w:r>
          </w:p>
        </w:tc>
        <w:tc>
          <w:tcPr>
            <w:tcW w:w="7166" w:type="dxa"/>
          </w:tcPr>
          <w:p w14:paraId="160C7E52" w14:textId="71143C48" w:rsidR="00363877" w:rsidRPr="00363877" w:rsidRDefault="00A863FB" w:rsidP="00296A29">
            <w:pPr>
              <w:spacing w:after="0"/>
              <w:cnfStyle w:val="000000000000" w:firstRow="0" w:lastRow="0" w:firstColumn="0" w:lastColumn="0" w:oddVBand="0" w:evenVBand="0" w:oddHBand="0" w:evenHBand="0" w:firstRowFirstColumn="0" w:firstRowLastColumn="0" w:lastRowFirstColumn="0" w:lastRowLastColumn="0"/>
              <w:rPr>
                <w:rFonts w:cstheme="minorHAnsi"/>
                <w:noProof/>
                <w:sz w:val="20"/>
              </w:rPr>
            </w:pPr>
            <w:r>
              <w:rPr>
                <w:rFonts w:cstheme="minorHAnsi"/>
                <w:noProof/>
                <w:sz w:val="20"/>
              </w:rPr>
              <w:t>A</w:t>
            </w:r>
            <w:r w:rsidR="00363877" w:rsidRPr="00363877">
              <w:rPr>
                <w:rFonts w:cstheme="minorHAnsi"/>
                <w:noProof/>
                <w:sz w:val="20"/>
              </w:rPr>
              <w:t xml:space="preserve">nnual Europol-led </w:t>
            </w:r>
            <w:r>
              <w:rPr>
                <w:rFonts w:cstheme="minorHAnsi"/>
                <w:noProof/>
                <w:sz w:val="20"/>
              </w:rPr>
              <w:t>o</w:t>
            </w:r>
            <w:r w:rsidR="00363877" w:rsidRPr="00363877">
              <w:rPr>
                <w:rFonts w:cstheme="minorHAnsi"/>
                <w:noProof/>
                <w:sz w:val="20"/>
              </w:rPr>
              <w:t>peration</w:t>
            </w:r>
            <w:r>
              <w:rPr>
                <w:rFonts w:cstheme="minorHAnsi"/>
                <w:noProof/>
                <w:sz w:val="20"/>
              </w:rPr>
              <w:t>. OLAF participated</w:t>
            </w:r>
            <w:r w:rsidR="00363877" w:rsidRPr="00363877">
              <w:rPr>
                <w:rFonts w:cstheme="minorHAnsi"/>
                <w:noProof/>
                <w:sz w:val="20"/>
              </w:rPr>
              <w:t xml:space="preserve"> </w:t>
            </w:r>
            <w:r w:rsidR="00734422">
              <w:rPr>
                <w:rFonts w:cstheme="minorHAnsi"/>
                <w:noProof/>
                <w:sz w:val="20"/>
              </w:rPr>
              <w:t>by providing</w:t>
            </w:r>
            <w:r w:rsidR="00363877" w:rsidRPr="00363877">
              <w:rPr>
                <w:rFonts w:cstheme="minorHAnsi"/>
                <w:noProof/>
                <w:sz w:val="20"/>
              </w:rPr>
              <w:t xml:space="preserve"> expertise in identifying and tracking suspicious shipments. </w:t>
            </w:r>
            <w:r w:rsidR="00734422">
              <w:rPr>
                <w:rFonts w:cstheme="minorHAnsi"/>
                <w:noProof/>
                <w:sz w:val="20"/>
              </w:rPr>
              <w:t>O</w:t>
            </w:r>
            <w:r w:rsidR="00363877" w:rsidRPr="00363877">
              <w:rPr>
                <w:rFonts w:cstheme="minorHAnsi"/>
                <w:noProof/>
                <w:sz w:val="20"/>
              </w:rPr>
              <w:t>ver 1</w:t>
            </w:r>
            <w:r w:rsidR="00C526DB">
              <w:rPr>
                <w:rFonts w:cstheme="minorHAnsi"/>
                <w:noProof/>
                <w:sz w:val="20"/>
              </w:rPr>
              <w:t> </w:t>
            </w:r>
            <w:r w:rsidR="00363877" w:rsidRPr="00363877">
              <w:rPr>
                <w:rFonts w:cstheme="minorHAnsi"/>
                <w:noProof/>
                <w:sz w:val="20"/>
              </w:rPr>
              <w:t>200 tonnes of illegal pesticides were seized in the operation</w:t>
            </w:r>
            <w:r w:rsidR="00734422">
              <w:rPr>
                <w:rFonts w:cstheme="minorHAnsi"/>
                <w:noProof/>
                <w:sz w:val="20"/>
              </w:rPr>
              <w:t>,</w:t>
            </w:r>
            <w:r w:rsidR="00363877" w:rsidRPr="00363877">
              <w:rPr>
                <w:rFonts w:cstheme="minorHAnsi"/>
                <w:noProof/>
                <w:sz w:val="20"/>
              </w:rPr>
              <w:t xml:space="preserve"> involv</w:t>
            </w:r>
            <w:r w:rsidR="00734422">
              <w:rPr>
                <w:rFonts w:cstheme="minorHAnsi"/>
                <w:noProof/>
                <w:sz w:val="20"/>
              </w:rPr>
              <w:t>ing</w:t>
            </w:r>
            <w:r w:rsidR="00363877" w:rsidRPr="00363877">
              <w:rPr>
                <w:rFonts w:cstheme="minorHAnsi"/>
                <w:noProof/>
                <w:sz w:val="20"/>
              </w:rPr>
              <w:t xml:space="preserve"> 35 different countries</w:t>
            </w:r>
            <w:r w:rsidR="00734422">
              <w:rPr>
                <w:rFonts w:cstheme="minorHAnsi"/>
                <w:noProof/>
                <w:sz w:val="20"/>
              </w:rPr>
              <w:t>. It</w:t>
            </w:r>
            <w:r w:rsidR="00363877" w:rsidRPr="00363877">
              <w:rPr>
                <w:rFonts w:cstheme="minorHAnsi"/>
                <w:noProof/>
                <w:sz w:val="20"/>
              </w:rPr>
              <w:t xml:space="preserve"> led to seizures of illegal and counterfeit products worth an estimated </w:t>
            </w:r>
            <w:r w:rsidR="00734422">
              <w:rPr>
                <w:rFonts w:cstheme="minorHAnsi"/>
                <w:noProof/>
                <w:sz w:val="20"/>
              </w:rPr>
              <w:t xml:space="preserve">EUR </w:t>
            </w:r>
            <w:r w:rsidR="00363877" w:rsidRPr="00363877">
              <w:rPr>
                <w:rFonts w:cstheme="minorHAnsi"/>
                <w:noProof/>
                <w:sz w:val="20"/>
              </w:rPr>
              <w:t xml:space="preserve">80 million. OLAF shared operational intelligence with the customs authorities of the Member States </w:t>
            </w:r>
            <w:r w:rsidR="00734422">
              <w:rPr>
                <w:rFonts w:cstheme="minorHAnsi"/>
                <w:noProof/>
                <w:sz w:val="20"/>
              </w:rPr>
              <w:t xml:space="preserve">and </w:t>
            </w:r>
            <w:r w:rsidR="00363877" w:rsidRPr="00363877">
              <w:rPr>
                <w:rFonts w:cstheme="minorHAnsi"/>
                <w:noProof/>
                <w:sz w:val="20"/>
              </w:rPr>
              <w:t xml:space="preserve">of China, Ukraine, Russia and Colombia. </w:t>
            </w:r>
            <w:r w:rsidR="00734422">
              <w:rPr>
                <w:rFonts w:cstheme="minorHAnsi"/>
                <w:noProof/>
                <w:sz w:val="20"/>
              </w:rPr>
              <w:t>It</w:t>
            </w:r>
            <w:r w:rsidR="00734422" w:rsidRPr="00363877">
              <w:rPr>
                <w:rFonts w:cstheme="minorHAnsi"/>
                <w:noProof/>
                <w:sz w:val="20"/>
              </w:rPr>
              <w:t xml:space="preserve"> </w:t>
            </w:r>
            <w:r w:rsidR="00363877" w:rsidRPr="00363877">
              <w:rPr>
                <w:rFonts w:cstheme="minorHAnsi"/>
                <w:noProof/>
                <w:sz w:val="20"/>
              </w:rPr>
              <w:t>tracked suspicious shipments of illegal pesticides, leading to the seizure of around 39 tonnes of the</w:t>
            </w:r>
            <w:r w:rsidR="00734422">
              <w:rPr>
                <w:rFonts w:cstheme="minorHAnsi"/>
                <w:noProof/>
                <w:sz w:val="20"/>
              </w:rPr>
              <w:t>m</w:t>
            </w:r>
            <w:r w:rsidR="00363877" w:rsidRPr="00363877">
              <w:rPr>
                <w:rFonts w:cstheme="minorHAnsi"/>
                <w:noProof/>
                <w:sz w:val="20"/>
              </w:rPr>
              <w:t xml:space="preserve"> </w:t>
            </w:r>
            <w:r w:rsidR="00734422">
              <w:rPr>
                <w:rFonts w:cstheme="minorHAnsi"/>
                <w:noProof/>
                <w:sz w:val="20"/>
              </w:rPr>
              <w:t>in</w:t>
            </w:r>
            <w:r w:rsidR="00734422" w:rsidRPr="00363877">
              <w:rPr>
                <w:rFonts w:cstheme="minorHAnsi"/>
                <w:noProof/>
                <w:sz w:val="20"/>
              </w:rPr>
              <w:t xml:space="preserve"> </w:t>
            </w:r>
            <w:r w:rsidR="00363877" w:rsidRPr="00363877">
              <w:rPr>
                <w:rFonts w:cstheme="minorHAnsi"/>
                <w:noProof/>
                <w:sz w:val="20"/>
              </w:rPr>
              <w:t>total.</w:t>
            </w:r>
          </w:p>
        </w:tc>
      </w:tr>
    </w:tbl>
    <w:p w14:paraId="34F80915" w14:textId="7879D2B3" w:rsidR="00FB5CF5" w:rsidRDefault="00C27139" w:rsidP="00FB5CF5">
      <w:pPr>
        <w:pStyle w:val="Heading1"/>
        <w:rPr>
          <w:noProof/>
        </w:rPr>
      </w:pPr>
      <w:bookmarkStart w:id="57" w:name="_Toc110444060"/>
      <w:r>
        <w:rPr>
          <w:noProof/>
        </w:rPr>
        <w:t xml:space="preserve">key </w:t>
      </w:r>
      <w:r w:rsidR="005C35A2">
        <w:rPr>
          <w:noProof/>
        </w:rPr>
        <w:t xml:space="preserve">measures </w:t>
      </w:r>
      <w:r w:rsidR="00071FAB">
        <w:rPr>
          <w:noProof/>
        </w:rPr>
        <w:t>for the protection of the EU’s financial interests</w:t>
      </w:r>
      <w:r>
        <w:rPr>
          <w:noProof/>
        </w:rPr>
        <w:t xml:space="preserve"> and the fight against fraud</w:t>
      </w:r>
      <w:bookmarkEnd w:id="57"/>
    </w:p>
    <w:p w14:paraId="2A812F7D" w14:textId="77777777" w:rsidR="00071FAB" w:rsidRDefault="00071FAB" w:rsidP="00FB5CF5">
      <w:pPr>
        <w:pStyle w:val="Heading2"/>
        <w:rPr>
          <w:noProof/>
        </w:rPr>
      </w:pPr>
      <w:bookmarkStart w:id="58" w:name="_Toc110444061"/>
      <w:r>
        <w:rPr>
          <w:noProof/>
        </w:rPr>
        <w:t>Transposition of the PIF Directive</w:t>
      </w:r>
      <w:bookmarkEnd w:id="58"/>
    </w:p>
    <w:p w14:paraId="3907A57A" w14:textId="2EC47C41" w:rsidR="00071FAB" w:rsidRDefault="00071FAB" w:rsidP="00071FAB">
      <w:pPr>
        <w:rPr>
          <w:noProof/>
        </w:rPr>
      </w:pPr>
      <w:r>
        <w:rPr>
          <w:noProof/>
        </w:rPr>
        <w:t xml:space="preserve">Directive (EU) 2017/1371 on the fight against fraud to the Union's financial interests by means of criminal law (PIF Directive) came into effect on 5 July 2017. The deadline for </w:t>
      </w:r>
      <w:r w:rsidR="000005EB">
        <w:rPr>
          <w:noProof/>
        </w:rPr>
        <w:t xml:space="preserve">transposing </w:t>
      </w:r>
      <w:r>
        <w:rPr>
          <w:noProof/>
        </w:rPr>
        <w:t>the Directive into national law expired on 6 July 2019.</w:t>
      </w:r>
    </w:p>
    <w:p w14:paraId="756415B4" w14:textId="3706C831" w:rsidR="00071FAB" w:rsidRDefault="00071FAB" w:rsidP="00071FAB">
      <w:pPr>
        <w:rPr>
          <w:noProof/>
        </w:rPr>
      </w:pPr>
      <w:r>
        <w:rPr>
          <w:noProof/>
        </w:rPr>
        <w:t xml:space="preserve">The Commission published the first of three </w:t>
      </w:r>
      <w:r w:rsidRPr="009A3B80">
        <w:rPr>
          <w:b/>
          <w:noProof/>
        </w:rPr>
        <w:t>reports on the transposition of the Directive</w:t>
      </w:r>
      <w:r>
        <w:rPr>
          <w:noProof/>
        </w:rPr>
        <w:t xml:space="preserve">, as required under Article 18 </w:t>
      </w:r>
      <w:r w:rsidR="000005EB">
        <w:rPr>
          <w:noProof/>
        </w:rPr>
        <w:t>of it</w:t>
      </w:r>
      <w:r>
        <w:rPr>
          <w:noProof/>
        </w:rPr>
        <w:t xml:space="preserve">, on 6 September 2021. The report concludes that although all Member States have transposed the Directive, </w:t>
      </w:r>
      <w:r w:rsidRPr="009A3B80">
        <w:rPr>
          <w:b/>
          <w:noProof/>
        </w:rPr>
        <w:t>further action is needed to address outstanding compliance issues</w:t>
      </w:r>
      <w:r>
        <w:rPr>
          <w:noProof/>
        </w:rPr>
        <w:t xml:space="preserve">. It underlines that a proper transposition of the PIF Directive’s definitions, sanctions, jurisdiction rules, and limitation periods </w:t>
      </w:r>
      <w:r w:rsidR="000005EB">
        <w:rPr>
          <w:noProof/>
        </w:rPr>
        <w:t xml:space="preserve">for </w:t>
      </w:r>
      <w:r>
        <w:rPr>
          <w:noProof/>
        </w:rPr>
        <w:t xml:space="preserve">fraud and other offences affecting the EU's financial interests is necessary to enable the EPPO to conduct effective investigations and prosecutions. The report also underlines that cooperation between the EPPO and the Member States is crucial. </w:t>
      </w:r>
    </w:p>
    <w:p w14:paraId="1BA1992C" w14:textId="4EC723A9" w:rsidR="00071FAB" w:rsidRDefault="00071FAB" w:rsidP="00071FAB">
      <w:pPr>
        <w:rPr>
          <w:noProof/>
        </w:rPr>
      </w:pPr>
      <w:r>
        <w:rPr>
          <w:noProof/>
        </w:rPr>
        <w:t>In December</w:t>
      </w:r>
      <w:r w:rsidR="00A86074">
        <w:rPr>
          <w:noProof/>
        </w:rPr>
        <w:t xml:space="preserve"> 2021</w:t>
      </w:r>
      <w:r>
        <w:rPr>
          <w:noProof/>
        </w:rPr>
        <w:t xml:space="preserve">, the Commission decided to open </w:t>
      </w:r>
      <w:r w:rsidRPr="009A3B80">
        <w:rPr>
          <w:b/>
          <w:noProof/>
        </w:rPr>
        <w:t>infringement proceedings</w:t>
      </w:r>
      <w:r>
        <w:rPr>
          <w:noProof/>
        </w:rPr>
        <w:t xml:space="preserve"> against eight Member States</w:t>
      </w:r>
      <w:r w:rsidR="000005EB">
        <w:rPr>
          <w:rStyle w:val="FootnoteReference"/>
          <w:noProof/>
        </w:rPr>
        <w:footnoteReference w:id="60"/>
      </w:r>
      <w:r>
        <w:rPr>
          <w:noProof/>
        </w:rPr>
        <w:t xml:space="preserve"> </w:t>
      </w:r>
      <w:r w:rsidR="000005EB">
        <w:rPr>
          <w:noProof/>
        </w:rPr>
        <w:t>for</w:t>
      </w:r>
      <w:r>
        <w:rPr>
          <w:noProof/>
        </w:rPr>
        <w:t xml:space="preserve"> not correctly transpos</w:t>
      </w:r>
      <w:r w:rsidR="000005EB">
        <w:rPr>
          <w:noProof/>
        </w:rPr>
        <w:t>ing</w:t>
      </w:r>
      <w:r>
        <w:rPr>
          <w:noProof/>
        </w:rPr>
        <w:t xml:space="preserve"> the PIF Directive. In February</w:t>
      </w:r>
      <w:r w:rsidR="00A86074">
        <w:rPr>
          <w:noProof/>
        </w:rPr>
        <w:t xml:space="preserve"> 2022</w:t>
      </w:r>
      <w:r>
        <w:rPr>
          <w:noProof/>
        </w:rPr>
        <w:t xml:space="preserve">, the Commission opened infringement proceedings against five </w:t>
      </w:r>
      <w:r w:rsidR="000005EB">
        <w:rPr>
          <w:noProof/>
        </w:rPr>
        <w:t xml:space="preserve">more </w:t>
      </w:r>
      <w:r>
        <w:rPr>
          <w:noProof/>
        </w:rPr>
        <w:t>Member States</w:t>
      </w:r>
      <w:r w:rsidR="000005EB">
        <w:rPr>
          <w:rStyle w:val="FootnoteReference"/>
          <w:noProof/>
        </w:rPr>
        <w:footnoteReference w:id="61"/>
      </w:r>
      <w:r>
        <w:rPr>
          <w:noProof/>
        </w:rPr>
        <w:t xml:space="preserve">. </w:t>
      </w:r>
      <w:r w:rsidR="00A169C9" w:rsidRPr="00A169C9">
        <w:rPr>
          <w:noProof/>
        </w:rPr>
        <w:t xml:space="preserve">In May 2022, the Commission opened infringement proceedings against four </w:t>
      </w:r>
      <w:r w:rsidR="000005EB">
        <w:rPr>
          <w:noProof/>
        </w:rPr>
        <w:t xml:space="preserve">more </w:t>
      </w:r>
      <w:r w:rsidR="00A169C9" w:rsidRPr="00A169C9">
        <w:rPr>
          <w:noProof/>
        </w:rPr>
        <w:t>Member States</w:t>
      </w:r>
      <w:r w:rsidR="000005EB">
        <w:rPr>
          <w:rStyle w:val="FootnoteReference"/>
          <w:noProof/>
        </w:rPr>
        <w:footnoteReference w:id="62"/>
      </w:r>
      <w:r w:rsidR="00A169C9" w:rsidRPr="00A169C9">
        <w:rPr>
          <w:noProof/>
        </w:rPr>
        <w:t>.</w:t>
      </w:r>
    </w:p>
    <w:p w14:paraId="217DED5A" w14:textId="0ECAD39F" w:rsidR="00071FAB" w:rsidRDefault="00071FAB" w:rsidP="00071FAB">
      <w:pPr>
        <w:rPr>
          <w:noProof/>
        </w:rPr>
      </w:pPr>
      <w:r>
        <w:rPr>
          <w:noProof/>
        </w:rPr>
        <w:t xml:space="preserve">The Commission will continue to take all necessary steps to ensure the correct and comprehensive transposition of the PIF Directive, </w:t>
      </w:r>
      <w:r w:rsidR="00CA6A5F">
        <w:rPr>
          <w:noProof/>
        </w:rPr>
        <w:t xml:space="preserve">with further </w:t>
      </w:r>
      <w:r>
        <w:rPr>
          <w:noProof/>
        </w:rPr>
        <w:t>infringement proceedings</w:t>
      </w:r>
      <w:r w:rsidR="00CA6A5F">
        <w:rPr>
          <w:noProof/>
        </w:rPr>
        <w:t>, if necessary</w:t>
      </w:r>
      <w:r>
        <w:rPr>
          <w:noProof/>
        </w:rPr>
        <w:t>.</w:t>
      </w:r>
    </w:p>
    <w:p w14:paraId="77074A4B" w14:textId="2BD6070C" w:rsidR="00071FAB" w:rsidRPr="00071FAB" w:rsidRDefault="00071FAB" w:rsidP="00071FAB">
      <w:pPr>
        <w:rPr>
          <w:noProof/>
        </w:rPr>
      </w:pPr>
      <w:r>
        <w:rPr>
          <w:noProof/>
        </w:rPr>
        <w:t xml:space="preserve">The Commission is preparing a second transposition report on the PIF Directive, due in the </w:t>
      </w:r>
      <w:r w:rsidR="00CA6A5F">
        <w:rPr>
          <w:noProof/>
        </w:rPr>
        <w:t xml:space="preserve">third </w:t>
      </w:r>
      <w:r>
        <w:rPr>
          <w:noProof/>
        </w:rPr>
        <w:t>quarter of 2022. This report will focus on the appropriateness of the EUR 10 million VAT threshold and the effectiveness of the Directive’s provisions in the area of public procurement fraud and limitation periods.</w:t>
      </w:r>
    </w:p>
    <w:p w14:paraId="6DBA0CB7" w14:textId="77777777" w:rsidR="00BB743B" w:rsidRDefault="00BB743B" w:rsidP="00FB5CF5">
      <w:pPr>
        <w:pStyle w:val="Heading2"/>
        <w:rPr>
          <w:noProof/>
        </w:rPr>
      </w:pPr>
      <w:bookmarkStart w:id="59" w:name="_Toc110444062"/>
      <w:r>
        <w:rPr>
          <w:noProof/>
        </w:rPr>
        <w:t>Anti-money laundering</w:t>
      </w:r>
      <w:bookmarkEnd w:id="59"/>
    </w:p>
    <w:p w14:paraId="1586B0DC" w14:textId="77777777" w:rsidR="00BB743B" w:rsidRDefault="00BB743B" w:rsidP="00BB743B">
      <w:pPr>
        <w:rPr>
          <w:noProof/>
        </w:rPr>
      </w:pPr>
      <w:r>
        <w:rPr>
          <w:noProof/>
        </w:rPr>
        <w:t xml:space="preserve">Fraud against the EU budget may also be the </w:t>
      </w:r>
      <w:r w:rsidRPr="009A3B80">
        <w:rPr>
          <w:b/>
          <w:noProof/>
        </w:rPr>
        <w:t>precursor to other crimes</w:t>
      </w:r>
      <w:r>
        <w:rPr>
          <w:noProof/>
        </w:rPr>
        <w:t xml:space="preserve"> (i.e. it can be a predicate offence). Thus, even if not directly linked to the protection of the EU budget, the EU legal framework on anti-money laundering and counter-terrorist financing is relevant in this context. </w:t>
      </w:r>
    </w:p>
    <w:p w14:paraId="6B3B9C72" w14:textId="02868D15" w:rsidR="00BB743B" w:rsidRPr="00BB743B" w:rsidRDefault="00C829C4" w:rsidP="00CA6A5F">
      <w:pPr>
        <w:rPr>
          <w:noProof/>
        </w:rPr>
      </w:pPr>
      <w:r>
        <w:rPr>
          <w:noProof/>
        </w:rPr>
        <w:t>A</w:t>
      </w:r>
      <w:r w:rsidR="00BB743B">
        <w:rPr>
          <w:noProof/>
        </w:rPr>
        <w:t xml:space="preserve">ll the </w:t>
      </w:r>
      <w:r>
        <w:rPr>
          <w:noProof/>
        </w:rPr>
        <w:t>M</w:t>
      </w:r>
      <w:r w:rsidR="00BB743B">
        <w:rPr>
          <w:noProof/>
        </w:rPr>
        <w:t>ember States have reported full transposition of the fifth anti-money laundering directive</w:t>
      </w:r>
      <w:r w:rsidR="00BB743B">
        <w:rPr>
          <w:rStyle w:val="FootnoteReference"/>
          <w:noProof/>
        </w:rPr>
        <w:footnoteReference w:id="63"/>
      </w:r>
      <w:r w:rsidR="00BB743B">
        <w:rPr>
          <w:noProof/>
        </w:rPr>
        <w:t xml:space="preserve"> on the prevention of the use of the financial system for the purposes of money laundering or terrorist financing</w:t>
      </w:r>
      <w:r w:rsidR="00BB743B">
        <w:rPr>
          <w:rStyle w:val="FootnoteReference"/>
          <w:noProof/>
        </w:rPr>
        <w:footnoteReference w:id="64"/>
      </w:r>
      <w:r w:rsidR="00BB743B">
        <w:rPr>
          <w:noProof/>
        </w:rPr>
        <w:t xml:space="preserve">. </w:t>
      </w:r>
    </w:p>
    <w:p w14:paraId="68EDA7EA" w14:textId="77777777" w:rsidR="00FB5CF5" w:rsidRDefault="00FB5CF5" w:rsidP="00FB5CF5">
      <w:pPr>
        <w:pStyle w:val="Heading2"/>
        <w:rPr>
          <w:noProof/>
        </w:rPr>
      </w:pPr>
      <w:bookmarkStart w:id="60" w:name="_Toc110444063"/>
      <w:r>
        <w:rPr>
          <w:noProof/>
        </w:rPr>
        <w:t>Recovery and Resilience Facility</w:t>
      </w:r>
      <w:bookmarkEnd w:id="60"/>
    </w:p>
    <w:p w14:paraId="004FA86F" w14:textId="27CBB430" w:rsidR="00E37566" w:rsidRDefault="00E37566" w:rsidP="00E37566">
      <w:pPr>
        <w:rPr>
          <w:noProof/>
        </w:rPr>
      </w:pPr>
      <w:r w:rsidRPr="00E37566">
        <w:rPr>
          <w:noProof/>
        </w:rPr>
        <w:t xml:space="preserve">The </w:t>
      </w:r>
      <w:r w:rsidRPr="009A3B80">
        <w:rPr>
          <w:b/>
          <w:noProof/>
        </w:rPr>
        <w:t>Recovery and Resilience Facility</w:t>
      </w:r>
      <w:r w:rsidRPr="00E37566">
        <w:rPr>
          <w:noProof/>
        </w:rPr>
        <w:t xml:space="preserve"> </w:t>
      </w:r>
      <w:r w:rsidR="008D394A">
        <w:rPr>
          <w:noProof/>
        </w:rPr>
        <w:t xml:space="preserve">(RRF) </w:t>
      </w:r>
      <w:r w:rsidR="00993B00">
        <w:rPr>
          <w:noProof/>
        </w:rPr>
        <w:t xml:space="preserve">Regulation </w:t>
      </w:r>
      <w:r w:rsidRPr="00E37566">
        <w:rPr>
          <w:noProof/>
        </w:rPr>
        <w:t xml:space="preserve">entered into force on 19 February 2021. </w:t>
      </w:r>
      <w:r w:rsidR="00993B00">
        <w:rPr>
          <w:noProof/>
        </w:rPr>
        <w:t>The RRF</w:t>
      </w:r>
      <w:r w:rsidRPr="00E37566">
        <w:rPr>
          <w:noProof/>
        </w:rPr>
        <w:t xml:space="preserve"> finances reforms and investments in Member States from the start of the pandemic in February 2020 until 31 December 2026.</w:t>
      </w:r>
      <w:r>
        <w:rPr>
          <w:noProof/>
        </w:rPr>
        <w:t xml:space="preserve"> </w:t>
      </w:r>
      <w:r w:rsidRPr="00E37566">
        <w:rPr>
          <w:noProof/>
        </w:rPr>
        <w:t xml:space="preserve">To benefit from the </w:t>
      </w:r>
      <w:r w:rsidR="00CA6A5F">
        <w:rPr>
          <w:noProof/>
        </w:rPr>
        <w:t>RRF</w:t>
      </w:r>
      <w:r w:rsidRPr="00E37566">
        <w:rPr>
          <w:noProof/>
        </w:rPr>
        <w:t>, Member States</w:t>
      </w:r>
      <w:r w:rsidR="00CA6A5F">
        <w:rPr>
          <w:noProof/>
        </w:rPr>
        <w:t xml:space="preserve"> must</w:t>
      </w:r>
      <w:r w:rsidRPr="00E37566">
        <w:rPr>
          <w:noProof/>
        </w:rPr>
        <w:t xml:space="preserve"> submit their </w:t>
      </w:r>
      <w:r w:rsidR="00A86074" w:rsidRPr="009A3B80">
        <w:rPr>
          <w:b/>
          <w:noProof/>
        </w:rPr>
        <w:t xml:space="preserve">national </w:t>
      </w:r>
      <w:r w:rsidRPr="009A3B80">
        <w:rPr>
          <w:b/>
          <w:noProof/>
        </w:rPr>
        <w:t>recovery and resilience plans</w:t>
      </w:r>
      <w:r w:rsidRPr="00E37566">
        <w:rPr>
          <w:noProof/>
        </w:rPr>
        <w:t xml:space="preserve"> to the European Commission. Each plan sets out the reforms and investments to be implemented by </w:t>
      </w:r>
      <w:r w:rsidR="00CA6A5F">
        <w:rPr>
          <w:noProof/>
        </w:rPr>
        <w:t xml:space="preserve">the </w:t>
      </w:r>
      <w:r w:rsidRPr="00E37566">
        <w:rPr>
          <w:noProof/>
        </w:rPr>
        <w:t>end</w:t>
      </w:r>
      <w:r w:rsidR="00CA6A5F">
        <w:rPr>
          <w:noProof/>
        </w:rPr>
        <w:t xml:space="preserve"> of </w:t>
      </w:r>
      <w:r w:rsidRPr="00E37566">
        <w:rPr>
          <w:noProof/>
        </w:rPr>
        <w:t>2026</w:t>
      </w:r>
      <w:r w:rsidR="00A86074">
        <w:rPr>
          <w:noProof/>
        </w:rPr>
        <w:t>, allowing</w:t>
      </w:r>
      <w:r w:rsidRPr="00E37566">
        <w:rPr>
          <w:noProof/>
        </w:rPr>
        <w:t xml:space="preserve"> Member States </w:t>
      </w:r>
      <w:r w:rsidR="00A86074">
        <w:rPr>
          <w:noProof/>
        </w:rPr>
        <w:t xml:space="preserve">to </w:t>
      </w:r>
      <w:r w:rsidRPr="00E37566">
        <w:rPr>
          <w:noProof/>
        </w:rPr>
        <w:t>receive financing up to a previously agreed allocation.</w:t>
      </w:r>
    </w:p>
    <w:p w14:paraId="0AFD576F" w14:textId="4CCC6948" w:rsidR="00E37566" w:rsidRDefault="00E37566" w:rsidP="00E37566">
      <w:pPr>
        <w:rPr>
          <w:noProof/>
        </w:rPr>
      </w:pPr>
      <w:r w:rsidRPr="00E37566">
        <w:rPr>
          <w:noProof/>
        </w:rPr>
        <w:t>Each plan should address challenges identified in the European Semester</w:t>
      </w:r>
      <w:r>
        <w:rPr>
          <w:rStyle w:val="FootnoteReference"/>
          <w:noProof/>
        </w:rPr>
        <w:footnoteReference w:id="65"/>
      </w:r>
      <w:r w:rsidRPr="00E37566">
        <w:rPr>
          <w:noProof/>
        </w:rPr>
        <w:t>, particularly the country-specific recommendations</w:t>
      </w:r>
      <w:r>
        <w:rPr>
          <w:rStyle w:val="FootnoteReference"/>
          <w:noProof/>
        </w:rPr>
        <w:footnoteReference w:id="66"/>
      </w:r>
      <w:r w:rsidRPr="00E37566">
        <w:rPr>
          <w:noProof/>
        </w:rPr>
        <w:t xml:space="preserve"> of 2019 and 2020 adopted by the Council. It should also advance the green and digital transitions and make Member States’ economies and societies more resilient.</w:t>
      </w:r>
      <w:r w:rsidR="00993B00">
        <w:rPr>
          <w:noProof/>
        </w:rPr>
        <w:t xml:space="preserve"> </w:t>
      </w:r>
      <w:r w:rsidR="00993B00" w:rsidRPr="00993B00">
        <w:rPr>
          <w:noProof/>
        </w:rPr>
        <w:t>Investments must respect the Do No Significant Harm principle</w:t>
      </w:r>
      <w:r w:rsidR="00EC369B">
        <w:rPr>
          <w:rStyle w:val="FootnoteReference"/>
          <w:noProof/>
        </w:rPr>
        <w:footnoteReference w:id="67"/>
      </w:r>
      <w:r w:rsidR="00EC369B">
        <w:rPr>
          <w:noProof/>
        </w:rPr>
        <w:t>.</w:t>
      </w:r>
    </w:p>
    <w:p w14:paraId="340FFE24" w14:textId="361D6B25" w:rsidR="00E37566" w:rsidRDefault="00E37566" w:rsidP="00E37566">
      <w:pPr>
        <w:rPr>
          <w:noProof/>
        </w:rPr>
      </w:pPr>
      <w:r w:rsidRPr="00E37566">
        <w:rPr>
          <w:noProof/>
        </w:rPr>
        <w:t xml:space="preserve">The </w:t>
      </w:r>
      <w:r w:rsidR="00A86074">
        <w:rPr>
          <w:noProof/>
        </w:rPr>
        <w:t xml:space="preserve">RRF </w:t>
      </w:r>
      <w:r w:rsidRPr="00E37566">
        <w:rPr>
          <w:noProof/>
        </w:rPr>
        <w:t xml:space="preserve">is </w:t>
      </w:r>
      <w:r w:rsidR="00993B00">
        <w:rPr>
          <w:noProof/>
        </w:rPr>
        <w:t xml:space="preserve">a </w:t>
      </w:r>
      <w:r w:rsidR="00993B00" w:rsidRPr="009A3B80">
        <w:rPr>
          <w:b/>
          <w:noProof/>
        </w:rPr>
        <w:t>performance-</w:t>
      </w:r>
      <w:r w:rsidRPr="009A3B80">
        <w:rPr>
          <w:b/>
          <w:noProof/>
        </w:rPr>
        <w:t>based</w:t>
      </w:r>
      <w:r w:rsidR="00993B00" w:rsidRPr="009A3B80">
        <w:rPr>
          <w:b/>
          <w:noProof/>
        </w:rPr>
        <w:t xml:space="preserve"> instrument</w:t>
      </w:r>
      <w:r w:rsidRPr="00E37566">
        <w:rPr>
          <w:noProof/>
        </w:rPr>
        <w:t xml:space="preserve">. Fulfilment of agreed milestones and targets towards achieving the reforms and investments in the plans </w:t>
      </w:r>
      <w:r w:rsidR="00993B00" w:rsidRPr="00993B00">
        <w:rPr>
          <w:noProof/>
        </w:rPr>
        <w:t>enables disbursements to the Member State of grants and loan</w:t>
      </w:r>
      <w:r w:rsidR="00993B00">
        <w:rPr>
          <w:noProof/>
        </w:rPr>
        <w:t>s</w:t>
      </w:r>
      <w:r w:rsidRPr="00E37566">
        <w:rPr>
          <w:noProof/>
        </w:rPr>
        <w:t>.</w:t>
      </w:r>
      <w:r w:rsidR="00400194">
        <w:rPr>
          <w:noProof/>
        </w:rPr>
        <w:t xml:space="preserve"> </w:t>
      </w:r>
    </w:p>
    <w:p w14:paraId="64957180" w14:textId="21A43539" w:rsidR="00400194" w:rsidRDefault="00400194" w:rsidP="00E37566">
      <w:pPr>
        <w:rPr>
          <w:noProof/>
        </w:rPr>
      </w:pPr>
      <w:r>
        <w:rPr>
          <w:noProof/>
        </w:rPr>
        <w:t>The RRF regulation</w:t>
      </w:r>
      <w:r>
        <w:rPr>
          <w:rStyle w:val="FootnoteReference"/>
          <w:noProof/>
        </w:rPr>
        <w:footnoteReference w:id="68"/>
      </w:r>
      <w:r w:rsidR="004E724E">
        <w:rPr>
          <w:noProof/>
        </w:rPr>
        <w:t xml:space="preserve"> requires that</w:t>
      </w:r>
      <w:r w:rsidR="00993B00">
        <w:rPr>
          <w:noProof/>
        </w:rPr>
        <w:t xml:space="preserve"> Member States take all appropriate measures to protect the </w:t>
      </w:r>
      <w:r w:rsidR="00C829C4">
        <w:rPr>
          <w:noProof/>
        </w:rPr>
        <w:t xml:space="preserve">EU’s </w:t>
      </w:r>
      <w:r w:rsidR="00993B00">
        <w:rPr>
          <w:noProof/>
        </w:rPr>
        <w:t xml:space="preserve">financial interests and to ensure that the </w:t>
      </w:r>
      <w:r w:rsidR="00993B00" w:rsidRPr="009A3B80">
        <w:rPr>
          <w:b/>
          <w:noProof/>
        </w:rPr>
        <w:t>use of funds complies with applicable EU and national laws</w:t>
      </w:r>
      <w:r w:rsidR="00993B00">
        <w:rPr>
          <w:noProof/>
        </w:rPr>
        <w:t xml:space="preserve">. To </w:t>
      </w:r>
      <w:r w:rsidR="004E724E">
        <w:rPr>
          <w:noProof/>
        </w:rPr>
        <w:t>this effect, the Member State must provide an effective and efficient internal control system and the recovery of amounts wrongly paid or incorrectly used.</w:t>
      </w:r>
      <w:r w:rsidR="00993B00">
        <w:rPr>
          <w:noProof/>
        </w:rPr>
        <w:t xml:space="preserve"> This </w:t>
      </w:r>
      <w:r w:rsidR="00993B00" w:rsidRPr="009A3B80">
        <w:rPr>
          <w:b/>
          <w:noProof/>
        </w:rPr>
        <w:t>new delivery model</w:t>
      </w:r>
      <w:r w:rsidR="00993B00">
        <w:rPr>
          <w:noProof/>
        </w:rPr>
        <w:t xml:space="preserve"> gives Member States a major responsibility in ensuring that these resources are protected from fraud, corruption, conflict of interests (defined as ‘serious irregularities’) and double funding.</w:t>
      </w:r>
    </w:p>
    <w:p w14:paraId="54302290" w14:textId="6400F88C" w:rsidR="00E37566" w:rsidRDefault="005E5525" w:rsidP="00505DEA">
      <w:pPr>
        <w:pStyle w:val="Caption"/>
        <w:keepNext/>
        <w:rPr>
          <w:noProof/>
        </w:rPr>
      </w:pPr>
      <w:r>
        <w:rPr>
          <w:noProof/>
        </w:rPr>
        <w:t xml:space="preserve">Figure </w:t>
      </w:r>
      <w:r w:rsidR="00EA0D7C">
        <w:rPr>
          <w:noProof/>
        </w:rPr>
        <w:fldChar w:fldCharType="begin"/>
      </w:r>
      <w:r w:rsidR="00EA0D7C">
        <w:rPr>
          <w:noProof/>
        </w:rPr>
        <w:instrText xml:space="preserve"> SEQ Figure \* ARABIC </w:instrText>
      </w:r>
      <w:r w:rsidR="00EA0D7C">
        <w:rPr>
          <w:noProof/>
        </w:rPr>
        <w:fldChar w:fldCharType="separate"/>
      </w:r>
      <w:r w:rsidR="00F963A8">
        <w:rPr>
          <w:noProof/>
        </w:rPr>
        <w:t>4</w:t>
      </w:r>
      <w:r w:rsidR="00EA0D7C">
        <w:rPr>
          <w:noProof/>
        </w:rPr>
        <w:fldChar w:fldCharType="end"/>
      </w:r>
      <w:r>
        <w:rPr>
          <w:noProof/>
        </w:rPr>
        <w:t xml:space="preserve"> – Assessment process of national plans</w:t>
      </w:r>
    </w:p>
    <w:p w14:paraId="55AAD56A" w14:textId="4B93AB98" w:rsidR="005E5525" w:rsidRDefault="00807C3A" w:rsidP="005E5525">
      <w:pPr>
        <w:rPr>
          <w:noProof/>
        </w:rPr>
      </w:pPr>
      <w:r>
        <w:rPr>
          <w:noProof/>
        </w:rPr>
        <w:drawing>
          <wp:inline distT="0" distB="0" distL="0" distR="0" wp14:anchorId="362E90AD" wp14:editId="5662FD5A">
            <wp:extent cx="5472430" cy="3192145"/>
            <wp:effectExtent l="38100" t="0" r="330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5CA1AF4" w14:textId="7EAE736B" w:rsidR="005E5525" w:rsidRDefault="00CA6A5F" w:rsidP="005E5525">
      <w:pPr>
        <w:rPr>
          <w:noProof/>
        </w:rPr>
      </w:pPr>
      <w:r>
        <w:rPr>
          <w:noProof/>
        </w:rPr>
        <w:t>E</w:t>
      </w:r>
      <w:r w:rsidR="005E5525">
        <w:rPr>
          <w:noProof/>
        </w:rPr>
        <w:t xml:space="preserve">ach plan </w:t>
      </w:r>
      <w:r>
        <w:rPr>
          <w:noProof/>
        </w:rPr>
        <w:t xml:space="preserve">therefore </w:t>
      </w:r>
      <w:r w:rsidR="005E5525">
        <w:rPr>
          <w:noProof/>
        </w:rPr>
        <w:t xml:space="preserve">contains a </w:t>
      </w:r>
      <w:r w:rsidR="005E5525" w:rsidRPr="009A3B80">
        <w:rPr>
          <w:b/>
          <w:noProof/>
        </w:rPr>
        <w:t>control and audit</w:t>
      </w:r>
      <w:r w:rsidR="005E5525">
        <w:rPr>
          <w:noProof/>
        </w:rPr>
        <w:t xml:space="preserve"> </w:t>
      </w:r>
      <w:r w:rsidR="005E5525" w:rsidRPr="00F379FF">
        <w:rPr>
          <w:b/>
          <w:noProof/>
        </w:rPr>
        <w:t>section</w:t>
      </w:r>
      <w:r w:rsidR="005E5525">
        <w:rPr>
          <w:noProof/>
        </w:rPr>
        <w:t xml:space="preserve"> where Member States </w:t>
      </w:r>
      <w:r w:rsidR="00EC369B">
        <w:rPr>
          <w:noProof/>
        </w:rPr>
        <w:t xml:space="preserve">describe </w:t>
      </w:r>
      <w:r w:rsidR="005E5525">
        <w:rPr>
          <w:noProof/>
        </w:rPr>
        <w:t xml:space="preserve">the measures (including anti-fraud measures) which they will implement </w:t>
      </w:r>
      <w:r w:rsidR="00EC369B">
        <w:rPr>
          <w:noProof/>
        </w:rPr>
        <w:t xml:space="preserve">and identify </w:t>
      </w:r>
      <w:r w:rsidR="00EC369B" w:rsidRPr="009A3B80">
        <w:rPr>
          <w:b/>
          <w:noProof/>
        </w:rPr>
        <w:t>specific milestones and targets</w:t>
      </w:r>
      <w:r w:rsidR="00EC369B">
        <w:rPr>
          <w:noProof/>
        </w:rPr>
        <w:t xml:space="preserve"> </w:t>
      </w:r>
      <w:r w:rsidR="005E5525">
        <w:rPr>
          <w:noProof/>
        </w:rPr>
        <w:t xml:space="preserve">to protect the EU’s financial interests from </w:t>
      </w:r>
      <w:r w:rsidR="004E724E">
        <w:rPr>
          <w:noProof/>
        </w:rPr>
        <w:t>serious irregularities</w:t>
      </w:r>
      <w:r w:rsidR="005E5525">
        <w:rPr>
          <w:noProof/>
        </w:rPr>
        <w:t xml:space="preserve"> and double funding. </w:t>
      </w:r>
      <w:r w:rsidR="00EC369B" w:rsidRPr="00EC369B">
        <w:rPr>
          <w:noProof/>
        </w:rPr>
        <w:t>The Commission can only assess positively a plan if it rates positively on its control systems.</w:t>
      </w:r>
      <w:r w:rsidR="00EC369B">
        <w:rPr>
          <w:noProof/>
        </w:rPr>
        <w:t xml:space="preserve"> </w:t>
      </w:r>
      <w:r w:rsidR="00E85CD3">
        <w:rPr>
          <w:noProof/>
        </w:rPr>
        <w:t xml:space="preserve">As a Commission service, </w:t>
      </w:r>
      <w:r w:rsidR="005E5525" w:rsidRPr="005E5525">
        <w:rPr>
          <w:noProof/>
        </w:rPr>
        <w:t xml:space="preserve">OLAF </w:t>
      </w:r>
      <w:r w:rsidR="008D394A">
        <w:rPr>
          <w:noProof/>
        </w:rPr>
        <w:t xml:space="preserve">contributed to the </w:t>
      </w:r>
      <w:r w:rsidR="005E5525" w:rsidRPr="005E5525">
        <w:rPr>
          <w:noProof/>
        </w:rPr>
        <w:t>Commission</w:t>
      </w:r>
      <w:r w:rsidR="008D394A">
        <w:rPr>
          <w:noProof/>
        </w:rPr>
        <w:t>’s assessment</w:t>
      </w:r>
      <w:r w:rsidR="005E5525" w:rsidRPr="005E5525">
        <w:rPr>
          <w:noProof/>
        </w:rPr>
        <w:t xml:space="preserve"> </w:t>
      </w:r>
      <w:r w:rsidR="008D394A">
        <w:rPr>
          <w:noProof/>
        </w:rPr>
        <w:t xml:space="preserve">of </w:t>
      </w:r>
      <w:r w:rsidR="005E5525" w:rsidRPr="005E5525">
        <w:rPr>
          <w:noProof/>
        </w:rPr>
        <w:t xml:space="preserve">the </w:t>
      </w:r>
      <w:r>
        <w:rPr>
          <w:noProof/>
        </w:rPr>
        <w:t xml:space="preserve">Member States’ </w:t>
      </w:r>
      <w:r w:rsidR="005E5525" w:rsidRPr="005E5525">
        <w:rPr>
          <w:noProof/>
        </w:rPr>
        <w:t xml:space="preserve">recovery and resilience plans, by providing </w:t>
      </w:r>
      <w:r w:rsidR="005E5525" w:rsidRPr="009A3B80">
        <w:rPr>
          <w:b/>
          <w:noProof/>
        </w:rPr>
        <w:t>targeted anti-fraud advice</w:t>
      </w:r>
      <w:r w:rsidR="008D394A">
        <w:rPr>
          <w:noProof/>
        </w:rPr>
        <w:t>.</w:t>
      </w:r>
      <w:r w:rsidR="005E5525">
        <w:rPr>
          <w:noProof/>
        </w:rPr>
        <w:t xml:space="preserve"> </w:t>
      </w:r>
      <w:r w:rsidR="008D394A">
        <w:rPr>
          <w:noProof/>
        </w:rPr>
        <w:t xml:space="preserve">Cooperation with national authorities is ongoing to </w:t>
      </w:r>
      <w:r w:rsidR="005E5525" w:rsidRPr="005E5525">
        <w:rPr>
          <w:noProof/>
        </w:rPr>
        <w:t>exchange views</w:t>
      </w:r>
      <w:r>
        <w:rPr>
          <w:noProof/>
        </w:rPr>
        <w:t xml:space="preserve"> and</w:t>
      </w:r>
      <w:r w:rsidR="005E5525" w:rsidRPr="005E5525">
        <w:rPr>
          <w:noProof/>
        </w:rPr>
        <w:t xml:space="preserve"> facilitate the dissemination of good practices and experiences (such as use of IT tools</w:t>
      </w:r>
      <w:r w:rsidR="005E5525">
        <w:rPr>
          <w:noProof/>
        </w:rPr>
        <w:t xml:space="preserve"> – see also </w:t>
      </w:r>
      <w:r>
        <w:rPr>
          <w:b/>
          <w:noProof/>
        </w:rPr>
        <w:t>S</w:t>
      </w:r>
      <w:r w:rsidRPr="005E5525">
        <w:rPr>
          <w:b/>
          <w:noProof/>
        </w:rPr>
        <w:t>ection</w:t>
      </w:r>
      <w:r>
        <w:rPr>
          <w:noProof/>
        </w:rPr>
        <w:t xml:space="preserve"> </w:t>
      </w:r>
      <w:r w:rsidR="005E5525" w:rsidRPr="00F379FF">
        <w:rPr>
          <w:b/>
          <w:noProof/>
        </w:rPr>
        <w:t>4.2</w:t>
      </w:r>
      <w:r w:rsidR="008D394A" w:rsidRPr="00F379FF">
        <w:rPr>
          <w:b/>
          <w:noProof/>
        </w:rPr>
        <w:t>.1</w:t>
      </w:r>
      <w:r w:rsidR="005E5525" w:rsidRPr="005E5525">
        <w:rPr>
          <w:noProof/>
        </w:rPr>
        <w:t>).</w:t>
      </w:r>
    </w:p>
    <w:p w14:paraId="0578B525" w14:textId="4E007F43" w:rsidR="00924DFB" w:rsidRDefault="004E724E" w:rsidP="008A6DCE">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61" w:name="_Toc105777775"/>
      <w:bookmarkStart w:id="62" w:name="_Toc110444019"/>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11</w:t>
      </w:r>
      <w:r w:rsidR="00EA0D7C">
        <w:rPr>
          <w:noProof/>
        </w:rPr>
        <w:fldChar w:fldCharType="end"/>
      </w:r>
      <w:r>
        <w:rPr>
          <w:noProof/>
        </w:rPr>
        <w:t xml:space="preserve"> – Operation </w:t>
      </w:r>
      <w:r w:rsidR="00374350">
        <w:rPr>
          <w:noProof/>
        </w:rPr>
        <w:t>SENTINEL</w:t>
      </w:r>
      <w:bookmarkEnd w:id="61"/>
      <w:bookmarkEnd w:id="62"/>
    </w:p>
    <w:p w14:paraId="02CA1041" w14:textId="3CB09456" w:rsidR="004E724E" w:rsidRPr="004E724E" w:rsidRDefault="004E724E" w:rsidP="00E12048">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In September 2021, </w:t>
      </w:r>
      <w:r w:rsidRPr="00C87DB6">
        <w:rPr>
          <w:noProof/>
        </w:rPr>
        <w:t>Europol</w:t>
      </w:r>
      <w:r>
        <w:rPr>
          <w:noProof/>
        </w:rPr>
        <w:t xml:space="preserve">, OLAF, </w:t>
      </w:r>
      <w:r w:rsidR="00A169C9">
        <w:rPr>
          <w:noProof/>
        </w:rPr>
        <w:t xml:space="preserve">the </w:t>
      </w:r>
      <w:r>
        <w:rPr>
          <w:noProof/>
        </w:rPr>
        <w:t>EPPO, Eurojust and 21 Member States</w:t>
      </w:r>
      <w:r w:rsidRPr="00C87DB6">
        <w:rPr>
          <w:noProof/>
        </w:rPr>
        <w:t xml:space="preserve"> join</w:t>
      </w:r>
      <w:r>
        <w:rPr>
          <w:noProof/>
        </w:rPr>
        <w:t>ed</w:t>
      </w:r>
      <w:r w:rsidRPr="00C87DB6">
        <w:rPr>
          <w:noProof/>
        </w:rPr>
        <w:t xml:space="preserve"> forces </w:t>
      </w:r>
      <w:r w:rsidR="00CA6A5F">
        <w:rPr>
          <w:noProof/>
        </w:rPr>
        <w:t xml:space="preserve">as part </w:t>
      </w:r>
      <w:r>
        <w:rPr>
          <w:noProof/>
        </w:rPr>
        <w:t xml:space="preserve">of </w:t>
      </w:r>
      <w:r w:rsidR="00CA6A5F" w:rsidRPr="009A3B80">
        <w:rPr>
          <w:b/>
          <w:noProof/>
        </w:rPr>
        <w:t xml:space="preserve">Operation </w:t>
      </w:r>
      <w:r w:rsidRPr="009A3B80">
        <w:rPr>
          <w:b/>
          <w:noProof/>
        </w:rPr>
        <w:t>SENTINEL</w:t>
      </w:r>
      <w:r>
        <w:rPr>
          <w:noProof/>
        </w:rPr>
        <w:t xml:space="preserve"> </w:t>
      </w:r>
      <w:r w:rsidRPr="004E724E">
        <w:rPr>
          <w:noProof/>
        </w:rPr>
        <w:t xml:space="preserve">to anticipate the expected wave of fraud </w:t>
      </w:r>
      <w:r w:rsidR="00CA6A5F">
        <w:rPr>
          <w:noProof/>
        </w:rPr>
        <w:t xml:space="preserve">affecting </w:t>
      </w:r>
      <w:r w:rsidRPr="004E724E">
        <w:rPr>
          <w:noProof/>
        </w:rPr>
        <w:t xml:space="preserve">the recovery funds. </w:t>
      </w:r>
      <w:r w:rsidR="00CA6A5F">
        <w:rPr>
          <w:noProof/>
        </w:rPr>
        <w:t xml:space="preserve">To </w:t>
      </w:r>
      <w:r w:rsidRPr="004E724E">
        <w:rPr>
          <w:noProof/>
        </w:rPr>
        <w:t xml:space="preserve">this </w:t>
      </w:r>
      <w:r w:rsidR="00CA6A5F">
        <w:rPr>
          <w:noProof/>
        </w:rPr>
        <w:t>end</w:t>
      </w:r>
      <w:r w:rsidRPr="004E724E">
        <w:rPr>
          <w:noProof/>
        </w:rPr>
        <w:t xml:space="preserve">, Europol </w:t>
      </w:r>
      <w:r w:rsidR="00E12048">
        <w:rPr>
          <w:noProof/>
        </w:rPr>
        <w:t>established</w:t>
      </w:r>
      <w:r w:rsidRPr="004E724E">
        <w:rPr>
          <w:noProof/>
        </w:rPr>
        <w:t xml:space="preserve"> a dedicated internal mechanism to process operational data, </w:t>
      </w:r>
      <w:r w:rsidR="00CA6A5F">
        <w:rPr>
          <w:noProof/>
        </w:rPr>
        <w:t xml:space="preserve">help with </w:t>
      </w:r>
      <w:r w:rsidRPr="004E724E">
        <w:rPr>
          <w:noProof/>
        </w:rPr>
        <w:t>information exchanges and support ongoing cases. The joint activities target</w:t>
      </w:r>
      <w:r w:rsidR="00CA6A5F">
        <w:rPr>
          <w:noProof/>
        </w:rPr>
        <w:t>ed</w:t>
      </w:r>
      <w:r w:rsidRPr="004E724E">
        <w:rPr>
          <w:noProof/>
        </w:rPr>
        <w:t xml:space="preserve"> fraud, as well as tax evasion, excise fraud, corruption, embezzlement, misappropriation and money laundering.</w:t>
      </w:r>
      <w:r>
        <w:rPr>
          <w:noProof/>
        </w:rPr>
        <w:t xml:space="preserve"> Europol and OLAF </w:t>
      </w:r>
      <w:r w:rsidR="00D161B4">
        <w:rPr>
          <w:noProof/>
        </w:rPr>
        <w:t>issued</w:t>
      </w:r>
      <w:r w:rsidRPr="00C87DB6">
        <w:rPr>
          <w:noProof/>
        </w:rPr>
        <w:t xml:space="preserve"> a Joint Report</w:t>
      </w:r>
      <w:r w:rsidR="00CA6A5F">
        <w:rPr>
          <w:noProof/>
        </w:rPr>
        <w:t xml:space="preserve"> </w:t>
      </w:r>
      <w:r w:rsidR="00CA6A5F" w:rsidRPr="00CA6A5F">
        <w:rPr>
          <w:noProof/>
        </w:rPr>
        <w:t>–</w:t>
      </w:r>
      <w:r w:rsidR="00CA6A5F" w:rsidRPr="00C87DB6">
        <w:rPr>
          <w:noProof/>
        </w:rPr>
        <w:t xml:space="preserve"> </w:t>
      </w:r>
      <w:r w:rsidRPr="00C87DB6">
        <w:rPr>
          <w:noProof/>
        </w:rPr>
        <w:t>‘Assessing the Threats to the Next Generation EU (NGEU) Fund’</w:t>
      </w:r>
      <w:r w:rsidR="00D161B4">
        <w:rPr>
          <w:noProof/>
        </w:rPr>
        <w:t xml:space="preserve"> </w:t>
      </w:r>
      <w:r w:rsidR="00CA6A5F" w:rsidRPr="00CA6A5F">
        <w:rPr>
          <w:noProof/>
        </w:rPr>
        <w:t>–</w:t>
      </w:r>
      <w:r w:rsidR="00CA6A5F">
        <w:rPr>
          <w:noProof/>
        </w:rPr>
        <w:t xml:space="preserve"> </w:t>
      </w:r>
      <w:r w:rsidRPr="00C87DB6">
        <w:rPr>
          <w:noProof/>
        </w:rPr>
        <w:t xml:space="preserve">in </w:t>
      </w:r>
      <w:r w:rsidR="00E12048">
        <w:rPr>
          <w:noProof/>
        </w:rPr>
        <w:t xml:space="preserve">February </w:t>
      </w:r>
      <w:r w:rsidRPr="00C87DB6">
        <w:rPr>
          <w:noProof/>
        </w:rPr>
        <w:t>2022.</w:t>
      </w:r>
    </w:p>
    <w:p w14:paraId="1CDE4FDA" w14:textId="449A3FA5" w:rsidR="00E12048" w:rsidRDefault="00E12048" w:rsidP="005E5525">
      <w:pPr>
        <w:rPr>
          <w:noProof/>
        </w:rPr>
      </w:pPr>
      <w:r>
        <w:rPr>
          <w:noProof/>
        </w:rPr>
        <w:t xml:space="preserve">Among Member States’ obligations in relation to measures for protecting the EU’s financial interests, the collection of data </w:t>
      </w:r>
      <w:r w:rsidR="00CA6A5F">
        <w:rPr>
          <w:noProof/>
        </w:rPr>
        <w:t xml:space="preserve">on </w:t>
      </w:r>
      <w:r>
        <w:rPr>
          <w:noProof/>
        </w:rPr>
        <w:t xml:space="preserve">beneficiaries, contractors, sub-contractors and beneficial owners is prominent. </w:t>
      </w:r>
      <w:r w:rsidR="00F6567C" w:rsidRPr="00F6567C">
        <w:rPr>
          <w:noProof/>
        </w:rPr>
        <w:t xml:space="preserve">The Commission </w:t>
      </w:r>
      <w:r w:rsidR="00D161B4">
        <w:rPr>
          <w:noProof/>
        </w:rPr>
        <w:t>has made</w:t>
      </w:r>
      <w:r w:rsidR="00F6567C" w:rsidRPr="00F6567C">
        <w:rPr>
          <w:noProof/>
        </w:rPr>
        <w:t xml:space="preserve"> </w:t>
      </w:r>
      <w:r w:rsidR="00A86074">
        <w:rPr>
          <w:noProof/>
        </w:rPr>
        <w:t>Arachne</w:t>
      </w:r>
      <w:r w:rsidR="00D161B4">
        <w:rPr>
          <w:noProof/>
        </w:rPr>
        <w:t xml:space="preserve"> </w:t>
      </w:r>
      <w:r w:rsidR="00CA6A5F">
        <w:rPr>
          <w:noProof/>
        </w:rPr>
        <w:t xml:space="preserve">available </w:t>
      </w:r>
      <w:r w:rsidR="00F6567C" w:rsidRPr="00F6567C">
        <w:rPr>
          <w:noProof/>
        </w:rPr>
        <w:t xml:space="preserve">to the Member States </w:t>
      </w:r>
      <w:r w:rsidR="00D161B4">
        <w:rPr>
          <w:noProof/>
        </w:rPr>
        <w:t>for use in relation to the RRF.</w:t>
      </w:r>
    </w:p>
    <w:p w14:paraId="17AA278E" w14:textId="6C888491" w:rsidR="001A2746" w:rsidRDefault="005E5525" w:rsidP="001A2746">
      <w:pPr>
        <w:rPr>
          <w:noProof/>
        </w:rPr>
      </w:pPr>
      <w:r>
        <w:rPr>
          <w:noProof/>
        </w:rPr>
        <w:t>By the end of 2021, 2</w:t>
      </w:r>
      <w:r w:rsidR="00924DFB">
        <w:rPr>
          <w:noProof/>
        </w:rPr>
        <w:t>2</w:t>
      </w:r>
      <w:r>
        <w:rPr>
          <w:noProof/>
        </w:rPr>
        <w:t xml:space="preserve"> national plans </w:t>
      </w:r>
      <w:r w:rsidR="00542122">
        <w:rPr>
          <w:noProof/>
        </w:rPr>
        <w:t xml:space="preserve">had been </w:t>
      </w:r>
      <w:r>
        <w:rPr>
          <w:noProof/>
        </w:rPr>
        <w:t>adopted</w:t>
      </w:r>
      <w:r w:rsidR="00CA6A5F">
        <w:rPr>
          <w:noProof/>
        </w:rPr>
        <w:t>. They were 25 by 31 July 2022</w:t>
      </w:r>
      <w:r>
        <w:rPr>
          <w:rStyle w:val="FootnoteReference"/>
          <w:noProof/>
        </w:rPr>
        <w:footnoteReference w:id="69"/>
      </w:r>
      <w:r w:rsidR="00F6567C">
        <w:rPr>
          <w:noProof/>
        </w:rPr>
        <w:t xml:space="preserve">. </w:t>
      </w:r>
    </w:p>
    <w:p w14:paraId="75BC3665" w14:textId="77777777" w:rsidR="00FB5CF5" w:rsidRDefault="00FB5CF5" w:rsidP="00FB5CF5">
      <w:pPr>
        <w:pStyle w:val="Heading2"/>
        <w:rPr>
          <w:noProof/>
        </w:rPr>
      </w:pPr>
      <w:bookmarkStart w:id="63" w:name="_Toc110444064"/>
      <w:r>
        <w:rPr>
          <w:noProof/>
        </w:rPr>
        <w:t>Protection of whistle-blowers</w:t>
      </w:r>
      <w:bookmarkEnd w:id="63"/>
    </w:p>
    <w:p w14:paraId="507FA94A" w14:textId="4C529088" w:rsidR="00D933F0" w:rsidRDefault="00D933F0" w:rsidP="00D933F0">
      <w:pPr>
        <w:rPr>
          <w:noProof/>
        </w:rPr>
      </w:pPr>
      <w:r w:rsidRPr="00D933F0">
        <w:rPr>
          <w:noProof/>
        </w:rPr>
        <w:t xml:space="preserve">Unlawful activities and abuse of law may occur in any organisation, whether private or public, big or small. They can take many forms, </w:t>
      </w:r>
      <w:r w:rsidR="007A15FF">
        <w:rPr>
          <w:noProof/>
        </w:rPr>
        <w:t xml:space="preserve">such as </w:t>
      </w:r>
      <w:r w:rsidRPr="00D933F0">
        <w:rPr>
          <w:noProof/>
        </w:rPr>
        <w:t xml:space="preserve">corruption, fraud, businesses’ malpractice or negligence. </w:t>
      </w:r>
      <w:r w:rsidR="00A86074">
        <w:rPr>
          <w:noProof/>
        </w:rPr>
        <w:t>I</w:t>
      </w:r>
      <w:r w:rsidRPr="00D933F0">
        <w:rPr>
          <w:noProof/>
        </w:rPr>
        <w:t xml:space="preserve">f not addressed, </w:t>
      </w:r>
      <w:r w:rsidR="00A86074">
        <w:rPr>
          <w:noProof/>
        </w:rPr>
        <w:t xml:space="preserve">such activities </w:t>
      </w:r>
      <w:r w:rsidRPr="00D933F0">
        <w:rPr>
          <w:noProof/>
        </w:rPr>
        <w:t>can result in serious harm to the public interest.</w:t>
      </w:r>
      <w:r w:rsidR="00586B86">
        <w:rPr>
          <w:noProof/>
        </w:rPr>
        <w:t xml:space="preserve"> </w:t>
      </w:r>
      <w:r w:rsidR="00586B86" w:rsidRPr="00586B86">
        <w:rPr>
          <w:noProof/>
        </w:rPr>
        <w:t>People who work for an organisation or are in contact with it in their work-related activities are often the first to know about such occurrences and are, therefore, in a privileged position to inform those who can address the problem.</w:t>
      </w:r>
    </w:p>
    <w:p w14:paraId="4C8E6B9A" w14:textId="4DDA737A" w:rsidR="00586B86" w:rsidRDefault="00586B86" w:rsidP="00586B86">
      <w:pPr>
        <w:rPr>
          <w:noProof/>
        </w:rPr>
      </w:pPr>
      <w:r w:rsidRPr="009A3B80">
        <w:rPr>
          <w:b/>
          <w:noProof/>
        </w:rPr>
        <w:t>Whistleblowers</w:t>
      </w:r>
      <w:r>
        <w:rPr>
          <w:noProof/>
        </w:rPr>
        <w:t xml:space="preserve">, i.e. </w:t>
      </w:r>
      <w:r w:rsidR="00542122">
        <w:rPr>
          <w:noProof/>
        </w:rPr>
        <w:t xml:space="preserve">people </w:t>
      </w:r>
      <w:r>
        <w:rPr>
          <w:noProof/>
        </w:rPr>
        <w:t xml:space="preserve">who report (in the organisation concerned or to an outside authority) or disclose (to the public) information on wrongdoing obtained in a work-related context, help </w:t>
      </w:r>
      <w:r w:rsidRPr="009A3B80">
        <w:rPr>
          <w:b/>
          <w:noProof/>
        </w:rPr>
        <w:t xml:space="preserve">prevent damage and </w:t>
      </w:r>
      <w:r w:rsidR="00542122" w:rsidRPr="009A3B80">
        <w:rPr>
          <w:b/>
          <w:noProof/>
        </w:rPr>
        <w:t xml:space="preserve">detect </w:t>
      </w:r>
      <w:r w:rsidRPr="009A3B80">
        <w:rPr>
          <w:b/>
          <w:noProof/>
        </w:rPr>
        <w:t>threat or harm</w:t>
      </w:r>
      <w:r>
        <w:rPr>
          <w:noProof/>
        </w:rPr>
        <w:t xml:space="preserve"> to the public interest that may otherwise </w:t>
      </w:r>
      <w:r w:rsidR="00542122">
        <w:rPr>
          <w:noProof/>
        </w:rPr>
        <w:t>go unnoticed</w:t>
      </w:r>
      <w:r>
        <w:rPr>
          <w:noProof/>
        </w:rPr>
        <w:t>.</w:t>
      </w:r>
    </w:p>
    <w:p w14:paraId="0EC2C61E" w14:textId="77777777" w:rsidR="00D933F0" w:rsidRDefault="00586B86" w:rsidP="00586B86">
      <w:pPr>
        <w:rPr>
          <w:noProof/>
        </w:rPr>
      </w:pPr>
      <w:r>
        <w:rPr>
          <w:noProof/>
        </w:rPr>
        <w:t>However, at European and national level the protection of whistleblowers is uneven and fragmented. As a consequence whistleblowers are often discouraged from reporting their concerns for fear of retaliation.</w:t>
      </w:r>
    </w:p>
    <w:p w14:paraId="61373833" w14:textId="508CE350" w:rsidR="00153135" w:rsidRDefault="00586B86" w:rsidP="00586B86">
      <w:pPr>
        <w:rPr>
          <w:noProof/>
        </w:rPr>
      </w:pPr>
      <w:r w:rsidRPr="00586B86">
        <w:rPr>
          <w:noProof/>
        </w:rPr>
        <w:t>The Directive</w:t>
      </w:r>
      <w:r>
        <w:rPr>
          <w:noProof/>
        </w:rPr>
        <w:t xml:space="preserve"> on the protection of persons who report breaches of EU law, adopted on 23 October 2019 gave Member States until 17 December 2021 to transpose it into national law. </w:t>
      </w:r>
      <w:r w:rsidR="00153135">
        <w:rPr>
          <w:noProof/>
        </w:rPr>
        <w:t xml:space="preserve">It covers many key areas of EU law, </w:t>
      </w:r>
      <w:r w:rsidR="00A86074">
        <w:rPr>
          <w:noProof/>
        </w:rPr>
        <w:t>such as</w:t>
      </w:r>
      <w:r w:rsidR="00153135">
        <w:rPr>
          <w:noProof/>
        </w:rPr>
        <w:t xml:space="preserve"> anti-money laundering, data protection, protection of the </w:t>
      </w:r>
      <w:r w:rsidR="00A86074">
        <w:rPr>
          <w:noProof/>
        </w:rPr>
        <w:t xml:space="preserve">EU’s </w:t>
      </w:r>
      <w:r w:rsidR="00153135">
        <w:rPr>
          <w:noProof/>
        </w:rPr>
        <w:t xml:space="preserve">financial interests, food and product safety, public health, environmental protection and nuclear safety. </w:t>
      </w:r>
    </w:p>
    <w:p w14:paraId="1E73EB6C" w14:textId="45BD9F98" w:rsidR="00586B86" w:rsidRDefault="00586B86" w:rsidP="00586B86">
      <w:pPr>
        <w:rPr>
          <w:noProof/>
        </w:rPr>
      </w:pPr>
      <w:r>
        <w:rPr>
          <w:noProof/>
        </w:rPr>
        <w:t xml:space="preserve">By the end of 2021 only </w:t>
      </w:r>
      <w:r w:rsidRPr="00586B86">
        <w:rPr>
          <w:noProof/>
        </w:rPr>
        <w:t>fi</w:t>
      </w:r>
      <w:r>
        <w:rPr>
          <w:noProof/>
        </w:rPr>
        <w:t>ve Member States</w:t>
      </w:r>
      <w:r>
        <w:rPr>
          <w:rStyle w:val="FootnoteReference"/>
          <w:noProof/>
        </w:rPr>
        <w:footnoteReference w:id="70"/>
      </w:r>
      <w:r>
        <w:rPr>
          <w:noProof/>
        </w:rPr>
        <w:t xml:space="preserve"> </w:t>
      </w:r>
      <w:r w:rsidR="00542122">
        <w:rPr>
          <w:noProof/>
        </w:rPr>
        <w:t xml:space="preserve">had </w:t>
      </w:r>
      <w:r>
        <w:rPr>
          <w:noProof/>
        </w:rPr>
        <w:t>adopted specific legislation. By June 2022, four more Member States</w:t>
      </w:r>
      <w:r>
        <w:rPr>
          <w:rStyle w:val="FootnoteReference"/>
          <w:noProof/>
        </w:rPr>
        <w:footnoteReference w:id="71"/>
      </w:r>
      <w:r>
        <w:rPr>
          <w:noProof/>
        </w:rPr>
        <w:t xml:space="preserve"> </w:t>
      </w:r>
      <w:r w:rsidR="00542122">
        <w:rPr>
          <w:noProof/>
        </w:rPr>
        <w:t>had done so</w:t>
      </w:r>
      <w:r>
        <w:rPr>
          <w:noProof/>
        </w:rPr>
        <w:t>. Only one Member State</w:t>
      </w:r>
      <w:r>
        <w:rPr>
          <w:rStyle w:val="FootnoteReference"/>
          <w:noProof/>
        </w:rPr>
        <w:footnoteReference w:id="72"/>
      </w:r>
      <w:r>
        <w:rPr>
          <w:noProof/>
        </w:rPr>
        <w:t xml:space="preserve"> </w:t>
      </w:r>
      <w:r w:rsidR="00542122">
        <w:rPr>
          <w:noProof/>
        </w:rPr>
        <w:t xml:space="preserve">has </w:t>
      </w:r>
      <w:r>
        <w:rPr>
          <w:noProof/>
        </w:rPr>
        <w:t xml:space="preserve">not </w:t>
      </w:r>
      <w:r w:rsidR="00542122">
        <w:rPr>
          <w:noProof/>
        </w:rPr>
        <w:t xml:space="preserve">yet </w:t>
      </w:r>
      <w:r>
        <w:rPr>
          <w:noProof/>
        </w:rPr>
        <w:t>start</w:t>
      </w:r>
      <w:r w:rsidR="00542122">
        <w:rPr>
          <w:noProof/>
        </w:rPr>
        <w:t>ed</w:t>
      </w:r>
      <w:r>
        <w:rPr>
          <w:noProof/>
        </w:rPr>
        <w:t xml:space="preserve"> </w:t>
      </w:r>
      <w:r w:rsidR="000114A4">
        <w:rPr>
          <w:noProof/>
        </w:rPr>
        <w:t>any</w:t>
      </w:r>
      <w:r>
        <w:rPr>
          <w:noProof/>
        </w:rPr>
        <w:t xml:space="preserve"> procedure yet.</w:t>
      </w:r>
      <w:r w:rsidR="00153135">
        <w:rPr>
          <w:noProof/>
        </w:rPr>
        <w:t xml:space="preserve"> Three Member States</w:t>
      </w:r>
      <w:r w:rsidR="00153135">
        <w:rPr>
          <w:rStyle w:val="FootnoteReference"/>
          <w:noProof/>
        </w:rPr>
        <w:footnoteReference w:id="73"/>
      </w:r>
      <w:r w:rsidR="00153135">
        <w:rPr>
          <w:noProof/>
        </w:rPr>
        <w:t xml:space="preserve"> have even expanded the scope of the Directive. </w:t>
      </w:r>
    </w:p>
    <w:p w14:paraId="601B617A" w14:textId="21CC8964" w:rsidR="00B36D06" w:rsidRPr="00D933F0" w:rsidRDefault="00542122" w:rsidP="00586B86">
      <w:pPr>
        <w:rPr>
          <w:noProof/>
        </w:rPr>
      </w:pPr>
      <w:r>
        <w:rPr>
          <w:noProof/>
        </w:rPr>
        <w:t>B</w:t>
      </w:r>
      <w:r w:rsidR="00B36D06">
        <w:rPr>
          <w:noProof/>
        </w:rPr>
        <w:t xml:space="preserve">y 17 December 2023, </w:t>
      </w:r>
      <w:r>
        <w:rPr>
          <w:noProof/>
        </w:rPr>
        <w:t xml:space="preserve">the Commission must </w:t>
      </w:r>
      <w:r w:rsidR="00B36D06">
        <w:rPr>
          <w:noProof/>
        </w:rPr>
        <w:t xml:space="preserve">submit a report to the European Parliament and the Council on the </w:t>
      </w:r>
      <w:r>
        <w:rPr>
          <w:noProof/>
        </w:rPr>
        <w:t xml:space="preserve">Directive’s </w:t>
      </w:r>
      <w:r w:rsidR="00B36D06">
        <w:rPr>
          <w:noProof/>
        </w:rPr>
        <w:t xml:space="preserve">implementation and application. </w:t>
      </w:r>
    </w:p>
    <w:p w14:paraId="15777DF5" w14:textId="3EBF8942" w:rsidR="00FB5CF5" w:rsidRDefault="00586B86" w:rsidP="00FB5CF5">
      <w:pPr>
        <w:pStyle w:val="Heading2"/>
        <w:rPr>
          <w:noProof/>
        </w:rPr>
      </w:pPr>
      <w:bookmarkStart w:id="64" w:name="_Toc110444065"/>
      <w:r>
        <w:rPr>
          <w:noProof/>
        </w:rPr>
        <w:t xml:space="preserve">The Rule of </w:t>
      </w:r>
      <w:r w:rsidR="00D161B4">
        <w:rPr>
          <w:noProof/>
        </w:rPr>
        <w:t xml:space="preserve">Law </w:t>
      </w:r>
      <w:r w:rsidR="00542122">
        <w:rPr>
          <w:noProof/>
        </w:rPr>
        <w:t>toolbox</w:t>
      </w:r>
      <w:bookmarkEnd w:id="64"/>
    </w:p>
    <w:p w14:paraId="52DDA710" w14:textId="77777777" w:rsidR="00542122" w:rsidRDefault="00542122" w:rsidP="001623A1">
      <w:pPr>
        <w:rPr>
          <w:noProof/>
        </w:rPr>
      </w:pPr>
      <w:r w:rsidRPr="00542122">
        <w:rPr>
          <w:noProof/>
        </w:rPr>
        <w:t xml:space="preserve">As part of the so-called </w:t>
      </w:r>
      <w:r w:rsidRPr="009A3B80">
        <w:rPr>
          <w:b/>
          <w:noProof/>
        </w:rPr>
        <w:t>Rule of Law toolbox</w:t>
      </w:r>
      <w:r w:rsidRPr="00542122">
        <w:rPr>
          <w:noProof/>
        </w:rPr>
        <w:t xml:space="preserve">, the Commission has developed a number of instruments to respond to different challenges to the rule of law. </w:t>
      </w:r>
    </w:p>
    <w:p w14:paraId="2427E46A" w14:textId="63F6AC25" w:rsidR="001623A1" w:rsidRDefault="00542122" w:rsidP="001623A1">
      <w:pPr>
        <w:rPr>
          <w:noProof/>
        </w:rPr>
      </w:pPr>
      <w:r>
        <w:rPr>
          <w:noProof/>
        </w:rPr>
        <w:t>This includes t</w:t>
      </w:r>
      <w:r w:rsidR="001623A1" w:rsidRPr="001623A1">
        <w:rPr>
          <w:noProof/>
        </w:rPr>
        <w:t xml:space="preserve">he </w:t>
      </w:r>
      <w:r w:rsidR="001623A1" w:rsidRPr="009A3B80">
        <w:rPr>
          <w:b/>
          <w:noProof/>
        </w:rPr>
        <w:t>European Rule of Law Mechanism</w:t>
      </w:r>
      <w:r>
        <w:rPr>
          <w:noProof/>
        </w:rPr>
        <w:t xml:space="preserve">, with the </w:t>
      </w:r>
      <w:r w:rsidRPr="009A3B80">
        <w:rPr>
          <w:b/>
          <w:noProof/>
        </w:rPr>
        <w:t>annual Rule of Law Report</w:t>
      </w:r>
      <w:r>
        <w:rPr>
          <w:noProof/>
        </w:rPr>
        <w:t xml:space="preserve"> at its centre. It aims </w:t>
      </w:r>
      <w:r w:rsidR="007540E3" w:rsidRPr="007540E3">
        <w:rPr>
          <w:noProof/>
        </w:rPr>
        <w:t xml:space="preserve">to develop a </w:t>
      </w:r>
      <w:r w:rsidR="007540E3" w:rsidRPr="009A3B80">
        <w:rPr>
          <w:b/>
          <w:noProof/>
        </w:rPr>
        <w:t>stronger awareness and understanding of developments</w:t>
      </w:r>
      <w:r w:rsidR="007540E3" w:rsidRPr="007540E3">
        <w:rPr>
          <w:noProof/>
        </w:rPr>
        <w:t xml:space="preserve"> in the Member States, to be able to identify challenges to the rule of law, develop possible solutions, and target support early on. The Mechanism also provides </w:t>
      </w:r>
      <w:r w:rsidR="001623A1" w:rsidRPr="001623A1">
        <w:rPr>
          <w:noProof/>
        </w:rPr>
        <w:t xml:space="preserve">a process for an </w:t>
      </w:r>
      <w:r w:rsidR="001623A1" w:rsidRPr="009A3B80">
        <w:rPr>
          <w:b/>
          <w:noProof/>
        </w:rPr>
        <w:t>annual dialogue</w:t>
      </w:r>
      <w:r w:rsidR="001623A1" w:rsidRPr="001623A1">
        <w:rPr>
          <w:noProof/>
        </w:rPr>
        <w:t xml:space="preserve"> between the Commission, the Council and the European Parliament together with Member States as well as national parliaments, civil society and other stakeholders on the rule of law. </w:t>
      </w:r>
    </w:p>
    <w:p w14:paraId="2A29E2BD" w14:textId="1E9D2901" w:rsidR="00FB5CF5" w:rsidRDefault="00FB5CF5" w:rsidP="00CD7B44">
      <w:pPr>
        <w:pStyle w:val="Heading3"/>
        <w:rPr>
          <w:noProof/>
        </w:rPr>
      </w:pPr>
      <w:bookmarkStart w:id="65" w:name="_Toc110444066"/>
      <w:r>
        <w:rPr>
          <w:noProof/>
        </w:rPr>
        <w:t>Rule of law report – main findings and highlights in relation to the protection of the EU’s financial interests</w:t>
      </w:r>
      <w:bookmarkEnd w:id="65"/>
    </w:p>
    <w:p w14:paraId="23EC42D4" w14:textId="74A4C49D" w:rsidR="000114A4" w:rsidRDefault="000114A4" w:rsidP="000114A4">
      <w:pPr>
        <w:rPr>
          <w:noProof/>
        </w:rPr>
      </w:pPr>
      <w:r w:rsidRPr="000114A4">
        <w:rPr>
          <w:noProof/>
        </w:rPr>
        <w:t>The 2021 Rule of Law Report</w:t>
      </w:r>
      <w:r>
        <w:rPr>
          <w:rStyle w:val="FootnoteReference"/>
          <w:noProof/>
        </w:rPr>
        <w:footnoteReference w:id="74"/>
      </w:r>
      <w:r w:rsidRPr="000114A4">
        <w:rPr>
          <w:noProof/>
        </w:rPr>
        <w:t>, including its 27 country chapters, presents positive and negative developments</w:t>
      </w:r>
      <w:r w:rsidR="001149B4" w:rsidRPr="001149B4">
        <w:rPr>
          <w:noProof/>
        </w:rPr>
        <w:t xml:space="preserve">, over the period July 2020 to June 2021, </w:t>
      </w:r>
      <w:r w:rsidRPr="000114A4">
        <w:rPr>
          <w:noProof/>
        </w:rPr>
        <w:t xml:space="preserve">across the Member States in four key areas for the rule of law: the </w:t>
      </w:r>
      <w:r w:rsidRPr="009A3B80">
        <w:rPr>
          <w:b/>
          <w:noProof/>
        </w:rPr>
        <w:t>justice system</w:t>
      </w:r>
      <w:r w:rsidRPr="000114A4">
        <w:rPr>
          <w:noProof/>
        </w:rPr>
        <w:t xml:space="preserve">, the </w:t>
      </w:r>
      <w:r w:rsidRPr="009A3B80">
        <w:rPr>
          <w:b/>
          <w:noProof/>
        </w:rPr>
        <w:t>anti-corruption framework</w:t>
      </w:r>
      <w:r w:rsidRPr="000114A4">
        <w:rPr>
          <w:noProof/>
        </w:rPr>
        <w:t xml:space="preserve">, </w:t>
      </w:r>
      <w:r w:rsidRPr="009A3B80">
        <w:rPr>
          <w:b/>
          <w:noProof/>
        </w:rPr>
        <w:t xml:space="preserve">media pluralism </w:t>
      </w:r>
      <w:r w:rsidR="00A50740" w:rsidRPr="009A3B80">
        <w:rPr>
          <w:b/>
          <w:noProof/>
        </w:rPr>
        <w:t>and media freedom</w:t>
      </w:r>
      <w:r w:rsidR="00A50740">
        <w:rPr>
          <w:noProof/>
        </w:rPr>
        <w:t xml:space="preserve"> </w:t>
      </w:r>
      <w:r w:rsidRPr="000114A4">
        <w:rPr>
          <w:noProof/>
        </w:rPr>
        <w:t xml:space="preserve">and </w:t>
      </w:r>
      <w:r w:rsidRPr="009A3B80">
        <w:rPr>
          <w:b/>
          <w:noProof/>
        </w:rPr>
        <w:t>other institutional issues</w:t>
      </w:r>
      <w:r w:rsidRPr="000114A4">
        <w:rPr>
          <w:noProof/>
        </w:rPr>
        <w:t xml:space="preserve"> related to checks and balances.</w:t>
      </w:r>
      <w:r>
        <w:rPr>
          <w:noProof/>
        </w:rPr>
        <w:t xml:space="preserve"> Issues related to the justice system or the anti-corruption framework can have a significant impact on </w:t>
      </w:r>
      <w:r w:rsidR="00542122">
        <w:rPr>
          <w:noProof/>
        </w:rPr>
        <w:t>how</w:t>
      </w:r>
      <w:r>
        <w:rPr>
          <w:noProof/>
        </w:rPr>
        <w:t xml:space="preserve"> the EU’s financial interests are protected in a given Member State.</w:t>
      </w:r>
    </w:p>
    <w:p w14:paraId="39CC9482" w14:textId="432C83CD" w:rsidR="001149B4" w:rsidRDefault="001149B4" w:rsidP="000114A4">
      <w:pPr>
        <w:rPr>
          <w:noProof/>
        </w:rPr>
      </w:pPr>
      <w:r w:rsidRPr="001149B4">
        <w:rPr>
          <w:noProof/>
        </w:rPr>
        <w:t xml:space="preserve">The third Rule of Law report, adopted in </w:t>
      </w:r>
      <w:r w:rsidR="00542122">
        <w:rPr>
          <w:noProof/>
        </w:rPr>
        <w:t xml:space="preserve">July </w:t>
      </w:r>
      <w:r w:rsidRPr="001149B4">
        <w:rPr>
          <w:noProof/>
        </w:rPr>
        <w:t>2022</w:t>
      </w:r>
      <w:r w:rsidR="006D5369">
        <w:rPr>
          <w:rStyle w:val="FootnoteReference"/>
          <w:noProof/>
        </w:rPr>
        <w:footnoteReference w:id="75"/>
      </w:r>
      <w:r w:rsidRPr="001149B4">
        <w:rPr>
          <w:noProof/>
        </w:rPr>
        <w:t xml:space="preserve">, covers the period July 2021 to June 2022 and includes for the first time specific recommendations to </w:t>
      </w:r>
      <w:r w:rsidR="00542122">
        <w:rPr>
          <w:noProof/>
        </w:rPr>
        <w:t xml:space="preserve">all </w:t>
      </w:r>
      <w:r w:rsidRPr="001149B4">
        <w:rPr>
          <w:noProof/>
        </w:rPr>
        <w:t>Member States, as announced by President von der Leyen in the 2021 State of the Union address. In line with the preventive nature of the report, the objective of the recommendations is to support Member States in their efforts to take forward ongoing or planned reforms, to encourage positive developments, and to help them identify where improvements or follow-up to recent changes or reforms may be needed, also with a view to address systemic challenges in certain cases.</w:t>
      </w:r>
    </w:p>
    <w:p w14:paraId="1AC3422B" w14:textId="77777777" w:rsidR="00FB5CF5" w:rsidRDefault="00FB5CF5" w:rsidP="00CD7B44">
      <w:pPr>
        <w:pStyle w:val="Heading3"/>
        <w:rPr>
          <w:noProof/>
        </w:rPr>
      </w:pPr>
      <w:bookmarkStart w:id="66" w:name="_Toc110444067"/>
      <w:r>
        <w:rPr>
          <w:noProof/>
        </w:rPr>
        <w:t>Progress in the implementation of the EU regulation on a general regime of conditionality for the protection of the EU budget</w:t>
      </w:r>
      <w:bookmarkEnd w:id="66"/>
    </w:p>
    <w:p w14:paraId="4FCE2431" w14:textId="5382EA1B" w:rsidR="001623A1" w:rsidRDefault="001623A1" w:rsidP="001623A1">
      <w:pPr>
        <w:rPr>
          <w:noProof/>
        </w:rPr>
      </w:pPr>
      <w:r w:rsidRPr="001623A1">
        <w:rPr>
          <w:noProof/>
        </w:rPr>
        <w:t xml:space="preserve">Regulation (EU, EURATOM) 2020/2092 on a </w:t>
      </w:r>
      <w:r w:rsidRPr="009A3B80">
        <w:rPr>
          <w:b/>
          <w:noProof/>
        </w:rPr>
        <w:t>general regime of conditionality</w:t>
      </w:r>
      <w:r w:rsidRPr="001623A1">
        <w:rPr>
          <w:noProof/>
        </w:rPr>
        <w:t xml:space="preserve"> aims </w:t>
      </w:r>
      <w:r w:rsidR="00542122">
        <w:rPr>
          <w:noProof/>
        </w:rPr>
        <w:t>to</w:t>
      </w:r>
      <w:r w:rsidR="00542122" w:rsidRPr="001623A1">
        <w:rPr>
          <w:noProof/>
        </w:rPr>
        <w:t xml:space="preserve"> </w:t>
      </w:r>
      <w:r w:rsidRPr="001623A1">
        <w:rPr>
          <w:noProof/>
        </w:rPr>
        <w:t xml:space="preserve">protect the </w:t>
      </w:r>
      <w:r w:rsidR="00542122">
        <w:rPr>
          <w:noProof/>
        </w:rPr>
        <w:t xml:space="preserve">EU’s </w:t>
      </w:r>
      <w:r w:rsidRPr="001623A1">
        <w:rPr>
          <w:noProof/>
        </w:rPr>
        <w:t xml:space="preserve">budget </w:t>
      </w:r>
      <w:r w:rsidR="00542122">
        <w:rPr>
          <w:noProof/>
        </w:rPr>
        <w:t xml:space="preserve">from </w:t>
      </w:r>
      <w:r w:rsidRPr="001623A1">
        <w:rPr>
          <w:noProof/>
        </w:rPr>
        <w:t xml:space="preserve">breaches of the principles of the rule of law that affect or </w:t>
      </w:r>
      <w:r w:rsidR="0070289A">
        <w:rPr>
          <w:noProof/>
        </w:rPr>
        <w:t xml:space="preserve">seriously </w:t>
      </w:r>
      <w:r w:rsidRPr="001623A1">
        <w:rPr>
          <w:noProof/>
        </w:rPr>
        <w:t>risk affecting its sound financial management or the protection of the financial interests of the EU in a sufficiently direct way.</w:t>
      </w:r>
    </w:p>
    <w:p w14:paraId="26FB8D12" w14:textId="1A437EC3" w:rsidR="00D161B4" w:rsidRDefault="001623A1">
      <w:pPr>
        <w:rPr>
          <w:noProof/>
        </w:rPr>
      </w:pPr>
      <w:r>
        <w:rPr>
          <w:noProof/>
        </w:rPr>
        <w:t xml:space="preserve">On </w:t>
      </w:r>
      <w:r w:rsidR="00A86074">
        <w:rPr>
          <w:noProof/>
        </w:rPr>
        <w:t xml:space="preserve">2 </w:t>
      </w:r>
      <w:r>
        <w:rPr>
          <w:noProof/>
        </w:rPr>
        <w:t xml:space="preserve">March 2022, </w:t>
      </w:r>
      <w:r w:rsidRPr="009A3B80">
        <w:rPr>
          <w:b/>
          <w:noProof/>
        </w:rPr>
        <w:t>the Commission adopted guidelines</w:t>
      </w:r>
      <w:r>
        <w:rPr>
          <w:rStyle w:val="FootnoteReference"/>
          <w:noProof/>
        </w:rPr>
        <w:footnoteReference w:id="76"/>
      </w:r>
      <w:r>
        <w:rPr>
          <w:noProof/>
        </w:rPr>
        <w:t xml:space="preserve"> </w:t>
      </w:r>
      <w:r w:rsidR="000D0271">
        <w:rPr>
          <w:noProof/>
        </w:rPr>
        <w:t>explaining how</w:t>
      </w:r>
      <w:r w:rsidR="002871C5">
        <w:rPr>
          <w:noProof/>
        </w:rPr>
        <w:t xml:space="preserve"> it</w:t>
      </w:r>
      <w:r w:rsidR="000D0271">
        <w:rPr>
          <w:noProof/>
        </w:rPr>
        <w:t xml:space="preserve"> will apply the regulation, including how the rights of the final recipients and beneficiaries of EU funding will be protected</w:t>
      </w:r>
      <w:r w:rsidR="002871C5">
        <w:rPr>
          <w:noProof/>
        </w:rPr>
        <w:t xml:space="preserve"> </w:t>
      </w:r>
      <w:r w:rsidR="00225A0C">
        <w:rPr>
          <w:noProof/>
        </w:rPr>
        <w:t xml:space="preserve">(see </w:t>
      </w:r>
      <w:r w:rsidR="00542122" w:rsidRPr="00542122">
        <w:rPr>
          <w:b/>
          <w:noProof/>
        </w:rPr>
        <w:t xml:space="preserve">Section </w:t>
      </w:r>
      <w:r w:rsidR="00225A0C" w:rsidRPr="00542122">
        <w:rPr>
          <w:b/>
          <w:noProof/>
        </w:rPr>
        <w:t>7</w:t>
      </w:r>
      <w:r w:rsidR="00225A0C">
        <w:rPr>
          <w:noProof/>
        </w:rPr>
        <w:t>)</w:t>
      </w:r>
      <w:r w:rsidR="000D0271">
        <w:rPr>
          <w:noProof/>
        </w:rPr>
        <w:t>.</w:t>
      </w:r>
    </w:p>
    <w:p w14:paraId="72328ECC" w14:textId="78EBEE76" w:rsidR="0070289A" w:rsidRPr="001623A1" w:rsidRDefault="0070289A" w:rsidP="001623A1">
      <w:pPr>
        <w:rPr>
          <w:noProof/>
        </w:rPr>
      </w:pPr>
      <w:r>
        <w:rPr>
          <w:noProof/>
        </w:rPr>
        <w:t>The Commission has initiated one procedure under the Conditionality Regulation.</w:t>
      </w:r>
    </w:p>
    <w:p w14:paraId="1B5FACE1" w14:textId="77777777" w:rsidR="001623A1" w:rsidRDefault="001623A1" w:rsidP="001623A1">
      <w:pPr>
        <w:pStyle w:val="Heading2"/>
        <w:rPr>
          <w:noProof/>
        </w:rPr>
      </w:pPr>
      <w:bookmarkStart w:id="67" w:name="_Toc110444068"/>
      <w:r>
        <w:rPr>
          <w:noProof/>
        </w:rPr>
        <w:t>Anti-corruption policy</w:t>
      </w:r>
      <w:bookmarkEnd w:id="67"/>
    </w:p>
    <w:p w14:paraId="4077F633" w14:textId="23F29C71" w:rsidR="001149B4" w:rsidRDefault="001623A1" w:rsidP="001149B4">
      <w:pPr>
        <w:rPr>
          <w:noProof/>
        </w:rPr>
      </w:pPr>
      <w:r w:rsidRPr="00EB636F">
        <w:rPr>
          <w:noProof/>
        </w:rPr>
        <w:t>In 2021</w:t>
      </w:r>
      <w:r w:rsidR="001149B4">
        <w:rPr>
          <w:noProof/>
        </w:rPr>
        <w:t>,</w:t>
      </w:r>
      <w:r w:rsidRPr="00EB636F">
        <w:rPr>
          <w:noProof/>
        </w:rPr>
        <w:t xml:space="preserve"> the Commission continued to provide </w:t>
      </w:r>
      <w:r w:rsidRPr="006462D4">
        <w:rPr>
          <w:b/>
          <w:noProof/>
        </w:rPr>
        <w:t>technical support</w:t>
      </w:r>
      <w:r w:rsidRPr="00EB636F">
        <w:rPr>
          <w:noProof/>
        </w:rPr>
        <w:t xml:space="preserve"> to Member States in the area of anti-corruption and integrity th</w:t>
      </w:r>
      <w:r w:rsidR="00A954DF">
        <w:rPr>
          <w:noProof/>
        </w:rPr>
        <w:t>r</w:t>
      </w:r>
      <w:r w:rsidRPr="00EB636F">
        <w:rPr>
          <w:noProof/>
        </w:rPr>
        <w:t xml:space="preserve">ough its programmes, namely the </w:t>
      </w:r>
      <w:r w:rsidRPr="006462D4">
        <w:rPr>
          <w:b/>
          <w:noProof/>
        </w:rPr>
        <w:t>Structural Reform Support Programme</w:t>
      </w:r>
      <w:r w:rsidRPr="00EB636F">
        <w:rPr>
          <w:noProof/>
        </w:rPr>
        <w:t xml:space="preserve"> and the newly established </w:t>
      </w:r>
      <w:r w:rsidRPr="006462D4">
        <w:rPr>
          <w:b/>
          <w:noProof/>
        </w:rPr>
        <w:t>Technical Support Instrument</w:t>
      </w:r>
      <w:r w:rsidRPr="00EB636F">
        <w:rPr>
          <w:noProof/>
        </w:rPr>
        <w:t>. The technical support has facilitated the review of procedures for the selection and appraisal of judges and prosecutors</w:t>
      </w:r>
      <w:r w:rsidR="007C6A8D">
        <w:rPr>
          <w:noProof/>
        </w:rPr>
        <w:t>,</w:t>
      </w:r>
      <w:r w:rsidRPr="00EB636F">
        <w:rPr>
          <w:noProof/>
        </w:rPr>
        <w:t xml:space="preserve"> and the enforcement of anti-corruption measures in education, environment</w:t>
      </w:r>
      <w:r w:rsidR="00257B88">
        <w:rPr>
          <w:noProof/>
        </w:rPr>
        <w:t>al matters</w:t>
      </w:r>
      <w:r w:rsidRPr="00EB636F">
        <w:rPr>
          <w:noProof/>
        </w:rPr>
        <w:t xml:space="preserve"> and sport. Some national authorities received support to establish monitoring mechanisms for their </w:t>
      </w:r>
      <w:r w:rsidR="00257B88">
        <w:rPr>
          <w:noProof/>
        </w:rPr>
        <w:t xml:space="preserve">national </w:t>
      </w:r>
      <w:r w:rsidRPr="00EB636F">
        <w:rPr>
          <w:noProof/>
        </w:rPr>
        <w:t>anti-corruption plan</w:t>
      </w:r>
      <w:r w:rsidR="007C6A8D">
        <w:rPr>
          <w:noProof/>
        </w:rPr>
        <w:t>,</w:t>
      </w:r>
      <w:r w:rsidRPr="00EB636F">
        <w:rPr>
          <w:noProof/>
        </w:rPr>
        <w:t xml:space="preserve"> to revise their rules to manage conflicts of interest</w:t>
      </w:r>
      <w:r w:rsidR="007C6A8D">
        <w:rPr>
          <w:noProof/>
        </w:rPr>
        <w:t>,</w:t>
      </w:r>
      <w:r w:rsidRPr="00EB636F">
        <w:rPr>
          <w:noProof/>
        </w:rPr>
        <w:t xml:space="preserve"> to ensure supervision of public expenditure or to demonstrate preparedness </w:t>
      </w:r>
      <w:r w:rsidR="00257B88">
        <w:rPr>
          <w:noProof/>
        </w:rPr>
        <w:t>for joining the Organi</w:t>
      </w:r>
      <w:r w:rsidR="00DA41DB">
        <w:rPr>
          <w:noProof/>
        </w:rPr>
        <w:t>s</w:t>
      </w:r>
      <w:r w:rsidR="00257B88">
        <w:rPr>
          <w:noProof/>
        </w:rPr>
        <w:t>ation for Economic Cooperation and Development (</w:t>
      </w:r>
      <w:r w:rsidRPr="00EB636F">
        <w:rPr>
          <w:noProof/>
        </w:rPr>
        <w:t>OECD</w:t>
      </w:r>
      <w:r w:rsidR="00257B88">
        <w:rPr>
          <w:noProof/>
        </w:rPr>
        <w:t>)</w:t>
      </w:r>
      <w:r w:rsidRPr="00EB636F">
        <w:rPr>
          <w:noProof/>
        </w:rPr>
        <w:t xml:space="preserve"> Anti-Bribery </w:t>
      </w:r>
      <w:r w:rsidR="00257B88">
        <w:rPr>
          <w:noProof/>
        </w:rPr>
        <w:t>C</w:t>
      </w:r>
      <w:r w:rsidR="00257B88" w:rsidRPr="00EB636F">
        <w:rPr>
          <w:noProof/>
        </w:rPr>
        <w:t>onvention</w:t>
      </w:r>
      <w:r>
        <w:rPr>
          <w:noProof/>
        </w:rPr>
        <w:t>.</w:t>
      </w:r>
      <w:r w:rsidR="001149B4">
        <w:rPr>
          <w:noProof/>
        </w:rPr>
        <w:t xml:space="preserve">  </w:t>
      </w:r>
    </w:p>
    <w:p w14:paraId="552CE0C9" w14:textId="77777777" w:rsidR="001623A1" w:rsidRDefault="001149B4" w:rsidP="001149B4">
      <w:pPr>
        <w:rPr>
          <w:noProof/>
        </w:rPr>
      </w:pPr>
      <w:r w:rsidRPr="00303652">
        <w:rPr>
          <w:noProof/>
        </w:rPr>
        <w:t>The Commission organise</w:t>
      </w:r>
      <w:r>
        <w:rPr>
          <w:noProof/>
        </w:rPr>
        <w:t>s</w:t>
      </w:r>
      <w:r w:rsidRPr="00303652">
        <w:rPr>
          <w:noProof/>
        </w:rPr>
        <w:t xml:space="preserve"> </w:t>
      </w:r>
      <w:r w:rsidRPr="006462D4">
        <w:rPr>
          <w:b/>
          <w:noProof/>
        </w:rPr>
        <w:t>anti-corruption experience-sharing workshops</w:t>
      </w:r>
      <w:r w:rsidRPr="00303652">
        <w:rPr>
          <w:noProof/>
        </w:rPr>
        <w:t xml:space="preserve"> across the EU. </w:t>
      </w:r>
      <w:r>
        <w:rPr>
          <w:noProof/>
        </w:rPr>
        <w:t>On 13 December 2021, the</w:t>
      </w:r>
      <w:r w:rsidRPr="00303652">
        <w:rPr>
          <w:noProof/>
        </w:rPr>
        <w:t xml:space="preserve"> 14th Experience-Sharing Workshop brought together representatives of EU Member States, the European Commission, Europol and academia to discuss the theme of anti-corruption resilience in times of crisis. </w:t>
      </w:r>
      <w:r>
        <w:rPr>
          <w:noProof/>
        </w:rPr>
        <w:t>T</w:t>
      </w:r>
      <w:r w:rsidRPr="00303652">
        <w:rPr>
          <w:noProof/>
        </w:rPr>
        <w:t xml:space="preserve">he Commission also supports </w:t>
      </w:r>
      <w:r w:rsidRPr="006462D4">
        <w:rPr>
          <w:b/>
          <w:noProof/>
        </w:rPr>
        <w:t>projects aimed at improving integrity and addressing corruption</w:t>
      </w:r>
      <w:r w:rsidRPr="00303652">
        <w:rPr>
          <w:noProof/>
        </w:rPr>
        <w:t xml:space="preserve"> in EU </w:t>
      </w:r>
      <w:r>
        <w:rPr>
          <w:noProof/>
        </w:rPr>
        <w:t>Member States</w:t>
      </w:r>
      <w:r w:rsidRPr="00303652">
        <w:rPr>
          <w:noProof/>
        </w:rPr>
        <w:t xml:space="preserve">, amongst others. </w:t>
      </w:r>
      <w:r>
        <w:rPr>
          <w:noProof/>
        </w:rPr>
        <w:t xml:space="preserve">In 2021, </w:t>
      </w:r>
      <w:r w:rsidRPr="00303652">
        <w:rPr>
          <w:noProof/>
        </w:rPr>
        <w:t>anti-corruption projects</w:t>
      </w:r>
      <w:r>
        <w:rPr>
          <w:noProof/>
        </w:rPr>
        <w:t xml:space="preserve"> were</w:t>
      </w:r>
      <w:r w:rsidRPr="00303652">
        <w:rPr>
          <w:noProof/>
        </w:rPr>
        <w:t xml:space="preserve"> funded under the Internal Security Fund Police (ISFP) 2014-2020 </w:t>
      </w:r>
      <w:r>
        <w:rPr>
          <w:noProof/>
        </w:rPr>
        <w:t xml:space="preserve">and </w:t>
      </w:r>
      <w:r w:rsidRPr="00303652">
        <w:rPr>
          <w:noProof/>
        </w:rPr>
        <w:t>include</w:t>
      </w:r>
      <w:r>
        <w:rPr>
          <w:noProof/>
        </w:rPr>
        <w:t>, amongst others, p</w:t>
      </w:r>
      <w:r w:rsidRPr="00EA462C">
        <w:rPr>
          <w:noProof/>
          <w:color w:val="404040"/>
          <w:szCs w:val="22"/>
        </w:rPr>
        <w:t xml:space="preserve">roject C.O.R.E </w:t>
      </w:r>
      <w:r>
        <w:rPr>
          <w:noProof/>
          <w:color w:val="404040"/>
          <w:szCs w:val="22"/>
        </w:rPr>
        <w:t xml:space="preserve">which </w:t>
      </w:r>
      <w:r w:rsidRPr="00EA462C">
        <w:rPr>
          <w:noProof/>
          <w:color w:val="404040"/>
          <w:szCs w:val="22"/>
        </w:rPr>
        <w:t xml:space="preserve">aims at developing and validating a replicable procedure for computing corruption risk in public procurement in the time of pandemic, based on a collection and cross-processing of public </w:t>
      </w:r>
      <w:r w:rsidRPr="00EA462C">
        <w:rPr>
          <w:noProof/>
        </w:rPr>
        <w:t>procurement</w:t>
      </w:r>
      <w:r w:rsidRPr="00EA462C">
        <w:rPr>
          <w:noProof/>
          <w:color w:val="404040"/>
          <w:szCs w:val="22"/>
        </w:rPr>
        <w:t xml:space="preserve"> data. The procedure is intended at enhancing earlier detection of corruption risk and fostering a stronger evidence base for policy reform, by serving primarily anti-corruption authorities and law enforcement agencies, but also journalists and the general public for accountability objectives.</w:t>
      </w:r>
      <w:r>
        <w:rPr>
          <w:noProof/>
          <w:color w:val="404040"/>
          <w:szCs w:val="22"/>
        </w:rPr>
        <w:t xml:space="preserve">  </w:t>
      </w:r>
    </w:p>
    <w:p w14:paraId="35B86C31" w14:textId="3433F7FA" w:rsidR="0091197D" w:rsidRDefault="001149B4" w:rsidP="001623A1">
      <w:pPr>
        <w:rPr>
          <w:noProof/>
        </w:rPr>
      </w:pPr>
      <w:r>
        <w:rPr>
          <w:noProof/>
        </w:rPr>
        <w:t>T</w:t>
      </w:r>
      <w:r w:rsidR="0091197D">
        <w:rPr>
          <w:noProof/>
        </w:rPr>
        <w:t>he Commission</w:t>
      </w:r>
      <w:r w:rsidR="0091197D" w:rsidRPr="0091197D">
        <w:rPr>
          <w:noProof/>
        </w:rPr>
        <w:t xml:space="preserve"> </w:t>
      </w:r>
      <w:r w:rsidR="0091197D">
        <w:rPr>
          <w:noProof/>
        </w:rPr>
        <w:t xml:space="preserve">also </w:t>
      </w:r>
      <w:r w:rsidR="0091197D" w:rsidRPr="0091197D">
        <w:rPr>
          <w:noProof/>
        </w:rPr>
        <w:t>encourage</w:t>
      </w:r>
      <w:r w:rsidR="0091197D">
        <w:rPr>
          <w:noProof/>
        </w:rPr>
        <w:t>s</w:t>
      </w:r>
      <w:r w:rsidR="0091197D" w:rsidRPr="0091197D">
        <w:rPr>
          <w:noProof/>
        </w:rPr>
        <w:t xml:space="preserve"> M</w:t>
      </w:r>
      <w:r w:rsidR="0091197D">
        <w:rPr>
          <w:noProof/>
        </w:rPr>
        <w:t xml:space="preserve">ember </w:t>
      </w:r>
      <w:r w:rsidR="0091197D" w:rsidRPr="0091197D">
        <w:rPr>
          <w:noProof/>
        </w:rPr>
        <w:t>S</w:t>
      </w:r>
      <w:r w:rsidR="0091197D">
        <w:rPr>
          <w:noProof/>
        </w:rPr>
        <w:t>tates</w:t>
      </w:r>
      <w:r w:rsidR="0091197D" w:rsidRPr="0091197D">
        <w:rPr>
          <w:noProof/>
        </w:rPr>
        <w:t xml:space="preserve"> to adopt </w:t>
      </w:r>
      <w:r w:rsidR="0091197D" w:rsidRPr="006462D4">
        <w:rPr>
          <w:b/>
          <w:noProof/>
        </w:rPr>
        <w:t xml:space="preserve">national </w:t>
      </w:r>
      <w:r w:rsidR="006462D4" w:rsidRPr="006462D4">
        <w:rPr>
          <w:b/>
          <w:noProof/>
        </w:rPr>
        <w:t xml:space="preserve">anti-corruption </w:t>
      </w:r>
      <w:r w:rsidR="0091197D" w:rsidRPr="006462D4">
        <w:rPr>
          <w:b/>
          <w:noProof/>
        </w:rPr>
        <w:t>strategies</w:t>
      </w:r>
      <w:r w:rsidR="0091197D">
        <w:rPr>
          <w:noProof/>
        </w:rPr>
        <w:t>, as they ensure that:</w:t>
      </w:r>
    </w:p>
    <w:p w14:paraId="7F1B6039" w14:textId="77777777" w:rsidR="0091197D" w:rsidRDefault="0091197D" w:rsidP="001149B4">
      <w:pPr>
        <w:pStyle w:val="ListBullet"/>
        <w:numPr>
          <w:ilvl w:val="0"/>
          <w:numId w:val="23"/>
        </w:numPr>
        <w:rPr>
          <w:noProof/>
        </w:rPr>
      </w:pPr>
      <w:r w:rsidRPr="0091197D">
        <w:rPr>
          <w:noProof/>
        </w:rPr>
        <w:t xml:space="preserve">political commitments </w:t>
      </w:r>
      <w:r>
        <w:rPr>
          <w:noProof/>
        </w:rPr>
        <w:t>are</w:t>
      </w:r>
      <w:r w:rsidRPr="0091197D">
        <w:rPr>
          <w:noProof/>
        </w:rPr>
        <w:t xml:space="preserve"> t</w:t>
      </w:r>
      <w:r>
        <w:rPr>
          <w:noProof/>
        </w:rPr>
        <w:t>ranslated into concrete actions;</w:t>
      </w:r>
      <w:r w:rsidRPr="0091197D">
        <w:rPr>
          <w:noProof/>
        </w:rPr>
        <w:t xml:space="preserve"> </w:t>
      </w:r>
    </w:p>
    <w:p w14:paraId="58477566" w14:textId="77777777" w:rsidR="0091197D" w:rsidRDefault="0091197D" w:rsidP="001149B4">
      <w:pPr>
        <w:pStyle w:val="ListBullet"/>
        <w:numPr>
          <w:ilvl w:val="0"/>
          <w:numId w:val="23"/>
        </w:numPr>
        <w:rPr>
          <w:noProof/>
        </w:rPr>
      </w:pPr>
      <w:r w:rsidRPr="0091197D">
        <w:rPr>
          <w:noProof/>
        </w:rPr>
        <w:t>legislative or institutional gaps are addressed in a coherent, comprehensive and coordinated manner</w:t>
      </w:r>
      <w:r>
        <w:rPr>
          <w:noProof/>
        </w:rPr>
        <w:t>;</w:t>
      </w:r>
      <w:r w:rsidRPr="0091197D">
        <w:rPr>
          <w:noProof/>
        </w:rPr>
        <w:t xml:space="preserve"> and </w:t>
      </w:r>
    </w:p>
    <w:p w14:paraId="486FAC49" w14:textId="77777777" w:rsidR="0091197D" w:rsidRPr="001623A1" w:rsidRDefault="0091197D" w:rsidP="001149B4">
      <w:pPr>
        <w:pStyle w:val="ListBullet"/>
        <w:numPr>
          <w:ilvl w:val="0"/>
          <w:numId w:val="23"/>
        </w:numPr>
        <w:rPr>
          <w:noProof/>
        </w:rPr>
      </w:pPr>
      <w:r w:rsidRPr="0091197D">
        <w:rPr>
          <w:noProof/>
        </w:rPr>
        <w:t xml:space="preserve">anti-corruption efforts </w:t>
      </w:r>
      <w:r>
        <w:rPr>
          <w:noProof/>
        </w:rPr>
        <w:t xml:space="preserve">are adapted </w:t>
      </w:r>
      <w:r w:rsidRPr="0091197D">
        <w:rPr>
          <w:noProof/>
        </w:rPr>
        <w:t>to an evolving landscape</w:t>
      </w:r>
      <w:r>
        <w:rPr>
          <w:noProof/>
        </w:rPr>
        <w:t>.</w:t>
      </w:r>
    </w:p>
    <w:p w14:paraId="7F314B60" w14:textId="77777777" w:rsidR="00FB5CF5" w:rsidRDefault="000810E6" w:rsidP="00FB5CF5">
      <w:pPr>
        <w:pStyle w:val="Heading1"/>
        <w:rPr>
          <w:noProof/>
        </w:rPr>
      </w:pPr>
      <w:bookmarkStart w:id="68" w:name="_Toc110444069"/>
      <w:r>
        <w:rPr>
          <w:noProof/>
        </w:rPr>
        <w:t>T</w:t>
      </w:r>
      <w:r w:rsidR="00FB5CF5">
        <w:rPr>
          <w:noProof/>
        </w:rPr>
        <w:t>he results of control activities</w:t>
      </w:r>
      <w:bookmarkEnd w:id="68"/>
    </w:p>
    <w:p w14:paraId="2125A06E" w14:textId="77777777" w:rsidR="000810E6" w:rsidRPr="000810E6" w:rsidRDefault="000810E6" w:rsidP="000810E6">
      <w:pPr>
        <w:pStyle w:val="Heading2"/>
        <w:rPr>
          <w:noProof/>
        </w:rPr>
      </w:pPr>
      <w:bookmarkStart w:id="69" w:name="_Toc110444070"/>
      <w:r>
        <w:rPr>
          <w:noProof/>
        </w:rPr>
        <w:t>Data sources and methodology</w:t>
      </w:r>
      <w:bookmarkEnd w:id="69"/>
    </w:p>
    <w:p w14:paraId="3B886DDC" w14:textId="0EECD8C5" w:rsidR="00ED2A33" w:rsidRDefault="00ED2A33" w:rsidP="00ED2A33">
      <w:pPr>
        <w:rPr>
          <w:noProof/>
        </w:rPr>
      </w:pPr>
      <w:r>
        <w:rPr>
          <w:noProof/>
        </w:rPr>
        <w:t>Th</w:t>
      </w:r>
      <w:r w:rsidR="00257B88">
        <w:rPr>
          <w:noProof/>
        </w:rPr>
        <w:t>is</w:t>
      </w:r>
      <w:r>
        <w:rPr>
          <w:noProof/>
        </w:rPr>
        <w:t xml:space="preserve"> section is mainly based on data reported by Member States in the areas of traditional own resources (TOR) and shared management and by </w:t>
      </w:r>
      <w:r w:rsidR="007C6A8D">
        <w:rPr>
          <w:noProof/>
        </w:rPr>
        <w:t>c</w:t>
      </w:r>
      <w:r>
        <w:rPr>
          <w:noProof/>
        </w:rPr>
        <w:t xml:space="preserve">andidate </w:t>
      </w:r>
      <w:r w:rsidR="007C6A8D">
        <w:rPr>
          <w:noProof/>
        </w:rPr>
        <w:t>c</w:t>
      </w:r>
      <w:r>
        <w:rPr>
          <w:noProof/>
        </w:rPr>
        <w:t>ountries in the area of pre-accession. Data concerning direct expenditure (</w:t>
      </w:r>
      <w:r w:rsidR="00AE62DF" w:rsidRPr="00AE62DF">
        <w:rPr>
          <w:b/>
          <w:noProof/>
        </w:rPr>
        <w:t>S</w:t>
      </w:r>
      <w:r w:rsidRPr="00AE62DF">
        <w:rPr>
          <w:b/>
          <w:noProof/>
        </w:rPr>
        <w:t>ection 6.1.2</w:t>
      </w:r>
      <w:r>
        <w:rPr>
          <w:noProof/>
        </w:rPr>
        <w:t xml:space="preserve">) </w:t>
      </w:r>
      <w:r w:rsidR="00257B88">
        <w:rPr>
          <w:noProof/>
        </w:rPr>
        <w:t xml:space="preserve">are </w:t>
      </w:r>
      <w:r>
        <w:rPr>
          <w:noProof/>
        </w:rPr>
        <w:t xml:space="preserve">extracted from the internal accounting system of the Commission. </w:t>
      </w:r>
      <w:r w:rsidRPr="00ED2A33">
        <w:rPr>
          <w:b/>
          <w:noProof/>
        </w:rPr>
        <w:t>Box 2</w:t>
      </w:r>
      <w:r>
        <w:rPr>
          <w:noProof/>
        </w:rPr>
        <w:t xml:space="preserve"> specifies under which conditions reporting from Member States takes place</w:t>
      </w:r>
      <w:r w:rsidR="007937C0">
        <w:rPr>
          <w:noProof/>
        </w:rPr>
        <w:t xml:space="preserve"> and how they are used in this section</w:t>
      </w:r>
      <w:r>
        <w:rPr>
          <w:noProof/>
        </w:rPr>
        <w:t>.</w:t>
      </w:r>
    </w:p>
    <w:p w14:paraId="7BEB58DA" w14:textId="19BBFE68" w:rsidR="00ED2A33" w:rsidRDefault="00ED2A33" w:rsidP="008A6DCE">
      <w:pPr>
        <w:pStyle w:val="Caption"/>
        <w:keepNext/>
        <w:pBdr>
          <w:top w:val="single" w:sz="4" w:space="1" w:color="auto"/>
          <w:left w:val="single" w:sz="4" w:space="1" w:color="auto"/>
          <w:bottom w:val="single" w:sz="4" w:space="1" w:color="auto"/>
          <w:right w:val="single" w:sz="4" w:space="1" w:color="auto"/>
        </w:pBdr>
        <w:shd w:val="clear" w:color="auto" w:fill="E2EFD9" w:themeFill="accent6" w:themeFillTint="33"/>
        <w:rPr>
          <w:noProof/>
        </w:rPr>
      </w:pPr>
      <w:bookmarkStart w:id="70" w:name="_Toc106662323"/>
      <w:r>
        <w:rPr>
          <w:noProof/>
        </w:rPr>
        <w:t xml:space="preserve">Box </w:t>
      </w:r>
      <w:r w:rsidR="00EA0D7C">
        <w:rPr>
          <w:noProof/>
        </w:rPr>
        <w:fldChar w:fldCharType="begin"/>
      </w:r>
      <w:r w:rsidR="00EA0D7C">
        <w:rPr>
          <w:noProof/>
        </w:rPr>
        <w:instrText xml:space="preserve"> SEQ Box \* ARABIC </w:instrText>
      </w:r>
      <w:r w:rsidR="00EA0D7C">
        <w:rPr>
          <w:noProof/>
        </w:rPr>
        <w:fldChar w:fldCharType="separate"/>
      </w:r>
      <w:r w:rsidR="00F963A8">
        <w:rPr>
          <w:noProof/>
        </w:rPr>
        <w:t>2</w:t>
      </w:r>
      <w:r w:rsidR="00EA0D7C">
        <w:rPr>
          <w:noProof/>
        </w:rPr>
        <w:fldChar w:fldCharType="end"/>
      </w:r>
      <w:r>
        <w:rPr>
          <w:noProof/>
        </w:rPr>
        <w:t xml:space="preserve">: </w:t>
      </w:r>
      <w:r w:rsidR="001623A1">
        <w:rPr>
          <w:noProof/>
        </w:rPr>
        <w:t>R</w:t>
      </w:r>
      <w:r>
        <w:rPr>
          <w:noProof/>
        </w:rPr>
        <w:t>eporting of irregularities by Member States</w:t>
      </w:r>
      <w:bookmarkEnd w:id="70"/>
    </w:p>
    <w:p w14:paraId="0EBC8B6D" w14:textId="5DB30B68" w:rsidR="00ED2A33" w:rsidRDefault="00ED2A33"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Sectoral regulations concerning TOR and shared management funds specify a number of conditions under which Member States must report irregularities detected in those area</w:t>
      </w:r>
      <w:r w:rsidR="00652F34">
        <w:rPr>
          <w:noProof/>
        </w:rPr>
        <w:t>s</w:t>
      </w:r>
      <w:r>
        <w:rPr>
          <w:noProof/>
        </w:rPr>
        <w:t>.</w:t>
      </w:r>
    </w:p>
    <w:p w14:paraId="27CED0F2" w14:textId="3594F849" w:rsidR="00257B88" w:rsidRDefault="00257B88"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They use two IT systems to report irregularities: OWNRES in the area of TOR and IMS in share</w:t>
      </w:r>
      <w:r w:rsidR="00F379FF">
        <w:rPr>
          <w:noProof/>
        </w:rPr>
        <w:t>d</w:t>
      </w:r>
      <w:r>
        <w:rPr>
          <w:noProof/>
        </w:rPr>
        <w:t xml:space="preserve"> management and pre-accession.</w:t>
      </w:r>
    </w:p>
    <w:p w14:paraId="723D7B2F" w14:textId="41FD9163" w:rsidR="00ED2A33" w:rsidRDefault="00652F34"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In relation to TOR, Member States must report detected irregularities and fraud involving more than EUR 10 000 and specify in their reporting if the detected case relates to fraudulent behaviour or not.</w:t>
      </w:r>
    </w:p>
    <w:p w14:paraId="3BABA8D2" w14:textId="3DC598C2" w:rsidR="00292801" w:rsidRDefault="00652F34"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 xml:space="preserve">In relation to shared management, the same </w:t>
      </w:r>
      <w:r w:rsidR="00292801">
        <w:rPr>
          <w:noProof/>
        </w:rPr>
        <w:t xml:space="preserve">financial </w:t>
      </w:r>
      <w:r>
        <w:rPr>
          <w:noProof/>
        </w:rPr>
        <w:t xml:space="preserve">threshold </w:t>
      </w:r>
      <w:r w:rsidR="00257B88">
        <w:rPr>
          <w:noProof/>
        </w:rPr>
        <w:t xml:space="preserve">applies </w:t>
      </w:r>
      <w:r w:rsidR="00014908">
        <w:rPr>
          <w:noProof/>
        </w:rPr>
        <w:t xml:space="preserve">and Member States </w:t>
      </w:r>
      <w:r w:rsidR="00257B88">
        <w:rPr>
          <w:noProof/>
        </w:rPr>
        <w:t>must</w:t>
      </w:r>
      <w:r w:rsidR="00014908">
        <w:rPr>
          <w:noProof/>
        </w:rPr>
        <w:t xml:space="preserve"> provide a classification of the reported irregularity, indicating whether the case is a suspected fraud, established fraud or a simple (administrative) irregularity. </w:t>
      </w:r>
      <w:r w:rsidR="00941F7C">
        <w:rPr>
          <w:noProof/>
        </w:rPr>
        <w:t xml:space="preserve">Member States can update the reported irregularities at any time, also modifying their classification. </w:t>
      </w:r>
      <w:r w:rsidR="00014908">
        <w:rPr>
          <w:noProof/>
        </w:rPr>
        <w:t xml:space="preserve">In the case of </w:t>
      </w:r>
      <w:r w:rsidR="003849B5">
        <w:rPr>
          <w:noProof/>
        </w:rPr>
        <w:t xml:space="preserve">a </w:t>
      </w:r>
      <w:r w:rsidR="00014908">
        <w:rPr>
          <w:noProof/>
        </w:rPr>
        <w:t>simple irregularity</w:t>
      </w:r>
      <w:r>
        <w:rPr>
          <w:noProof/>
        </w:rPr>
        <w:t xml:space="preserve">, further derogations </w:t>
      </w:r>
      <w:r w:rsidR="00014908">
        <w:rPr>
          <w:noProof/>
        </w:rPr>
        <w:t>apply and Member States do not need to report cases</w:t>
      </w:r>
      <w:r w:rsidR="00292801">
        <w:rPr>
          <w:noProof/>
        </w:rPr>
        <w:t>:</w:t>
      </w:r>
    </w:p>
    <w:p w14:paraId="437845BF" w14:textId="77777777" w:rsidR="00292801"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sidRPr="00292801">
        <w:rPr>
          <w:noProof/>
        </w:rPr>
        <w:t>where the irregularity consists solely of the failure to execute, in whole or in part, an operation included in the co-financed operational programme owing to the bankruptcy of the beneficiary;</w:t>
      </w:r>
    </w:p>
    <w:p w14:paraId="781898D5" w14:textId="77777777" w:rsidR="00292801"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sidRPr="00292801">
        <w:rPr>
          <w:noProof/>
        </w:rPr>
        <w:t>brought to the attention of the managing authority or certifying authority by the beneficiary voluntarily and before detection by either authority, whether before or after the payment of the public contribution;</w:t>
      </w:r>
    </w:p>
    <w:p w14:paraId="62AC2B86" w14:textId="60823061" w:rsidR="00652F34" w:rsidRDefault="00292801" w:rsidP="008721E6">
      <w:pPr>
        <w:pStyle w:val="ListNumber"/>
        <w:numPr>
          <w:ilvl w:val="0"/>
          <w:numId w:val="16"/>
        </w:num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sidRPr="00292801">
        <w:rPr>
          <w:noProof/>
        </w:rPr>
        <w:t>detected and corrected by the managing authority or certifying authority before inclusion of the expenditure concerned in a statement of expenditure submitted to the Commission.</w:t>
      </w:r>
      <w:r w:rsidR="00014908">
        <w:rPr>
          <w:noProof/>
        </w:rPr>
        <w:t xml:space="preserve"> </w:t>
      </w:r>
    </w:p>
    <w:p w14:paraId="020E8F2C" w14:textId="388A75DE" w:rsidR="00292801" w:rsidRDefault="00292801"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 xml:space="preserve">Two broad categories are used </w:t>
      </w:r>
      <w:r w:rsidR="00257B88">
        <w:rPr>
          <w:noProof/>
        </w:rPr>
        <w:t xml:space="preserve">in </w:t>
      </w:r>
      <w:r>
        <w:rPr>
          <w:noProof/>
        </w:rPr>
        <w:t xml:space="preserve">this report </w:t>
      </w:r>
      <w:r w:rsidR="00257B88">
        <w:rPr>
          <w:noProof/>
        </w:rPr>
        <w:t>for</w:t>
      </w:r>
      <w:r>
        <w:rPr>
          <w:noProof/>
        </w:rPr>
        <w:t xml:space="preserve"> cases reported by the Member States: </w:t>
      </w:r>
      <w:r>
        <w:rPr>
          <w:b/>
          <w:noProof/>
        </w:rPr>
        <w:t>fraudulent irregularities</w:t>
      </w:r>
      <w:r>
        <w:rPr>
          <w:noProof/>
        </w:rPr>
        <w:t xml:space="preserve"> and </w:t>
      </w:r>
      <w:r>
        <w:rPr>
          <w:b/>
          <w:noProof/>
        </w:rPr>
        <w:t>non-fraudulent irregularities</w:t>
      </w:r>
      <w:r>
        <w:rPr>
          <w:noProof/>
        </w:rPr>
        <w:t>.</w:t>
      </w:r>
    </w:p>
    <w:p w14:paraId="03973626" w14:textId="6D6DF7B5" w:rsidR="00292801" w:rsidRDefault="00292801"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b/>
          <w:noProof/>
        </w:rPr>
        <w:t xml:space="preserve">Fraudulent irregularities </w:t>
      </w:r>
      <w:r>
        <w:rPr>
          <w:noProof/>
        </w:rPr>
        <w:t xml:space="preserve">are </w:t>
      </w:r>
      <w:r w:rsidR="00941F7C">
        <w:rPr>
          <w:noProof/>
        </w:rPr>
        <w:t xml:space="preserve">those for which Member States provided the classification of </w:t>
      </w:r>
      <w:r w:rsidR="00941F7C">
        <w:rPr>
          <w:b/>
          <w:noProof/>
        </w:rPr>
        <w:t>fraud</w:t>
      </w:r>
      <w:r w:rsidR="00941F7C">
        <w:rPr>
          <w:noProof/>
        </w:rPr>
        <w:t xml:space="preserve"> in TOR or </w:t>
      </w:r>
      <w:r w:rsidR="00941F7C">
        <w:rPr>
          <w:b/>
          <w:noProof/>
        </w:rPr>
        <w:t>suspected fraud</w:t>
      </w:r>
      <w:r w:rsidR="00941F7C">
        <w:rPr>
          <w:noProof/>
        </w:rPr>
        <w:t xml:space="preserve"> or </w:t>
      </w:r>
      <w:r w:rsidR="00941F7C">
        <w:rPr>
          <w:b/>
          <w:noProof/>
        </w:rPr>
        <w:t xml:space="preserve">established fraud </w:t>
      </w:r>
      <w:r w:rsidR="00941F7C">
        <w:rPr>
          <w:noProof/>
        </w:rPr>
        <w:t xml:space="preserve">in relation to shared management </w:t>
      </w:r>
      <w:r w:rsidR="002871C5">
        <w:rPr>
          <w:noProof/>
        </w:rPr>
        <w:t>and</w:t>
      </w:r>
      <w:r w:rsidR="00257B88">
        <w:rPr>
          <w:noProof/>
        </w:rPr>
        <w:t xml:space="preserve"> </w:t>
      </w:r>
      <w:r w:rsidR="00941F7C">
        <w:rPr>
          <w:noProof/>
        </w:rPr>
        <w:t>pre-accession.</w:t>
      </w:r>
    </w:p>
    <w:p w14:paraId="5B04F4E5" w14:textId="77777777" w:rsidR="00941F7C" w:rsidRDefault="00941F7C" w:rsidP="008721E6">
      <w:pPr>
        <w:pBdr>
          <w:top w:val="single" w:sz="4" w:space="1" w:color="auto"/>
          <w:left w:val="single" w:sz="4" w:space="1" w:color="auto"/>
          <w:bottom w:val="single" w:sz="4" w:space="1" w:color="auto"/>
          <w:right w:val="single" w:sz="4" w:space="1" w:color="auto"/>
        </w:pBdr>
        <w:shd w:val="clear" w:color="auto" w:fill="E2EFD9" w:themeFill="accent6" w:themeFillTint="33"/>
        <w:rPr>
          <w:noProof/>
        </w:rPr>
      </w:pPr>
      <w:r>
        <w:rPr>
          <w:noProof/>
        </w:rPr>
        <w:t xml:space="preserve">The remaining cases are referred to as </w:t>
      </w:r>
      <w:r>
        <w:rPr>
          <w:b/>
          <w:noProof/>
        </w:rPr>
        <w:t>non-fraudulent irregularities</w:t>
      </w:r>
      <w:r>
        <w:rPr>
          <w:noProof/>
        </w:rPr>
        <w:t>.</w:t>
      </w:r>
    </w:p>
    <w:p w14:paraId="6833E2A6" w14:textId="09902FA0" w:rsidR="00941F7C" w:rsidRDefault="00307B43" w:rsidP="00941F7C">
      <w:pPr>
        <w:rPr>
          <w:noProof/>
        </w:rPr>
      </w:pPr>
      <w:r>
        <w:rPr>
          <w:noProof/>
        </w:rPr>
        <w:t>A</w:t>
      </w:r>
      <w:r w:rsidR="007937C0">
        <w:rPr>
          <w:noProof/>
        </w:rPr>
        <w:t xml:space="preserve"> total of </w:t>
      </w:r>
      <w:r w:rsidRPr="00DC1244">
        <w:rPr>
          <w:noProof/>
        </w:rPr>
        <w:t>11 </w:t>
      </w:r>
      <w:r w:rsidR="00387ED0">
        <w:rPr>
          <w:noProof/>
        </w:rPr>
        <w:t xml:space="preserve">218 </w:t>
      </w:r>
      <w:r>
        <w:rPr>
          <w:noProof/>
        </w:rPr>
        <w:t xml:space="preserve">irregularities, involving about EUR </w:t>
      </w:r>
      <w:r w:rsidRPr="00DC1244">
        <w:rPr>
          <w:noProof/>
        </w:rPr>
        <w:t>3.</w:t>
      </w:r>
      <w:r w:rsidR="00387ED0" w:rsidRPr="00DC1244">
        <w:rPr>
          <w:noProof/>
        </w:rPr>
        <w:t xml:space="preserve">24 </w:t>
      </w:r>
      <w:r w:rsidRPr="00DC1244">
        <w:rPr>
          <w:noProof/>
        </w:rPr>
        <w:t>billion</w:t>
      </w:r>
      <w:r>
        <w:rPr>
          <w:noProof/>
        </w:rPr>
        <w:t xml:space="preserve">, were reported in 2021. </w:t>
      </w:r>
      <w:r w:rsidR="00257B88">
        <w:rPr>
          <w:noProof/>
        </w:rPr>
        <w:t>I</w:t>
      </w:r>
      <w:r w:rsidR="00A25416">
        <w:rPr>
          <w:noProof/>
        </w:rPr>
        <w:t xml:space="preserve">n terms of </w:t>
      </w:r>
      <w:r w:rsidR="00257B88">
        <w:rPr>
          <w:noProof/>
        </w:rPr>
        <w:t xml:space="preserve">the </w:t>
      </w:r>
      <w:r w:rsidR="00A25416">
        <w:rPr>
          <w:noProof/>
        </w:rPr>
        <w:t xml:space="preserve">number of reported irregularities the situation is stable </w:t>
      </w:r>
      <w:r w:rsidR="00257B88">
        <w:rPr>
          <w:noProof/>
        </w:rPr>
        <w:t xml:space="preserve">compared to </w:t>
      </w:r>
      <w:r w:rsidR="00A25416">
        <w:rPr>
          <w:noProof/>
        </w:rPr>
        <w:t>2020</w:t>
      </w:r>
      <w:r w:rsidR="00387ED0">
        <w:rPr>
          <w:noProof/>
        </w:rPr>
        <w:t>, with a minor decrease of about 5%</w:t>
      </w:r>
      <w:r w:rsidR="00257B88">
        <w:rPr>
          <w:noProof/>
        </w:rPr>
        <w:t>. However</w:t>
      </w:r>
      <w:r w:rsidR="00A25416">
        <w:rPr>
          <w:noProof/>
        </w:rPr>
        <w:t>, the related amounts represent a significant increase in relation to the previous year</w:t>
      </w:r>
      <w:r w:rsidR="00387ED0">
        <w:rPr>
          <w:noProof/>
        </w:rPr>
        <w:t>, having more than doubled (+121%)</w:t>
      </w:r>
      <w:r w:rsidR="00A25416">
        <w:rPr>
          <w:noProof/>
        </w:rPr>
        <w:t>.</w:t>
      </w:r>
    </w:p>
    <w:p w14:paraId="298AF9AF" w14:textId="77777777" w:rsidR="00A25416" w:rsidRDefault="00A25416" w:rsidP="00941F7C">
      <w:pPr>
        <w:rPr>
          <w:noProof/>
        </w:rPr>
      </w:pPr>
      <w:r>
        <w:rPr>
          <w:b/>
          <w:noProof/>
        </w:rPr>
        <w:t xml:space="preserve">Box 3 </w:t>
      </w:r>
      <w:r>
        <w:rPr>
          <w:noProof/>
        </w:rPr>
        <w:t xml:space="preserve">provides </w:t>
      </w:r>
      <w:r w:rsidR="002F71B1">
        <w:rPr>
          <w:noProof/>
        </w:rPr>
        <w:t>a short methodological note</w:t>
      </w:r>
      <w:r>
        <w:rPr>
          <w:noProof/>
        </w:rPr>
        <w:t xml:space="preserve"> on how to interpret these data and those published in the following sections.</w:t>
      </w:r>
    </w:p>
    <w:p w14:paraId="53998052" w14:textId="220D36DD" w:rsidR="00A25416" w:rsidRDefault="00A25416" w:rsidP="008721E6">
      <w:pPr>
        <w:pStyle w:val="Caption"/>
        <w:pBdr>
          <w:top w:val="single" w:sz="4" w:space="1" w:color="auto"/>
          <w:left w:val="single" w:sz="4" w:space="4" w:color="auto"/>
          <w:bottom w:val="single" w:sz="4" w:space="1" w:color="auto"/>
          <w:right w:val="single" w:sz="4" w:space="4" w:color="auto"/>
        </w:pBdr>
        <w:shd w:val="clear" w:color="auto" w:fill="E2EFD9" w:themeFill="accent6" w:themeFillTint="33"/>
        <w:rPr>
          <w:noProof/>
        </w:rPr>
      </w:pPr>
      <w:bookmarkStart w:id="71" w:name="_Toc106662324"/>
      <w:r>
        <w:rPr>
          <w:noProof/>
        </w:rPr>
        <w:t xml:space="preserve">Box </w:t>
      </w:r>
      <w:r w:rsidR="00EA0D7C">
        <w:rPr>
          <w:noProof/>
        </w:rPr>
        <w:fldChar w:fldCharType="begin"/>
      </w:r>
      <w:r w:rsidR="00EA0D7C">
        <w:rPr>
          <w:noProof/>
        </w:rPr>
        <w:instrText xml:space="preserve"> SEQ Box \* ARABIC </w:instrText>
      </w:r>
      <w:r w:rsidR="00EA0D7C">
        <w:rPr>
          <w:noProof/>
        </w:rPr>
        <w:fldChar w:fldCharType="separate"/>
      </w:r>
      <w:r w:rsidR="00F963A8">
        <w:rPr>
          <w:noProof/>
        </w:rPr>
        <w:t>3</w:t>
      </w:r>
      <w:r w:rsidR="00EA0D7C">
        <w:rPr>
          <w:noProof/>
        </w:rPr>
        <w:fldChar w:fldCharType="end"/>
      </w:r>
      <w:r>
        <w:rPr>
          <w:noProof/>
        </w:rPr>
        <w:t xml:space="preserve">: </w:t>
      </w:r>
      <w:r w:rsidR="001623A1">
        <w:rPr>
          <w:noProof/>
        </w:rPr>
        <w:t>M</w:t>
      </w:r>
      <w:r>
        <w:rPr>
          <w:noProof/>
        </w:rPr>
        <w:t>ethodological note</w:t>
      </w:r>
      <w:bookmarkEnd w:id="71"/>
    </w:p>
    <w:p w14:paraId="11BA3018" w14:textId="77777777" w:rsidR="00A3121D" w:rsidRDefault="002F71B1"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The reporting of irregularities is subject to some limitations. </w:t>
      </w:r>
    </w:p>
    <w:p w14:paraId="42DCAA26" w14:textId="5E63CD90" w:rsidR="00C458DD" w:rsidRDefault="002F71B1"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In relation to TOR, </w:t>
      </w:r>
      <w:r w:rsidR="00A3121D">
        <w:rPr>
          <w:noProof/>
        </w:rPr>
        <w:t xml:space="preserve">the time between the moment in which irregularities are committed and when they are detected </w:t>
      </w:r>
      <w:r w:rsidR="00E1288C" w:rsidRPr="00E1288C">
        <w:rPr>
          <w:noProof/>
        </w:rPr>
        <w:t>depends on the type of control: release controls allow for an immediate detection, while post-release controls are performed within the three-year’s time limit for notifying a customs debt. Therefore, the detection of irregularities can take up to three years from the release of the goods. Reporting after detection is usually short, considering the specific legal deadlines.</w:t>
      </w:r>
      <w:r w:rsidR="00A3121D">
        <w:rPr>
          <w:noProof/>
        </w:rPr>
        <w:t xml:space="preserve"> </w:t>
      </w:r>
    </w:p>
    <w:p w14:paraId="26783DE9" w14:textId="1106D815" w:rsidR="00A25416" w:rsidRDefault="00C458DD"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In relation to expenditure, with the exception of fraudulent irregularities detected before payment, </w:t>
      </w:r>
      <w:r>
        <w:rPr>
          <w:i/>
          <w:noProof/>
        </w:rPr>
        <w:t xml:space="preserve">i.e. </w:t>
      </w:r>
      <w:r>
        <w:rPr>
          <w:noProof/>
        </w:rPr>
        <w:t>prevented, the great majority of reported irregularities (fraudulent and non-fraudulent) are detected during ex-post controls. This means that a time gap exists between the moment in which irregularities are committed and when they are reported to the Commission</w:t>
      </w:r>
      <w:r w:rsidR="00743C19">
        <w:rPr>
          <w:noProof/>
        </w:rPr>
        <w:t>. This is</w:t>
      </w:r>
      <w:r>
        <w:rPr>
          <w:noProof/>
        </w:rPr>
        <w:t xml:space="preserve">, </w:t>
      </w:r>
      <w:r w:rsidR="00257B88">
        <w:rPr>
          <w:noProof/>
        </w:rPr>
        <w:t xml:space="preserve">on </w:t>
      </w:r>
      <w:r>
        <w:rPr>
          <w:noProof/>
        </w:rPr>
        <w:t xml:space="preserve">average, </w:t>
      </w:r>
      <w:r w:rsidR="00743C19">
        <w:rPr>
          <w:noProof/>
        </w:rPr>
        <w:t xml:space="preserve">between </w:t>
      </w:r>
      <w:r w:rsidR="00F379FF">
        <w:rPr>
          <w:noProof/>
        </w:rPr>
        <w:t>two</w:t>
      </w:r>
      <w:r w:rsidR="00257B88">
        <w:rPr>
          <w:noProof/>
        </w:rPr>
        <w:t xml:space="preserve"> </w:t>
      </w:r>
      <w:r w:rsidR="00743C19">
        <w:rPr>
          <w:noProof/>
        </w:rPr>
        <w:t xml:space="preserve">and a half </w:t>
      </w:r>
      <w:r w:rsidR="002923C2">
        <w:rPr>
          <w:noProof/>
        </w:rPr>
        <w:t xml:space="preserve">to </w:t>
      </w:r>
      <w:r w:rsidR="00F379FF">
        <w:rPr>
          <w:noProof/>
        </w:rPr>
        <w:t>three</w:t>
      </w:r>
      <w:r w:rsidR="00257B88">
        <w:rPr>
          <w:noProof/>
        </w:rPr>
        <w:t xml:space="preserve"> </w:t>
      </w:r>
      <w:r w:rsidR="00743C19">
        <w:rPr>
          <w:noProof/>
        </w:rPr>
        <w:t>years</w:t>
      </w:r>
      <w:r w:rsidR="00743C19">
        <w:rPr>
          <w:rStyle w:val="FootnoteReference"/>
          <w:noProof/>
        </w:rPr>
        <w:footnoteReference w:id="77"/>
      </w:r>
      <w:r w:rsidR="00743C19">
        <w:rPr>
          <w:noProof/>
        </w:rPr>
        <w:t xml:space="preserve">. </w:t>
      </w:r>
    </w:p>
    <w:p w14:paraId="6DEBDFC5" w14:textId="123CFC08" w:rsidR="00743C19" w:rsidRDefault="00257B88"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Much</w:t>
      </w:r>
      <w:r w:rsidR="00743C19">
        <w:rPr>
          <w:noProof/>
        </w:rPr>
        <w:t xml:space="preserve"> EU expenditure </w:t>
      </w:r>
      <w:r>
        <w:rPr>
          <w:noProof/>
        </w:rPr>
        <w:t xml:space="preserve">also </w:t>
      </w:r>
      <w:r w:rsidR="00743C19">
        <w:rPr>
          <w:noProof/>
        </w:rPr>
        <w:t>follows multi-annual cycles</w:t>
      </w:r>
      <w:r>
        <w:rPr>
          <w:noProof/>
        </w:rPr>
        <w:t>,</w:t>
      </w:r>
      <w:r w:rsidR="00743C19">
        <w:rPr>
          <w:noProof/>
        </w:rPr>
        <w:t xml:space="preserve"> with progressively increasing implementation until programme closure (usually n+2 or n+3 in relation to the last year of the cycle, </w:t>
      </w:r>
      <w:r w:rsidR="00DF2B13">
        <w:rPr>
          <w:i/>
          <w:noProof/>
        </w:rPr>
        <w:t>i.e.</w:t>
      </w:r>
      <w:r w:rsidR="00743C19">
        <w:rPr>
          <w:i/>
          <w:noProof/>
        </w:rPr>
        <w:t xml:space="preserve"> </w:t>
      </w:r>
      <w:r w:rsidR="00743C19">
        <w:rPr>
          <w:noProof/>
        </w:rPr>
        <w:t>2022-2023 in relation to the current programming period), also represent</w:t>
      </w:r>
      <w:r w:rsidR="00427B23">
        <w:rPr>
          <w:noProof/>
        </w:rPr>
        <w:t>ing</w:t>
      </w:r>
      <w:r w:rsidR="00743C19">
        <w:rPr>
          <w:noProof/>
        </w:rPr>
        <w:t xml:space="preserve"> years with </w:t>
      </w:r>
      <w:r w:rsidR="00427B23">
        <w:rPr>
          <w:noProof/>
        </w:rPr>
        <w:t xml:space="preserve">a </w:t>
      </w:r>
      <w:r w:rsidR="00743C19">
        <w:rPr>
          <w:noProof/>
        </w:rPr>
        <w:t xml:space="preserve">peak in </w:t>
      </w:r>
      <w:r w:rsidR="00427B23">
        <w:rPr>
          <w:noProof/>
        </w:rPr>
        <w:t xml:space="preserve">the reporting of </w:t>
      </w:r>
      <w:r w:rsidR="00743C19">
        <w:rPr>
          <w:noProof/>
        </w:rPr>
        <w:t>irregularities.</w:t>
      </w:r>
    </w:p>
    <w:p w14:paraId="0CF47764" w14:textId="599EDDC4" w:rsidR="00743C19" w:rsidRDefault="00743C19"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For these reasons the year-to-year comparison in terms of </w:t>
      </w:r>
      <w:r w:rsidR="00427B23">
        <w:rPr>
          <w:noProof/>
        </w:rPr>
        <w:t xml:space="preserve">the reporting of </w:t>
      </w:r>
      <w:r>
        <w:rPr>
          <w:noProof/>
        </w:rPr>
        <w:t>irregularities does not provide a reliable picture of the situation</w:t>
      </w:r>
      <w:r w:rsidR="00362AF6">
        <w:rPr>
          <w:noProof/>
        </w:rPr>
        <w:t xml:space="preserve">, in particular in relation to variations concerning the </w:t>
      </w:r>
      <w:r>
        <w:rPr>
          <w:noProof/>
        </w:rPr>
        <w:t xml:space="preserve">financial impact, as this could be influenced by very few </w:t>
      </w:r>
      <w:r w:rsidR="00362AF6">
        <w:rPr>
          <w:noProof/>
        </w:rPr>
        <w:t xml:space="preserve">high-value </w:t>
      </w:r>
      <w:r>
        <w:rPr>
          <w:noProof/>
        </w:rPr>
        <w:t>cases.</w:t>
      </w:r>
    </w:p>
    <w:p w14:paraId="1994DD52" w14:textId="5A653571" w:rsidR="00743C19" w:rsidRPr="00743C19" w:rsidRDefault="00743C19" w:rsidP="008721E6">
      <w:pPr>
        <w:pBdr>
          <w:top w:val="single" w:sz="4" w:space="1" w:color="auto"/>
          <w:left w:val="single" w:sz="4" w:space="4" w:color="auto"/>
          <w:bottom w:val="single" w:sz="4" w:space="1" w:color="auto"/>
          <w:right w:val="single" w:sz="4" w:space="4" w:color="auto"/>
        </w:pBdr>
        <w:shd w:val="clear" w:color="auto" w:fill="E2EFD9" w:themeFill="accent6" w:themeFillTint="33"/>
        <w:rPr>
          <w:noProof/>
        </w:rPr>
      </w:pPr>
      <w:r>
        <w:rPr>
          <w:noProof/>
        </w:rPr>
        <w:t xml:space="preserve">Consequently, together with year-to-year variations, this report (and its accompanying document statistical evaluation of irregularities) also presents a multi-annual perspective (by programming period for cohesion and pre-accession policy and </w:t>
      </w:r>
      <w:r w:rsidR="00427B23">
        <w:rPr>
          <w:noProof/>
        </w:rPr>
        <w:t>five-</w:t>
      </w:r>
      <w:r>
        <w:rPr>
          <w:noProof/>
        </w:rPr>
        <w:t xml:space="preserve">year for the other sectors) to mitigate any distortion </w:t>
      </w:r>
      <w:r w:rsidR="00427B23">
        <w:rPr>
          <w:noProof/>
        </w:rPr>
        <w:t xml:space="preserve">of </w:t>
      </w:r>
      <w:r>
        <w:rPr>
          <w:noProof/>
        </w:rPr>
        <w:t>the analysis by the factors</w:t>
      </w:r>
      <w:r w:rsidR="003849B5" w:rsidRPr="003849B5">
        <w:rPr>
          <w:noProof/>
        </w:rPr>
        <w:t xml:space="preserve"> </w:t>
      </w:r>
      <w:r w:rsidR="003849B5">
        <w:rPr>
          <w:noProof/>
        </w:rPr>
        <w:t>highlighted above</w:t>
      </w:r>
      <w:r>
        <w:rPr>
          <w:noProof/>
        </w:rPr>
        <w:t>.</w:t>
      </w:r>
    </w:p>
    <w:p w14:paraId="7EFB49C8" w14:textId="77777777" w:rsidR="00FB5CF5" w:rsidRDefault="00FB5CF5" w:rsidP="00FB5CF5">
      <w:pPr>
        <w:pStyle w:val="Heading2"/>
        <w:rPr>
          <w:noProof/>
        </w:rPr>
      </w:pPr>
      <w:bookmarkStart w:id="72" w:name="_Toc110444071"/>
      <w:r>
        <w:rPr>
          <w:noProof/>
        </w:rPr>
        <w:t>Revenue</w:t>
      </w:r>
      <w:bookmarkEnd w:id="72"/>
    </w:p>
    <w:p w14:paraId="2E134D14" w14:textId="77777777" w:rsidR="002871C5" w:rsidRPr="00DC1244" w:rsidRDefault="00A3121D" w:rsidP="00DC1244">
      <w:pPr>
        <w:rPr>
          <w:noProof/>
        </w:rPr>
      </w:pPr>
      <w:r w:rsidRPr="00A3121D">
        <w:rPr>
          <w:noProof/>
        </w:rPr>
        <w:t>In 2021, the Commission adopted a proposal for amending the Making Available Regulation</w:t>
      </w:r>
      <w:r>
        <w:rPr>
          <w:rStyle w:val="FootnoteReference"/>
          <w:noProof/>
        </w:rPr>
        <w:footnoteReference w:id="78"/>
      </w:r>
      <w:r>
        <w:rPr>
          <w:noProof/>
        </w:rPr>
        <w:t xml:space="preserve"> </w:t>
      </w:r>
      <w:r w:rsidRPr="00A3121D">
        <w:rPr>
          <w:noProof/>
        </w:rPr>
        <w:t xml:space="preserve">with the objective to further strengthen the system of making available </w:t>
      </w:r>
      <w:r>
        <w:rPr>
          <w:noProof/>
        </w:rPr>
        <w:t>own resources</w:t>
      </w:r>
      <w:r w:rsidRPr="00A3121D">
        <w:rPr>
          <w:noProof/>
        </w:rPr>
        <w:t xml:space="preserve"> in order to ensure regular and timely payments to the EU budget. Furthermore, a new enforcement strategy was implemented aiming at reacting more swiftly to upcoming risks and better protecting </w:t>
      </w:r>
      <w:r>
        <w:rPr>
          <w:noProof/>
        </w:rPr>
        <w:t>TOR</w:t>
      </w:r>
      <w:r w:rsidRPr="00A3121D">
        <w:rPr>
          <w:noProof/>
        </w:rPr>
        <w:t>.</w:t>
      </w:r>
      <w:r w:rsidRPr="00A3121D" w:rsidDel="00A3121D">
        <w:rPr>
          <w:noProof/>
          <w:highlight w:val="yellow"/>
        </w:rPr>
        <w:t xml:space="preserve"> </w:t>
      </w:r>
    </w:p>
    <w:p w14:paraId="550BFC72" w14:textId="77777777" w:rsidR="00FB5CF5" w:rsidRDefault="006C7D78" w:rsidP="00CD7B44">
      <w:pPr>
        <w:pStyle w:val="Heading3"/>
        <w:rPr>
          <w:noProof/>
        </w:rPr>
      </w:pPr>
      <w:bookmarkStart w:id="73" w:name="_Toc110444072"/>
      <w:r w:rsidRPr="006C7D78">
        <w:rPr>
          <w:noProof/>
        </w:rPr>
        <w:t>VAT fraud</w:t>
      </w:r>
      <w:bookmarkEnd w:id="73"/>
    </w:p>
    <w:p w14:paraId="47E08AC3" w14:textId="0A49BEF8" w:rsidR="006C7D78" w:rsidRDefault="002B1B19" w:rsidP="006C7D78">
      <w:pPr>
        <w:rPr>
          <w:noProof/>
        </w:rPr>
      </w:pPr>
      <w:r>
        <w:rPr>
          <w:noProof/>
        </w:rPr>
        <w:t xml:space="preserve">The EPPO </w:t>
      </w:r>
      <w:r w:rsidR="00427B23">
        <w:rPr>
          <w:noProof/>
        </w:rPr>
        <w:t>has the</w:t>
      </w:r>
      <w:r>
        <w:rPr>
          <w:noProof/>
        </w:rPr>
        <w:t xml:space="preserve"> </w:t>
      </w:r>
      <w:r w:rsidR="00427B23">
        <w:rPr>
          <w:noProof/>
        </w:rPr>
        <w:t>competence to</w:t>
      </w:r>
      <w:r>
        <w:rPr>
          <w:noProof/>
        </w:rPr>
        <w:t xml:space="preserve"> </w:t>
      </w:r>
      <w:r w:rsidR="00427B23">
        <w:rPr>
          <w:noProof/>
        </w:rPr>
        <w:t xml:space="preserve">investigate </w:t>
      </w:r>
      <w:r>
        <w:rPr>
          <w:noProof/>
        </w:rPr>
        <w:t xml:space="preserve">serious offences </w:t>
      </w:r>
      <w:r w:rsidRPr="002B1B19">
        <w:rPr>
          <w:noProof/>
        </w:rPr>
        <w:t>against the common VAT system.</w:t>
      </w:r>
      <w:r>
        <w:rPr>
          <w:noProof/>
        </w:rPr>
        <w:t xml:space="preserve"> Such offences should be connected with the territory of two or more Member States and involve total damage of at least EUR 10 million.</w:t>
      </w:r>
    </w:p>
    <w:p w14:paraId="0C384385" w14:textId="4A2FF627" w:rsidR="002B1B19" w:rsidRPr="006C7D78" w:rsidRDefault="002B1B19" w:rsidP="006C7D78">
      <w:pPr>
        <w:rPr>
          <w:noProof/>
        </w:rPr>
      </w:pPr>
      <w:r>
        <w:rPr>
          <w:noProof/>
        </w:rPr>
        <w:t>In 2021, the EPPO investigated 91 such cases for estimated damages of EUR 2.5 billion</w:t>
      </w:r>
      <w:r>
        <w:rPr>
          <w:rStyle w:val="FootnoteReference"/>
          <w:noProof/>
        </w:rPr>
        <w:footnoteReference w:id="79"/>
      </w:r>
      <w:r w:rsidR="001A7AA9">
        <w:rPr>
          <w:noProof/>
        </w:rPr>
        <w:t>.</w:t>
      </w:r>
    </w:p>
    <w:p w14:paraId="6582EF46" w14:textId="001B55DF" w:rsidR="00FB5CF5" w:rsidRDefault="006C7D78" w:rsidP="00CD7B44">
      <w:pPr>
        <w:pStyle w:val="Heading3"/>
        <w:rPr>
          <w:noProof/>
        </w:rPr>
      </w:pPr>
      <w:bookmarkStart w:id="74" w:name="_Toc110444073"/>
      <w:r>
        <w:rPr>
          <w:noProof/>
        </w:rPr>
        <w:t>Traditional own resources</w:t>
      </w:r>
      <w:bookmarkEnd w:id="74"/>
    </w:p>
    <w:p w14:paraId="6B2245D7" w14:textId="017BEE45" w:rsidR="002D6EFC" w:rsidRDefault="002D6EFC" w:rsidP="006C7D78">
      <w:pPr>
        <w:rPr>
          <w:noProof/>
          <w:lang w:val="en-IE"/>
        </w:rPr>
      </w:pPr>
      <w:r w:rsidRPr="002D6EFC">
        <w:rPr>
          <w:noProof/>
          <w:lang w:val="en-IE"/>
        </w:rPr>
        <w:t xml:space="preserve">In 2021, the COVID-19 pandemic continued to </w:t>
      </w:r>
      <w:r w:rsidR="003849B5">
        <w:rPr>
          <w:noProof/>
          <w:lang w:val="en-IE"/>
        </w:rPr>
        <w:t>affect</w:t>
      </w:r>
      <w:r w:rsidR="003849B5" w:rsidRPr="002D6EFC">
        <w:rPr>
          <w:noProof/>
          <w:lang w:val="en-IE"/>
        </w:rPr>
        <w:t xml:space="preserve"> </w:t>
      </w:r>
      <w:r w:rsidRPr="002D6EFC">
        <w:rPr>
          <w:noProof/>
          <w:lang w:val="en-IE"/>
        </w:rPr>
        <w:t xml:space="preserve">the lives of all </w:t>
      </w:r>
      <w:r w:rsidR="00427B23">
        <w:rPr>
          <w:noProof/>
          <w:lang w:val="en-IE"/>
        </w:rPr>
        <w:t xml:space="preserve">individuals </w:t>
      </w:r>
      <w:r w:rsidRPr="002D6EFC">
        <w:rPr>
          <w:noProof/>
          <w:lang w:val="en-IE"/>
        </w:rPr>
        <w:t>and businesses</w:t>
      </w:r>
      <w:r w:rsidR="00427B23">
        <w:rPr>
          <w:noProof/>
          <w:lang w:val="en-IE"/>
        </w:rPr>
        <w:t xml:space="preserve"> in the EU</w:t>
      </w:r>
      <w:r w:rsidRPr="002D6EFC">
        <w:rPr>
          <w:noProof/>
          <w:lang w:val="en-IE"/>
        </w:rPr>
        <w:t xml:space="preserve">. </w:t>
      </w:r>
      <w:r>
        <w:rPr>
          <w:noProof/>
          <w:lang w:val="en-IE"/>
        </w:rPr>
        <w:t xml:space="preserve">While </w:t>
      </w:r>
      <w:r w:rsidRPr="002D6EFC">
        <w:rPr>
          <w:noProof/>
          <w:lang w:val="en-IE"/>
        </w:rPr>
        <w:t>in 2020 the pandemic was experienced as an emergency, in 2021 it bec</w:t>
      </w:r>
      <w:r w:rsidR="00607967">
        <w:rPr>
          <w:noProof/>
          <w:lang w:val="en-IE"/>
        </w:rPr>
        <w:t>a</w:t>
      </w:r>
      <w:r w:rsidRPr="002D6EFC">
        <w:rPr>
          <w:noProof/>
          <w:lang w:val="en-IE"/>
        </w:rPr>
        <w:t xml:space="preserve">me a </w:t>
      </w:r>
      <w:r>
        <w:rPr>
          <w:noProof/>
          <w:lang w:val="en-IE"/>
        </w:rPr>
        <w:t xml:space="preserve">given, as </w:t>
      </w:r>
      <w:r w:rsidR="00427B23">
        <w:rPr>
          <w:noProof/>
          <w:lang w:val="en-IE"/>
        </w:rPr>
        <w:t xml:space="preserve">attested </w:t>
      </w:r>
      <w:r>
        <w:rPr>
          <w:noProof/>
          <w:lang w:val="en-IE"/>
        </w:rPr>
        <w:t>by</w:t>
      </w:r>
      <w:r w:rsidRPr="002D6EFC">
        <w:rPr>
          <w:noProof/>
          <w:lang w:val="en-IE"/>
        </w:rPr>
        <w:t xml:space="preserve"> </w:t>
      </w:r>
      <w:r>
        <w:rPr>
          <w:noProof/>
          <w:lang w:val="en-IE"/>
        </w:rPr>
        <w:t>t</w:t>
      </w:r>
      <w:r w:rsidRPr="002D6EFC">
        <w:rPr>
          <w:noProof/>
          <w:lang w:val="en-IE"/>
        </w:rPr>
        <w:t xml:space="preserve">he figures </w:t>
      </w:r>
      <w:r w:rsidR="00427B23">
        <w:rPr>
          <w:noProof/>
          <w:lang w:val="en-IE"/>
        </w:rPr>
        <w:t xml:space="preserve">for </w:t>
      </w:r>
      <w:r w:rsidRPr="002D6EFC">
        <w:rPr>
          <w:noProof/>
          <w:lang w:val="en-IE"/>
        </w:rPr>
        <w:t>import volume</w:t>
      </w:r>
      <w:r>
        <w:rPr>
          <w:noProof/>
          <w:lang w:val="en-IE"/>
        </w:rPr>
        <w:t>s:</w:t>
      </w:r>
      <w:r w:rsidRPr="002D6EFC">
        <w:rPr>
          <w:noProof/>
          <w:lang w:val="en-IE"/>
        </w:rPr>
        <w:t xml:space="preserve"> </w:t>
      </w:r>
      <w:r>
        <w:rPr>
          <w:noProof/>
          <w:lang w:val="en-IE"/>
        </w:rPr>
        <w:t>a</w:t>
      </w:r>
      <w:r w:rsidRPr="002D6EFC">
        <w:rPr>
          <w:noProof/>
          <w:lang w:val="en-IE"/>
        </w:rPr>
        <w:t xml:space="preserve">fter the shocking decrease </w:t>
      </w:r>
      <w:r w:rsidR="00427B23">
        <w:rPr>
          <w:noProof/>
          <w:lang w:val="en-IE"/>
        </w:rPr>
        <w:t xml:space="preserve">in </w:t>
      </w:r>
      <w:r w:rsidR="00427B23" w:rsidRPr="002D6EFC">
        <w:rPr>
          <w:noProof/>
          <w:lang w:val="en-IE"/>
        </w:rPr>
        <w:t>EU-27</w:t>
      </w:r>
      <w:r w:rsidRPr="002D6EFC">
        <w:rPr>
          <w:noProof/>
          <w:lang w:val="en-IE"/>
        </w:rPr>
        <w:t xml:space="preserve"> imports of 11</w:t>
      </w:r>
      <w:r>
        <w:rPr>
          <w:noProof/>
          <w:lang w:val="en-IE"/>
        </w:rPr>
        <w:t>.</w:t>
      </w:r>
      <w:r w:rsidRPr="002D6EFC">
        <w:rPr>
          <w:noProof/>
          <w:lang w:val="en-IE"/>
        </w:rPr>
        <w:t xml:space="preserve">6% in 2020, imports </w:t>
      </w:r>
      <w:r w:rsidR="00427B23">
        <w:rPr>
          <w:noProof/>
          <w:lang w:val="en-IE"/>
        </w:rPr>
        <w:t xml:space="preserve">increased </w:t>
      </w:r>
      <w:r w:rsidRPr="002D6EFC">
        <w:rPr>
          <w:noProof/>
          <w:lang w:val="en-IE"/>
        </w:rPr>
        <w:t>in 2021 by 23%.</w:t>
      </w:r>
    </w:p>
    <w:p w14:paraId="148FE5F7" w14:textId="6493E4CB" w:rsidR="006C7D78" w:rsidRPr="00296A29" w:rsidRDefault="006C7D78" w:rsidP="00DC1244">
      <w:pPr>
        <w:rPr>
          <w:noProof/>
        </w:rPr>
      </w:pPr>
      <w:bookmarkStart w:id="75" w:name="_Toc106662327"/>
      <w:r w:rsidRPr="00296A29">
        <w:rPr>
          <w:b/>
          <w:i/>
          <w:noProof/>
        </w:rPr>
        <w:t xml:space="preserve">Table </w:t>
      </w:r>
      <w:r w:rsidR="00612B29" w:rsidRPr="00DC1244">
        <w:rPr>
          <w:b/>
          <w:i/>
          <w:noProof/>
        </w:rPr>
        <w:fldChar w:fldCharType="begin"/>
      </w:r>
      <w:r w:rsidR="00612B29" w:rsidRPr="00296A29">
        <w:rPr>
          <w:b/>
          <w:i/>
          <w:noProof/>
        </w:rPr>
        <w:instrText xml:space="preserve"> SEQ Table \* ARABIC </w:instrText>
      </w:r>
      <w:r w:rsidR="00612B29" w:rsidRPr="00DC1244">
        <w:rPr>
          <w:b/>
          <w:i/>
          <w:noProof/>
        </w:rPr>
        <w:fldChar w:fldCharType="separate"/>
      </w:r>
      <w:r w:rsidR="00F963A8">
        <w:rPr>
          <w:b/>
          <w:i/>
          <w:noProof/>
        </w:rPr>
        <w:t>3</w:t>
      </w:r>
      <w:r w:rsidR="00612B29" w:rsidRPr="00DC1244">
        <w:rPr>
          <w:b/>
          <w:i/>
          <w:noProof/>
        </w:rPr>
        <w:fldChar w:fldCharType="end"/>
      </w:r>
      <w:r w:rsidRPr="00296A29">
        <w:rPr>
          <w:b/>
          <w:i/>
          <w:noProof/>
        </w:rPr>
        <w:t xml:space="preserve">- Revenue: Irregularities detected and reported by Member States - </w:t>
      </w:r>
      <w:r w:rsidR="00427B23" w:rsidRPr="00296A29">
        <w:rPr>
          <w:b/>
          <w:i/>
          <w:noProof/>
        </w:rPr>
        <w:t xml:space="preserve">TOR </w:t>
      </w:r>
      <w:r w:rsidRPr="00296A29">
        <w:rPr>
          <w:b/>
          <w:i/>
          <w:noProof/>
        </w:rPr>
        <w:t>– in 2021</w:t>
      </w:r>
      <w:bookmarkEnd w:id="75"/>
    </w:p>
    <w:tbl>
      <w:tblPr>
        <w:tblW w:w="8299" w:type="dxa"/>
        <w:tblInd w:w="113" w:type="dxa"/>
        <w:tblLook w:val="04A0" w:firstRow="1" w:lastRow="0" w:firstColumn="1" w:lastColumn="0" w:noHBand="0" w:noVBand="1"/>
      </w:tblPr>
      <w:tblGrid>
        <w:gridCol w:w="1696"/>
        <w:gridCol w:w="1276"/>
        <w:gridCol w:w="751"/>
        <w:gridCol w:w="6"/>
        <w:gridCol w:w="1086"/>
        <w:gridCol w:w="1157"/>
        <w:gridCol w:w="7"/>
        <w:gridCol w:w="1093"/>
        <w:gridCol w:w="7"/>
        <w:gridCol w:w="1220"/>
      </w:tblGrid>
      <w:tr w:rsidR="006C7D78" w:rsidRPr="006C5247" w14:paraId="2E2EB7EF" w14:textId="77777777" w:rsidTr="00A27EF6">
        <w:trPr>
          <w:trHeight w:val="585"/>
        </w:trPr>
        <w:tc>
          <w:tcPr>
            <w:tcW w:w="1696" w:type="dxa"/>
            <w:tcBorders>
              <w:top w:val="single" w:sz="4" w:space="0" w:color="9BC2E6"/>
              <w:left w:val="single" w:sz="4" w:space="0" w:color="9BC2E6"/>
              <w:bottom w:val="single" w:sz="4" w:space="0" w:color="9BC2E6"/>
              <w:right w:val="single" w:sz="4" w:space="0" w:color="9BC2E6"/>
            </w:tcBorders>
            <w:shd w:val="clear" w:color="5B9BD5" w:fill="5B9BD5"/>
            <w:noWrap/>
            <w:vAlign w:val="center"/>
            <w:hideMark/>
          </w:tcPr>
          <w:p w14:paraId="6F76014E" w14:textId="77777777" w:rsidR="006C7D78" w:rsidRPr="006C5247" w:rsidRDefault="006C7D78"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Budgetary sector</w:t>
            </w:r>
          </w:p>
        </w:tc>
        <w:tc>
          <w:tcPr>
            <w:tcW w:w="2027" w:type="dxa"/>
            <w:gridSpan w:val="2"/>
            <w:tcBorders>
              <w:top w:val="single" w:sz="4" w:space="0" w:color="9BC2E6"/>
              <w:left w:val="single" w:sz="4" w:space="0" w:color="9BC2E6"/>
              <w:bottom w:val="single" w:sz="4" w:space="0" w:color="9BC2E6"/>
            </w:tcBorders>
            <w:shd w:val="clear" w:color="5B9BD5" w:fill="5B9BD5"/>
            <w:vAlign w:val="center"/>
            <w:hideMark/>
          </w:tcPr>
          <w:p w14:paraId="1D1CFF9B" w14:textId="0E6B34C4" w:rsidR="006C7D78" w:rsidRPr="006C5247" w:rsidRDefault="006C7D78"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Fraudulent irregularities</w:t>
            </w:r>
          </w:p>
        </w:tc>
        <w:tc>
          <w:tcPr>
            <w:tcW w:w="2249" w:type="dxa"/>
            <w:gridSpan w:val="3"/>
            <w:tcBorders>
              <w:top w:val="single" w:sz="4" w:space="0" w:color="9BC2E6"/>
              <w:left w:val="nil"/>
              <w:bottom w:val="single" w:sz="4" w:space="0" w:color="9BC2E6"/>
              <w:right w:val="single" w:sz="4" w:space="0" w:color="9BC2E6"/>
            </w:tcBorders>
            <w:shd w:val="clear" w:color="5B9BD5" w:fill="5B9BD5"/>
            <w:vAlign w:val="center"/>
            <w:hideMark/>
          </w:tcPr>
          <w:p w14:paraId="7C8690EE" w14:textId="77777777" w:rsidR="006C7D78" w:rsidRPr="006C5247" w:rsidRDefault="006C7D78"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Non-fraudulent irregularities</w:t>
            </w:r>
          </w:p>
        </w:tc>
        <w:tc>
          <w:tcPr>
            <w:tcW w:w="1100"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5173006F" w14:textId="77777777" w:rsidR="006C7D78" w:rsidRPr="006C5247" w:rsidRDefault="006C7D78"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FDR</w:t>
            </w:r>
            <w:r>
              <w:rPr>
                <w:rStyle w:val="FootnoteReference"/>
                <w:rFonts w:ascii="Calibri" w:hAnsi="Calibri" w:cs="Calibri"/>
                <w:bCs/>
                <w:noProof/>
                <w:color w:val="FFFFFF"/>
                <w:szCs w:val="22"/>
              </w:rPr>
              <w:footnoteReference w:id="80"/>
            </w:r>
          </w:p>
        </w:tc>
        <w:tc>
          <w:tcPr>
            <w:tcW w:w="1227" w:type="dxa"/>
            <w:gridSpan w:val="2"/>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43E47379" w14:textId="77777777" w:rsidR="006C7D78" w:rsidRPr="006C5247" w:rsidRDefault="006C7D78"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IDR</w:t>
            </w:r>
            <w:r>
              <w:rPr>
                <w:rStyle w:val="FootnoteReference"/>
                <w:rFonts w:ascii="Calibri" w:hAnsi="Calibri" w:cs="Calibri"/>
                <w:bCs/>
                <w:noProof/>
                <w:color w:val="FFFFFF"/>
                <w:szCs w:val="22"/>
              </w:rPr>
              <w:footnoteReference w:id="81"/>
            </w:r>
          </w:p>
        </w:tc>
      </w:tr>
      <w:tr w:rsidR="006C7D78" w:rsidRPr="006C5247" w14:paraId="14BE1568" w14:textId="77777777" w:rsidTr="00A27EF6">
        <w:trPr>
          <w:trHeight w:val="300"/>
        </w:trPr>
        <w:tc>
          <w:tcPr>
            <w:tcW w:w="1696"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1531088" w14:textId="77777777" w:rsidR="006C7D78" w:rsidRPr="006C5247" w:rsidRDefault="006C7D78" w:rsidP="00A27EF6">
            <w:pPr>
              <w:spacing w:after="0"/>
              <w:jc w:val="center"/>
              <w:rPr>
                <w:rFonts w:ascii="Calibri" w:hAnsi="Calibri" w:cs="Calibri"/>
                <w:b/>
                <w:bCs/>
                <w:noProof/>
                <w:color w:val="FFFFFF"/>
                <w:szCs w:val="22"/>
              </w:rPr>
            </w:pPr>
          </w:p>
        </w:tc>
        <w:tc>
          <w:tcPr>
            <w:tcW w:w="1276" w:type="dxa"/>
            <w:tcBorders>
              <w:top w:val="single" w:sz="4" w:space="0" w:color="9BC2E6"/>
              <w:left w:val="single" w:sz="4" w:space="0" w:color="9BC2E6"/>
              <w:bottom w:val="single" w:sz="4" w:space="0" w:color="9BC2E6"/>
              <w:right w:val="nil"/>
            </w:tcBorders>
            <w:shd w:val="clear" w:color="DDEBF7" w:fill="DDEBF7"/>
            <w:noWrap/>
            <w:vAlign w:val="bottom"/>
            <w:hideMark/>
          </w:tcPr>
          <w:p w14:paraId="7AAE20E5"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N</w:t>
            </w:r>
          </w:p>
        </w:tc>
        <w:tc>
          <w:tcPr>
            <w:tcW w:w="757" w:type="dxa"/>
            <w:gridSpan w:val="2"/>
            <w:tcBorders>
              <w:top w:val="single" w:sz="4" w:space="0" w:color="9BC2E6"/>
              <w:left w:val="nil"/>
              <w:bottom w:val="single" w:sz="4" w:space="0" w:color="9BC2E6"/>
            </w:tcBorders>
            <w:shd w:val="clear" w:color="DDEBF7" w:fill="DDEBF7"/>
            <w:noWrap/>
            <w:vAlign w:val="bottom"/>
            <w:hideMark/>
          </w:tcPr>
          <w:p w14:paraId="0530FC30"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EUR (million)</w:t>
            </w:r>
          </w:p>
        </w:tc>
        <w:tc>
          <w:tcPr>
            <w:tcW w:w="1086" w:type="dxa"/>
            <w:tcBorders>
              <w:top w:val="single" w:sz="4" w:space="0" w:color="9BC2E6"/>
              <w:left w:val="nil"/>
              <w:bottom w:val="single" w:sz="4" w:space="0" w:color="9BC2E6"/>
              <w:right w:val="nil"/>
            </w:tcBorders>
            <w:shd w:val="clear" w:color="DDEBF7" w:fill="DDEBF7"/>
            <w:noWrap/>
            <w:vAlign w:val="bottom"/>
            <w:hideMark/>
          </w:tcPr>
          <w:p w14:paraId="43476ED1"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N</w:t>
            </w:r>
          </w:p>
        </w:tc>
        <w:tc>
          <w:tcPr>
            <w:tcW w:w="1164" w:type="dxa"/>
            <w:gridSpan w:val="2"/>
            <w:tcBorders>
              <w:top w:val="single" w:sz="4" w:space="0" w:color="9BC2E6"/>
              <w:left w:val="nil"/>
              <w:bottom w:val="single" w:sz="4" w:space="0" w:color="9BC2E6"/>
              <w:right w:val="single" w:sz="4" w:space="0" w:color="9BC2E6"/>
            </w:tcBorders>
            <w:shd w:val="clear" w:color="DDEBF7" w:fill="DDEBF7"/>
            <w:noWrap/>
            <w:vAlign w:val="bottom"/>
            <w:hideMark/>
          </w:tcPr>
          <w:p w14:paraId="2673164D"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EUR (million)</w:t>
            </w:r>
          </w:p>
        </w:tc>
        <w:tc>
          <w:tcPr>
            <w:tcW w:w="1100" w:type="dxa"/>
            <w:gridSpan w:val="2"/>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82B61AA"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w:t>
            </w:r>
          </w:p>
        </w:tc>
        <w:tc>
          <w:tcPr>
            <w:tcW w:w="122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34E7A7F" w14:textId="77777777" w:rsidR="006C7D78" w:rsidRPr="006C5247" w:rsidRDefault="006C7D78"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w:t>
            </w:r>
          </w:p>
        </w:tc>
      </w:tr>
      <w:tr w:rsidR="006C7D78" w:rsidRPr="00374350" w14:paraId="7F62E42E" w14:textId="77777777" w:rsidTr="00374350">
        <w:trPr>
          <w:trHeight w:val="300"/>
        </w:trPr>
        <w:tc>
          <w:tcPr>
            <w:tcW w:w="1696"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B480441" w14:textId="290EAD14" w:rsidR="00374350" w:rsidRDefault="00374350" w:rsidP="00A27EF6">
            <w:pPr>
              <w:spacing w:after="0"/>
              <w:jc w:val="left"/>
              <w:rPr>
                <w:rFonts w:ascii="Calibri" w:hAnsi="Calibri" w:cs="Calibri"/>
                <w:b/>
                <w:bCs/>
                <w:noProof/>
                <w:color w:val="000000"/>
                <w:szCs w:val="22"/>
              </w:rPr>
            </w:pPr>
            <w:r>
              <w:rPr>
                <w:rFonts w:ascii="Calibri" w:hAnsi="Calibri" w:cs="Calibri"/>
                <w:b/>
                <w:bCs/>
                <w:noProof/>
                <w:color w:val="000000"/>
                <w:szCs w:val="22"/>
              </w:rPr>
              <w:t>Traditional Own Resources</w:t>
            </w:r>
            <w:r w:rsidRPr="00374350">
              <w:rPr>
                <w:rFonts w:ascii="Calibri" w:hAnsi="Calibri" w:cs="Calibri"/>
                <w:b/>
                <w:bCs/>
                <w:noProof/>
                <w:color w:val="000000"/>
                <w:szCs w:val="22"/>
              </w:rPr>
              <w:t xml:space="preserve"> </w:t>
            </w:r>
          </w:p>
          <w:p w14:paraId="74D82AC5" w14:textId="78D12D9C" w:rsidR="006C7D78" w:rsidRPr="00374350" w:rsidRDefault="006C7D78" w:rsidP="00A27EF6">
            <w:pPr>
              <w:spacing w:after="0"/>
              <w:jc w:val="left"/>
              <w:rPr>
                <w:rFonts w:ascii="Calibri" w:hAnsi="Calibri" w:cs="Calibri"/>
                <w:b/>
                <w:bCs/>
                <w:noProof/>
                <w:color w:val="000000"/>
                <w:szCs w:val="22"/>
              </w:rPr>
            </w:pPr>
            <w:r w:rsidRPr="00374350">
              <w:rPr>
                <w:rFonts w:ascii="Calibri" w:hAnsi="Calibri" w:cs="Calibri"/>
                <w:b/>
                <w:bCs/>
                <w:noProof/>
                <w:color w:val="000000"/>
                <w:szCs w:val="22"/>
              </w:rPr>
              <w:t>EU</w:t>
            </w:r>
            <w:r w:rsidR="00296A29">
              <w:rPr>
                <w:rFonts w:ascii="Calibri" w:hAnsi="Calibri" w:cs="Calibri"/>
                <w:b/>
                <w:bCs/>
                <w:noProof/>
                <w:color w:val="000000"/>
                <w:szCs w:val="22"/>
              </w:rPr>
              <w:t>-</w:t>
            </w:r>
            <w:r w:rsidRPr="00374350">
              <w:rPr>
                <w:rFonts w:ascii="Calibri" w:hAnsi="Calibri" w:cs="Calibri"/>
                <w:b/>
                <w:bCs/>
                <w:noProof/>
                <w:color w:val="000000"/>
                <w:szCs w:val="22"/>
              </w:rPr>
              <w:t>27</w:t>
            </w:r>
          </w:p>
        </w:tc>
        <w:tc>
          <w:tcPr>
            <w:tcW w:w="1276" w:type="dxa"/>
            <w:tcBorders>
              <w:top w:val="single" w:sz="4" w:space="0" w:color="9BC2E6"/>
              <w:left w:val="single" w:sz="4" w:space="0" w:color="9BC2E6"/>
              <w:bottom w:val="single" w:sz="4" w:space="0" w:color="9BC2E6"/>
              <w:right w:val="nil"/>
            </w:tcBorders>
            <w:shd w:val="clear" w:color="auto" w:fill="auto"/>
            <w:noWrap/>
            <w:vAlign w:val="bottom"/>
          </w:tcPr>
          <w:p w14:paraId="23EDBCC2" w14:textId="1982AD02" w:rsidR="006C7D78" w:rsidRPr="00374350" w:rsidRDefault="006C7D78" w:rsidP="00374350">
            <w:pPr>
              <w:spacing w:after="0"/>
              <w:jc w:val="left"/>
              <w:rPr>
                <w:rFonts w:ascii="Calibri" w:hAnsi="Calibri" w:cs="Calibri"/>
                <w:b/>
                <w:bCs/>
                <w:noProof/>
                <w:color w:val="000000"/>
                <w:szCs w:val="22"/>
              </w:rPr>
            </w:pPr>
            <w:r w:rsidRPr="00374350">
              <w:rPr>
                <w:rFonts w:ascii="Calibri" w:hAnsi="Calibri" w:cs="Calibri"/>
                <w:b/>
                <w:bCs/>
                <w:noProof/>
                <w:color w:val="000000"/>
                <w:szCs w:val="22"/>
              </w:rPr>
              <w:t>482</w:t>
            </w:r>
          </w:p>
        </w:tc>
        <w:tc>
          <w:tcPr>
            <w:tcW w:w="757" w:type="dxa"/>
            <w:gridSpan w:val="2"/>
            <w:tcBorders>
              <w:top w:val="single" w:sz="4" w:space="0" w:color="9BC2E6"/>
              <w:left w:val="nil"/>
              <w:bottom w:val="single" w:sz="4" w:space="0" w:color="9BC2E6"/>
            </w:tcBorders>
            <w:shd w:val="clear" w:color="auto" w:fill="auto"/>
            <w:noWrap/>
            <w:vAlign w:val="bottom"/>
          </w:tcPr>
          <w:p w14:paraId="726F153F" w14:textId="676E6546" w:rsidR="006C7D78" w:rsidRPr="00374350" w:rsidRDefault="006C7D78" w:rsidP="00374350">
            <w:pPr>
              <w:spacing w:after="0"/>
              <w:jc w:val="left"/>
              <w:rPr>
                <w:rFonts w:ascii="Calibri" w:hAnsi="Calibri" w:cs="Calibri"/>
                <w:b/>
                <w:bCs/>
                <w:noProof/>
                <w:color w:val="000000"/>
                <w:szCs w:val="22"/>
              </w:rPr>
            </w:pPr>
            <w:r w:rsidRPr="00374350">
              <w:rPr>
                <w:rFonts w:ascii="Calibri" w:hAnsi="Calibri" w:cs="Calibri"/>
                <w:b/>
                <w:bCs/>
                <w:noProof/>
                <w:color w:val="000000"/>
                <w:szCs w:val="22"/>
              </w:rPr>
              <w:t>157.</w:t>
            </w:r>
            <w:r w:rsidR="00902694">
              <w:rPr>
                <w:rFonts w:ascii="Calibri" w:hAnsi="Calibri" w:cs="Calibri"/>
                <w:b/>
                <w:bCs/>
                <w:noProof/>
                <w:color w:val="000000"/>
                <w:szCs w:val="22"/>
              </w:rPr>
              <w:t>1</w:t>
            </w:r>
          </w:p>
        </w:tc>
        <w:tc>
          <w:tcPr>
            <w:tcW w:w="1086" w:type="dxa"/>
            <w:tcBorders>
              <w:top w:val="single" w:sz="4" w:space="0" w:color="9BC2E6"/>
              <w:left w:val="nil"/>
              <w:bottom w:val="single" w:sz="4" w:space="0" w:color="9BC2E6"/>
              <w:right w:val="nil"/>
            </w:tcBorders>
            <w:shd w:val="clear" w:color="auto" w:fill="auto"/>
            <w:noWrap/>
            <w:vAlign w:val="bottom"/>
          </w:tcPr>
          <w:p w14:paraId="2A8F09A0" w14:textId="77777777" w:rsidR="006C7D78" w:rsidRPr="00374350" w:rsidRDefault="006C7D78" w:rsidP="00374350">
            <w:pPr>
              <w:spacing w:after="0"/>
              <w:jc w:val="left"/>
              <w:rPr>
                <w:rFonts w:ascii="Calibri" w:hAnsi="Calibri" w:cs="Calibri"/>
                <w:b/>
                <w:bCs/>
                <w:noProof/>
                <w:color w:val="000000"/>
                <w:szCs w:val="22"/>
              </w:rPr>
            </w:pPr>
            <w:r w:rsidRPr="00374350">
              <w:rPr>
                <w:rFonts w:ascii="Calibri" w:hAnsi="Calibri" w:cs="Calibri"/>
                <w:b/>
                <w:bCs/>
                <w:noProof/>
                <w:color w:val="000000"/>
                <w:szCs w:val="22"/>
              </w:rPr>
              <w:t>3 506</w:t>
            </w:r>
          </w:p>
        </w:tc>
        <w:tc>
          <w:tcPr>
            <w:tcW w:w="1164" w:type="dxa"/>
            <w:gridSpan w:val="2"/>
            <w:tcBorders>
              <w:top w:val="single" w:sz="4" w:space="0" w:color="9BC2E6"/>
              <w:left w:val="nil"/>
              <w:bottom w:val="single" w:sz="4" w:space="0" w:color="9BC2E6"/>
              <w:right w:val="single" w:sz="4" w:space="0" w:color="9BC2E6"/>
            </w:tcBorders>
            <w:shd w:val="clear" w:color="auto" w:fill="auto"/>
            <w:noWrap/>
            <w:vAlign w:val="bottom"/>
          </w:tcPr>
          <w:p w14:paraId="4C70FCCA" w14:textId="7BB1459D" w:rsidR="006C7D78" w:rsidRPr="00374350" w:rsidRDefault="006C7D78" w:rsidP="00902694">
            <w:pPr>
              <w:spacing w:after="0"/>
              <w:jc w:val="left"/>
              <w:rPr>
                <w:rFonts w:ascii="Calibri" w:hAnsi="Calibri" w:cs="Calibri"/>
                <w:b/>
                <w:bCs/>
                <w:noProof/>
                <w:color w:val="000000"/>
                <w:szCs w:val="22"/>
              </w:rPr>
            </w:pPr>
            <w:r w:rsidRPr="00374350">
              <w:rPr>
                <w:rFonts w:ascii="Calibri" w:hAnsi="Calibri" w:cs="Calibri"/>
                <w:b/>
                <w:bCs/>
                <w:noProof/>
                <w:color w:val="000000"/>
                <w:szCs w:val="22"/>
              </w:rPr>
              <w:t>36</w:t>
            </w:r>
            <w:r w:rsidR="00902694">
              <w:rPr>
                <w:rFonts w:ascii="Calibri" w:hAnsi="Calibri" w:cs="Calibri"/>
                <w:b/>
                <w:bCs/>
                <w:noProof/>
                <w:color w:val="000000"/>
                <w:szCs w:val="22"/>
              </w:rPr>
              <w:t>6</w:t>
            </w:r>
            <w:r w:rsidRPr="00374350">
              <w:rPr>
                <w:rFonts w:ascii="Calibri" w:hAnsi="Calibri" w:cs="Calibri"/>
                <w:b/>
                <w:bCs/>
                <w:noProof/>
                <w:color w:val="000000"/>
                <w:szCs w:val="22"/>
              </w:rPr>
              <w:t>.</w:t>
            </w:r>
            <w:r w:rsidR="00902694">
              <w:rPr>
                <w:rFonts w:ascii="Calibri" w:hAnsi="Calibri" w:cs="Calibri"/>
                <w:b/>
                <w:bCs/>
                <w:noProof/>
                <w:color w:val="000000"/>
                <w:szCs w:val="22"/>
              </w:rPr>
              <w:t>8</w:t>
            </w:r>
          </w:p>
        </w:tc>
        <w:tc>
          <w:tcPr>
            <w:tcW w:w="1100" w:type="dxa"/>
            <w:gridSpan w:val="2"/>
            <w:tcBorders>
              <w:top w:val="single" w:sz="4" w:space="0" w:color="9BC2E6"/>
              <w:left w:val="single" w:sz="4" w:space="0" w:color="9BC2E6"/>
              <w:bottom w:val="single" w:sz="4" w:space="0" w:color="9BC2E6"/>
              <w:right w:val="single" w:sz="4" w:space="0" w:color="9BC2E6"/>
            </w:tcBorders>
            <w:shd w:val="clear" w:color="auto" w:fill="auto"/>
            <w:noWrap/>
            <w:vAlign w:val="bottom"/>
          </w:tcPr>
          <w:p w14:paraId="259EBE08" w14:textId="77777777" w:rsidR="006C7D78" w:rsidRPr="00374350" w:rsidRDefault="006C7D78" w:rsidP="00374350">
            <w:pPr>
              <w:spacing w:after="0"/>
              <w:jc w:val="left"/>
              <w:rPr>
                <w:rFonts w:ascii="Calibri" w:hAnsi="Calibri" w:cs="Calibri"/>
                <w:b/>
                <w:bCs/>
                <w:noProof/>
                <w:color w:val="000000"/>
                <w:szCs w:val="22"/>
              </w:rPr>
            </w:pPr>
            <w:r w:rsidRPr="00374350">
              <w:rPr>
                <w:rFonts w:ascii="Calibri" w:hAnsi="Calibri" w:cs="Calibri"/>
                <w:b/>
                <w:bCs/>
                <w:noProof/>
                <w:color w:val="000000"/>
                <w:szCs w:val="22"/>
              </w:rPr>
              <w:t>0.63%</w:t>
            </w:r>
          </w:p>
        </w:tc>
        <w:tc>
          <w:tcPr>
            <w:tcW w:w="1220"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5ECFAEB" w14:textId="77777777" w:rsidR="006C7D78" w:rsidRPr="00374350" w:rsidRDefault="006C7D78" w:rsidP="00374350">
            <w:pPr>
              <w:spacing w:after="0"/>
              <w:jc w:val="left"/>
              <w:rPr>
                <w:rFonts w:ascii="Calibri" w:hAnsi="Calibri" w:cs="Calibri"/>
                <w:b/>
                <w:bCs/>
                <w:noProof/>
                <w:color w:val="000000"/>
                <w:szCs w:val="22"/>
              </w:rPr>
            </w:pPr>
            <w:r w:rsidRPr="00374350">
              <w:rPr>
                <w:rFonts w:ascii="Calibri" w:hAnsi="Calibri" w:cs="Calibri"/>
                <w:b/>
                <w:bCs/>
                <w:noProof/>
                <w:color w:val="000000"/>
                <w:szCs w:val="22"/>
              </w:rPr>
              <w:t>1.48%</w:t>
            </w:r>
          </w:p>
        </w:tc>
      </w:tr>
    </w:tbl>
    <w:p w14:paraId="0FD8BE9C" w14:textId="5165BA4C" w:rsidR="006C7D78" w:rsidRDefault="00B53222" w:rsidP="002D6EFC">
      <w:pPr>
        <w:spacing w:before="120"/>
        <w:rPr>
          <w:noProof/>
        </w:rPr>
      </w:pPr>
      <w:r>
        <w:rPr>
          <w:noProof/>
        </w:rPr>
        <mc:AlternateContent>
          <mc:Choice Requires="wpg">
            <w:drawing>
              <wp:anchor distT="45720" distB="45720" distL="182880" distR="182880" simplePos="0" relativeHeight="251660288" behindDoc="0" locked="0" layoutInCell="1" allowOverlap="1" wp14:anchorId="51191188" wp14:editId="1DE0CC33">
                <wp:simplePos x="0" y="0"/>
                <wp:positionH relativeFrom="margin">
                  <wp:posOffset>68580</wp:posOffset>
                </wp:positionH>
                <wp:positionV relativeFrom="margin">
                  <wp:posOffset>4908550</wp:posOffset>
                </wp:positionV>
                <wp:extent cx="3149600" cy="2025650"/>
                <wp:effectExtent l="0" t="0" r="12700" b="12700"/>
                <wp:wrapSquare wrapText="bothSides"/>
                <wp:docPr id="198" name="Group 198"/>
                <wp:cNvGraphicFramePr/>
                <a:graphic xmlns:a="http://schemas.openxmlformats.org/drawingml/2006/main">
                  <a:graphicData uri="http://schemas.microsoft.com/office/word/2010/wordprocessingGroup">
                    <wpg:wgp>
                      <wpg:cNvGrpSpPr/>
                      <wpg:grpSpPr>
                        <a:xfrm>
                          <a:off x="0" y="0"/>
                          <a:ext cx="3149600" cy="2025650"/>
                          <a:chOff x="0" y="0"/>
                          <a:chExt cx="3567448" cy="1470369"/>
                        </a:xfrm>
                      </wpg:grpSpPr>
                      <wps:wsp>
                        <wps:cNvPr id="199" name="Rectangle 199"/>
                        <wps:cNvSpPr/>
                        <wps:spPr>
                          <a:xfrm>
                            <a:off x="0" y="0"/>
                            <a:ext cx="3567448" cy="36874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333EB" w14:textId="6220617E" w:rsidR="00DA41DB" w:rsidRDefault="00DA41DB">
                              <w:pPr>
                                <w:jc w:val="center"/>
                                <w:rPr>
                                  <w:rFonts w:asciiTheme="majorHAnsi" w:eastAsiaTheme="majorEastAsia" w:hAnsiTheme="majorHAnsi" w:cstheme="majorBidi"/>
                                  <w:color w:val="FFFFFF" w:themeColor="background1"/>
                                  <w:sz w:val="24"/>
                                  <w:szCs w:val="28"/>
                                </w:rPr>
                              </w:pPr>
                              <w:r>
                                <w:rPr>
                                  <w:rFonts w:eastAsiaTheme="majorEastAsia"/>
                                  <w:b/>
                                  <w:color w:val="FFFFFF" w:themeColor="background1"/>
                                  <w:szCs w:val="28"/>
                                </w:rPr>
                                <w:t>TOR: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68745"/>
                            <a:ext cx="3567448" cy="110162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362E3" w14:textId="340F48A4" w:rsidR="00DA41DB" w:rsidRPr="002F6819" w:rsidRDefault="00DA41DB" w:rsidP="00865694">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3D257BD3" w14:textId="1BDB4F9E" w:rsidR="00DA41DB" w:rsidRPr="00E723FD" w:rsidRDefault="00DA41DB" w:rsidP="00865694">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620C33ED" w14:textId="122B94E7" w:rsidR="00DA41DB" w:rsidRPr="00E723FD" w:rsidRDefault="00DA41DB" w:rsidP="00865694">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financial </w:t>
                              </w:r>
                              <w:r w:rsidRPr="00D12E31">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amounts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p w14:paraId="76CB75D1" w14:textId="64F1041E" w:rsidR="00DA41DB" w:rsidRDefault="00DA41DB">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191188" id="Group 198" o:spid="_x0000_s1026" style="position:absolute;left:0;text-align:left;margin-left:5.4pt;margin-top:386.5pt;width:248pt;height:159.5pt;z-index:251660288;mso-wrap-distance-left:14.4pt;mso-wrap-distance-top:3.6pt;mso-wrap-distance-right:14.4pt;mso-wrap-distance-bottom:3.6pt;mso-position-horizontal-relative:margin;mso-position-vertical-relative:margin;mso-width-relative:margin;mso-height-relative:margin" coordsize="35674,1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">
                <v:rect id="Rectangle 199" o:spid="_x0000_s1027" style="position:absolute;width:35674;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fillcolor="#5b9bd5 [3204]" strokecolor="black [3213]" strokeweight="1pt">
                  <v:textbox>
                    <w:txbxContent>
                      <w:p w14:paraId="166333EB" w14:textId="6220617E" w:rsidR="00DA41DB" w:rsidRDefault="00DA41DB">
                        <w:pPr>
                          <w:jc w:val="center"/>
                          <w:rPr>
                            <w:rFonts w:asciiTheme="majorHAnsi" w:eastAsiaTheme="majorEastAsia" w:hAnsiTheme="majorHAnsi" w:cstheme="majorBidi"/>
                            <w:color w:val="FFFFFF" w:themeColor="background1"/>
                            <w:sz w:val="24"/>
                            <w:szCs w:val="28"/>
                          </w:rPr>
                        </w:pPr>
                        <w:r>
                          <w:rPr>
                            <w:rFonts w:eastAsiaTheme="majorEastAsia"/>
                            <w:b/>
                            <w:color w:val="FFFFFF" w:themeColor="background1"/>
                            <w:szCs w:val="28"/>
                          </w:rPr>
                          <w:t>TOR: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v:textbox>
                </v:rect>
                <v:shapetype id="_x0000_t202" coordsize="21600,21600" o:spt="202" path="m,l,21600r21600,l21600,xe">
                  <v:stroke joinstyle="miter"/>
                  <v:path gradientshapeok="t" o:connecttype="rect"/>
                </v:shapetype>
                <v:shape id="Text Box 200" o:spid="_x0000_s1028" type="#_x0000_t202" style="position:absolute;top:3687;width:35674;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14:paraId="3DF362E3" w14:textId="340F48A4" w:rsidR="00DA41DB" w:rsidRPr="002F6819" w:rsidRDefault="00DA41DB" w:rsidP="00865694">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3D257BD3" w14:textId="1BDB4F9E" w:rsidR="00DA41DB" w:rsidRPr="00E723FD" w:rsidRDefault="00DA41DB" w:rsidP="00865694">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620C33ED" w14:textId="122B94E7" w:rsidR="00DA41DB" w:rsidRPr="00E723FD" w:rsidRDefault="00DA41DB" w:rsidP="00865694">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financial </w:t>
                        </w:r>
                        <w:r w:rsidRPr="00D12E31">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amounts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p w14:paraId="76CB75D1" w14:textId="64F1041E" w:rsidR="00DA41DB" w:rsidRDefault="00DA41DB">
                        <w:pPr>
                          <w:rPr>
                            <w:caps/>
                            <w:color w:val="5B9BD5" w:themeColor="accent1"/>
                            <w:sz w:val="26"/>
                            <w:szCs w:val="26"/>
                          </w:rPr>
                        </w:pPr>
                      </w:p>
                    </w:txbxContent>
                  </v:textbox>
                </v:shape>
                <w10:wrap type="square" anchorx="margin" anchory="margin"/>
              </v:group>
            </w:pict>
          </mc:Fallback>
        </mc:AlternateContent>
      </w:r>
      <w:r w:rsidR="00DA7E9C">
        <w:rPr>
          <w:noProof/>
        </w:rPr>
        <w:t>In 2021, t</w:t>
      </w:r>
      <w:r w:rsidR="002D6EFC" w:rsidRPr="002D6EFC">
        <w:rPr>
          <w:noProof/>
        </w:rPr>
        <w:t xml:space="preserve">he number of fraudulent and non-fraudulent irregularities related to TOR </w:t>
      </w:r>
      <w:r w:rsidR="00DA7E9C">
        <w:rPr>
          <w:noProof/>
        </w:rPr>
        <w:t xml:space="preserve">(see </w:t>
      </w:r>
      <w:r w:rsidR="00DA7E9C">
        <w:rPr>
          <w:b/>
          <w:noProof/>
        </w:rPr>
        <w:t xml:space="preserve">Table </w:t>
      </w:r>
      <w:r w:rsidR="00DA7E9C" w:rsidRPr="00DA7E9C">
        <w:rPr>
          <w:b/>
          <w:noProof/>
        </w:rPr>
        <w:t>3</w:t>
      </w:r>
      <w:r w:rsidR="00DA7E9C">
        <w:rPr>
          <w:noProof/>
        </w:rPr>
        <w:t xml:space="preserve">) </w:t>
      </w:r>
      <w:r w:rsidR="00DA7E9C" w:rsidRPr="00DA7E9C">
        <w:rPr>
          <w:noProof/>
        </w:rPr>
        <w:t>remained quite stable</w:t>
      </w:r>
      <w:r w:rsidR="00DA7E9C">
        <w:rPr>
          <w:noProof/>
        </w:rPr>
        <w:t xml:space="preserve">, with a </w:t>
      </w:r>
      <w:r w:rsidR="002D6EFC" w:rsidRPr="002D6EFC">
        <w:rPr>
          <w:noProof/>
        </w:rPr>
        <w:t xml:space="preserve">decrease </w:t>
      </w:r>
      <w:r w:rsidR="00DA7E9C">
        <w:rPr>
          <w:noProof/>
        </w:rPr>
        <w:t>of only</w:t>
      </w:r>
      <w:r w:rsidR="00DA7E9C" w:rsidRPr="002D6EFC">
        <w:rPr>
          <w:noProof/>
        </w:rPr>
        <w:t xml:space="preserve"> </w:t>
      </w:r>
      <w:r w:rsidR="002D6EFC" w:rsidRPr="002D6EFC">
        <w:rPr>
          <w:noProof/>
        </w:rPr>
        <w:t xml:space="preserve">3% compared </w:t>
      </w:r>
      <w:r w:rsidR="00427B23">
        <w:rPr>
          <w:noProof/>
        </w:rPr>
        <w:t>to</w:t>
      </w:r>
      <w:r w:rsidR="00427B23" w:rsidRPr="002D6EFC">
        <w:rPr>
          <w:noProof/>
        </w:rPr>
        <w:t xml:space="preserve"> </w:t>
      </w:r>
      <w:r w:rsidR="002D6EFC" w:rsidRPr="002D6EFC">
        <w:rPr>
          <w:noProof/>
        </w:rPr>
        <w:t xml:space="preserve">the five-year average. The number of fraudulent irregularities increased by 1% and non-fraudulent irregularities </w:t>
      </w:r>
      <w:r w:rsidR="00427B23">
        <w:rPr>
          <w:noProof/>
        </w:rPr>
        <w:t xml:space="preserve">decreased </w:t>
      </w:r>
      <w:r w:rsidR="002D6EFC" w:rsidRPr="002D6EFC">
        <w:rPr>
          <w:noProof/>
        </w:rPr>
        <w:t>by 4%.</w:t>
      </w:r>
      <w:r w:rsidR="002D6EFC">
        <w:rPr>
          <w:noProof/>
        </w:rPr>
        <w:t xml:space="preserve"> </w:t>
      </w:r>
      <w:r w:rsidR="00427B23">
        <w:rPr>
          <w:noProof/>
        </w:rPr>
        <w:t xml:space="preserve">Of </w:t>
      </w:r>
      <w:r w:rsidR="002D6EFC" w:rsidRPr="002D6EFC">
        <w:rPr>
          <w:noProof/>
        </w:rPr>
        <w:t>all fraudulent and non-fraudulent instances detected in 2021, 12% were classified as fraudulent.</w:t>
      </w:r>
      <w:r w:rsidR="00DA7E9C">
        <w:rPr>
          <w:noProof/>
        </w:rPr>
        <w:t xml:space="preserve"> </w:t>
      </w:r>
      <w:r w:rsidR="00DA7E9C" w:rsidRPr="002D6EFC">
        <w:rPr>
          <w:noProof/>
          <w:lang w:val="en-IE"/>
        </w:rPr>
        <w:t xml:space="preserve">The related amount of TOR </w:t>
      </w:r>
      <w:r w:rsidR="00DA7E9C">
        <w:rPr>
          <w:noProof/>
          <w:lang w:val="en-IE"/>
        </w:rPr>
        <w:t>increased</w:t>
      </w:r>
      <w:r w:rsidR="00DA7E9C" w:rsidRPr="002D6EFC">
        <w:rPr>
          <w:noProof/>
          <w:lang w:val="en-IE"/>
        </w:rPr>
        <w:t xml:space="preserve"> and was the highest TOR amount detected during the last </w:t>
      </w:r>
      <w:r w:rsidR="00F379FF">
        <w:rPr>
          <w:noProof/>
          <w:lang w:val="en-IE"/>
        </w:rPr>
        <w:t>five</w:t>
      </w:r>
      <w:r w:rsidR="00DA7E9C" w:rsidRPr="002D6EFC">
        <w:rPr>
          <w:noProof/>
          <w:lang w:val="en-IE"/>
        </w:rPr>
        <w:t xml:space="preserve"> years. For both fraudulent and non-fraudulent irregularities, the </w:t>
      </w:r>
      <w:r w:rsidR="00DA7E9C">
        <w:rPr>
          <w:noProof/>
          <w:lang w:val="en-IE"/>
        </w:rPr>
        <w:t xml:space="preserve">amount of </w:t>
      </w:r>
      <w:r w:rsidR="00DA7E9C" w:rsidRPr="002D6EFC">
        <w:rPr>
          <w:noProof/>
          <w:lang w:val="en-IE"/>
        </w:rPr>
        <w:t xml:space="preserve">TOR detected increased compared </w:t>
      </w:r>
      <w:r w:rsidR="00DA7E9C">
        <w:rPr>
          <w:noProof/>
          <w:lang w:val="en-IE"/>
        </w:rPr>
        <w:t xml:space="preserve">to </w:t>
      </w:r>
      <w:r w:rsidR="00DA7E9C" w:rsidRPr="002D6EFC">
        <w:rPr>
          <w:noProof/>
          <w:lang w:val="en-IE"/>
        </w:rPr>
        <w:t>the five-year average, by 32% and 13% respectively. In total, the TOR amount increased by 18% in 2021 over the average for 2017-2021</w:t>
      </w:r>
      <w:r w:rsidR="00F6664B">
        <w:rPr>
          <w:rStyle w:val="FootnoteReference"/>
          <w:noProof/>
          <w:lang w:val="en-IE"/>
        </w:rPr>
        <w:footnoteReference w:id="82"/>
      </w:r>
      <w:r w:rsidR="00DA7E9C" w:rsidRPr="00374350">
        <w:rPr>
          <w:noProof/>
          <w:lang w:val="en-IE"/>
        </w:rPr>
        <w:t>.</w:t>
      </w:r>
    </w:p>
    <w:p w14:paraId="091530EE" w14:textId="27AA22AA" w:rsidR="002D6EFC" w:rsidRDefault="002D6EFC" w:rsidP="00CE6D22">
      <w:pPr>
        <w:rPr>
          <w:noProof/>
        </w:rPr>
      </w:pPr>
      <w:r w:rsidRPr="002D6EFC">
        <w:rPr>
          <w:noProof/>
        </w:rPr>
        <w:t xml:space="preserve">National anti-fraud together with the customs </w:t>
      </w:r>
      <w:r w:rsidR="00F85F37">
        <w:rPr>
          <w:noProof/>
        </w:rPr>
        <w:t xml:space="preserve">services played </w:t>
      </w:r>
      <w:r w:rsidRPr="002D6EFC">
        <w:rPr>
          <w:noProof/>
        </w:rPr>
        <w:t xml:space="preserve">a key role in detecting fraudulent instances in 2021. Inspections by anti-fraud services were the most successful </w:t>
      </w:r>
      <w:r w:rsidR="00427B23">
        <w:rPr>
          <w:noProof/>
        </w:rPr>
        <w:t>way</w:t>
      </w:r>
      <w:r w:rsidR="00427B23" w:rsidRPr="002D6EFC">
        <w:rPr>
          <w:noProof/>
        </w:rPr>
        <w:t xml:space="preserve"> </w:t>
      </w:r>
      <w:r w:rsidRPr="002D6EFC">
        <w:rPr>
          <w:noProof/>
        </w:rPr>
        <w:t>of detecting fraudulent instances and surpassed post-release controls and release controls in detecting fraudulent duty evasion.</w:t>
      </w:r>
      <w:r>
        <w:rPr>
          <w:noProof/>
        </w:rPr>
        <w:t xml:space="preserve"> </w:t>
      </w:r>
      <w:r w:rsidRPr="002D6EFC">
        <w:rPr>
          <w:noProof/>
        </w:rPr>
        <w:t>Non-fraudulent irregularities were primarily detected by means of post-release controls.</w:t>
      </w:r>
    </w:p>
    <w:p w14:paraId="0D02CE2A" w14:textId="7F9B9305" w:rsidR="002D6EFC" w:rsidRDefault="002D6EFC"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76" w:name="_Toc105777777"/>
      <w:bookmarkStart w:id="77" w:name="_Toc110444020"/>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12</w:t>
      </w:r>
      <w:r w:rsidR="00EA0D7C">
        <w:rPr>
          <w:noProof/>
        </w:rPr>
        <w:fldChar w:fldCharType="end"/>
      </w:r>
      <w:r>
        <w:rPr>
          <w:noProof/>
        </w:rPr>
        <w:t xml:space="preserve"> – </w:t>
      </w:r>
      <w:r w:rsidR="00797CA2">
        <w:rPr>
          <w:noProof/>
        </w:rPr>
        <w:t>TOR: m</w:t>
      </w:r>
      <w:r>
        <w:rPr>
          <w:noProof/>
        </w:rPr>
        <w:t xml:space="preserve">ost frequent irregularities and type </w:t>
      </w:r>
      <w:r w:rsidR="003849B5">
        <w:rPr>
          <w:noProof/>
        </w:rPr>
        <w:t>o</w:t>
      </w:r>
      <w:r>
        <w:rPr>
          <w:noProof/>
        </w:rPr>
        <w:t>f goods concerned</w:t>
      </w:r>
      <w:bookmarkEnd w:id="76"/>
      <w:bookmarkEnd w:id="77"/>
    </w:p>
    <w:p w14:paraId="3FABE179" w14:textId="47B34E1F" w:rsidR="002D6EFC" w:rsidRDefault="002D6EFC" w:rsidP="00CE6D22">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2D6EFC">
        <w:rPr>
          <w:noProof/>
        </w:rPr>
        <w:t xml:space="preserve">Most cases reported in 2021 as fraudulent and non-fraudulent relate to </w:t>
      </w:r>
      <w:r w:rsidRPr="00F85F37">
        <w:rPr>
          <w:b/>
          <w:noProof/>
        </w:rPr>
        <w:t>undervaluation</w:t>
      </w:r>
      <w:r w:rsidRPr="002D6EFC">
        <w:rPr>
          <w:noProof/>
        </w:rPr>
        <w:t xml:space="preserve">, </w:t>
      </w:r>
      <w:r w:rsidRPr="00F85F37">
        <w:rPr>
          <w:b/>
          <w:noProof/>
        </w:rPr>
        <w:t>incorrect origin</w:t>
      </w:r>
      <w:r w:rsidRPr="002D6EFC">
        <w:rPr>
          <w:noProof/>
        </w:rPr>
        <w:t xml:space="preserve"> or </w:t>
      </w:r>
      <w:r w:rsidRPr="00F85F37">
        <w:rPr>
          <w:b/>
          <w:noProof/>
        </w:rPr>
        <w:t>classification/misdescription of goods</w:t>
      </w:r>
      <w:r w:rsidRPr="002D6EFC">
        <w:rPr>
          <w:noProof/>
        </w:rPr>
        <w:t xml:space="preserve">. </w:t>
      </w:r>
      <w:r w:rsidRPr="00F85F37">
        <w:rPr>
          <w:b/>
          <w:noProof/>
        </w:rPr>
        <w:t>Smuggling</w:t>
      </w:r>
      <w:r w:rsidRPr="002D6EFC">
        <w:rPr>
          <w:noProof/>
        </w:rPr>
        <w:t xml:space="preserve"> remains one of the main </w:t>
      </w:r>
      <w:r w:rsidR="00427B23">
        <w:rPr>
          <w:noProof/>
        </w:rPr>
        <w:t>types of fraud</w:t>
      </w:r>
      <w:r w:rsidRPr="002D6EFC">
        <w:rPr>
          <w:noProof/>
        </w:rPr>
        <w:t xml:space="preserve">. </w:t>
      </w:r>
      <w:r w:rsidRPr="00F85F37">
        <w:rPr>
          <w:b/>
          <w:noProof/>
        </w:rPr>
        <w:t xml:space="preserve">Textiles, electrical machinery and </w:t>
      </w:r>
      <w:r w:rsidR="00902694" w:rsidRPr="00F85F37">
        <w:rPr>
          <w:b/>
          <w:noProof/>
        </w:rPr>
        <w:t>equipment</w:t>
      </w:r>
      <w:r w:rsidR="00902694" w:rsidRPr="00902694">
        <w:rPr>
          <w:noProof/>
        </w:rPr>
        <w:t xml:space="preserve"> were the types of goods most affected by fraud and irregularities in number of cases and in monetary terms, followed by </w:t>
      </w:r>
      <w:r w:rsidR="00902694" w:rsidRPr="00F85F37">
        <w:rPr>
          <w:b/>
          <w:noProof/>
        </w:rPr>
        <w:t>miscellaneous chemical products, footwear and tobacco</w:t>
      </w:r>
      <w:r w:rsidR="00902694" w:rsidRPr="00902694">
        <w:rPr>
          <w:noProof/>
        </w:rPr>
        <w:t xml:space="preserve"> in terms of amounts and by </w:t>
      </w:r>
      <w:r w:rsidR="00902694" w:rsidRPr="00F85F37">
        <w:rPr>
          <w:b/>
          <w:noProof/>
        </w:rPr>
        <w:t>vehicles and plastics</w:t>
      </w:r>
      <w:r w:rsidR="00902694" w:rsidRPr="00902694">
        <w:rPr>
          <w:noProof/>
        </w:rPr>
        <w:t xml:space="preserve"> in terms of number of cases.</w:t>
      </w:r>
      <w:r w:rsidRPr="002D6EFC">
        <w:rPr>
          <w:noProof/>
        </w:rPr>
        <w:t xml:space="preserve"> </w:t>
      </w:r>
      <w:r w:rsidR="00427B23">
        <w:rPr>
          <w:noProof/>
        </w:rPr>
        <w:t>I</w:t>
      </w:r>
      <w:r w:rsidRPr="002D6EFC">
        <w:rPr>
          <w:noProof/>
        </w:rPr>
        <w:t xml:space="preserve">n 2021 </w:t>
      </w:r>
      <w:r w:rsidR="00427B23">
        <w:rPr>
          <w:noProof/>
        </w:rPr>
        <w:t xml:space="preserve">China remained </w:t>
      </w:r>
      <w:r w:rsidRPr="002D6EFC">
        <w:rPr>
          <w:noProof/>
        </w:rPr>
        <w:t xml:space="preserve">the </w:t>
      </w:r>
      <w:r w:rsidR="00427B23">
        <w:rPr>
          <w:noProof/>
        </w:rPr>
        <w:t xml:space="preserve">major </w:t>
      </w:r>
      <w:r w:rsidRPr="002D6EFC">
        <w:rPr>
          <w:noProof/>
        </w:rPr>
        <w:t>country of origin of goods affected by irregularities reported as fraudulent or non-fraudulent.</w:t>
      </w:r>
    </w:p>
    <w:p w14:paraId="3FF5ABFC" w14:textId="3DB7A9CC" w:rsidR="002D6EFC" w:rsidRDefault="002D6EFC" w:rsidP="00CE6D22">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2D6EFC">
        <w:rPr>
          <w:noProof/>
        </w:rPr>
        <w:t xml:space="preserve">For COVID-19 related goods, in 2021, a notable increase </w:t>
      </w:r>
      <w:r w:rsidR="00427B23">
        <w:rPr>
          <w:noProof/>
        </w:rPr>
        <w:t>in</w:t>
      </w:r>
      <w:r w:rsidR="00427B23" w:rsidRPr="002D6EFC">
        <w:rPr>
          <w:noProof/>
        </w:rPr>
        <w:t xml:space="preserve"> </w:t>
      </w:r>
      <w:r w:rsidRPr="002D6EFC">
        <w:rPr>
          <w:noProof/>
        </w:rPr>
        <w:t xml:space="preserve">the amounts reported as irregular was observed for goods </w:t>
      </w:r>
      <w:r w:rsidR="00427B23">
        <w:rPr>
          <w:noProof/>
        </w:rPr>
        <w:t xml:space="preserve">such as </w:t>
      </w:r>
      <w:r w:rsidRPr="00F85F37">
        <w:rPr>
          <w:b/>
          <w:noProof/>
        </w:rPr>
        <w:t xml:space="preserve">disinfectants and </w:t>
      </w:r>
      <w:r w:rsidR="00427B23" w:rsidRPr="00F85F37">
        <w:rPr>
          <w:b/>
          <w:noProof/>
        </w:rPr>
        <w:t xml:space="preserve">sterilisation </w:t>
      </w:r>
      <w:r w:rsidRPr="00F85F37">
        <w:rPr>
          <w:b/>
          <w:noProof/>
        </w:rPr>
        <w:t>products, protective garments and medical consumables</w:t>
      </w:r>
      <w:r w:rsidRPr="002D6EFC">
        <w:rPr>
          <w:noProof/>
        </w:rPr>
        <w:t xml:space="preserve">. However, analysis </w:t>
      </w:r>
      <w:r w:rsidR="00427B23" w:rsidRPr="002D6EFC">
        <w:rPr>
          <w:noProof/>
        </w:rPr>
        <w:t>show</w:t>
      </w:r>
      <w:r w:rsidR="00427B23">
        <w:rPr>
          <w:noProof/>
        </w:rPr>
        <w:t>s</w:t>
      </w:r>
      <w:r w:rsidR="00427B23" w:rsidRPr="002D6EFC">
        <w:rPr>
          <w:noProof/>
        </w:rPr>
        <w:t xml:space="preserve"> </w:t>
      </w:r>
      <w:r w:rsidRPr="002D6EFC">
        <w:rPr>
          <w:noProof/>
        </w:rPr>
        <w:t>that the impact of irregularities affecting COVID-19 related goods remained relatively low in 2021 (</w:t>
      </w:r>
      <w:r w:rsidR="00902694">
        <w:rPr>
          <w:noProof/>
        </w:rPr>
        <w:t>5</w:t>
      </w:r>
      <w:r w:rsidRPr="002D6EFC">
        <w:rPr>
          <w:noProof/>
        </w:rPr>
        <w:t>4% of the total number of irregularities reported and 6% of the related amounts).</w:t>
      </w:r>
    </w:p>
    <w:p w14:paraId="4ED3B1E5" w14:textId="49F9C915" w:rsidR="002D6EFC" w:rsidRDefault="002D6EFC" w:rsidP="002D6EFC">
      <w:pPr>
        <w:rPr>
          <w:noProof/>
        </w:rPr>
      </w:pPr>
      <w:r>
        <w:rPr>
          <w:noProof/>
        </w:rPr>
        <w:t xml:space="preserve">In 2021, the Commission continued, on-the-spot or remotely, its monitoring and control visits to ensure the correct application of </w:t>
      </w:r>
      <w:r w:rsidR="008B4804">
        <w:rPr>
          <w:noProof/>
        </w:rPr>
        <w:t xml:space="preserve">EU </w:t>
      </w:r>
      <w:r>
        <w:rPr>
          <w:noProof/>
        </w:rPr>
        <w:t xml:space="preserve">customs and TOR legislation. Where cooperation and progress made in tackling outstanding issues are considered insufficient, corrective measures are </w:t>
      </w:r>
      <w:r w:rsidR="008B4804">
        <w:rPr>
          <w:noProof/>
        </w:rPr>
        <w:t xml:space="preserve">being </w:t>
      </w:r>
      <w:r>
        <w:rPr>
          <w:noProof/>
        </w:rPr>
        <w:t xml:space="preserve">applied. </w:t>
      </w:r>
    </w:p>
    <w:p w14:paraId="27D661CE" w14:textId="77777777" w:rsidR="00747F11" w:rsidRPr="002D6EFC" w:rsidRDefault="00747F11" w:rsidP="00747F11">
      <w:pPr>
        <w:rPr>
          <w:noProof/>
        </w:rPr>
      </w:pPr>
      <w:r>
        <w:rPr>
          <w:noProof/>
        </w:rPr>
        <w:t>As the 2020 PIF report states, such corrective measures have already been applied by the Commission against the UK in relation to undervalued textiles and footwear from China</w:t>
      </w:r>
      <w:r>
        <w:rPr>
          <w:rStyle w:val="FootnoteReference"/>
          <w:noProof/>
        </w:rPr>
        <w:footnoteReference w:id="83"/>
      </w:r>
      <w:r>
        <w:rPr>
          <w:noProof/>
        </w:rPr>
        <w:t>. On 8 March 2022, the Court of Justice issued its ruling in case C-213/19</w:t>
      </w:r>
      <w:r>
        <w:rPr>
          <w:rStyle w:val="FootnoteReference"/>
          <w:noProof/>
        </w:rPr>
        <w:footnoteReference w:id="84"/>
      </w:r>
      <w:r>
        <w:rPr>
          <w:noProof/>
        </w:rPr>
        <w:t xml:space="preserve"> against the UK</w:t>
      </w:r>
      <w:r w:rsidRPr="00902694">
        <w:rPr>
          <w:noProof/>
        </w:rPr>
        <w:t>. The Commission is in the process of analysing the implications of that CJEU ruling both, for the UK (e.g. re-calculation of TOR losses), and for the other Member States.</w:t>
      </w:r>
    </w:p>
    <w:p w14:paraId="2A5C85BE" w14:textId="5E563182" w:rsidR="00B850E7" w:rsidRPr="008B4804" w:rsidRDefault="00B850E7"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b w:val="0"/>
          <w:noProof/>
        </w:rPr>
      </w:pPr>
      <w:bookmarkStart w:id="78" w:name="_Toc110444021"/>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13</w:t>
      </w:r>
      <w:r w:rsidR="00EA0D7C">
        <w:rPr>
          <w:noProof/>
        </w:rPr>
        <w:fldChar w:fldCharType="end"/>
      </w:r>
      <w:r>
        <w:rPr>
          <w:noProof/>
        </w:rPr>
        <w:t xml:space="preserve"> </w:t>
      </w:r>
      <w:r w:rsidRPr="008B4804">
        <w:rPr>
          <w:noProof/>
        </w:rPr>
        <w:t>– Circumvention and absorption of trade defence measures</w:t>
      </w:r>
      <w:bookmarkEnd w:id="78"/>
    </w:p>
    <w:p w14:paraId="3A83A4EA" w14:textId="77777777" w:rsidR="00B850E7" w:rsidRPr="00EC29B5"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en-IE"/>
        </w:rPr>
      </w:pPr>
      <w:r>
        <w:rPr>
          <w:noProof/>
          <w:color w:val="000000"/>
        </w:rPr>
        <w:t xml:space="preserve">Monitoring of existing trade defence measures remained a priority in 2021. Particular attention was given to those trade defence measures where an increased risk of duty avoidance was detected, either through </w:t>
      </w:r>
      <w:r>
        <w:rPr>
          <w:noProof/>
        </w:rPr>
        <w:t>circumvention practices</w:t>
      </w:r>
      <w:r>
        <w:rPr>
          <w:rStyle w:val="FootnoteReference"/>
          <w:noProof/>
        </w:rPr>
        <w:footnoteReference w:id="85"/>
      </w:r>
      <w:r>
        <w:rPr>
          <w:noProof/>
        </w:rPr>
        <w:t>, reduction of the export price or absorption</w:t>
      </w:r>
      <w:r>
        <w:rPr>
          <w:rStyle w:val="FootnoteReference"/>
          <w:noProof/>
        </w:rPr>
        <w:footnoteReference w:id="86"/>
      </w:r>
      <w:r>
        <w:rPr>
          <w:noProof/>
        </w:rPr>
        <w:t xml:space="preserve"> of the resale price, after anti-dumping or countervailing measures were imposed. </w:t>
      </w:r>
    </w:p>
    <w:p w14:paraId="675A6525" w14:textId="7B9FEDEA" w:rsidR="00B850E7" w:rsidRPr="00EC29B5"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lang w:val="en-IE"/>
        </w:rPr>
      </w:pPr>
      <w:r>
        <w:rPr>
          <w:noProof/>
        </w:rPr>
        <w:t xml:space="preserve">In </w:t>
      </w:r>
      <w:r w:rsidR="00F379FF">
        <w:rPr>
          <w:noProof/>
        </w:rPr>
        <w:t>2021, the Commission initiated four</w:t>
      </w:r>
      <w:r>
        <w:rPr>
          <w:noProof/>
        </w:rPr>
        <w:t xml:space="preserve"> investigations concerning the possible circumvention of imports of </w:t>
      </w:r>
      <w:r w:rsidRPr="00F85F37">
        <w:rPr>
          <w:b/>
          <w:noProof/>
        </w:rPr>
        <w:t>glass fibre fabrics</w:t>
      </w:r>
      <w:r>
        <w:rPr>
          <w:rStyle w:val="FootnoteReference"/>
          <w:noProof/>
        </w:rPr>
        <w:footnoteReference w:id="87"/>
      </w:r>
      <w:r w:rsidRPr="00ED79EC">
        <w:rPr>
          <w:noProof/>
        </w:rPr>
        <w:t xml:space="preserve"> from Turkey and Morocco after anti-dumping and countervailing duties were imposed on these products originating in China and Egypt in 2020</w:t>
      </w:r>
      <w:r>
        <w:rPr>
          <w:noProof/>
        </w:rPr>
        <w:t xml:space="preserve">. There was also </w:t>
      </w:r>
      <w:r w:rsidR="00F379FF">
        <w:rPr>
          <w:noProof/>
        </w:rPr>
        <w:t>one</w:t>
      </w:r>
      <w:r>
        <w:rPr>
          <w:noProof/>
        </w:rPr>
        <w:t xml:space="preserve"> anti-absorption investigation on the same product, originating in Egypt. These brought the total number of such investigations initiated in the last three years to </w:t>
      </w:r>
      <w:r w:rsidR="00F379FF">
        <w:rPr>
          <w:noProof/>
        </w:rPr>
        <w:t xml:space="preserve">eleven </w:t>
      </w:r>
      <w:r>
        <w:rPr>
          <w:noProof/>
        </w:rPr>
        <w:t xml:space="preserve">and </w:t>
      </w:r>
      <w:r w:rsidR="00F379FF">
        <w:rPr>
          <w:noProof/>
        </w:rPr>
        <w:t xml:space="preserve">two </w:t>
      </w:r>
      <w:r>
        <w:rPr>
          <w:noProof/>
        </w:rPr>
        <w:t>respectively.</w:t>
      </w:r>
      <w:r>
        <w:rPr>
          <w:noProof/>
          <w:lang w:val="en-IE"/>
        </w:rPr>
        <w:t xml:space="preserve"> </w:t>
      </w:r>
      <w:r>
        <w:rPr>
          <w:noProof/>
        </w:rPr>
        <w:t xml:space="preserve">Additionally, in 2021 the Commission established that the anti-dumping duties in force on two different types of </w:t>
      </w:r>
      <w:r w:rsidRPr="00F85F37">
        <w:rPr>
          <w:b/>
          <w:noProof/>
        </w:rPr>
        <w:t>aluminium household foil</w:t>
      </w:r>
      <w:r>
        <w:rPr>
          <w:noProof/>
        </w:rPr>
        <w:t xml:space="preserve"> from China were being circumvented via Thailand, where the product was only subject to minor assembly operations. </w:t>
      </w:r>
    </w:p>
    <w:p w14:paraId="11E728DE" w14:textId="77777777" w:rsidR="00B850E7" w:rsidRDefault="00B850E7" w:rsidP="008B4804">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A number of the cases investigated, which involved</w:t>
      </w:r>
      <w:r w:rsidRPr="004D6B29">
        <w:rPr>
          <w:noProof/>
        </w:rPr>
        <w:t xml:space="preserve"> transhipment after the product concerned</w:t>
      </w:r>
      <w:r>
        <w:rPr>
          <w:noProof/>
        </w:rPr>
        <w:t xml:space="preserve"> was sent from China to go </w:t>
      </w:r>
      <w:r w:rsidRPr="004D6B29">
        <w:rPr>
          <w:noProof/>
        </w:rPr>
        <w:t xml:space="preserve">through </w:t>
      </w:r>
      <w:r>
        <w:rPr>
          <w:noProof/>
        </w:rPr>
        <w:t xml:space="preserve">minor </w:t>
      </w:r>
      <w:r w:rsidRPr="004D6B29">
        <w:rPr>
          <w:noProof/>
        </w:rPr>
        <w:t>assembly operations in Turkey and Morocco</w:t>
      </w:r>
      <w:r>
        <w:rPr>
          <w:noProof/>
        </w:rPr>
        <w:t>,</w:t>
      </w:r>
      <w:r w:rsidRPr="004D6B29">
        <w:rPr>
          <w:noProof/>
        </w:rPr>
        <w:t xml:space="preserve"> are emblematic of the challenges posed by China’s Belt and Road policy and the Commission’s determination to take robust action against unfair trade resulting therefrom</w:t>
      </w:r>
      <w:r>
        <w:rPr>
          <w:noProof/>
        </w:rPr>
        <w:t>.</w:t>
      </w:r>
    </w:p>
    <w:p w14:paraId="5BA6C84A" w14:textId="77777777" w:rsidR="00FB5CF5" w:rsidRDefault="00FB5CF5" w:rsidP="00FB5CF5">
      <w:pPr>
        <w:pStyle w:val="Heading2"/>
        <w:rPr>
          <w:noProof/>
        </w:rPr>
      </w:pPr>
      <w:bookmarkStart w:id="79" w:name="_Toc110444074"/>
      <w:r>
        <w:rPr>
          <w:noProof/>
        </w:rPr>
        <w:t>Expenditure</w:t>
      </w:r>
      <w:bookmarkEnd w:id="79"/>
    </w:p>
    <w:p w14:paraId="285E9D5F" w14:textId="74C6EC21" w:rsidR="008167CF" w:rsidRDefault="008167CF" w:rsidP="008167CF">
      <w:pPr>
        <w:rPr>
          <w:noProof/>
        </w:rPr>
      </w:pPr>
      <w:r>
        <w:rPr>
          <w:noProof/>
        </w:rPr>
        <w:t xml:space="preserve">While flexibilities and instruments were introduced to address the crisis brought </w:t>
      </w:r>
      <w:r w:rsidR="00CD7B44">
        <w:rPr>
          <w:noProof/>
        </w:rPr>
        <w:t xml:space="preserve">about </w:t>
      </w:r>
      <w:r>
        <w:rPr>
          <w:noProof/>
        </w:rPr>
        <w:t xml:space="preserve">by the COVID-19 pandemic, the EU </w:t>
      </w:r>
      <w:r w:rsidR="00CD7B44">
        <w:rPr>
          <w:noProof/>
        </w:rPr>
        <w:t>b</w:t>
      </w:r>
      <w:r>
        <w:rPr>
          <w:noProof/>
        </w:rPr>
        <w:t>udget also faced new challenges and risks</w:t>
      </w:r>
      <w:r w:rsidR="00997D73">
        <w:rPr>
          <w:rStyle w:val="FootnoteReference"/>
          <w:noProof/>
        </w:rPr>
        <w:footnoteReference w:id="88"/>
      </w:r>
      <w:r>
        <w:rPr>
          <w:noProof/>
        </w:rPr>
        <w:t xml:space="preserve">. </w:t>
      </w:r>
      <w:r w:rsidR="00997D73">
        <w:rPr>
          <w:noProof/>
        </w:rPr>
        <w:t>Overall, the Commission managed to maintain a high</w:t>
      </w:r>
      <w:r w:rsidR="00CD7B44">
        <w:rPr>
          <w:noProof/>
        </w:rPr>
        <w:t xml:space="preserve"> </w:t>
      </w:r>
      <w:r w:rsidR="00997D73">
        <w:rPr>
          <w:noProof/>
        </w:rPr>
        <w:t>level of audit coverage and assurance. This was also the case in the Member States, who carry out the bulk of the audits</w:t>
      </w:r>
      <w:r w:rsidR="00221EE2">
        <w:rPr>
          <w:noProof/>
        </w:rPr>
        <w:t xml:space="preserve"> and all the controls</w:t>
      </w:r>
      <w:r w:rsidR="00997D73">
        <w:rPr>
          <w:noProof/>
        </w:rPr>
        <w:t xml:space="preserve"> in shared management.</w:t>
      </w:r>
    </w:p>
    <w:p w14:paraId="50C7FADC" w14:textId="0E5DA4D4" w:rsidR="008167CF" w:rsidRDefault="00997D73" w:rsidP="008167CF">
      <w:pPr>
        <w:rPr>
          <w:noProof/>
        </w:rPr>
      </w:pPr>
      <w:r>
        <w:rPr>
          <w:noProof/>
        </w:rPr>
        <w:t xml:space="preserve">This ensured that </w:t>
      </w:r>
      <w:r w:rsidR="008167CF">
        <w:rPr>
          <w:noProof/>
        </w:rPr>
        <w:t xml:space="preserve">the flexibility provided did not lead to </w:t>
      </w:r>
      <w:r w:rsidR="00CD7B44">
        <w:rPr>
          <w:noProof/>
        </w:rPr>
        <w:t xml:space="preserve">a </w:t>
      </w:r>
      <w:r w:rsidR="008167CF">
        <w:rPr>
          <w:noProof/>
        </w:rPr>
        <w:t>relaxation of controls. The amended rules introduced in the Member States control procedure</w:t>
      </w:r>
      <w:r w:rsidR="003849B5">
        <w:rPr>
          <w:noProof/>
        </w:rPr>
        <w:t>s</w:t>
      </w:r>
      <w:r w:rsidR="008167CF">
        <w:rPr>
          <w:noProof/>
        </w:rPr>
        <w:t xml:space="preserve"> were limited in time and scope. Th</w:t>
      </w:r>
      <w:r w:rsidR="00CD7B44">
        <w:rPr>
          <w:noProof/>
        </w:rPr>
        <w:t xml:space="preserve">is </w:t>
      </w:r>
      <w:r w:rsidR="008167CF">
        <w:rPr>
          <w:noProof/>
        </w:rPr>
        <w:t>helped beneficiaries and Member States in difficult circumstances</w:t>
      </w:r>
      <w:r>
        <w:rPr>
          <w:rStyle w:val="FootnoteReference"/>
          <w:noProof/>
        </w:rPr>
        <w:footnoteReference w:id="89"/>
      </w:r>
      <w:r w:rsidR="008167CF">
        <w:rPr>
          <w:noProof/>
        </w:rPr>
        <w:t xml:space="preserve">. </w:t>
      </w:r>
    </w:p>
    <w:p w14:paraId="22EFB05A" w14:textId="6618428D" w:rsidR="008167CF" w:rsidRDefault="00CD7B44" w:rsidP="008167CF">
      <w:pPr>
        <w:rPr>
          <w:noProof/>
        </w:rPr>
      </w:pPr>
      <w:r>
        <w:rPr>
          <w:noProof/>
        </w:rPr>
        <w:t>R</w:t>
      </w:r>
      <w:r w:rsidR="008167CF">
        <w:rPr>
          <w:noProof/>
        </w:rPr>
        <w:t xml:space="preserve">obust mitigating measures have </w:t>
      </w:r>
      <w:r>
        <w:rPr>
          <w:noProof/>
        </w:rPr>
        <w:t xml:space="preserve">also </w:t>
      </w:r>
      <w:r w:rsidR="008167CF">
        <w:rPr>
          <w:noProof/>
        </w:rPr>
        <w:t>been put</w:t>
      </w:r>
      <w:r>
        <w:rPr>
          <w:noProof/>
        </w:rPr>
        <w:t>,</w:t>
      </w:r>
      <w:r w:rsidR="008167CF">
        <w:rPr>
          <w:noProof/>
        </w:rPr>
        <w:t xml:space="preserve"> or were already in</w:t>
      </w:r>
      <w:r>
        <w:rPr>
          <w:noProof/>
        </w:rPr>
        <w:t>,</w:t>
      </w:r>
      <w:r w:rsidR="008167CF">
        <w:rPr>
          <w:noProof/>
        </w:rPr>
        <w:t xml:space="preserve"> place </w:t>
      </w:r>
      <w:r w:rsidR="003849B5">
        <w:rPr>
          <w:noProof/>
        </w:rPr>
        <w:t xml:space="preserve">to </w:t>
      </w:r>
      <w:r w:rsidR="00997D73">
        <w:rPr>
          <w:noProof/>
        </w:rPr>
        <w:t xml:space="preserve">mitigate the risks linked to the impossibility </w:t>
      </w:r>
      <w:r w:rsidR="00C93715">
        <w:rPr>
          <w:noProof/>
        </w:rPr>
        <w:t xml:space="preserve">of doing on-the-spot </w:t>
      </w:r>
      <w:r w:rsidR="00997D73">
        <w:rPr>
          <w:noProof/>
        </w:rPr>
        <w:t>audits and controls</w:t>
      </w:r>
      <w:r w:rsidR="008167CF">
        <w:rPr>
          <w:noProof/>
        </w:rPr>
        <w:t>. These included the replacement of on-the-spot audits by desk reviews and remote audits</w:t>
      </w:r>
      <w:r w:rsidR="007C6A8D">
        <w:rPr>
          <w:noProof/>
        </w:rPr>
        <w:t>,</w:t>
      </w:r>
      <w:r w:rsidR="008167CF">
        <w:rPr>
          <w:noProof/>
        </w:rPr>
        <w:t xml:space="preserve"> and the possibility </w:t>
      </w:r>
      <w:r w:rsidR="00C93715">
        <w:rPr>
          <w:noProof/>
        </w:rPr>
        <w:t xml:space="preserve">of </w:t>
      </w:r>
      <w:r w:rsidR="008167CF">
        <w:rPr>
          <w:noProof/>
        </w:rPr>
        <w:t>replac</w:t>
      </w:r>
      <w:r w:rsidR="00C93715">
        <w:rPr>
          <w:noProof/>
        </w:rPr>
        <w:t>ing</w:t>
      </w:r>
      <w:r w:rsidR="008167CF">
        <w:rPr>
          <w:noProof/>
        </w:rPr>
        <w:t xml:space="preserve"> </w:t>
      </w:r>
      <w:r w:rsidR="00221EE2">
        <w:rPr>
          <w:noProof/>
        </w:rPr>
        <w:t>on-the-spot inspections</w:t>
      </w:r>
      <w:r w:rsidR="008167CF">
        <w:rPr>
          <w:noProof/>
        </w:rPr>
        <w:t xml:space="preserve"> with IT solutions (geo-tagged photos, satellite images, video meetings</w:t>
      </w:r>
      <w:r w:rsidR="007C6A8D">
        <w:rPr>
          <w:noProof/>
        </w:rPr>
        <w:t>,</w:t>
      </w:r>
      <w:r w:rsidR="008167CF">
        <w:rPr>
          <w:noProof/>
        </w:rPr>
        <w:t xml:space="preserve"> etc.)</w:t>
      </w:r>
      <w:r w:rsidR="00995DDF">
        <w:rPr>
          <w:rStyle w:val="FootnoteReference"/>
          <w:noProof/>
        </w:rPr>
        <w:footnoteReference w:id="90"/>
      </w:r>
      <w:r w:rsidR="00995DDF">
        <w:rPr>
          <w:noProof/>
        </w:rPr>
        <w:t>.</w:t>
      </w:r>
    </w:p>
    <w:p w14:paraId="604D2BC9" w14:textId="5D9FCE5E" w:rsidR="00490854" w:rsidRDefault="00DC7AB1" w:rsidP="008167CF">
      <w:pPr>
        <w:rPr>
          <w:noProof/>
        </w:rPr>
      </w:pPr>
      <w:r>
        <w:rPr>
          <w:noProof/>
        </w:rPr>
        <w:t>Against this backd</w:t>
      </w:r>
      <w:r w:rsidR="00C93715">
        <w:rPr>
          <w:noProof/>
        </w:rPr>
        <w:t>rop</w:t>
      </w:r>
      <w:r>
        <w:rPr>
          <w:noProof/>
        </w:rPr>
        <w:t>, and in line with the expected trend, o</w:t>
      </w:r>
      <w:r w:rsidR="00773F49" w:rsidRPr="00773F49">
        <w:rPr>
          <w:noProof/>
        </w:rPr>
        <w:t xml:space="preserve">ver the last </w:t>
      </w:r>
      <w:r w:rsidR="00671AE7">
        <w:rPr>
          <w:noProof/>
        </w:rPr>
        <w:t>five</w:t>
      </w:r>
      <w:r w:rsidR="00C93715">
        <w:rPr>
          <w:noProof/>
        </w:rPr>
        <w:t xml:space="preserve"> </w:t>
      </w:r>
      <w:r w:rsidR="00773F49" w:rsidRPr="00773F49">
        <w:rPr>
          <w:noProof/>
        </w:rPr>
        <w:t xml:space="preserve">years, the number of reported irregularities (fraudulent and non-fraudulent) related to EU expenditure for the </w:t>
      </w:r>
      <w:r w:rsidR="00C93715" w:rsidRPr="00773F49">
        <w:rPr>
          <w:noProof/>
        </w:rPr>
        <w:t xml:space="preserve">2007-2013 </w:t>
      </w:r>
      <w:r w:rsidR="00773F49" w:rsidRPr="00773F49">
        <w:rPr>
          <w:noProof/>
        </w:rPr>
        <w:t xml:space="preserve">programming period </w:t>
      </w:r>
      <w:r w:rsidR="00C93715">
        <w:rPr>
          <w:noProof/>
        </w:rPr>
        <w:t xml:space="preserve">has </w:t>
      </w:r>
      <w:r w:rsidR="00773F49" w:rsidRPr="00773F49">
        <w:rPr>
          <w:noProof/>
        </w:rPr>
        <w:t>decreased, while those linked to the 2014-2020</w:t>
      </w:r>
      <w:r w:rsidR="00C93715">
        <w:rPr>
          <w:noProof/>
        </w:rPr>
        <w:t xml:space="preserve"> </w:t>
      </w:r>
      <w:r w:rsidR="00C93715" w:rsidRPr="00773F49">
        <w:rPr>
          <w:noProof/>
        </w:rPr>
        <w:t>financial framework</w:t>
      </w:r>
      <w:r w:rsidR="00773F49">
        <w:rPr>
          <w:rStyle w:val="FootnoteReference"/>
          <w:noProof/>
        </w:rPr>
        <w:footnoteReference w:id="91"/>
      </w:r>
      <w:r w:rsidR="00773F49" w:rsidRPr="00773F49">
        <w:rPr>
          <w:noProof/>
        </w:rPr>
        <w:t xml:space="preserve"> have been increasing, consistently with the implementation cycles</w:t>
      </w:r>
      <w:r w:rsidR="00C93715">
        <w:rPr>
          <w:noProof/>
        </w:rPr>
        <w:t xml:space="preserve">, so </w:t>
      </w:r>
      <w:r w:rsidR="003430DC">
        <w:rPr>
          <w:noProof/>
        </w:rPr>
        <w:t>that</w:t>
      </w:r>
      <w:r w:rsidR="00773F49">
        <w:rPr>
          <w:noProof/>
        </w:rPr>
        <w:t xml:space="preserve"> they </w:t>
      </w:r>
      <w:r w:rsidR="00C93715">
        <w:rPr>
          <w:noProof/>
        </w:rPr>
        <w:t xml:space="preserve">now </w:t>
      </w:r>
      <w:r w:rsidR="00773F49">
        <w:rPr>
          <w:noProof/>
        </w:rPr>
        <w:t>represent the great majority of reported irregularities (about 90%)</w:t>
      </w:r>
      <w:r w:rsidR="00773F49" w:rsidRPr="00773F49">
        <w:rPr>
          <w:noProof/>
        </w:rPr>
        <w:t>. Reported irregularities related to annual spending (direct aid to farmers and market support measures) remained stable.</w:t>
      </w:r>
    </w:p>
    <w:p w14:paraId="33B9CCEB" w14:textId="77777777" w:rsidR="00490854" w:rsidRDefault="00490854">
      <w:pPr>
        <w:spacing w:after="0" w:line="240" w:lineRule="auto"/>
        <w:jc w:val="left"/>
        <w:rPr>
          <w:noProof/>
        </w:rPr>
      </w:pPr>
      <w:r>
        <w:rPr>
          <w:noProof/>
        </w:rPr>
        <w:br w:type="page"/>
      </w:r>
    </w:p>
    <w:p w14:paraId="0B95959D" w14:textId="7F73357B" w:rsidR="00773F49" w:rsidRDefault="00773F49" w:rsidP="00DC7AB1">
      <w:pPr>
        <w:pStyle w:val="Caption"/>
        <w:keepNext/>
        <w:rPr>
          <w:noProof/>
        </w:rPr>
      </w:pPr>
      <w:bookmarkStart w:id="80" w:name="_Toc106662328"/>
      <w:r>
        <w:rPr>
          <w:noProof/>
        </w:rPr>
        <w:t xml:space="preserve">Table </w:t>
      </w:r>
      <w:r w:rsidR="00EA0D7C">
        <w:rPr>
          <w:noProof/>
        </w:rPr>
        <w:fldChar w:fldCharType="begin"/>
      </w:r>
      <w:r w:rsidR="00EA0D7C">
        <w:rPr>
          <w:noProof/>
        </w:rPr>
        <w:instrText xml:space="preserve"> SEQ Table \* ARABIC </w:instrText>
      </w:r>
      <w:r w:rsidR="00EA0D7C">
        <w:rPr>
          <w:noProof/>
        </w:rPr>
        <w:fldChar w:fldCharType="separate"/>
      </w:r>
      <w:r w:rsidR="00F963A8">
        <w:rPr>
          <w:noProof/>
        </w:rPr>
        <w:t>4</w:t>
      </w:r>
      <w:r w:rsidR="00EA0D7C">
        <w:rPr>
          <w:noProof/>
        </w:rPr>
        <w:fldChar w:fldCharType="end"/>
      </w:r>
      <w:r>
        <w:rPr>
          <w:noProof/>
        </w:rPr>
        <w:t xml:space="preserve"> - </w:t>
      </w:r>
      <w:r w:rsidRPr="00773F49">
        <w:rPr>
          <w:noProof/>
        </w:rPr>
        <w:t xml:space="preserve">Expenditure: Irregularities detected </w:t>
      </w:r>
      <w:r>
        <w:rPr>
          <w:noProof/>
        </w:rPr>
        <w:t xml:space="preserve">and reported </w:t>
      </w:r>
      <w:r w:rsidRPr="00773F49">
        <w:rPr>
          <w:noProof/>
        </w:rPr>
        <w:t>by budgetary sector in 202</w:t>
      </w:r>
      <w:r>
        <w:rPr>
          <w:noProof/>
        </w:rPr>
        <w:t>1</w:t>
      </w:r>
      <w:bookmarkEnd w:id="80"/>
    </w:p>
    <w:tbl>
      <w:tblPr>
        <w:tblW w:w="8642" w:type="dxa"/>
        <w:tblInd w:w="113" w:type="dxa"/>
        <w:tblLook w:val="04A0" w:firstRow="1" w:lastRow="0" w:firstColumn="1" w:lastColumn="0" w:noHBand="0" w:noVBand="1"/>
      </w:tblPr>
      <w:tblGrid>
        <w:gridCol w:w="2160"/>
        <w:gridCol w:w="1096"/>
        <w:gridCol w:w="1154"/>
        <w:gridCol w:w="1114"/>
        <w:gridCol w:w="1169"/>
        <w:gridCol w:w="957"/>
        <w:gridCol w:w="992"/>
      </w:tblGrid>
      <w:tr w:rsidR="00773F49" w:rsidRPr="006C5247" w14:paraId="21AF1819" w14:textId="77777777" w:rsidTr="002923C2">
        <w:trPr>
          <w:trHeight w:val="585"/>
          <w:tblHeader/>
        </w:trPr>
        <w:tc>
          <w:tcPr>
            <w:tcW w:w="2160" w:type="dxa"/>
            <w:tcBorders>
              <w:top w:val="single" w:sz="4" w:space="0" w:color="9BC2E6"/>
              <w:left w:val="single" w:sz="4" w:space="0" w:color="9BC2E6"/>
              <w:bottom w:val="single" w:sz="4" w:space="0" w:color="9BC2E6"/>
              <w:right w:val="single" w:sz="4" w:space="0" w:color="9BC2E6"/>
            </w:tcBorders>
            <w:shd w:val="clear" w:color="5B9BD5" w:fill="5B9BD5"/>
            <w:noWrap/>
            <w:vAlign w:val="center"/>
            <w:hideMark/>
          </w:tcPr>
          <w:p w14:paraId="0499687A" w14:textId="77777777" w:rsidR="00773F49" w:rsidRPr="006C5247" w:rsidRDefault="00773F49"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Budgetary sector</w:t>
            </w:r>
          </w:p>
        </w:tc>
        <w:tc>
          <w:tcPr>
            <w:tcW w:w="2250" w:type="dxa"/>
            <w:gridSpan w:val="2"/>
            <w:tcBorders>
              <w:top w:val="single" w:sz="4" w:space="0" w:color="9BC2E6"/>
              <w:left w:val="single" w:sz="4" w:space="0" w:color="9BC2E6"/>
              <w:bottom w:val="single" w:sz="4" w:space="0" w:color="9BC2E6"/>
            </w:tcBorders>
            <w:shd w:val="clear" w:color="5B9BD5" w:fill="5B9BD5"/>
            <w:vAlign w:val="center"/>
            <w:hideMark/>
          </w:tcPr>
          <w:p w14:paraId="0C49CBE4" w14:textId="77777777" w:rsidR="00773F49" w:rsidRPr="006C5247" w:rsidRDefault="00773F49"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Fraudulent irregularities</w:t>
            </w:r>
          </w:p>
        </w:tc>
        <w:tc>
          <w:tcPr>
            <w:tcW w:w="2283" w:type="dxa"/>
            <w:gridSpan w:val="2"/>
            <w:tcBorders>
              <w:top w:val="single" w:sz="4" w:space="0" w:color="9BC2E6"/>
              <w:left w:val="nil"/>
              <w:bottom w:val="single" w:sz="4" w:space="0" w:color="9BC2E6"/>
              <w:right w:val="single" w:sz="4" w:space="0" w:color="9BC2E6"/>
            </w:tcBorders>
            <w:shd w:val="clear" w:color="5B9BD5" w:fill="5B9BD5"/>
            <w:vAlign w:val="center"/>
            <w:hideMark/>
          </w:tcPr>
          <w:p w14:paraId="061FACD1" w14:textId="77777777" w:rsidR="00773F49" w:rsidRPr="006C5247" w:rsidRDefault="00773F49"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Non-fraudulent irregularities</w:t>
            </w:r>
          </w:p>
        </w:tc>
        <w:tc>
          <w:tcPr>
            <w:tcW w:w="957"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835903E" w14:textId="77777777" w:rsidR="00773F49" w:rsidRPr="006C5247" w:rsidRDefault="00773F49"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FDR</w:t>
            </w:r>
            <w:r>
              <w:rPr>
                <w:rStyle w:val="FootnoteReference"/>
                <w:rFonts w:ascii="Calibri" w:hAnsi="Calibri" w:cs="Calibri"/>
                <w:bCs/>
                <w:noProof/>
                <w:color w:val="FFFFFF"/>
                <w:szCs w:val="22"/>
              </w:rPr>
              <w:footnoteReference w:id="92"/>
            </w:r>
          </w:p>
        </w:tc>
        <w:tc>
          <w:tcPr>
            <w:tcW w:w="992" w:type="dxa"/>
            <w:tcBorders>
              <w:top w:val="single" w:sz="4" w:space="0" w:color="9BC2E6"/>
              <w:left w:val="single" w:sz="4" w:space="0" w:color="9BC2E6"/>
              <w:bottom w:val="single" w:sz="4" w:space="0" w:color="9BC2E6"/>
              <w:right w:val="single" w:sz="4" w:space="0" w:color="9BC2E6"/>
            </w:tcBorders>
            <w:shd w:val="clear" w:color="5B9BD5" w:fill="5B9BD5"/>
            <w:vAlign w:val="bottom"/>
            <w:hideMark/>
          </w:tcPr>
          <w:p w14:paraId="09EB447D" w14:textId="77777777" w:rsidR="00773F49" w:rsidRPr="006C5247" w:rsidRDefault="00773F49" w:rsidP="00A27EF6">
            <w:pPr>
              <w:spacing w:after="0"/>
              <w:jc w:val="center"/>
              <w:rPr>
                <w:rFonts w:ascii="Calibri" w:hAnsi="Calibri" w:cs="Calibri"/>
                <w:b/>
                <w:bCs/>
                <w:noProof/>
                <w:color w:val="FFFFFF"/>
                <w:szCs w:val="22"/>
              </w:rPr>
            </w:pPr>
            <w:r w:rsidRPr="006C5247">
              <w:rPr>
                <w:rFonts w:ascii="Calibri" w:hAnsi="Calibri" w:cs="Calibri"/>
                <w:b/>
                <w:bCs/>
                <w:noProof/>
                <w:color w:val="FFFFFF"/>
                <w:szCs w:val="22"/>
              </w:rPr>
              <w:t>IDR</w:t>
            </w:r>
            <w:r>
              <w:rPr>
                <w:rStyle w:val="FootnoteReference"/>
                <w:rFonts w:ascii="Calibri" w:hAnsi="Calibri" w:cs="Calibri"/>
                <w:bCs/>
                <w:noProof/>
                <w:color w:val="FFFFFF"/>
                <w:szCs w:val="22"/>
              </w:rPr>
              <w:footnoteReference w:id="93"/>
            </w:r>
          </w:p>
        </w:tc>
      </w:tr>
      <w:tr w:rsidR="00773F49" w:rsidRPr="006C5247" w14:paraId="28D5CE15" w14:textId="77777777" w:rsidTr="00A27EF6">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center"/>
            <w:hideMark/>
          </w:tcPr>
          <w:p w14:paraId="553C42C2" w14:textId="77777777" w:rsidR="00773F49" w:rsidRPr="006C5247" w:rsidRDefault="00773F49" w:rsidP="00A27EF6">
            <w:pPr>
              <w:spacing w:after="0"/>
              <w:jc w:val="center"/>
              <w:rPr>
                <w:rFonts w:ascii="Calibri" w:hAnsi="Calibri" w:cs="Calibri"/>
                <w:b/>
                <w:bCs/>
                <w:noProof/>
                <w:color w:val="FFFFFF"/>
                <w:szCs w:val="22"/>
              </w:rPr>
            </w:pPr>
          </w:p>
        </w:tc>
        <w:tc>
          <w:tcPr>
            <w:tcW w:w="1096" w:type="dxa"/>
            <w:tcBorders>
              <w:top w:val="single" w:sz="4" w:space="0" w:color="9BC2E6"/>
              <w:left w:val="single" w:sz="4" w:space="0" w:color="9BC2E6"/>
              <w:bottom w:val="single" w:sz="4" w:space="0" w:color="9BC2E6"/>
              <w:right w:val="nil"/>
            </w:tcBorders>
            <w:shd w:val="clear" w:color="DDEBF7" w:fill="DDEBF7"/>
            <w:noWrap/>
            <w:vAlign w:val="bottom"/>
            <w:hideMark/>
          </w:tcPr>
          <w:p w14:paraId="03D9F7DA"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N</w:t>
            </w:r>
          </w:p>
        </w:tc>
        <w:tc>
          <w:tcPr>
            <w:tcW w:w="1154" w:type="dxa"/>
            <w:tcBorders>
              <w:top w:val="single" w:sz="4" w:space="0" w:color="9BC2E6"/>
              <w:left w:val="nil"/>
              <w:bottom w:val="single" w:sz="4" w:space="0" w:color="9BC2E6"/>
            </w:tcBorders>
            <w:shd w:val="clear" w:color="DDEBF7" w:fill="DDEBF7"/>
            <w:noWrap/>
            <w:vAlign w:val="bottom"/>
            <w:hideMark/>
          </w:tcPr>
          <w:p w14:paraId="5C0624D5"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EUR (million)</w:t>
            </w:r>
          </w:p>
        </w:tc>
        <w:tc>
          <w:tcPr>
            <w:tcW w:w="1114" w:type="dxa"/>
            <w:tcBorders>
              <w:top w:val="single" w:sz="4" w:space="0" w:color="9BC2E6"/>
              <w:left w:val="nil"/>
              <w:bottom w:val="single" w:sz="4" w:space="0" w:color="9BC2E6"/>
              <w:right w:val="nil"/>
            </w:tcBorders>
            <w:shd w:val="clear" w:color="DDEBF7" w:fill="DDEBF7"/>
            <w:noWrap/>
            <w:vAlign w:val="bottom"/>
            <w:hideMark/>
          </w:tcPr>
          <w:p w14:paraId="72BFF9E2"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N</w:t>
            </w:r>
          </w:p>
        </w:tc>
        <w:tc>
          <w:tcPr>
            <w:tcW w:w="1169" w:type="dxa"/>
            <w:tcBorders>
              <w:top w:val="single" w:sz="4" w:space="0" w:color="9BC2E6"/>
              <w:left w:val="nil"/>
              <w:bottom w:val="single" w:sz="4" w:space="0" w:color="9BC2E6"/>
              <w:right w:val="single" w:sz="4" w:space="0" w:color="9BC2E6"/>
            </w:tcBorders>
            <w:shd w:val="clear" w:color="DDEBF7" w:fill="DDEBF7"/>
            <w:noWrap/>
            <w:vAlign w:val="bottom"/>
            <w:hideMark/>
          </w:tcPr>
          <w:p w14:paraId="49E252A1"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EUR (million)</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A88CA53"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3CC691D8" w14:textId="77777777" w:rsidR="00773F49" w:rsidRPr="006C5247" w:rsidRDefault="00773F49" w:rsidP="00A27EF6">
            <w:pPr>
              <w:spacing w:after="0"/>
              <w:jc w:val="center"/>
              <w:rPr>
                <w:rFonts w:ascii="Calibri" w:hAnsi="Calibri" w:cs="Calibri"/>
                <w:noProof/>
                <w:color w:val="000000"/>
                <w:sz w:val="16"/>
                <w:szCs w:val="16"/>
              </w:rPr>
            </w:pPr>
            <w:r w:rsidRPr="006C5247">
              <w:rPr>
                <w:rFonts w:ascii="Calibri" w:hAnsi="Calibri" w:cs="Calibri"/>
                <w:noProof/>
                <w:color w:val="000000"/>
                <w:sz w:val="16"/>
                <w:szCs w:val="16"/>
              </w:rPr>
              <w:t>%</w:t>
            </w:r>
          </w:p>
        </w:tc>
      </w:tr>
      <w:tr w:rsidR="00773F49" w:rsidRPr="006C5247" w14:paraId="624FAE0F"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D4FC177" w14:textId="77777777" w:rsidR="00773F49" w:rsidRPr="006C5247" w:rsidRDefault="00773F49" w:rsidP="00A27EF6">
            <w:pPr>
              <w:spacing w:after="0"/>
              <w:jc w:val="left"/>
              <w:rPr>
                <w:rFonts w:ascii="Calibri" w:hAnsi="Calibri" w:cs="Calibri"/>
                <w:b/>
                <w:bCs/>
                <w:noProof/>
                <w:color w:val="000000"/>
                <w:szCs w:val="22"/>
              </w:rPr>
            </w:pPr>
            <w:r w:rsidRPr="006C5247">
              <w:rPr>
                <w:rFonts w:ascii="Calibri" w:hAnsi="Calibri" w:cs="Calibri"/>
                <w:b/>
                <w:bCs/>
                <w:noProof/>
                <w:color w:val="000000"/>
                <w:szCs w:val="22"/>
              </w:rPr>
              <w:t>Agriculture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67BDB0CB" w14:textId="77777777" w:rsidR="00773F49" w:rsidRPr="006C5247" w:rsidRDefault="00F2117F" w:rsidP="00A27EF6">
            <w:pPr>
              <w:spacing w:after="0"/>
              <w:jc w:val="right"/>
              <w:rPr>
                <w:rFonts w:ascii="Calibri" w:hAnsi="Calibri" w:cs="Calibri"/>
                <w:b/>
                <w:bCs/>
                <w:noProof/>
                <w:color w:val="000000"/>
                <w:szCs w:val="22"/>
              </w:rPr>
            </w:pPr>
            <w:r>
              <w:rPr>
                <w:rFonts w:ascii="Calibri" w:hAnsi="Calibri" w:cs="Calibri"/>
                <w:b/>
                <w:bCs/>
                <w:noProof/>
                <w:color w:val="000000"/>
                <w:szCs w:val="22"/>
              </w:rPr>
              <w:t>250</w:t>
            </w:r>
          </w:p>
        </w:tc>
        <w:tc>
          <w:tcPr>
            <w:tcW w:w="1154" w:type="dxa"/>
            <w:tcBorders>
              <w:top w:val="single" w:sz="4" w:space="0" w:color="9BC2E6"/>
              <w:left w:val="nil"/>
              <w:bottom w:val="single" w:sz="4" w:space="0" w:color="9BC2E6"/>
            </w:tcBorders>
            <w:shd w:val="clear" w:color="auto" w:fill="auto"/>
            <w:noWrap/>
            <w:vAlign w:val="bottom"/>
          </w:tcPr>
          <w:p w14:paraId="73344F48" w14:textId="77777777" w:rsidR="00773F49" w:rsidRPr="006C5247" w:rsidRDefault="00F2117F" w:rsidP="00A27EF6">
            <w:pPr>
              <w:spacing w:after="0"/>
              <w:jc w:val="right"/>
              <w:rPr>
                <w:rFonts w:ascii="Calibri" w:hAnsi="Calibri" w:cs="Calibri"/>
                <w:b/>
                <w:bCs/>
                <w:noProof/>
                <w:color w:val="000000"/>
                <w:szCs w:val="22"/>
              </w:rPr>
            </w:pPr>
            <w:r>
              <w:rPr>
                <w:rFonts w:ascii="Calibri" w:hAnsi="Calibri" w:cs="Calibri"/>
                <w:b/>
                <w:bCs/>
                <w:noProof/>
                <w:color w:val="000000"/>
                <w:szCs w:val="22"/>
              </w:rPr>
              <w:t>30.0</w:t>
            </w:r>
          </w:p>
        </w:tc>
        <w:tc>
          <w:tcPr>
            <w:tcW w:w="1114" w:type="dxa"/>
            <w:tcBorders>
              <w:top w:val="single" w:sz="4" w:space="0" w:color="9BC2E6"/>
              <w:left w:val="nil"/>
              <w:bottom w:val="single" w:sz="4" w:space="0" w:color="9BC2E6"/>
              <w:right w:val="nil"/>
            </w:tcBorders>
            <w:shd w:val="clear" w:color="auto" w:fill="auto"/>
            <w:noWrap/>
            <w:vAlign w:val="bottom"/>
          </w:tcPr>
          <w:p w14:paraId="38D280CE" w14:textId="77777777" w:rsidR="00773F49" w:rsidRPr="006C5247" w:rsidRDefault="00F2117F" w:rsidP="00A27EF6">
            <w:pPr>
              <w:spacing w:after="0"/>
              <w:jc w:val="right"/>
              <w:rPr>
                <w:rFonts w:ascii="Calibri" w:hAnsi="Calibri" w:cs="Calibri"/>
                <w:b/>
                <w:bCs/>
                <w:noProof/>
                <w:color w:val="000000"/>
                <w:szCs w:val="22"/>
              </w:rPr>
            </w:pPr>
            <w:r>
              <w:rPr>
                <w:rFonts w:ascii="Calibri" w:hAnsi="Calibri" w:cs="Calibri"/>
                <w:b/>
                <w:bCs/>
                <w:noProof/>
                <w:color w:val="000000"/>
                <w:szCs w:val="22"/>
              </w:rPr>
              <w:t>3 455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7EA43E37" w14:textId="77777777" w:rsidR="00773F49" w:rsidRPr="006C5247" w:rsidRDefault="00F2117F" w:rsidP="00A27EF6">
            <w:pPr>
              <w:spacing w:after="0"/>
              <w:jc w:val="right"/>
              <w:rPr>
                <w:rFonts w:ascii="Calibri" w:hAnsi="Calibri" w:cs="Calibri"/>
                <w:b/>
                <w:bCs/>
                <w:noProof/>
                <w:color w:val="000000"/>
                <w:szCs w:val="22"/>
              </w:rPr>
            </w:pPr>
            <w:r>
              <w:rPr>
                <w:rFonts w:ascii="Calibri" w:hAnsi="Calibri" w:cs="Calibri"/>
                <w:b/>
                <w:bCs/>
                <w:noProof/>
                <w:color w:val="000000"/>
                <w:szCs w:val="22"/>
              </w:rPr>
              <w:t>204.0</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7DF3CCF2" w14:textId="77777777" w:rsidR="00773F49" w:rsidRPr="006C5247" w:rsidRDefault="00992A65" w:rsidP="00A27EF6">
            <w:pPr>
              <w:spacing w:after="0"/>
              <w:jc w:val="right"/>
              <w:rPr>
                <w:rFonts w:ascii="Calibri" w:hAnsi="Calibri" w:cs="Calibri"/>
                <w:b/>
                <w:bCs/>
                <w:noProof/>
                <w:color w:val="000000"/>
                <w:szCs w:val="22"/>
              </w:rPr>
            </w:pPr>
            <w:r>
              <w:rPr>
                <w:rFonts w:ascii="Calibri" w:hAnsi="Calibri" w:cs="Calibri"/>
                <w:b/>
                <w:bCs/>
                <w:noProof/>
                <w:color w:val="000000"/>
                <w:szCs w:val="22"/>
              </w:rPr>
              <w:t>0.06%</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0D0A619E" w14:textId="77777777" w:rsidR="00773F49" w:rsidRPr="006C5247" w:rsidRDefault="00992A65" w:rsidP="00A27EF6">
            <w:pPr>
              <w:spacing w:after="0"/>
              <w:jc w:val="right"/>
              <w:rPr>
                <w:rFonts w:ascii="Calibri" w:hAnsi="Calibri" w:cs="Calibri"/>
                <w:b/>
                <w:bCs/>
                <w:noProof/>
                <w:color w:val="000000"/>
                <w:szCs w:val="22"/>
              </w:rPr>
            </w:pPr>
            <w:r>
              <w:rPr>
                <w:rFonts w:ascii="Calibri" w:hAnsi="Calibri" w:cs="Calibri"/>
                <w:b/>
                <w:bCs/>
                <w:noProof/>
                <w:color w:val="000000"/>
                <w:szCs w:val="22"/>
              </w:rPr>
              <w:t>0.38%</w:t>
            </w:r>
          </w:p>
        </w:tc>
      </w:tr>
      <w:tr w:rsidR="00773F49" w:rsidRPr="006C5247" w14:paraId="0093F2A2"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25D5501D" w14:textId="77777777" w:rsidR="00773F49" w:rsidRPr="006C5247" w:rsidRDefault="00773F49" w:rsidP="00A27EF6">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Rural Development</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036F3A23"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144</w:t>
            </w:r>
          </w:p>
        </w:tc>
        <w:tc>
          <w:tcPr>
            <w:tcW w:w="1154" w:type="dxa"/>
            <w:tcBorders>
              <w:top w:val="single" w:sz="4" w:space="0" w:color="9BC2E6"/>
              <w:left w:val="nil"/>
              <w:bottom w:val="single" w:sz="4" w:space="0" w:color="9BC2E6"/>
            </w:tcBorders>
            <w:shd w:val="clear" w:color="DDEBF7" w:fill="DDEBF7"/>
            <w:noWrap/>
            <w:vAlign w:val="bottom"/>
          </w:tcPr>
          <w:p w14:paraId="5D15FCC5"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16.5</w:t>
            </w:r>
          </w:p>
        </w:tc>
        <w:tc>
          <w:tcPr>
            <w:tcW w:w="1114" w:type="dxa"/>
            <w:tcBorders>
              <w:top w:val="single" w:sz="4" w:space="0" w:color="9BC2E6"/>
              <w:left w:val="nil"/>
              <w:bottom w:val="single" w:sz="4" w:space="0" w:color="9BC2E6"/>
              <w:right w:val="nil"/>
            </w:tcBorders>
            <w:shd w:val="clear" w:color="DDEBF7" w:fill="DDEBF7"/>
            <w:noWrap/>
            <w:vAlign w:val="bottom"/>
          </w:tcPr>
          <w:p w14:paraId="2F8F0A47"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2 400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1D8A112C"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94.7</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54C1947B"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0.12%</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16A282C"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0.68%</w:t>
            </w:r>
          </w:p>
        </w:tc>
      </w:tr>
      <w:tr w:rsidR="00773F49" w:rsidRPr="006C5247" w14:paraId="2F87BA38"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46CFF1BD" w14:textId="77777777" w:rsidR="00773F49" w:rsidRPr="006C5247" w:rsidRDefault="00773F49" w:rsidP="00A27EF6">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Support to agriculture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3279C50A"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98</w:t>
            </w:r>
          </w:p>
        </w:tc>
        <w:tc>
          <w:tcPr>
            <w:tcW w:w="1154" w:type="dxa"/>
            <w:tcBorders>
              <w:top w:val="single" w:sz="4" w:space="0" w:color="9BC2E6"/>
              <w:left w:val="nil"/>
              <w:bottom w:val="single" w:sz="4" w:space="0" w:color="9BC2E6"/>
            </w:tcBorders>
            <w:shd w:val="clear" w:color="auto" w:fill="auto"/>
            <w:noWrap/>
            <w:vAlign w:val="bottom"/>
          </w:tcPr>
          <w:p w14:paraId="0488ECB9"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13.0</w:t>
            </w:r>
          </w:p>
        </w:tc>
        <w:tc>
          <w:tcPr>
            <w:tcW w:w="1114" w:type="dxa"/>
            <w:tcBorders>
              <w:top w:val="single" w:sz="4" w:space="0" w:color="9BC2E6"/>
              <w:left w:val="nil"/>
              <w:bottom w:val="single" w:sz="4" w:space="0" w:color="9BC2E6"/>
              <w:right w:val="nil"/>
            </w:tcBorders>
            <w:shd w:val="clear" w:color="auto" w:fill="auto"/>
            <w:noWrap/>
            <w:vAlign w:val="bottom"/>
          </w:tcPr>
          <w:p w14:paraId="13EE31C1"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1 015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33F76399"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107.5</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34B4BE0C"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0.03%</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4EBA78E"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0.27%</w:t>
            </w:r>
          </w:p>
        </w:tc>
      </w:tr>
      <w:tr w:rsidR="00773F49" w:rsidRPr="006C5247" w14:paraId="0BAAEBD9"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4FFC2B3" w14:textId="57E0A277" w:rsidR="00773F49" w:rsidRPr="006C5247" w:rsidRDefault="00773F49" w:rsidP="004A5098">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Both/Unclear</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62DD0406"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8</w:t>
            </w:r>
          </w:p>
        </w:tc>
        <w:tc>
          <w:tcPr>
            <w:tcW w:w="1154" w:type="dxa"/>
            <w:tcBorders>
              <w:top w:val="single" w:sz="4" w:space="0" w:color="9BC2E6"/>
              <w:left w:val="nil"/>
              <w:bottom w:val="single" w:sz="4" w:space="0" w:color="9BC2E6"/>
            </w:tcBorders>
            <w:shd w:val="clear" w:color="DDEBF7" w:fill="DDEBF7"/>
            <w:noWrap/>
            <w:vAlign w:val="bottom"/>
          </w:tcPr>
          <w:p w14:paraId="53F04075"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0.5</w:t>
            </w:r>
          </w:p>
        </w:tc>
        <w:tc>
          <w:tcPr>
            <w:tcW w:w="1114" w:type="dxa"/>
            <w:tcBorders>
              <w:top w:val="single" w:sz="4" w:space="0" w:color="9BC2E6"/>
              <w:left w:val="nil"/>
              <w:bottom w:val="single" w:sz="4" w:space="0" w:color="9BC2E6"/>
              <w:right w:val="nil"/>
            </w:tcBorders>
            <w:shd w:val="clear" w:color="DDEBF7" w:fill="DDEBF7"/>
            <w:noWrap/>
            <w:vAlign w:val="bottom"/>
          </w:tcPr>
          <w:p w14:paraId="42E5A005"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40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7E38BFA5" w14:textId="77777777" w:rsidR="00773F49" w:rsidRPr="006C5247" w:rsidRDefault="00F2117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1.8</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621D295B"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13C87130" w14:textId="77777777" w:rsidR="00773F49" w:rsidRPr="006C5247" w:rsidRDefault="00992A65"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r>
      <w:tr w:rsidR="00773F49" w:rsidRPr="006C5247" w14:paraId="307EAD43"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37269A28" w14:textId="137FCAD2" w:rsidR="00773F49" w:rsidRPr="006C5247" w:rsidRDefault="00773F49" w:rsidP="00A27EF6">
            <w:pPr>
              <w:spacing w:after="0"/>
              <w:jc w:val="left"/>
              <w:rPr>
                <w:rFonts w:ascii="Calibri" w:hAnsi="Calibri" w:cs="Calibri"/>
                <w:b/>
                <w:bCs/>
                <w:noProof/>
                <w:color w:val="000000"/>
                <w:szCs w:val="22"/>
              </w:rPr>
            </w:pPr>
            <w:r w:rsidRPr="006C5247">
              <w:rPr>
                <w:rFonts w:ascii="Calibri" w:hAnsi="Calibri" w:cs="Calibri"/>
                <w:b/>
                <w:bCs/>
                <w:noProof/>
                <w:color w:val="000000"/>
                <w:szCs w:val="22"/>
              </w:rPr>
              <w:t>E</w:t>
            </w:r>
            <w:r w:rsidR="004A5098">
              <w:rPr>
                <w:rFonts w:ascii="Calibri" w:hAnsi="Calibri" w:cs="Calibri"/>
                <w:b/>
                <w:bCs/>
                <w:noProof/>
                <w:color w:val="000000"/>
                <w:szCs w:val="22"/>
              </w:rPr>
              <w:t xml:space="preserve">uropean </w:t>
            </w:r>
            <w:r w:rsidRPr="006C5247">
              <w:rPr>
                <w:rFonts w:ascii="Calibri" w:hAnsi="Calibri" w:cs="Calibri"/>
                <w:b/>
                <w:bCs/>
                <w:noProof/>
                <w:color w:val="000000"/>
                <w:szCs w:val="22"/>
              </w:rPr>
              <w:t>S</w:t>
            </w:r>
            <w:r w:rsidR="004A5098">
              <w:rPr>
                <w:rFonts w:ascii="Calibri" w:hAnsi="Calibri" w:cs="Calibri"/>
                <w:b/>
                <w:bCs/>
                <w:noProof/>
                <w:color w:val="000000"/>
                <w:szCs w:val="22"/>
              </w:rPr>
              <w:t xml:space="preserve">tructural </w:t>
            </w:r>
            <w:r w:rsidRPr="006C5247">
              <w:rPr>
                <w:rFonts w:ascii="Calibri" w:hAnsi="Calibri" w:cs="Calibri"/>
                <w:b/>
                <w:bCs/>
                <w:noProof/>
                <w:color w:val="000000"/>
                <w:szCs w:val="22"/>
              </w:rPr>
              <w:t>I</w:t>
            </w:r>
            <w:r w:rsidR="004A5098">
              <w:rPr>
                <w:rFonts w:ascii="Calibri" w:hAnsi="Calibri" w:cs="Calibri"/>
                <w:b/>
                <w:bCs/>
                <w:noProof/>
                <w:color w:val="000000"/>
                <w:szCs w:val="22"/>
              </w:rPr>
              <w:t>nvestment</w:t>
            </w:r>
            <w:r w:rsidRPr="006C5247">
              <w:rPr>
                <w:rFonts w:ascii="Calibri" w:hAnsi="Calibri" w:cs="Calibri"/>
                <w:b/>
                <w:bCs/>
                <w:noProof/>
                <w:color w:val="000000"/>
                <w:szCs w:val="22"/>
              </w:rPr>
              <w:t xml:space="preserve"> Funds</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EF4BE75" w14:textId="77777777" w:rsidR="00773F49" w:rsidRPr="006C5247" w:rsidRDefault="00EE0854" w:rsidP="00A27EF6">
            <w:pPr>
              <w:spacing w:after="0"/>
              <w:jc w:val="right"/>
              <w:rPr>
                <w:rFonts w:ascii="Calibri" w:hAnsi="Calibri" w:cs="Calibri"/>
                <w:b/>
                <w:bCs/>
                <w:noProof/>
                <w:color w:val="000000"/>
                <w:szCs w:val="22"/>
              </w:rPr>
            </w:pPr>
            <w:r>
              <w:rPr>
                <w:rFonts w:ascii="Calibri" w:hAnsi="Calibri" w:cs="Calibri"/>
                <w:b/>
                <w:bCs/>
                <w:noProof/>
                <w:color w:val="000000"/>
                <w:szCs w:val="22"/>
              </w:rPr>
              <w:t>215</w:t>
            </w:r>
          </w:p>
        </w:tc>
        <w:tc>
          <w:tcPr>
            <w:tcW w:w="1154" w:type="dxa"/>
            <w:tcBorders>
              <w:top w:val="single" w:sz="4" w:space="0" w:color="9BC2E6"/>
              <w:left w:val="nil"/>
              <w:bottom w:val="single" w:sz="4" w:space="0" w:color="9BC2E6"/>
            </w:tcBorders>
            <w:shd w:val="clear" w:color="auto" w:fill="auto"/>
            <w:noWrap/>
            <w:vAlign w:val="bottom"/>
          </w:tcPr>
          <w:p w14:paraId="6E3B64BE" w14:textId="77777777" w:rsidR="00773F49" w:rsidRPr="006C5247" w:rsidRDefault="00EE0854" w:rsidP="00A27EF6">
            <w:pPr>
              <w:spacing w:after="0"/>
              <w:jc w:val="right"/>
              <w:rPr>
                <w:rFonts w:ascii="Calibri" w:hAnsi="Calibri" w:cs="Calibri"/>
                <w:b/>
                <w:bCs/>
                <w:noProof/>
                <w:color w:val="000000"/>
                <w:szCs w:val="22"/>
              </w:rPr>
            </w:pPr>
            <w:r>
              <w:rPr>
                <w:rFonts w:ascii="Calibri" w:hAnsi="Calibri" w:cs="Calibri"/>
                <w:b/>
                <w:bCs/>
                <w:noProof/>
                <w:color w:val="000000"/>
                <w:szCs w:val="22"/>
              </w:rPr>
              <w:t>1 624.0</w:t>
            </w:r>
          </w:p>
        </w:tc>
        <w:tc>
          <w:tcPr>
            <w:tcW w:w="1114" w:type="dxa"/>
            <w:tcBorders>
              <w:top w:val="single" w:sz="4" w:space="0" w:color="9BC2E6"/>
              <w:left w:val="nil"/>
              <w:bottom w:val="single" w:sz="4" w:space="0" w:color="9BC2E6"/>
              <w:right w:val="nil"/>
            </w:tcBorders>
            <w:shd w:val="clear" w:color="auto" w:fill="auto"/>
            <w:noWrap/>
            <w:vAlign w:val="bottom"/>
          </w:tcPr>
          <w:p w14:paraId="7794CFD8" w14:textId="77777777" w:rsidR="00773F49" w:rsidRPr="006C5247" w:rsidRDefault="00BF4843" w:rsidP="00A27EF6">
            <w:pPr>
              <w:spacing w:after="0"/>
              <w:jc w:val="right"/>
              <w:rPr>
                <w:rFonts w:ascii="Calibri" w:hAnsi="Calibri" w:cs="Calibri"/>
                <w:b/>
                <w:bCs/>
                <w:noProof/>
                <w:color w:val="000000"/>
                <w:szCs w:val="22"/>
              </w:rPr>
            </w:pPr>
            <w:r>
              <w:rPr>
                <w:rFonts w:ascii="Calibri" w:hAnsi="Calibri" w:cs="Calibri"/>
                <w:b/>
                <w:bCs/>
                <w:noProof/>
                <w:color w:val="000000"/>
                <w:szCs w:val="22"/>
              </w:rPr>
              <w:t>2 271</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22F6975E" w14:textId="77777777" w:rsidR="00773F49" w:rsidRPr="006C5247" w:rsidRDefault="00BF4843" w:rsidP="00A27EF6">
            <w:pPr>
              <w:spacing w:after="0"/>
              <w:jc w:val="right"/>
              <w:rPr>
                <w:rFonts w:ascii="Calibri" w:hAnsi="Calibri" w:cs="Calibri"/>
                <w:b/>
                <w:bCs/>
                <w:noProof/>
                <w:color w:val="000000"/>
                <w:szCs w:val="22"/>
              </w:rPr>
            </w:pPr>
            <w:r>
              <w:rPr>
                <w:rFonts w:ascii="Calibri" w:hAnsi="Calibri" w:cs="Calibri"/>
                <w:b/>
                <w:bCs/>
                <w:noProof/>
                <w:color w:val="000000"/>
                <w:szCs w:val="22"/>
              </w:rPr>
              <w:t>812.9</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6919BB66" w14:textId="77777777" w:rsidR="00773F49" w:rsidRPr="006C5247" w:rsidRDefault="00992A65" w:rsidP="00A27EF6">
            <w:pPr>
              <w:spacing w:after="0"/>
              <w:jc w:val="right"/>
              <w:rPr>
                <w:rFonts w:ascii="Calibri" w:hAnsi="Calibri" w:cs="Calibri"/>
                <w:b/>
                <w:bCs/>
                <w:noProof/>
                <w:color w:val="000000"/>
                <w:szCs w:val="22"/>
              </w:rPr>
            </w:pPr>
            <w:r>
              <w:rPr>
                <w:rFonts w:ascii="Calibri" w:hAnsi="Calibri" w:cs="Calibri"/>
                <w:b/>
                <w:bCs/>
                <w:noProof/>
                <w:color w:val="000000"/>
                <w:szCs w:val="22"/>
              </w:rPr>
              <w:t>2.57%</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B37387C" w14:textId="77777777" w:rsidR="00773F49" w:rsidRPr="00992A65" w:rsidRDefault="00992A65" w:rsidP="00A27EF6">
            <w:pPr>
              <w:spacing w:after="0"/>
              <w:jc w:val="right"/>
              <w:rPr>
                <w:rFonts w:ascii="Calibri" w:hAnsi="Calibri" w:cs="Calibri"/>
                <w:b/>
                <w:bCs/>
                <w:noProof/>
                <w:color w:val="000000"/>
                <w:szCs w:val="22"/>
              </w:rPr>
            </w:pPr>
            <w:r w:rsidRPr="00992A65">
              <w:rPr>
                <w:rFonts w:ascii="Calibri" w:hAnsi="Calibri" w:cs="Calibri"/>
                <w:b/>
                <w:bCs/>
                <w:noProof/>
                <w:color w:val="000000"/>
                <w:szCs w:val="22"/>
              </w:rPr>
              <w:t>1.29%</w:t>
            </w:r>
          </w:p>
        </w:tc>
      </w:tr>
      <w:tr w:rsidR="00773F49" w:rsidRPr="006C5247" w14:paraId="5E32DA56"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06C9B05F" w14:textId="77777777" w:rsidR="00773F49" w:rsidRPr="006C5247" w:rsidRDefault="00773F49" w:rsidP="00A27EF6">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Cohesion and regional</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027FD580" w14:textId="77777777" w:rsidR="00773F49" w:rsidRPr="006C5247" w:rsidRDefault="00EE0854"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155</w:t>
            </w:r>
          </w:p>
        </w:tc>
        <w:tc>
          <w:tcPr>
            <w:tcW w:w="1154" w:type="dxa"/>
            <w:tcBorders>
              <w:top w:val="single" w:sz="4" w:space="0" w:color="9BC2E6"/>
              <w:left w:val="nil"/>
              <w:bottom w:val="single" w:sz="4" w:space="0" w:color="9BC2E6"/>
            </w:tcBorders>
            <w:shd w:val="clear" w:color="DDEBF7" w:fill="DDEBF7"/>
            <w:noWrap/>
            <w:vAlign w:val="bottom"/>
          </w:tcPr>
          <w:p w14:paraId="7D2E50AF" w14:textId="77777777" w:rsidR="00773F49" w:rsidRPr="006C5247" w:rsidRDefault="00EE0854"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1 605.5</w:t>
            </w:r>
          </w:p>
        </w:tc>
        <w:tc>
          <w:tcPr>
            <w:tcW w:w="1114" w:type="dxa"/>
            <w:tcBorders>
              <w:top w:val="single" w:sz="4" w:space="0" w:color="9BC2E6"/>
              <w:left w:val="nil"/>
              <w:bottom w:val="single" w:sz="4" w:space="0" w:color="9BC2E6"/>
              <w:right w:val="nil"/>
            </w:tcBorders>
            <w:shd w:val="clear" w:color="DDEBF7" w:fill="DDEBF7"/>
            <w:noWrap/>
            <w:vAlign w:val="bottom"/>
          </w:tcPr>
          <w:p w14:paraId="74DA4AD3" w14:textId="77777777" w:rsidR="00773F49" w:rsidRPr="006C5247" w:rsidRDefault="00BF4843"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1 627</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75757E28" w14:textId="77777777" w:rsidR="00773F49" w:rsidRPr="006C5247" w:rsidRDefault="00BF4843" w:rsidP="00BF4843">
            <w:pPr>
              <w:spacing w:after="0"/>
              <w:jc w:val="right"/>
              <w:rPr>
                <w:rFonts w:ascii="Calibri" w:hAnsi="Calibri" w:cs="Calibri"/>
                <w:i/>
                <w:iCs/>
                <w:noProof/>
                <w:color w:val="000000"/>
                <w:sz w:val="18"/>
                <w:szCs w:val="18"/>
              </w:rPr>
            </w:pPr>
            <w:r>
              <w:rPr>
                <w:rFonts w:ascii="Calibri" w:hAnsi="Calibri" w:cs="Calibri"/>
                <w:i/>
                <w:iCs/>
                <w:noProof/>
                <w:color w:val="000000"/>
                <w:sz w:val="18"/>
                <w:szCs w:val="18"/>
              </w:rPr>
              <w:t>588.5</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3775A7F6" w14:textId="33BD24A6" w:rsidR="00773F49"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3.42%</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37B963B5" w14:textId="61791BFE" w:rsidR="00773F49"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1.25%</w:t>
            </w:r>
          </w:p>
        </w:tc>
      </w:tr>
      <w:tr w:rsidR="00773F49" w:rsidRPr="006C5247" w14:paraId="53536536"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5FEF0F4C" w14:textId="77777777" w:rsidR="00773F49" w:rsidRPr="006C5247" w:rsidRDefault="00773F49" w:rsidP="00A27EF6">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Social policy</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712AD2B0" w14:textId="77777777" w:rsidR="00773F49" w:rsidRPr="006C5247" w:rsidRDefault="00EE0854"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50</w:t>
            </w:r>
          </w:p>
        </w:tc>
        <w:tc>
          <w:tcPr>
            <w:tcW w:w="1154" w:type="dxa"/>
            <w:tcBorders>
              <w:top w:val="single" w:sz="4" w:space="0" w:color="9BC2E6"/>
              <w:left w:val="nil"/>
              <w:bottom w:val="single" w:sz="4" w:space="0" w:color="9BC2E6"/>
            </w:tcBorders>
            <w:shd w:val="clear" w:color="auto" w:fill="auto"/>
            <w:noWrap/>
            <w:vAlign w:val="bottom"/>
          </w:tcPr>
          <w:p w14:paraId="12E1A25A" w14:textId="77777777" w:rsidR="00773F49" w:rsidRPr="006C5247" w:rsidRDefault="00EE0854"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16.7</w:t>
            </w:r>
          </w:p>
        </w:tc>
        <w:tc>
          <w:tcPr>
            <w:tcW w:w="1114" w:type="dxa"/>
            <w:tcBorders>
              <w:top w:val="single" w:sz="4" w:space="0" w:color="9BC2E6"/>
              <w:left w:val="nil"/>
              <w:bottom w:val="single" w:sz="4" w:space="0" w:color="9BC2E6"/>
              <w:right w:val="nil"/>
            </w:tcBorders>
            <w:shd w:val="clear" w:color="auto" w:fill="auto"/>
            <w:noWrap/>
            <w:vAlign w:val="bottom"/>
          </w:tcPr>
          <w:p w14:paraId="751E0646" w14:textId="77777777" w:rsidR="00773F49" w:rsidRPr="006C5247" w:rsidRDefault="00BF4843"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614</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1BE39262" w14:textId="77777777" w:rsidR="00773F49" w:rsidRPr="006C5247" w:rsidRDefault="00BF4843" w:rsidP="00BF4843">
            <w:pPr>
              <w:spacing w:after="0"/>
              <w:jc w:val="right"/>
              <w:rPr>
                <w:rFonts w:ascii="Calibri" w:hAnsi="Calibri" w:cs="Calibri"/>
                <w:i/>
                <w:iCs/>
                <w:noProof/>
                <w:color w:val="000000"/>
                <w:sz w:val="18"/>
                <w:szCs w:val="18"/>
              </w:rPr>
            </w:pPr>
            <w:r>
              <w:rPr>
                <w:rFonts w:ascii="Calibri" w:hAnsi="Calibri" w:cs="Calibri"/>
                <w:i/>
                <w:iCs/>
                <w:noProof/>
                <w:color w:val="000000"/>
                <w:sz w:val="18"/>
                <w:szCs w:val="18"/>
              </w:rPr>
              <w:t>217.6</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04738343" w14:textId="3F36FB0D" w:rsidR="00773F49"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0.11%</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E7F43A8" w14:textId="602793C4" w:rsidR="00773F49"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1.39%</w:t>
            </w:r>
          </w:p>
        </w:tc>
      </w:tr>
      <w:tr w:rsidR="00773F49" w:rsidRPr="006C5247" w14:paraId="23C3EDDC"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415EB903" w14:textId="77777777" w:rsidR="00773F49" w:rsidRPr="006C5247" w:rsidRDefault="00773F49" w:rsidP="00A27EF6">
            <w:pPr>
              <w:spacing w:after="0"/>
              <w:jc w:val="right"/>
              <w:rPr>
                <w:rFonts w:ascii="Calibri" w:hAnsi="Calibri" w:cs="Calibri"/>
                <w:i/>
                <w:iCs/>
                <w:noProof/>
                <w:color w:val="000000"/>
                <w:sz w:val="18"/>
                <w:szCs w:val="18"/>
              </w:rPr>
            </w:pPr>
            <w:r w:rsidRPr="006C5247">
              <w:rPr>
                <w:rFonts w:ascii="Calibri" w:hAnsi="Calibri" w:cs="Calibri"/>
                <w:i/>
                <w:iCs/>
                <w:noProof/>
                <w:color w:val="000000"/>
                <w:sz w:val="18"/>
                <w:szCs w:val="18"/>
              </w:rPr>
              <w:t>Fisheries</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69EC6D3F" w14:textId="77777777" w:rsidR="00773F49" w:rsidRPr="006C5247" w:rsidRDefault="00EE0854"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10</w:t>
            </w:r>
          </w:p>
        </w:tc>
        <w:tc>
          <w:tcPr>
            <w:tcW w:w="1154" w:type="dxa"/>
            <w:tcBorders>
              <w:top w:val="single" w:sz="4" w:space="0" w:color="9BC2E6"/>
              <w:left w:val="nil"/>
              <w:bottom w:val="single" w:sz="4" w:space="0" w:color="9BC2E6"/>
            </w:tcBorders>
            <w:shd w:val="clear" w:color="DDEBF7" w:fill="DDEBF7"/>
            <w:noWrap/>
            <w:vAlign w:val="bottom"/>
          </w:tcPr>
          <w:p w14:paraId="2E27FCD4" w14:textId="77777777" w:rsidR="00773F49" w:rsidRPr="006C5247" w:rsidRDefault="00BF4843"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1.8</w:t>
            </w:r>
          </w:p>
        </w:tc>
        <w:tc>
          <w:tcPr>
            <w:tcW w:w="1114" w:type="dxa"/>
            <w:tcBorders>
              <w:top w:val="single" w:sz="4" w:space="0" w:color="9BC2E6"/>
              <w:left w:val="nil"/>
              <w:bottom w:val="single" w:sz="4" w:space="0" w:color="9BC2E6"/>
              <w:right w:val="nil"/>
            </w:tcBorders>
            <w:shd w:val="clear" w:color="DDEBF7" w:fill="DDEBF7"/>
            <w:noWrap/>
            <w:vAlign w:val="bottom"/>
          </w:tcPr>
          <w:p w14:paraId="4F1B1CEB" w14:textId="77777777" w:rsidR="00773F49" w:rsidRPr="006C5247" w:rsidRDefault="00BF4843"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70</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5E313D49" w14:textId="77777777" w:rsidR="00773F49" w:rsidRPr="006C5247" w:rsidRDefault="00BF4843"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6.8</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208F229" w14:textId="065FCF31" w:rsidR="00773F49"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0.35%</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4C3EE42A" w14:textId="0C0DC7FC" w:rsidR="00773F49"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1.32%</w:t>
            </w:r>
          </w:p>
        </w:tc>
      </w:tr>
      <w:tr w:rsidR="00A251B1" w:rsidRPr="000B27A3" w14:paraId="447D2F5E"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4B57A09" w14:textId="4D7AE6D7" w:rsidR="00A251B1" w:rsidRPr="006C5247" w:rsidRDefault="00A251B1" w:rsidP="00A27EF6">
            <w:pPr>
              <w:spacing w:after="0"/>
              <w:jc w:val="left"/>
              <w:rPr>
                <w:rFonts w:ascii="Calibri" w:hAnsi="Calibri" w:cs="Calibri"/>
                <w:b/>
                <w:bCs/>
                <w:noProof/>
                <w:color w:val="000000"/>
                <w:szCs w:val="22"/>
              </w:rPr>
            </w:pPr>
            <w:r>
              <w:rPr>
                <w:rFonts w:ascii="Calibri" w:hAnsi="Calibri" w:cs="Calibri"/>
                <w:b/>
                <w:bCs/>
                <w:noProof/>
                <w:color w:val="000000"/>
                <w:szCs w:val="22"/>
              </w:rPr>
              <w:t>Other shared management funds</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1179837" w14:textId="3C7B3CB8" w:rsidR="00A251B1" w:rsidRDefault="00973951" w:rsidP="00A27EF6">
            <w:pPr>
              <w:spacing w:after="0"/>
              <w:jc w:val="right"/>
              <w:rPr>
                <w:rFonts w:ascii="Calibri" w:hAnsi="Calibri" w:cs="Calibri"/>
                <w:b/>
                <w:bCs/>
                <w:noProof/>
                <w:color w:val="000000"/>
                <w:szCs w:val="22"/>
              </w:rPr>
            </w:pPr>
            <w:r>
              <w:rPr>
                <w:rFonts w:ascii="Calibri" w:hAnsi="Calibri" w:cs="Calibri"/>
                <w:b/>
                <w:bCs/>
                <w:noProof/>
                <w:color w:val="000000"/>
                <w:szCs w:val="22"/>
              </w:rPr>
              <w:t>0</w:t>
            </w:r>
          </w:p>
        </w:tc>
        <w:tc>
          <w:tcPr>
            <w:tcW w:w="1154" w:type="dxa"/>
            <w:tcBorders>
              <w:top w:val="single" w:sz="4" w:space="0" w:color="9BC2E6"/>
              <w:left w:val="nil"/>
              <w:bottom w:val="single" w:sz="4" w:space="0" w:color="9BC2E6"/>
            </w:tcBorders>
            <w:shd w:val="clear" w:color="auto" w:fill="auto"/>
            <w:noWrap/>
            <w:vAlign w:val="bottom"/>
          </w:tcPr>
          <w:p w14:paraId="113753DE" w14:textId="21F003B7" w:rsidR="00A251B1" w:rsidRDefault="00973951" w:rsidP="00A27EF6">
            <w:pPr>
              <w:spacing w:after="0"/>
              <w:jc w:val="right"/>
              <w:rPr>
                <w:rFonts w:ascii="Calibri" w:hAnsi="Calibri" w:cs="Calibri"/>
                <w:b/>
                <w:bCs/>
                <w:noProof/>
                <w:color w:val="000000"/>
                <w:szCs w:val="22"/>
              </w:rPr>
            </w:pPr>
            <w:r>
              <w:rPr>
                <w:rFonts w:ascii="Calibri" w:hAnsi="Calibri" w:cs="Calibri"/>
                <w:b/>
                <w:bCs/>
                <w:noProof/>
                <w:color w:val="000000"/>
                <w:szCs w:val="22"/>
              </w:rPr>
              <w:t>0</w:t>
            </w:r>
          </w:p>
        </w:tc>
        <w:tc>
          <w:tcPr>
            <w:tcW w:w="1114" w:type="dxa"/>
            <w:tcBorders>
              <w:top w:val="single" w:sz="4" w:space="0" w:color="9BC2E6"/>
              <w:left w:val="nil"/>
              <w:bottom w:val="single" w:sz="4" w:space="0" w:color="9BC2E6"/>
              <w:right w:val="nil"/>
            </w:tcBorders>
            <w:shd w:val="clear" w:color="auto" w:fill="auto"/>
            <w:noWrap/>
            <w:vAlign w:val="bottom"/>
          </w:tcPr>
          <w:p w14:paraId="129935FB" w14:textId="521F5FDC" w:rsidR="00A251B1" w:rsidRDefault="00387ED0" w:rsidP="00A27EF6">
            <w:pPr>
              <w:spacing w:after="0"/>
              <w:jc w:val="right"/>
              <w:rPr>
                <w:rFonts w:ascii="Calibri" w:hAnsi="Calibri" w:cs="Calibri"/>
                <w:b/>
                <w:bCs/>
                <w:noProof/>
                <w:color w:val="000000"/>
                <w:szCs w:val="22"/>
              </w:rPr>
            </w:pPr>
            <w:r>
              <w:rPr>
                <w:rFonts w:ascii="Calibri" w:hAnsi="Calibri" w:cs="Calibri"/>
                <w:b/>
                <w:bCs/>
                <w:noProof/>
                <w:color w:val="000000"/>
                <w:szCs w:val="22"/>
              </w:rPr>
              <w:t>45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1AB898DB" w14:textId="1F2BC251" w:rsidR="00A251B1" w:rsidRDefault="00387ED0" w:rsidP="00A27EF6">
            <w:pPr>
              <w:spacing w:after="0"/>
              <w:jc w:val="right"/>
              <w:rPr>
                <w:rFonts w:ascii="Calibri" w:hAnsi="Calibri" w:cs="Calibri"/>
                <w:b/>
                <w:bCs/>
                <w:noProof/>
                <w:color w:val="000000"/>
                <w:szCs w:val="22"/>
              </w:rPr>
            </w:pPr>
            <w:r>
              <w:rPr>
                <w:rFonts w:ascii="Calibri" w:hAnsi="Calibri" w:cs="Calibri"/>
                <w:b/>
                <w:bCs/>
                <w:noProof/>
                <w:color w:val="000000"/>
                <w:szCs w:val="22"/>
              </w:rPr>
              <w:t>4.3</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36CCC5A7" w14:textId="36E779DB" w:rsidR="00A251B1" w:rsidRPr="006C5247" w:rsidRDefault="008D0328" w:rsidP="00A27EF6">
            <w:pPr>
              <w:spacing w:after="0"/>
              <w:jc w:val="right"/>
              <w:rPr>
                <w:rFonts w:ascii="Calibri" w:hAnsi="Calibri" w:cs="Calibri"/>
                <w:b/>
                <w:bCs/>
                <w:noProof/>
                <w:color w:val="000000"/>
                <w:szCs w:val="22"/>
              </w:rPr>
            </w:pPr>
            <w:r>
              <w:rPr>
                <w:rFonts w:ascii="Calibri" w:hAnsi="Calibri" w:cs="Calibri"/>
                <w:b/>
                <w:bCs/>
                <w:noProof/>
                <w:color w:val="000000"/>
                <w:szCs w:val="22"/>
              </w:rPr>
              <w:t>0.00%</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68C76511" w14:textId="1739F280" w:rsidR="00A251B1" w:rsidRPr="001E5BB6" w:rsidRDefault="008D0328" w:rsidP="00A27EF6">
            <w:pPr>
              <w:spacing w:after="0"/>
              <w:jc w:val="right"/>
              <w:rPr>
                <w:rFonts w:ascii="Calibri" w:hAnsi="Calibri" w:cs="Calibri"/>
                <w:b/>
                <w:bCs/>
                <w:noProof/>
                <w:color w:val="000000"/>
                <w:szCs w:val="22"/>
              </w:rPr>
            </w:pPr>
            <w:r>
              <w:rPr>
                <w:rFonts w:ascii="Calibri" w:hAnsi="Calibri" w:cs="Calibri"/>
                <w:b/>
                <w:bCs/>
                <w:noProof/>
                <w:color w:val="000000"/>
                <w:szCs w:val="22"/>
              </w:rPr>
              <w:t>0.22%</w:t>
            </w:r>
          </w:p>
        </w:tc>
      </w:tr>
      <w:tr w:rsidR="00773F49" w:rsidRPr="000B27A3" w14:paraId="20B9DF7A"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2E88D927" w14:textId="77777777" w:rsidR="00773F49" w:rsidRPr="006C5247" w:rsidRDefault="00773F49" w:rsidP="00A27EF6">
            <w:pPr>
              <w:spacing w:after="0"/>
              <w:jc w:val="left"/>
              <w:rPr>
                <w:rFonts w:ascii="Calibri" w:hAnsi="Calibri" w:cs="Calibri"/>
                <w:b/>
                <w:bCs/>
                <w:noProof/>
                <w:color w:val="000000"/>
                <w:szCs w:val="22"/>
              </w:rPr>
            </w:pPr>
            <w:r w:rsidRPr="006C5247">
              <w:rPr>
                <w:rFonts w:ascii="Calibri" w:hAnsi="Calibri" w:cs="Calibri"/>
                <w:b/>
                <w:bCs/>
                <w:noProof/>
                <w:color w:val="000000"/>
                <w:szCs w:val="22"/>
              </w:rPr>
              <w:t>Pre-accession</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52FF8AE7" w14:textId="77777777" w:rsidR="00773F49" w:rsidRPr="006C5247" w:rsidRDefault="002303B4" w:rsidP="00A27EF6">
            <w:pPr>
              <w:spacing w:after="0"/>
              <w:jc w:val="right"/>
              <w:rPr>
                <w:rFonts w:ascii="Calibri" w:hAnsi="Calibri" w:cs="Calibri"/>
                <w:b/>
                <w:bCs/>
                <w:noProof/>
                <w:color w:val="000000"/>
                <w:szCs w:val="22"/>
              </w:rPr>
            </w:pPr>
            <w:r>
              <w:rPr>
                <w:rFonts w:ascii="Calibri" w:hAnsi="Calibri" w:cs="Calibri"/>
                <w:b/>
                <w:bCs/>
                <w:noProof/>
                <w:color w:val="000000"/>
                <w:szCs w:val="22"/>
              </w:rPr>
              <w:t>29</w:t>
            </w:r>
          </w:p>
        </w:tc>
        <w:tc>
          <w:tcPr>
            <w:tcW w:w="1154" w:type="dxa"/>
            <w:tcBorders>
              <w:top w:val="single" w:sz="4" w:space="0" w:color="9BC2E6"/>
              <w:left w:val="nil"/>
              <w:bottom w:val="single" w:sz="4" w:space="0" w:color="9BC2E6"/>
            </w:tcBorders>
            <w:shd w:val="clear" w:color="auto" w:fill="auto"/>
            <w:noWrap/>
            <w:vAlign w:val="bottom"/>
          </w:tcPr>
          <w:p w14:paraId="3080A2AD" w14:textId="77777777" w:rsidR="00773F49" w:rsidRPr="006C5247" w:rsidRDefault="002303B4" w:rsidP="00A27EF6">
            <w:pPr>
              <w:spacing w:after="0"/>
              <w:jc w:val="right"/>
              <w:rPr>
                <w:rFonts w:ascii="Calibri" w:hAnsi="Calibri" w:cs="Calibri"/>
                <w:b/>
                <w:bCs/>
                <w:noProof/>
                <w:color w:val="000000"/>
                <w:szCs w:val="22"/>
              </w:rPr>
            </w:pPr>
            <w:r>
              <w:rPr>
                <w:rFonts w:ascii="Calibri" w:hAnsi="Calibri" w:cs="Calibri"/>
                <w:b/>
                <w:bCs/>
                <w:noProof/>
                <w:color w:val="000000"/>
                <w:szCs w:val="22"/>
              </w:rPr>
              <w:t>1.9</w:t>
            </w:r>
          </w:p>
        </w:tc>
        <w:tc>
          <w:tcPr>
            <w:tcW w:w="1114" w:type="dxa"/>
            <w:tcBorders>
              <w:top w:val="single" w:sz="4" w:space="0" w:color="9BC2E6"/>
              <w:left w:val="nil"/>
              <w:bottom w:val="single" w:sz="4" w:space="0" w:color="9BC2E6"/>
              <w:right w:val="nil"/>
            </w:tcBorders>
            <w:shd w:val="clear" w:color="auto" w:fill="auto"/>
            <w:noWrap/>
            <w:vAlign w:val="bottom"/>
          </w:tcPr>
          <w:p w14:paraId="51ED89C2" w14:textId="77777777" w:rsidR="00773F49" w:rsidRPr="006C5247" w:rsidRDefault="002303B4" w:rsidP="00A27EF6">
            <w:pPr>
              <w:spacing w:after="0"/>
              <w:jc w:val="right"/>
              <w:rPr>
                <w:rFonts w:ascii="Calibri" w:hAnsi="Calibri" w:cs="Calibri"/>
                <w:b/>
                <w:bCs/>
                <w:noProof/>
                <w:color w:val="000000"/>
                <w:szCs w:val="22"/>
              </w:rPr>
            </w:pPr>
            <w:r>
              <w:rPr>
                <w:rFonts w:ascii="Calibri" w:hAnsi="Calibri" w:cs="Calibri"/>
                <w:b/>
                <w:bCs/>
                <w:noProof/>
                <w:color w:val="000000"/>
                <w:szCs w:val="22"/>
              </w:rPr>
              <w:t>86</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20CAB92F" w14:textId="77777777" w:rsidR="00773F49" w:rsidRPr="006C5247" w:rsidRDefault="002303B4" w:rsidP="00A27EF6">
            <w:pPr>
              <w:spacing w:after="0"/>
              <w:jc w:val="right"/>
              <w:rPr>
                <w:rFonts w:ascii="Calibri" w:hAnsi="Calibri" w:cs="Calibri"/>
                <w:b/>
                <w:bCs/>
                <w:noProof/>
                <w:color w:val="000000"/>
                <w:szCs w:val="22"/>
              </w:rPr>
            </w:pPr>
            <w:r>
              <w:rPr>
                <w:rFonts w:ascii="Calibri" w:hAnsi="Calibri" w:cs="Calibri"/>
                <w:b/>
                <w:bCs/>
                <w:noProof/>
                <w:color w:val="000000"/>
                <w:szCs w:val="22"/>
              </w:rPr>
              <w:t>4.2</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1C2F1485" w14:textId="189864F0" w:rsidR="00773F49" w:rsidRPr="006C5247" w:rsidRDefault="008D0328" w:rsidP="00A27EF6">
            <w:pPr>
              <w:spacing w:after="0"/>
              <w:jc w:val="right"/>
              <w:rPr>
                <w:rFonts w:ascii="Calibri" w:hAnsi="Calibri" w:cs="Calibri"/>
                <w:b/>
                <w:bCs/>
                <w:noProof/>
                <w:color w:val="000000"/>
                <w:szCs w:val="22"/>
              </w:rPr>
            </w:pPr>
            <w:r>
              <w:rPr>
                <w:rFonts w:ascii="Calibri" w:hAnsi="Calibri" w:cs="Calibri"/>
                <w:b/>
                <w:bCs/>
                <w:noProof/>
                <w:color w:val="000000"/>
                <w:szCs w:val="22"/>
              </w:rPr>
              <w:t>0.10%</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53300FD" w14:textId="5E9B2CD9" w:rsidR="00773F49" w:rsidRPr="001E5BB6" w:rsidRDefault="008D0328" w:rsidP="00A27EF6">
            <w:pPr>
              <w:spacing w:after="0"/>
              <w:jc w:val="right"/>
              <w:rPr>
                <w:rFonts w:ascii="Calibri" w:hAnsi="Calibri" w:cs="Calibri"/>
                <w:b/>
                <w:bCs/>
                <w:noProof/>
                <w:color w:val="000000"/>
                <w:szCs w:val="22"/>
              </w:rPr>
            </w:pPr>
            <w:r>
              <w:rPr>
                <w:rFonts w:ascii="Calibri" w:hAnsi="Calibri" w:cs="Calibri"/>
                <w:b/>
                <w:bCs/>
                <w:noProof/>
                <w:color w:val="000000"/>
                <w:szCs w:val="22"/>
              </w:rPr>
              <w:t>0.22%</w:t>
            </w:r>
          </w:p>
        </w:tc>
      </w:tr>
      <w:tr w:rsidR="00773F49" w:rsidRPr="006C5247" w14:paraId="477F1DA8"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hideMark/>
          </w:tcPr>
          <w:p w14:paraId="15BEFE93" w14:textId="4B359500"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P</w:t>
            </w:r>
            <w:r w:rsidR="004A5098">
              <w:rPr>
                <w:rFonts w:ascii="Calibri" w:hAnsi="Calibri" w:cs="Calibri"/>
                <w:i/>
                <w:iCs/>
                <w:noProof/>
                <w:color w:val="000000"/>
                <w:sz w:val="18"/>
                <w:szCs w:val="18"/>
              </w:rPr>
              <w:t>re-</w:t>
            </w:r>
            <w:r>
              <w:rPr>
                <w:rFonts w:ascii="Calibri" w:hAnsi="Calibri" w:cs="Calibri"/>
                <w:i/>
                <w:iCs/>
                <w:noProof/>
                <w:color w:val="000000"/>
                <w:sz w:val="18"/>
                <w:szCs w:val="18"/>
              </w:rPr>
              <w:t>A</w:t>
            </w:r>
            <w:r w:rsidR="004A5098">
              <w:rPr>
                <w:rFonts w:ascii="Calibri" w:hAnsi="Calibri" w:cs="Calibri"/>
                <w:i/>
                <w:iCs/>
                <w:noProof/>
                <w:color w:val="000000"/>
                <w:sz w:val="18"/>
                <w:szCs w:val="18"/>
              </w:rPr>
              <w:t xml:space="preserve">ccession </w:t>
            </w:r>
            <w:r>
              <w:rPr>
                <w:rFonts w:ascii="Calibri" w:hAnsi="Calibri" w:cs="Calibri"/>
                <w:i/>
                <w:iCs/>
                <w:noProof/>
                <w:color w:val="000000"/>
                <w:sz w:val="18"/>
                <w:szCs w:val="18"/>
              </w:rPr>
              <w:t>A</w:t>
            </w:r>
            <w:r w:rsidR="004A5098">
              <w:rPr>
                <w:rFonts w:ascii="Calibri" w:hAnsi="Calibri" w:cs="Calibri"/>
                <w:i/>
                <w:iCs/>
                <w:noProof/>
                <w:color w:val="000000"/>
                <w:sz w:val="18"/>
                <w:szCs w:val="18"/>
              </w:rPr>
              <w:t>ssistance</w:t>
            </w:r>
          </w:p>
        </w:tc>
        <w:tc>
          <w:tcPr>
            <w:tcW w:w="1096" w:type="dxa"/>
            <w:tcBorders>
              <w:top w:val="single" w:sz="4" w:space="0" w:color="9BC2E6"/>
              <w:left w:val="single" w:sz="4" w:space="0" w:color="9BC2E6"/>
              <w:bottom w:val="single" w:sz="4" w:space="0" w:color="9BC2E6"/>
              <w:right w:val="nil"/>
            </w:tcBorders>
            <w:shd w:val="clear" w:color="auto" w:fill="DEEAF6" w:themeFill="accent1" w:themeFillTint="33"/>
            <w:noWrap/>
            <w:vAlign w:val="bottom"/>
          </w:tcPr>
          <w:p w14:paraId="5B390A2B" w14:textId="77777777" w:rsidR="00773F49" w:rsidRPr="006C5247" w:rsidRDefault="00773F49" w:rsidP="00A27EF6">
            <w:pPr>
              <w:spacing w:after="0"/>
              <w:jc w:val="right"/>
              <w:rPr>
                <w:rFonts w:ascii="Calibri" w:hAnsi="Calibri" w:cs="Calibri"/>
                <w:i/>
                <w:iCs/>
                <w:noProof/>
                <w:color w:val="000000"/>
                <w:sz w:val="18"/>
                <w:szCs w:val="18"/>
              </w:rPr>
            </w:pPr>
          </w:p>
        </w:tc>
        <w:tc>
          <w:tcPr>
            <w:tcW w:w="1154" w:type="dxa"/>
            <w:tcBorders>
              <w:top w:val="single" w:sz="4" w:space="0" w:color="9BC2E6"/>
              <w:left w:val="nil"/>
              <w:bottom w:val="single" w:sz="4" w:space="0" w:color="9BC2E6"/>
            </w:tcBorders>
            <w:shd w:val="clear" w:color="auto" w:fill="DEEAF6" w:themeFill="accent1" w:themeFillTint="33"/>
            <w:noWrap/>
            <w:vAlign w:val="bottom"/>
          </w:tcPr>
          <w:p w14:paraId="3647F960" w14:textId="77777777" w:rsidR="00773F49" w:rsidRPr="006C5247" w:rsidRDefault="00773F49" w:rsidP="00A27EF6">
            <w:pPr>
              <w:spacing w:after="0"/>
              <w:jc w:val="right"/>
              <w:rPr>
                <w:rFonts w:ascii="Calibri" w:hAnsi="Calibri" w:cs="Calibri"/>
                <w:i/>
                <w:iCs/>
                <w:noProof/>
                <w:color w:val="000000"/>
                <w:sz w:val="18"/>
                <w:szCs w:val="18"/>
              </w:rPr>
            </w:pPr>
          </w:p>
        </w:tc>
        <w:tc>
          <w:tcPr>
            <w:tcW w:w="1114" w:type="dxa"/>
            <w:tcBorders>
              <w:top w:val="single" w:sz="4" w:space="0" w:color="9BC2E6"/>
              <w:left w:val="nil"/>
              <w:bottom w:val="single" w:sz="4" w:space="0" w:color="9BC2E6"/>
              <w:right w:val="nil"/>
            </w:tcBorders>
            <w:shd w:val="clear" w:color="auto" w:fill="DEEAF6" w:themeFill="accent1" w:themeFillTint="33"/>
            <w:noWrap/>
            <w:vAlign w:val="bottom"/>
          </w:tcPr>
          <w:p w14:paraId="0236A4FB" w14:textId="77777777"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w:t>
            </w:r>
          </w:p>
        </w:tc>
        <w:tc>
          <w:tcPr>
            <w:tcW w:w="1169" w:type="dxa"/>
            <w:tcBorders>
              <w:top w:val="single" w:sz="4" w:space="0" w:color="9BC2E6"/>
              <w:left w:val="nil"/>
              <w:bottom w:val="single" w:sz="4" w:space="0" w:color="9BC2E6"/>
              <w:right w:val="single" w:sz="4" w:space="0" w:color="9BC2E6"/>
            </w:tcBorders>
            <w:shd w:val="clear" w:color="auto" w:fill="DEEAF6" w:themeFill="accent1" w:themeFillTint="33"/>
            <w:noWrap/>
            <w:vAlign w:val="bottom"/>
          </w:tcPr>
          <w:p w14:paraId="0563E124" w14:textId="77777777" w:rsidR="00773F49" w:rsidRPr="006C5247" w:rsidRDefault="0055155F" w:rsidP="0055155F">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0.4</w:t>
            </w:r>
          </w:p>
        </w:tc>
        <w:tc>
          <w:tcPr>
            <w:tcW w:w="957"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tcPr>
          <w:p w14:paraId="63C0DF25" w14:textId="25D45C2E" w:rsidR="00773F49"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c>
          <w:tcPr>
            <w:tcW w:w="992" w:type="dxa"/>
            <w:tcBorders>
              <w:top w:val="single" w:sz="4" w:space="0" w:color="9BC2E6"/>
              <w:left w:val="single" w:sz="4" w:space="0" w:color="9BC2E6"/>
              <w:bottom w:val="single" w:sz="4" w:space="0" w:color="9BC2E6"/>
              <w:right w:val="single" w:sz="4" w:space="0" w:color="9BC2E6"/>
            </w:tcBorders>
            <w:shd w:val="clear" w:color="auto" w:fill="DEEAF6" w:themeFill="accent1" w:themeFillTint="33"/>
            <w:noWrap/>
            <w:vAlign w:val="bottom"/>
          </w:tcPr>
          <w:p w14:paraId="793D80B2" w14:textId="7AFD34A0" w:rsidR="00773F49"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r>
      <w:tr w:rsidR="00773F49" w:rsidRPr="006C5247" w14:paraId="6D3198E5" w14:textId="77777777" w:rsidTr="00BF4843">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hideMark/>
          </w:tcPr>
          <w:p w14:paraId="72A18C92" w14:textId="0D60D6A8"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I</w:t>
            </w:r>
            <w:r w:rsidR="004A5098">
              <w:rPr>
                <w:rFonts w:ascii="Calibri" w:hAnsi="Calibri" w:cs="Calibri"/>
                <w:i/>
                <w:iCs/>
                <w:noProof/>
                <w:color w:val="000000"/>
                <w:sz w:val="18"/>
                <w:szCs w:val="18"/>
              </w:rPr>
              <w:t xml:space="preserve">nstrument for </w:t>
            </w:r>
            <w:r>
              <w:rPr>
                <w:rFonts w:ascii="Calibri" w:hAnsi="Calibri" w:cs="Calibri"/>
                <w:i/>
                <w:iCs/>
                <w:noProof/>
                <w:color w:val="000000"/>
                <w:sz w:val="18"/>
                <w:szCs w:val="18"/>
              </w:rPr>
              <w:t>P</w:t>
            </w:r>
            <w:r w:rsidR="004A5098">
              <w:rPr>
                <w:rFonts w:ascii="Calibri" w:hAnsi="Calibri" w:cs="Calibri"/>
                <w:i/>
                <w:iCs/>
                <w:noProof/>
                <w:color w:val="000000"/>
                <w:sz w:val="18"/>
                <w:szCs w:val="18"/>
              </w:rPr>
              <w:t>re-</w:t>
            </w:r>
            <w:r>
              <w:rPr>
                <w:rFonts w:ascii="Calibri" w:hAnsi="Calibri" w:cs="Calibri"/>
                <w:i/>
                <w:iCs/>
                <w:noProof/>
                <w:color w:val="000000"/>
                <w:sz w:val="18"/>
                <w:szCs w:val="18"/>
              </w:rPr>
              <w:t>A</w:t>
            </w:r>
            <w:r w:rsidR="004A5098">
              <w:rPr>
                <w:rFonts w:ascii="Calibri" w:hAnsi="Calibri" w:cs="Calibri"/>
                <w:i/>
                <w:iCs/>
                <w:noProof/>
                <w:color w:val="000000"/>
                <w:sz w:val="18"/>
                <w:szCs w:val="18"/>
              </w:rPr>
              <w:t>ccession</w:t>
            </w:r>
            <w:r>
              <w:rPr>
                <w:rFonts w:ascii="Calibri" w:hAnsi="Calibri" w:cs="Calibri"/>
                <w:i/>
                <w:iCs/>
                <w:noProof/>
                <w:color w:val="000000"/>
                <w:sz w:val="18"/>
                <w:szCs w:val="18"/>
              </w:rPr>
              <w:t xml:space="preserve"> I</w:t>
            </w:r>
          </w:p>
        </w:tc>
        <w:tc>
          <w:tcPr>
            <w:tcW w:w="1096" w:type="dxa"/>
            <w:tcBorders>
              <w:top w:val="single" w:sz="4" w:space="0" w:color="9BC2E6"/>
              <w:left w:val="single" w:sz="4" w:space="0" w:color="9BC2E6"/>
              <w:bottom w:val="single" w:sz="4" w:space="0" w:color="9BC2E6"/>
              <w:right w:val="nil"/>
            </w:tcBorders>
            <w:shd w:val="clear" w:color="auto" w:fill="FFFFFF" w:themeFill="background1"/>
            <w:noWrap/>
            <w:vAlign w:val="bottom"/>
          </w:tcPr>
          <w:p w14:paraId="3A9AB560" w14:textId="77777777"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4</w:t>
            </w:r>
          </w:p>
        </w:tc>
        <w:tc>
          <w:tcPr>
            <w:tcW w:w="1154" w:type="dxa"/>
            <w:tcBorders>
              <w:top w:val="single" w:sz="4" w:space="0" w:color="9BC2E6"/>
              <w:left w:val="nil"/>
              <w:bottom w:val="single" w:sz="4" w:space="0" w:color="9BC2E6"/>
            </w:tcBorders>
            <w:shd w:val="clear" w:color="auto" w:fill="FFFFFF" w:themeFill="background1"/>
            <w:noWrap/>
            <w:vAlign w:val="bottom"/>
          </w:tcPr>
          <w:p w14:paraId="5C2CF2EC" w14:textId="77777777"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0.4</w:t>
            </w:r>
          </w:p>
        </w:tc>
        <w:tc>
          <w:tcPr>
            <w:tcW w:w="1114" w:type="dxa"/>
            <w:tcBorders>
              <w:top w:val="single" w:sz="4" w:space="0" w:color="9BC2E6"/>
              <w:left w:val="nil"/>
              <w:bottom w:val="single" w:sz="4" w:space="0" w:color="9BC2E6"/>
              <w:right w:val="nil"/>
            </w:tcBorders>
            <w:shd w:val="clear" w:color="auto" w:fill="FFFFFF" w:themeFill="background1"/>
            <w:noWrap/>
            <w:vAlign w:val="bottom"/>
          </w:tcPr>
          <w:p w14:paraId="437039C6" w14:textId="77777777"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29</w:t>
            </w:r>
          </w:p>
        </w:tc>
        <w:tc>
          <w:tcPr>
            <w:tcW w:w="1169" w:type="dxa"/>
            <w:tcBorders>
              <w:top w:val="single" w:sz="4" w:space="0" w:color="9BC2E6"/>
              <w:left w:val="nil"/>
              <w:bottom w:val="single" w:sz="4" w:space="0" w:color="9BC2E6"/>
              <w:right w:val="single" w:sz="4" w:space="0" w:color="9BC2E6"/>
            </w:tcBorders>
            <w:shd w:val="clear" w:color="auto" w:fill="FFFFFF" w:themeFill="background1"/>
            <w:noWrap/>
            <w:vAlign w:val="bottom"/>
          </w:tcPr>
          <w:p w14:paraId="43654C4D" w14:textId="77777777" w:rsidR="00773F49"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2.3</w:t>
            </w:r>
          </w:p>
        </w:tc>
        <w:tc>
          <w:tcPr>
            <w:tcW w:w="957"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tcPr>
          <w:p w14:paraId="202D0AFA" w14:textId="2D7F9D3F" w:rsidR="00773F49"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c>
          <w:tcPr>
            <w:tcW w:w="992" w:type="dxa"/>
            <w:tcBorders>
              <w:top w:val="single" w:sz="4" w:space="0" w:color="9BC2E6"/>
              <w:left w:val="single" w:sz="4" w:space="0" w:color="9BC2E6"/>
              <w:bottom w:val="single" w:sz="4" w:space="0" w:color="9BC2E6"/>
              <w:right w:val="single" w:sz="4" w:space="0" w:color="9BC2E6"/>
            </w:tcBorders>
            <w:shd w:val="clear" w:color="auto" w:fill="FFFFFF" w:themeFill="background1"/>
            <w:noWrap/>
            <w:vAlign w:val="bottom"/>
          </w:tcPr>
          <w:p w14:paraId="7B0AECF6" w14:textId="13B80331" w:rsidR="00773F49"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r>
      <w:tr w:rsidR="0055155F" w:rsidRPr="006C5247" w14:paraId="3B818F11"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2C36907" w14:textId="26C6D8B5" w:rsidR="0055155F" w:rsidRPr="006C5247"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I</w:t>
            </w:r>
            <w:r w:rsidR="004A5098">
              <w:rPr>
                <w:rFonts w:ascii="Calibri" w:hAnsi="Calibri" w:cs="Calibri"/>
                <w:i/>
                <w:iCs/>
                <w:noProof/>
                <w:color w:val="000000"/>
                <w:sz w:val="18"/>
                <w:szCs w:val="18"/>
              </w:rPr>
              <w:t xml:space="preserve">nstrument for </w:t>
            </w:r>
            <w:r>
              <w:rPr>
                <w:rFonts w:ascii="Calibri" w:hAnsi="Calibri" w:cs="Calibri"/>
                <w:i/>
                <w:iCs/>
                <w:noProof/>
                <w:color w:val="000000"/>
                <w:sz w:val="18"/>
                <w:szCs w:val="18"/>
              </w:rPr>
              <w:t>P</w:t>
            </w:r>
            <w:r w:rsidR="004A5098">
              <w:rPr>
                <w:rFonts w:ascii="Calibri" w:hAnsi="Calibri" w:cs="Calibri"/>
                <w:i/>
                <w:iCs/>
                <w:noProof/>
                <w:color w:val="000000"/>
                <w:sz w:val="18"/>
                <w:szCs w:val="18"/>
              </w:rPr>
              <w:t>re-</w:t>
            </w:r>
            <w:r>
              <w:rPr>
                <w:rFonts w:ascii="Calibri" w:hAnsi="Calibri" w:cs="Calibri"/>
                <w:i/>
                <w:iCs/>
                <w:noProof/>
                <w:color w:val="000000"/>
                <w:sz w:val="18"/>
                <w:szCs w:val="18"/>
              </w:rPr>
              <w:t>A</w:t>
            </w:r>
            <w:r w:rsidR="004A5098">
              <w:rPr>
                <w:rFonts w:ascii="Calibri" w:hAnsi="Calibri" w:cs="Calibri"/>
                <w:i/>
                <w:iCs/>
                <w:noProof/>
                <w:color w:val="000000"/>
                <w:sz w:val="18"/>
                <w:szCs w:val="18"/>
              </w:rPr>
              <w:t>ccession</w:t>
            </w:r>
            <w:r>
              <w:rPr>
                <w:rFonts w:ascii="Calibri" w:hAnsi="Calibri" w:cs="Calibri"/>
                <w:i/>
                <w:iCs/>
                <w:noProof/>
                <w:color w:val="000000"/>
                <w:sz w:val="18"/>
                <w:szCs w:val="18"/>
              </w:rPr>
              <w:t xml:space="preserve"> II</w:t>
            </w:r>
          </w:p>
        </w:tc>
        <w:tc>
          <w:tcPr>
            <w:tcW w:w="1096" w:type="dxa"/>
            <w:tcBorders>
              <w:top w:val="single" w:sz="4" w:space="0" w:color="9BC2E6"/>
              <w:left w:val="single" w:sz="4" w:space="0" w:color="9BC2E6"/>
              <w:bottom w:val="single" w:sz="4" w:space="0" w:color="9BC2E6"/>
              <w:right w:val="nil"/>
            </w:tcBorders>
            <w:shd w:val="clear" w:color="DDEBF7" w:fill="DDEBF7"/>
            <w:noWrap/>
            <w:vAlign w:val="bottom"/>
          </w:tcPr>
          <w:p w14:paraId="3DA0F14F" w14:textId="77777777" w:rsidR="0055155F"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25</w:t>
            </w:r>
          </w:p>
        </w:tc>
        <w:tc>
          <w:tcPr>
            <w:tcW w:w="1154" w:type="dxa"/>
            <w:tcBorders>
              <w:top w:val="single" w:sz="4" w:space="0" w:color="9BC2E6"/>
              <w:left w:val="nil"/>
              <w:bottom w:val="single" w:sz="4" w:space="0" w:color="9BC2E6"/>
            </w:tcBorders>
            <w:shd w:val="clear" w:color="DDEBF7" w:fill="DDEBF7"/>
            <w:noWrap/>
            <w:vAlign w:val="bottom"/>
          </w:tcPr>
          <w:p w14:paraId="62562D47" w14:textId="77777777" w:rsidR="0055155F"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1.5</w:t>
            </w:r>
          </w:p>
        </w:tc>
        <w:tc>
          <w:tcPr>
            <w:tcW w:w="1114" w:type="dxa"/>
            <w:tcBorders>
              <w:top w:val="single" w:sz="4" w:space="0" w:color="9BC2E6"/>
              <w:left w:val="nil"/>
              <w:bottom w:val="single" w:sz="4" w:space="0" w:color="9BC2E6"/>
              <w:right w:val="nil"/>
            </w:tcBorders>
            <w:shd w:val="clear" w:color="DDEBF7" w:fill="DDEBF7"/>
            <w:noWrap/>
            <w:vAlign w:val="bottom"/>
          </w:tcPr>
          <w:p w14:paraId="1F13E4DF" w14:textId="77777777" w:rsidR="0055155F"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56</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593FFDF3" w14:textId="77777777" w:rsidR="0055155F" w:rsidRDefault="0055155F"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1.5</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06FE434D" w14:textId="52EDE920" w:rsidR="0055155F" w:rsidRPr="006C5247"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6368834A" w14:textId="7B7B4EF9" w:rsidR="0055155F" w:rsidRPr="001E5BB6" w:rsidRDefault="008D0328" w:rsidP="00A27EF6">
            <w:pPr>
              <w:spacing w:after="0"/>
              <w:jc w:val="right"/>
              <w:rPr>
                <w:rFonts w:ascii="Calibri" w:hAnsi="Calibri" w:cs="Calibri"/>
                <w:i/>
                <w:iCs/>
                <w:noProof/>
                <w:color w:val="000000"/>
                <w:sz w:val="18"/>
                <w:szCs w:val="18"/>
              </w:rPr>
            </w:pPr>
            <w:r>
              <w:rPr>
                <w:rFonts w:ascii="Calibri" w:hAnsi="Calibri" w:cs="Calibri"/>
                <w:i/>
                <w:iCs/>
                <w:noProof/>
                <w:color w:val="000000"/>
                <w:sz w:val="18"/>
                <w:szCs w:val="18"/>
              </w:rPr>
              <w:t>-</w:t>
            </w:r>
          </w:p>
        </w:tc>
      </w:tr>
      <w:tr w:rsidR="00773F49" w:rsidRPr="00374350" w14:paraId="5DEAD303" w14:textId="77777777" w:rsidTr="00773F49">
        <w:trPr>
          <w:trHeight w:val="300"/>
        </w:trPr>
        <w:tc>
          <w:tcPr>
            <w:tcW w:w="2160" w:type="dxa"/>
            <w:tcBorders>
              <w:top w:val="single" w:sz="4" w:space="0" w:color="9BC2E6"/>
              <w:left w:val="single" w:sz="4" w:space="0" w:color="9BC2E6"/>
              <w:bottom w:val="single" w:sz="4" w:space="0" w:color="9BC2E6"/>
              <w:right w:val="single" w:sz="4" w:space="0" w:color="9BC2E6"/>
            </w:tcBorders>
            <w:shd w:val="clear" w:color="auto" w:fill="auto"/>
            <w:noWrap/>
            <w:vAlign w:val="bottom"/>
            <w:hideMark/>
          </w:tcPr>
          <w:p w14:paraId="745A4934" w14:textId="77777777" w:rsidR="00773F49" w:rsidRPr="006C5247" w:rsidRDefault="00773F49" w:rsidP="00374350">
            <w:pPr>
              <w:spacing w:after="0"/>
              <w:jc w:val="right"/>
              <w:rPr>
                <w:rFonts w:ascii="Calibri" w:hAnsi="Calibri" w:cs="Calibri"/>
                <w:b/>
                <w:bCs/>
                <w:noProof/>
                <w:color w:val="000000"/>
                <w:szCs w:val="22"/>
              </w:rPr>
            </w:pPr>
            <w:r w:rsidRPr="006C5247">
              <w:rPr>
                <w:rFonts w:ascii="Calibri" w:hAnsi="Calibri" w:cs="Calibri"/>
                <w:b/>
                <w:bCs/>
                <w:noProof/>
                <w:color w:val="000000"/>
                <w:szCs w:val="22"/>
              </w:rPr>
              <w:t>Direct expenditure</w:t>
            </w:r>
          </w:p>
        </w:tc>
        <w:tc>
          <w:tcPr>
            <w:tcW w:w="1096" w:type="dxa"/>
            <w:tcBorders>
              <w:top w:val="single" w:sz="4" w:space="0" w:color="9BC2E6"/>
              <w:left w:val="single" w:sz="4" w:space="0" w:color="9BC2E6"/>
              <w:bottom w:val="single" w:sz="4" w:space="0" w:color="9BC2E6"/>
              <w:right w:val="nil"/>
            </w:tcBorders>
            <w:shd w:val="clear" w:color="auto" w:fill="auto"/>
            <w:noWrap/>
            <w:vAlign w:val="bottom"/>
          </w:tcPr>
          <w:p w14:paraId="46B73B6A" w14:textId="77777777" w:rsidR="00773F49" w:rsidRPr="006C5247" w:rsidRDefault="00374350" w:rsidP="00374350">
            <w:pPr>
              <w:spacing w:after="0"/>
              <w:jc w:val="right"/>
              <w:rPr>
                <w:rFonts w:ascii="Calibri" w:hAnsi="Calibri" w:cs="Calibri"/>
                <w:b/>
                <w:bCs/>
                <w:noProof/>
                <w:color w:val="000000"/>
                <w:szCs w:val="22"/>
              </w:rPr>
            </w:pPr>
            <w:r>
              <w:rPr>
                <w:rFonts w:ascii="Calibri" w:hAnsi="Calibri" w:cs="Calibri"/>
                <w:b/>
                <w:bCs/>
                <w:noProof/>
                <w:color w:val="000000"/>
                <w:szCs w:val="22"/>
              </w:rPr>
              <w:t>54</w:t>
            </w:r>
          </w:p>
        </w:tc>
        <w:tc>
          <w:tcPr>
            <w:tcW w:w="1154" w:type="dxa"/>
            <w:tcBorders>
              <w:top w:val="single" w:sz="4" w:space="0" w:color="9BC2E6"/>
              <w:left w:val="nil"/>
              <w:bottom w:val="single" w:sz="4" w:space="0" w:color="9BC2E6"/>
            </w:tcBorders>
            <w:shd w:val="clear" w:color="auto" w:fill="auto"/>
            <w:noWrap/>
            <w:vAlign w:val="bottom"/>
          </w:tcPr>
          <w:p w14:paraId="7E6F1E28" w14:textId="77777777" w:rsidR="00773F49" w:rsidRPr="00374350" w:rsidRDefault="00374350" w:rsidP="00374350">
            <w:pPr>
              <w:spacing w:after="0"/>
              <w:jc w:val="right"/>
              <w:rPr>
                <w:rFonts w:ascii="Calibri" w:hAnsi="Calibri" w:cs="Calibri"/>
                <w:b/>
                <w:bCs/>
                <w:noProof/>
                <w:color w:val="000000"/>
                <w:szCs w:val="22"/>
              </w:rPr>
            </w:pPr>
            <w:r w:rsidRPr="00374350">
              <w:rPr>
                <w:rFonts w:ascii="Calibri" w:hAnsi="Calibri" w:cs="Calibri"/>
                <w:b/>
                <w:bCs/>
                <w:noProof/>
                <w:color w:val="000000"/>
                <w:szCs w:val="22"/>
              </w:rPr>
              <w:t>7.0</w:t>
            </w:r>
          </w:p>
        </w:tc>
        <w:tc>
          <w:tcPr>
            <w:tcW w:w="1114" w:type="dxa"/>
            <w:tcBorders>
              <w:top w:val="single" w:sz="4" w:space="0" w:color="9BC2E6"/>
              <w:left w:val="nil"/>
              <w:bottom w:val="single" w:sz="4" w:space="0" w:color="9BC2E6"/>
              <w:right w:val="nil"/>
            </w:tcBorders>
            <w:shd w:val="clear" w:color="auto" w:fill="auto"/>
            <w:noWrap/>
            <w:vAlign w:val="bottom"/>
          </w:tcPr>
          <w:p w14:paraId="07E4DDC5" w14:textId="77777777" w:rsidR="00773F49" w:rsidRPr="00374350" w:rsidRDefault="00374350" w:rsidP="00374350">
            <w:pPr>
              <w:spacing w:after="0"/>
              <w:jc w:val="right"/>
              <w:rPr>
                <w:rFonts w:ascii="Calibri" w:hAnsi="Calibri" w:cs="Calibri"/>
                <w:b/>
                <w:bCs/>
                <w:noProof/>
                <w:color w:val="000000"/>
                <w:szCs w:val="22"/>
              </w:rPr>
            </w:pPr>
            <w:r>
              <w:rPr>
                <w:rFonts w:ascii="Calibri" w:hAnsi="Calibri" w:cs="Calibri"/>
                <w:b/>
                <w:bCs/>
                <w:noProof/>
                <w:color w:val="000000"/>
                <w:szCs w:val="22"/>
              </w:rPr>
              <w:t>825</w:t>
            </w:r>
          </w:p>
        </w:tc>
        <w:tc>
          <w:tcPr>
            <w:tcW w:w="1169" w:type="dxa"/>
            <w:tcBorders>
              <w:top w:val="single" w:sz="4" w:space="0" w:color="9BC2E6"/>
              <w:left w:val="nil"/>
              <w:bottom w:val="single" w:sz="4" w:space="0" w:color="9BC2E6"/>
              <w:right w:val="single" w:sz="4" w:space="0" w:color="9BC2E6"/>
            </w:tcBorders>
            <w:shd w:val="clear" w:color="auto" w:fill="auto"/>
            <w:noWrap/>
            <w:vAlign w:val="bottom"/>
          </w:tcPr>
          <w:p w14:paraId="721C7E25" w14:textId="77777777" w:rsidR="00773F49" w:rsidRPr="00374350" w:rsidRDefault="00442C1B" w:rsidP="00374350">
            <w:pPr>
              <w:spacing w:after="0"/>
              <w:jc w:val="right"/>
              <w:rPr>
                <w:rFonts w:ascii="Calibri" w:hAnsi="Calibri" w:cs="Calibri"/>
                <w:b/>
                <w:bCs/>
                <w:noProof/>
                <w:color w:val="000000"/>
                <w:szCs w:val="22"/>
              </w:rPr>
            </w:pPr>
            <w:r>
              <w:rPr>
                <w:rFonts w:ascii="Calibri" w:hAnsi="Calibri" w:cs="Calibri"/>
                <w:b/>
                <w:bCs/>
                <w:noProof/>
                <w:color w:val="000000"/>
                <w:szCs w:val="22"/>
              </w:rPr>
              <w:t>35.9</w:t>
            </w:r>
          </w:p>
        </w:tc>
        <w:tc>
          <w:tcPr>
            <w:tcW w:w="957"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4A203865" w14:textId="77777777" w:rsidR="00773F49" w:rsidRPr="00374350" w:rsidRDefault="00374350" w:rsidP="00374350">
            <w:pPr>
              <w:spacing w:after="0"/>
              <w:jc w:val="right"/>
              <w:rPr>
                <w:rFonts w:ascii="Calibri" w:hAnsi="Calibri" w:cs="Calibri"/>
                <w:b/>
                <w:bCs/>
                <w:noProof/>
                <w:color w:val="000000"/>
                <w:szCs w:val="22"/>
              </w:rPr>
            </w:pPr>
            <w:r>
              <w:rPr>
                <w:rFonts w:ascii="Calibri" w:hAnsi="Calibri" w:cs="Calibri"/>
                <w:b/>
                <w:bCs/>
                <w:noProof/>
                <w:color w:val="000000"/>
                <w:szCs w:val="22"/>
              </w:rPr>
              <w:t>0.03%</w:t>
            </w:r>
          </w:p>
        </w:tc>
        <w:tc>
          <w:tcPr>
            <w:tcW w:w="992" w:type="dxa"/>
            <w:tcBorders>
              <w:top w:val="single" w:sz="4" w:space="0" w:color="9BC2E6"/>
              <w:left w:val="single" w:sz="4" w:space="0" w:color="9BC2E6"/>
              <w:bottom w:val="single" w:sz="4" w:space="0" w:color="9BC2E6"/>
              <w:right w:val="single" w:sz="4" w:space="0" w:color="9BC2E6"/>
            </w:tcBorders>
            <w:shd w:val="clear" w:color="auto" w:fill="auto"/>
            <w:noWrap/>
            <w:vAlign w:val="bottom"/>
          </w:tcPr>
          <w:p w14:paraId="51204458" w14:textId="77777777" w:rsidR="00773F49" w:rsidRPr="00374350" w:rsidRDefault="00442C1B" w:rsidP="00374350">
            <w:pPr>
              <w:spacing w:after="0"/>
              <w:jc w:val="right"/>
              <w:rPr>
                <w:rFonts w:ascii="Calibri" w:hAnsi="Calibri" w:cs="Calibri"/>
                <w:b/>
                <w:bCs/>
                <w:noProof/>
                <w:color w:val="000000"/>
                <w:szCs w:val="22"/>
              </w:rPr>
            </w:pPr>
            <w:r>
              <w:rPr>
                <w:rFonts w:ascii="Calibri" w:hAnsi="Calibri" w:cs="Calibri"/>
                <w:b/>
                <w:bCs/>
                <w:noProof/>
                <w:color w:val="000000"/>
                <w:szCs w:val="22"/>
              </w:rPr>
              <w:t>0.16%</w:t>
            </w:r>
          </w:p>
        </w:tc>
      </w:tr>
      <w:tr w:rsidR="00773F49" w:rsidRPr="006C5247" w14:paraId="121CABC4" w14:textId="77777777" w:rsidTr="00D10B75">
        <w:trPr>
          <w:trHeight w:val="300"/>
        </w:trPr>
        <w:tc>
          <w:tcPr>
            <w:tcW w:w="2160" w:type="dxa"/>
            <w:tcBorders>
              <w:top w:val="single" w:sz="4" w:space="0" w:color="9BC2E6"/>
              <w:left w:val="single" w:sz="4" w:space="0" w:color="9BC2E6"/>
              <w:bottom w:val="single" w:sz="4" w:space="0" w:color="9BC2E6"/>
              <w:right w:val="single" w:sz="4" w:space="0" w:color="9BC2E6"/>
            </w:tcBorders>
            <w:shd w:val="clear" w:color="DDEBF7" w:fill="DDEBF7"/>
            <w:noWrap/>
            <w:vAlign w:val="bottom"/>
            <w:hideMark/>
          </w:tcPr>
          <w:p w14:paraId="14ADFB46" w14:textId="77777777" w:rsidR="00773F49" w:rsidRPr="006C5247" w:rsidRDefault="00773F49" w:rsidP="00A27EF6">
            <w:pPr>
              <w:spacing w:after="0"/>
              <w:jc w:val="left"/>
              <w:rPr>
                <w:rFonts w:ascii="Calibri" w:hAnsi="Calibri" w:cs="Calibri"/>
                <w:b/>
                <w:bCs/>
                <w:noProof/>
                <w:color w:val="000000"/>
                <w:szCs w:val="22"/>
              </w:rPr>
            </w:pPr>
            <w:r w:rsidRPr="006C5247">
              <w:rPr>
                <w:rFonts w:ascii="Calibri" w:hAnsi="Calibri" w:cs="Calibri"/>
                <w:b/>
                <w:bCs/>
                <w:noProof/>
                <w:color w:val="000000"/>
                <w:szCs w:val="22"/>
              </w:rPr>
              <w:t>TOTAL</w:t>
            </w:r>
          </w:p>
        </w:tc>
        <w:tc>
          <w:tcPr>
            <w:tcW w:w="1096" w:type="dxa"/>
            <w:tcBorders>
              <w:top w:val="single" w:sz="4" w:space="0" w:color="9BC2E6"/>
              <w:left w:val="single" w:sz="4" w:space="0" w:color="9BC2E6"/>
              <w:bottom w:val="single" w:sz="4" w:space="0" w:color="9BC2E6"/>
              <w:right w:val="nil"/>
            </w:tcBorders>
            <w:shd w:val="clear" w:color="DDEBF7" w:fill="DDEBF7"/>
            <w:noWrap/>
            <w:vAlign w:val="bottom"/>
            <w:hideMark/>
          </w:tcPr>
          <w:p w14:paraId="718D7675" w14:textId="77777777" w:rsidR="00773F49" w:rsidRPr="006C5247" w:rsidRDefault="00442C1B" w:rsidP="00A27EF6">
            <w:pPr>
              <w:spacing w:after="0"/>
              <w:jc w:val="right"/>
              <w:rPr>
                <w:rFonts w:ascii="Calibri" w:hAnsi="Calibri" w:cs="Calibri"/>
                <w:b/>
                <w:bCs/>
                <w:noProof/>
                <w:color w:val="000000"/>
                <w:szCs w:val="22"/>
              </w:rPr>
            </w:pPr>
            <w:r>
              <w:rPr>
                <w:rFonts w:ascii="Calibri" w:hAnsi="Calibri" w:cs="Calibri"/>
                <w:b/>
                <w:bCs/>
                <w:noProof/>
                <w:color w:val="000000"/>
                <w:szCs w:val="22"/>
              </w:rPr>
              <w:t>548</w:t>
            </w:r>
          </w:p>
        </w:tc>
        <w:tc>
          <w:tcPr>
            <w:tcW w:w="1154" w:type="dxa"/>
            <w:tcBorders>
              <w:top w:val="single" w:sz="4" w:space="0" w:color="9BC2E6"/>
              <w:left w:val="nil"/>
              <w:bottom w:val="single" w:sz="4" w:space="0" w:color="9BC2E6"/>
            </w:tcBorders>
            <w:shd w:val="clear" w:color="DDEBF7" w:fill="DDEBF7"/>
            <w:noWrap/>
            <w:vAlign w:val="bottom"/>
          </w:tcPr>
          <w:p w14:paraId="5B065206" w14:textId="77777777" w:rsidR="00773F49" w:rsidRPr="006C5247" w:rsidRDefault="00442C1B" w:rsidP="00A27EF6">
            <w:pPr>
              <w:spacing w:after="0"/>
              <w:jc w:val="right"/>
              <w:rPr>
                <w:rFonts w:ascii="Calibri" w:hAnsi="Calibri" w:cs="Calibri"/>
                <w:b/>
                <w:bCs/>
                <w:noProof/>
                <w:color w:val="000000"/>
                <w:szCs w:val="22"/>
              </w:rPr>
            </w:pPr>
            <w:r>
              <w:rPr>
                <w:rFonts w:ascii="Calibri" w:hAnsi="Calibri" w:cs="Calibri"/>
                <w:b/>
                <w:bCs/>
                <w:noProof/>
                <w:color w:val="000000"/>
                <w:szCs w:val="22"/>
              </w:rPr>
              <w:t>1 662.9</w:t>
            </w:r>
          </w:p>
        </w:tc>
        <w:tc>
          <w:tcPr>
            <w:tcW w:w="1114" w:type="dxa"/>
            <w:tcBorders>
              <w:top w:val="single" w:sz="4" w:space="0" w:color="9BC2E6"/>
              <w:left w:val="nil"/>
              <w:bottom w:val="single" w:sz="4" w:space="0" w:color="9BC2E6"/>
              <w:right w:val="nil"/>
            </w:tcBorders>
            <w:shd w:val="clear" w:color="DDEBF7" w:fill="DDEBF7"/>
            <w:noWrap/>
            <w:vAlign w:val="bottom"/>
          </w:tcPr>
          <w:p w14:paraId="1C85A332" w14:textId="5FC5A53E" w:rsidR="00773F49" w:rsidRPr="006C5247" w:rsidRDefault="00442C1B">
            <w:pPr>
              <w:spacing w:after="0"/>
              <w:jc w:val="right"/>
              <w:rPr>
                <w:rFonts w:ascii="Calibri" w:hAnsi="Calibri" w:cs="Calibri"/>
                <w:b/>
                <w:bCs/>
                <w:noProof/>
                <w:color w:val="000000"/>
                <w:szCs w:val="22"/>
              </w:rPr>
            </w:pPr>
            <w:r>
              <w:rPr>
                <w:rFonts w:ascii="Calibri" w:hAnsi="Calibri" w:cs="Calibri"/>
                <w:b/>
                <w:bCs/>
                <w:noProof/>
                <w:color w:val="000000"/>
                <w:szCs w:val="22"/>
              </w:rPr>
              <w:t>6 </w:t>
            </w:r>
            <w:r w:rsidR="00387ED0">
              <w:rPr>
                <w:rFonts w:ascii="Calibri" w:hAnsi="Calibri" w:cs="Calibri"/>
                <w:b/>
                <w:bCs/>
                <w:noProof/>
                <w:color w:val="000000"/>
                <w:szCs w:val="22"/>
              </w:rPr>
              <w:t>682</w:t>
            </w:r>
          </w:p>
        </w:tc>
        <w:tc>
          <w:tcPr>
            <w:tcW w:w="1169" w:type="dxa"/>
            <w:tcBorders>
              <w:top w:val="single" w:sz="4" w:space="0" w:color="9BC2E6"/>
              <w:left w:val="nil"/>
              <w:bottom w:val="single" w:sz="4" w:space="0" w:color="9BC2E6"/>
              <w:right w:val="single" w:sz="4" w:space="0" w:color="9BC2E6"/>
            </w:tcBorders>
            <w:shd w:val="clear" w:color="DDEBF7" w:fill="DDEBF7"/>
            <w:noWrap/>
            <w:vAlign w:val="bottom"/>
          </w:tcPr>
          <w:p w14:paraId="4DD28809" w14:textId="73F8FCE5" w:rsidR="00773F49" w:rsidRPr="006C5247" w:rsidRDefault="00442C1B">
            <w:pPr>
              <w:spacing w:after="0"/>
              <w:jc w:val="right"/>
              <w:rPr>
                <w:rFonts w:ascii="Calibri" w:hAnsi="Calibri" w:cs="Calibri"/>
                <w:b/>
                <w:bCs/>
                <w:noProof/>
                <w:color w:val="000000"/>
                <w:szCs w:val="22"/>
              </w:rPr>
            </w:pPr>
            <w:r>
              <w:rPr>
                <w:rFonts w:ascii="Calibri" w:hAnsi="Calibri" w:cs="Calibri"/>
                <w:b/>
                <w:bCs/>
                <w:noProof/>
                <w:color w:val="000000"/>
                <w:szCs w:val="22"/>
              </w:rPr>
              <w:t>1 </w:t>
            </w:r>
            <w:r w:rsidR="00387ED0">
              <w:rPr>
                <w:rFonts w:ascii="Calibri" w:hAnsi="Calibri" w:cs="Calibri"/>
                <w:b/>
                <w:bCs/>
                <w:noProof/>
                <w:color w:val="000000"/>
                <w:szCs w:val="22"/>
              </w:rPr>
              <w:t>061</w:t>
            </w:r>
            <w:r>
              <w:rPr>
                <w:rFonts w:ascii="Calibri" w:hAnsi="Calibri" w:cs="Calibri"/>
                <w:b/>
                <w:bCs/>
                <w:noProof/>
                <w:color w:val="000000"/>
                <w:szCs w:val="22"/>
              </w:rPr>
              <w:t>.</w:t>
            </w:r>
            <w:r w:rsidR="00387ED0">
              <w:rPr>
                <w:rFonts w:ascii="Calibri" w:hAnsi="Calibri" w:cs="Calibri"/>
                <w:b/>
                <w:bCs/>
                <w:noProof/>
                <w:color w:val="000000"/>
                <w:szCs w:val="22"/>
              </w:rPr>
              <w:t>3</w:t>
            </w:r>
          </w:p>
        </w:tc>
        <w:tc>
          <w:tcPr>
            <w:tcW w:w="957"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20B99711" w14:textId="77777777" w:rsidR="00773F49" w:rsidRPr="006C5247" w:rsidRDefault="00442C1B" w:rsidP="00A27EF6">
            <w:pPr>
              <w:spacing w:after="0"/>
              <w:jc w:val="right"/>
              <w:rPr>
                <w:rFonts w:ascii="Calibri" w:hAnsi="Calibri" w:cs="Calibri"/>
                <w:b/>
                <w:bCs/>
                <w:noProof/>
                <w:color w:val="000000"/>
                <w:szCs w:val="22"/>
              </w:rPr>
            </w:pPr>
            <w:r>
              <w:rPr>
                <w:rFonts w:ascii="Calibri" w:hAnsi="Calibri" w:cs="Calibri"/>
                <w:b/>
                <w:bCs/>
                <w:noProof/>
                <w:color w:val="000000"/>
                <w:szCs w:val="22"/>
              </w:rPr>
              <w:t>1.0%</w:t>
            </w:r>
          </w:p>
        </w:tc>
        <w:tc>
          <w:tcPr>
            <w:tcW w:w="992" w:type="dxa"/>
            <w:tcBorders>
              <w:top w:val="single" w:sz="4" w:space="0" w:color="9BC2E6"/>
              <w:left w:val="single" w:sz="4" w:space="0" w:color="9BC2E6"/>
              <w:bottom w:val="single" w:sz="4" w:space="0" w:color="9BC2E6"/>
              <w:right w:val="single" w:sz="4" w:space="0" w:color="9BC2E6"/>
            </w:tcBorders>
            <w:shd w:val="clear" w:color="DDEBF7" w:fill="DDEBF7"/>
            <w:noWrap/>
            <w:vAlign w:val="bottom"/>
          </w:tcPr>
          <w:p w14:paraId="0AE519D5" w14:textId="77777777" w:rsidR="00773F49" w:rsidRPr="00442C1B" w:rsidRDefault="00442C1B" w:rsidP="00A27EF6">
            <w:pPr>
              <w:spacing w:after="0"/>
              <w:jc w:val="right"/>
              <w:rPr>
                <w:rFonts w:ascii="Calibri" w:hAnsi="Calibri" w:cs="Calibri"/>
                <w:b/>
                <w:bCs/>
                <w:noProof/>
                <w:color w:val="000000"/>
                <w:szCs w:val="22"/>
              </w:rPr>
            </w:pPr>
            <w:r w:rsidRPr="00442C1B">
              <w:rPr>
                <w:rFonts w:ascii="Calibri" w:hAnsi="Calibri" w:cs="Calibri"/>
                <w:b/>
                <w:bCs/>
                <w:noProof/>
                <w:color w:val="000000"/>
                <w:szCs w:val="22"/>
              </w:rPr>
              <w:t>0.63%</w:t>
            </w:r>
          </w:p>
        </w:tc>
      </w:tr>
    </w:tbl>
    <w:p w14:paraId="70F63832" w14:textId="77777777" w:rsidR="00FB5CF5" w:rsidRDefault="00D10B75" w:rsidP="00CD7B44">
      <w:pPr>
        <w:pStyle w:val="Heading3"/>
        <w:rPr>
          <w:noProof/>
        </w:rPr>
      </w:pPr>
      <w:bookmarkStart w:id="81" w:name="_Toc110444075"/>
      <w:r>
        <w:rPr>
          <w:noProof/>
        </w:rPr>
        <w:t>Shared management</w:t>
      </w:r>
      <w:bookmarkEnd w:id="81"/>
    </w:p>
    <w:p w14:paraId="30D6C6A2" w14:textId="0923E80A" w:rsidR="00D10B75" w:rsidRPr="00D11191" w:rsidRDefault="00490854" w:rsidP="00D10B75">
      <w:pPr>
        <w:rPr>
          <w:noProof/>
          <w:szCs w:val="22"/>
        </w:rPr>
      </w:pPr>
      <w:r>
        <w:rPr>
          <w:noProof/>
        </w:rPr>
        <mc:AlternateContent>
          <mc:Choice Requires="wpg">
            <w:drawing>
              <wp:anchor distT="45720" distB="45720" distL="182880" distR="182880" simplePos="0" relativeHeight="251656192" behindDoc="0" locked="0" layoutInCell="1" allowOverlap="0" wp14:anchorId="75AFE460" wp14:editId="4C403C15">
                <wp:simplePos x="0" y="0"/>
                <wp:positionH relativeFrom="margin">
                  <wp:posOffset>74930</wp:posOffset>
                </wp:positionH>
                <wp:positionV relativeFrom="paragraph">
                  <wp:posOffset>119380</wp:posOffset>
                </wp:positionV>
                <wp:extent cx="3200400" cy="2057400"/>
                <wp:effectExtent l="0" t="0" r="19050" b="19050"/>
                <wp:wrapSquare wrapText="bothSides"/>
                <wp:docPr id="9" name="Group 9"/>
                <wp:cNvGraphicFramePr/>
                <a:graphic xmlns:a="http://schemas.openxmlformats.org/drawingml/2006/main">
                  <a:graphicData uri="http://schemas.microsoft.com/office/word/2010/wordprocessingGroup">
                    <wpg:wgp>
                      <wpg:cNvGrpSpPr/>
                      <wpg:grpSpPr>
                        <a:xfrm>
                          <a:off x="0" y="0"/>
                          <a:ext cx="3200400" cy="2057400"/>
                          <a:chOff x="0" y="0"/>
                          <a:chExt cx="3567448" cy="996886"/>
                        </a:xfrm>
                      </wpg:grpSpPr>
                      <wps:wsp>
                        <wps:cNvPr id="11" name="Rectangle 9"/>
                        <wps:cNvSpPr/>
                        <wps:spPr>
                          <a:xfrm>
                            <a:off x="0" y="0"/>
                            <a:ext cx="3567448" cy="261529"/>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4D978" w14:textId="77777777" w:rsidR="00DA41DB" w:rsidRPr="002F6819" w:rsidRDefault="00DA41DB" w:rsidP="00F01009">
                              <w:pPr>
                                <w:jc w:val="center"/>
                                <w:rPr>
                                  <w:rFonts w:eastAsiaTheme="majorEastAsia"/>
                                  <w:b/>
                                  <w:color w:val="FFFFFF" w:themeColor="background1"/>
                                  <w:szCs w:val="28"/>
                                </w:rPr>
                              </w:pPr>
                              <w:r>
                                <w:rPr>
                                  <w:rFonts w:eastAsiaTheme="majorEastAsia"/>
                                  <w:b/>
                                  <w:color w:val="FFFFFF" w:themeColor="background1"/>
                                  <w:szCs w:val="28"/>
                                </w:rPr>
                                <w:t>Agriculture: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 name="Text Box 11"/>
                        <wps:cNvSpPr txBox="1"/>
                        <wps:spPr>
                          <a:xfrm>
                            <a:off x="0" y="261529"/>
                            <a:ext cx="3567448" cy="735357"/>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C337537" w14:textId="77777777" w:rsidR="00DA41DB" w:rsidRPr="002F6819" w:rsidRDefault="00DA41DB" w:rsidP="00F01009">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5D24CC5E" w14:textId="77777777" w:rsidR="00DA41DB" w:rsidRPr="00E723FD" w:rsidRDefault="00DA41DB" w:rsidP="00F01009">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67C1290F" w14:textId="77777777" w:rsidR="00DA41DB" w:rsidRPr="00E723FD" w:rsidRDefault="00DA41DB" w:rsidP="00F01009">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financial </w:t>
                              </w:r>
                              <w:r w:rsidRPr="00D12E31">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amounts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5AFE460" id="Group 9" o:spid="_x0000_s1029" style="position:absolute;left:0;text-align:left;margin-left:5.9pt;margin-top:9.4pt;width:252pt;height:162pt;z-index:251656192;mso-wrap-distance-left:14.4pt;mso-wrap-distance-top:3.6pt;mso-wrap-distance-right:14.4pt;mso-wrap-distance-bottom:3.6pt;mso-position-horizontal-relative:margin;mso-width-relative:margin;mso-height-relative:margin" coordsize="35674,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" o:allowoverlap="f">
                <v:rect id="Rectangle 9" o:spid="_x0000_s1030" style="position:absolute;width:35674;height:2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" fillcolor="#5b9bd5 [3204]" strokecolor="#44546a [3215]" strokeweight="1pt">
                  <v:textbox>
                    <w:txbxContent>
                      <w:p w14:paraId="2AB4D978" w14:textId="77777777" w:rsidR="00DA41DB" w:rsidRPr="002F6819" w:rsidRDefault="00DA41DB" w:rsidP="00F01009">
                        <w:pPr>
                          <w:jc w:val="center"/>
                          <w:rPr>
                            <w:rFonts w:eastAsiaTheme="majorEastAsia"/>
                            <w:b/>
                            <w:color w:val="FFFFFF" w:themeColor="background1"/>
                            <w:szCs w:val="28"/>
                          </w:rPr>
                        </w:pPr>
                        <w:r>
                          <w:rPr>
                            <w:rFonts w:eastAsiaTheme="majorEastAsia"/>
                            <w:b/>
                            <w:color w:val="FFFFFF" w:themeColor="background1"/>
                            <w:szCs w:val="28"/>
                          </w:rPr>
                          <w:t>Agriculture: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v:textbox>
                </v:rect>
                <v:shape id="Text Box 11" o:spid="_x0000_s1031" type="#_x0000_t202" style="position:absolute;top:2615;width:35674;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" filled="f" strokecolor="#44546a [3215]" strokeweight=".5pt">
                  <v:textbox inset=",7.2pt,,0">
                    <w:txbxContent>
                      <w:p w14:paraId="7C337537" w14:textId="77777777" w:rsidR="00DA41DB" w:rsidRPr="002F6819" w:rsidRDefault="00DA41DB" w:rsidP="00F01009">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5D24CC5E" w14:textId="77777777" w:rsidR="00DA41DB" w:rsidRPr="00E723FD" w:rsidRDefault="00DA41DB" w:rsidP="00F01009">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67C1290F" w14:textId="77777777" w:rsidR="00DA41DB" w:rsidRPr="00E723FD" w:rsidRDefault="00DA41DB" w:rsidP="00F01009">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financial </w:t>
                        </w:r>
                        <w:r w:rsidRPr="00D12E31">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amounts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txbxContent>
                  </v:textbox>
                </v:shape>
                <w10:wrap type="square" anchorx="margin"/>
              </v:group>
            </w:pict>
          </mc:Fallback>
        </mc:AlternateContent>
      </w:r>
      <w:r w:rsidR="00D10B75">
        <w:rPr>
          <w:b/>
          <w:noProof/>
        </w:rPr>
        <w:t>Agriculture</w:t>
      </w:r>
      <w:r w:rsidR="00F6664B">
        <w:rPr>
          <w:rStyle w:val="FootnoteReference"/>
          <w:b/>
          <w:noProof/>
        </w:rPr>
        <w:footnoteReference w:id="94"/>
      </w:r>
      <w:r w:rsidR="00D10B75">
        <w:rPr>
          <w:b/>
          <w:noProof/>
        </w:rPr>
        <w:t xml:space="preserve"> </w:t>
      </w:r>
      <w:r w:rsidR="00D10B75">
        <w:rPr>
          <w:noProof/>
        </w:rPr>
        <w:t xml:space="preserve">– </w:t>
      </w:r>
      <w:r w:rsidR="009670EA">
        <w:rPr>
          <w:noProof/>
        </w:rPr>
        <w:t xml:space="preserve">The analysis of the </w:t>
      </w:r>
      <w:r w:rsidR="00715764">
        <w:rPr>
          <w:noProof/>
        </w:rPr>
        <w:t>five-year</w:t>
      </w:r>
      <w:r w:rsidR="009670EA">
        <w:rPr>
          <w:noProof/>
        </w:rPr>
        <w:t xml:space="preserve"> period (2017-2021) confirms the main patterns highlighted </w:t>
      </w:r>
      <w:r w:rsidR="00715764">
        <w:rPr>
          <w:noProof/>
        </w:rPr>
        <w:t>in previous PIF reports</w:t>
      </w:r>
      <w:r w:rsidR="00715764">
        <w:rPr>
          <w:rStyle w:val="FootnoteReference"/>
          <w:noProof/>
        </w:rPr>
        <w:footnoteReference w:id="95"/>
      </w:r>
      <w:r w:rsidR="00715764">
        <w:rPr>
          <w:noProof/>
        </w:rPr>
        <w:t xml:space="preserve">. Even if progressively increasing, fraudulent irregularities </w:t>
      </w:r>
      <w:r w:rsidR="004A5098">
        <w:rPr>
          <w:noProof/>
        </w:rPr>
        <w:t>in</w:t>
      </w:r>
      <w:r w:rsidR="00715764">
        <w:rPr>
          <w:noProof/>
        </w:rPr>
        <w:t xml:space="preserve"> rural development related to the </w:t>
      </w:r>
      <w:r w:rsidR="004A5098">
        <w:rPr>
          <w:noProof/>
        </w:rPr>
        <w:t xml:space="preserve">2014-2020 </w:t>
      </w:r>
      <w:r w:rsidR="00715764">
        <w:rPr>
          <w:noProof/>
        </w:rPr>
        <w:t xml:space="preserve">programming period are still fewer than those reported </w:t>
      </w:r>
      <w:r w:rsidR="004A5098">
        <w:rPr>
          <w:noProof/>
        </w:rPr>
        <w:t xml:space="preserve">for </w:t>
      </w:r>
      <w:r w:rsidR="00715764">
        <w:rPr>
          <w:noProof/>
        </w:rPr>
        <w:t xml:space="preserve">the </w:t>
      </w:r>
      <w:r w:rsidR="004A5098">
        <w:rPr>
          <w:noProof/>
        </w:rPr>
        <w:t xml:space="preserve">2007-2013 </w:t>
      </w:r>
      <w:r w:rsidR="00715764">
        <w:rPr>
          <w:noProof/>
        </w:rPr>
        <w:t xml:space="preserve">period after a comparable period of implementation. Reporting of fraud </w:t>
      </w:r>
      <w:r w:rsidR="004A5098">
        <w:rPr>
          <w:noProof/>
        </w:rPr>
        <w:t xml:space="preserve">in </w:t>
      </w:r>
      <w:r w:rsidR="00715764">
        <w:rPr>
          <w:noProof/>
        </w:rPr>
        <w:t xml:space="preserve">support to agriculture (including direct aid and market measures) remains quite stable over time, even if it shows a decline </w:t>
      </w:r>
      <w:r w:rsidR="004A5098">
        <w:rPr>
          <w:noProof/>
        </w:rPr>
        <w:t xml:space="preserve">of </w:t>
      </w:r>
      <w:r w:rsidR="00715764">
        <w:rPr>
          <w:noProof/>
        </w:rPr>
        <w:t xml:space="preserve">17% in 2021 </w:t>
      </w:r>
      <w:r w:rsidR="004A5098">
        <w:rPr>
          <w:noProof/>
        </w:rPr>
        <w:t xml:space="preserve">from </w:t>
      </w:r>
      <w:r w:rsidR="00715764">
        <w:rPr>
          <w:noProof/>
        </w:rPr>
        <w:t xml:space="preserve">the previous year. The incidence of reported fraud in proportion to payments remains </w:t>
      </w:r>
      <w:r w:rsidR="00221EE2">
        <w:rPr>
          <w:noProof/>
        </w:rPr>
        <w:t xml:space="preserve">very low for direct payments. It is </w:t>
      </w:r>
      <w:r w:rsidR="00715764">
        <w:rPr>
          <w:noProof/>
        </w:rPr>
        <w:t>the highest for market measures</w:t>
      </w:r>
      <w:r w:rsidR="00D11191">
        <w:rPr>
          <w:noProof/>
        </w:rPr>
        <w:t xml:space="preserve">, in particular in the </w:t>
      </w:r>
      <w:r w:rsidR="00D11191">
        <w:rPr>
          <w:b/>
          <w:noProof/>
        </w:rPr>
        <w:t xml:space="preserve">fruits and vegetable sector </w:t>
      </w:r>
      <w:r w:rsidR="00D11191">
        <w:rPr>
          <w:noProof/>
        </w:rPr>
        <w:t xml:space="preserve">and in relation to </w:t>
      </w:r>
      <w:r w:rsidR="00D11191">
        <w:rPr>
          <w:b/>
          <w:noProof/>
        </w:rPr>
        <w:t>national support programmes in the wine sector</w:t>
      </w:r>
      <w:r w:rsidR="00D11191">
        <w:rPr>
          <w:noProof/>
        </w:rPr>
        <w:t xml:space="preserve">. </w:t>
      </w:r>
      <w:r w:rsidR="00D11191" w:rsidRPr="00D11191">
        <w:rPr>
          <w:noProof/>
          <w:szCs w:val="22"/>
        </w:rPr>
        <w:t xml:space="preserve">The financial amounts involved were also </w:t>
      </w:r>
      <w:r w:rsidR="004A5098">
        <w:rPr>
          <w:noProof/>
          <w:szCs w:val="22"/>
        </w:rPr>
        <w:t xml:space="preserve">relatively </w:t>
      </w:r>
      <w:r w:rsidR="004A5098" w:rsidRPr="00D11191">
        <w:rPr>
          <w:noProof/>
          <w:szCs w:val="22"/>
        </w:rPr>
        <w:t xml:space="preserve">high </w:t>
      </w:r>
      <w:r w:rsidR="00D11191" w:rsidRPr="00D11191">
        <w:rPr>
          <w:noProof/>
          <w:szCs w:val="22"/>
        </w:rPr>
        <w:t xml:space="preserve">for the market measure specifically related to the </w:t>
      </w:r>
      <w:r w:rsidR="00D11191" w:rsidRPr="00D11191">
        <w:rPr>
          <w:b/>
          <w:noProof/>
          <w:szCs w:val="22"/>
        </w:rPr>
        <w:t>promotion of agricultural products</w:t>
      </w:r>
      <w:r w:rsidR="00D11191" w:rsidRPr="00D11191">
        <w:rPr>
          <w:noProof/>
          <w:szCs w:val="22"/>
        </w:rPr>
        <w:t>.</w:t>
      </w:r>
    </w:p>
    <w:p w14:paraId="3A8F010E" w14:textId="404744B7" w:rsidR="00D11191" w:rsidRDefault="00D11191" w:rsidP="00D11191">
      <w:pPr>
        <w:rPr>
          <w:noProof/>
        </w:rPr>
      </w:pPr>
      <w:r w:rsidRPr="007D1767">
        <w:rPr>
          <w:noProof/>
        </w:rPr>
        <w:t xml:space="preserve">With reference to rural development and direct payments to farmers, </w:t>
      </w:r>
      <w:r w:rsidRPr="007D1767">
        <w:rPr>
          <w:b/>
          <w:noProof/>
        </w:rPr>
        <w:t>risk analysis and spontaneous information from civil society</w:t>
      </w:r>
      <w:r w:rsidRPr="007D1767">
        <w:rPr>
          <w:noProof/>
        </w:rPr>
        <w:t xml:space="preserve">, including from the media, </w:t>
      </w:r>
      <w:r w:rsidR="004A5098">
        <w:rPr>
          <w:noProof/>
        </w:rPr>
        <w:t xml:space="preserve">make </w:t>
      </w:r>
      <w:r w:rsidRPr="007D1767">
        <w:rPr>
          <w:noProof/>
        </w:rPr>
        <w:t xml:space="preserve">a </w:t>
      </w:r>
      <w:r w:rsidRPr="007D1767">
        <w:rPr>
          <w:b/>
          <w:noProof/>
        </w:rPr>
        <w:t>marginal contribution</w:t>
      </w:r>
      <w:r w:rsidRPr="007D1767">
        <w:rPr>
          <w:noProof/>
        </w:rPr>
        <w:t xml:space="preserve"> </w:t>
      </w:r>
      <w:r w:rsidR="004A5098">
        <w:rPr>
          <w:noProof/>
        </w:rPr>
        <w:t xml:space="preserve">to </w:t>
      </w:r>
      <w:r w:rsidRPr="007D1767">
        <w:rPr>
          <w:noProof/>
        </w:rPr>
        <w:t>detecting fraudulent and non-fraudulent irregularities. In relation to market measures, risk analysis has a stronger role in detection, because</w:t>
      </w:r>
      <w:r w:rsidRPr="007D1767">
        <w:rPr>
          <w:b/>
          <w:noProof/>
        </w:rPr>
        <w:t xml:space="preserve"> </w:t>
      </w:r>
      <w:r w:rsidRPr="007D1767">
        <w:rPr>
          <w:noProof/>
        </w:rPr>
        <w:t xml:space="preserve">of the risk-based scrutiny of commercial documents of those entities receiving payments. </w:t>
      </w:r>
    </w:p>
    <w:p w14:paraId="1B284583" w14:textId="7A98F0A0" w:rsidR="00D11191" w:rsidRDefault="00D11191" w:rsidP="008D0328">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82" w:name="_Toc105777778"/>
      <w:bookmarkStart w:id="83" w:name="_Toc110444022"/>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14</w:t>
      </w:r>
      <w:r w:rsidR="00EA0D7C">
        <w:rPr>
          <w:noProof/>
        </w:rPr>
        <w:fldChar w:fldCharType="end"/>
      </w:r>
      <w:r>
        <w:rPr>
          <w:noProof/>
        </w:rPr>
        <w:t xml:space="preserve"> – Fight against fraud in organic production</w:t>
      </w:r>
      <w:bookmarkEnd w:id="82"/>
      <w:bookmarkEnd w:id="83"/>
    </w:p>
    <w:p w14:paraId="72FF7ABE" w14:textId="7692ABFD" w:rsidR="00D11191"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On the basis of the Action Plan on the Development of Organic Production</w:t>
      </w:r>
      <w:r>
        <w:rPr>
          <w:rStyle w:val="FootnoteReference"/>
          <w:noProof/>
        </w:rPr>
        <w:footnoteReference w:id="96"/>
      </w:r>
      <w:r>
        <w:rPr>
          <w:noProof/>
        </w:rPr>
        <w:t xml:space="preserve">, the Commission has further strengthened the fight against fraud in organic production. With respect to the protection of the </w:t>
      </w:r>
      <w:r w:rsidR="007D267E">
        <w:rPr>
          <w:noProof/>
        </w:rPr>
        <w:t>E</w:t>
      </w:r>
      <w:r>
        <w:rPr>
          <w:noProof/>
        </w:rPr>
        <w:t>U’s financial interests, it has systemati</w:t>
      </w:r>
      <w:r w:rsidR="002923C2">
        <w:rPr>
          <w:noProof/>
        </w:rPr>
        <w:t>s</w:t>
      </w:r>
      <w:r>
        <w:rPr>
          <w:noProof/>
        </w:rPr>
        <w:t xml:space="preserve">ed the cross-checking </w:t>
      </w:r>
      <w:r w:rsidR="007D267E">
        <w:rPr>
          <w:noProof/>
        </w:rPr>
        <w:t xml:space="preserve">of </w:t>
      </w:r>
      <w:r>
        <w:rPr>
          <w:noProof/>
        </w:rPr>
        <w:t xml:space="preserve">information in the Organic Information System (OFIS) on possible non-compliances in organic production </w:t>
      </w:r>
      <w:r w:rsidR="007D267E">
        <w:rPr>
          <w:noProof/>
        </w:rPr>
        <w:t xml:space="preserve">with </w:t>
      </w:r>
      <w:r>
        <w:rPr>
          <w:noProof/>
        </w:rPr>
        <w:t xml:space="preserve">information </w:t>
      </w:r>
      <w:r w:rsidR="007D267E">
        <w:rPr>
          <w:noProof/>
        </w:rPr>
        <w:t xml:space="preserve">it has </w:t>
      </w:r>
      <w:r>
        <w:rPr>
          <w:noProof/>
        </w:rPr>
        <w:t xml:space="preserve">on the provision of EU financial support for organic production. In this context OLAF </w:t>
      </w:r>
      <w:r w:rsidR="007D267E">
        <w:rPr>
          <w:noProof/>
        </w:rPr>
        <w:t xml:space="preserve">has been given </w:t>
      </w:r>
      <w:r>
        <w:rPr>
          <w:noProof/>
        </w:rPr>
        <w:t>direct data access to OFIS.</w:t>
      </w:r>
    </w:p>
    <w:p w14:paraId="4E14C827" w14:textId="6BC6D449" w:rsidR="00D11191"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Exploratory discussions were held with </w:t>
      </w:r>
      <w:r w:rsidR="00A169C9">
        <w:rPr>
          <w:noProof/>
        </w:rPr>
        <w:t xml:space="preserve">the </w:t>
      </w:r>
      <w:r>
        <w:rPr>
          <w:noProof/>
        </w:rPr>
        <w:t xml:space="preserve">EPPO on </w:t>
      </w:r>
      <w:r w:rsidR="007D267E">
        <w:rPr>
          <w:noProof/>
        </w:rPr>
        <w:t xml:space="preserve">giving it </w:t>
      </w:r>
      <w:r>
        <w:rPr>
          <w:noProof/>
        </w:rPr>
        <w:t>access to data from OFIS</w:t>
      </w:r>
      <w:r w:rsidR="006A79C7">
        <w:rPr>
          <w:noProof/>
        </w:rPr>
        <w:t>, while it has already been granted for</w:t>
      </w:r>
      <w:r>
        <w:rPr>
          <w:noProof/>
        </w:rPr>
        <w:t xml:space="preserve"> TRACES</w:t>
      </w:r>
      <w:r w:rsidR="003430DC">
        <w:rPr>
          <w:rStyle w:val="FootnoteReference"/>
          <w:noProof/>
        </w:rPr>
        <w:footnoteReference w:id="97"/>
      </w:r>
      <w:r>
        <w:rPr>
          <w:noProof/>
        </w:rPr>
        <w:t>.</w:t>
      </w:r>
    </w:p>
    <w:p w14:paraId="0E4F6733" w14:textId="522E1073" w:rsidR="00D11191" w:rsidRDefault="00221EE2" w:rsidP="00D11191">
      <w:pPr>
        <w:rPr>
          <w:b/>
          <w:i/>
          <w:noProof/>
          <w:szCs w:val="24"/>
        </w:rPr>
      </w:pPr>
      <w:r>
        <w:rPr>
          <w:noProof/>
        </w:rPr>
        <w:t>A</w:t>
      </w:r>
      <w:r w:rsidR="00D11191" w:rsidRPr="007D1767">
        <w:rPr>
          <w:noProof/>
        </w:rPr>
        <w:t xml:space="preserve">bout </w:t>
      </w:r>
      <w:r w:rsidR="00671AE7">
        <w:rPr>
          <w:noProof/>
        </w:rPr>
        <w:t>ten</w:t>
      </w:r>
      <w:r w:rsidR="00D11191" w:rsidRPr="007D1767">
        <w:rPr>
          <w:noProof/>
        </w:rPr>
        <w:t xml:space="preserve"> years </w:t>
      </w:r>
      <w:r w:rsidR="007D267E">
        <w:rPr>
          <w:noProof/>
        </w:rPr>
        <w:t xml:space="preserve">on </w:t>
      </w:r>
      <w:r w:rsidR="00D11191" w:rsidRPr="007D1767">
        <w:rPr>
          <w:noProof/>
        </w:rPr>
        <w:t xml:space="preserve">from initial reporting, </w:t>
      </w:r>
      <w:r w:rsidR="00D11191" w:rsidRPr="007D1767">
        <w:rPr>
          <w:b/>
          <w:noProof/>
        </w:rPr>
        <w:t xml:space="preserve">the </w:t>
      </w:r>
      <w:r w:rsidR="00786978">
        <w:rPr>
          <w:b/>
          <w:noProof/>
        </w:rPr>
        <w:t xml:space="preserve">proportion </w:t>
      </w:r>
      <w:r w:rsidR="00D11191" w:rsidRPr="007D1767">
        <w:rPr>
          <w:b/>
          <w:noProof/>
        </w:rPr>
        <w:t>of cases of suspected fraud that have not led to conviction remains very high</w:t>
      </w:r>
      <w:r w:rsidR="00D11191" w:rsidRPr="007D1767">
        <w:rPr>
          <w:noProof/>
        </w:rPr>
        <w:t xml:space="preserve">, while </w:t>
      </w:r>
      <w:r w:rsidR="00D11191" w:rsidRPr="007D1767">
        <w:rPr>
          <w:noProof/>
          <w:szCs w:val="24"/>
        </w:rPr>
        <w:t xml:space="preserve">the share of cases in which fraud is established is low. </w:t>
      </w:r>
      <w:r w:rsidR="00D11191" w:rsidRPr="007D1767">
        <w:rPr>
          <w:noProof/>
        </w:rPr>
        <w:t xml:space="preserve">This may signal </w:t>
      </w:r>
      <w:r w:rsidR="00D11191" w:rsidRPr="007D1767">
        <w:rPr>
          <w:noProof/>
          <w:szCs w:val="24"/>
        </w:rPr>
        <w:t xml:space="preserve">the need to invest </w:t>
      </w:r>
      <w:r w:rsidR="00786978">
        <w:rPr>
          <w:noProof/>
          <w:szCs w:val="24"/>
        </w:rPr>
        <w:t xml:space="preserve">more </w:t>
      </w:r>
      <w:r w:rsidR="00D11191" w:rsidRPr="007D1767">
        <w:rPr>
          <w:noProof/>
          <w:szCs w:val="24"/>
        </w:rPr>
        <w:t>in investigatin</w:t>
      </w:r>
      <w:r w:rsidR="00786978">
        <w:rPr>
          <w:noProof/>
          <w:szCs w:val="24"/>
        </w:rPr>
        <w:t>g</w:t>
      </w:r>
      <w:r w:rsidR="003849B5">
        <w:rPr>
          <w:noProof/>
          <w:szCs w:val="24"/>
        </w:rPr>
        <w:t xml:space="preserve"> and </w:t>
      </w:r>
      <w:r w:rsidR="00D11191" w:rsidRPr="007D1767">
        <w:rPr>
          <w:noProof/>
          <w:szCs w:val="24"/>
        </w:rPr>
        <w:t>prosecutin</w:t>
      </w:r>
      <w:r w:rsidR="00786978">
        <w:rPr>
          <w:noProof/>
          <w:szCs w:val="24"/>
        </w:rPr>
        <w:t>g</w:t>
      </w:r>
      <w:r w:rsidR="00D11191" w:rsidRPr="007D1767">
        <w:rPr>
          <w:noProof/>
          <w:szCs w:val="24"/>
        </w:rPr>
        <w:t xml:space="preserve"> </w:t>
      </w:r>
      <w:r w:rsidR="00786978">
        <w:rPr>
          <w:noProof/>
          <w:szCs w:val="24"/>
        </w:rPr>
        <w:t>it</w:t>
      </w:r>
      <w:r w:rsidR="00D11191" w:rsidRPr="007D1767">
        <w:rPr>
          <w:noProof/>
          <w:szCs w:val="24"/>
        </w:rPr>
        <w:t>.</w:t>
      </w:r>
      <w:r w:rsidR="00D11191" w:rsidRPr="007D1767">
        <w:rPr>
          <w:b/>
          <w:i/>
          <w:noProof/>
          <w:szCs w:val="24"/>
        </w:rPr>
        <w:t xml:space="preserve"> </w:t>
      </w:r>
    </w:p>
    <w:p w14:paraId="1736B9A4" w14:textId="4648B959" w:rsidR="00D11191" w:rsidRDefault="00D11191" w:rsidP="00D11191">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84" w:name="_Toc105777779"/>
      <w:bookmarkStart w:id="85" w:name="_Toc110444023"/>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15</w:t>
      </w:r>
      <w:r w:rsidR="00EA0D7C">
        <w:rPr>
          <w:noProof/>
        </w:rPr>
        <w:fldChar w:fldCharType="end"/>
      </w:r>
      <w:r>
        <w:rPr>
          <w:noProof/>
        </w:rPr>
        <w:t xml:space="preserve"> – Agriculture: irregularities most frequently detected</w:t>
      </w:r>
      <w:bookmarkEnd w:id="84"/>
      <w:bookmarkEnd w:id="85"/>
    </w:p>
    <w:p w14:paraId="297C7F34" w14:textId="2DDA4619" w:rsidR="00D11191"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574886">
        <w:rPr>
          <w:noProof/>
        </w:rPr>
        <w:t xml:space="preserve">Over the </w:t>
      </w:r>
      <w:r w:rsidR="00786978" w:rsidRPr="00574886">
        <w:rPr>
          <w:noProof/>
        </w:rPr>
        <w:t>2017-2021</w:t>
      </w:r>
      <w:r w:rsidR="00786978">
        <w:rPr>
          <w:noProof/>
        </w:rPr>
        <w:t xml:space="preserve"> </w:t>
      </w:r>
      <w:r w:rsidRPr="00574886">
        <w:rPr>
          <w:noProof/>
        </w:rPr>
        <w:t xml:space="preserve">period, </w:t>
      </w:r>
      <w:r w:rsidR="00221EE2">
        <w:rPr>
          <w:noProof/>
        </w:rPr>
        <w:t>for</w:t>
      </w:r>
      <w:r w:rsidRPr="00574886">
        <w:rPr>
          <w:noProof/>
        </w:rPr>
        <w:t xml:space="preserve"> </w:t>
      </w:r>
      <w:r w:rsidRPr="00BE6807">
        <w:rPr>
          <w:b/>
          <w:noProof/>
        </w:rPr>
        <w:t xml:space="preserve">direct aid </w:t>
      </w:r>
      <w:r w:rsidR="00221EE2">
        <w:rPr>
          <w:b/>
          <w:noProof/>
        </w:rPr>
        <w:t xml:space="preserve">payments </w:t>
      </w:r>
      <w:r w:rsidRPr="00BE6807">
        <w:rPr>
          <w:b/>
          <w:noProof/>
        </w:rPr>
        <w:t xml:space="preserve">to farmers, the falsification of documentary proof or </w:t>
      </w:r>
      <w:r w:rsidR="00786978">
        <w:rPr>
          <w:b/>
          <w:noProof/>
        </w:rPr>
        <w:t xml:space="preserve">the </w:t>
      </w:r>
      <w:r w:rsidRPr="00BE6807">
        <w:rPr>
          <w:b/>
          <w:noProof/>
        </w:rPr>
        <w:t>request for aid</w:t>
      </w:r>
      <w:r w:rsidR="00221EE2">
        <w:rPr>
          <w:b/>
          <w:noProof/>
        </w:rPr>
        <w:t xml:space="preserve"> </w:t>
      </w:r>
      <w:r w:rsidR="00221EE2">
        <w:rPr>
          <w:noProof/>
        </w:rPr>
        <w:t>were the most frequently detected fraudulent irregularities</w:t>
      </w:r>
      <w:r w:rsidRPr="00574886">
        <w:rPr>
          <w:noProof/>
        </w:rPr>
        <w:t xml:space="preserve">. A wide range of documents </w:t>
      </w:r>
      <w:r>
        <w:rPr>
          <w:noProof/>
        </w:rPr>
        <w:t xml:space="preserve">and information </w:t>
      </w:r>
      <w:r w:rsidRPr="00574886">
        <w:rPr>
          <w:noProof/>
        </w:rPr>
        <w:t xml:space="preserve">can </w:t>
      </w:r>
      <w:r>
        <w:rPr>
          <w:noProof/>
        </w:rPr>
        <w:t xml:space="preserve">be falsified, </w:t>
      </w:r>
      <w:r w:rsidRPr="00574886">
        <w:rPr>
          <w:noProof/>
        </w:rPr>
        <w:t>such as lease agreements</w:t>
      </w:r>
      <w:r w:rsidR="00786978">
        <w:rPr>
          <w:noProof/>
        </w:rPr>
        <w:t xml:space="preserve"> or</w:t>
      </w:r>
      <w:r w:rsidRPr="0012197A">
        <w:rPr>
          <w:noProof/>
        </w:rPr>
        <w:t xml:space="preserve"> </w:t>
      </w:r>
      <w:r w:rsidRPr="00130F98">
        <w:rPr>
          <w:noProof/>
        </w:rPr>
        <w:t>property documents</w:t>
      </w:r>
      <w:r>
        <w:rPr>
          <w:noProof/>
        </w:rPr>
        <w:t>,</w:t>
      </w:r>
      <w:r w:rsidR="00786978">
        <w:rPr>
          <w:noProof/>
        </w:rPr>
        <w:t xml:space="preserve"> and documents related to</w:t>
      </w:r>
      <w:r w:rsidRPr="00130F98">
        <w:rPr>
          <w:noProof/>
        </w:rPr>
        <w:t xml:space="preserve"> compliance with the </w:t>
      </w:r>
      <w:r w:rsidR="00221EE2">
        <w:rPr>
          <w:noProof/>
        </w:rPr>
        <w:t xml:space="preserve">cross-compliance </w:t>
      </w:r>
      <w:r w:rsidRPr="004201D2">
        <w:rPr>
          <w:noProof/>
        </w:rPr>
        <w:t>requirements</w:t>
      </w:r>
      <w:r>
        <w:rPr>
          <w:noProof/>
        </w:rPr>
        <w:t>.</w:t>
      </w:r>
    </w:p>
    <w:p w14:paraId="2828B154" w14:textId="4A5D1DB9" w:rsidR="00D11191"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In relation to </w:t>
      </w:r>
      <w:r>
        <w:rPr>
          <w:b/>
          <w:noProof/>
        </w:rPr>
        <w:t>market measures</w:t>
      </w:r>
      <w:r>
        <w:rPr>
          <w:noProof/>
        </w:rPr>
        <w:t>, fraud mainly concerned</w:t>
      </w:r>
      <w:r w:rsidR="00786978">
        <w:rPr>
          <w:noProof/>
        </w:rPr>
        <w:t xml:space="preserve"> the</w:t>
      </w:r>
      <w:r>
        <w:rPr>
          <w:noProof/>
        </w:rPr>
        <w:t xml:space="preserve"> </w:t>
      </w:r>
      <w:r>
        <w:rPr>
          <w:b/>
          <w:noProof/>
        </w:rPr>
        <w:t>implementation of the action</w:t>
      </w:r>
      <w:r>
        <w:rPr>
          <w:noProof/>
        </w:rPr>
        <w:t xml:space="preserve">, often in combination with other violations. </w:t>
      </w:r>
      <w:r w:rsidR="00221EE2">
        <w:rPr>
          <w:noProof/>
        </w:rPr>
        <w:t>Significant</w:t>
      </w:r>
      <w:r w:rsidR="00221EE2" w:rsidRPr="00AB3920">
        <w:rPr>
          <w:noProof/>
        </w:rPr>
        <w:t xml:space="preserve"> </w:t>
      </w:r>
      <w:r w:rsidRPr="00AB3920">
        <w:rPr>
          <w:noProof/>
        </w:rPr>
        <w:t>financial amounts</w:t>
      </w:r>
      <w:r>
        <w:rPr>
          <w:noProof/>
        </w:rPr>
        <w:t xml:space="preserve"> were recorded in several cases</w:t>
      </w:r>
      <w:r w:rsidRPr="00AB3920">
        <w:rPr>
          <w:noProof/>
        </w:rPr>
        <w:t xml:space="preserve"> </w:t>
      </w:r>
      <w:r>
        <w:rPr>
          <w:noProof/>
        </w:rPr>
        <w:t>investigated by OLAF</w:t>
      </w:r>
      <w:r w:rsidRPr="00AB3920">
        <w:rPr>
          <w:noProof/>
        </w:rPr>
        <w:t xml:space="preserve"> where </w:t>
      </w:r>
      <w:r w:rsidRPr="00BE6807">
        <w:rPr>
          <w:b/>
          <w:noProof/>
        </w:rPr>
        <w:t>conflict</w:t>
      </w:r>
      <w:r w:rsidR="00786978">
        <w:rPr>
          <w:b/>
          <w:noProof/>
        </w:rPr>
        <w:t>s</w:t>
      </w:r>
      <w:r w:rsidRPr="00BE6807">
        <w:rPr>
          <w:b/>
          <w:noProof/>
        </w:rPr>
        <w:t xml:space="preserve"> of interest</w:t>
      </w:r>
      <w:r w:rsidRPr="00AB3920">
        <w:rPr>
          <w:noProof/>
        </w:rPr>
        <w:t xml:space="preserve"> </w:t>
      </w:r>
      <w:r w:rsidR="00786978" w:rsidRPr="00AB3920">
        <w:rPr>
          <w:noProof/>
        </w:rPr>
        <w:t>w</w:t>
      </w:r>
      <w:r w:rsidR="00786978">
        <w:rPr>
          <w:noProof/>
        </w:rPr>
        <w:t>ere</w:t>
      </w:r>
      <w:r w:rsidR="00786978" w:rsidRPr="00AB3920">
        <w:rPr>
          <w:noProof/>
        </w:rPr>
        <w:t xml:space="preserve"> </w:t>
      </w:r>
      <w:r w:rsidRPr="00AB3920">
        <w:rPr>
          <w:noProof/>
        </w:rPr>
        <w:t xml:space="preserve">combined with other </w:t>
      </w:r>
      <w:r w:rsidR="00786978">
        <w:rPr>
          <w:noProof/>
        </w:rPr>
        <w:t>irregularities</w:t>
      </w:r>
      <w:r>
        <w:rPr>
          <w:noProof/>
        </w:rPr>
        <w:t xml:space="preserve">, in relation </w:t>
      </w:r>
      <w:r w:rsidRPr="00AB3920">
        <w:rPr>
          <w:noProof/>
        </w:rPr>
        <w:t xml:space="preserve">to the </w:t>
      </w:r>
      <w:r w:rsidRPr="00BE6807">
        <w:rPr>
          <w:b/>
          <w:noProof/>
        </w:rPr>
        <w:t>market measure ‘Promotion’</w:t>
      </w:r>
      <w:r w:rsidRPr="00AB3920">
        <w:rPr>
          <w:noProof/>
        </w:rPr>
        <w:t xml:space="preserve">. The </w:t>
      </w:r>
      <w:r w:rsidRPr="00BE6807">
        <w:rPr>
          <w:b/>
          <w:noProof/>
        </w:rPr>
        <w:t>creation of artificial conditions</w:t>
      </w:r>
      <w:r w:rsidRPr="00AB3920">
        <w:rPr>
          <w:noProof/>
        </w:rPr>
        <w:t xml:space="preserve"> for the purpose of receiving financial support is a potential risk. </w:t>
      </w:r>
    </w:p>
    <w:p w14:paraId="3C27A946" w14:textId="3BAEE812" w:rsidR="00D11191" w:rsidRPr="00D11191" w:rsidRDefault="00D11191" w:rsidP="00D11191">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For </w:t>
      </w:r>
      <w:r>
        <w:rPr>
          <w:b/>
          <w:noProof/>
        </w:rPr>
        <w:t>rural development</w:t>
      </w:r>
      <w:r>
        <w:rPr>
          <w:noProof/>
        </w:rPr>
        <w:t xml:space="preserve">, </w:t>
      </w:r>
      <w:r w:rsidRPr="00F426F1">
        <w:rPr>
          <w:noProof/>
        </w:rPr>
        <w:t xml:space="preserve">fraudsters mainly used the practice of </w:t>
      </w:r>
      <w:r w:rsidRPr="00BE6807">
        <w:rPr>
          <w:b/>
          <w:noProof/>
        </w:rPr>
        <w:t>falsifying documents</w:t>
      </w:r>
      <w:r w:rsidRPr="00F426F1">
        <w:rPr>
          <w:noProof/>
        </w:rPr>
        <w:t xml:space="preserve">. </w:t>
      </w:r>
      <w:r w:rsidR="00786978">
        <w:rPr>
          <w:noProof/>
        </w:rPr>
        <w:t>T</w:t>
      </w:r>
      <w:r w:rsidRPr="00F426F1">
        <w:rPr>
          <w:noProof/>
        </w:rPr>
        <w:t xml:space="preserve">his may involve falsifying invoices, </w:t>
      </w:r>
      <w:r w:rsidR="00786978" w:rsidRPr="00F426F1">
        <w:rPr>
          <w:noProof/>
        </w:rPr>
        <w:t>declar</w:t>
      </w:r>
      <w:r w:rsidR="00786978">
        <w:rPr>
          <w:noProof/>
        </w:rPr>
        <w:t>ing</w:t>
      </w:r>
      <w:r w:rsidR="00786978" w:rsidRPr="00F426F1">
        <w:rPr>
          <w:noProof/>
        </w:rPr>
        <w:t xml:space="preserve"> </w:t>
      </w:r>
      <w:r w:rsidR="00786978">
        <w:rPr>
          <w:noProof/>
        </w:rPr>
        <w:t>second-hand</w:t>
      </w:r>
      <w:r w:rsidRPr="00F426F1">
        <w:rPr>
          <w:noProof/>
        </w:rPr>
        <w:t xml:space="preserve"> equipment as new, </w:t>
      </w:r>
      <w:r w:rsidR="00786978">
        <w:rPr>
          <w:noProof/>
        </w:rPr>
        <w:t xml:space="preserve">tinkering with </w:t>
      </w:r>
      <w:r w:rsidRPr="00F426F1">
        <w:rPr>
          <w:noProof/>
        </w:rPr>
        <w:t xml:space="preserve">bids in procurement procedures, or </w:t>
      </w:r>
      <w:r w:rsidR="00786978">
        <w:rPr>
          <w:noProof/>
        </w:rPr>
        <w:t xml:space="preserve">providing </w:t>
      </w:r>
      <w:r w:rsidRPr="00F426F1">
        <w:rPr>
          <w:noProof/>
        </w:rPr>
        <w:t xml:space="preserve">false information on compliance with the conditions for receiving aid. A significant number of fraudulent irregularities concerned </w:t>
      </w:r>
      <w:r w:rsidRPr="00BE6807">
        <w:rPr>
          <w:b/>
          <w:noProof/>
        </w:rPr>
        <w:t>failure to fully implement the action</w:t>
      </w:r>
      <w:r w:rsidRPr="00F426F1">
        <w:rPr>
          <w:noProof/>
        </w:rPr>
        <w:t xml:space="preserve">. The </w:t>
      </w:r>
      <w:r w:rsidRPr="00BE6807">
        <w:rPr>
          <w:b/>
          <w:noProof/>
        </w:rPr>
        <w:t>creation of artificial conditions</w:t>
      </w:r>
      <w:r w:rsidRPr="00F426F1">
        <w:rPr>
          <w:noProof/>
        </w:rPr>
        <w:t xml:space="preserve"> is </w:t>
      </w:r>
      <w:r w:rsidR="00786978">
        <w:rPr>
          <w:noProof/>
        </w:rPr>
        <w:t xml:space="preserve">also </w:t>
      </w:r>
      <w:r w:rsidRPr="00F426F1">
        <w:rPr>
          <w:noProof/>
        </w:rPr>
        <w:t>a potential risk for rural development funding.</w:t>
      </w:r>
      <w:r w:rsidR="00221EE2">
        <w:rPr>
          <w:noProof/>
        </w:rPr>
        <w:t xml:space="preserve"> </w:t>
      </w:r>
      <w:r w:rsidR="00221EE2" w:rsidRPr="00AB3920">
        <w:rPr>
          <w:noProof/>
        </w:rPr>
        <w:t>For example, beneficiaries may artificially split agricultural holdings and request aid via several linked companies</w:t>
      </w:r>
      <w:r w:rsidR="00221EE2">
        <w:rPr>
          <w:noProof/>
        </w:rPr>
        <w:t xml:space="preserve"> to avoid ceilings on support.</w:t>
      </w:r>
    </w:p>
    <w:p w14:paraId="5895C063" w14:textId="03629415" w:rsidR="00D10B75" w:rsidRDefault="006F14E7" w:rsidP="00D10B75">
      <w:pPr>
        <w:rPr>
          <w:noProof/>
        </w:rPr>
      </w:pPr>
      <w:r>
        <w:rPr>
          <w:noProof/>
        </w:rPr>
        <mc:AlternateContent>
          <mc:Choice Requires="wpg">
            <w:drawing>
              <wp:anchor distT="45720" distB="45720" distL="182880" distR="182880" simplePos="0" relativeHeight="251658240" behindDoc="0" locked="0" layoutInCell="1" allowOverlap="0" wp14:anchorId="627653C5" wp14:editId="760A47A7">
                <wp:simplePos x="0" y="0"/>
                <wp:positionH relativeFrom="margin">
                  <wp:posOffset>1905</wp:posOffset>
                </wp:positionH>
                <wp:positionV relativeFrom="paragraph">
                  <wp:posOffset>96520</wp:posOffset>
                </wp:positionV>
                <wp:extent cx="3009900" cy="2194560"/>
                <wp:effectExtent l="0" t="0" r="19050" b="15240"/>
                <wp:wrapSquare wrapText="bothSides"/>
                <wp:docPr id="13" name="Group 13"/>
                <wp:cNvGraphicFramePr/>
                <a:graphic xmlns:a="http://schemas.openxmlformats.org/drawingml/2006/main">
                  <a:graphicData uri="http://schemas.microsoft.com/office/word/2010/wordprocessingGroup">
                    <wpg:wgp>
                      <wpg:cNvGrpSpPr/>
                      <wpg:grpSpPr>
                        <a:xfrm>
                          <a:off x="0" y="0"/>
                          <a:ext cx="3009900" cy="2194560"/>
                          <a:chOff x="0" y="0"/>
                          <a:chExt cx="3567448" cy="1296632"/>
                        </a:xfrm>
                      </wpg:grpSpPr>
                      <wps:wsp>
                        <wps:cNvPr id="14" name="Rectangle 13"/>
                        <wps:cNvSpPr/>
                        <wps:spPr>
                          <a:xfrm>
                            <a:off x="0" y="0"/>
                            <a:ext cx="3567448" cy="33766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C3D18" w14:textId="77777777" w:rsidR="00DA41DB" w:rsidRPr="002F6819" w:rsidRDefault="00DA41DB" w:rsidP="002369AB">
                              <w:pPr>
                                <w:jc w:val="center"/>
                                <w:rPr>
                                  <w:rFonts w:eastAsiaTheme="majorEastAsia"/>
                                  <w:b/>
                                  <w:color w:val="FFFFFF" w:themeColor="background1"/>
                                  <w:szCs w:val="28"/>
                                </w:rPr>
                              </w:pPr>
                              <w:r>
                                <w:rPr>
                                  <w:rFonts w:eastAsiaTheme="majorEastAsia"/>
                                  <w:b/>
                                  <w:color w:val="FFFFFF" w:themeColor="background1"/>
                                  <w:szCs w:val="28"/>
                                </w:rPr>
                                <w:t>Cohesion policy: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6" name="Text Box 14"/>
                        <wps:cNvSpPr txBox="1"/>
                        <wps:spPr>
                          <a:xfrm>
                            <a:off x="0" y="326409"/>
                            <a:ext cx="3567448" cy="970223"/>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2AB2E4A" w14:textId="77777777" w:rsidR="00DA41DB" w:rsidRPr="002F6819" w:rsidRDefault="00DA41DB" w:rsidP="002369AB">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3C1BABD1" w14:textId="77777777" w:rsidR="00DA41DB" w:rsidRPr="00E723FD" w:rsidRDefault="00DA41DB" w:rsidP="002369AB">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+186</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0C9B5017" w14:textId="77777777" w:rsidR="00DA41DB" w:rsidRPr="00E723FD" w:rsidRDefault="00DA41DB" w:rsidP="002369AB">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w:t>
                              </w:r>
                              <w:r w:rsidRPr="0085097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27653C5" id="Group 13" o:spid="_x0000_s1032" style="position:absolute;left:0;text-align:left;margin-left:.15pt;margin-top:7.6pt;width:237pt;height:172.8pt;z-index:251658240;mso-wrap-distance-left:14.4pt;mso-wrap-distance-top:3.6pt;mso-wrap-distance-right:14.4pt;mso-wrap-distance-bottom:3.6pt;mso-position-horizontal-relative:margin;mso-width-relative:margin;mso-height-relative:margin" coordsize="35674,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" o:allowoverlap="f">
                <v:rect id="Rectangle 13" o:spid="_x0000_s1033" style="position:absolute;width:35674;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" fillcolor="#5b9bd5 [3204]" strokecolor="#44546a [3215]" strokeweight="1pt">
                  <v:textbox>
                    <w:txbxContent>
                      <w:p w14:paraId="57BC3D18" w14:textId="77777777" w:rsidR="00DA41DB" w:rsidRPr="002F6819" w:rsidRDefault="00DA41DB" w:rsidP="002369AB">
                        <w:pPr>
                          <w:jc w:val="center"/>
                          <w:rPr>
                            <w:rFonts w:eastAsiaTheme="majorEastAsia"/>
                            <w:b/>
                            <w:color w:val="FFFFFF" w:themeColor="background1"/>
                            <w:szCs w:val="28"/>
                          </w:rPr>
                        </w:pPr>
                        <w:r>
                          <w:rPr>
                            <w:rFonts w:eastAsiaTheme="majorEastAsia"/>
                            <w:b/>
                            <w:color w:val="FFFFFF" w:themeColor="background1"/>
                            <w:szCs w:val="28"/>
                          </w:rPr>
                          <w:t>Cohesion policy: v</w:t>
                        </w:r>
                        <w:r w:rsidRPr="002F6819">
                          <w:rPr>
                            <w:rFonts w:eastAsiaTheme="majorEastAsia"/>
                            <w:b/>
                            <w:color w:val="FFFFFF" w:themeColor="background1"/>
                            <w:szCs w:val="28"/>
                          </w:rPr>
                          <w:t>ariation</w:t>
                        </w:r>
                        <w:r>
                          <w:rPr>
                            <w:rFonts w:eastAsiaTheme="majorEastAsia"/>
                            <w:b/>
                            <w:color w:val="FFFFFF" w:themeColor="background1"/>
                            <w:szCs w:val="28"/>
                          </w:rPr>
                          <w:t xml:space="preserve"> 2021</w:t>
                        </w:r>
                        <w:r w:rsidRPr="002F6819">
                          <w:rPr>
                            <w:rFonts w:eastAsiaTheme="majorEastAsia"/>
                            <w:b/>
                            <w:color w:val="FFFFFF" w:themeColor="background1"/>
                            <w:szCs w:val="28"/>
                          </w:rPr>
                          <w:t xml:space="preserve"> </w:t>
                        </w:r>
                        <w:r>
                          <w:rPr>
                            <w:rFonts w:eastAsiaTheme="majorEastAsia"/>
                            <w:b/>
                            <w:color w:val="FFFFFF" w:themeColor="background1"/>
                            <w:szCs w:val="28"/>
                          </w:rPr>
                          <w:t xml:space="preserve">data </w:t>
                        </w:r>
                        <w:r w:rsidRPr="002F6819">
                          <w:rPr>
                            <w:rFonts w:eastAsiaTheme="majorEastAsia"/>
                            <w:b/>
                            <w:color w:val="FFFFFF" w:themeColor="background1"/>
                            <w:szCs w:val="28"/>
                          </w:rPr>
                          <w:t xml:space="preserve">compared to </w:t>
                        </w:r>
                        <w:r>
                          <w:rPr>
                            <w:rFonts w:eastAsiaTheme="majorEastAsia"/>
                            <w:b/>
                            <w:color w:val="FFFFFF" w:themeColor="background1"/>
                            <w:szCs w:val="28"/>
                          </w:rPr>
                          <w:t xml:space="preserve">the </w:t>
                        </w:r>
                        <w:r w:rsidRPr="002F6819">
                          <w:rPr>
                            <w:rFonts w:eastAsiaTheme="majorEastAsia"/>
                            <w:b/>
                            <w:color w:val="FFFFFF" w:themeColor="background1"/>
                            <w:szCs w:val="28"/>
                          </w:rPr>
                          <w:t>five-year average</w:t>
                        </w:r>
                        <w:r>
                          <w:rPr>
                            <w:rFonts w:eastAsiaTheme="majorEastAsia"/>
                            <w:b/>
                            <w:color w:val="FFFFFF" w:themeColor="background1"/>
                            <w:szCs w:val="28"/>
                          </w:rPr>
                          <w:t xml:space="preserve"> 2017-2021</w:t>
                        </w:r>
                      </w:p>
                    </w:txbxContent>
                  </v:textbox>
                </v:rect>
                <v:shape id="Text Box 14" o:spid="_x0000_s1034" type="#_x0000_t202" style="position:absolute;top:3264;width:35674;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" filled="f" strokecolor="#44546a [3215]" strokeweight=".5pt">
                  <v:textbox inset=",7.2pt,,0">
                    <w:txbxContent>
                      <w:p w14:paraId="42AB2E4A" w14:textId="77777777" w:rsidR="00DA41DB" w:rsidRPr="002F6819" w:rsidRDefault="00DA41DB" w:rsidP="002369AB">
                        <w:pPr>
                          <w:spacing w:after="0"/>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23FD">
                          <w:rPr>
                            <w:color w:val="000000" w:themeColor="text1"/>
                            <w:sz w:val="18"/>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6819">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fraudulent and non-fraudulent irregularities</w:t>
                        </w:r>
                      </w:p>
                      <w:p w14:paraId="3C1BABD1" w14:textId="77777777" w:rsidR="00DA41DB" w:rsidRPr="00E723FD" w:rsidRDefault="00DA41DB" w:rsidP="002369AB">
                        <w:pPr>
                          <w:spacing w:after="0"/>
                          <w:jc w:val="left"/>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+186</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amounts linked to fraudulent irregularities</w:t>
                        </w:r>
                      </w:p>
                      <w:p w14:paraId="0C9B5017" w14:textId="77777777" w:rsidR="00DA41DB" w:rsidRPr="00E723FD" w:rsidRDefault="00DA41DB" w:rsidP="002369AB">
                        <w:pPr>
                          <w:spacing w:after="0"/>
                          <w:rPr>
                            <w:color w:val="000000" w:themeColor="text1"/>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E723FD">
                          <w:rPr>
                            <w:b/>
                            <w:color w:val="44546A" w:themeColor="text2"/>
                            <w:sz w:val="32"/>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723FD">
                          <w:rPr>
                            <w:color w:val="000000" w:themeColor="text1"/>
                            <w:sz w:val="20"/>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amou</w:t>
                        </w:r>
                        <w:r w:rsidRPr="0085097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nts linked to </w:t>
                        </w:r>
                        <w:r w:rsidRPr="006A650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non-fraudulent irregularities</w:t>
                        </w:r>
                      </w:p>
                    </w:txbxContent>
                  </v:textbox>
                </v:shape>
                <w10:wrap type="square" anchorx="margin"/>
              </v:group>
            </w:pict>
          </mc:Fallback>
        </mc:AlternateContent>
      </w:r>
      <w:r w:rsidR="00D10B75">
        <w:rPr>
          <w:b/>
          <w:noProof/>
        </w:rPr>
        <w:t>European Structural and Investment Funds</w:t>
      </w:r>
      <w:r w:rsidR="00AD49F0">
        <w:rPr>
          <w:b/>
          <w:noProof/>
        </w:rPr>
        <w:t xml:space="preserve"> (ESIF)</w:t>
      </w:r>
      <w:r w:rsidR="00F6664B">
        <w:rPr>
          <w:rStyle w:val="FootnoteReference"/>
          <w:b/>
          <w:noProof/>
        </w:rPr>
        <w:footnoteReference w:id="98"/>
      </w:r>
      <w:r w:rsidR="00D11191">
        <w:rPr>
          <w:b/>
          <w:noProof/>
        </w:rPr>
        <w:t xml:space="preserve"> </w:t>
      </w:r>
      <w:r w:rsidR="00D11191">
        <w:rPr>
          <w:noProof/>
        </w:rPr>
        <w:t xml:space="preserve">– </w:t>
      </w:r>
      <w:r w:rsidR="00282D64" w:rsidRPr="00A9111B">
        <w:rPr>
          <w:noProof/>
        </w:rPr>
        <w:t xml:space="preserve">Between 2017 and 2021, the number of fraudulent and non-fraudulent irregularities related to the </w:t>
      </w:r>
      <w:r w:rsidR="00282D64" w:rsidRPr="00A9111B">
        <w:rPr>
          <w:b/>
          <w:noProof/>
        </w:rPr>
        <w:t>2007-2013</w:t>
      </w:r>
      <w:r w:rsidR="00282D64" w:rsidRPr="00A9111B">
        <w:rPr>
          <w:noProof/>
        </w:rPr>
        <w:t xml:space="preserve"> </w:t>
      </w:r>
      <w:r w:rsidR="00AD49F0" w:rsidRPr="00A9111B">
        <w:rPr>
          <w:b/>
          <w:noProof/>
        </w:rPr>
        <w:t xml:space="preserve">programming period </w:t>
      </w:r>
      <w:r w:rsidR="00282D64" w:rsidRPr="00A9111B">
        <w:rPr>
          <w:noProof/>
        </w:rPr>
        <w:t xml:space="preserve">decreased for the ESIF. The number of irregularities reported for the </w:t>
      </w:r>
      <w:r w:rsidR="00AD49F0" w:rsidRPr="00A9111B">
        <w:rPr>
          <w:b/>
          <w:noProof/>
        </w:rPr>
        <w:t>2014-2020</w:t>
      </w:r>
      <w:r w:rsidR="00AD49F0" w:rsidRPr="00A9111B">
        <w:rPr>
          <w:noProof/>
        </w:rPr>
        <w:t xml:space="preserve"> </w:t>
      </w:r>
      <w:r w:rsidR="00282D64" w:rsidRPr="00A9111B">
        <w:rPr>
          <w:b/>
          <w:noProof/>
        </w:rPr>
        <w:t xml:space="preserve">programming period </w:t>
      </w:r>
      <w:r w:rsidR="00282D64" w:rsidRPr="00A9111B">
        <w:rPr>
          <w:noProof/>
        </w:rPr>
        <w:t>increased. These dynamics are in line with known trends and patterns in the detection and reporting of irregularities and are linked to the implementation cycle of multiannual programmes.</w:t>
      </w:r>
    </w:p>
    <w:p w14:paraId="04028DA1" w14:textId="4191C3FB" w:rsidR="00282D64" w:rsidRPr="00D11191" w:rsidRDefault="00282D64" w:rsidP="00D10B75">
      <w:pPr>
        <w:rPr>
          <w:noProof/>
        </w:rPr>
      </w:pPr>
      <w:r w:rsidRPr="00A9111B">
        <w:rPr>
          <w:noProof/>
          <w:szCs w:val="24"/>
        </w:rPr>
        <w:t xml:space="preserve">The number of irregularities reported as fraudulent for the </w:t>
      </w:r>
      <w:r w:rsidR="009366F8" w:rsidRPr="00A9111B">
        <w:rPr>
          <w:noProof/>
          <w:szCs w:val="24"/>
        </w:rPr>
        <w:t xml:space="preserve">2014-2020 </w:t>
      </w:r>
      <w:r w:rsidRPr="00A9111B">
        <w:rPr>
          <w:noProof/>
          <w:szCs w:val="24"/>
        </w:rPr>
        <w:t xml:space="preserve">programming period were in line with those detected for the </w:t>
      </w:r>
      <w:r w:rsidR="009366F8" w:rsidRPr="00A9111B">
        <w:rPr>
          <w:noProof/>
          <w:szCs w:val="24"/>
        </w:rPr>
        <w:t xml:space="preserve">2007-2013 </w:t>
      </w:r>
      <w:r w:rsidRPr="00A9111B">
        <w:rPr>
          <w:noProof/>
          <w:szCs w:val="24"/>
        </w:rPr>
        <w:t>programming period after the same number of years from the start of the period</w:t>
      </w:r>
      <w:r w:rsidR="002B1B19">
        <w:rPr>
          <w:noProof/>
          <w:szCs w:val="24"/>
        </w:rPr>
        <w:t xml:space="preserve">; </w:t>
      </w:r>
      <w:r w:rsidR="009366F8">
        <w:rPr>
          <w:noProof/>
          <w:szCs w:val="24"/>
        </w:rPr>
        <w:t xml:space="preserve">at about </w:t>
      </w:r>
      <w:r w:rsidR="002B1B19">
        <w:rPr>
          <w:noProof/>
          <w:szCs w:val="24"/>
        </w:rPr>
        <w:t>1%</w:t>
      </w:r>
      <w:r w:rsidR="009366F8">
        <w:rPr>
          <w:noProof/>
          <w:szCs w:val="24"/>
        </w:rPr>
        <w:t xml:space="preserve">, the FDR was </w:t>
      </w:r>
      <w:r w:rsidR="002B1B19">
        <w:rPr>
          <w:noProof/>
          <w:szCs w:val="24"/>
        </w:rPr>
        <w:t xml:space="preserve">higher than </w:t>
      </w:r>
      <w:r w:rsidR="009366F8">
        <w:rPr>
          <w:noProof/>
          <w:szCs w:val="24"/>
        </w:rPr>
        <w:t xml:space="preserve">for </w:t>
      </w:r>
      <w:r w:rsidR="002B1B19">
        <w:rPr>
          <w:noProof/>
          <w:szCs w:val="24"/>
        </w:rPr>
        <w:t>the 2007-2013</w:t>
      </w:r>
      <w:r w:rsidR="009366F8">
        <w:rPr>
          <w:noProof/>
          <w:szCs w:val="24"/>
        </w:rPr>
        <w:t xml:space="preserve"> period</w:t>
      </w:r>
      <w:r w:rsidR="002B1B19">
        <w:rPr>
          <w:rStyle w:val="FootnoteReference"/>
          <w:noProof/>
          <w:szCs w:val="24"/>
        </w:rPr>
        <w:footnoteReference w:id="99"/>
      </w:r>
      <w:r w:rsidRPr="00A9111B">
        <w:rPr>
          <w:noProof/>
          <w:szCs w:val="24"/>
        </w:rPr>
        <w:t xml:space="preserve">. This is not the case for non-fradulent irregularities. For them, </w:t>
      </w:r>
      <w:r w:rsidRPr="00505DEA">
        <w:rPr>
          <w:b/>
          <w:noProof/>
          <w:szCs w:val="24"/>
        </w:rPr>
        <w:t xml:space="preserve">the </w:t>
      </w:r>
      <w:r w:rsidRPr="00A9111B">
        <w:rPr>
          <w:b/>
          <w:noProof/>
          <w:szCs w:val="24"/>
        </w:rPr>
        <w:t xml:space="preserve">fall in the number and financial amounts reported after </w:t>
      </w:r>
      <w:r w:rsidR="00671AE7">
        <w:rPr>
          <w:b/>
          <w:noProof/>
          <w:szCs w:val="24"/>
        </w:rPr>
        <w:t>eight</w:t>
      </w:r>
      <w:r w:rsidR="009366F8">
        <w:rPr>
          <w:b/>
          <w:noProof/>
          <w:szCs w:val="24"/>
        </w:rPr>
        <w:t xml:space="preserve"> </w:t>
      </w:r>
      <w:r w:rsidRPr="00A9111B">
        <w:rPr>
          <w:b/>
          <w:noProof/>
          <w:szCs w:val="24"/>
        </w:rPr>
        <w:t>years</w:t>
      </w:r>
      <w:r w:rsidRPr="00A9111B">
        <w:rPr>
          <w:noProof/>
          <w:szCs w:val="24"/>
        </w:rPr>
        <w:t xml:space="preserve"> from the start of the programming period is striking</w:t>
      </w:r>
      <w:r>
        <w:rPr>
          <w:noProof/>
          <w:szCs w:val="24"/>
        </w:rPr>
        <w:t xml:space="preserve"> (see </w:t>
      </w:r>
      <w:r w:rsidRPr="00671AE7">
        <w:rPr>
          <w:b/>
          <w:noProof/>
          <w:szCs w:val="24"/>
        </w:rPr>
        <w:t xml:space="preserve">Snapshot </w:t>
      </w:r>
      <w:r w:rsidR="003849B5" w:rsidRPr="00671AE7">
        <w:rPr>
          <w:b/>
          <w:noProof/>
          <w:szCs w:val="24"/>
        </w:rPr>
        <w:t>1</w:t>
      </w:r>
      <w:r w:rsidR="00671AE7">
        <w:rPr>
          <w:b/>
          <w:noProof/>
          <w:szCs w:val="24"/>
        </w:rPr>
        <w:t>7</w:t>
      </w:r>
      <w:r w:rsidR="003849B5">
        <w:rPr>
          <w:noProof/>
          <w:szCs w:val="24"/>
        </w:rPr>
        <w:t xml:space="preserve"> </w:t>
      </w:r>
      <w:r>
        <w:rPr>
          <w:noProof/>
          <w:szCs w:val="24"/>
        </w:rPr>
        <w:t xml:space="preserve">for an analysis of the reasons behind </w:t>
      </w:r>
      <w:r w:rsidR="009366F8">
        <w:rPr>
          <w:noProof/>
          <w:szCs w:val="24"/>
        </w:rPr>
        <w:t>the decrease</w:t>
      </w:r>
      <w:r>
        <w:rPr>
          <w:noProof/>
          <w:szCs w:val="24"/>
        </w:rPr>
        <w:t>)</w:t>
      </w:r>
      <w:r w:rsidRPr="00A9111B">
        <w:rPr>
          <w:noProof/>
          <w:szCs w:val="24"/>
        </w:rPr>
        <w:t>.</w:t>
      </w:r>
    </w:p>
    <w:p w14:paraId="71001009" w14:textId="30107824" w:rsidR="002303B4" w:rsidRDefault="002303B4" w:rsidP="001E18A9">
      <w:pPr>
        <w:pStyle w:val="Caption"/>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86" w:name="_Toc105777780"/>
      <w:bookmarkStart w:id="87" w:name="_Toc110444024"/>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16</w:t>
      </w:r>
      <w:r w:rsidR="00EA0D7C">
        <w:rPr>
          <w:noProof/>
        </w:rPr>
        <w:fldChar w:fldCharType="end"/>
      </w:r>
      <w:r>
        <w:rPr>
          <w:noProof/>
        </w:rPr>
        <w:t xml:space="preserve"> – Reasons for the decline of non-fraudulent irregularities</w:t>
      </w:r>
      <w:bookmarkEnd w:id="86"/>
      <w:bookmarkEnd w:id="87"/>
      <w:r w:rsidR="00797CA2">
        <w:rPr>
          <w:noProof/>
        </w:rPr>
        <w:t xml:space="preserve"> in cohesion</w:t>
      </w:r>
    </w:p>
    <w:p w14:paraId="2A740C1A" w14:textId="1A0BE007" w:rsidR="002303B4"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A9111B">
        <w:rPr>
          <w:noProof/>
        </w:rPr>
        <w:t xml:space="preserve">With general reference to the cohesion and fisheries policies, </w:t>
      </w:r>
      <w:r w:rsidR="003849B5" w:rsidRPr="00505DEA">
        <w:rPr>
          <w:b/>
          <w:noProof/>
        </w:rPr>
        <w:t>OLAF carried out</w:t>
      </w:r>
      <w:r w:rsidR="003849B5">
        <w:rPr>
          <w:noProof/>
        </w:rPr>
        <w:t xml:space="preserve"> </w:t>
      </w:r>
      <w:r w:rsidRPr="00A9111B">
        <w:rPr>
          <w:b/>
          <w:noProof/>
        </w:rPr>
        <w:t>a specific analysis</w:t>
      </w:r>
      <w:r w:rsidRPr="00A9111B">
        <w:rPr>
          <w:noProof/>
        </w:rPr>
        <w:t>, based on the non-fraudulent irregularities reported by the Member States, until 2020 included.</w:t>
      </w:r>
      <w:r w:rsidRPr="00A9111B">
        <w:rPr>
          <w:b/>
          <w:noProof/>
        </w:rPr>
        <w:t xml:space="preserve"> </w:t>
      </w:r>
      <w:r w:rsidRPr="00A9111B">
        <w:rPr>
          <w:noProof/>
        </w:rPr>
        <w:t>This</w:t>
      </w:r>
      <w:r w:rsidRPr="00A9111B">
        <w:rPr>
          <w:b/>
          <w:noProof/>
        </w:rPr>
        <w:t xml:space="preserve"> </w:t>
      </w:r>
      <w:r w:rsidRPr="00A9111B">
        <w:rPr>
          <w:noProof/>
        </w:rPr>
        <w:t xml:space="preserve">analysis identifies a number of potential explanations that may </w:t>
      </w:r>
      <w:r w:rsidR="009366F8">
        <w:rPr>
          <w:noProof/>
        </w:rPr>
        <w:t>in great measure explain this big decrease</w:t>
      </w:r>
      <w:r w:rsidRPr="00A9111B">
        <w:rPr>
          <w:noProof/>
        </w:rPr>
        <w:t>.</w:t>
      </w:r>
    </w:p>
    <w:p w14:paraId="41010B66" w14:textId="53E872D6" w:rsidR="001E18A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1E18A9">
        <w:rPr>
          <w:b/>
          <w:noProof/>
        </w:rPr>
        <w:t>Delays in the implementation</w:t>
      </w:r>
      <w:r w:rsidRPr="001E18A9">
        <w:rPr>
          <w:noProof/>
        </w:rPr>
        <w:t xml:space="preserve"> of the relevant operational programmes may explain part of the current gap.</w:t>
      </w:r>
      <w:r>
        <w:rPr>
          <w:noProof/>
        </w:rPr>
        <w:t xml:space="preserve"> Another p</w:t>
      </w:r>
      <w:r w:rsidRPr="001E18A9">
        <w:rPr>
          <w:noProof/>
        </w:rPr>
        <w:t xml:space="preserve">art of the decrease in non-fraudulent irregularities may be explained by a possible </w:t>
      </w:r>
      <w:r w:rsidRPr="00DC1244">
        <w:rPr>
          <w:b/>
          <w:noProof/>
        </w:rPr>
        <w:t>change in the reporting practices</w:t>
      </w:r>
      <w:r w:rsidRPr="001E18A9">
        <w:rPr>
          <w:noProof/>
        </w:rPr>
        <w:t xml:space="preserve"> of some authorities for irregularities </w:t>
      </w:r>
      <w:r w:rsidR="009366F8">
        <w:rPr>
          <w:noProof/>
        </w:rPr>
        <w:t xml:space="preserve">involving </w:t>
      </w:r>
      <w:r w:rsidRPr="001E18A9">
        <w:rPr>
          <w:noProof/>
        </w:rPr>
        <w:t>less than EUR 10</w:t>
      </w:r>
      <w:r>
        <w:rPr>
          <w:noProof/>
        </w:rPr>
        <w:t> </w:t>
      </w:r>
      <w:r w:rsidRPr="001E18A9">
        <w:rPr>
          <w:noProof/>
        </w:rPr>
        <w:t>000.</w:t>
      </w:r>
    </w:p>
    <w:p w14:paraId="601F2C9B" w14:textId="2EC67B82" w:rsidR="001E18A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1E18A9">
        <w:rPr>
          <w:noProof/>
        </w:rPr>
        <w:t xml:space="preserve">For </w:t>
      </w:r>
      <w:r w:rsidR="003849B5">
        <w:rPr>
          <w:noProof/>
        </w:rPr>
        <w:t xml:space="preserve">the </w:t>
      </w:r>
      <w:r w:rsidR="009366F8" w:rsidRPr="001E18A9">
        <w:rPr>
          <w:noProof/>
        </w:rPr>
        <w:t>2014-2020</w:t>
      </w:r>
      <w:r w:rsidR="009366F8">
        <w:rPr>
          <w:noProof/>
        </w:rPr>
        <w:t xml:space="preserve"> </w:t>
      </w:r>
      <w:r w:rsidR="003849B5">
        <w:rPr>
          <w:noProof/>
        </w:rPr>
        <w:t>programming period</w:t>
      </w:r>
      <w:r w:rsidRPr="001E18A9">
        <w:rPr>
          <w:noProof/>
        </w:rPr>
        <w:t xml:space="preserve">, the </w:t>
      </w:r>
      <w:r w:rsidRPr="001E18A9">
        <w:rPr>
          <w:b/>
          <w:noProof/>
        </w:rPr>
        <w:t xml:space="preserve">possibility </w:t>
      </w:r>
      <w:r w:rsidR="009366F8">
        <w:rPr>
          <w:b/>
          <w:noProof/>
        </w:rPr>
        <w:t xml:space="preserve">of </w:t>
      </w:r>
      <w:r w:rsidRPr="001E18A9">
        <w:rPr>
          <w:b/>
          <w:noProof/>
        </w:rPr>
        <w:t>us</w:t>
      </w:r>
      <w:r w:rsidR="009366F8">
        <w:rPr>
          <w:b/>
          <w:noProof/>
        </w:rPr>
        <w:t>ing</w:t>
      </w:r>
      <w:r w:rsidRPr="001E18A9">
        <w:rPr>
          <w:b/>
          <w:noProof/>
        </w:rPr>
        <w:t xml:space="preserve"> </w:t>
      </w:r>
      <w:r w:rsidR="009366F8">
        <w:rPr>
          <w:b/>
          <w:noProof/>
        </w:rPr>
        <w:t xml:space="preserve">simplified cost options </w:t>
      </w:r>
      <w:r w:rsidR="003849B5">
        <w:rPr>
          <w:b/>
          <w:noProof/>
        </w:rPr>
        <w:t>(SCO)</w:t>
      </w:r>
      <w:r w:rsidRPr="001E18A9">
        <w:rPr>
          <w:noProof/>
        </w:rPr>
        <w:t xml:space="preserve"> has been extended</w:t>
      </w:r>
      <w:r w:rsidR="009366F8">
        <w:rPr>
          <w:noProof/>
        </w:rPr>
        <w:t>.</w:t>
      </w:r>
      <w:r>
        <w:rPr>
          <w:noProof/>
        </w:rPr>
        <w:t xml:space="preserve"> </w:t>
      </w:r>
      <w:r w:rsidR="009366F8">
        <w:rPr>
          <w:noProof/>
        </w:rPr>
        <w:t>F</w:t>
      </w:r>
      <w:r w:rsidRPr="001E18A9">
        <w:rPr>
          <w:noProof/>
        </w:rPr>
        <w:t>or the E</w:t>
      </w:r>
      <w:r w:rsidR="009366F8">
        <w:rPr>
          <w:noProof/>
        </w:rPr>
        <w:t xml:space="preserve">uropean </w:t>
      </w:r>
      <w:r w:rsidRPr="001E18A9">
        <w:rPr>
          <w:noProof/>
        </w:rPr>
        <w:t>S</w:t>
      </w:r>
      <w:r w:rsidR="009366F8">
        <w:rPr>
          <w:noProof/>
        </w:rPr>
        <w:t xml:space="preserve">ocial </w:t>
      </w:r>
      <w:r w:rsidRPr="001E18A9">
        <w:rPr>
          <w:noProof/>
        </w:rPr>
        <w:t>F</w:t>
      </w:r>
      <w:r w:rsidR="009366F8">
        <w:rPr>
          <w:noProof/>
        </w:rPr>
        <w:t>und</w:t>
      </w:r>
      <w:r w:rsidRPr="001E18A9">
        <w:rPr>
          <w:noProof/>
        </w:rPr>
        <w:t xml:space="preserve"> the increase in the percentage of expenditure covered by SCOs (from 7% to 33%) may be a significant factor contributing to the drop in non-fraudulent irregularities.</w:t>
      </w:r>
    </w:p>
    <w:p w14:paraId="26FF2D5F" w14:textId="5BCA2604" w:rsidR="001E18A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Another </w:t>
      </w:r>
      <w:r w:rsidR="009366F8">
        <w:rPr>
          <w:noProof/>
        </w:rPr>
        <w:t xml:space="preserve">part of the reason </w:t>
      </w:r>
      <w:r>
        <w:rPr>
          <w:noProof/>
        </w:rPr>
        <w:t xml:space="preserve">could be a </w:t>
      </w:r>
      <w:r w:rsidRPr="001E18A9">
        <w:rPr>
          <w:b/>
          <w:noProof/>
        </w:rPr>
        <w:t>delayed adaptation to the change in a derogation</w:t>
      </w:r>
      <w:r w:rsidRPr="001E18A9">
        <w:rPr>
          <w:noProof/>
        </w:rPr>
        <w:t xml:space="preserve"> </w:t>
      </w:r>
      <w:r w:rsidR="009366F8">
        <w:rPr>
          <w:noProof/>
        </w:rPr>
        <w:t xml:space="preserve">from </w:t>
      </w:r>
      <w:r w:rsidRPr="001E18A9">
        <w:rPr>
          <w:noProof/>
        </w:rPr>
        <w:t>reporting non-fraudulent irregularities</w:t>
      </w:r>
      <w:r w:rsidR="003849B5">
        <w:rPr>
          <w:noProof/>
        </w:rPr>
        <w:t xml:space="preserve">, which </w:t>
      </w:r>
      <w:r w:rsidR="009366F8">
        <w:rPr>
          <w:noProof/>
        </w:rPr>
        <w:t xml:space="preserve">occurred </w:t>
      </w:r>
      <w:r>
        <w:rPr>
          <w:noProof/>
        </w:rPr>
        <w:t xml:space="preserve">in 2009 and </w:t>
      </w:r>
      <w:r w:rsidR="003849B5">
        <w:rPr>
          <w:noProof/>
        </w:rPr>
        <w:t xml:space="preserve">affected </w:t>
      </w:r>
      <w:r>
        <w:rPr>
          <w:noProof/>
        </w:rPr>
        <w:t>reporting during the 2007-2013</w:t>
      </w:r>
      <w:r w:rsidR="009366F8">
        <w:rPr>
          <w:noProof/>
        </w:rPr>
        <w:t xml:space="preserve"> period</w:t>
      </w:r>
      <w:r>
        <w:rPr>
          <w:noProof/>
        </w:rPr>
        <w:t>.</w:t>
      </w:r>
    </w:p>
    <w:p w14:paraId="267C610B" w14:textId="7AB53B9C" w:rsidR="001E18A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The </w:t>
      </w:r>
      <w:r w:rsidRPr="001E18A9">
        <w:rPr>
          <w:b/>
          <w:noProof/>
        </w:rPr>
        <w:t>introduction of annual accounts and the exclusion of ongoing assessments</w:t>
      </w:r>
      <w:r>
        <w:rPr>
          <w:b/>
          <w:noProof/>
        </w:rPr>
        <w:t xml:space="preserve"> </w:t>
      </w:r>
      <w:r>
        <w:rPr>
          <w:noProof/>
        </w:rPr>
        <w:t xml:space="preserve">could have also contributed to such </w:t>
      </w:r>
      <w:r w:rsidR="003849B5">
        <w:rPr>
          <w:noProof/>
        </w:rPr>
        <w:t xml:space="preserve">a </w:t>
      </w:r>
      <w:r>
        <w:rPr>
          <w:noProof/>
        </w:rPr>
        <w:t xml:space="preserve">decrease. </w:t>
      </w:r>
      <w:r w:rsidRPr="001E18A9">
        <w:rPr>
          <w:noProof/>
        </w:rPr>
        <w:t xml:space="preserve">As from </w:t>
      </w:r>
      <w:r w:rsidR="003849B5">
        <w:rPr>
          <w:noProof/>
        </w:rPr>
        <w:t xml:space="preserve">the </w:t>
      </w:r>
      <w:r w:rsidR="001B1DBF" w:rsidRPr="001E18A9">
        <w:rPr>
          <w:noProof/>
        </w:rPr>
        <w:t>2014-2020</w:t>
      </w:r>
      <w:r w:rsidR="001B1DBF">
        <w:rPr>
          <w:noProof/>
        </w:rPr>
        <w:t xml:space="preserve"> </w:t>
      </w:r>
      <w:r w:rsidR="003849B5">
        <w:rPr>
          <w:noProof/>
        </w:rPr>
        <w:t>programming period</w:t>
      </w:r>
      <w:r w:rsidRPr="001E18A9">
        <w:rPr>
          <w:noProof/>
        </w:rPr>
        <w:t xml:space="preserve">, the Member States can exclude from the annual accounts expenditure </w:t>
      </w:r>
      <w:r w:rsidR="001B1DBF">
        <w:rPr>
          <w:noProof/>
        </w:rPr>
        <w:t xml:space="preserve">from which </w:t>
      </w:r>
      <w:r w:rsidRPr="001E18A9">
        <w:rPr>
          <w:noProof/>
        </w:rPr>
        <w:t xml:space="preserve">there is an ongoing assessment </w:t>
      </w:r>
      <w:r w:rsidR="001B1DBF">
        <w:rPr>
          <w:noProof/>
        </w:rPr>
        <w:t xml:space="preserve">of </w:t>
      </w:r>
      <w:r w:rsidRPr="001E18A9">
        <w:rPr>
          <w:noProof/>
        </w:rPr>
        <w:t xml:space="preserve">legality and regularity. Through this exclusion, the Member States avoid a reduction in the contribution from a given </w:t>
      </w:r>
      <w:r w:rsidR="003849B5">
        <w:rPr>
          <w:noProof/>
        </w:rPr>
        <w:t>f</w:t>
      </w:r>
      <w:r w:rsidRPr="001E18A9">
        <w:rPr>
          <w:noProof/>
        </w:rPr>
        <w:t xml:space="preserve">und, even </w:t>
      </w:r>
      <w:r w:rsidR="001B1DBF">
        <w:rPr>
          <w:noProof/>
        </w:rPr>
        <w:t xml:space="preserve">if there are </w:t>
      </w:r>
      <w:r w:rsidRPr="001E18A9">
        <w:rPr>
          <w:noProof/>
        </w:rPr>
        <w:t>irregularities. The Member States are using this possibility.</w:t>
      </w:r>
    </w:p>
    <w:p w14:paraId="0CA39A12" w14:textId="213F0611" w:rsidR="001E18A9" w:rsidRPr="00DB5336"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DC1244">
        <w:rPr>
          <w:noProof/>
        </w:rPr>
        <w:t>Under certain</w:t>
      </w:r>
      <w:r w:rsidR="00DB5336" w:rsidRPr="00DC1244">
        <w:rPr>
          <w:noProof/>
        </w:rPr>
        <w:t xml:space="preserve"> </w:t>
      </w:r>
      <w:r w:rsidR="001B1DBF" w:rsidRPr="00DC1244">
        <w:rPr>
          <w:noProof/>
        </w:rPr>
        <w:t>conditions</w:t>
      </w:r>
      <w:r w:rsidRPr="00DC1244">
        <w:rPr>
          <w:noProof/>
        </w:rPr>
        <w:t>, after seven years of implementation (end 2020), the combined effect of the</w:t>
      </w:r>
      <w:r w:rsidR="001B1DBF" w:rsidRPr="00DC1244">
        <w:rPr>
          <w:noProof/>
        </w:rPr>
        <w:t>se reasons</w:t>
      </w:r>
      <w:r w:rsidRPr="00DC1244">
        <w:rPr>
          <w:noProof/>
        </w:rPr>
        <w:t xml:space="preserve"> would </w:t>
      </w:r>
      <w:r w:rsidR="001B1DBF" w:rsidRPr="00DC1244">
        <w:rPr>
          <w:noProof/>
        </w:rPr>
        <w:t>roughly account for</w:t>
      </w:r>
      <w:r w:rsidRPr="00DC1244">
        <w:rPr>
          <w:noProof/>
        </w:rPr>
        <w:t xml:space="preserve"> about two thirds of the EU-wide </w:t>
      </w:r>
      <w:r w:rsidR="001B1DBF" w:rsidRPr="00DC1244">
        <w:rPr>
          <w:noProof/>
        </w:rPr>
        <w:t xml:space="preserve">decrease </w:t>
      </w:r>
      <w:r w:rsidRPr="00DC1244">
        <w:rPr>
          <w:noProof/>
        </w:rPr>
        <w:t xml:space="preserve">in </w:t>
      </w:r>
      <w:r w:rsidR="001B1DBF" w:rsidRPr="00DC1244">
        <w:rPr>
          <w:noProof/>
        </w:rPr>
        <w:t xml:space="preserve">the </w:t>
      </w:r>
      <w:r w:rsidRPr="00DC1244">
        <w:rPr>
          <w:noProof/>
        </w:rPr>
        <w:t xml:space="preserve">reporting of non-fraudulent irregularities. </w:t>
      </w:r>
    </w:p>
    <w:p w14:paraId="7B5A6B6B" w14:textId="0AA782CD" w:rsidR="001E18A9" w:rsidRDefault="001E18A9" w:rsidP="001E18A9">
      <w:pPr>
        <w:pBdr>
          <w:top w:val="single" w:sz="4" w:space="1" w:color="auto"/>
          <w:left w:val="single" w:sz="4" w:space="4" w:color="auto"/>
          <w:bottom w:val="single" w:sz="4" w:space="1" w:color="auto"/>
          <w:right w:val="single" w:sz="4" w:space="4" w:color="auto"/>
        </w:pBdr>
        <w:shd w:val="clear" w:color="auto" w:fill="D9E2F3" w:themeFill="accent5" w:themeFillTint="33"/>
        <w:rPr>
          <w:b/>
          <w:noProof/>
        </w:rPr>
      </w:pPr>
      <w:r w:rsidRPr="00A9111B">
        <w:rPr>
          <w:b/>
          <w:noProof/>
        </w:rPr>
        <w:t xml:space="preserve">The </w:t>
      </w:r>
      <w:r w:rsidR="001B1DBF">
        <w:rPr>
          <w:b/>
          <w:noProof/>
        </w:rPr>
        <w:t xml:space="preserve">effect </w:t>
      </w:r>
      <w:r w:rsidRPr="00A9111B">
        <w:rPr>
          <w:b/>
          <w:noProof/>
        </w:rPr>
        <w:t xml:space="preserve">of increased administrative capacity </w:t>
      </w:r>
      <w:r w:rsidR="001B1DBF">
        <w:rPr>
          <w:b/>
          <w:noProof/>
        </w:rPr>
        <w:t>is something else to consider</w:t>
      </w:r>
      <w:r w:rsidRPr="00A9111B">
        <w:rPr>
          <w:b/>
          <w:noProof/>
        </w:rPr>
        <w:t xml:space="preserve">. </w:t>
      </w:r>
      <w:r w:rsidRPr="00A9111B">
        <w:rPr>
          <w:noProof/>
        </w:rPr>
        <w:t>There are no indicators to gauge the increase in the capability of the implementing bodies and of the beneficiaries</w:t>
      </w:r>
      <w:r w:rsidR="00E42FFF">
        <w:rPr>
          <w:noProof/>
        </w:rPr>
        <w:t>,</w:t>
      </w:r>
      <w:r w:rsidRPr="00A9111B">
        <w:rPr>
          <w:noProof/>
        </w:rPr>
        <w:t xml:space="preserve"> </w:t>
      </w:r>
      <w:r w:rsidR="001B1DBF">
        <w:rPr>
          <w:noProof/>
        </w:rPr>
        <w:t xml:space="preserve">or </w:t>
      </w:r>
      <w:r w:rsidRPr="00A9111B">
        <w:rPr>
          <w:noProof/>
        </w:rPr>
        <w:t xml:space="preserve">the impact this could have had in terms of </w:t>
      </w:r>
      <w:r w:rsidR="001B1DBF">
        <w:rPr>
          <w:noProof/>
        </w:rPr>
        <w:t xml:space="preserve">the </w:t>
      </w:r>
      <w:r w:rsidRPr="00A9111B">
        <w:rPr>
          <w:noProof/>
        </w:rPr>
        <w:t xml:space="preserve">decrease </w:t>
      </w:r>
      <w:r w:rsidR="001B1DBF">
        <w:rPr>
          <w:noProof/>
        </w:rPr>
        <w:t xml:space="preserve">in </w:t>
      </w:r>
      <w:r w:rsidRPr="00A9111B">
        <w:rPr>
          <w:noProof/>
        </w:rPr>
        <w:t>unintentional irregularities.</w:t>
      </w:r>
      <w:r>
        <w:rPr>
          <w:noProof/>
        </w:rPr>
        <w:t xml:space="preserve"> However, some contributing factors would </w:t>
      </w:r>
      <w:r w:rsidR="001B1DBF">
        <w:rPr>
          <w:noProof/>
        </w:rPr>
        <w:t xml:space="preserve">suggest </w:t>
      </w:r>
      <w:r>
        <w:rPr>
          <w:noProof/>
        </w:rPr>
        <w:t xml:space="preserve">such </w:t>
      </w:r>
      <w:r w:rsidR="00E23197">
        <w:rPr>
          <w:noProof/>
        </w:rPr>
        <w:t>positive developments</w:t>
      </w:r>
      <w:r>
        <w:rPr>
          <w:noProof/>
        </w:rPr>
        <w:t>, such as</w:t>
      </w:r>
      <w:r w:rsidR="00E23197">
        <w:rPr>
          <w:noProof/>
        </w:rPr>
        <w:t>: a)</w:t>
      </w:r>
      <w:r>
        <w:rPr>
          <w:noProof/>
        </w:rPr>
        <w:t xml:space="preserve"> </w:t>
      </w:r>
      <w:r w:rsidR="00E23197">
        <w:rPr>
          <w:b/>
          <w:noProof/>
        </w:rPr>
        <w:t>effective</w:t>
      </w:r>
      <w:r>
        <w:rPr>
          <w:b/>
          <w:noProof/>
        </w:rPr>
        <w:t xml:space="preserve"> </w:t>
      </w:r>
      <w:r w:rsidR="00E23197">
        <w:rPr>
          <w:b/>
          <w:noProof/>
        </w:rPr>
        <w:t>and proportionate anti-fraud measures</w:t>
      </w:r>
      <w:r w:rsidR="00E23197">
        <w:rPr>
          <w:noProof/>
        </w:rPr>
        <w:t xml:space="preserve"> adopted at operational programme level, which may have led to </w:t>
      </w:r>
      <w:r w:rsidR="001B1DBF">
        <w:rPr>
          <w:noProof/>
        </w:rPr>
        <w:t xml:space="preserve">the </w:t>
      </w:r>
      <w:r w:rsidR="00E23197">
        <w:rPr>
          <w:noProof/>
        </w:rPr>
        <w:t xml:space="preserve">earlier detection and prevention of irregularities (fraudulent and non-fraudulent); b) the </w:t>
      </w:r>
      <w:r w:rsidR="00E23197">
        <w:rPr>
          <w:b/>
          <w:noProof/>
        </w:rPr>
        <w:t xml:space="preserve">improved quality and experience of relevant authorities </w:t>
      </w:r>
      <w:r w:rsidR="00E23197">
        <w:rPr>
          <w:noProof/>
        </w:rPr>
        <w:t xml:space="preserve">(in particular in certain Member States), </w:t>
      </w:r>
      <w:r w:rsidR="00E23197">
        <w:rPr>
          <w:b/>
          <w:noProof/>
        </w:rPr>
        <w:t>including beneficiaries;</w:t>
      </w:r>
      <w:r w:rsidR="00E23197">
        <w:rPr>
          <w:noProof/>
        </w:rPr>
        <w:t xml:space="preserve"> and c) </w:t>
      </w:r>
      <w:r w:rsidR="00E23197">
        <w:rPr>
          <w:b/>
          <w:noProof/>
        </w:rPr>
        <w:t xml:space="preserve">greater involvement of civil society through the integrity pacts </w:t>
      </w:r>
      <w:r w:rsidR="00E23197">
        <w:rPr>
          <w:noProof/>
        </w:rPr>
        <w:t xml:space="preserve">(see </w:t>
      </w:r>
      <w:r w:rsidR="00E16B96">
        <w:rPr>
          <w:b/>
          <w:noProof/>
        </w:rPr>
        <w:t xml:space="preserve">Snapshot </w:t>
      </w:r>
      <w:r w:rsidR="00E42FFF">
        <w:rPr>
          <w:b/>
          <w:noProof/>
        </w:rPr>
        <w:t>18</w:t>
      </w:r>
      <w:r w:rsidR="00E23197">
        <w:rPr>
          <w:noProof/>
        </w:rPr>
        <w:t>)</w:t>
      </w:r>
      <w:r w:rsidR="00E23197">
        <w:rPr>
          <w:b/>
          <w:noProof/>
        </w:rPr>
        <w:t>.</w:t>
      </w:r>
    </w:p>
    <w:p w14:paraId="56D7E1A1" w14:textId="6E71A265" w:rsidR="00E23197" w:rsidRPr="00E23197" w:rsidRDefault="00E23197" w:rsidP="001E18A9">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65201D">
        <w:rPr>
          <w:noProof/>
        </w:rPr>
        <w:t xml:space="preserve">On the </w:t>
      </w:r>
      <w:r w:rsidR="00E16B96">
        <w:rPr>
          <w:noProof/>
        </w:rPr>
        <w:t xml:space="preserve">flip </w:t>
      </w:r>
      <w:r w:rsidRPr="0065201D">
        <w:rPr>
          <w:noProof/>
        </w:rPr>
        <w:t xml:space="preserve">side, </w:t>
      </w:r>
      <w:r w:rsidRPr="0065201D">
        <w:rPr>
          <w:b/>
          <w:noProof/>
        </w:rPr>
        <w:t xml:space="preserve">the COVID-19 outbreak could have </w:t>
      </w:r>
      <w:r w:rsidR="00E16B96">
        <w:rPr>
          <w:b/>
          <w:noProof/>
        </w:rPr>
        <w:t xml:space="preserve">put </w:t>
      </w:r>
      <w:r w:rsidRPr="0065201D">
        <w:rPr>
          <w:b/>
          <w:noProof/>
        </w:rPr>
        <w:t xml:space="preserve">additional </w:t>
      </w:r>
      <w:r w:rsidR="00E16B96">
        <w:rPr>
          <w:b/>
          <w:noProof/>
        </w:rPr>
        <w:t xml:space="preserve">strain </w:t>
      </w:r>
      <w:r w:rsidRPr="0065201D">
        <w:rPr>
          <w:b/>
          <w:noProof/>
        </w:rPr>
        <w:t xml:space="preserve">on the administrative capacity of </w:t>
      </w:r>
      <w:r w:rsidR="00E16B96">
        <w:rPr>
          <w:b/>
          <w:noProof/>
        </w:rPr>
        <w:t xml:space="preserve">those involved in </w:t>
      </w:r>
      <w:r w:rsidRPr="0065201D">
        <w:rPr>
          <w:b/>
          <w:noProof/>
        </w:rPr>
        <w:t>management and control systems</w:t>
      </w:r>
      <w:r w:rsidRPr="0065201D">
        <w:rPr>
          <w:noProof/>
        </w:rPr>
        <w:t>. This could contribute to the detection of more irregularities in the years to come.</w:t>
      </w:r>
    </w:p>
    <w:p w14:paraId="32F7BDC6" w14:textId="4C6B1469" w:rsidR="00822DA8" w:rsidRPr="0065201D" w:rsidRDefault="00822DA8" w:rsidP="00822DA8">
      <w:pPr>
        <w:rPr>
          <w:noProof/>
        </w:rPr>
      </w:pPr>
      <w:r w:rsidRPr="0065201D">
        <w:rPr>
          <w:b/>
          <w:noProof/>
        </w:rPr>
        <w:t>Risks</w:t>
      </w:r>
      <w:r w:rsidRPr="0065201D">
        <w:rPr>
          <w:noProof/>
        </w:rPr>
        <w:t xml:space="preserve"> of irregularities seem to be higher in the areas of cohesion policy related to </w:t>
      </w:r>
      <w:r w:rsidRPr="0065201D">
        <w:rPr>
          <w:b/>
          <w:noProof/>
        </w:rPr>
        <w:t>transport</w:t>
      </w:r>
      <w:r w:rsidRPr="0065201D">
        <w:rPr>
          <w:noProof/>
        </w:rPr>
        <w:t xml:space="preserve">, </w:t>
      </w:r>
      <w:r w:rsidRPr="0065201D">
        <w:rPr>
          <w:b/>
          <w:noProof/>
        </w:rPr>
        <w:t>environment protection</w:t>
      </w:r>
      <w:r w:rsidRPr="0065201D">
        <w:rPr>
          <w:noProof/>
        </w:rPr>
        <w:t>, research, technological development and innovation (</w:t>
      </w:r>
      <w:r w:rsidRPr="0065201D">
        <w:rPr>
          <w:b/>
          <w:noProof/>
        </w:rPr>
        <w:t>RTD&amp;I</w:t>
      </w:r>
      <w:r w:rsidRPr="0065201D">
        <w:rPr>
          <w:noProof/>
        </w:rPr>
        <w:t xml:space="preserve">), </w:t>
      </w:r>
      <w:r w:rsidRPr="0065201D">
        <w:rPr>
          <w:b/>
          <w:noProof/>
        </w:rPr>
        <w:t>social inclusion</w:t>
      </w:r>
      <w:r w:rsidRPr="0065201D">
        <w:rPr>
          <w:noProof/>
        </w:rPr>
        <w:t xml:space="preserve"> and </w:t>
      </w:r>
      <w:r w:rsidR="00E16B96">
        <w:rPr>
          <w:noProof/>
        </w:rPr>
        <w:t xml:space="preserve">the </w:t>
      </w:r>
      <w:r w:rsidRPr="0065201D">
        <w:rPr>
          <w:noProof/>
        </w:rPr>
        <w:t xml:space="preserve">promotion of </w:t>
      </w:r>
      <w:r w:rsidRPr="0065201D">
        <w:rPr>
          <w:b/>
          <w:noProof/>
        </w:rPr>
        <w:t>employment</w:t>
      </w:r>
      <w:r w:rsidRPr="0065201D">
        <w:rPr>
          <w:noProof/>
        </w:rPr>
        <w:t xml:space="preserve"> and </w:t>
      </w:r>
      <w:r w:rsidRPr="00505DEA">
        <w:rPr>
          <w:b/>
          <w:noProof/>
        </w:rPr>
        <w:t>labour mobility</w:t>
      </w:r>
      <w:r w:rsidRPr="0065201D">
        <w:rPr>
          <w:noProof/>
        </w:rPr>
        <w:t>.</w:t>
      </w:r>
    </w:p>
    <w:p w14:paraId="65381810" w14:textId="1E36BB57" w:rsidR="00822DA8" w:rsidRPr="0065201D" w:rsidRDefault="00822DA8" w:rsidP="00671AE7">
      <w:pPr>
        <w:rPr>
          <w:noProof/>
          <w:szCs w:val="24"/>
        </w:rPr>
      </w:pPr>
      <w:r w:rsidRPr="0065201D">
        <w:rPr>
          <w:noProof/>
        </w:rPr>
        <w:t xml:space="preserve">Analysis points to risks related to the </w:t>
      </w:r>
      <w:r w:rsidRPr="0065201D">
        <w:rPr>
          <w:b/>
          <w:noProof/>
        </w:rPr>
        <w:t>green transition</w:t>
      </w:r>
      <w:r w:rsidRPr="0065201D">
        <w:rPr>
          <w:noProof/>
        </w:rPr>
        <w:t>, including for investments in energy efficiency</w:t>
      </w:r>
      <w:r w:rsidRPr="0065201D">
        <w:rPr>
          <w:noProof/>
          <w:szCs w:val="24"/>
        </w:rPr>
        <w:t xml:space="preserve">, the provision of drinking water, waste management, renewable energy (solar) and risk prevention. </w:t>
      </w:r>
      <w:r w:rsidR="00E16B96" w:rsidRPr="00671AE7">
        <w:rPr>
          <w:b/>
          <w:noProof/>
          <w:szCs w:val="24"/>
        </w:rPr>
        <w:t>D</w:t>
      </w:r>
      <w:r w:rsidRPr="0065201D">
        <w:rPr>
          <w:b/>
          <w:noProof/>
          <w:szCs w:val="24"/>
        </w:rPr>
        <w:t>igital transition</w:t>
      </w:r>
      <w:r w:rsidRPr="0065201D">
        <w:rPr>
          <w:noProof/>
          <w:szCs w:val="24"/>
        </w:rPr>
        <w:t xml:space="preserve"> </w:t>
      </w:r>
      <w:r w:rsidR="00E16B96">
        <w:rPr>
          <w:noProof/>
          <w:szCs w:val="24"/>
        </w:rPr>
        <w:t xml:space="preserve">risks </w:t>
      </w:r>
      <w:r w:rsidRPr="0065201D">
        <w:rPr>
          <w:noProof/>
          <w:szCs w:val="24"/>
        </w:rPr>
        <w:t xml:space="preserve">seem to </w:t>
      </w:r>
      <w:r w:rsidR="002A4350">
        <w:rPr>
          <w:noProof/>
          <w:szCs w:val="24"/>
        </w:rPr>
        <w:t>be more prominent in</w:t>
      </w:r>
      <w:r w:rsidRPr="0065201D">
        <w:rPr>
          <w:noProof/>
          <w:szCs w:val="24"/>
        </w:rPr>
        <w:t xml:space="preserve"> services and applications for </w:t>
      </w:r>
      <w:r w:rsidR="00E16B96">
        <w:rPr>
          <w:noProof/>
          <w:szCs w:val="24"/>
        </w:rPr>
        <w:t>small and medium sized enterprises (</w:t>
      </w:r>
      <w:r w:rsidRPr="0065201D">
        <w:rPr>
          <w:noProof/>
          <w:szCs w:val="24"/>
        </w:rPr>
        <w:t>SMEs</w:t>
      </w:r>
      <w:r w:rsidR="00E16B96">
        <w:rPr>
          <w:noProof/>
          <w:szCs w:val="24"/>
        </w:rPr>
        <w:t>)</w:t>
      </w:r>
      <w:r w:rsidRPr="0065201D">
        <w:rPr>
          <w:noProof/>
          <w:szCs w:val="24"/>
        </w:rPr>
        <w:t xml:space="preserve">, in terms of </w:t>
      </w:r>
      <w:r w:rsidR="00E16B96">
        <w:rPr>
          <w:noProof/>
          <w:szCs w:val="24"/>
        </w:rPr>
        <w:t xml:space="preserve">the </w:t>
      </w:r>
      <w:r w:rsidRPr="0065201D">
        <w:rPr>
          <w:noProof/>
          <w:szCs w:val="24"/>
        </w:rPr>
        <w:t>number of irregularities</w:t>
      </w:r>
      <w:r w:rsidR="00E42FFF">
        <w:rPr>
          <w:noProof/>
          <w:szCs w:val="24"/>
        </w:rPr>
        <w:t>,</w:t>
      </w:r>
      <w:r w:rsidRPr="0065201D">
        <w:rPr>
          <w:noProof/>
          <w:szCs w:val="24"/>
        </w:rPr>
        <w:t xml:space="preserve"> and services and applications for e-</w:t>
      </w:r>
      <w:r w:rsidR="00E16B96">
        <w:rPr>
          <w:noProof/>
          <w:szCs w:val="24"/>
        </w:rPr>
        <w:t>g</w:t>
      </w:r>
      <w:r w:rsidR="00E16B96" w:rsidRPr="0065201D">
        <w:rPr>
          <w:noProof/>
          <w:szCs w:val="24"/>
        </w:rPr>
        <w:t>overnment</w:t>
      </w:r>
      <w:r w:rsidRPr="0065201D">
        <w:rPr>
          <w:noProof/>
          <w:szCs w:val="24"/>
        </w:rPr>
        <w:t xml:space="preserve">, in terms of </w:t>
      </w:r>
      <w:r w:rsidR="00E16B96">
        <w:rPr>
          <w:noProof/>
          <w:szCs w:val="24"/>
        </w:rPr>
        <w:t xml:space="preserve">the </w:t>
      </w:r>
      <w:r w:rsidRPr="0065201D">
        <w:rPr>
          <w:noProof/>
          <w:szCs w:val="24"/>
        </w:rPr>
        <w:t xml:space="preserve">financial amounts involved. Irregularities were </w:t>
      </w:r>
      <w:r w:rsidR="00E16B96">
        <w:rPr>
          <w:noProof/>
          <w:szCs w:val="24"/>
        </w:rPr>
        <w:t xml:space="preserve">also </w:t>
      </w:r>
      <w:r w:rsidRPr="0065201D">
        <w:rPr>
          <w:noProof/>
          <w:szCs w:val="24"/>
        </w:rPr>
        <w:t>reported in relation to investments in infrastructure for the digital transition.</w:t>
      </w:r>
    </w:p>
    <w:p w14:paraId="3400146D" w14:textId="61BAD8D7" w:rsidR="00822DA8" w:rsidRPr="0065201D" w:rsidRDefault="00E16B96" w:rsidP="00822DA8">
      <w:pPr>
        <w:pStyle w:val="Text1"/>
        <w:spacing w:after="120"/>
        <w:ind w:left="0"/>
        <w:rPr>
          <w:noProof/>
          <w:sz w:val="22"/>
          <w:szCs w:val="24"/>
        </w:rPr>
      </w:pPr>
      <w:r>
        <w:rPr>
          <w:noProof/>
          <w:sz w:val="22"/>
          <w:szCs w:val="24"/>
        </w:rPr>
        <w:t xml:space="preserve">On </w:t>
      </w:r>
      <w:r w:rsidR="00822DA8" w:rsidRPr="0065201D">
        <w:rPr>
          <w:b/>
          <w:noProof/>
          <w:sz w:val="22"/>
          <w:szCs w:val="24"/>
        </w:rPr>
        <w:t>RTD&amp;I</w:t>
      </w:r>
      <w:r w:rsidR="00822DA8" w:rsidRPr="0065201D">
        <w:rPr>
          <w:noProof/>
          <w:sz w:val="22"/>
          <w:szCs w:val="24"/>
        </w:rPr>
        <w:t xml:space="preserve">, analysis suggests higher risks for investments to provide assistance </w:t>
      </w:r>
      <w:r>
        <w:rPr>
          <w:noProof/>
          <w:sz w:val="22"/>
          <w:szCs w:val="24"/>
        </w:rPr>
        <w:t xml:space="preserve">for </w:t>
      </w:r>
      <w:r w:rsidR="00822DA8" w:rsidRPr="0065201D">
        <w:rPr>
          <w:noProof/>
          <w:sz w:val="22"/>
          <w:szCs w:val="24"/>
        </w:rPr>
        <w:t xml:space="preserve">these activities in </w:t>
      </w:r>
      <w:r>
        <w:rPr>
          <w:noProof/>
          <w:sz w:val="22"/>
          <w:szCs w:val="24"/>
        </w:rPr>
        <w:t>companies</w:t>
      </w:r>
      <w:r w:rsidR="00822DA8" w:rsidRPr="0065201D">
        <w:rPr>
          <w:noProof/>
          <w:sz w:val="22"/>
          <w:szCs w:val="24"/>
        </w:rPr>
        <w:t xml:space="preserve">. Measures to stimulate research, innovation and entrepreneuship in SMEs were particularly affected. </w:t>
      </w:r>
    </w:p>
    <w:p w14:paraId="021C61AF" w14:textId="7EA5CE3F" w:rsidR="00E23197" w:rsidRDefault="00822DA8" w:rsidP="00D10B75">
      <w:pPr>
        <w:rPr>
          <w:noProof/>
          <w:szCs w:val="24"/>
        </w:rPr>
      </w:pPr>
      <w:r w:rsidRPr="0065201D">
        <w:rPr>
          <w:noProof/>
          <w:szCs w:val="24"/>
        </w:rPr>
        <w:t xml:space="preserve">Risks are high in relation to investments in </w:t>
      </w:r>
      <w:r w:rsidRPr="0065201D">
        <w:rPr>
          <w:b/>
          <w:noProof/>
          <w:szCs w:val="24"/>
        </w:rPr>
        <w:t>transport infrastructure</w:t>
      </w:r>
      <w:r w:rsidRPr="0065201D">
        <w:rPr>
          <w:noProof/>
          <w:szCs w:val="24"/>
        </w:rPr>
        <w:t xml:space="preserve">, because of the frequency of irregularities in generic road projects, which </w:t>
      </w:r>
      <w:r w:rsidR="00E16B96">
        <w:rPr>
          <w:noProof/>
          <w:szCs w:val="24"/>
        </w:rPr>
        <w:t xml:space="preserve">affect </w:t>
      </w:r>
      <w:r w:rsidRPr="0065201D">
        <w:rPr>
          <w:noProof/>
          <w:szCs w:val="24"/>
        </w:rPr>
        <w:t>regional and local level</w:t>
      </w:r>
      <w:r w:rsidR="00E16B96">
        <w:rPr>
          <w:noProof/>
          <w:szCs w:val="24"/>
        </w:rPr>
        <w:t>s</w:t>
      </w:r>
      <w:r w:rsidRPr="0065201D">
        <w:rPr>
          <w:noProof/>
          <w:szCs w:val="24"/>
        </w:rPr>
        <w:t xml:space="preserve">, and because of the high financial amounts involved in irregularities concerning railways and </w:t>
      </w:r>
      <w:r w:rsidR="00E16B96">
        <w:rPr>
          <w:noProof/>
          <w:szCs w:val="24"/>
        </w:rPr>
        <w:t>t</w:t>
      </w:r>
      <w:r w:rsidR="00E16B96" w:rsidRPr="0065201D">
        <w:rPr>
          <w:noProof/>
          <w:szCs w:val="24"/>
        </w:rPr>
        <w:t>rans</w:t>
      </w:r>
      <w:r w:rsidRPr="0065201D">
        <w:rPr>
          <w:noProof/>
          <w:szCs w:val="24"/>
        </w:rPr>
        <w:t xml:space="preserve">-European </w:t>
      </w:r>
      <w:r w:rsidR="00E16B96">
        <w:rPr>
          <w:noProof/>
          <w:szCs w:val="24"/>
        </w:rPr>
        <w:t>n</w:t>
      </w:r>
      <w:r w:rsidR="00E16B96" w:rsidRPr="0065201D">
        <w:rPr>
          <w:noProof/>
          <w:szCs w:val="24"/>
        </w:rPr>
        <w:t xml:space="preserve">etwork </w:t>
      </w:r>
      <w:r w:rsidRPr="0065201D">
        <w:rPr>
          <w:noProof/>
          <w:szCs w:val="24"/>
        </w:rPr>
        <w:t xml:space="preserve">(TEN) roads. </w:t>
      </w:r>
      <w:r w:rsidR="00E16B96">
        <w:rPr>
          <w:noProof/>
          <w:szCs w:val="24"/>
        </w:rPr>
        <w:t>I</w:t>
      </w:r>
      <w:r w:rsidRPr="0065201D">
        <w:rPr>
          <w:noProof/>
          <w:szCs w:val="24"/>
        </w:rPr>
        <w:t xml:space="preserve">nvestments in TEN multimodal infrastructure and in electricity networks </w:t>
      </w:r>
      <w:r w:rsidR="00E16B96">
        <w:rPr>
          <w:noProof/>
          <w:szCs w:val="24"/>
        </w:rPr>
        <w:t xml:space="preserve">also </w:t>
      </w:r>
      <w:r w:rsidRPr="0065201D">
        <w:rPr>
          <w:noProof/>
          <w:szCs w:val="24"/>
        </w:rPr>
        <w:t>seem to be risky.</w:t>
      </w:r>
    </w:p>
    <w:p w14:paraId="15DC2003" w14:textId="61453C9B" w:rsidR="00822DA8" w:rsidRDefault="00822DA8" w:rsidP="00D10B75">
      <w:pPr>
        <w:rPr>
          <w:noProof/>
          <w:szCs w:val="24"/>
        </w:rPr>
      </w:pPr>
      <w:r w:rsidRPr="0065201D">
        <w:rPr>
          <w:noProof/>
          <w:szCs w:val="24"/>
        </w:rPr>
        <w:t xml:space="preserve">Risks in relation to </w:t>
      </w:r>
      <w:r w:rsidRPr="0065201D">
        <w:rPr>
          <w:b/>
          <w:noProof/>
          <w:szCs w:val="24"/>
        </w:rPr>
        <w:t>social inclusion</w:t>
      </w:r>
      <w:r w:rsidRPr="0065201D">
        <w:rPr>
          <w:noProof/>
          <w:szCs w:val="24"/>
        </w:rPr>
        <w:t xml:space="preserve">, poverty and discrimination seem to be higher for investments in (i) active inclusion; (ii) health infrastructure; (iii) improved access to healthcare and social services; (iv) social infrastructure and </w:t>
      </w:r>
      <w:r w:rsidR="00E16B96">
        <w:rPr>
          <w:noProof/>
          <w:szCs w:val="24"/>
        </w:rPr>
        <w:t xml:space="preserve">the </w:t>
      </w:r>
      <w:r w:rsidRPr="0065201D">
        <w:rPr>
          <w:noProof/>
          <w:szCs w:val="24"/>
        </w:rPr>
        <w:t>regeneration of rural and urban areas; (v) investments in favour of marginalised communities and (vi) childcare infrastructure.</w:t>
      </w:r>
    </w:p>
    <w:p w14:paraId="38C4D7BA" w14:textId="59716120" w:rsidR="00822DA8" w:rsidRDefault="00822DA8" w:rsidP="00D10B75">
      <w:pPr>
        <w:rPr>
          <w:noProof/>
        </w:rPr>
      </w:pPr>
      <w:r w:rsidRPr="0065201D">
        <w:rPr>
          <w:noProof/>
          <w:szCs w:val="24"/>
        </w:rPr>
        <w:t xml:space="preserve">In relation to the promotion of </w:t>
      </w:r>
      <w:r w:rsidRPr="0065201D">
        <w:rPr>
          <w:b/>
          <w:noProof/>
          <w:szCs w:val="24"/>
        </w:rPr>
        <w:t>employment</w:t>
      </w:r>
      <w:r w:rsidRPr="0065201D">
        <w:rPr>
          <w:noProof/>
          <w:szCs w:val="24"/>
        </w:rPr>
        <w:t xml:space="preserve"> and labour mobility, risks seem to be higher for investments </w:t>
      </w:r>
      <w:r w:rsidR="00E16B96">
        <w:rPr>
          <w:noProof/>
          <w:szCs w:val="24"/>
        </w:rPr>
        <w:t>in</w:t>
      </w:r>
      <w:r w:rsidR="00E16B96" w:rsidRPr="0065201D">
        <w:rPr>
          <w:noProof/>
          <w:szCs w:val="24"/>
        </w:rPr>
        <w:t xml:space="preserve"> </w:t>
      </w:r>
      <w:r w:rsidRPr="0065201D">
        <w:rPr>
          <w:noProof/>
          <w:szCs w:val="24"/>
        </w:rPr>
        <w:t xml:space="preserve">(i) the </w:t>
      </w:r>
      <w:r w:rsidRPr="0065201D">
        <w:rPr>
          <w:noProof/>
        </w:rPr>
        <w:t xml:space="preserve">adaptation to change of workers and enterprises, in particular operations for the design and dissemination of innovative and more productive ways of working; (ii) </w:t>
      </w:r>
      <w:r w:rsidRPr="0065201D">
        <w:rPr>
          <w:noProof/>
          <w:szCs w:val="24"/>
        </w:rPr>
        <w:t xml:space="preserve">access to employment, </w:t>
      </w:r>
      <w:r w:rsidRPr="0065201D">
        <w:rPr>
          <w:noProof/>
        </w:rPr>
        <w:t>in particular operations for job-seekers and inactive people, including the long-term unemployed and people far from the labour market</w:t>
      </w:r>
      <w:r w:rsidR="00E16B96">
        <w:rPr>
          <w:noProof/>
        </w:rPr>
        <w:t>;</w:t>
      </w:r>
      <w:r w:rsidR="00E16B96" w:rsidRPr="0065201D">
        <w:rPr>
          <w:noProof/>
        </w:rPr>
        <w:t xml:space="preserve"> </w:t>
      </w:r>
      <w:r w:rsidRPr="0065201D">
        <w:rPr>
          <w:noProof/>
        </w:rPr>
        <w:t>and (iii) support for self-employment and business start-up.</w:t>
      </w:r>
    </w:p>
    <w:p w14:paraId="7294D3BB" w14:textId="49AB1D9F" w:rsidR="00C77AE2" w:rsidRDefault="00C77AE2"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88" w:name="_Toc110444025"/>
      <w:bookmarkStart w:id="89" w:name="_Toc105777781"/>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17</w:t>
      </w:r>
      <w:r w:rsidR="00EA0D7C">
        <w:rPr>
          <w:noProof/>
        </w:rPr>
        <w:fldChar w:fldCharType="end"/>
      </w:r>
      <w:r>
        <w:rPr>
          <w:noProof/>
        </w:rPr>
        <w:t xml:space="preserve"> – </w:t>
      </w:r>
      <w:r w:rsidR="00797CA2">
        <w:rPr>
          <w:noProof/>
        </w:rPr>
        <w:t>ESIF: t</w:t>
      </w:r>
      <w:r w:rsidR="00E16B96">
        <w:rPr>
          <w:noProof/>
        </w:rPr>
        <w:t xml:space="preserve">ypes </w:t>
      </w:r>
      <w:r>
        <w:rPr>
          <w:noProof/>
        </w:rPr>
        <w:t>of irregularities detected</w:t>
      </w:r>
      <w:bookmarkEnd w:id="88"/>
      <w:r>
        <w:rPr>
          <w:noProof/>
        </w:rPr>
        <w:t xml:space="preserve"> </w:t>
      </w:r>
      <w:bookmarkEnd w:id="89"/>
    </w:p>
    <w:p w14:paraId="528BB2FB" w14:textId="5B6C5CA5" w:rsidR="00C77AE2" w:rsidRDefault="00C77AE2" w:rsidP="00C77AE2">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sidRPr="001604DF">
        <w:rPr>
          <w:noProof/>
        </w:rPr>
        <w:t xml:space="preserve">The most frequent fraudulent </w:t>
      </w:r>
      <w:r w:rsidR="00E16B96">
        <w:rPr>
          <w:noProof/>
        </w:rPr>
        <w:t>irregularities</w:t>
      </w:r>
      <w:r w:rsidR="00E16B96" w:rsidRPr="001604DF">
        <w:rPr>
          <w:noProof/>
        </w:rPr>
        <w:t xml:space="preserve"> </w:t>
      </w:r>
      <w:r w:rsidRPr="001604DF">
        <w:rPr>
          <w:noProof/>
        </w:rPr>
        <w:t xml:space="preserve">were the use of </w:t>
      </w:r>
      <w:r w:rsidRPr="001604DF">
        <w:rPr>
          <w:b/>
          <w:noProof/>
        </w:rPr>
        <w:t>false or falsified documents</w:t>
      </w:r>
      <w:r w:rsidRPr="001604DF">
        <w:rPr>
          <w:noProof/>
        </w:rPr>
        <w:t xml:space="preserve">. High financial amounts were involved where </w:t>
      </w:r>
      <w:r w:rsidR="00E16B96">
        <w:rPr>
          <w:noProof/>
        </w:rPr>
        <w:t xml:space="preserve">there were </w:t>
      </w:r>
      <w:r w:rsidRPr="001604DF">
        <w:rPr>
          <w:noProof/>
        </w:rPr>
        <w:t xml:space="preserve">fraudulent infringements of contract provisions/rules. This type of fraud often consisted </w:t>
      </w:r>
      <w:r w:rsidR="002A173F">
        <w:rPr>
          <w:noProof/>
        </w:rPr>
        <w:t xml:space="preserve">of </w:t>
      </w:r>
      <w:r w:rsidRPr="001604DF">
        <w:rPr>
          <w:b/>
          <w:noProof/>
        </w:rPr>
        <w:t>incomplete or non-implementation of the funded action</w:t>
      </w:r>
      <w:r w:rsidRPr="001604DF">
        <w:rPr>
          <w:noProof/>
        </w:rPr>
        <w:t xml:space="preserve">. Most fraudulent </w:t>
      </w:r>
      <w:r w:rsidR="00E16B96">
        <w:rPr>
          <w:noProof/>
        </w:rPr>
        <w:t xml:space="preserve">irregularities </w:t>
      </w:r>
      <w:r w:rsidRPr="001604DF">
        <w:rPr>
          <w:noProof/>
        </w:rPr>
        <w:t xml:space="preserve">concerning ethics and integrity were about </w:t>
      </w:r>
      <w:r w:rsidRPr="001604DF">
        <w:rPr>
          <w:b/>
          <w:noProof/>
        </w:rPr>
        <w:t>conflict</w:t>
      </w:r>
      <w:r w:rsidR="002A173F">
        <w:rPr>
          <w:b/>
          <w:noProof/>
        </w:rPr>
        <w:t>s</w:t>
      </w:r>
      <w:r w:rsidRPr="001604DF">
        <w:rPr>
          <w:b/>
          <w:noProof/>
        </w:rPr>
        <w:t xml:space="preserve"> of interests</w:t>
      </w:r>
      <w:r w:rsidRPr="001604DF">
        <w:rPr>
          <w:noProof/>
        </w:rPr>
        <w:t xml:space="preserve">. Infringements of </w:t>
      </w:r>
      <w:r w:rsidRPr="001604DF">
        <w:rPr>
          <w:b/>
          <w:noProof/>
        </w:rPr>
        <w:t xml:space="preserve">public procurement </w:t>
      </w:r>
      <w:r w:rsidRPr="001604DF">
        <w:rPr>
          <w:noProof/>
        </w:rPr>
        <w:t xml:space="preserve">rules were the most reported </w:t>
      </w:r>
      <w:r w:rsidR="002A173F">
        <w:rPr>
          <w:noProof/>
        </w:rPr>
        <w:t>of</w:t>
      </w:r>
      <w:r w:rsidR="002A173F" w:rsidRPr="001604DF">
        <w:rPr>
          <w:noProof/>
        </w:rPr>
        <w:t xml:space="preserve"> </w:t>
      </w:r>
      <w:r w:rsidRPr="001604DF">
        <w:rPr>
          <w:noProof/>
        </w:rPr>
        <w:t xml:space="preserve">non-fraudulent </w:t>
      </w:r>
      <w:r w:rsidR="002A173F">
        <w:rPr>
          <w:noProof/>
        </w:rPr>
        <w:t>irregularities</w:t>
      </w:r>
      <w:r w:rsidRPr="001604DF">
        <w:rPr>
          <w:noProof/>
        </w:rPr>
        <w:t xml:space="preserve">, but only in 4% of these cases </w:t>
      </w:r>
      <w:r w:rsidR="002A173F" w:rsidRPr="001604DF">
        <w:rPr>
          <w:noProof/>
        </w:rPr>
        <w:t xml:space="preserve">was </w:t>
      </w:r>
      <w:r w:rsidRPr="001604DF">
        <w:rPr>
          <w:noProof/>
        </w:rPr>
        <w:t>fraud detected.</w:t>
      </w:r>
    </w:p>
    <w:p w14:paraId="545E1F60" w14:textId="77777777" w:rsidR="00C77AE2" w:rsidRDefault="00C77AE2" w:rsidP="00C77AE2">
      <w:pPr>
        <w:rPr>
          <w:noProof/>
          <w:szCs w:val="24"/>
        </w:rPr>
      </w:pPr>
      <w:r w:rsidRPr="001604DF">
        <w:rPr>
          <w:b/>
          <w:noProof/>
        </w:rPr>
        <w:t>Risk analysis</w:t>
      </w:r>
      <w:r w:rsidRPr="001604DF">
        <w:rPr>
          <w:noProof/>
        </w:rPr>
        <w:t xml:space="preserve"> has still a marginal contribution in detecting fraud, while </w:t>
      </w:r>
      <w:r w:rsidRPr="001604DF">
        <w:rPr>
          <w:b/>
          <w:noProof/>
        </w:rPr>
        <w:t>information from civil society</w:t>
      </w:r>
      <w:r w:rsidRPr="001604DF">
        <w:rPr>
          <w:noProof/>
        </w:rPr>
        <w:t xml:space="preserve"> (including information published in the media) has a significant and growing role. This is not the case for non-fraudulent irregularities. </w:t>
      </w:r>
      <w:r w:rsidRPr="001604DF">
        <w:rPr>
          <w:noProof/>
          <w:szCs w:val="24"/>
        </w:rPr>
        <w:t>Detection of fraud and irregularities could improve through ex-post thematic risk analysis projects focusing on groups of past transactions.</w:t>
      </w:r>
    </w:p>
    <w:p w14:paraId="39E677B3" w14:textId="7ECA2560" w:rsidR="00C77AE2" w:rsidRDefault="00C77AE2" w:rsidP="001623A1">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90" w:name="_Toc105777782"/>
      <w:bookmarkStart w:id="91" w:name="_Toc110444026"/>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18</w:t>
      </w:r>
      <w:r w:rsidR="00EA0D7C">
        <w:rPr>
          <w:noProof/>
        </w:rPr>
        <w:fldChar w:fldCharType="end"/>
      </w:r>
      <w:r>
        <w:rPr>
          <w:noProof/>
        </w:rPr>
        <w:t xml:space="preserve"> – Integrity Pacts and cooperation with civil society</w:t>
      </w:r>
      <w:bookmarkEnd w:id="90"/>
      <w:bookmarkEnd w:id="91"/>
    </w:p>
    <w:p w14:paraId="598ACEFD" w14:textId="038401D8" w:rsidR="00C77AE2" w:rsidRPr="00C77AE2" w:rsidRDefault="00C77AE2" w:rsidP="00C77AE2">
      <w:pPr>
        <w:pBdr>
          <w:top w:val="single" w:sz="4" w:space="1" w:color="auto"/>
          <w:left w:val="single" w:sz="4" w:space="4" w:color="auto"/>
          <w:bottom w:val="single" w:sz="4" w:space="1" w:color="auto"/>
          <w:right w:val="single" w:sz="4" w:space="4" w:color="auto"/>
        </w:pBdr>
        <w:shd w:val="clear" w:color="auto" w:fill="D9E2F3" w:themeFill="accent5" w:themeFillTint="33"/>
        <w:rPr>
          <w:noProof/>
          <w:sz w:val="24"/>
          <w:szCs w:val="24"/>
        </w:rPr>
      </w:pPr>
      <w:r w:rsidRPr="00505DEA">
        <w:rPr>
          <w:noProof/>
          <w:szCs w:val="22"/>
        </w:rPr>
        <w:t>Integrity Pacts</w:t>
      </w:r>
      <w:r w:rsidRPr="00E42FFF">
        <w:rPr>
          <w:noProof/>
          <w:szCs w:val="22"/>
        </w:rPr>
        <w:t xml:space="preserve">, </w:t>
      </w:r>
      <w:r w:rsidRPr="00467ABB">
        <w:rPr>
          <w:noProof/>
          <w:szCs w:val="24"/>
        </w:rPr>
        <w:t xml:space="preserve">a civil </w:t>
      </w:r>
      <w:r w:rsidR="000128E2" w:rsidRPr="00467ABB">
        <w:rPr>
          <w:noProof/>
          <w:szCs w:val="24"/>
        </w:rPr>
        <w:t>society</w:t>
      </w:r>
      <w:r w:rsidR="000128E2">
        <w:rPr>
          <w:noProof/>
          <w:szCs w:val="24"/>
        </w:rPr>
        <w:t>-</w:t>
      </w:r>
      <w:r w:rsidRPr="00467ABB">
        <w:rPr>
          <w:noProof/>
          <w:szCs w:val="24"/>
        </w:rPr>
        <w:t xml:space="preserve">supported monitoring tool </w:t>
      </w:r>
      <w:r w:rsidR="000128E2" w:rsidRPr="00467ABB">
        <w:rPr>
          <w:noProof/>
          <w:szCs w:val="24"/>
        </w:rPr>
        <w:t>aim</w:t>
      </w:r>
      <w:r w:rsidR="000128E2">
        <w:rPr>
          <w:noProof/>
          <w:szCs w:val="24"/>
        </w:rPr>
        <w:t>ed</w:t>
      </w:r>
      <w:r w:rsidR="000128E2" w:rsidRPr="00467ABB">
        <w:rPr>
          <w:noProof/>
          <w:szCs w:val="24"/>
        </w:rPr>
        <w:t xml:space="preserve"> </w:t>
      </w:r>
      <w:r w:rsidRPr="00467ABB">
        <w:rPr>
          <w:noProof/>
          <w:szCs w:val="24"/>
        </w:rPr>
        <w:t xml:space="preserve">at increasing transparency, accountability and good governance in public contracting, are promoted in the 2021-2027 programmes under design and assessment. With the conclusion of the 18 pilot projects (in 11 Member States from 2016 to 2021), the Commission encourages Member States to continue implementing Integrity Pacts in targeted projects financed by EU funds </w:t>
      </w:r>
      <w:r w:rsidR="000128E2">
        <w:rPr>
          <w:noProof/>
          <w:szCs w:val="24"/>
        </w:rPr>
        <w:t>by</w:t>
      </w:r>
      <w:r w:rsidR="000128E2" w:rsidRPr="00467ABB">
        <w:rPr>
          <w:noProof/>
          <w:szCs w:val="24"/>
        </w:rPr>
        <w:t xml:space="preserve"> </w:t>
      </w:r>
      <w:r w:rsidRPr="00467ABB">
        <w:rPr>
          <w:noProof/>
          <w:szCs w:val="24"/>
        </w:rPr>
        <w:t>gradually mainstream</w:t>
      </w:r>
      <w:r w:rsidR="000128E2">
        <w:rPr>
          <w:noProof/>
          <w:szCs w:val="24"/>
        </w:rPr>
        <w:t>ing</w:t>
      </w:r>
      <w:r w:rsidRPr="00467ABB">
        <w:rPr>
          <w:noProof/>
          <w:szCs w:val="24"/>
        </w:rPr>
        <w:t xml:space="preserve"> Integrity Pacts in</w:t>
      </w:r>
      <w:r w:rsidR="000128E2">
        <w:rPr>
          <w:noProof/>
          <w:szCs w:val="24"/>
        </w:rPr>
        <w:t>to</w:t>
      </w:r>
      <w:r w:rsidRPr="00467ABB">
        <w:rPr>
          <w:noProof/>
          <w:szCs w:val="24"/>
        </w:rPr>
        <w:t xml:space="preserve"> their programmes, and provides support to Member States in that regard, i.e. with the recently published toolbox</w:t>
      </w:r>
      <w:r w:rsidRPr="00467ABB">
        <w:rPr>
          <w:rStyle w:val="FootnoteReference"/>
          <w:noProof/>
          <w:sz w:val="20"/>
        </w:rPr>
        <w:footnoteReference w:id="100"/>
      </w:r>
      <w:r w:rsidRPr="00467ABB">
        <w:rPr>
          <w:noProof/>
          <w:szCs w:val="24"/>
        </w:rPr>
        <w:t xml:space="preserve">. </w:t>
      </w:r>
    </w:p>
    <w:p w14:paraId="02642C7C" w14:textId="5D129439" w:rsidR="00C77AE2" w:rsidRPr="00C77AE2" w:rsidRDefault="000128E2" w:rsidP="00C77AE2">
      <w:pPr>
        <w:rPr>
          <w:noProof/>
        </w:rPr>
      </w:pPr>
      <w:r>
        <w:rPr>
          <w:noProof/>
        </w:rPr>
        <w:t>A</w:t>
      </w:r>
      <w:r w:rsidR="00C77AE2" w:rsidRPr="001604DF">
        <w:rPr>
          <w:noProof/>
        </w:rPr>
        <w:t xml:space="preserve">bout </w:t>
      </w:r>
      <w:r w:rsidR="00671AE7">
        <w:rPr>
          <w:noProof/>
        </w:rPr>
        <w:t>ten</w:t>
      </w:r>
      <w:r w:rsidR="00C77AE2" w:rsidRPr="001604DF">
        <w:rPr>
          <w:noProof/>
        </w:rPr>
        <w:t xml:space="preserve"> years </w:t>
      </w:r>
      <w:r>
        <w:rPr>
          <w:noProof/>
        </w:rPr>
        <w:t xml:space="preserve">on </w:t>
      </w:r>
      <w:r w:rsidR="00C77AE2" w:rsidRPr="001604DF">
        <w:rPr>
          <w:noProof/>
        </w:rPr>
        <w:t xml:space="preserve">from initial reporting, the </w:t>
      </w:r>
      <w:r>
        <w:rPr>
          <w:noProof/>
        </w:rPr>
        <w:t xml:space="preserve">proportion </w:t>
      </w:r>
      <w:r w:rsidR="00C77AE2" w:rsidRPr="001604DF">
        <w:rPr>
          <w:noProof/>
        </w:rPr>
        <w:t xml:space="preserve">of cases of suspected fraud that have not led to conviction remains very high, while </w:t>
      </w:r>
      <w:r w:rsidR="00C77AE2" w:rsidRPr="001604DF">
        <w:rPr>
          <w:noProof/>
          <w:szCs w:val="24"/>
        </w:rPr>
        <w:t xml:space="preserve">the </w:t>
      </w:r>
      <w:r>
        <w:rPr>
          <w:noProof/>
          <w:szCs w:val="24"/>
        </w:rPr>
        <w:t xml:space="preserve">proportion </w:t>
      </w:r>
      <w:r w:rsidR="00C77AE2" w:rsidRPr="001604DF">
        <w:rPr>
          <w:noProof/>
          <w:szCs w:val="24"/>
        </w:rPr>
        <w:t xml:space="preserve">of cases in which fraud is established is low. </w:t>
      </w:r>
      <w:r w:rsidR="00C77AE2" w:rsidRPr="001604DF">
        <w:rPr>
          <w:noProof/>
        </w:rPr>
        <w:t xml:space="preserve">This may signal </w:t>
      </w:r>
      <w:r w:rsidR="00C77AE2" w:rsidRPr="001604DF">
        <w:rPr>
          <w:noProof/>
          <w:szCs w:val="24"/>
        </w:rPr>
        <w:t xml:space="preserve">the need to invest </w:t>
      </w:r>
      <w:r>
        <w:rPr>
          <w:noProof/>
          <w:szCs w:val="24"/>
        </w:rPr>
        <w:t xml:space="preserve">more </w:t>
      </w:r>
      <w:r w:rsidR="00C77AE2" w:rsidRPr="001604DF">
        <w:rPr>
          <w:noProof/>
          <w:szCs w:val="24"/>
        </w:rPr>
        <w:t xml:space="preserve">in </w:t>
      </w:r>
      <w:r w:rsidRPr="001604DF">
        <w:rPr>
          <w:noProof/>
          <w:szCs w:val="24"/>
        </w:rPr>
        <w:t>investigati</w:t>
      </w:r>
      <w:r>
        <w:rPr>
          <w:noProof/>
          <w:szCs w:val="24"/>
        </w:rPr>
        <w:t xml:space="preserve">ng </w:t>
      </w:r>
      <w:r w:rsidR="00E42FFF">
        <w:rPr>
          <w:noProof/>
          <w:szCs w:val="24"/>
        </w:rPr>
        <w:t xml:space="preserve">and </w:t>
      </w:r>
      <w:r w:rsidRPr="001604DF">
        <w:rPr>
          <w:noProof/>
          <w:szCs w:val="24"/>
        </w:rPr>
        <w:t>prosecuti</w:t>
      </w:r>
      <w:r>
        <w:rPr>
          <w:noProof/>
          <w:szCs w:val="24"/>
        </w:rPr>
        <w:t>ng it</w:t>
      </w:r>
      <w:r w:rsidR="00C77AE2" w:rsidRPr="001604DF">
        <w:rPr>
          <w:noProof/>
          <w:szCs w:val="24"/>
        </w:rPr>
        <w:t>.</w:t>
      </w:r>
    </w:p>
    <w:p w14:paraId="580B2F9E" w14:textId="7083943C" w:rsidR="00D10B75" w:rsidRPr="00C77AE2" w:rsidRDefault="00D10B75" w:rsidP="00D10B75">
      <w:pPr>
        <w:rPr>
          <w:noProof/>
        </w:rPr>
      </w:pPr>
      <w:r w:rsidRPr="00D10B75">
        <w:rPr>
          <w:b/>
          <w:noProof/>
        </w:rPr>
        <w:t>Other shared management funds</w:t>
      </w:r>
      <w:r w:rsidR="00F6664B">
        <w:rPr>
          <w:rStyle w:val="FootnoteReference"/>
          <w:b/>
          <w:noProof/>
        </w:rPr>
        <w:footnoteReference w:id="101"/>
      </w:r>
      <w:r w:rsidR="00C77AE2">
        <w:rPr>
          <w:b/>
          <w:noProof/>
        </w:rPr>
        <w:t xml:space="preserve"> </w:t>
      </w:r>
      <w:r w:rsidR="00C77AE2" w:rsidRPr="00C77AE2">
        <w:rPr>
          <w:noProof/>
        </w:rPr>
        <w:t xml:space="preserve">– Concerning shared management </w:t>
      </w:r>
      <w:r w:rsidR="00E42FFF">
        <w:rPr>
          <w:noProof/>
        </w:rPr>
        <w:t>f</w:t>
      </w:r>
      <w:r w:rsidR="00C77AE2" w:rsidRPr="00C77AE2">
        <w:rPr>
          <w:noProof/>
        </w:rPr>
        <w:t>unds for other internal policies, the F</w:t>
      </w:r>
      <w:r w:rsidR="000128E2">
        <w:rPr>
          <w:noProof/>
        </w:rPr>
        <w:t xml:space="preserve">und for </w:t>
      </w:r>
      <w:r w:rsidR="00C77AE2" w:rsidRPr="00C77AE2">
        <w:rPr>
          <w:noProof/>
        </w:rPr>
        <w:t>E</w:t>
      </w:r>
      <w:r w:rsidR="000128E2">
        <w:rPr>
          <w:noProof/>
        </w:rPr>
        <w:t xml:space="preserve">uropean </w:t>
      </w:r>
      <w:r w:rsidR="00C77AE2" w:rsidRPr="00C77AE2">
        <w:rPr>
          <w:noProof/>
        </w:rPr>
        <w:t>A</w:t>
      </w:r>
      <w:r w:rsidR="000128E2">
        <w:rPr>
          <w:noProof/>
        </w:rPr>
        <w:t xml:space="preserve">id to the most </w:t>
      </w:r>
      <w:r w:rsidR="00C77AE2" w:rsidRPr="00C77AE2">
        <w:rPr>
          <w:noProof/>
        </w:rPr>
        <w:t>D</w:t>
      </w:r>
      <w:r w:rsidR="000128E2">
        <w:rPr>
          <w:noProof/>
        </w:rPr>
        <w:t>eprived (FEAD)</w:t>
      </w:r>
      <w:r w:rsidR="00C77AE2" w:rsidRPr="00C77AE2">
        <w:rPr>
          <w:noProof/>
        </w:rPr>
        <w:t xml:space="preserve"> was the </w:t>
      </w:r>
      <w:r w:rsidR="00E42FFF">
        <w:rPr>
          <w:noProof/>
        </w:rPr>
        <w:t>f</w:t>
      </w:r>
      <w:r w:rsidR="00C77AE2" w:rsidRPr="00C77AE2">
        <w:rPr>
          <w:noProof/>
        </w:rPr>
        <w:t xml:space="preserve">und most affected by fraud. More than 90% of the detections of non-fraudulent irregularities were related to the following </w:t>
      </w:r>
      <w:r w:rsidR="00E42FFF">
        <w:rPr>
          <w:noProof/>
        </w:rPr>
        <w:t>f</w:t>
      </w:r>
      <w:r w:rsidR="00C77AE2" w:rsidRPr="00C77AE2">
        <w:rPr>
          <w:noProof/>
        </w:rPr>
        <w:t>unds: A</w:t>
      </w:r>
      <w:r w:rsidR="000128E2">
        <w:rPr>
          <w:noProof/>
        </w:rPr>
        <w:t xml:space="preserve">sylum, Migration and </w:t>
      </w:r>
      <w:r w:rsidR="00C77AE2" w:rsidRPr="00C77AE2">
        <w:rPr>
          <w:noProof/>
        </w:rPr>
        <w:t>I</w:t>
      </w:r>
      <w:r w:rsidR="000128E2">
        <w:rPr>
          <w:noProof/>
        </w:rPr>
        <w:t xml:space="preserve">ntegration </w:t>
      </w:r>
      <w:r w:rsidR="00C77AE2" w:rsidRPr="00C77AE2">
        <w:rPr>
          <w:noProof/>
        </w:rPr>
        <w:t>F</w:t>
      </w:r>
      <w:r w:rsidR="000128E2">
        <w:rPr>
          <w:noProof/>
        </w:rPr>
        <w:t>und (AMIF)</w:t>
      </w:r>
      <w:r w:rsidR="00C77AE2" w:rsidRPr="00C77AE2">
        <w:rPr>
          <w:noProof/>
        </w:rPr>
        <w:t xml:space="preserve">, the FEAD and the </w:t>
      </w:r>
      <w:r w:rsidR="000128E2">
        <w:rPr>
          <w:noProof/>
        </w:rPr>
        <w:t>Youth Employment Initiative (</w:t>
      </w:r>
      <w:r w:rsidR="00C77AE2" w:rsidRPr="00C77AE2">
        <w:rPr>
          <w:noProof/>
        </w:rPr>
        <w:t>YEI</w:t>
      </w:r>
      <w:r w:rsidR="000128E2">
        <w:rPr>
          <w:noProof/>
        </w:rPr>
        <w:t>)</w:t>
      </w:r>
      <w:r w:rsidR="00C77AE2" w:rsidRPr="00C77AE2">
        <w:rPr>
          <w:noProof/>
        </w:rPr>
        <w:t>.</w:t>
      </w:r>
    </w:p>
    <w:p w14:paraId="402E9E70" w14:textId="77777777" w:rsidR="00FB5CF5" w:rsidRDefault="00D10B75" w:rsidP="00CD7B44">
      <w:pPr>
        <w:pStyle w:val="Heading3"/>
        <w:rPr>
          <w:noProof/>
        </w:rPr>
      </w:pPr>
      <w:bookmarkStart w:id="92" w:name="_Toc110444076"/>
      <w:r>
        <w:rPr>
          <w:noProof/>
        </w:rPr>
        <w:t>Indirect management</w:t>
      </w:r>
      <w:bookmarkEnd w:id="92"/>
    </w:p>
    <w:p w14:paraId="5780F797" w14:textId="43F957DC" w:rsidR="00D10B75" w:rsidRDefault="00D10B75" w:rsidP="00D10B75">
      <w:pPr>
        <w:rPr>
          <w:noProof/>
        </w:rPr>
      </w:pPr>
      <w:r>
        <w:rPr>
          <w:b/>
          <w:noProof/>
        </w:rPr>
        <w:t>Pre-accession</w:t>
      </w:r>
      <w:r w:rsidR="00F6664B">
        <w:rPr>
          <w:rStyle w:val="FootnoteReference"/>
          <w:b/>
          <w:noProof/>
        </w:rPr>
        <w:footnoteReference w:id="102"/>
      </w:r>
      <w:r>
        <w:rPr>
          <w:b/>
          <w:noProof/>
        </w:rPr>
        <w:t xml:space="preserve"> </w:t>
      </w:r>
      <w:r>
        <w:rPr>
          <w:noProof/>
        </w:rPr>
        <w:t xml:space="preserve">– </w:t>
      </w:r>
      <w:r w:rsidR="00322192">
        <w:rPr>
          <w:noProof/>
        </w:rPr>
        <w:t>Irregularities reported in this</w:t>
      </w:r>
      <w:r w:rsidR="00C36A92">
        <w:rPr>
          <w:noProof/>
        </w:rPr>
        <w:t xml:space="preserve"> area </w:t>
      </w:r>
      <w:r w:rsidR="00322192">
        <w:rPr>
          <w:noProof/>
        </w:rPr>
        <w:t xml:space="preserve">in 2021 are declining </w:t>
      </w:r>
      <w:r w:rsidR="000128E2">
        <w:rPr>
          <w:noProof/>
        </w:rPr>
        <w:t xml:space="preserve">compared </w:t>
      </w:r>
      <w:r w:rsidR="00D20E4F">
        <w:rPr>
          <w:noProof/>
        </w:rPr>
        <w:t>to</w:t>
      </w:r>
      <w:r w:rsidR="00322192">
        <w:rPr>
          <w:noProof/>
        </w:rPr>
        <w:t xml:space="preserve"> the five years average (-23% in number and -48% in terms of irregular financial amounts). </w:t>
      </w:r>
      <w:r w:rsidR="00C36A92">
        <w:rPr>
          <w:noProof/>
        </w:rPr>
        <w:t>Over the same period, the highest number of detected irregularities concerned rural development</w:t>
      </w:r>
      <w:r w:rsidR="00221EE2">
        <w:rPr>
          <w:noProof/>
        </w:rPr>
        <w:t xml:space="preserve"> pre-accession assistance (IPARD)</w:t>
      </w:r>
      <w:r w:rsidR="000128E2">
        <w:rPr>
          <w:noProof/>
        </w:rPr>
        <w:t xml:space="preserve"> and </w:t>
      </w:r>
      <w:r w:rsidR="00000C60">
        <w:rPr>
          <w:noProof/>
        </w:rPr>
        <w:t>cross-border cooperation.</w:t>
      </w:r>
    </w:p>
    <w:p w14:paraId="09A751F2" w14:textId="77777777" w:rsidR="00D10B75" w:rsidRDefault="00D10B75" w:rsidP="00CD7B44">
      <w:pPr>
        <w:pStyle w:val="Heading3"/>
        <w:rPr>
          <w:noProof/>
        </w:rPr>
      </w:pPr>
      <w:bookmarkStart w:id="93" w:name="_Toc110444077"/>
      <w:r>
        <w:rPr>
          <w:noProof/>
        </w:rPr>
        <w:t>Direct management</w:t>
      </w:r>
      <w:bookmarkEnd w:id="93"/>
    </w:p>
    <w:p w14:paraId="72FF6E94" w14:textId="4A81DCAA" w:rsidR="00822DA8" w:rsidRPr="00505DEA" w:rsidRDefault="001C50AD" w:rsidP="00822DA8">
      <w:pPr>
        <w:rPr>
          <w:noProof/>
        </w:rPr>
      </w:pPr>
      <w:r w:rsidRPr="00505DEA">
        <w:rPr>
          <w:noProof/>
        </w:rPr>
        <w:t xml:space="preserve">Detected fraudulent irregularities related to direct expenditure by the Commission have fallen since 2016 and remained stable over the last </w:t>
      </w:r>
      <w:r w:rsidR="006E70CF">
        <w:rPr>
          <w:noProof/>
        </w:rPr>
        <w:t>4</w:t>
      </w:r>
      <w:r w:rsidR="006E70CF" w:rsidRPr="00505DEA">
        <w:rPr>
          <w:noProof/>
        </w:rPr>
        <w:t xml:space="preserve"> </w:t>
      </w:r>
      <w:r w:rsidRPr="00505DEA">
        <w:rPr>
          <w:noProof/>
        </w:rPr>
        <w:t>years</w:t>
      </w:r>
      <w:r>
        <w:rPr>
          <w:noProof/>
        </w:rPr>
        <w:t xml:space="preserve">, </w:t>
      </w:r>
      <w:r w:rsidR="006E70CF">
        <w:rPr>
          <w:noProof/>
        </w:rPr>
        <w:t xml:space="preserve">despite </w:t>
      </w:r>
      <w:r>
        <w:rPr>
          <w:noProof/>
        </w:rPr>
        <w:t>a marginal increase in 2021</w:t>
      </w:r>
      <w:r w:rsidRPr="00505DEA">
        <w:rPr>
          <w:noProof/>
        </w:rPr>
        <w:t xml:space="preserve">. </w:t>
      </w:r>
      <w:r>
        <w:rPr>
          <w:noProof/>
        </w:rPr>
        <w:t>N</w:t>
      </w:r>
      <w:r w:rsidRPr="00505DEA">
        <w:rPr>
          <w:noProof/>
        </w:rPr>
        <w:t>on-fraudulent irregularities</w:t>
      </w:r>
      <w:r>
        <w:rPr>
          <w:noProof/>
        </w:rPr>
        <w:t xml:space="preserve"> continued </w:t>
      </w:r>
      <w:r w:rsidR="007B0BE2">
        <w:rPr>
          <w:noProof/>
        </w:rPr>
        <w:t xml:space="preserve">decreasing </w:t>
      </w:r>
      <w:r>
        <w:rPr>
          <w:noProof/>
        </w:rPr>
        <w:t xml:space="preserve">and </w:t>
      </w:r>
      <w:r w:rsidRPr="00505DEA">
        <w:rPr>
          <w:noProof/>
        </w:rPr>
        <w:t>202</w:t>
      </w:r>
      <w:r>
        <w:rPr>
          <w:noProof/>
        </w:rPr>
        <w:t>1</w:t>
      </w:r>
      <w:r w:rsidRPr="00505DEA">
        <w:rPr>
          <w:noProof/>
        </w:rPr>
        <w:t xml:space="preserve"> was the year </w:t>
      </w:r>
      <w:r w:rsidR="007B0BE2">
        <w:rPr>
          <w:noProof/>
        </w:rPr>
        <w:t xml:space="preserve">with </w:t>
      </w:r>
      <w:r w:rsidRPr="00505DEA">
        <w:rPr>
          <w:noProof/>
        </w:rPr>
        <w:t xml:space="preserve">the lowest figure for both number of cases and </w:t>
      </w:r>
      <w:r w:rsidR="007B0BE2">
        <w:rPr>
          <w:noProof/>
        </w:rPr>
        <w:t xml:space="preserve">the </w:t>
      </w:r>
      <w:r w:rsidRPr="00505DEA">
        <w:rPr>
          <w:noProof/>
        </w:rPr>
        <w:t>amounts concerned</w:t>
      </w:r>
      <w:r w:rsidR="00F6664B">
        <w:rPr>
          <w:rStyle w:val="FootnoteReference"/>
          <w:noProof/>
        </w:rPr>
        <w:footnoteReference w:id="103"/>
      </w:r>
      <w:r w:rsidRPr="00505DEA">
        <w:rPr>
          <w:noProof/>
        </w:rPr>
        <w:t>.</w:t>
      </w:r>
    </w:p>
    <w:p w14:paraId="4C421069" w14:textId="28A43C7D" w:rsidR="00E23197" w:rsidRDefault="001C50AD" w:rsidP="00DC1244">
      <w:pPr>
        <w:pStyle w:val="Caption"/>
        <w:keepNext/>
        <w:pBdr>
          <w:top w:val="single" w:sz="4" w:space="1" w:color="auto"/>
          <w:left w:val="single" w:sz="4" w:space="4" w:color="auto"/>
          <w:bottom w:val="single" w:sz="4" w:space="1" w:color="auto"/>
          <w:right w:val="single" w:sz="4" w:space="4" w:color="auto"/>
        </w:pBdr>
        <w:shd w:val="clear" w:color="auto" w:fill="D9E2F3" w:themeFill="accent5" w:themeFillTint="33"/>
        <w:rPr>
          <w:noProof/>
        </w:rPr>
      </w:pPr>
      <w:bookmarkStart w:id="94" w:name="_Toc110444027"/>
      <w:r>
        <w:rPr>
          <w:noProof/>
        </w:rPr>
        <w:t xml:space="preserve">Snapshot </w:t>
      </w:r>
      <w:r w:rsidR="00EA0D7C">
        <w:rPr>
          <w:noProof/>
        </w:rPr>
        <w:fldChar w:fldCharType="begin"/>
      </w:r>
      <w:r w:rsidR="00EA0D7C">
        <w:rPr>
          <w:noProof/>
        </w:rPr>
        <w:instrText xml:space="preserve"> SEQ Snapshot \* ARABIC </w:instrText>
      </w:r>
      <w:r w:rsidR="00EA0D7C">
        <w:rPr>
          <w:noProof/>
        </w:rPr>
        <w:fldChar w:fldCharType="separate"/>
      </w:r>
      <w:r w:rsidR="00F963A8">
        <w:rPr>
          <w:noProof/>
        </w:rPr>
        <w:t>19</w:t>
      </w:r>
      <w:r w:rsidR="00EA0D7C">
        <w:rPr>
          <w:noProof/>
        </w:rPr>
        <w:fldChar w:fldCharType="end"/>
      </w:r>
      <w:r>
        <w:rPr>
          <w:noProof/>
        </w:rPr>
        <w:t xml:space="preserve"> </w:t>
      </w:r>
      <w:r w:rsidR="00756FF8">
        <w:rPr>
          <w:noProof/>
        </w:rPr>
        <w:t>–</w:t>
      </w:r>
      <w:r>
        <w:rPr>
          <w:noProof/>
        </w:rPr>
        <w:t xml:space="preserve"> </w:t>
      </w:r>
      <w:r w:rsidRPr="001C50AD">
        <w:rPr>
          <w:noProof/>
        </w:rPr>
        <w:t>Direct expenditure: irregularities most frequently detected and policy areas concerned</w:t>
      </w:r>
      <w:bookmarkEnd w:id="94"/>
    </w:p>
    <w:p w14:paraId="1D7C74AC" w14:textId="16B30AEF" w:rsidR="001C50AD" w:rsidRDefault="001C50AD"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The most </w:t>
      </w:r>
      <w:r w:rsidR="007B0BE2">
        <w:rPr>
          <w:noProof/>
        </w:rPr>
        <w:t xml:space="preserve">frequent </w:t>
      </w:r>
      <w:r>
        <w:rPr>
          <w:noProof/>
        </w:rPr>
        <w:t>types of irregularities concern the eligibility of expenditure and under-per</w:t>
      </w:r>
      <w:r w:rsidR="00FB48BC">
        <w:rPr>
          <w:noProof/>
        </w:rPr>
        <w:t>formance/non-performance.</w:t>
      </w:r>
    </w:p>
    <w:p w14:paraId="4A94ACDF" w14:textId="0B6DE01F" w:rsidR="001C50AD" w:rsidRPr="001C50AD" w:rsidRDefault="001C50AD" w:rsidP="00505DEA">
      <w:pPr>
        <w:pBdr>
          <w:top w:val="single" w:sz="4" w:space="1" w:color="auto"/>
          <w:left w:val="single" w:sz="4" w:space="4" w:color="auto"/>
          <w:bottom w:val="single" w:sz="4" w:space="1" w:color="auto"/>
          <w:right w:val="single" w:sz="4" w:space="4" w:color="auto"/>
        </w:pBdr>
        <w:shd w:val="clear" w:color="auto" w:fill="D9E2F3" w:themeFill="accent5" w:themeFillTint="33"/>
        <w:rPr>
          <w:noProof/>
        </w:rPr>
      </w:pPr>
      <w:r>
        <w:rPr>
          <w:noProof/>
        </w:rPr>
        <w:t xml:space="preserve">In 2021, the policy areas most </w:t>
      </w:r>
      <w:r w:rsidR="007B0BE2">
        <w:rPr>
          <w:noProof/>
        </w:rPr>
        <w:t xml:space="preserve">affected </w:t>
      </w:r>
      <w:r>
        <w:rPr>
          <w:noProof/>
        </w:rPr>
        <w:t xml:space="preserve">by irregularities were research and innovation; </w:t>
      </w:r>
      <w:r w:rsidR="007B0BE2">
        <w:rPr>
          <w:noProof/>
        </w:rPr>
        <w:t xml:space="preserve">the </w:t>
      </w:r>
      <w:r>
        <w:rPr>
          <w:noProof/>
        </w:rPr>
        <w:t>single market; s</w:t>
      </w:r>
      <w:r w:rsidRPr="001C50AD">
        <w:rPr>
          <w:noProof/>
        </w:rPr>
        <w:t xml:space="preserve">ecurity, </w:t>
      </w:r>
      <w:r>
        <w:rPr>
          <w:noProof/>
        </w:rPr>
        <w:t>d</w:t>
      </w:r>
      <w:r w:rsidRPr="001C50AD">
        <w:rPr>
          <w:noProof/>
        </w:rPr>
        <w:t>efence</w:t>
      </w:r>
      <w:r w:rsidR="007B0BE2">
        <w:rPr>
          <w:noProof/>
        </w:rPr>
        <w:t xml:space="preserve"> and</w:t>
      </w:r>
      <w:r w:rsidR="007B0BE2" w:rsidRPr="001C50AD">
        <w:rPr>
          <w:noProof/>
        </w:rPr>
        <w:t xml:space="preserve"> </w:t>
      </w:r>
      <w:r>
        <w:rPr>
          <w:noProof/>
        </w:rPr>
        <w:t>b</w:t>
      </w:r>
      <w:r w:rsidRPr="001C50AD">
        <w:rPr>
          <w:noProof/>
        </w:rPr>
        <w:t xml:space="preserve">order </w:t>
      </w:r>
      <w:r>
        <w:rPr>
          <w:noProof/>
        </w:rPr>
        <w:t>m</w:t>
      </w:r>
      <w:r w:rsidRPr="001C50AD">
        <w:rPr>
          <w:noProof/>
        </w:rPr>
        <w:t>anagement</w:t>
      </w:r>
      <w:r>
        <w:rPr>
          <w:noProof/>
        </w:rPr>
        <w:t>; European strategic investments; and external actions.</w:t>
      </w:r>
    </w:p>
    <w:p w14:paraId="44B8BE4E" w14:textId="77777777" w:rsidR="00FB5CF5" w:rsidRDefault="00FB5CF5" w:rsidP="00FB5CF5">
      <w:pPr>
        <w:pStyle w:val="Heading1"/>
        <w:rPr>
          <w:noProof/>
        </w:rPr>
      </w:pPr>
      <w:bookmarkStart w:id="95" w:name="_Toc110444078"/>
      <w:r>
        <w:rPr>
          <w:noProof/>
        </w:rPr>
        <w:t>Outlook for 2022</w:t>
      </w:r>
      <w:r w:rsidR="000810E6">
        <w:rPr>
          <w:noProof/>
        </w:rPr>
        <w:t>, Conclusions and Recommendations</w:t>
      </w:r>
      <w:bookmarkEnd w:id="95"/>
    </w:p>
    <w:p w14:paraId="7E698143" w14:textId="54EFD6EA" w:rsidR="00775F49" w:rsidRDefault="00B01601" w:rsidP="00775F49">
      <w:pPr>
        <w:rPr>
          <w:noProof/>
        </w:rPr>
      </w:pPr>
      <w:r>
        <w:rPr>
          <w:noProof/>
        </w:rPr>
        <w:t xml:space="preserve">The COVID-19 pandemic has brought new challenges to which the EU has reacted swiftly, in a flexible way and deploying new instruments and resources. </w:t>
      </w:r>
      <w:r w:rsidR="007B0BE2">
        <w:rPr>
          <w:noProof/>
        </w:rPr>
        <w:t>T</w:t>
      </w:r>
      <w:r>
        <w:rPr>
          <w:noProof/>
        </w:rPr>
        <w:t xml:space="preserve">he challenges and consequences </w:t>
      </w:r>
      <w:r w:rsidR="007B0BE2">
        <w:rPr>
          <w:noProof/>
        </w:rPr>
        <w:t xml:space="preserve">of that </w:t>
      </w:r>
      <w:r>
        <w:rPr>
          <w:noProof/>
        </w:rPr>
        <w:t xml:space="preserve">crisis are not yet behind us, </w:t>
      </w:r>
      <w:r w:rsidR="007B0BE2">
        <w:rPr>
          <w:noProof/>
        </w:rPr>
        <w:t xml:space="preserve">but </w:t>
      </w:r>
      <w:r w:rsidRPr="00B01601">
        <w:rPr>
          <w:noProof/>
        </w:rPr>
        <w:t>Russia’s invasion of Ukraine</w:t>
      </w:r>
      <w:r>
        <w:rPr>
          <w:noProof/>
        </w:rPr>
        <w:t xml:space="preserve"> has </w:t>
      </w:r>
      <w:r w:rsidRPr="00B01601">
        <w:rPr>
          <w:noProof/>
        </w:rPr>
        <w:t>unleashed major new dynamics, with profound implications for the EU and its economy and society.</w:t>
      </w:r>
    </w:p>
    <w:p w14:paraId="3090D9C2" w14:textId="50CB24D1" w:rsidR="00B01601" w:rsidRDefault="00B01601" w:rsidP="00775F49">
      <w:pPr>
        <w:rPr>
          <w:noProof/>
        </w:rPr>
      </w:pPr>
      <w:r w:rsidRPr="00B01601">
        <w:rPr>
          <w:noProof/>
        </w:rPr>
        <w:t>On 18 May</w:t>
      </w:r>
      <w:r>
        <w:rPr>
          <w:noProof/>
        </w:rPr>
        <w:t xml:space="preserve"> 2022</w:t>
      </w:r>
      <w:r w:rsidRPr="00B01601">
        <w:rPr>
          <w:noProof/>
        </w:rPr>
        <w:t xml:space="preserve">, the Commission presented a package to deal with the topics that </w:t>
      </w:r>
      <w:r w:rsidR="007B0BE2">
        <w:rPr>
          <w:noProof/>
        </w:rPr>
        <w:t>have come to the fore since the invasion of Ukraine</w:t>
      </w:r>
      <w:r w:rsidRPr="00B01601">
        <w:rPr>
          <w:noProof/>
        </w:rPr>
        <w:t xml:space="preserve">, from </w:t>
      </w:r>
      <w:r w:rsidR="007B0BE2">
        <w:rPr>
          <w:noProof/>
        </w:rPr>
        <w:t xml:space="preserve">the </w:t>
      </w:r>
      <w:r w:rsidRPr="00B01601">
        <w:rPr>
          <w:noProof/>
        </w:rPr>
        <w:t xml:space="preserve">security </w:t>
      </w:r>
      <w:r w:rsidR="007B0BE2">
        <w:rPr>
          <w:noProof/>
        </w:rPr>
        <w:t xml:space="preserve">of energy </w:t>
      </w:r>
      <w:r w:rsidRPr="00B01601">
        <w:rPr>
          <w:noProof/>
        </w:rPr>
        <w:t xml:space="preserve">supply to </w:t>
      </w:r>
      <w:r w:rsidR="007B0BE2">
        <w:rPr>
          <w:noProof/>
        </w:rPr>
        <w:t xml:space="preserve">the </w:t>
      </w:r>
      <w:r w:rsidRPr="00B01601">
        <w:rPr>
          <w:noProof/>
        </w:rPr>
        <w:t xml:space="preserve">EU’s defence investment gap and Ukraine’s long-term reconstruction. All these topics have implications </w:t>
      </w:r>
      <w:r w:rsidR="007B0BE2">
        <w:rPr>
          <w:noProof/>
        </w:rPr>
        <w:t xml:space="preserve">for </w:t>
      </w:r>
      <w:r w:rsidRPr="00B01601">
        <w:rPr>
          <w:noProof/>
        </w:rPr>
        <w:t>the EU budget.</w:t>
      </w:r>
    </w:p>
    <w:p w14:paraId="3FFEA90A" w14:textId="5020978D" w:rsidR="000810E6" w:rsidRDefault="000810E6" w:rsidP="000810E6">
      <w:pPr>
        <w:rPr>
          <w:noProof/>
        </w:rPr>
      </w:pPr>
      <w:r>
        <w:rPr>
          <w:noProof/>
          <w:shd w:val="clear" w:color="auto" w:fill="FEFFFF"/>
        </w:rPr>
        <w:t>T</w:t>
      </w:r>
      <w:r w:rsidR="00B01601" w:rsidRPr="00B01601">
        <w:rPr>
          <w:noProof/>
          <w:shd w:val="clear" w:color="auto" w:fill="FEFFFF"/>
        </w:rPr>
        <w:t xml:space="preserve">he </w:t>
      </w:r>
      <w:r>
        <w:rPr>
          <w:noProof/>
          <w:shd w:val="clear" w:color="auto" w:fill="FEFFFF"/>
        </w:rPr>
        <w:t xml:space="preserve">EU </w:t>
      </w:r>
      <w:r w:rsidR="00B01601" w:rsidRPr="00B01601">
        <w:rPr>
          <w:noProof/>
          <w:shd w:val="clear" w:color="auto" w:fill="FEFFFF"/>
        </w:rPr>
        <w:t>bu</w:t>
      </w:r>
      <w:r>
        <w:rPr>
          <w:noProof/>
          <w:shd w:val="clear" w:color="auto" w:fill="FEFFFF"/>
        </w:rPr>
        <w:t>dget is already under pressure, as n</w:t>
      </w:r>
      <w:r>
        <w:rPr>
          <w:noProof/>
        </w:rPr>
        <w:t xml:space="preserve">ew measures are being rolled out to </w:t>
      </w:r>
      <w:r w:rsidR="007B0BE2">
        <w:rPr>
          <w:noProof/>
        </w:rPr>
        <w:t>deal with the repercussions of recent events</w:t>
      </w:r>
      <w:r>
        <w:rPr>
          <w:noProof/>
        </w:rPr>
        <w:t xml:space="preserve"> (e.g. </w:t>
      </w:r>
      <w:r w:rsidRPr="005467AC">
        <w:rPr>
          <w:b/>
          <w:noProof/>
        </w:rPr>
        <w:t>REPowerEU</w:t>
      </w:r>
      <w:r>
        <w:rPr>
          <w:noProof/>
        </w:rPr>
        <w:t xml:space="preserve">), priorities </w:t>
      </w:r>
      <w:r w:rsidR="007B0BE2">
        <w:rPr>
          <w:noProof/>
        </w:rPr>
        <w:t xml:space="preserve">are </w:t>
      </w:r>
      <w:r>
        <w:rPr>
          <w:noProof/>
        </w:rPr>
        <w:t>shift</w:t>
      </w:r>
      <w:r w:rsidR="007B0BE2">
        <w:rPr>
          <w:noProof/>
        </w:rPr>
        <w:t>ing</w:t>
      </w:r>
      <w:r>
        <w:rPr>
          <w:noProof/>
        </w:rPr>
        <w:t xml:space="preserve"> (migration) and the widest </w:t>
      </w:r>
      <w:r w:rsidR="007B0BE2">
        <w:rPr>
          <w:noProof/>
        </w:rPr>
        <w:t xml:space="preserve">ranging </w:t>
      </w:r>
      <w:r>
        <w:rPr>
          <w:noProof/>
        </w:rPr>
        <w:t xml:space="preserve">package of sanctions ever agreed against a country </w:t>
      </w:r>
      <w:r w:rsidR="00A309B8">
        <w:rPr>
          <w:noProof/>
        </w:rPr>
        <w:t>(in general, but also in relation to targeted individuals) needs to be enforced, with effects on EU revenue (import and export of goods) and expenditure (exclusions from public procurement procedures and grants).</w:t>
      </w:r>
    </w:p>
    <w:p w14:paraId="27A7BC00" w14:textId="3F0CE44A" w:rsidR="00A309B8" w:rsidRDefault="00A309B8" w:rsidP="000810E6">
      <w:pPr>
        <w:rPr>
          <w:noProof/>
        </w:rPr>
      </w:pPr>
      <w:r>
        <w:rPr>
          <w:noProof/>
        </w:rPr>
        <w:t xml:space="preserve">Already, with the introduction of the RRF and the implementation of the national recovery and resilience plans, </w:t>
      </w:r>
      <w:r w:rsidRPr="005467AC">
        <w:rPr>
          <w:b/>
          <w:noProof/>
        </w:rPr>
        <w:t>the role of national authorities</w:t>
      </w:r>
      <w:r>
        <w:rPr>
          <w:noProof/>
        </w:rPr>
        <w:t xml:space="preserve"> </w:t>
      </w:r>
      <w:r w:rsidR="007B0BE2">
        <w:rPr>
          <w:noProof/>
        </w:rPr>
        <w:t xml:space="preserve">in ensuring </w:t>
      </w:r>
      <w:r>
        <w:rPr>
          <w:noProof/>
        </w:rPr>
        <w:t xml:space="preserve">an adequate level of protection of the EU’s financial interests </w:t>
      </w:r>
      <w:r w:rsidRPr="005467AC">
        <w:rPr>
          <w:b/>
          <w:noProof/>
        </w:rPr>
        <w:t>has significantly increased</w:t>
      </w:r>
      <w:r>
        <w:rPr>
          <w:noProof/>
        </w:rPr>
        <w:t>. The pressure on national administration</w:t>
      </w:r>
      <w:r w:rsidR="002A4350">
        <w:rPr>
          <w:noProof/>
        </w:rPr>
        <w:t>s</w:t>
      </w:r>
      <w:r>
        <w:rPr>
          <w:noProof/>
        </w:rPr>
        <w:t xml:space="preserve"> will remain high during 2022 and </w:t>
      </w:r>
      <w:r w:rsidR="007B0BE2">
        <w:rPr>
          <w:noProof/>
        </w:rPr>
        <w:t>afterwards</w:t>
      </w:r>
      <w:r>
        <w:rPr>
          <w:noProof/>
        </w:rPr>
        <w:t xml:space="preserve">, as they will </w:t>
      </w:r>
      <w:r w:rsidR="007B0BE2">
        <w:rPr>
          <w:noProof/>
        </w:rPr>
        <w:t xml:space="preserve">also </w:t>
      </w:r>
      <w:r>
        <w:rPr>
          <w:noProof/>
        </w:rPr>
        <w:t>need to implement the spending of the 2021-2027 programming cycle and show expertise and control of different management modes linked to the implementation of the various funds.</w:t>
      </w:r>
    </w:p>
    <w:p w14:paraId="68E41DE5" w14:textId="77777777" w:rsidR="00225A0C" w:rsidRDefault="00CB2780" w:rsidP="00225A0C">
      <w:pPr>
        <w:pStyle w:val="Heading2"/>
        <w:rPr>
          <w:noProof/>
        </w:rPr>
      </w:pPr>
      <w:bookmarkStart w:id="96" w:name="_Toc110444079"/>
      <w:r>
        <w:rPr>
          <w:noProof/>
        </w:rPr>
        <w:t>The</w:t>
      </w:r>
      <w:r w:rsidR="00C24CBE">
        <w:rPr>
          <w:noProof/>
        </w:rPr>
        <w:t xml:space="preserve"> </w:t>
      </w:r>
      <w:r w:rsidR="00225A0C">
        <w:rPr>
          <w:noProof/>
        </w:rPr>
        <w:t>EU anti-fraud area</w:t>
      </w:r>
      <w:bookmarkEnd w:id="96"/>
    </w:p>
    <w:p w14:paraId="125BC87D" w14:textId="1E5353F6" w:rsidR="00A309B8" w:rsidRDefault="00876F62" w:rsidP="000810E6">
      <w:pPr>
        <w:rPr>
          <w:noProof/>
        </w:rPr>
      </w:pPr>
      <w:r>
        <w:rPr>
          <w:noProof/>
        </w:rPr>
        <w:t>T</w:t>
      </w:r>
      <w:r w:rsidR="00E85E90">
        <w:rPr>
          <w:noProof/>
        </w:rPr>
        <w:t xml:space="preserve">he </w:t>
      </w:r>
      <w:r>
        <w:rPr>
          <w:noProof/>
        </w:rPr>
        <w:t xml:space="preserve">results of </w:t>
      </w:r>
      <w:r w:rsidR="00513355">
        <w:rPr>
          <w:noProof/>
        </w:rPr>
        <w:t xml:space="preserve">OLAF and </w:t>
      </w:r>
      <w:r>
        <w:rPr>
          <w:noProof/>
        </w:rPr>
        <w:t>the EPPO in 2021</w:t>
      </w:r>
      <w:r w:rsidR="007540E3">
        <w:rPr>
          <w:rStyle w:val="FootnoteReference"/>
          <w:noProof/>
        </w:rPr>
        <w:footnoteReference w:id="104"/>
      </w:r>
      <w:r>
        <w:rPr>
          <w:noProof/>
        </w:rPr>
        <w:t xml:space="preserve"> show the </w:t>
      </w:r>
      <w:r w:rsidRPr="005467AC">
        <w:rPr>
          <w:b/>
          <w:noProof/>
        </w:rPr>
        <w:t xml:space="preserve">added value the EU </w:t>
      </w:r>
      <w:r w:rsidR="007B0BE2" w:rsidRPr="005467AC">
        <w:rPr>
          <w:b/>
          <w:noProof/>
        </w:rPr>
        <w:t xml:space="preserve">dimension </w:t>
      </w:r>
      <w:r w:rsidRPr="005467AC">
        <w:rPr>
          <w:b/>
          <w:noProof/>
        </w:rPr>
        <w:t xml:space="preserve">can bring to the protection of the </w:t>
      </w:r>
      <w:r w:rsidR="007B0BE2" w:rsidRPr="005467AC">
        <w:rPr>
          <w:b/>
          <w:noProof/>
        </w:rPr>
        <w:t>E</w:t>
      </w:r>
      <w:r w:rsidRPr="005467AC">
        <w:rPr>
          <w:b/>
          <w:noProof/>
        </w:rPr>
        <w:t>U’s financial interests</w:t>
      </w:r>
      <w:r>
        <w:rPr>
          <w:noProof/>
        </w:rPr>
        <w:t xml:space="preserve"> and the fight against fraud, overcoming national systems</w:t>
      </w:r>
      <w:r w:rsidR="007B0BE2">
        <w:rPr>
          <w:noProof/>
        </w:rPr>
        <w:t xml:space="preserve">’ inherent limits in dealing with </w:t>
      </w:r>
      <w:r>
        <w:rPr>
          <w:noProof/>
        </w:rPr>
        <w:t>cross-border crime in particular.</w:t>
      </w:r>
    </w:p>
    <w:p w14:paraId="66272545" w14:textId="47B08640" w:rsidR="00876F62" w:rsidRDefault="00876F62" w:rsidP="000810E6">
      <w:pPr>
        <w:rPr>
          <w:noProof/>
        </w:rPr>
      </w:pPr>
      <w:r>
        <w:rPr>
          <w:noProof/>
        </w:rPr>
        <w:t xml:space="preserve">More importantly, they also show the necessity </w:t>
      </w:r>
      <w:r w:rsidR="007B0BE2">
        <w:rPr>
          <w:noProof/>
        </w:rPr>
        <w:t xml:space="preserve">of continuing to work </w:t>
      </w:r>
      <w:r>
        <w:rPr>
          <w:noProof/>
        </w:rPr>
        <w:t>towards a</w:t>
      </w:r>
      <w:r w:rsidR="00CB2780">
        <w:rPr>
          <w:noProof/>
        </w:rPr>
        <w:t>n</w:t>
      </w:r>
      <w:r>
        <w:rPr>
          <w:noProof/>
        </w:rPr>
        <w:t xml:space="preserve"> </w:t>
      </w:r>
      <w:r w:rsidR="00C24CBE">
        <w:rPr>
          <w:noProof/>
        </w:rPr>
        <w:t xml:space="preserve">increasingly </w:t>
      </w:r>
      <w:r>
        <w:rPr>
          <w:noProof/>
        </w:rPr>
        <w:t xml:space="preserve">harmonised EU </w:t>
      </w:r>
      <w:r w:rsidRPr="005467AC">
        <w:rPr>
          <w:b/>
          <w:noProof/>
        </w:rPr>
        <w:t>anti-fraud area</w:t>
      </w:r>
      <w:r>
        <w:rPr>
          <w:noProof/>
        </w:rPr>
        <w:t>, which requires, in particular, that national legislation</w:t>
      </w:r>
      <w:r w:rsidR="00513355">
        <w:rPr>
          <w:noProof/>
        </w:rPr>
        <w:t xml:space="preserve"> </w:t>
      </w:r>
      <w:r w:rsidR="007B0BE2">
        <w:rPr>
          <w:noProof/>
        </w:rPr>
        <w:t xml:space="preserve">be </w:t>
      </w:r>
      <w:r w:rsidR="00225A0C">
        <w:rPr>
          <w:noProof/>
        </w:rPr>
        <w:t>in line with EU law and its principles</w:t>
      </w:r>
      <w:r>
        <w:rPr>
          <w:noProof/>
        </w:rPr>
        <w:t>.</w:t>
      </w:r>
    </w:p>
    <w:p w14:paraId="06CDBB4F" w14:textId="11414F3A" w:rsidR="00225A0C" w:rsidRDefault="00225A0C" w:rsidP="00225A0C">
      <w:pPr>
        <w:rPr>
          <w:noProof/>
        </w:rPr>
      </w:pPr>
      <w:r>
        <w:rPr>
          <w:noProof/>
        </w:rPr>
        <w:t>Regulation 2020/2092 on a general regime of conditionality for the protection of the Union budget (</w:t>
      </w:r>
      <w:r w:rsidRPr="005467AC">
        <w:rPr>
          <w:b/>
          <w:noProof/>
        </w:rPr>
        <w:t>conditionality regulation</w:t>
      </w:r>
      <w:r>
        <w:rPr>
          <w:noProof/>
        </w:rPr>
        <w:t xml:space="preserve">) has been applicable since 1 January 2021 and is enforceable from that date. All breaches of the principles of the rule of law in a Member State that affect or seriously risk affecting the sound financial management of the </w:t>
      </w:r>
      <w:r w:rsidR="007B0BE2">
        <w:rPr>
          <w:noProof/>
        </w:rPr>
        <w:t>E</w:t>
      </w:r>
      <w:r>
        <w:rPr>
          <w:noProof/>
        </w:rPr>
        <w:t>U</w:t>
      </w:r>
      <w:r w:rsidR="007B0BE2">
        <w:rPr>
          <w:noProof/>
        </w:rPr>
        <w:t xml:space="preserve"> </w:t>
      </w:r>
      <w:r>
        <w:rPr>
          <w:noProof/>
        </w:rPr>
        <w:t xml:space="preserve">budget and the financial interests of the </w:t>
      </w:r>
      <w:r w:rsidR="007B0BE2">
        <w:rPr>
          <w:noProof/>
        </w:rPr>
        <w:t>E</w:t>
      </w:r>
      <w:r>
        <w:rPr>
          <w:noProof/>
        </w:rPr>
        <w:t>U in a sufficiently direct way after that date are covered.</w:t>
      </w:r>
    </w:p>
    <w:p w14:paraId="1D97871D" w14:textId="54BD977E" w:rsidR="00225A0C" w:rsidRDefault="00225A0C" w:rsidP="00225A0C">
      <w:pPr>
        <w:rPr>
          <w:noProof/>
        </w:rPr>
      </w:pPr>
      <w:r>
        <w:rPr>
          <w:noProof/>
        </w:rPr>
        <w:t xml:space="preserve">The conditionality regulation allows the EU to take measures – for example suspension of payments or financial corrections – to protect the budget, while at the same time ensuring that the final beneficiaries of </w:t>
      </w:r>
      <w:r w:rsidR="007B0BE2">
        <w:rPr>
          <w:noProof/>
        </w:rPr>
        <w:t xml:space="preserve">EU </w:t>
      </w:r>
      <w:r>
        <w:rPr>
          <w:noProof/>
        </w:rPr>
        <w:t xml:space="preserve">funds continue to receive their payments, directly </w:t>
      </w:r>
      <w:r w:rsidR="007B0BE2">
        <w:rPr>
          <w:noProof/>
        </w:rPr>
        <w:t xml:space="preserve">from </w:t>
      </w:r>
      <w:r>
        <w:rPr>
          <w:noProof/>
        </w:rPr>
        <w:t>the Member States concerned.</w:t>
      </w:r>
      <w:r w:rsidR="00902694" w:rsidRPr="00902694">
        <w:rPr>
          <w:noProof/>
        </w:rPr>
        <w:t xml:space="preserve"> The conduct of public authorities in relation to fraud is among the situations that, if concerned by breaches of the principles of the rule of law, may be relevant under the procedure set by the </w:t>
      </w:r>
      <w:r w:rsidR="00902694">
        <w:rPr>
          <w:noProof/>
        </w:rPr>
        <w:t>c</w:t>
      </w:r>
      <w:r w:rsidR="00902694" w:rsidRPr="00902694">
        <w:rPr>
          <w:noProof/>
        </w:rPr>
        <w:t xml:space="preserve">onditionality </w:t>
      </w:r>
      <w:r w:rsidR="00902694">
        <w:rPr>
          <w:noProof/>
        </w:rPr>
        <w:t>r</w:t>
      </w:r>
      <w:r w:rsidR="00902694" w:rsidRPr="00902694">
        <w:rPr>
          <w:noProof/>
        </w:rPr>
        <w:t>egulation.</w:t>
      </w:r>
    </w:p>
    <w:p w14:paraId="59272CF7" w14:textId="6541FA03" w:rsidR="00225A0C" w:rsidRDefault="00225A0C" w:rsidP="00225A0C">
      <w:pPr>
        <w:rPr>
          <w:noProof/>
        </w:rPr>
      </w:pPr>
      <w:r>
        <w:rPr>
          <w:noProof/>
        </w:rPr>
        <w:t>On 16 February 2022, the European Court of Justice dismissed the actions brought by two Member States (C-156/21</w:t>
      </w:r>
      <w:r>
        <w:rPr>
          <w:rStyle w:val="FootnoteReference"/>
          <w:noProof/>
        </w:rPr>
        <w:footnoteReference w:id="105"/>
      </w:r>
      <w:r>
        <w:rPr>
          <w:noProof/>
        </w:rPr>
        <w:t xml:space="preserve"> and C-157/21</w:t>
      </w:r>
      <w:r>
        <w:rPr>
          <w:rStyle w:val="FootnoteReference"/>
          <w:noProof/>
        </w:rPr>
        <w:footnoteReference w:id="106"/>
      </w:r>
      <w:r>
        <w:rPr>
          <w:noProof/>
        </w:rPr>
        <w:t xml:space="preserve">) </w:t>
      </w:r>
      <w:r w:rsidR="007B0BE2">
        <w:rPr>
          <w:noProof/>
        </w:rPr>
        <w:t>ruling</w:t>
      </w:r>
      <w:r>
        <w:rPr>
          <w:noProof/>
        </w:rPr>
        <w:t xml:space="preserve"> that the regulation falls within the power conferred by the Treaties to establish financial rules </w:t>
      </w:r>
      <w:r w:rsidR="005E2704">
        <w:rPr>
          <w:noProof/>
        </w:rPr>
        <w:t xml:space="preserve">for </w:t>
      </w:r>
      <w:r>
        <w:rPr>
          <w:noProof/>
        </w:rPr>
        <w:t xml:space="preserve">the implementation of the </w:t>
      </w:r>
      <w:r w:rsidR="005E2704">
        <w:rPr>
          <w:noProof/>
        </w:rPr>
        <w:t xml:space="preserve">EU </w:t>
      </w:r>
      <w:r>
        <w:rPr>
          <w:noProof/>
        </w:rPr>
        <w:t>budget. On 2 March 2022, the Commission released guidelines for the application of the regulation, taking into account the judgment of the Court of Justice.</w:t>
      </w:r>
    </w:p>
    <w:p w14:paraId="22570732" w14:textId="14A9A00C" w:rsidR="00876F62" w:rsidRDefault="00876F62" w:rsidP="00876F62">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EA0D7C">
        <w:rPr>
          <w:noProof/>
        </w:rPr>
        <w:fldChar w:fldCharType="begin"/>
      </w:r>
      <w:r w:rsidR="00EA0D7C">
        <w:rPr>
          <w:noProof/>
        </w:rPr>
        <w:instrText xml:space="preserve"> SEQ Recommendation \* ARABIC </w:instrText>
      </w:r>
      <w:r w:rsidR="00EA0D7C">
        <w:rPr>
          <w:noProof/>
        </w:rPr>
        <w:fldChar w:fldCharType="separate"/>
      </w:r>
      <w:r w:rsidR="00F963A8">
        <w:rPr>
          <w:noProof/>
        </w:rPr>
        <w:t>1</w:t>
      </w:r>
      <w:r w:rsidR="00EA0D7C">
        <w:rPr>
          <w:noProof/>
        </w:rPr>
        <w:fldChar w:fldCharType="end"/>
      </w:r>
      <w:r>
        <w:rPr>
          <w:noProof/>
        </w:rPr>
        <w:t xml:space="preserve"> – Correct transposition of the PIF Directive</w:t>
      </w:r>
    </w:p>
    <w:p w14:paraId="7FBBD211" w14:textId="77777777" w:rsidR="00876F62" w:rsidRPr="00876F62" w:rsidRDefault="00876F62" w:rsidP="00876F62">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Member States against which infringements procedures have been launched by the Commission should swiftly take remedial action and modify national legislation to correctly transpose the PIF Directive.</w:t>
      </w:r>
    </w:p>
    <w:p w14:paraId="6376CC43" w14:textId="10BA0056" w:rsidR="00876F62" w:rsidRDefault="006B06A1" w:rsidP="00775F49">
      <w:pPr>
        <w:rPr>
          <w:bCs/>
          <w:noProof/>
          <w:shd w:val="clear" w:color="auto" w:fill="FEFFFF"/>
        </w:rPr>
      </w:pPr>
      <w:r>
        <w:rPr>
          <w:bCs/>
          <w:noProof/>
          <w:shd w:val="clear" w:color="auto" w:fill="FEFFFF"/>
        </w:rPr>
        <w:t xml:space="preserve">A coherent and </w:t>
      </w:r>
      <w:r w:rsidR="00C24CBE">
        <w:rPr>
          <w:bCs/>
          <w:noProof/>
          <w:shd w:val="clear" w:color="auto" w:fill="FEFFFF"/>
        </w:rPr>
        <w:t xml:space="preserve">increasingly </w:t>
      </w:r>
      <w:r>
        <w:rPr>
          <w:bCs/>
          <w:noProof/>
          <w:shd w:val="clear" w:color="auto" w:fill="FEFFFF"/>
        </w:rPr>
        <w:t>harmonised EU anti-fraud area also contributes to eliminat</w:t>
      </w:r>
      <w:r w:rsidR="005E2704">
        <w:rPr>
          <w:bCs/>
          <w:noProof/>
          <w:shd w:val="clear" w:color="auto" w:fill="FEFFFF"/>
        </w:rPr>
        <w:t>ing</w:t>
      </w:r>
      <w:r>
        <w:rPr>
          <w:bCs/>
          <w:noProof/>
          <w:shd w:val="clear" w:color="auto" w:fill="FEFFFF"/>
        </w:rPr>
        <w:t xml:space="preserve"> possible loopholes in the overall control architecture that can be exploited by fraudsters. </w:t>
      </w:r>
    </w:p>
    <w:p w14:paraId="5F870A5E" w14:textId="5C9B4C9B" w:rsidR="006B06A1" w:rsidRDefault="006B06A1" w:rsidP="003116B9">
      <w:pPr>
        <w:pStyle w:val="Caption"/>
        <w:keepNext/>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EA0D7C">
        <w:rPr>
          <w:noProof/>
        </w:rPr>
        <w:fldChar w:fldCharType="begin"/>
      </w:r>
      <w:r w:rsidR="00EA0D7C">
        <w:rPr>
          <w:noProof/>
        </w:rPr>
        <w:instrText xml:space="preserve"> SEQ Recommendation \* ARABIC </w:instrText>
      </w:r>
      <w:r w:rsidR="00EA0D7C">
        <w:rPr>
          <w:noProof/>
        </w:rPr>
        <w:fldChar w:fldCharType="separate"/>
      </w:r>
      <w:r w:rsidR="00F963A8">
        <w:rPr>
          <w:noProof/>
        </w:rPr>
        <w:t>2</w:t>
      </w:r>
      <w:r w:rsidR="00EA0D7C">
        <w:rPr>
          <w:noProof/>
        </w:rPr>
        <w:fldChar w:fldCharType="end"/>
      </w:r>
      <w:r>
        <w:rPr>
          <w:noProof/>
        </w:rPr>
        <w:t xml:space="preserve"> – </w:t>
      </w:r>
      <w:r w:rsidR="00513355">
        <w:rPr>
          <w:noProof/>
        </w:rPr>
        <w:t>Participation in</w:t>
      </w:r>
      <w:r>
        <w:rPr>
          <w:noProof/>
        </w:rPr>
        <w:t xml:space="preserve"> the EPPO</w:t>
      </w:r>
    </w:p>
    <w:p w14:paraId="5AA5A4CB" w14:textId="32FB8B71" w:rsidR="006B06A1" w:rsidRPr="006B06A1" w:rsidRDefault="006B06A1" w:rsidP="006B06A1">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The Commission reiterates its call for Member States </w:t>
      </w:r>
      <w:r w:rsidR="005E2704">
        <w:rPr>
          <w:noProof/>
        </w:rPr>
        <w:t xml:space="preserve">who have </w:t>
      </w:r>
      <w:r>
        <w:rPr>
          <w:noProof/>
        </w:rPr>
        <w:t xml:space="preserve">not </w:t>
      </w:r>
      <w:r w:rsidR="005E2704">
        <w:rPr>
          <w:noProof/>
        </w:rPr>
        <w:t xml:space="preserve">yet </w:t>
      </w:r>
      <w:r>
        <w:rPr>
          <w:noProof/>
        </w:rPr>
        <w:t>joined the EPPO to do so.</w:t>
      </w:r>
      <w:r w:rsidR="00A169C9">
        <w:rPr>
          <w:noProof/>
        </w:rPr>
        <w:t xml:space="preserve"> </w:t>
      </w:r>
      <w:r w:rsidR="00A169C9" w:rsidRPr="00A169C9">
        <w:rPr>
          <w:noProof/>
        </w:rPr>
        <w:t>The Member States that participate in the EPPO should ensure the EPPO is in a position to exercise all the powers bestowed upon it by its founding Regulation.</w:t>
      </w:r>
    </w:p>
    <w:p w14:paraId="1FAFE820" w14:textId="77777777" w:rsidR="006B06A1" w:rsidRDefault="002436C2" w:rsidP="00225A0C">
      <w:pPr>
        <w:pStyle w:val="Heading2"/>
        <w:rPr>
          <w:noProof/>
          <w:shd w:val="clear" w:color="auto" w:fill="FEFFFF"/>
        </w:rPr>
      </w:pPr>
      <w:bookmarkStart w:id="97" w:name="_Toc110444080"/>
      <w:r>
        <w:rPr>
          <w:noProof/>
          <w:shd w:val="clear" w:color="auto" w:fill="FEFFFF"/>
        </w:rPr>
        <w:t>Transparency, fraud risk management and d</w:t>
      </w:r>
      <w:r w:rsidR="00225A0C">
        <w:rPr>
          <w:noProof/>
          <w:shd w:val="clear" w:color="auto" w:fill="FEFFFF"/>
        </w:rPr>
        <w:t>igitalis</w:t>
      </w:r>
      <w:r>
        <w:rPr>
          <w:noProof/>
          <w:shd w:val="clear" w:color="auto" w:fill="FEFFFF"/>
        </w:rPr>
        <w:t>ation of</w:t>
      </w:r>
      <w:r w:rsidR="00225A0C">
        <w:rPr>
          <w:noProof/>
          <w:shd w:val="clear" w:color="auto" w:fill="FEFFFF"/>
        </w:rPr>
        <w:t xml:space="preserve"> the fight against fraud</w:t>
      </w:r>
      <w:bookmarkEnd w:id="97"/>
    </w:p>
    <w:p w14:paraId="3A68C813" w14:textId="49B45688" w:rsidR="00225A0C" w:rsidRDefault="00225A0C" w:rsidP="00225A0C">
      <w:pPr>
        <w:rPr>
          <w:noProof/>
        </w:rPr>
      </w:pPr>
      <w:r w:rsidRPr="00225A0C">
        <w:rPr>
          <w:noProof/>
        </w:rPr>
        <w:t xml:space="preserve">For the 2021-2027 MFF and NextGenerationEU, the Commission has put forward proposals to </w:t>
      </w:r>
      <w:r w:rsidRPr="005467AC">
        <w:rPr>
          <w:b/>
          <w:noProof/>
        </w:rPr>
        <w:t xml:space="preserve">improve the quality of data </w:t>
      </w:r>
      <w:r w:rsidR="00E42FFF" w:rsidRPr="005467AC">
        <w:rPr>
          <w:b/>
          <w:noProof/>
        </w:rPr>
        <w:t>and the interoperability of IT systems</w:t>
      </w:r>
      <w:r w:rsidR="00E42FFF" w:rsidRPr="00225A0C">
        <w:rPr>
          <w:noProof/>
        </w:rPr>
        <w:t xml:space="preserve"> </w:t>
      </w:r>
      <w:r w:rsidRPr="00225A0C">
        <w:rPr>
          <w:noProof/>
        </w:rPr>
        <w:t xml:space="preserve">on </w:t>
      </w:r>
      <w:r w:rsidR="005E2704">
        <w:rPr>
          <w:noProof/>
        </w:rPr>
        <w:t xml:space="preserve">the </w:t>
      </w:r>
      <w:r w:rsidRPr="00225A0C">
        <w:rPr>
          <w:noProof/>
        </w:rPr>
        <w:t>recipients of EU funding</w:t>
      </w:r>
      <w:r w:rsidR="00E42FFF">
        <w:rPr>
          <w:noProof/>
        </w:rPr>
        <w:t xml:space="preserve">, </w:t>
      </w:r>
      <w:r w:rsidRPr="00225A0C">
        <w:rPr>
          <w:noProof/>
        </w:rPr>
        <w:t>where the budget is implemented under shared management and RRF.</w:t>
      </w:r>
    </w:p>
    <w:p w14:paraId="60D0606F" w14:textId="266874AD" w:rsidR="00225A0C" w:rsidRDefault="00225A0C" w:rsidP="00225A0C">
      <w:pPr>
        <w:rPr>
          <w:noProof/>
        </w:rPr>
      </w:pPr>
      <w:r>
        <w:rPr>
          <w:noProof/>
        </w:rPr>
        <w:t xml:space="preserve">One of the Commission’s proposals retained by the co-legislators </w:t>
      </w:r>
      <w:r w:rsidR="00844F69">
        <w:rPr>
          <w:noProof/>
        </w:rPr>
        <w:t xml:space="preserve">for the RRF and Cohesion policy </w:t>
      </w:r>
      <w:r>
        <w:rPr>
          <w:noProof/>
        </w:rPr>
        <w:t xml:space="preserve">requires Member States to record and store </w:t>
      </w:r>
      <w:r w:rsidRPr="005467AC">
        <w:rPr>
          <w:b/>
          <w:noProof/>
        </w:rPr>
        <w:t>data on the recipients of EU funding and their beneficial owners</w:t>
      </w:r>
      <w:r>
        <w:rPr>
          <w:noProof/>
        </w:rPr>
        <w:t xml:space="preserve">. For the CAP, Member States will collect data on groups in which the beneficiaries participate, where applicable. </w:t>
      </w:r>
    </w:p>
    <w:p w14:paraId="351072DE" w14:textId="11B05C45" w:rsidR="00225A0C" w:rsidRDefault="00225A0C" w:rsidP="00225A0C">
      <w:pPr>
        <w:rPr>
          <w:noProof/>
        </w:rPr>
      </w:pPr>
      <w:r>
        <w:rPr>
          <w:noProof/>
        </w:rPr>
        <w:t>With the targeted amendment of the Financial Regulation</w:t>
      </w:r>
      <w:r w:rsidR="00E42FFF">
        <w:rPr>
          <w:rStyle w:val="FootnoteReference"/>
          <w:noProof/>
        </w:rPr>
        <w:footnoteReference w:id="107"/>
      </w:r>
      <w:r>
        <w:rPr>
          <w:noProof/>
        </w:rPr>
        <w:t xml:space="preserve">, the Commission </w:t>
      </w:r>
      <w:r w:rsidR="00E42FFF">
        <w:rPr>
          <w:noProof/>
        </w:rPr>
        <w:t xml:space="preserve">intends </w:t>
      </w:r>
      <w:r>
        <w:rPr>
          <w:noProof/>
        </w:rPr>
        <w:t xml:space="preserve">to further improve the </w:t>
      </w:r>
      <w:r w:rsidR="000F48CB" w:rsidRPr="000F48CB">
        <w:rPr>
          <w:noProof/>
        </w:rPr>
        <w:t>way information is provided to the public on the use of the EU budget and on recipients of EU funding</w:t>
      </w:r>
      <w:r w:rsidR="000F48CB">
        <w:rPr>
          <w:noProof/>
        </w:rPr>
        <w:t xml:space="preserve">. </w:t>
      </w:r>
      <w:r w:rsidR="005E2704">
        <w:rPr>
          <w:noProof/>
        </w:rPr>
        <w:t xml:space="preserve">It </w:t>
      </w:r>
      <w:r>
        <w:rPr>
          <w:noProof/>
        </w:rPr>
        <w:t xml:space="preserve">has proposed to require Member States and other </w:t>
      </w:r>
      <w:r w:rsidR="005E2704">
        <w:rPr>
          <w:noProof/>
        </w:rPr>
        <w:t xml:space="preserve">bodies </w:t>
      </w:r>
      <w:r>
        <w:rPr>
          <w:noProof/>
        </w:rPr>
        <w:t xml:space="preserve">implementing the EU budget </w:t>
      </w:r>
      <w:r w:rsidR="000F48CB">
        <w:rPr>
          <w:noProof/>
        </w:rPr>
        <w:t xml:space="preserve">under all management modes </w:t>
      </w:r>
      <w:r>
        <w:rPr>
          <w:noProof/>
        </w:rPr>
        <w:t xml:space="preserve">to </w:t>
      </w:r>
      <w:r w:rsidR="00844F69">
        <w:rPr>
          <w:noProof/>
        </w:rPr>
        <w:t xml:space="preserve">provide </w:t>
      </w:r>
      <w:r w:rsidR="000F48CB">
        <w:rPr>
          <w:noProof/>
        </w:rPr>
        <w:t xml:space="preserve">to the Commission </w:t>
      </w:r>
      <w:r>
        <w:rPr>
          <w:noProof/>
        </w:rPr>
        <w:t xml:space="preserve">information on their recipients of </w:t>
      </w:r>
      <w:r w:rsidR="005E2704">
        <w:rPr>
          <w:noProof/>
        </w:rPr>
        <w:t xml:space="preserve">EU </w:t>
      </w:r>
      <w:r>
        <w:rPr>
          <w:noProof/>
        </w:rPr>
        <w:t>funding once a year</w:t>
      </w:r>
      <w:r w:rsidR="000F48CB" w:rsidRPr="000F48CB">
        <w:rPr>
          <w:noProof/>
        </w:rPr>
        <w:t>, including unique identifiers if recipients are legal persons.</w:t>
      </w:r>
      <w:r>
        <w:rPr>
          <w:noProof/>
        </w:rPr>
        <w:t xml:space="preserve"> </w:t>
      </w:r>
      <w:r w:rsidR="00844F69">
        <w:rPr>
          <w:noProof/>
        </w:rPr>
        <w:t>T</w:t>
      </w:r>
      <w:r w:rsidR="00844F69" w:rsidRPr="00844F69">
        <w:rPr>
          <w:noProof/>
        </w:rPr>
        <w:t>he rights of beneficiaries to respect their private life and their personal data should be protected</w:t>
      </w:r>
      <w:r w:rsidR="00844F69">
        <w:rPr>
          <w:rStyle w:val="FootnoteReference"/>
          <w:noProof/>
        </w:rPr>
        <w:footnoteReference w:id="108"/>
      </w:r>
      <w:r w:rsidR="00844F69" w:rsidRPr="00844F69">
        <w:rPr>
          <w:noProof/>
        </w:rPr>
        <w:t xml:space="preserve">. </w:t>
      </w:r>
      <w:r>
        <w:rPr>
          <w:noProof/>
        </w:rPr>
        <w:t>The Commission would add to that information the data it has at its disposal on direct management and would be responsible for consolidating, centralising and publishing the information in a database on a single website, covering all management mode</w:t>
      </w:r>
      <w:r w:rsidR="009F547E">
        <w:rPr>
          <w:noProof/>
        </w:rPr>
        <w:t>s</w:t>
      </w:r>
      <w:r>
        <w:rPr>
          <w:noProof/>
        </w:rPr>
        <w:t xml:space="preserve">. The resulting single website would be an improved version of the </w:t>
      </w:r>
      <w:r w:rsidRPr="002436C2">
        <w:rPr>
          <w:b/>
          <w:noProof/>
        </w:rPr>
        <w:t>Financial Transparency System</w:t>
      </w:r>
      <w:r>
        <w:rPr>
          <w:noProof/>
        </w:rPr>
        <w:t xml:space="preserve"> currently in use for direct management.</w:t>
      </w:r>
    </w:p>
    <w:p w14:paraId="531381BE" w14:textId="17B43771" w:rsidR="00225A0C" w:rsidRDefault="00225A0C" w:rsidP="00225A0C">
      <w:pPr>
        <w:rPr>
          <w:noProof/>
        </w:rPr>
      </w:pPr>
      <w:r>
        <w:rPr>
          <w:noProof/>
        </w:rPr>
        <w:t xml:space="preserve">The targeted amendment of the Financial Regulation provides another opportunity </w:t>
      </w:r>
      <w:r w:rsidR="005E2704">
        <w:rPr>
          <w:noProof/>
        </w:rPr>
        <w:t xml:space="preserve">for </w:t>
      </w:r>
      <w:r>
        <w:rPr>
          <w:noProof/>
        </w:rPr>
        <w:t xml:space="preserve">further </w:t>
      </w:r>
      <w:r w:rsidR="005E2704">
        <w:rPr>
          <w:noProof/>
        </w:rPr>
        <w:t xml:space="preserve">improving </w:t>
      </w:r>
      <w:r>
        <w:rPr>
          <w:noProof/>
        </w:rPr>
        <w:t xml:space="preserve">the protection of the EU budget against irregularities, fraud, corruption, and conflicts of interest. </w:t>
      </w:r>
    </w:p>
    <w:p w14:paraId="2E6540B9" w14:textId="6E3617F7" w:rsidR="002436C2" w:rsidRDefault="002436C2" w:rsidP="00225A0C">
      <w:pPr>
        <w:rPr>
          <w:noProof/>
        </w:rPr>
      </w:pPr>
      <w:r w:rsidRPr="002436C2">
        <w:rPr>
          <w:noProof/>
        </w:rPr>
        <w:t xml:space="preserve">First, the Commission has proposed to make the </w:t>
      </w:r>
      <w:r w:rsidRPr="00F85F37">
        <w:rPr>
          <w:b/>
          <w:noProof/>
        </w:rPr>
        <w:t xml:space="preserve">use of </w:t>
      </w:r>
      <w:r w:rsidR="000F48CB" w:rsidRPr="00F85F37">
        <w:rPr>
          <w:b/>
          <w:noProof/>
        </w:rPr>
        <w:t>a single integrated IT system</w:t>
      </w:r>
      <w:r w:rsidR="000F48CB" w:rsidRPr="000F48CB">
        <w:rPr>
          <w:noProof/>
        </w:rPr>
        <w:t xml:space="preserve"> for data-mining and risk-scoring </w:t>
      </w:r>
      <w:r w:rsidRPr="00F85F37">
        <w:rPr>
          <w:b/>
          <w:noProof/>
        </w:rPr>
        <w:t>compulsory</w:t>
      </w:r>
      <w:r w:rsidRPr="002436C2">
        <w:rPr>
          <w:noProof/>
        </w:rPr>
        <w:t>.</w:t>
      </w:r>
      <w:r>
        <w:rPr>
          <w:noProof/>
        </w:rPr>
        <w:t xml:space="preserve"> </w:t>
      </w:r>
      <w:r w:rsidRPr="002436C2">
        <w:rPr>
          <w:noProof/>
        </w:rPr>
        <w:t xml:space="preserve">The use of </w:t>
      </w:r>
      <w:r w:rsidR="000F48CB">
        <w:rPr>
          <w:noProof/>
        </w:rPr>
        <w:t xml:space="preserve">the existing system, </w:t>
      </w:r>
      <w:r w:rsidRPr="002436C2">
        <w:rPr>
          <w:noProof/>
        </w:rPr>
        <w:t>Arachne</w:t>
      </w:r>
      <w:r w:rsidR="000F48CB">
        <w:rPr>
          <w:noProof/>
        </w:rPr>
        <w:t>,</w:t>
      </w:r>
      <w:r w:rsidRPr="002436C2">
        <w:rPr>
          <w:noProof/>
        </w:rPr>
        <w:t xml:space="preserve"> is voluntary and, although already largely used in </w:t>
      </w:r>
      <w:r w:rsidR="00E42FFF">
        <w:rPr>
          <w:noProof/>
        </w:rPr>
        <w:t>c</w:t>
      </w:r>
      <w:r w:rsidR="00E42FFF" w:rsidRPr="002436C2">
        <w:rPr>
          <w:noProof/>
        </w:rPr>
        <w:t xml:space="preserve">ohesion </w:t>
      </w:r>
      <w:r w:rsidR="005E2704">
        <w:rPr>
          <w:noProof/>
        </w:rPr>
        <w:t xml:space="preserve">policy </w:t>
      </w:r>
      <w:r w:rsidRPr="002436C2">
        <w:rPr>
          <w:noProof/>
        </w:rPr>
        <w:t xml:space="preserve">and being introduced for agricultural spending, making it mandatory would be a </w:t>
      </w:r>
      <w:r w:rsidR="005E2704">
        <w:rPr>
          <w:noProof/>
        </w:rPr>
        <w:t xml:space="preserve">major </w:t>
      </w:r>
      <w:r w:rsidRPr="002436C2">
        <w:rPr>
          <w:noProof/>
        </w:rPr>
        <w:t>step forward.</w:t>
      </w:r>
    </w:p>
    <w:p w14:paraId="7D70C5DB" w14:textId="3B38005F" w:rsidR="00225A0C" w:rsidRDefault="00225A0C" w:rsidP="00225A0C">
      <w:pPr>
        <w:rPr>
          <w:noProof/>
        </w:rPr>
      </w:pPr>
      <w:r>
        <w:rPr>
          <w:noProof/>
        </w:rPr>
        <w:t xml:space="preserve">Second, the Commission also proposes to </w:t>
      </w:r>
      <w:r w:rsidRPr="00F85F37">
        <w:rPr>
          <w:b/>
          <w:noProof/>
        </w:rPr>
        <w:t>increase the scope and effectiveness of the Early Detection and Exclusion System</w:t>
      </w:r>
      <w:r w:rsidR="00E42FFF">
        <w:rPr>
          <w:noProof/>
        </w:rPr>
        <w:t xml:space="preserve"> (EDES)</w:t>
      </w:r>
      <w:r>
        <w:rPr>
          <w:noProof/>
        </w:rPr>
        <w:t xml:space="preserve">. This system </w:t>
      </w:r>
      <w:r w:rsidR="000424C7">
        <w:rPr>
          <w:noProof/>
        </w:rPr>
        <w:t xml:space="preserve">consists of </w:t>
      </w:r>
      <w:r>
        <w:rPr>
          <w:noProof/>
        </w:rPr>
        <w:t xml:space="preserve">a set of measures against unreliable economic operators. In particular, it </w:t>
      </w:r>
      <w:r w:rsidR="000424C7">
        <w:rPr>
          <w:noProof/>
        </w:rPr>
        <w:t xml:space="preserve">enables </w:t>
      </w:r>
      <w:r>
        <w:rPr>
          <w:noProof/>
        </w:rPr>
        <w:t>the early detection of fraudulent or unreliable economic operators</w:t>
      </w:r>
      <w:r w:rsidR="00E42FFF">
        <w:rPr>
          <w:noProof/>
        </w:rPr>
        <w:t xml:space="preserve"> and </w:t>
      </w:r>
      <w:r>
        <w:rPr>
          <w:noProof/>
        </w:rPr>
        <w:t>their possible exclusion</w:t>
      </w:r>
      <w:r w:rsidR="00E42FFF">
        <w:rPr>
          <w:noProof/>
        </w:rPr>
        <w:t xml:space="preserve"> from EU funding</w:t>
      </w:r>
      <w:r>
        <w:rPr>
          <w:noProof/>
        </w:rPr>
        <w:t xml:space="preserve">. </w:t>
      </w:r>
      <w:r w:rsidR="000F48CB" w:rsidRPr="000F48CB">
        <w:rPr>
          <w:noProof/>
        </w:rPr>
        <w:t xml:space="preserve">Prohibited practices include a broad range of </w:t>
      </w:r>
      <w:r w:rsidR="00AD2DE2" w:rsidRPr="000F48CB">
        <w:rPr>
          <w:noProof/>
        </w:rPr>
        <w:t>behaviours</w:t>
      </w:r>
      <w:r w:rsidR="000F48CB" w:rsidRPr="000F48CB">
        <w:rPr>
          <w:noProof/>
        </w:rPr>
        <w:t xml:space="preserve"> that affect professional integrity (such as fraud, corruption and grave professional misconduct) and failures in contractual performances (for example significant deficiencies in the implemen</w:t>
      </w:r>
      <w:r w:rsidR="000F48CB">
        <w:rPr>
          <w:noProof/>
        </w:rPr>
        <w:t>tation of EU-funded contracts)</w:t>
      </w:r>
      <w:r w:rsidR="00AD2DE2">
        <w:rPr>
          <w:rStyle w:val="FootnoteReference"/>
          <w:noProof/>
        </w:rPr>
        <w:footnoteReference w:id="109"/>
      </w:r>
      <w:r w:rsidR="000F48CB">
        <w:rPr>
          <w:noProof/>
        </w:rPr>
        <w:t>.</w:t>
      </w:r>
      <w:r w:rsidR="000F48CB" w:rsidRPr="000F48CB">
        <w:rPr>
          <w:noProof/>
        </w:rPr>
        <w:t xml:space="preserve"> In this regard, t</w:t>
      </w:r>
      <w:r>
        <w:rPr>
          <w:noProof/>
        </w:rPr>
        <w:t xml:space="preserve">he Commission has also proposed extending </w:t>
      </w:r>
      <w:r w:rsidR="000F48CB">
        <w:rPr>
          <w:noProof/>
        </w:rPr>
        <w:t xml:space="preserve">the </w:t>
      </w:r>
      <w:r w:rsidR="000424C7">
        <w:rPr>
          <w:noProof/>
        </w:rPr>
        <w:t>system</w:t>
      </w:r>
      <w:r>
        <w:rPr>
          <w:noProof/>
        </w:rPr>
        <w:t xml:space="preserve"> to beneficiaries under shared management with a proportionate and targeted approach. The objective is to make sure that exclusion decisions taken at EU level are enforced </w:t>
      </w:r>
      <w:r w:rsidR="00E42FFF">
        <w:rPr>
          <w:noProof/>
        </w:rPr>
        <w:t>by Member State authorities</w:t>
      </w:r>
      <w:r>
        <w:rPr>
          <w:noProof/>
        </w:rPr>
        <w:t xml:space="preserve"> in shared management. </w:t>
      </w:r>
      <w:r w:rsidR="000424C7">
        <w:rPr>
          <w:noProof/>
        </w:rPr>
        <w:t>T</w:t>
      </w:r>
      <w:r>
        <w:rPr>
          <w:noProof/>
        </w:rPr>
        <w:t xml:space="preserve">he Commission </w:t>
      </w:r>
      <w:r w:rsidR="000424C7">
        <w:rPr>
          <w:noProof/>
        </w:rPr>
        <w:t xml:space="preserve">also </w:t>
      </w:r>
      <w:r>
        <w:rPr>
          <w:noProof/>
        </w:rPr>
        <w:t xml:space="preserve">proposes to allow the exclusion of affiliated entities and/or beneficial owners of a primary excluded entity from bidding for public contracts and ultimately from obtaining EU funds. </w:t>
      </w:r>
    </w:p>
    <w:p w14:paraId="6A635BCA" w14:textId="1C8B8429" w:rsidR="00225A0C" w:rsidRDefault="00225A0C" w:rsidP="00225A0C">
      <w:pPr>
        <w:rPr>
          <w:noProof/>
        </w:rPr>
      </w:pPr>
      <w:r>
        <w:rPr>
          <w:noProof/>
        </w:rPr>
        <w:t xml:space="preserve">Third, the proposed amendments to the Financial Regulation, if endorsed by the co-legislator, will </w:t>
      </w:r>
      <w:r w:rsidRPr="00F85F37">
        <w:rPr>
          <w:b/>
          <w:noProof/>
        </w:rPr>
        <w:t>increase the efficiency and quality of controls and audits with the help of digitalisation and emerging technologies</w:t>
      </w:r>
      <w:r>
        <w:rPr>
          <w:noProof/>
        </w:rPr>
        <w:t xml:space="preserve"> such as machine learning, robotic process automation and artificial intelligence. These aspects are given more visibility in the Financial Regulation </w:t>
      </w:r>
      <w:r w:rsidR="000424C7">
        <w:rPr>
          <w:noProof/>
        </w:rPr>
        <w:t xml:space="preserve">for </w:t>
      </w:r>
      <w:r>
        <w:rPr>
          <w:noProof/>
        </w:rPr>
        <w:t>wider and more consistent use of digital audits and controls</w:t>
      </w:r>
      <w:r w:rsidR="00AD2DE2">
        <w:rPr>
          <w:noProof/>
        </w:rPr>
        <w:t xml:space="preserve">, </w:t>
      </w:r>
      <w:r>
        <w:rPr>
          <w:noProof/>
        </w:rPr>
        <w:t xml:space="preserve">while decreasing the cost of </w:t>
      </w:r>
      <w:r w:rsidR="00844F69">
        <w:rPr>
          <w:noProof/>
        </w:rPr>
        <w:t xml:space="preserve">controls and </w:t>
      </w:r>
      <w:r>
        <w:rPr>
          <w:noProof/>
        </w:rPr>
        <w:t>audits.</w:t>
      </w:r>
      <w:r w:rsidR="002436C2">
        <w:rPr>
          <w:noProof/>
        </w:rPr>
        <w:t xml:space="preserve"> Digitalis</w:t>
      </w:r>
      <w:r w:rsidR="000424C7">
        <w:rPr>
          <w:noProof/>
        </w:rPr>
        <w:t xml:space="preserve">ing </w:t>
      </w:r>
      <w:r w:rsidR="002436C2">
        <w:rPr>
          <w:noProof/>
        </w:rPr>
        <w:t xml:space="preserve">the fight against fraud will also be </w:t>
      </w:r>
      <w:r w:rsidR="00671AE7">
        <w:rPr>
          <w:noProof/>
        </w:rPr>
        <w:t xml:space="preserve">a topic for </w:t>
      </w:r>
      <w:r w:rsidR="002436C2">
        <w:rPr>
          <w:noProof/>
        </w:rPr>
        <w:t xml:space="preserve">the revision of </w:t>
      </w:r>
      <w:r w:rsidR="000424C7">
        <w:rPr>
          <w:noProof/>
        </w:rPr>
        <w:t xml:space="preserve">the </w:t>
      </w:r>
      <w:r w:rsidR="002436C2">
        <w:rPr>
          <w:noProof/>
        </w:rPr>
        <w:t>action plan accompanying the Commission Anti-Fraud Strategy</w:t>
      </w:r>
      <w:r w:rsidR="00671AE7">
        <w:rPr>
          <w:noProof/>
        </w:rPr>
        <w:t>, foreseen</w:t>
      </w:r>
      <w:r w:rsidR="000424C7">
        <w:rPr>
          <w:noProof/>
        </w:rPr>
        <w:t xml:space="preserve"> </w:t>
      </w:r>
      <w:r w:rsidR="00E42FFF">
        <w:rPr>
          <w:noProof/>
        </w:rPr>
        <w:t>for 2023</w:t>
      </w:r>
      <w:r w:rsidR="002436C2">
        <w:rPr>
          <w:noProof/>
        </w:rPr>
        <w:t>.</w:t>
      </w:r>
    </w:p>
    <w:p w14:paraId="00C550B1" w14:textId="5D8380DB" w:rsidR="002436C2" w:rsidRDefault="002436C2" w:rsidP="00AA7228">
      <w:pPr>
        <w:pStyle w:val="Caption"/>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EA0D7C">
        <w:rPr>
          <w:noProof/>
        </w:rPr>
        <w:fldChar w:fldCharType="begin"/>
      </w:r>
      <w:r w:rsidR="00EA0D7C">
        <w:rPr>
          <w:noProof/>
        </w:rPr>
        <w:instrText xml:space="preserve"> SEQ Recommendation \* ARABIC </w:instrText>
      </w:r>
      <w:r w:rsidR="00EA0D7C">
        <w:rPr>
          <w:noProof/>
        </w:rPr>
        <w:fldChar w:fldCharType="separate"/>
      </w:r>
      <w:r w:rsidR="00F963A8">
        <w:rPr>
          <w:noProof/>
        </w:rPr>
        <w:t>3</w:t>
      </w:r>
      <w:r w:rsidR="00EA0D7C">
        <w:rPr>
          <w:noProof/>
        </w:rPr>
        <w:fldChar w:fldCharType="end"/>
      </w:r>
      <w:r>
        <w:rPr>
          <w:noProof/>
        </w:rPr>
        <w:t xml:space="preserve"> – Digitali</w:t>
      </w:r>
      <w:r w:rsidR="000424C7">
        <w:rPr>
          <w:noProof/>
        </w:rPr>
        <w:t>sing</w:t>
      </w:r>
      <w:r>
        <w:rPr>
          <w:noProof/>
        </w:rPr>
        <w:t xml:space="preserve"> the fight against fraud</w:t>
      </w:r>
    </w:p>
    <w:p w14:paraId="2CB556E4" w14:textId="6E003028" w:rsidR="002436C2" w:rsidRPr="002436C2" w:rsidRDefault="002436C2" w:rsidP="00AA7228">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As long as the revision of the Financial Regulation is still ongoing, the Commission invites Member States to make full use of the tools at their disposal (Arachne, EDES, IMS) and encourages the development of </w:t>
      </w:r>
      <w:r w:rsidR="00E42FFF">
        <w:rPr>
          <w:noProof/>
        </w:rPr>
        <w:t xml:space="preserve">interoperable </w:t>
      </w:r>
      <w:r>
        <w:rPr>
          <w:noProof/>
        </w:rPr>
        <w:t xml:space="preserve">solutions with national systems </w:t>
      </w:r>
      <w:r w:rsidR="000424C7">
        <w:rPr>
          <w:noProof/>
        </w:rPr>
        <w:t xml:space="preserve">in order </w:t>
      </w:r>
      <w:r>
        <w:rPr>
          <w:noProof/>
        </w:rPr>
        <w:t xml:space="preserve">to </w:t>
      </w:r>
      <w:r w:rsidR="000424C7">
        <w:rPr>
          <w:noProof/>
        </w:rPr>
        <w:t xml:space="preserve">fully realise </w:t>
      </w:r>
      <w:r>
        <w:rPr>
          <w:noProof/>
        </w:rPr>
        <w:t>their potential</w:t>
      </w:r>
      <w:r w:rsidR="00727AB1">
        <w:rPr>
          <w:noProof/>
        </w:rPr>
        <w:t>.</w:t>
      </w:r>
    </w:p>
    <w:p w14:paraId="43D33256" w14:textId="06B44C44" w:rsidR="00AA7228" w:rsidRPr="00AA7228" w:rsidRDefault="000424C7" w:rsidP="00775F49">
      <w:pPr>
        <w:rPr>
          <w:bCs/>
          <w:i/>
          <w:noProof/>
          <w:shd w:val="clear" w:color="auto" w:fill="FEFFFF"/>
        </w:rPr>
      </w:pPr>
      <w:r>
        <w:rPr>
          <w:bCs/>
          <w:noProof/>
          <w:shd w:val="clear" w:color="auto" w:fill="FEFFFF"/>
        </w:rPr>
        <w:t>A t</w:t>
      </w:r>
      <w:r w:rsidRPr="00E85864">
        <w:rPr>
          <w:bCs/>
          <w:noProof/>
          <w:shd w:val="clear" w:color="auto" w:fill="FEFFFF"/>
        </w:rPr>
        <w:t xml:space="preserve">imely </w:t>
      </w:r>
      <w:r w:rsidR="002C508D" w:rsidRPr="00E85864">
        <w:rPr>
          <w:bCs/>
          <w:noProof/>
          <w:shd w:val="clear" w:color="auto" w:fill="FEFFFF"/>
        </w:rPr>
        <w:t xml:space="preserve">and proactive approach </w:t>
      </w:r>
      <w:r>
        <w:rPr>
          <w:bCs/>
          <w:noProof/>
          <w:shd w:val="clear" w:color="auto" w:fill="FEFFFF"/>
        </w:rPr>
        <w:t>to</w:t>
      </w:r>
      <w:r w:rsidRPr="00E85864">
        <w:rPr>
          <w:bCs/>
          <w:noProof/>
          <w:shd w:val="clear" w:color="auto" w:fill="FEFFFF"/>
        </w:rPr>
        <w:t xml:space="preserve"> </w:t>
      </w:r>
      <w:r w:rsidR="002C508D" w:rsidRPr="00E85864">
        <w:rPr>
          <w:bCs/>
          <w:noProof/>
          <w:shd w:val="clear" w:color="auto" w:fill="FEFFFF"/>
        </w:rPr>
        <w:t xml:space="preserve">assessing and monitoring risks is indispensable for </w:t>
      </w:r>
      <w:r>
        <w:rPr>
          <w:bCs/>
          <w:noProof/>
          <w:shd w:val="clear" w:color="auto" w:fill="FEFFFF"/>
        </w:rPr>
        <w:t xml:space="preserve">the </w:t>
      </w:r>
      <w:r w:rsidR="002C508D" w:rsidRPr="00E85864">
        <w:rPr>
          <w:bCs/>
          <w:noProof/>
          <w:shd w:val="clear" w:color="auto" w:fill="FEFFFF"/>
        </w:rPr>
        <w:t>effective protection of the EU’</w:t>
      </w:r>
      <w:r>
        <w:rPr>
          <w:bCs/>
          <w:noProof/>
          <w:shd w:val="clear" w:color="auto" w:fill="FEFFFF"/>
        </w:rPr>
        <w:t>s</w:t>
      </w:r>
      <w:r w:rsidR="002C508D" w:rsidRPr="00E85864">
        <w:rPr>
          <w:bCs/>
          <w:noProof/>
          <w:shd w:val="clear" w:color="auto" w:fill="FEFFFF"/>
        </w:rPr>
        <w:t xml:space="preserve"> financial interests. This includes using all available sources of information, exchanging information among </w:t>
      </w:r>
      <w:r>
        <w:rPr>
          <w:bCs/>
          <w:noProof/>
          <w:shd w:val="clear" w:color="auto" w:fill="FEFFFF"/>
        </w:rPr>
        <w:t xml:space="preserve">the </w:t>
      </w:r>
      <w:r w:rsidR="002C508D" w:rsidRPr="00E85864">
        <w:rPr>
          <w:bCs/>
          <w:noProof/>
          <w:shd w:val="clear" w:color="auto" w:fill="FEFFFF"/>
        </w:rPr>
        <w:t xml:space="preserve">services involved and giving prompt feedback on actions taken. Such permanent assessment, exchange of information and monitoring of risks, fraud trends and feedback is required </w:t>
      </w:r>
      <w:r w:rsidR="009706BC">
        <w:rPr>
          <w:bCs/>
          <w:noProof/>
          <w:shd w:val="clear" w:color="auto" w:fill="FEFFFF"/>
        </w:rPr>
        <w:t>to</w:t>
      </w:r>
      <w:r w:rsidR="009706BC" w:rsidRPr="00E85864">
        <w:rPr>
          <w:bCs/>
          <w:noProof/>
          <w:shd w:val="clear" w:color="auto" w:fill="FEFFFF"/>
        </w:rPr>
        <w:t xml:space="preserve"> </w:t>
      </w:r>
      <w:r w:rsidR="002C508D" w:rsidRPr="00E85864">
        <w:rPr>
          <w:bCs/>
          <w:noProof/>
          <w:shd w:val="clear" w:color="auto" w:fill="FEFFFF"/>
        </w:rPr>
        <w:t>fine-</w:t>
      </w:r>
      <w:r w:rsidR="009706BC" w:rsidRPr="00E85864">
        <w:rPr>
          <w:bCs/>
          <w:noProof/>
          <w:shd w:val="clear" w:color="auto" w:fill="FEFFFF"/>
        </w:rPr>
        <w:t>tun</w:t>
      </w:r>
      <w:r w:rsidR="009706BC">
        <w:rPr>
          <w:bCs/>
          <w:noProof/>
          <w:shd w:val="clear" w:color="auto" w:fill="FEFFFF"/>
        </w:rPr>
        <w:t>e</w:t>
      </w:r>
      <w:r w:rsidR="009706BC" w:rsidRPr="00E85864">
        <w:rPr>
          <w:bCs/>
          <w:noProof/>
          <w:shd w:val="clear" w:color="auto" w:fill="FEFFFF"/>
        </w:rPr>
        <w:t xml:space="preserve"> </w:t>
      </w:r>
      <w:r w:rsidR="002C508D" w:rsidRPr="00E85864">
        <w:rPr>
          <w:bCs/>
          <w:noProof/>
          <w:shd w:val="clear" w:color="auto" w:fill="FEFFFF"/>
        </w:rPr>
        <w:t xml:space="preserve">the measures to be taken </w:t>
      </w:r>
      <w:r w:rsidR="009706BC">
        <w:rPr>
          <w:bCs/>
          <w:noProof/>
          <w:shd w:val="clear" w:color="auto" w:fill="FEFFFF"/>
        </w:rPr>
        <w:t xml:space="preserve">to </w:t>
      </w:r>
      <w:r w:rsidR="002C508D" w:rsidRPr="00E85864">
        <w:rPr>
          <w:bCs/>
          <w:noProof/>
          <w:shd w:val="clear" w:color="auto" w:fill="FEFFFF"/>
        </w:rPr>
        <w:t>better protect the EU’s financial interests.</w:t>
      </w:r>
    </w:p>
    <w:p w14:paraId="183ED37D" w14:textId="01C44D9C" w:rsidR="00B01601" w:rsidRDefault="002C508D" w:rsidP="00DC1244">
      <w:pPr>
        <w:pStyle w:val="Caption"/>
        <w:keepNext/>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Recommendation </w:t>
      </w:r>
      <w:r w:rsidR="00EA0D7C">
        <w:rPr>
          <w:noProof/>
        </w:rPr>
        <w:fldChar w:fldCharType="begin"/>
      </w:r>
      <w:r w:rsidR="00EA0D7C">
        <w:rPr>
          <w:noProof/>
        </w:rPr>
        <w:instrText xml:space="preserve"> SEQ Recommendation \* ARABIC </w:instrText>
      </w:r>
      <w:r w:rsidR="00EA0D7C">
        <w:rPr>
          <w:noProof/>
        </w:rPr>
        <w:fldChar w:fldCharType="separate"/>
      </w:r>
      <w:r w:rsidR="00F963A8">
        <w:rPr>
          <w:noProof/>
        </w:rPr>
        <w:t>4</w:t>
      </w:r>
      <w:r w:rsidR="00EA0D7C">
        <w:rPr>
          <w:noProof/>
        </w:rPr>
        <w:fldChar w:fldCharType="end"/>
      </w:r>
      <w:r>
        <w:rPr>
          <w:noProof/>
        </w:rPr>
        <w:t xml:space="preserve"> – Strengthen fraud risk analysis</w:t>
      </w:r>
    </w:p>
    <w:p w14:paraId="3D443415" w14:textId="696D2192" w:rsidR="002C508D" w:rsidRDefault="002C508D" w:rsidP="00E8586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sidRPr="002C508D">
        <w:rPr>
          <w:noProof/>
        </w:rPr>
        <w:t xml:space="preserve">Member States </w:t>
      </w:r>
      <w:r>
        <w:rPr>
          <w:noProof/>
        </w:rPr>
        <w:t>should</w:t>
      </w:r>
      <w:r w:rsidRPr="002C508D">
        <w:rPr>
          <w:noProof/>
        </w:rPr>
        <w:t xml:space="preserve"> </w:t>
      </w:r>
      <w:r w:rsidR="009706BC">
        <w:rPr>
          <w:noProof/>
        </w:rPr>
        <w:t xml:space="preserve">take </w:t>
      </w:r>
      <w:r w:rsidRPr="002C508D">
        <w:rPr>
          <w:noProof/>
        </w:rPr>
        <w:t xml:space="preserve">a proactive approach </w:t>
      </w:r>
      <w:r w:rsidR="009706BC">
        <w:rPr>
          <w:noProof/>
        </w:rPr>
        <w:t xml:space="preserve">to </w:t>
      </w:r>
      <w:r w:rsidR="009706BC" w:rsidRPr="002C508D">
        <w:rPr>
          <w:noProof/>
        </w:rPr>
        <w:t>protecti</w:t>
      </w:r>
      <w:r w:rsidR="009706BC">
        <w:rPr>
          <w:noProof/>
        </w:rPr>
        <w:t>ng</w:t>
      </w:r>
      <w:r w:rsidR="009706BC" w:rsidRPr="002C508D">
        <w:rPr>
          <w:noProof/>
        </w:rPr>
        <w:t xml:space="preserve"> </w:t>
      </w:r>
      <w:r w:rsidRPr="002C508D">
        <w:rPr>
          <w:noProof/>
        </w:rPr>
        <w:t>the financial interests of the EU</w:t>
      </w:r>
      <w:r>
        <w:rPr>
          <w:noProof/>
        </w:rPr>
        <w:t xml:space="preserve">. This </w:t>
      </w:r>
      <w:r w:rsidR="009706BC">
        <w:rPr>
          <w:noProof/>
        </w:rPr>
        <w:t xml:space="preserve">means </w:t>
      </w:r>
      <w:r>
        <w:rPr>
          <w:noProof/>
        </w:rPr>
        <w:t xml:space="preserve">using data from all available sources, </w:t>
      </w:r>
      <w:r w:rsidR="009706BC">
        <w:rPr>
          <w:noProof/>
        </w:rPr>
        <w:t xml:space="preserve">analysing the </w:t>
      </w:r>
      <w:r>
        <w:rPr>
          <w:noProof/>
        </w:rPr>
        <w:t xml:space="preserve">data </w:t>
      </w:r>
      <w:r w:rsidR="00954A53">
        <w:rPr>
          <w:noProof/>
        </w:rPr>
        <w:t>and exchang</w:t>
      </w:r>
      <w:r w:rsidR="009706BC">
        <w:rPr>
          <w:noProof/>
        </w:rPr>
        <w:t>ing</w:t>
      </w:r>
      <w:r w:rsidR="00954A53">
        <w:rPr>
          <w:noProof/>
        </w:rPr>
        <w:t xml:space="preserve"> information, including </w:t>
      </w:r>
      <w:r>
        <w:rPr>
          <w:noProof/>
        </w:rPr>
        <w:t>with law enforcement authorities and the Commission in order to identify and address emerging risks and fraud trends in a timely manner</w:t>
      </w:r>
      <w:r w:rsidR="00640FAD">
        <w:rPr>
          <w:noProof/>
        </w:rPr>
        <w:t>.</w:t>
      </w:r>
    </w:p>
    <w:p w14:paraId="7C8EE304" w14:textId="7DC6B9CF" w:rsidR="00640FAD" w:rsidRPr="00E85864" w:rsidRDefault="00640FAD" w:rsidP="00E85864">
      <w:pPr>
        <w:pBdr>
          <w:top w:val="single" w:sz="4" w:space="1" w:color="auto"/>
          <w:left w:val="single" w:sz="4" w:space="4" w:color="auto"/>
          <w:bottom w:val="single" w:sz="4" w:space="1" w:color="auto"/>
          <w:right w:val="single" w:sz="4" w:space="4" w:color="auto"/>
        </w:pBdr>
        <w:shd w:val="clear" w:color="auto" w:fill="FBE4D5" w:themeFill="accent2" w:themeFillTint="33"/>
        <w:rPr>
          <w:noProof/>
        </w:rPr>
      </w:pPr>
      <w:r>
        <w:rPr>
          <w:noProof/>
        </w:rPr>
        <w:t xml:space="preserve">Member States should also </w:t>
      </w:r>
      <w:r w:rsidRPr="00640FAD">
        <w:rPr>
          <w:noProof/>
        </w:rPr>
        <w:t xml:space="preserve">act upon the information provided by the Commission </w:t>
      </w:r>
      <w:r w:rsidR="009706BC">
        <w:rPr>
          <w:noProof/>
        </w:rPr>
        <w:t xml:space="preserve">in </w:t>
      </w:r>
      <w:r>
        <w:rPr>
          <w:noProof/>
        </w:rPr>
        <w:t xml:space="preserve">this and other strategic analysis </w:t>
      </w:r>
      <w:r w:rsidR="00AD2DE2">
        <w:rPr>
          <w:noProof/>
        </w:rPr>
        <w:t xml:space="preserve">and targeted </w:t>
      </w:r>
      <w:r>
        <w:rPr>
          <w:noProof/>
        </w:rPr>
        <w:t xml:space="preserve">reports </w:t>
      </w:r>
      <w:r w:rsidRPr="00640FAD">
        <w:rPr>
          <w:noProof/>
        </w:rPr>
        <w:t xml:space="preserve">and provide prompt feedback on </w:t>
      </w:r>
      <w:r w:rsidR="009706BC">
        <w:rPr>
          <w:noProof/>
        </w:rPr>
        <w:t xml:space="preserve">the </w:t>
      </w:r>
      <w:r w:rsidRPr="00640FAD">
        <w:rPr>
          <w:noProof/>
        </w:rPr>
        <w:t xml:space="preserve">actions </w:t>
      </w:r>
      <w:r w:rsidR="009706BC">
        <w:rPr>
          <w:noProof/>
        </w:rPr>
        <w:t xml:space="preserve">they </w:t>
      </w:r>
      <w:r w:rsidRPr="00640FAD">
        <w:rPr>
          <w:noProof/>
        </w:rPr>
        <w:t xml:space="preserve">take in order to </w:t>
      </w:r>
      <w:r w:rsidR="009706BC">
        <w:rPr>
          <w:noProof/>
        </w:rPr>
        <w:t xml:space="preserve">help </w:t>
      </w:r>
      <w:r w:rsidRPr="00640FAD">
        <w:rPr>
          <w:noProof/>
        </w:rPr>
        <w:t>monitor</w:t>
      </w:r>
      <w:r w:rsidR="009706BC">
        <w:rPr>
          <w:noProof/>
        </w:rPr>
        <w:t xml:space="preserve"> fraud </w:t>
      </w:r>
      <w:r w:rsidRPr="00640FAD">
        <w:rPr>
          <w:noProof/>
        </w:rPr>
        <w:t>risks and trends.</w:t>
      </w:r>
    </w:p>
    <w:sectPr w:rsidR="00640FAD" w:rsidRPr="00E85864" w:rsidSect="007E088F">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5086" w14:textId="77777777" w:rsidR="00DA41DB" w:rsidRDefault="00DA41DB">
      <w:pPr>
        <w:spacing w:after="0" w:line="240" w:lineRule="auto"/>
      </w:pPr>
      <w:r>
        <w:separator/>
      </w:r>
    </w:p>
  </w:endnote>
  <w:endnote w:type="continuationSeparator" w:id="0">
    <w:p w14:paraId="7A07E701" w14:textId="77777777" w:rsidR="00DA41DB" w:rsidRDefault="00DA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4C15" w14:textId="77777777" w:rsidR="00EA0D7C" w:rsidRPr="00EA0D7C" w:rsidRDefault="00EA0D7C" w:rsidP="00EA0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E2CC" w14:textId="00B0138C" w:rsidR="00DA41DB" w:rsidRPr="00EA0D7C" w:rsidRDefault="00EA0D7C" w:rsidP="00EA0D7C">
    <w:pPr>
      <w:pStyle w:val="FooterCoverPage"/>
      <w:rPr>
        <w:rFonts w:ascii="Arial" w:hAnsi="Arial" w:cs="Arial"/>
        <w:b/>
        <w:sz w:val="48"/>
      </w:rPr>
    </w:pPr>
    <w:r w:rsidRPr="00EA0D7C">
      <w:rPr>
        <w:rFonts w:ascii="Arial" w:hAnsi="Arial" w:cs="Arial"/>
        <w:b/>
        <w:sz w:val="48"/>
      </w:rPr>
      <w:t>EN</w:t>
    </w:r>
    <w:r w:rsidRPr="00EA0D7C">
      <w:rPr>
        <w:rFonts w:ascii="Arial" w:hAnsi="Arial" w:cs="Arial"/>
        <w:b/>
        <w:sz w:val="48"/>
      </w:rPr>
      <w:tab/>
    </w:r>
    <w:r w:rsidRPr="00EA0D7C">
      <w:rPr>
        <w:rFonts w:ascii="Arial" w:hAnsi="Arial" w:cs="Arial"/>
        <w:b/>
        <w:sz w:val="48"/>
      </w:rPr>
      <w:tab/>
    </w:r>
    <w:r w:rsidRPr="00EA0D7C">
      <w:tab/>
    </w:r>
    <w:r w:rsidRPr="00EA0D7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E3AC" w14:textId="77777777" w:rsidR="00EA0D7C" w:rsidRPr="00EA0D7C" w:rsidRDefault="00EA0D7C" w:rsidP="00EA0D7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7B2F" w14:textId="030699FB" w:rsidR="00DA41DB" w:rsidRDefault="00EA0D7C">
    <w:pPr>
      <w:pStyle w:val="FooterLine"/>
    </w:pPr>
    <w:sdt>
      <w:sdtPr>
        <w:id w:val="-528648053"/>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DA41DB">
          <w:t>33rd Annual Report on the protection of the EU financial interests and the fight against fraud</w:t>
        </w:r>
      </w:sdtContent>
    </w:sdt>
    <w:r w:rsidR="00DA41DB">
      <w:t xml:space="preserve"> - </w:t>
    </w:r>
    <w:sdt>
      <w:sdtPr>
        <w:id w:val="-689454819"/>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DA41DB">
          <w:t>2021</w:t>
        </w:r>
      </w:sdtContent>
    </w:sdt>
    <w:r w:rsidR="00DA41DB">
      <w:tab/>
      <w:t xml:space="preserve">Page </w:t>
    </w:r>
    <w:r w:rsidR="00DA41DB">
      <w:fldChar w:fldCharType="begin"/>
    </w:r>
    <w:r w:rsidR="00DA41DB">
      <w:instrText>PAGE</w:instrText>
    </w:r>
    <w:r w:rsidR="00DA41DB">
      <w:fldChar w:fldCharType="separate"/>
    </w:r>
    <w:r w:rsidR="00DA41DB">
      <w:rPr>
        <w:noProof/>
      </w:rPr>
      <w:t>3</w:t>
    </w:r>
    <w:r w:rsidR="00DA41DB">
      <w:fldChar w:fldCharType="end"/>
    </w:r>
    <w:r w:rsidR="00DA41DB">
      <w:t xml:space="preserve"> / </w:t>
    </w:r>
    <w:r w:rsidR="00DA41DB">
      <w:fldChar w:fldCharType="begin"/>
    </w:r>
    <w:r w:rsidR="00DA41DB">
      <w:instrText>NUMPAGES</w:instrText>
    </w:r>
    <w:r w:rsidR="00DA41DB">
      <w:fldChar w:fldCharType="separate"/>
    </w:r>
    <w:r w:rsidR="00F963A8">
      <w:rPr>
        <w:noProof/>
      </w:rPr>
      <w:t>44</w:t>
    </w:r>
    <w:r w:rsidR="00DA41DB">
      <w:fldChar w:fldCharType="end"/>
    </w:r>
  </w:p>
  <w:p w14:paraId="4BBF67B5" w14:textId="77777777" w:rsidR="00DA41DB" w:rsidRDefault="00EA0D7C">
    <w:pPr>
      <w:pStyle w:val="Footer"/>
    </w:pPr>
    <w:sdt>
      <w:sdtPr>
        <w:id w:val="-431048948"/>
        <w:dataBinding w:xpath="/Texts/TechFooterVersion" w:storeItemID="{4EF90DE6-88B6-4264-9629-4D8DFDFE87D2}"/>
        <w:text w:multiLine="1"/>
      </w:sdtPr>
      <w:sdtEndPr/>
      <w:sdtContent>
        <w:r w:rsidR="00DA41DB">
          <w:t>Document Version</w:t>
        </w:r>
      </w:sdtContent>
    </w:sdt>
    <w:r w:rsidR="00DA41DB">
      <w:t xml:space="preserve"> </w:t>
    </w:r>
    <w:sdt>
      <w:sdtPr>
        <w:alias w:val="Version"/>
        <w:id w:val="-1221436014"/>
        <w:dataBinding w:xpath="/EurolookProperties/DocumentVersion" w:storeItemID="{D3EA5527-7367-4268-9D83-5125C98D0ED2}"/>
        <w:text w:multiLine="1"/>
      </w:sdtPr>
      <w:sdtEndPr/>
      <w:sdtContent>
        <w:r w:rsidR="00DA41DB">
          <w:t>1.1</w:t>
        </w:r>
      </w:sdtContent>
    </w:sdt>
    <w:r w:rsidR="00DA41DB">
      <w:t xml:space="preserve"> </w:t>
    </w:r>
    <w:sdt>
      <w:sdtPr>
        <w:id w:val="65012159"/>
        <w:dataBinding w:xpath="/Texts/TechFooterDated" w:storeItemID="{4EF90DE6-88B6-4264-9629-4D8DFDFE87D2}"/>
        <w:text w:multiLine="1"/>
      </w:sdtPr>
      <w:sdtEndPr/>
      <w:sdtContent>
        <w:r w:rsidR="00DA41DB">
          <w:t>dated</w:t>
        </w:r>
      </w:sdtContent>
    </w:sdt>
    <w:r w:rsidR="00DA41DB">
      <w:t xml:space="preserve"> </w:t>
    </w:r>
    <w:sdt>
      <w:sdtPr>
        <w:alias w:val=""/>
        <w:id w:val="1319300535"/>
        <w:dataBinding w:xpath="/EurolookProperties/DocumentDate" w:storeItemID="{D3EA5527-7367-4268-9D83-5125C98D0ED2}"/>
        <w:date w:fullDate="2022-06-20T00:00:00Z">
          <w:dateFormat w:val="dd/MM/yyyy"/>
          <w:lid w:val="en-GB"/>
          <w:storeMappedDataAs w:val="dateTime"/>
          <w:calendar w:val="gregorian"/>
        </w:date>
      </w:sdtPr>
      <w:sdtEndPr/>
      <w:sdtContent>
        <w:r w:rsidR="00DA41DB">
          <w:t>20/06/2022</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661D" w14:textId="55ED428D" w:rsidR="00DA41DB" w:rsidRDefault="00DA41DB">
    <w:pPr>
      <w:pStyle w:val="FooterLine"/>
    </w:pPr>
    <w:r>
      <w:tab/>
      <w:t xml:space="preserve">Page </w:t>
    </w:r>
    <w:r>
      <w:fldChar w:fldCharType="begin"/>
    </w:r>
    <w:r>
      <w:instrText>PAGE</w:instrText>
    </w:r>
    <w:r>
      <w:fldChar w:fldCharType="separate"/>
    </w:r>
    <w:r w:rsidR="00EA0D7C">
      <w:rPr>
        <w:noProof/>
      </w:rPr>
      <w:t>20</w:t>
    </w:r>
    <w:r>
      <w:fldChar w:fldCharType="end"/>
    </w:r>
    <w:r>
      <w:t xml:space="preserve"> / </w:t>
    </w:r>
    <w:r>
      <w:fldChar w:fldCharType="begin"/>
    </w:r>
    <w:r>
      <w:instrText>NUMPAGES</w:instrText>
    </w:r>
    <w:r>
      <w:fldChar w:fldCharType="separate"/>
    </w:r>
    <w:r w:rsidR="00EA0D7C">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BEF7" w14:textId="77777777" w:rsidR="00DA41DB" w:rsidRPr="00727AB1" w:rsidRDefault="00DA41DB" w:rsidP="0072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376F4" w14:textId="77777777" w:rsidR="00DA41DB" w:rsidRDefault="00DA41DB">
      <w:pPr>
        <w:spacing w:after="0" w:line="240" w:lineRule="auto"/>
      </w:pPr>
      <w:r>
        <w:separator/>
      </w:r>
    </w:p>
  </w:footnote>
  <w:footnote w:type="continuationSeparator" w:id="0">
    <w:p w14:paraId="378743FA" w14:textId="77777777" w:rsidR="00DA41DB" w:rsidRDefault="00DA41DB">
      <w:pPr>
        <w:spacing w:after="0" w:line="240" w:lineRule="auto"/>
      </w:pPr>
      <w:r>
        <w:continuationSeparator/>
      </w:r>
    </w:p>
  </w:footnote>
  <w:footnote w:id="1">
    <w:p w14:paraId="0C6E18E0" w14:textId="0FBEE3E8" w:rsidR="00DA41DB" w:rsidRDefault="00DA41DB" w:rsidP="00167262">
      <w:pPr>
        <w:pStyle w:val="FootnoteText"/>
      </w:pPr>
      <w:r>
        <w:rPr>
          <w:rStyle w:val="FootnoteReference"/>
        </w:rPr>
        <w:footnoteRef/>
      </w:r>
      <w:r>
        <w:tab/>
      </w:r>
      <w:r w:rsidRPr="00677134">
        <w:t xml:space="preserve">Also known as </w:t>
      </w:r>
      <w:r>
        <w:t xml:space="preserve">the </w:t>
      </w:r>
      <w:r w:rsidRPr="00677134">
        <w:t xml:space="preserve">PIF Report, from </w:t>
      </w:r>
      <w:r w:rsidRPr="00677134">
        <w:rPr>
          <w:i/>
        </w:rPr>
        <w:t>Protection des Intérêts Financiers</w:t>
      </w:r>
      <w:r>
        <w:rPr>
          <w:i/>
        </w:rPr>
        <w:t xml:space="preserve"> </w:t>
      </w:r>
      <w:r>
        <w:t>in French</w:t>
      </w:r>
      <w:r w:rsidRPr="00677134">
        <w:t>, th</w:t>
      </w:r>
      <w:r>
        <w:t>is</w:t>
      </w:r>
      <w:r w:rsidRPr="00677134">
        <w:t xml:space="preserve"> report is accompanied by six Commission </w:t>
      </w:r>
      <w:r>
        <w:t>s</w:t>
      </w:r>
      <w:r w:rsidRPr="00677134">
        <w:t xml:space="preserve">taff </w:t>
      </w:r>
      <w:r>
        <w:t>w</w:t>
      </w:r>
      <w:r w:rsidRPr="00677134">
        <w:t xml:space="preserve">orking </w:t>
      </w:r>
      <w:r>
        <w:t>d</w:t>
      </w:r>
      <w:r w:rsidRPr="00677134">
        <w:t>ocuments concerning:</w:t>
      </w:r>
    </w:p>
    <w:p w14:paraId="76BCF821" w14:textId="2939F2F4" w:rsidR="00DA41DB" w:rsidRPr="00DC0ACA" w:rsidRDefault="00DA41DB" w:rsidP="00167262">
      <w:pPr>
        <w:pStyle w:val="FootnoteText"/>
        <w:numPr>
          <w:ilvl w:val="0"/>
          <w:numId w:val="17"/>
        </w:numPr>
        <w:spacing w:line="240" w:lineRule="auto"/>
      </w:pPr>
      <w:r>
        <w:t>s</w:t>
      </w:r>
      <w:r w:rsidRPr="00DC0ACA">
        <w:t>tatistical evaluation of irregularities reported for own resources, natural resources, cohesion policy and pre-accession assistance and direct expenditure in 2020</w:t>
      </w:r>
      <w:r w:rsidRPr="00B51456">
        <w:t>;</w:t>
      </w:r>
    </w:p>
    <w:p w14:paraId="4A87F104" w14:textId="2F2A52E8" w:rsidR="00DA41DB" w:rsidRPr="00B51456" w:rsidRDefault="00DA41DB" w:rsidP="00167262">
      <w:pPr>
        <w:pStyle w:val="FootnoteText"/>
        <w:numPr>
          <w:ilvl w:val="0"/>
          <w:numId w:val="17"/>
        </w:numPr>
        <w:spacing w:line="240" w:lineRule="auto"/>
      </w:pPr>
      <w:r>
        <w:t>m</w:t>
      </w:r>
      <w:r w:rsidRPr="00DC0ACA">
        <w:t>easures adopted by Member States to protect the EU’s financial interests in 202</w:t>
      </w:r>
      <w:r>
        <w:t>1</w:t>
      </w:r>
      <w:r w:rsidRPr="00B51456">
        <w:t>;</w:t>
      </w:r>
    </w:p>
    <w:p w14:paraId="5C35F700" w14:textId="05BB6713" w:rsidR="00DA41DB" w:rsidRPr="00B51456" w:rsidRDefault="00DA41DB" w:rsidP="00167262">
      <w:pPr>
        <w:pStyle w:val="FootnoteText"/>
        <w:numPr>
          <w:ilvl w:val="0"/>
          <w:numId w:val="17"/>
        </w:numPr>
        <w:spacing w:line="240" w:lineRule="auto"/>
      </w:pPr>
      <w:r>
        <w:t>f</w:t>
      </w:r>
      <w:r w:rsidRPr="00DC0ACA">
        <w:t>ollow-</w:t>
      </w:r>
      <w:r w:rsidRPr="00B51456">
        <w:t>up on recommendations to the Commission report on the protection of the EU’s financial interests – fight against fraud 20</w:t>
      </w:r>
      <w:r>
        <w:t>20</w:t>
      </w:r>
      <w:r w:rsidRPr="00B51456">
        <w:t>;</w:t>
      </w:r>
    </w:p>
    <w:p w14:paraId="1D519EF5" w14:textId="77777777" w:rsidR="00DA41DB" w:rsidRPr="00F6664B" w:rsidRDefault="00DA41DB" w:rsidP="00167262">
      <w:pPr>
        <w:pStyle w:val="FootnoteText"/>
        <w:numPr>
          <w:ilvl w:val="0"/>
          <w:numId w:val="17"/>
        </w:numPr>
        <w:spacing w:line="240" w:lineRule="auto"/>
      </w:pPr>
      <w:r w:rsidRPr="00F6664B">
        <w:t>European Anti-Fraud Programme – 2021 implementation;</w:t>
      </w:r>
    </w:p>
    <w:p w14:paraId="5F4BDC51" w14:textId="77777777" w:rsidR="00DA41DB" w:rsidRDefault="00DA41DB" w:rsidP="00167262">
      <w:pPr>
        <w:pStyle w:val="FootnoteText"/>
        <w:numPr>
          <w:ilvl w:val="0"/>
          <w:numId w:val="17"/>
        </w:numPr>
        <w:spacing w:line="240" w:lineRule="auto"/>
      </w:pPr>
      <w:r w:rsidRPr="00DC0ACA">
        <w:t>Early Detection and Exclusion System (EDES) — Panel referred to in Article 1</w:t>
      </w:r>
      <w:r>
        <w:t>43</w:t>
      </w:r>
      <w:r w:rsidRPr="00DC0ACA">
        <w:t xml:space="preserve"> of the Financial Regulation;</w:t>
      </w:r>
    </w:p>
    <w:p w14:paraId="7C4FFBEB" w14:textId="741F65BE" w:rsidR="00DA41DB" w:rsidRPr="00677134" w:rsidRDefault="00DA41DB" w:rsidP="00FB11CB">
      <w:pPr>
        <w:pStyle w:val="FootnoteText"/>
        <w:numPr>
          <w:ilvl w:val="0"/>
          <w:numId w:val="17"/>
        </w:numPr>
      </w:pPr>
      <w:r>
        <w:t xml:space="preserve">CAFS </w:t>
      </w:r>
      <w:r w:rsidRPr="00FB11CB">
        <w:t>Action Plan - State of play June 2022</w:t>
      </w:r>
      <w:r>
        <w:t>.</w:t>
      </w:r>
    </w:p>
  </w:footnote>
  <w:footnote w:id="2">
    <w:p w14:paraId="6580E821" w14:textId="53CD0D61" w:rsidR="00DA41DB" w:rsidRPr="00131B72" w:rsidRDefault="00DA41DB">
      <w:pPr>
        <w:pStyle w:val="FootnoteText"/>
      </w:pPr>
      <w:r>
        <w:rPr>
          <w:rStyle w:val="FootnoteReference"/>
        </w:rPr>
        <w:footnoteRef/>
      </w:r>
      <w:r>
        <w:tab/>
        <w:t xml:space="preserve">Article 1.2 of </w:t>
      </w:r>
      <w:r w:rsidRPr="00131B72">
        <w:t>Council Regulation (EC, EURATOM) No 2988/95</w:t>
      </w:r>
      <w:r>
        <w:t xml:space="preserve"> of 18 December 1995, OJEC 23.12.1995 L312 and Article 2(35) of </w:t>
      </w:r>
      <w:r w:rsidRPr="00131B72">
        <w:t>Regulation (EU) No 1303/2013 of the European Parliament and of the Council of 17 December 2013</w:t>
      </w:r>
      <w:r>
        <w:t>, OJ 20.12.2013, L347.</w:t>
      </w:r>
    </w:p>
  </w:footnote>
  <w:footnote w:id="3">
    <w:p w14:paraId="1D5614CE" w14:textId="47877585" w:rsidR="00DA41DB" w:rsidRPr="00B7631B" w:rsidRDefault="00DA41DB" w:rsidP="00B7631B">
      <w:pPr>
        <w:pStyle w:val="FootnoteText"/>
      </w:pPr>
      <w:r>
        <w:rPr>
          <w:rStyle w:val="FootnoteReference"/>
        </w:rPr>
        <w:footnoteRef/>
      </w:r>
      <w:r>
        <w:tab/>
        <w:t xml:space="preserve">See </w:t>
      </w:r>
      <w:r w:rsidRPr="0045480B">
        <w:t>for example</w:t>
      </w:r>
      <w:r>
        <w:t xml:space="preserve"> Article 2(a) of Commission delegated Regulation (EU) 2015/1970 of 8 July 2015, OJ L293, </w:t>
      </w:r>
      <w:r w:rsidRPr="00B7631B">
        <w:t>10.11.2015</w:t>
      </w:r>
      <w:r>
        <w:t>.</w:t>
      </w:r>
    </w:p>
  </w:footnote>
  <w:footnote w:id="4">
    <w:p w14:paraId="0A68DC03" w14:textId="4A6FC94E" w:rsidR="00DA41DB" w:rsidRPr="00783105" w:rsidRDefault="00DA41DB">
      <w:pPr>
        <w:pStyle w:val="FootnoteText"/>
      </w:pPr>
      <w:r>
        <w:rPr>
          <w:rStyle w:val="FootnoteReference"/>
        </w:rPr>
        <w:footnoteRef/>
      </w:r>
      <w:r>
        <w:tab/>
      </w:r>
      <w:r w:rsidRPr="00783105">
        <w:t>Directive (EU) 2017/1371</w:t>
      </w:r>
      <w:r>
        <w:t xml:space="preserve"> </w:t>
      </w:r>
      <w:r w:rsidRPr="00783105">
        <w:t>of the European Parliament and of the Council</w:t>
      </w:r>
      <w:r>
        <w:t xml:space="preserve"> </w:t>
      </w:r>
      <w:r w:rsidRPr="00783105">
        <w:t>of 5 July 2017</w:t>
      </w:r>
      <w:r>
        <w:t>, Article 2.1(a), OJ 28.07.2017 L198, p. 29.</w:t>
      </w:r>
    </w:p>
  </w:footnote>
  <w:footnote w:id="5">
    <w:p w14:paraId="52192855" w14:textId="36A9A8D1" w:rsidR="00DA41DB" w:rsidRPr="00A828A1" w:rsidRDefault="00DA41DB">
      <w:pPr>
        <w:pStyle w:val="FootnoteText"/>
      </w:pPr>
      <w:r>
        <w:rPr>
          <w:rStyle w:val="FootnoteReference"/>
        </w:rPr>
        <w:footnoteRef/>
      </w:r>
      <w:r>
        <w:tab/>
        <w:t xml:space="preserve">TOR mainly consists of </w:t>
      </w:r>
      <w:r w:rsidRPr="00A828A1">
        <w:t>customs duties after deduction of the retention rate of 25%.</w:t>
      </w:r>
    </w:p>
  </w:footnote>
  <w:footnote w:id="6">
    <w:p w14:paraId="73CD02E7" w14:textId="3D8A9339" w:rsidR="00DA41DB" w:rsidRPr="00662EE8" w:rsidRDefault="00DA41DB" w:rsidP="00662EE8">
      <w:pPr>
        <w:pStyle w:val="FootnoteText"/>
      </w:pPr>
      <w:r>
        <w:rPr>
          <w:rStyle w:val="FootnoteReference"/>
        </w:rPr>
        <w:footnoteRef/>
      </w:r>
      <w:r>
        <w:tab/>
        <w:t xml:space="preserve">For the yearly adoption procedure of the EU budget, </w:t>
      </w:r>
      <w:hyperlink r:id="rId1" w:history="1">
        <w:r w:rsidRPr="00BC1428">
          <w:rPr>
            <w:rStyle w:val="Hyperlink"/>
          </w:rPr>
          <w:t>https://ec.europa.eu/info/sites/default/files/about_the_european_commission/eu_budget/budgetary-procedure.pdf</w:t>
        </w:r>
      </w:hyperlink>
      <w:r>
        <w:t xml:space="preserve"> </w:t>
      </w:r>
    </w:p>
  </w:footnote>
  <w:footnote w:id="7">
    <w:p w14:paraId="1AF55161" w14:textId="77777777" w:rsidR="00DA41DB" w:rsidRPr="00064746" w:rsidRDefault="00DA41DB" w:rsidP="00A83949">
      <w:pPr>
        <w:pStyle w:val="FootnoteText"/>
      </w:pPr>
      <w:r>
        <w:rPr>
          <w:rStyle w:val="FootnoteReference"/>
        </w:rPr>
        <w:footnoteRef/>
      </w:r>
      <w:r>
        <w:tab/>
      </w:r>
      <w:r w:rsidRPr="008E6D42">
        <w:t>OJ L 57, 18.2.2021, p. 17</w:t>
      </w:r>
      <w:r>
        <w:t xml:space="preserve">. </w:t>
      </w:r>
    </w:p>
  </w:footnote>
  <w:footnote w:id="8">
    <w:p w14:paraId="503FBAA6" w14:textId="19ED1A6E" w:rsidR="00DA41DB" w:rsidRPr="00064746" w:rsidRDefault="00DA41DB" w:rsidP="00A83949">
      <w:pPr>
        <w:pStyle w:val="FootnoteText"/>
      </w:pPr>
      <w:r>
        <w:rPr>
          <w:rStyle w:val="FootnoteReference"/>
        </w:rPr>
        <w:footnoteRef/>
      </w:r>
      <w:r>
        <w:tab/>
        <w:t xml:space="preserve">Section 5.2 has </w:t>
      </w:r>
      <w:r>
        <w:rPr>
          <w:szCs w:val="24"/>
          <w:lang w:val="en-IE"/>
        </w:rPr>
        <w:t>more information on its implementation.</w:t>
      </w:r>
    </w:p>
  </w:footnote>
  <w:footnote w:id="9">
    <w:p w14:paraId="08CDB024" w14:textId="7A235270" w:rsidR="00DA41DB" w:rsidRPr="00261CD5" w:rsidRDefault="00DA41DB">
      <w:pPr>
        <w:pStyle w:val="FootnoteText"/>
      </w:pPr>
      <w:r>
        <w:rPr>
          <w:rStyle w:val="FootnoteReference"/>
        </w:rPr>
        <w:footnoteRef/>
      </w:r>
      <w:r>
        <w:tab/>
      </w:r>
      <w:r w:rsidRPr="001576E8">
        <w:t>OJ L 231, 30.6.2021, p. 159</w:t>
      </w:r>
      <w:r>
        <w:t>.</w:t>
      </w:r>
    </w:p>
  </w:footnote>
  <w:footnote w:id="10">
    <w:p w14:paraId="03365201" w14:textId="77777777" w:rsidR="00DA41DB" w:rsidRPr="00DC1244" w:rsidRDefault="00DA41DB">
      <w:pPr>
        <w:pStyle w:val="FootnoteText"/>
      </w:pPr>
      <w:r>
        <w:rPr>
          <w:rStyle w:val="FootnoteReference"/>
        </w:rPr>
        <w:footnoteRef/>
      </w:r>
      <w:r w:rsidRPr="00DC1244">
        <w:tab/>
        <w:t>OJ L 172, 17.5.2021, p. 110–122.</w:t>
      </w:r>
    </w:p>
  </w:footnote>
  <w:footnote w:id="11">
    <w:p w14:paraId="55F49F7E" w14:textId="1AEFAA9D" w:rsidR="00DA41DB" w:rsidRPr="008A6DCE" w:rsidRDefault="00DA41DB">
      <w:pPr>
        <w:pStyle w:val="FootnoteText"/>
      </w:pPr>
      <w:r>
        <w:rPr>
          <w:rStyle w:val="FootnoteReference"/>
        </w:rPr>
        <w:footnoteRef/>
      </w:r>
      <w:r>
        <w:tab/>
        <w:t>See Section 4.2.2 for more information.</w:t>
      </w:r>
    </w:p>
  </w:footnote>
  <w:footnote w:id="12">
    <w:p w14:paraId="24978848" w14:textId="77777777" w:rsidR="00DA41DB" w:rsidRPr="00064746" w:rsidRDefault="00DA41DB" w:rsidP="002F71B1">
      <w:pPr>
        <w:pStyle w:val="FootnoteText"/>
      </w:pPr>
      <w:r>
        <w:rPr>
          <w:rStyle w:val="FootnoteReference"/>
        </w:rPr>
        <w:footnoteRef/>
      </w:r>
      <w:r>
        <w:tab/>
        <w:t>J</w:t>
      </w:r>
      <w:r w:rsidRPr="00527E0C">
        <w:t xml:space="preserve">udgment of </w:t>
      </w:r>
      <w:r w:rsidRPr="002F71B1">
        <w:t>30 September 2021</w:t>
      </w:r>
      <w:r w:rsidRPr="00527E0C">
        <w:t xml:space="preserve">, </w:t>
      </w:r>
      <w:r w:rsidRPr="002F71B1">
        <w:t>EU:C:2021:782</w:t>
      </w:r>
    </w:p>
  </w:footnote>
  <w:footnote w:id="13">
    <w:p w14:paraId="64540506" w14:textId="77777777" w:rsidR="00DA41DB" w:rsidRPr="00064746" w:rsidRDefault="00DA41DB" w:rsidP="002F71B1">
      <w:pPr>
        <w:pStyle w:val="FootnoteText"/>
      </w:pPr>
      <w:r>
        <w:rPr>
          <w:rStyle w:val="FootnoteReference"/>
        </w:rPr>
        <w:footnoteRef/>
      </w:r>
      <w:r>
        <w:tab/>
        <w:t>J</w:t>
      </w:r>
      <w:r w:rsidRPr="009F0A1B">
        <w:t>udgment of 1</w:t>
      </w:r>
      <w:r>
        <w:t>4</w:t>
      </w:r>
      <w:r w:rsidRPr="009F0A1B">
        <w:t xml:space="preserve"> October 202</w:t>
      </w:r>
      <w:r>
        <w:t>1</w:t>
      </w:r>
      <w:r w:rsidRPr="009F0A1B">
        <w:t xml:space="preserve">, </w:t>
      </w:r>
      <w:r w:rsidRPr="002F71B1">
        <w:t>EU:C:2021:856</w:t>
      </w:r>
    </w:p>
  </w:footnote>
  <w:footnote w:id="14">
    <w:p w14:paraId="0651B357" w14:textId="77777777" w:rsidR="00DA41DB" w:rsidRPr="00CF7811" w:rsidRDefault="00DA41DB">
      <w:pPr>
        <w:pStyle w:val="FootnoteText"/>
      </w:pPr>
      <w:r>
        <w:rPr>
          <w:rStyle w:val="FootnoteReference"/>
        </w:rPr>
        <w:footnoteRef/>
      </w:r>
      <w:r>
        <w:tab/>
      </w:r>
      <w:r w:rsidRPr="00CF7811">
        <w:t>Convention drawn up on the basis of Article K.3 of the Treaty on European Union, on the protection of the European Communities' financial interests, OJ C 316, 27.11.1995, p. 49–57</w:t>
      </w:r>
    </w:p>
  </w:footnote>
  <w:footnote w:id="15">
    <w:p w14:paraId="0759C343" w14:textId="77777777" w:rsidR="00DA41DB" w:rsidRPr="00064746" w:rsidRDefault="00DA41DB" w:rsidP="002F71B1">
      <w:pPr>
        <w:pStyle w:val="FootnoteText"/>
      </w:pPr>
      <w:r>
        <w:rPr>
          <w:rStyle w:val="FootnoteReference"/>
        </w:rPr>
        <w:footnoteRef/>
      </w:r>
      <w:r>
        <w:tab/>
      </w:r>
      <w:r w:rsidRPr="00064746">
        <w:t xml:space="preserve">Judgment of </w:t>
      </w:r>
      <w:r>
        <w:t>21 October</w:t>
      </w:r>
      <w:r w:rsidRPr="00064746">
        <w:t xml:space="preserve"> 202</w:t>
      </w:r>
      <w:r>
        <w:t>1</w:t>
      </w:r>
      <w:r w:rsidRPr="00064746">
        <w:t xml:space="preserve">, </w:t>
      </w:r>
      <w:r w:rsidRPr="00C458DD">
        <w:t>EU:C:2021:1034</w:t>
      </w:r>
    </w:p>
  </w:footnote>
  <w:footnote w:id="16">
    <w:p w14:paraId="19A48CBA" w14:textId="683A40F5" w:rsidR="00DA41DB" w:rsidRPr="003556F9" w:rsidRDefault="00DA41DB" w:rsidP="004D2B33">
      <w:pPr>
        <w:pStyle w:val="FootnoteText"/>
      </w:pPr>
      <w:r>
        <w:rPr>
          <w:rStyle w:val="FootnoteReference"/>
        </w:rPr>
        <w:footnoteRef/>
      </w:r>
      <w:r>
        <w:tab/>
        <w:t xml:space="preserve">For the development of legislation to protect the EU’s financial interests over the first three decades (1989-2018) of the PIF aspect of the EU’s work see European Commission, </w:t>
      </w:r>
      <w:r>
        <w:rPr>
          <w:i/>
        </w:rPr>
        <w:t>Annual report on the protection of the EU’s financial interests and the fight against fraud – 2018</w:t>
      </w:r>
      <w:r>
        <w:t xml:space="preserve">, COM(2019) 444 final, 11.10.2019. For the last two years (2019-2020) see, respectively, European Commission, </w:t>
      </w:r>
      <w:r>
        <w:rPr>
          <w:i/>
        </w:rPr>
        <w:t>Annual report on the protection of the EU’s financial interests and the fight against fraud – 2019</w:t>
      </w:r>
      <w:r>
        <w:t xml:space="preserve">, COM(2020) 363 final, 3.9.2020, and </w:t>
      </w:r>
      <w:r>
        <w:rPr>
          <w:i/>
        </w:rPr>
        <w:t>Annual report on the protection of the EU’s financial interests and the fight against fraud – 2020</w:t>
      </w:r>
      <w:r>
        <w:t>, COM(2021) 578 final, 20.9.2021.</w:t>
      </w:r>
    </w:p>
  </w:footnote>
  <w:footnote w:id="17">
    <w:p w14:paraId="58B77590" w14:textId="326210A6" w:rsidR="00DA41DB" w:rsidRPr="006C1E6D" w:rsidRDefault="00DA41DB">
      <w:pPr>
        <w:pStyle w:val="FootnoteText"/>
      </w:pPr>
      <w:r>
        <w:rPr>
          <w:rStyle w:val="FootnoteReference"/>
        </w:rPr>
        <w:footnoteRef/>
      </w:r>
      <w:r>
        <w:tab/>
        <w:t xml:space="preserve">The EU anti-fraud architecture and the main players involved was presented in COM(2021) 444 final, </w:t>
      </w:r>
      <w:r>
        <w:rPr>
          <w:i/>
        </w:rPr>
        <w:t>cit.</w:t>
      </w:r>
      <w:r>
        <w:t>, Section 3, pp. 11-19.</w:t>
      </w:r>
    </w:p>
  </w:footnote>
  <w:footnote w:id="18">
    <w:p w14:paraId="112605C8" w14:textId="77258AAA" w:rsidR="00DA41DB" w:rsidRPr="00ED2A33" w:rsidRDefault="00DA41DB">
      <w:pPr>
        <w:pStyle w:val="FootnoteText"/>
      </w:pPr>
      <w:r>
        <w:rPr>
          <w:rStyle w:val="FootnoteReference"/>
        </w:rPr>
        <w:footnoteRef/>
      </w:r>
      <w:r>
        <w:tab/>
      </w:r>
      <w:r w:rsidRPr="007B7F1F">
        <w:t>2020/2140(DEC)</w:t>
      </w:r>
      <w:r>
        <w:t xml:space="preserve"> of 28.4.2021.</w:t>
      </w:r>
    </w:p>
  </w:footnote>
  <w:footnote w:id="19">
    <w:p w14:paraId="7AB895C8" w14:textId="76459E34" w:rsidR="00DA41DB" w:rsidRPr="00ED2A33" w:rsidRDefault="00DA41DB">
      <w:pPr>
        <w:pStyle w:val="FootnoteText"/>
      </w:pPr>
      <w:r>
        <w:rPr>
          <w:rStyle w:val="FootnoteReference"/>
        </w:rPr>
        <w:footnoteRef/>
      </w:r>
      <w:r>
        <w:tab/>
      </w:r>
      <w:r w:rsidRPr="007B7F1F">
        <w:t>2021/2106(DEC)</w:t>
      </w:r>
      <w:r>
        <w:t xml:space="preserve">. </w:t>
      </w:r>
      <w:r w:rsidRPr="00505DEA">
        <w:t xml:space="preserve">The EP adopted the discharge resolution in May 2021. </w:t>
      </w:r>
      <w:r>
        <w:t>It</w:t>
      </w:r>
      <w:r w:rsidRPr="00505DEA">
        <w:t xml:space="preserve"> approved the discharge resolution on the Commission accompanying the decision on discharge, by 451 votes in favour, 175 against and 17 abstentions.</w:t>
      </w:r>
    </w:p>
  </w:footnote>
  <w:footnote w:id="20">
    <w:p w14:paraId="1657087A" w14:textId="2D6DE7B0" w:rsidR="00DA41DB" w:rsidRPr="00CA08E5" w:rsidRDefault="00DA41DB">
      <w:pPr>
        <w:pStyle w:val="FootnoteText"/>
      </w:pPr>
      <w:r>
        <w:rPr>
          <w:rStyle w:val="FootnoteReference"/>
        </w:rPr>
        <w:footnoteRef/>
      </w:r>
      <w:r>
        <w:tab/>
        <w:t xml:space="preserve">Procedure file 2020/2246(INI), </w:t>
      </w:r>
      <w:r w:rsidRPr="00CA08E5">
        <w:t xml:space="preserve">Protection of the EU’s financial interests </w:t>
      </w:r>
      <w:r>
        <w:t xml:space="preserve">- </w:t>
      </w:r>
      <w:r w:rsidRPr="00CA08E5">
        <w:t xml:space="preserve">combatting fraud </w:t>
      </w:r>
      <w:r>
        <w:t>-</w:t>
      </w:r>
      <w:r w:rsidRPr="00CA08E5">
        <w:t xml:space="preserve"> annual report 2019</w:t>
      </w:r>
      <w:r>
        <w:t>.</w:t>
      </w:r>
    </w:p>
  </w:footnote>
  <w:footnote w:id="21">
    <w:p w14:paraId="310425F2" w14:textId="56B57C74" w:rsidR="00DA41DB" w:rsidRPr="009542F2" w:rsidRDefault="00DA41DB">
      <w:pPr>
        <w:pStyle w:val="FootnoteText"/>
      </w:pPr>
      <w:r>
        <w:rPr>
          <w:rStyle w:val="FootnoteReference"/>
        </w:rPr>
        <w:footnoteRef/>
      </w:r>
      <w:r>
        <w:tab/>
        <w:t>For the state of play of the implementation of the CAFS action plan, see ‘</w:t>
      </w:r>
      <w:r w:rsidRPr="009542F2">
        <w:t>CAFS Action Plan - State of play June 2022</w:t>
      </w:r>
      <w:r>
        <w:t>’ accompanying this report.</w:t>
      </w:r>
    </w:p>
  </w:footnote>
  <w:footnote w:id="22">
    <w:p w14:paraId="5B43D9CD" w14:textId="05C1AE41" w:rsidR="00DA41DB" w:rsidRPr="00A828A1" w:rsidRDefault="00DA41DB">
      <w:pPr>
        <w:pStyle w:val="FootnoteText"/>
      </w:pPr>
      <w:r>
        <w:rPr>
          <w:rStyle w:val="FootnoteReference"/>
        </w:rPr>
        <w:footnoteRef/>
      </w:r>
      <w:r>
        <w:tab/>
      </w:r>
      <w:r w:rsidRPr="00A828A1">
        <w:t xml:space="preserve">Undervaluation detected in the United Kingdom has already been reported in the </w:t>
      </w:r>
      <w:r>
        <w:t xml:space="preserve">2020 PIF report, </w:t>
      </w:r>
      <w:r>
        <w:rPr>
          <w:i/>
        </w:rPr>
        <w:t xml:space="preserve">cit., </w:t>
      </w:r>
      <w:r>
        <w:t>Snapshot 1, p. 13</w:t>
      </w:r>
      <w:r w:rsidRPr="00A828A1">
        <w:t>.</w:t>
      </w:r>
    </w:p>
  </w:footnote>
  <w:footnote w:id="23">
    <w:p w14:paraId="4F382DAE" w14:textId="02608268" w:rsidR="00DA41DB" w:rsidRPr="00F83AD7" w:rsidRDefault="00DA41DB">
      <w:pPr>
        <w:pStyle w:val="FootnoteText"/>
      </w:pPr>
      <w:r>
        <w:rPr>
          <w:rStyle w:val="FootnoteReference"/>
        </w:rPr>
        <w:footnoteRef/>
      </w:r>
      <w:r>
        <w:tab/>
      </w:r>
      <w:r w:rsidRPr="006D7177">
        <w:t>The legal framework governing relationship between the EPPO and OLAF provides for working arrangements between the two bodies setting out the practical aspects of this relationship. The working arrangements were signed on 5 July 2021.</w:t>
      </w:r>
    </w:p>
  </w:footnote>
  <w:footnote w:id="24">
    <w:p w14:paraId="23ECFCAD" w14:textId="6C5E273F" w:rsidR="00DA41DB" w:rsidRDefault="00DA41DB">
      <w:pPr>
        <w:pStyle w:val="FootnoteText"/>
      </w:pPr>
      <w:r>
        <w:rPr>
          <w:rStyle w:val="FootnoteReference"/>
        </w:rPr>
        <w:footnoteRef/>
      </w:r>
      <w:r>
        <w:tab/>
        <w:t xml:space="preserve">European Anti-Fraud Office (OLAF), </w:t>
      </w:r>
      <w:hyperlink r:id="rId2" w:history="1">
        <w:r w:rsidRPr="0072054A">
          <w:rPr>
            <w:rStyle w:val="Hyperlink"/>
            <w:i/>
          </w:rPr>
          <w:t>The OLAF Report 2021</w:t>
        </w:r>
      </w:hyperlink>
      <w:r>
        <w:t>, p. 38</w:t>
      </w:r>
      <w:r w:rsidRPr="0069243F">
        <w:t>.</w:t>
      </w:r>
    </w:p>
  </w:footnote>
  <w:footnote w:id="25">
    <w:p w14:paraId="55A62FD8" w14:textId="77777777" w:rsidR="00DA41DB" w:rsidRPr="00B06C44" w:rsidRDefault="00DA41DB">
      <w:pPr>
        <w:pStyle w:val="FootnoteText"/>
      </w:pPr>
      <w:r>
        <w:rPr>
          <w:rStyle w:val="FootnoteReference"/>
        </w:rPr>
        <w:footnoteRef/>
      </w:r>
      <w:r>
        <w:tab/>
      </w:r>
      <w:r w:rsidRPr="00B06C44">
        <w:t>Denmark, Ireland, Hungary, Poland and Sweden do not participate in the EPPO.</w:t>
      </w:r>
      <w:r>
        <w:t xml:space="preserve"> </w:t>
      </w:r>
      <w:r w:rsidRPr="00A169C9">
        <w:t>Sweden is expected to join the EPPO in 2023.</w:t>
      </w:r>
    </w:p>
  </w:footnote>
  <w:footnote w:id="26">
    <w:p w14:paraId="638657BE" w14:textId="07D2A82A" w:rsidR="00DA41DB" w:rsidRPr="00B06C44" w:rsidRDefault="00DA41DB">
      <w:pPr>
        <w:pStyle w:val="FootnoteText"/>
      </w:pPr>
      <w:r>
        <w:rPr>
          <w:rStyle w:val="FootnoteReference"/>
        </w:rPr>
        <w:footnoteRef/>
      </w:r>
      <w:r>
        <w:tab/>
      </w:r>
      <w:r w:rsidRPr="009542F2">
        <w:t xml:space="preserve">For more detailed statistics, in particular per participating Member States, see European Public Prosecutor’s Office, </w:t>
      </w:r>
      <w:hyperlink r:id="rId3" w:history="1">
        <w:r w:rsidRPr="009542F2">
          <w:rPr>
            <w:rStyle w:val="Hyperlink"/>
            <w:i/>
          </w:rPr>
          <w:t>2021 Annual Report</w:t>
        </w:r>
      </w:hyperlink>
      <w:r w:rsidRPr="009542F2">
        <w:t>.</w:t>
      </w:r>
    </w:p>
  </w:footnote>
  <w:footnote w:id="27">
    <w:p w14:paraId="781F0211" w14:textId="056457A7" w:rsidR="00DA41DB" w:rsidRPr="006C31D8" w:rsidRDefault="00DA41DB">
      <w:pPr>
        <w:pStyle w:val="FootnoteText"/>
      </w:pPr>
      <w:r>
        <w:rPr>
          <w:rStyle w:val="FootnoteReference"/>
        </w:rPr>
        <w:footnoteRef/>
      </w:r>
      <w:r>
        <w:tab/>
      </w:r>
      <w:r w:rsidRPr="00F6664B">
        <w:t xml:space="preserve">European Court of Auditors, </w:t>
      </w:r>
      <w:hyperlink r:id="rId4" w:history="1">
        <w:r w:rsidRPr="009542F2">
          <w:rPr>
            <w:rStyle w:val="Hyperlink"/>
            <w:i/>
          </w:rPr>
          <w:t>Annual Report on the implementation of the EU budget for the financial year 2020</w:t>
        </w:r>
      </w:hyperlink>
      <w:r>
        <w:t>, 26.10.2021.</w:t>
      </w:r>
    </w:p>
  </w:footnote>
  <w:footnote w:id="28">
    <w:p w14:paraId="33E111E7" w14:textId="77777777" w:rsidR="00DA41DB" w:rsidRPr="00A27EF6" w:rsidRDefault="00DA41DB">
      <w:pPr>
        <w:pStyle w:val="FootnoteText"/>
      </w:pPr>
      <w:r>
        <w:rPr>
          <w:rStyle w:val="FootnoteReference"/>
        </w:rPr>
        <w:footnoteRef/>
      </w:r>
      <w:r>
        <w:tab/>
        <w:t>I</w:t>
      </w:r>
      <w:r w:rsidRPr="00A27EF6">
        <w:t>n accordance with Article 12a of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r>
        <w:t xml:space="preserve">, as amended by </w:t>
      </w:r>
      <w:r w:rsidRPr="00A27EF6">
        <w:t>Regulation (EU, Euratom) 2016/2030 of the European Parliament and of the Council of 26 October 2016</w:t>
      </w:r>
      <w:r>
        <w:t xml:space="preserve"> and </w:t>
      </w:r>
      <w:r w:rsidRPr="00A27EF6">
        <w:t>Regulation (EU, Euratom) 2020/2223 of the European Parliament and of the Council of 23 December 2020</w:t>
      </w:r>
      <w:r>
        <w:t>.</w:t>
      </w:r>
    </w:p>
  </w:footnote>
  <w:footnote w:id="29">
    <w:p w14:paraId="646BB227" w14:textId="25D49C19" w:rsidR="00DA41DB" w:rsidRPr="00916AE2" w:rsidRDefault="00DA41DB">
      <w:pPr>
        <w:pStyle w:val="FootnoteText"/>
      </w:pPr>
      <w:r>
        <w:rPr>
          <w:rStyle w:val="FootnoteReference"/>
        </w:rPr>
        <w:footnoteRef/>
      </w:r>
      <w:r>
        <w:tab/>
        <w:t>See ‘Measures adopted by the Member States to protect the EU’s financial interests in 2021 – Implementation of Article 325 TFEU’ accompanying this report for more information on national initiatives to enhance the protection of the EU’s financial interests.</w:t>
      </w:r>
    </w:p>
  </w:footnote>
  <w:footnote w:id="30">
    <w:p w14:paraId="5C78AAC0" w14:textId="2F2CD3CA" w:rsidR="00DA41DB" w:rsidRPr="003B6D4B" w:rsidRDefault="00DA41DB" w:rsidP="00B844C4">
      <w:pPr>
        <w:pStyle w:val="FootnoteText"/>
      </w:pPr>
      <w:r w:rsidRPr="003B6D4B">
        <w:rPr>
          <w:rStyle w:val="FootnoteReference"/>
        </w:rPr>
        <w:footnoteRef/>
      </w:r>
      <w:r w:rsidRPr="006A79C7">
        <w:rPr>
          <w:lang w:val="it-IT"/>
        </w:rPr>
        <w:tab/>
        <w:t xml:space="preserve">Bulgaria, Czechia, Denmark, Germany, Estonia, Greece, France, Croatia, Italy, Latvia, Lithuania, Hungary, Malta, Austria, Portugal, Slovakia, Sweden. </w:t>
      </w:r>
      <w:r>
        <w:t xml:space="preserve">Of these, Germany and Portugal had not yet transmitted the necessary documents to OLAF. </w:t>
      </w:r>
      <w:r w:rsidRPr="003B6D4B">
        <w:t>Austria had reported in 2020 that it had a strategy in place until the end of th</w:t>
      </w:r>
      <w:r>
        <w:t>e</w:t>
      </w:r>
      <w:r w:rsidRPr="003B6D4B">
        <w:t xml:space="preserve"> year, but transmitted no further updates for 2021.  </w:t>
      </w:r>
    </w:p>
  </w:footnote>
  <w:footnote w:id="31">
    <w:p w14:paraId="1C3B6DCE" w14:textId="53D7954E" w:rsidR="00DA41DB" w:rsidRPr="00B95BD7" w:rsidRDefault="00DA41DB" w:rsidP="00B844C4">
      <w:pPr>
        <w:pStyle w:val="FootnoteText"/>
      </w:pPr>
      <w:r w:rsidRPr="00B95BD7">
        <w:rPr>
          <w:rStyle w:val="FootnoteReference"/>
        </w:rPr>
        <w:footnoteRef/>
      </w:r>
      <w:r>
        <w:tab/>
      </w:r>
      <w:r w:rsidRPr="00B95BD7">
        <w:t xml:space="preserve">Belgium, </w:t>
      </w:r>
      <w:r>
        <w:t xml:space="preserve">Ireland, </w:t>
      </w:r>
      <w:r w:rsidRPr="00B95BD7">
        <w:t>Spain, Cyprus, Luxembourg, the Netherlands, Poland, Romania, Slovenia</w:t>
      </w:r>
      <w:r>
        <w:t>,</w:t>
      </w:r>
      <w:r w:rsidRPr="00B95BD7">
        <w:t xml:space="preserve"> Finland.</w:t>
      </w:r>
    </w:p>
  </w:footnote>
  <w:footnote w:id="32">
    <w:p w14:paraId="2EF03A73" w14:textId="77777777" w:rsidR="00DA41DB" w:rsidRPr="00B95BD7" w:rsidRDefault="00DA41DB" w:rsidP="00B844C4">
      <w:pPr>
        <w:pStyle w:val="FootnoteText"/>
      </w:pPr>
      <w:r w:rsidRPr="00B95BD7">
        <w:rPr>
          <w:rStyle w:val="FootnoteReference"/>
        </w:rPr>
        <w:footnoteRef/>
      </w:r>
      <w:r>
        <w:tab/>
      </w:r>
      <w:r w:rsidRPr="00B95BD7">
        <w:t>Belgium, Spain, Luxembourg, Romania.</w:t>
      </w:r>
    </w:p>
  </w:footnote>
  <w:footnote w:id="33">
    <w:p w14:paraId="50FF139C" w14:textId="77777777" w:rsidR="00DA41DB" w:rsidRPr="009D39B1" w:rsidRDefault="00DA41DB">
      <w:pPr>
        <w:pStyle w:val="FootnoteText"/>
      </w:pPr>
      <w:r>
        <w:rPr>
          <w:rStyle w:val="FootnoteReference"/>
        </w:rPr>
        <w:footnoteRef/>
      </w:r>
      <w:r>
        <w:tab/>
        <w:t>See also section 5.6.</w:t>
      </w:r>
    </w:p>
  </w:footnote>
  <w:footnote w:id="34">
    <w:p w14:paraId="64A02C99" w14:textId="548C4755" w:rsidR="00DA41DB" w:rsidRDefault="00DA41DB" w:rsidP="00B844C4">
      <w:pPr>
        <w:pStyle w:val="FootnoteText"/>
      </w:pPr>
      <w:r w:rsidRPr="00B95BD7">
        <w:rPr>
          <w:rStyle w:val="FootnoteReference"/>
        </w:rPr>
        <w:footnoteRef/>
      </w:r>
      <w:r>
        <w:tab/>
      </w:r>
      <w:r w:rsidRPr="00B95BD7">
        <w:t>Bulgaria, Greece, France, Italy, Hungary.</w:t>
      </w:r>
    </w:p>
  </w:footnote>
  <w:footnote w:id="35">
    <w:p w14:paraId="6FDBDD1E" w14:textId="3C719DEB" w:rsidR="00DA41DB" w:rsidRPr="001149B4" w:rsidRDefault="00DA41DB">
      <w:pPr>
        <w:pStyle w:val="FootnoteText"/>
      </w:pPr>
      <w:r>
        <w:rPr>
          <w:rStyle w:val="FootnoteReference"/>
        </w:rPr>
        <w:footnoteRef/>
      </w:r>
      <w:r>
        <w:tab/>
        <w:t>For a complete overview of the follow-up given by Member States, see ‘</w:t>
      </w:r>
      <w:r w:rsidRPr="001149B4">
        <w:t>Implementation of the 2020 recommendations by the Member States</w:t>
      </w:r>
      <w:r>
        <w:t>’ accompanying this report.</w:t>
      </w:r>
    </w:p>
  </w:footnote>
  <w:footnote w:id="36">
    <w:p w14:paraId="5D9A4B79" w14:textId="69754913" w:rsidR="00DA41DB" w:rsidRPr="009D39B1" w:rsidRDefault="00DA41DB">
      <w:pPr>
        <w:pStyle w:val="FootnoteText"/>
      </w:pPr>
      <w:r>
        <w:rPr>
          <w:rStyle w:val="FootnoteReference"/>
        </w:rPr>
        <w:footnoteRef/>
      </w:r>
      <w:r>
        <w:tab/>
        <w:t xml:space="preserve">Denmark and Ireland have </w:t>
      </w:r>
      <w:r w:rsidRPr="009D39B1">
        <w:t>an opt-out from the area of freedom, security and justice</w:t>
      </w:r>
      <w:r>
        <w:t>.</w:t>
      </w:r>
    </w:p>
  </w:footnote>
  <w:footnote w:id="37">
    <w:p w14:paraId="60BECB8C" w14:textId="24997D85" w:rsidR="00DA41DB" w:rsidRPr="00BA0C86" w:rsidRDefault="00DA41DB" w:rsidP="00B844C4">
      <w:pPr>
        <w:pStyle w:val="FootnoteText"/>
      </w:pPr>
      <w:r w:rsidRPr="00BA0C86">
        <w:rPr>
          <w:rStyle w:val="FootnoteReference"/>
        </w:rPr>
        <w:footnoteRef/>
      </w:r>
      <w:r w:rsidRPr="00BA0C86">
        <w:t xml:space="preserve"> </w:t>
      </w:r>
      <w:r>
        <w:tab/>
      </w:r>
      <w:r w:rsidRPr="00BA0C86">
        <w:t xml:space="preserve">Bulgaria, </w:t>
      </w:r>
      <w:r>
        <w:t>Czechia</w:t>
      </w:r>
      <w:r w:rsidRPr="00BA0C86">
        <w:t xml:space="preserve">, Estonia, </w:t>
      </w:r>
      <w:r>
        <w:t xml:space="preserve">Ireland, </w:t>
      </w:r>
      <w:r w:rsidRPr="00BA0C86">
        <w:t>Greece, Italy, Cyprus, Latvia, Lithuania, Luxembourg, Hungary, Poland, Portugal, Romania, Slovenia, Sweden.</w:t>
      </w:r>
    </w:p>
  </w:footnote>
  <w:footnote w:id="38">
    <w:p w14:paraId="1293993F" w14:textId="569D2970" w:rsidR="00DA41DB" w:rsidRPr="00BA0C86" w:rsidRDefault="00DA41DB" w:rsidP="00DC1244">
      <w:pPr>
        <w:pStyle w:val="FootnoteText"/>
      </w:pPr>
      <w:r w:rsidRPr="00BA0C86">
        <w:rPr>
          <w:rStyle w:val="FootnoteReference"/>
        </w:rPr>
        <w:footnoteRef/>
      </w:r>
      <w:r w:rsidRPr="00BA0C86">
        <w:t xml:space="preserve"> </w:t>
      </w:r>
      <w:r>
        <w:tab/>
      </w:r>
      <w:r w:rsidRPr="00BA0C86">
        <w:t>Belgium, Germany, Spain, France.</w:t>
      </w:r>
    </w:p>
  </w:footnote>
  <w:footnote w:id="39">
    <w:p w14:paraId="436AC221" w14:textId="1646C3AB" w:rsidR="00DA41DB" w:rsidRDefault="00DA41DB" w:rsidP="00B844C4">
      <w:pPr>
        <w:pStyle w:val="FootnoteText"/>
      </w:pPr>
      <w:r w:rsidRPr="00BA0C86">
        <w:rPr>
          <w:rStyle w:val="FootnoteReference"/>
        </w:rPr>
        <w:footnoteRef/>
      </w:r>
      <w:r w:rsidRPr="00BA0C86">
        <w:t xml:space="preserve"> </w:t>
      </w:r>
      <w:r>
        <w:tab/>
      </w:r>
      <w:r w:rsidRPr="00BA0C86">
        <w:t>Denmark, Croatia, Malta, the Netherlands, Slovakia, Finland.</w:t>
      </w:r>
    </w:p>
  </w:footnote>
  <w:footnote w:id="40">
    <w:p w14:paraId="71A64753" w14:textId="2F711189" w:rsidR="00DA41DB" w:rsidRPr="00922595" w:rsidRDefault="00DA41DB" w:rsidP="00DC1244">
      <w:pPr>
        <w:pStyle w:val="FootnoteText"/>
      </w:pPr>
      <w:r w:rsidRPr="00922595">
        <w:rPr>
          <w:rStyle w:val="FootnoteReference"/>
        </w:rPr>
        <w:footnoteRef/>
      </w:r>
      <w:r w:rsidRPr="00922595">
        <w:t xml:space="preserve"> </w:t>
      </w:r>
      <w:r>
        <w:tab/>
        <w:t>Czechia</w:t>
      </w:r>
      <w:r w:rsidRPr="00922595">
        <w:t xml:space="preserve">, Estonia, </w:t>
      </w:r>
      <w:r>
        <w:t xml:space="preserve">Ireland, </w:t>
      </w:r>
      <w:r w:rsidRPr="00922595">
        <w:t>Greece, Spain, Italy, Cyprus, Latvia, Lithuania, Luxembourg, Hungary, Poland, Portugal, Romania, Slovenia, Sweden</w:t>
      </w:r>
    </w:p>
  </w:footnote>
  <w:footnote w:id="41">
    <w:p w14:paraId="130B251B" w14:textId="333638DC" w:rsidR="00DA41DB" w:rsidRPr="00922595" w:rsidRDefault="00DA41DB" w:rsidP="00B844C4">
      <w:pPr>
        <w:pStyle w:val="FootnoteText"/>
      </w:pPr>
      <w:r w:rsidRPr="00922595">
        <w:rPr>
          <w:rStyle w:val="FootnoteReference"/>
        </w:rPr>
        <w:footnoteRef/>
      </w:r>
      <w:r w:rsidRPr="00922595">
        <w:t xml:space="preserve"> </w:t>
      </w:r>
      <w:r>
        <w:tab/>
      </w:r>
      <w:r w:rsidRPr="00922595">
        <w:t>Belgium, Bulgaria, France.</w:t>
      </w:r>
    </w:p>
  </w:footnote>
  <w:footnote w:id="42">
    <w:p w14:paraId="2D9B2A4B" w14:textId="186A7CA4" w:rsidR="00DA41DB" w:rsidRDefault="00DA41DB" w:rsidP="00B844C4">
      <w:pPr>
        <w:pStyle w:val="FootnoteText"/>
      </w:pPr>
      <w:r w:rsidRPr="00922595">
        <w:rPr>
          <w:rStyle w:val="FootnoteReference"/>
        </w:rPr>
        <w:footnoteRef/>
      </w:r>
      <w:r w:rsidRPr="00922595">
        <w:t xml:space="preserve"> </w:t>
      </w:r>
      <w:r>
        <w:tab/>
      </w:r>
      <w:r w:rsidRPr="00922595">
        <w:t>Denmark, Germany, Croatia, Malta, the Netherlands, Slovakia, Finland.</w:t>
      </w:r>
    </w:p>
  </w:footnote>
  <w:footnote w:id="43">
    <w:p w14:paraId="34B23C8A" w14:textId="53E77DBF" w:rsidR="00DA41DB" w:rsidRPr="000668ED" w:rsidRDefault="00DA41DB" w:rsidP="00DC1244">
      <w:pPr>
        <w:pStyle w:val="FootnoteText"/>
      </w:pPr>
      <w:r w:rsidRPr="000668ED">
        <w:rPr>
          <w:rStyle w:val="FootnoteReference"/>
        </w:rPr>
        <w:footnoteRef/>
      </w:r>
      <w:r w:rsidRPr="000668ED">
        <w:t xml:space="preserve"> </w:t>
      </w:r>
      <w:r>
        <w:tab/>
      </w:r>
      <w:r w:rsidRPr="000668ED">
        <w:t>Denmark, Estonia, Greece, Italy, Cyprus, Latvia, Luxembourg, Malta, Poland, Portugal, Sweden</w:t>
      </w:r>
    </w:p>
  </w:footnote>
  <w:footnote w:id="44">
    <w:p w14:paraId="34C943F0" w14:textId="1FBA93C8" w:rsidR="00DA41DB" w:rsidRPr="000668ED" w:rsidRDefault="00DA41DB" w:rsidP="00DC1244">
      <w:pPr>
        <w:pStyle w:val="FootnoteText"/>
      </w:pPr>
      <w:r w:rsidRPr="000668ED">
        <w:rPr>
          <w:rStyle w:val="FootnoteReference"/>
        </w:rPr>
        <w:footnoteRef/>
      </w:r>
      <w:r w:rsidRPr="000668ED">
        <w:t xml:space="preserve"> </w:t>
      </w:r>
      <w:r>
        <w:tab/>
      </w:r>
      <w:r w:rsidRPr="000668ED">
        <w:t xml:space="preserve">Belgium, Bulgaria, </w:t>
      </w:r>
      <w:r>
        <w:t>Czechia</w:t>
      </w:r>
      <w:r w:rsidRPr="000668ED">
        <w:t>, Spain, France, Croatia, Hungary, the Netherlands, Romania, Slovakia, Finland</w:t>
      </w:r>
      <w:r>
        <w:t>.</w:t>
      </w:r>
    </w:p>
  </w:footnote>
  <w:footnote w:id="45">
    <w:p w14:paraId="284024CE" w14:textId="5C09355B" w:rsidR="00DA41DB" w:rsidRPr="0094525C" w:rsidRDefault="00DA41DB" w:rsidP="00B844C4">
      <w:pPr>
        <w:pStyle w:val="FootnoteText"/>
      </w:pPr>
      <w:r w:rsidRPr="0094525C">
        <w:rPr>
          <w:rStyle w:val="FootnoteReference"/>
        </w:rPr>
        <w:footnoteRef/>
      </w:r>
      <w:r w:rsidRPr="0094525C">
        <w:t xml:space="preserve"> </w:t>
      </w:r>
      <w:r>
        <w:tab/>
      </w:r>
      <w:r w:rsidRPr="0094525C">
        <w:t xml:space="preserve">Germany, </w:t>
      </w:r>
      <w:r>
        <w:t xml:space="preserve">Ireland, </w:t>
      </w:r>
      <w:r w:rsidRPr="0094525C">
        <w:t>Lithuania, Slovenia.</w:t>
      </w:r>
    </w:p>
  </w:footnote>
  <w:footnote w:id="46">
    <w:p w14:paraId="3FD0CBC7" w14:textId="17A97143" w:rsidR="00DA41DB" w:rsidRPr="0094525C" w:rsidRDefault="00DA41DB" w:rsidP="00DC1244">
      <w:pPr>
        <w:pStyle w:val="FootnoteText"/>
      </w:pPr>
      <w:r w:rsidRPr="0094525C">
        <w:rPr>
          <w:rStyle w:val="FootnoteReference"/>
        </w:rPr>
        <w:footnoteRef/>
      </w:r>
      <w:r w:rsidRPr="0094525C">
        <w:t xml:space="preserve"> </w:t>
      </w:r>
      <w:r>
        <w:tab/>
      </w:r>
      <w:r w:rsidRPr="0094525C">
        <w:t>Bulgaria, Greece, Croatia, Italy, Cyprus, Latvia, Luxembourg, Hungary, Malta, the Netherlands, Poland, Portugal, Slovakia, Sweden</w:t>
      </w:r>
      <w:r>
        <w:t>.</w:t>
      </w:r>
    </w:p>
  </w:footnote>
  <w:footnote w:id="47">
    <w:p w14:paraId="48265C12" w14:textId="53C41F6B" w:rsidR="00DA41DB" w:rsidRPr="00DC1244" w:rsidRDefault="00DA41DB" w:rsidP="00DC1244">
      <w:pPr>
        <w:pStyle w:val="FootnoteText"/>
        <w:rPr>
          <w:lang w:val="it-IT"/>
        </w:rPr>
      </w:pPr>
      <w:r w:rsidRPr="0094525C">
        <w:rPr>
          <w:rStyle w:val="FootnoteReference"/>
        </w:rPr>
        <w:footnoteRef/>
      </w:r>
      <w:r w:rsidRPr="00DC1244">
        <w:rPr>
          <w:lang w:val="it-IT"/>
        </w:rPr>
        <w:t xml:space="preserve"> </w:t>
      </w:r>
      <w:r w:rsidRPr="006C31D8">
        <w:rPr>
          <w:lang w:val="it-IT"/>
        </w:rPr>
        <w:tab/>
      </w:r>
      <w:r w:rsidRPr="00DC1244">
        <w:rPr>
          <w:lang w:val="it-IT"/>
        </w:rPr>
        <w:t>Belgium, Czechia, Denmark, Spain, France, Romania, Finland.</w:t>
      </w:r>
    </w:p>
  </w:footnote>
  <w:footnote w:id="48">
    <w:p w14:paraId="02A70306" w14:textId="306C3068" w:rsidR="00DA41DB" w:rsidRPr="00DC1244" w:rsidRDefault="00DA41DB" w:rsidP="00B844C4">
      <w:pPr>
        <w:pStyle w:val="FootnoteText"/>
        <w:rPr>
          <w:lang w:val="it-IT"/>
        </w:rPr>
      </w:pPr>
      <w:r w:rsidRPr="0094525C">
        <w:rPr>
          <w:rStyle w:val="FootnoteReference"/>
        </w:rPr>
        <w:footnoteRef/>
      </w:r>
      <w:r w:rsidRPr="00DC1244">
        <w:rPr>
          <w:lang w:val="it-IT"/>
        </w:rPr>
        <w:t xml:space="preserve"> </w:t>
      </w:r>
      <w:r w:rsidRPr="00DC1244">
        <w:rPr>
          <w:lang w:val="it-IT"/>
        </w:rPr>
        <w:tab/>
        <w:t>Germany, Estonia, Ireland, Lithuania, Slovenia.</w:t>
      </w:r>
    </w:p>
  </w:footnote>
  <w:footnote w:id="49">
    <w:p w14:paraId="1DCA364B" w14:textId="77777777" w:rsidR="00DA41DB" w:rsidRPr="001978E1" w:rsidRDefault="00DA41DB" w:rsidP="0088672E">
      <w:pPr>
        <w:pStyle w:val="FootnoteText"/>
      </w:pPr>
      <w:r>
        <w:rPr>
          <w:rStyle w:val="FootnoteReference"/>
        </w:rPr>
        <w:footnoteRef/>
      </w:r>
      <w:r>
        <w:tab/>
        <w:t xml:space="preserve">Arachne is </w:t>
      </w:r>
      <w:r w:rsidRPr="0088672E">
        <w:t>a single integrated IT system for data-mining and risk-scoring</w:t>
      </w:r>
      <w:r>
        <w:t xml:space="preserve"> that the Commission has developed and put of disposal of the Member States in the areas of cohesion, agriculture and RRF.</w:t>
      </w:r>
    </w:p>
  </w:footnote>
  <w:footnote w:id="50">
    <w:p w14:paraId="0F5181F9" w14:textId="4526F9D2" w:rsidR="00DA41DB" w:rsidRPr="00296A29" w:rsidRDefault="00DA41DB">
      <w:pPr>
        <w:pStyle w:val="FootnoteText"/>
      </w:pPr>
      <w:r>
        <w:rPr>
          <w:rStyle w:val="FootnoteReference"/>
        </w:rPr>
        <w:footnoteRef/>
      </w:r>
      <w:r>
        <w:tab/>
        <w:t>For a description of the system, see Section 7.2.</w:t>
      </w:r>
    </w:p>
  </w:footnote>
  <w:footnote w:id="51">
    <w:p w14:paraId="5C2BA08B" w14:textId="02F33B0D" w:rsidR="00DA41DB" w:rsidRPr="00296A29" w:rsidRDefault="00DA41DB" w:rsidP="00B844C4">
      <w:pPr>
        <w:pStyle w:val="FootnoteText"/>
      </w:pPr>
      <w:r w:rsidRPr="00D53372">
        <w:rPr>
          <w:rStyle w:val="FootnoteReference"/>
        </w:rPr>
        <w:footnoteRef/>
      </w:r>
      <w:r w:rsidRPr="00296A29">
        <w:t xml:space="preserve"> </w:t>
      </w:r>
      <w:r>
        <w:tab/>
      </w:r>
      <w:r w:rsidRPr="00296A29">
        <w:t>Bulgaria, Belgium, C</w:t>
      </w:r>
      <w:r w:rsidRPr="00DC1244">
        <w:t>z</w:t>
      </w:r>
      <w:r w:rsidRPr="00296A29">
        <w:t>e</w:t>
      </w:r>
      <w:r w:rsidRPr="00DC1244">
        <w:t>ch</w:t>
      </w:r>
      <w:r w:rsidRPr="00296A29">
        <w:t xml:space="preserve">ia, </w:t>
      </w:r>
      <w:r w:rsidRPr="00DC1244">
        <w:t xml:space="preserve">Denmark, Ireland, </w:t>
      </w:r>
      <w:r w:rsidRPr="00296A29">
        <w:t xml:space="preserve">Greece, </w:t>
      </w:r>
      <w:r w:rsidRPr="00DC1244">
        <w:t xml:space="preserve">Spain, France, </w:t>
      </w:r>
      <w:r w:rsidRPr="00296A29">
        <w:t>Italy, Cyprus, Latvia, Luxembourg, Hungary, Malta, the Netherlands, Poland, Portugal, Slovenia, Slovakia.</w:t>
      </w:r>
    </w:p>
  </w:footnote>
  <w:footnote w:id="52">
    <w:p w14:paraId="10BAEA84" w14:textId="4503BF62" w:rsidR="00DA41DB" w:rsidRPr="00E640CA" w:rsidRDefault="00DA41DB" w:rsidP="00B844C4">
      <w:pPr>
        <w:pStyle w:val="FootnoteText"/>
      </w:pPr>
      <w:r w:rsidRPr="00D53372">
        <w:rPr>
          <w:rStyle w:val="FootnoteReference"/>
        </w:rPr>
        <w:footnoteRef/>
      </w:r>
      <w:r w:rsidRPr="00E640CA">
        <w:t xml:space="preserve"> </w:t>
      </w:r>
      <w:r w:rsidRPr="00E640CA">
        <w:tab/>
        <w:t>Croatia, Lithuania, Romania, Finland.</w:t>
      </w:r>
    </w:p>
  </w:footnote>
  <w:footnote w:id="53">
    <w:p w14:paraId="6DC3714A" w14:textId="346F73BF" w:rsidR="00DA41DB" w:rsidRPr="00E640CA" w:rsidRDefault="00DA41DB" w:rsidP="00B844C4">
      <w:pPr>
        <w:pStyle w:val="FootnoteText"/>
      </w:pPr>
      <w:r w:rsidRPr="00D53372">
        <w:rPr>
          <w:rStyle w:val="FootnoteReference"/>
        </w:rPr>
        <w:footnoteRef/>
      </w:r>
      <w:r w:rsidRPr="00E640CA">
        <w:t xml:space="preserve"> </w:t>
      </w:r>
      <w:r w:rsidRPr="00E640CA">
        <w:tab/>
        <w:t>Germany, Estonia, Sweden.</w:t>
      </w:r>
    </w:p>
  </w:footnote>
  <w:footnote w:id="54">
    <w:p w14:paraId="43E03BB1" w14:textId="69DFE7C6" w:rsidR="00DA41DB" w:rsidRPr="00B83E3A" w:rsidRDefault="00DA41DB">
      <w:pPr>
        <w:pStyle w:val="FootnoteText"/>
      </w:pPr>
      <w:r>
        <w:rPr>
          <w:rStyle w:val="FootnoteReference"/>
        </w:rPr>
        <w:footnoteRef/>
      </w:r>
      <w:r>
        <w:tab/>
      </w:r>
      <w:r w:rsidRPr="00B83E3A">
        <w:t>Comoros, Madagascar, Mauritius, Seychelles and Zimbabwe.</w:t>
      </w:r>
    </w:p>
  </w:footnote>
  <w:footnote w:id="55">
    <w:p w14:paraId="4279BC34" w14:textId="627EEEA4" w:rsidR="00DA41DB" w:rsidRPr="00B83E3A" w:rsidRDefault="00DA41DB">
      <w:pPr>
        <w:pStyle w:val="FootnoteText"/>
      </w:pPr>
      <w:r>
        <w:rPr>
          <w:rStyle w:val="FootnoteReference"/>
        </w:rPr>
        <w:footnoteRef/>
      </w:r>
      <w:r>
        <w:tab/>
        <w:t>B</w:t>
      </w:r>
      <w:r w:rsidRPr="00B83E3A">
        <w:t xml:space="preserve">y a letter of Commissioner Johansson addressed to the Executive Director of the </w:t>
      </w:r>
      <w:r>
        <w:t>UNODC.</w:t>
      </w:r>
    </w:p>
  </w:footnote>
  <w:footnote w:id="56">
    <w:p w14:paraId="7DDE0B95" w14:textId="16E69A19" w:rsidR="00DA41DB" w:rsidRPr="006E3ED1" w:rsidRDefault="00DA41DB" w:rsidP="00AB46D0">
      <w:pPr>
        <w:pStyle w:val="FootnoteText"/>
      </w:pPr>
      <w:r>
        <w:rPr>
          <w:rStyle w:val="FootnoteReference"/>
        </w:rPr>
        <w:footnoteRef/>
      </w:r>
      <w:r>
        <w:t xml:space="preserve"> </w:t>
      </w:r>
      <w:r>
        <w:tab/>
        <w:t xml:space="preserve">Final report on the COSP 9. </w:t>
      </w:r>
    </w:p>
  </w:footnote>
  <w:footnote w:id="57">
    <w:p w14:paraId="1ADA9D3F" w14:textId="338577FC" w:rsidR="00DA41DB" w:rsidRPr="00F6664B" w:rsidRDefault="00DA41DB">
      <w:pPr>
        <w:pStyle w:val="FootnoteText"/>
      </w:pPr>
      <w:r>
        <w:rPr>
          <w:rStyle w:val="FootnoteReference"/>
        </w:rPr>
        <w:footnoteRef/>
      </w:r>
      <w:r>
        <w:tab/>
        <w:t>For more information see ‘</w:t>
      </w:r>
      <w:r w:rsidRPr="00F6664B">
        <w:t>Annual overview with information on the results of the Union anti-fraud programme in 2021</w:t>
      </w:r>
      <w:r>
        <w:t>’ accompanying this report.</w:t>
      </w:r>
    </w:p>
  </w:footnote>
  <w:footnote w:id="58">
    <w:p w14:paraId="4A6F3BF4" w14:textId="77777777" w:rsidR="00DA41DB" w:rsidRPr="004A502D" w:rsidRDefault="00DA41DB" w:rsidP="00A86074">
      <w:pPr>
        <w:pStyle w:val="FootnoteText"/>
      </w:pPr>
      <w:r>
        <w:rPr>
          <w:rStyle w:val="FootnoteReference"/>
        </w:rPr>
        <w:footnoteRef/>
      </w:r>
      <w:r>
        <w:tab/>
      </w:r>
      <w:r w:rsidRPr="002F4DA6">
        <w:t>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 1).</w:t>
      </w:r>
    </w:p>
  </w:footnote>
  <w:footnote w:id="59">
    <w:p w14:paraId="1D5C4ADB" w14:textId="64DC9D78" w:rsidR="00DA41DB" w:rsidRPr="00296A29" w:rsidRDefault="00DA41DB">
      <w:pPr>
        <w:pStyle w:val="FootnoteText"/>
      </w:pPr>
      <w:r>
        <w:rPr>
          <w:rStyle w:val="FootnoteReference"/>
        </w:rPr>
        <w:footnoteRef/>
      </w:r>
      <w:r>
        <w:tab/>
        <w:t>For a description of the system see Section 7.2.</w:t>
      </w:r>
    </w:p>
  </w:footnote>
  <w:footnote w:id="60">
    <w:p w14:paraId="364F8F20" w14:textId="1B1082F7" w:rsidR="00DA41DB" w:rsidRPr="00F83AD7" w:rsidRDefault="00DA41DB">
      <w:pPr>
        <w:pStyle w:val="FootnoteText"/>
      </w:pPr>
      <w:r>
        <w:rPr>
          <w:rStyle w:val="FootnoteReference"/>
        </w:rPr>
        <w:footnoteRef/>
      </w:r>
      <w:r>
        <w:tab/>
      </w:r>
      <w:r w:rsidRPr="000005EB">
        <w:t>Croatia, Finland, Greece, Latvia, Luxemburg, Portugal, Romania and Spain</w:t>
      </w:r>
      <w:r>
        <w:t>.</w:t>
      </w:r>
    </w:p>
  </w:footnote>
  <w:footnote w:id="61">
    <w:p w14:paraId="6C3A4787" w14:textId="2556A527" w:rsidR="00DA41DB" w:rsidRPr="00F83AD7" w:rsidRDefault="00DA41DB">
      <w:pPr>
        <w:pStyle w:val="FootnoteText"/>
      </w:pPr>
      <w:r>
        <w:rPr>
          <w:rStyle w:val="FootnoteReference"/>
        </w:rPr>
        <w:footnoteRef/>
      </w:r>
      <w:r>
        <w:tab/>
      </w:r>
      <w:r w:rsidRPr="000005EB">
        <w:t>Belgium, Cyprus, Slovakia, Slovenia and Sweden</w:t>
      </w:r>
      <w:r>
        <w:t>.</w:t>
      </w:r>
    </w:p>
  </w:footnote>
  <w:footnote w:id="62">
    <w:p w14:paraId="2997A5C9" w14:textId="1196FD01" w:rsidR="00DA41DB" w:rsidRPr="000005EB" w:rsidRDefault="00DA41DB">
      <w:pPr>
        <w:pStyle w:val="FootnoteText"/>
      </w:pPr>
      <w:r>
        <w:rPr>
          <w:rStyle w:val="FootnoteReference"/>
        </w:rPr>
        <w:footnoteRef/>
      </w:r>
      <w:r>
        <w:tab/>
      </w:r>
      <w:r w:rsidRPr="000005EB">
        <w:t>Estonia, Hungary, Malta and the Netherlands</w:t>
      </w:r>
      <w:r>
        <w:t>.</w:t>
      </w:r>
    </w:p>
  </w:footnote>
  <w:footnote w:id="63">
    <w:p w14:paraId="285BDDFA" w14:textId="77777777" w:rsidR="00DA41DB" w:rsidRPr="00BB743B" w:rsidRDefault="00DA41DB">
      <w:pPr>
        <w:pStyle w:val="FootnoteText"/>
      </w:pPr>
      <w:r>
        <w:rPr>
          <w:rStyle w:val="FootnoteReference"/>
        </w:rPr>
        <w:footnoteRef/>
      </w:r>
      <w:r>
        <w:tab/>
      </w:r>
      <w:r w:rsidRPr="00BB743B">
        <w:t>Directive (EU) 2018/843 of the European Parliament and of the Council of 30 May 2018 amending Directive (EU) 2015/849 on the prevention of the use of the financial system for the purposes of money laundering or terrorist financing, and amending Directives 2009/138/EC and 2013/36/EU (Text with EEA relevance)</w:t>
      </w:r>
      <w:r>
        <w:t xml:space="preserve">, </w:t>
      </w:r>
      <w:r w:rsidRPr="00BB743B">
        <w:t>OJ L 156, 19.6.2018, p. 43–74</w:t>
      </w:r>
      <w:r>
        <w:t>.</w:t>
      </w:r>
    </w:p>
  </w:footnote>
  <w:footnote w:id="64">
    <w:p w14:paraId="675F8D98" w14:textId="77777777" w:rsidR="00DA41DB" w:rsidRPr="00BB743B" w:rsidRDefault="00DA41DB">
      <w:pPr>
        <w:pStyle w:val="FootnoteText"/>
      </w:pPr>
      <w:r>
        <w:rPr>
          <w:rStyle w:val="FootnoteReference"/>
        </w:rPr>
        <w:footnoteRef/>
      </w:r>
      <w:r>
        <w:tab/>
      </w:r>
      <w:hyperlink r:id="rId5" w:anchor="eu" w:history="1">
        <w:r w:rsidRPr="009F2AC5">
          <w:rPr>
            <w:rStyle w:val="Hyperlink"/>
          </w:rPr>
          <w:t>https://ec.europa.eu/info/business-economy-euro/banking-and-finance/financial-supervision-and-risk-management/anti-money-laundering-and-counter-terrorist-financing_en#eu</w:t>
        </w:r>
      </w:hyperlink>
      <w:r w:rsidRPr="00BB743B">
        <w:t>”</w:t>
      </w:r>
      <w:r>
        <w:t xml:space="preserve"> </w:t>
      </w:r>
    </w:p>
  </w:footnote>
  <w:footnote w:id="65">
    <w:p w14:paraId="57C7EEE3" w14:textId="77777777" w:rsidR="00DA41DB" w:rsidRPr="00E37566" w:rsidRDefault="00DA41DB">
      <w:pPr>
        <w:pStyle w:val="FootnoteText"/>
      </w:pPr>
      <w:r>
        <w:rPr>
          <w:rStyle w:val="FootnoteReference"/>
        </w:rPr>
        <w:footnoteRef/>
      </w:r>
      <w:r>
        <w:tab/>
      </w:r>
      <w:hyperlink r:id="rId6" w:history="1">
        <w:r w:rsidRPr="00456FEA">
          <w:rPr>
            <w:rStyle w:val="Hyperlink"/>
          </w:rPr>
          <w:t>https://ec.europa.eu/info/business-economy-euro/economic-and-fiscal-policy-coordination/eu-economic-governance-monitoring-prevention-correction/european-semester_en</w:t>
        </w:r>
      </w:hyperlink>
      <w:r>
        <w:t xml:space="preserve"> </w:t>
      </w:r>
    </w:p>
  </w:footnote>
  <w:footnote w:id="66">
    <w:p w14:paraId="2C245F2C" w14:textId="77777777" w:rsidR="00DA41DB" w:rsidRPr="00E37566" w:rsidRDefault="00DA41DB">
      <w:pPr>
        <w:pStyle w:val="FootnoteText"/>
      </w:pPr>
      <w:r>
        <w:rPr>
          <w:rStyle w:val="FootnoteReference"/>
        </w:rPr>
        <w:footnoteRef/>
      </w:r>
      <w:r>
        <w:tab/>
      </w:r>
      <w:hyperlink r:id="rId7" w:history="1">
        <w:r w:rsidRPr="00456FEA">
          <w:rPr>
            <w:rStyle w:val="Hyperlink"/>
          </w:rPr>
          <w:t>https://ec.europa.eu/info/business-economy-euro/economic-and-fiscal-policy-coordination/eu-economic-governance-monitoring-prevention-correction/european-semester/european-semester-timeline/spring-package_en</w:t>
        </w:r>
      </w:hyperlink>
      <w:r>
        <w:t xml:space="preserve"> </w:t>
      </w:r>
    </w:p>
  </w:footnote>
  <w:footnote w:id="67">
    <w:p w14:paraId="0A63D342" w14:textId="77777777" w:rsidR="00DA41DB" w:rsidRPr="00E878ED" w:rsidRDefault="00DA41DB" w:rsidP="00EC369B">
      <w:pPr>
        <w:pStyle w:val="FootnoteText"/>
        <w:rPr>
          <w:lang w:val="en-IE"/>
        </w:rPr>
      </w:pPr>
      <w:r>
        <w:rPr>
          <w:rStyle w:val="FootnoteReference"/>
        </w:rPr>
        <w:footnoteRef/>
      </w:r>
      <w:r>
        <w:tab/>
        <w:t>No measure included in the RRF should lead to significant harm objectives, as defined by Article 17 of the Regulation (EU) 2020/852 on the Taxonomy.</w:t>
      </w:r>
    </w:p>
  </w:footnote>
  <w:footnote w:id="68">
    <w:p w14:paraId="32AC4E43" w14:textId="77777777" w:rsidR="00DA41DB" w:rsidRPr="00813F4C" w:rsidRDefault="00DA41DB" w:rsidP="00A86074">
      <w:pPr>
        <w:pStyle w:val="FootnoteText"/>
      </w:pPr>
      <w:r>
        <w:rPr>
          <w:rStyle w:val="FootnoteReference"/>
        </w:rPr>
        <w:footnoteRef/>
      </w:r>
      <w:r>
        <w:tab/>
        <w:t>Article 22 of Regulation (EU) 2021/241 of the European Parliament and of the Council of 12 February 2021 establishing the Recovery and Resilience Facility, OJ L 57, 18.2.2021, p. 17–75.</w:t>
      </w:r>
    </w:p>
  </w:footnote>
  <w:footnote w:id="69">
    <w:p w14:paraId="17433E87" w14:textId="4B6493F8" w:rsidR="00DA41DB" w:rsidRPr="00924DFB" w:rsidRDefault="00DA41DB">
      <w:pPr>
        <w:pStyle w:val="FootnoteText"/>
      </w:pPr>
      <w:r>
        <w:rPr>
          <w:rStyle w:val="FootnoteReference"/>
        </w:rPr>
        <w:footnoteRef/>
      </w:r>
      <w:r>
        <w:tab/>
      </w:r>
      <w:r w:rsidRPr="001950F8">
        <w:t xml:space="preserve"> Hungary and the Netherlands still not adopted.</w:t>
      </w:r>
    </w:p>
  </w:footnote>
  <w:footnote w:id="70">
    <w:p w14:paraId="09C280E3" w14:textId="77777777" w:rsidR="00DA41DB" w:rsidRPr="00813F4C" w:rsidRDefault="00DA41DB">
      <w:pPr>
        <w:pStyle w:val="FootnoteText"/>
      </w:pPr>
      <w:r>
        <w:rPr>
          <w:rStyle w:val="FootnoteReference"/>
        </w:rPr>
        <w:footnoteRef/>
      </w:r>
      <w:r>
        <w:tab/>
        <w:t>Denmark, Lithuania, Malta, Portugal and Sweden.</w:t>
      </w:r>
    </w:p>
  </w:footnote>
  <w:footnote w:id="71">
    <w:p w14:paraId="05D72EA7" w14:textId="77777777" w:rsidR="00DA41DB" w:rsidRPr="00586B86" w:rsidRDefault="00DA41DB">
      <w:pPr>
        <w:pStyle w:val="FootnoteText"/>
      </w:pPr>
      <w:r>
        <w:rPr>
          <w:rStyle w:val="FootnoteReference"/>
        </w:rPr>
        <w:footnoteRef/>
      </w:r>
      <w:r>
        <w:tab/>
        <w:t>Croatia, Cyprus, France and Latvia.</w:t>
      </w:r>
    </w:p>
  </w:footnote>
  <w:footnote w:id="72">
    <w:p w14:paraId="2B257A43" w14:textId="77777777" w:rsidR="00DA41DB" w:rsidRPr="00813F4C" w:rsidRDefault="00DA41DB">
      <w:pPr>
        <w:pStyle w:val="FootnoteText"/>
      </w:pPr>
      <w:r>
        <w:rPr>
          <w:rStyle w:val="FootnoteReference"/>
        </w:rPr>
        <w:footnoteRef/>
      </w:r>
      <w:r>
        <w:tab/>
        <w:t>Hungary.</w:t>
      </w:r>
    </w:p>
  </w:footnote>
  <w:footnote w:id="73">
    <w:p w14:paraId="57D01BA7" w14:textId="77777777" w:rsidR="00DA41DB" w:rsidRPr="00153135" w:rsidRDefault="00DA41DB">
      <w:pPr>
        <w:pStyle w:val="FootnoteText"/>
        <w:rPr>
          <w:lang w:val="de-DE"/>
        </w:rPr>
      </w:pPr>
      <w:r>
        <w:rPr>
          <w:rStyle w:val="FootnoteReference"/>
        </w:rPr>
        <w:footnoteRef/>
      </w:r>
      <w:r>
        <w:tab/>
        <w:t xml:space="preserve">Denmark, France and Latvia. </w:t>
      </w:r>
    </w:p>
  </w:footnote>
  <w:footnote w:id="74">
    <w:p w14:paraId="65C1C22A" w14:textId="77777777" w:rsidR="00DA41DB" w:rsidRPr="00813F4C" w:rsidRDefault="00DA41DB">
      <w:pPr>
        <w:pStyle w:val="FootnoteText"/>
      </w:pPr>
      <w:r>
        <w:rPr>
          <w:rStyle w:val="FootnoteReference"/>
        </w:rPr>
        <w:footnoteRef/>
      </w:r>
      <w:r>
        <w:tab/>
        <w:t>COM(2021) 700 final of 20.07.2021.</w:t>
      </w:r>
    </w:p>
  </w:footnote>
  <w:footnote w:id="75">
    <w:p w14:paraId="55429FB2" w14:textId="77777777" w:rsidR="00DA41DB" w:rsidRPr="00E878ED" w:rsidRDefault="00DA41DB" w:rsidP="006D5369">
      <w:pPr>
        <w:pStyle w:val="FootnoteText"/>
        <w:rPr>
          <w:lang w:val="pt-PT"/>
        </w:rPr>
      </w:pPr>
      <w:r>
        <w:rPr>
          <w:rStyle w:val="FootnoteReference"/>
        </w:rPr>
        <w:footnoteRef/>
      </w:r>
      <w:r w:rsidRPr="00E878ED">
        <w:rPr>
          <w:lang w:val="pt-PT"/>
        </w:rPr>
        <w:t xml:space="preserve"> </w:t>
      </w:r>
      <w:r w:rsidRPr="00E878ED">
        <w:rPr>
          <w:lang w:val="pt-PT"/>
        </w:rPr>
        <w:tab/>
        <w:t xml:space="preserve">COM(2022) 500 final </w:t>
      </w:r>
      <w:r>
        <w:rPr>
          <w:lang w:val="pt-PT"/>
        </w:rPr>
        <w:t>of 13.07.2022</w:t>
      </w:r>
    </w:p>
  </w:footnote>
  <w:footnote w:id="76">
    <w:p w14:paraId="77F552B7" w14:textId="77777777" w:rsidR="00DA41DB" w:rsidRPr="00813F4C" w:rsidRDefault="00DA41DB">
      <w:pPr>
        <w:pStyle w:val="FootnoteText"/>
      </w:pPr>
      <w:r>
        <w:rPr>
          <w:rStyle w:val="FootnoteReference"/>
        </w:rPr>
        <w:footnoteRef/>
      </w:r>
      <w:r>
        <w:tab/>
        <w:t>COM(2022 1382 final of 2.3.2022.</w:t>
      </w:r>
    </w:p>
  </w:footnote>
  <w:footnote w:id="77">
    <w:p w14:paraId="19733BA1" w14:textId="108EA260" w:rsidR="00DA41DB" w:rsidRPr="00743C19" w:rsidRDefault="00DA41DB">
      <w:pPr>
        <w:pStyle w:val="FootnoteText"/>
      </w:pPr>
      <w:r>
        <w:rPr>
          <w:rStyle w:val="FootnoteReference"/>
        </w:rPr>
        <w:footnoteRef/>
      </w:r>
      <w:r>
        <w:tab/>
      </w:r>
      <w:r w:rsidRPr="00F6664B">
        <w:t>This is the time gap measured for irregularities reported in cohesion policy. See the ‘Statistical evaluation of irregularities reported in 2021’ accompanying this report, section 4.5.1.</w:t>
      </w:r>
    </w:p>
  </w:footnote>
  <w:footnote w:id="78">
    <w:p w14:paraId="3FA3C078" w14:textId="0908ED95" w:rsidR="00DA41DB" w:rsidRPr="00A3121D" w:rsidRDefault="00DA41DB">
      <w:pPr>
        <w:pStyle w:val="FootnoteText"/>
      </w:pPr>
      <w:r>
        <w:rPr>
          <w:rStyle w:val="FootnoteReference"/>
        </w:rPr>
        <w:footnoteRef/>
      </w:r>
      <w:r>
        <w:tab/>
      </w:r>
      <w:r w:rsidRPr="00A3121D">
        <w:t>Council Regulation (EU, Euratom) 2022/615 amending Regulation (EU, Euratom) No 609/2014 was adopted on 5 April 2022.</w:t>
      </w:r>
    </w:p>
  </w:footnote>
  <w:footnote w:id="79">
    <w:p w14:paraId="0664DBEF" w14:textId="4543CC89" w:rsidR="00DA41DB" w:rsidRPr="00233792" w:rsidRDefault="00DA41DB">
      <w:pPr>
        <w:pStyle w:val="FootnoteText"/>
        <w:rPr>
          <w:i/>
        </w:rPr>
      </w:pPr>
      <w:r>
        <w:rPr>
          <w:rStyle w:val="FootnoteReference"/>
        </w:rPr>
        <w:footnoteRef/>
      </w:r>
      <w:r>
        <w:tab/>
      </w:r>
      <w:r w:rsidRPr="00D124F9">
        <w:t>European Public Prosecutor’s Office, 2021 Annual Report, p. 10</w:t>
      </w:r>
      <w:r>
        <w:rPr>
          <w:i/>
        </w:rPr>
        <w:t>.</w:t>
      </w:r>
    </w:p>
  </w:footnote>
  <w:footnote w:id="80">
    <w:p w14:paraId="66561C4A" w14:textId="77777777" w:rsidR="00DA41DB" w:rsidRPr="00D05EB2" w:rsidRDefault="00DA41DB" w:rsidP="006C7D78">
      <w:pPr>
        <w:pStyle w:val="FootnoteText"/>
      </w:pPr>
      <w:r>
        <w:rPr>
          <w:rStyle w:val="FootnoteReference"/>
        </w:rPr>
        <w:footnoteRef/>
      </w:r>
      <w:r>
        <w:tab/>
      </w:r>
      <w:r w:rsidRPr="00D05EB2">
        <w:t xml:space="preserve">FDR – Fraud Detection Rate: Ratio of financial amounts related to fraudulent irregularities on the </w:t>
      </w:r>
      <w:r>
        <w:t>total own resources established and estimated amount.</w:t>
      </w:r>
    </w:p>
  </w:footnote>
  <w:footnote w:id="81">
    <w:p w14:paraId="10883321" w14:textId="24694772" w:rsidR="00DA41DB" w:rsidRPr="00D05EB2" w:rsidRDefault="00DA41DB" w:rsidP="006C7D78">
      <w:pPr>
        <w:pStyle w:val="FootnoteText"/>
      </w:pPr>
      <w:r>
        <w:rPr>
          <w:rStyle w:val="FootnoteReference"/>
        </w:rPr>
        <w:footnoteRef/>
      </w:r>
      <w:r>
        <w:tab/>
      </w:r>
      <w:r w:rsidRPr="00D05EB2">
        <w:t xml:space="preserve">IDR – Irregularity Detection Rate: Ratio of financial amounts related to non-fraudulent irregularities on the </w:t>
      </w:r>
      <w:r>
        <w:t xml:space="preserve">total own resources established and estimated amount. </w:t>
      </w:r>
    </w:p>
  </w:footnote>
  <w:footnote w:id="82">
    <w:p w14:paraId="3B2E4F9B" w14:textId="775CE6F8" w:rsidR="00DA41DB" w:rsidRPr="00F6664B" w:rsidRDefault="00DA41DB">
      <w:pPr>
        <w:pStyle w:val="FootnoteText"/>
      </w:pPr>
      <w:r>
        <w:rPr>
          <w:rStyle w:val="FootnoteReference"/>
        </w:rPr>
        <w:footnoteRef/>
      </w:r>
      <w:r>
        <w:tab/>
        <w:t>For a complete analysis of irregularities reported in TOR, see ‘Statistical evaluation of irregularities reported for 2021’ accompanying this report, Section 2.</w:t>
      </w:r>
    </w:p>
  </w:footnote>
  <w:footnote w:id="83">
    <w:p w14:paraId="6672DED2" w14:textId="77777777" w:rsidR="00DA41DB" w:rsidRPr="002D6EFC" w:rsidRDefault="00DA41DB" w:rsidP="00747F11">
      <w:pPr>
        <w:pStyle w:val="FootnoteText"/>
      </w:pPr>
      <w:r>
        <w:rPr>
          <w:rStyle w:val="FootnoteReference"/>
        </w:rPr>
        <w:footnoteRef/>
      </w:r>
      <w:r>
        <w:tab/>
        <w:t xml:space="preserve">European Commission, </w:t>
      </w:r>
      <w:r w:rsidRPr="00997D73">
        <w:rPr>
          <w:i/>
        </w:rPr>
        <w:t>32</w:t>
      </w:r>
      <w:r w:rsidRPr="00997D73">
        <w:rPr>
          <w:i/>
          <w:vertAlign w:val="superscript"/>
        </w:rPr>
        <w:t>nd</w:t>
      </w:r>
      <w:r w:rsidRPr="00997D73">
        <w:rPr>
          <w:i/>
        </w:rPr>
        <w:t xml:space="preserve"> Annual Report on the protection of the EU’s financial interests and the fight against fraud – 2020</w:t>
      </w:r>
      <w:r>
        <w:t>, snapshot 1, p. 13.</w:t>
      </w:r>
    </w:p>
  </w:footnote>
  <w:footnote w:id="84">
    <w:p w14:paraId="5FDB06F6" w14:textId="77777777" w:rsidR="00DA41DB" w:rsidRPr="00883216" w:rsidRDefault="00DA41DB" w:rsidP="00747F11">
      <w:pPr>
        <w:pStyle w:val="FootnoteText"/>
      </w:pPr>
      <w:r>
        <w:rPr>
          <w:rStyle w:val="FootnoteReference"/>
        </w:rPr>
        <w:footnoteRef/>
      </w:r>
      <w:r>
        <w:tab/>
        <w:t xml:space="preserve">Judgment of 8 March 2022. </w:t>
      </w:r>
      <w:r w:rsidRPr="00883216">
        <w:t>EU:C:2022:167</w:t>
      </w:r>
      <w:r>
        <w:t>.</w:t>
      </w:r>
    </w:p>
  </w:footnote>
  <w:footnote w:id="85">
    <w:p w14:paraId="541E3036" w14:textId="2E6E57EA" w:rsidR="00DA41DB" w:rsidRPr="00EC29B5" w:rsidRDefault="00DA41DB" w:rsidP="00B850E7">
      <w:pPr>
        <w:pStyle w:val="FootnoteText"/>
        <w:ind w:left="284" w:hanging="284"/>
        <w:rPr>
          <w:lang w:val="en-IE"/>
        </w:rPr>
      </w:pPr>
      <w:r>
        <w:rPr>
          <w:rStyle w:val="FootnoteReference"/>
        </w:rPr>
        <w:footnoteRef/>
      </w:r>
      <w:r w:rsidRPr="00EC29B5">
        <w:rPr>
          <w:lang w:val="en-IE"/>
        </w:rPr>
        <w:t xml:space="preserve"> </w:t>
      </w:r>
      <w:r w:rsidRPr="00EC29B5">
        <w:rPr>
          <w:lang w:val="en-IE"/>
        </w:rPr>
        <w:tab/>
      </w:r>
      <w:r w:rsidRPr="00EC29B5">
        <w:t>Based on Article 13 of the basic Anti-Dumping Regulation, circumvention</w:t>
      </w:r>
      <w:r>
        <w:t xml:space="preserve"> </w:t>
      </w:r>
      <w:r w:rsidRPr="00EC29B5">
        <w:t>takes place when exporting producers in third countries engage in practices like shipping the product through a country not subject to duties (transhipment), slightly modifying the product so that it does not fall under the duties, or exporting through an exporting producer with lower individual rates of anti-dumping or countervailing duties (company channelling).</w:t>
      </w:r>
    </w:p>
  </w:footnote>
  <w:footnote w:id="86">
    <w:p w14:paraId="252C5C70" w14:textId="77777777" w:rsidR="00DA41DB" w:rsidRPr="00EC29B5" w:rsidRDefault="00DA41DB" w:rsidP="00B850E7">
      <w:pPr>
        <w:ind w:left="284" w:hanging="284"/>
        <w:rPr>
          <w:sz w:val="20"/>
        </w:rPr>
      </w:pPr>
      <w:r>
        <w:rPr>
          <w:rStyle w:val="FootnoteReference"/>
        </w:rPr>
        <w:footnoteRef/>
      </w:r>
      <w:r w:rsidRPr="00EC29B5">
        <w:rPr>
          <w:sz w:val="20"/>
          <w:lang w:val="en-IE"/>
        </w:rPr>
        <w:t xml:space="preserve"> </w:t>
      </w:r>
      <w:r w:rsidRPr="00EC29B5">
        <w:rPr>
          <w:sz w:val="20"/>
          <w:lang w:val="en-IE"/>
        </w:rPr>
        <w:tab/>
      </w:r>
      <w:r w:rsidRPr="00EC29B5">
        <w:rPr>
          <w:sz w:val="20"/>
        </w:rPr>
        <w:t>Another practice is the absorption of the duty when exporters, despite the imposed measures, decrease their prices to overcome the duties or importers do not reflect the duty when reselling the product in the Union.</w:t>
      </w:r>
    </w:p>
  </w:footnote>
  <w:footnote w:id="87">
    <w:p w14:paraId="31E2FFD7" w14:textId="77777777" w:rsidR="00DA41DB" w:rsidRPr="00EC29B5" w:rsidRDefault="00DA41DB" w:rsidP="00B850E7">
      <w:pPr>
        <w:pStyle w:val="FootnoteText"/>
        <w:ind w:left="284" w:hanging="284"/>
        <w:rPr>
          <w:lang w:val="en-IE"/>
        </w:rPr>
      </w:pPr>
      <w:r>
        <w:rPr>
          <w:rStyle w:val="FootnoteReference"/>
        </w:rPr>
        <w:footnoteRef/>
      </w:r>
      <w:r w:rsidRPr="00EC29B5">
        <w:rPr>
          <w:lang w:val="en-IE"/>
        </w:rPr>
        <w:t xml:space="preserve"> </w:t>
      </w:r>
      <w:r w:rsidRPr="00EC29B5">
        <w:rPr>
          <w:lang w:val="en-IE"/>
        </w:rPr>
        <w:tab/>
      </w:r>
      <w:r w:rsidRPr="00EC29B5">
        <w:t>Glass fibre fabrics are used, for instance, for the production of blades for wind turbines, in the boat, truck and sport equipment production, as well as in pipe rehabilitation system</w:t>
      </w:r>
      <w:r w:rsidRPr="00EC29B5">
        <w:rPr>
          <w:lang w:val="en-IE"/>
        </w:rPr>
        <w:t xml:space="preserve"> </w:t>
      </w:r>
    </w:p>
  </w:footnote>
  <w:footnote w:id="88">
    <w:p w14:paraId="79CD9491" w14:textId="25693234" w:rsidR="00DA41DB" w:rsidRPr="00997D73" w:rsidRDefault="00DA41DB">
      <w:pPr>
        <w:pStyle w:val="FootnoteText"/>
      </w:pPr>
      <w:r>
        <w:rPr>
          <w:rStyle w:val="FootnoteReference"/>
        </w:rPr>
        <w:footnoteRef/>
      </w:r>
      <w:r>
        <w:tab/>
        <w:t>See 32</w:t>
      </w:r>
      <w:r w:rsidRPr="00997D73">
        <w:rPr>
          <w:vertAlign w:val="superscript"/>
        </w:rPr>
        <w:t>nd</w:t>
      </w:r>
      <w:r>
        <w:t xml:space="preserve"> PIF Report, </w:t>
      </w:r>
      <w:r>
        <w:rPr>
          <w:i/>
        </w:rPr>
        <w:t>cit.</w:t>
      </w:r>
      <w:r>
        <w:t>, Section 6.2, pp. 37-40.</w:t>
      </w:r>
    </w:p>
  </w:footnote>
  <w:footnote w:id="89">
    <w:p w14:paraId="5EC97775" w14:textId="105EC5E1" w:rsidR="00DA41DB" w:rsidRPr="00997D73" w:rsidRDefault="00DA41DB">
      <w:pPr>
        <w:pStyle w:val="FootnoteText"/>
      </w:pPr>
      <w:r>
        <w:rPr>
          <w:rStyle w:val="FootnoteReference"/>
        </w:rPr>
        <w:footnoteRef/>
      </w:r>
      <w:r>
        <w:tab/>
        <w:t xml:space="preserve">European Commission, </w:t>
      </w:r>
      <w:r>
        <w:rPr>
          <w:i/>
        </w:rPr>
        <w:t>Report from the European Commission to the European Parliament and the Council on the follow-up to the discharge for the 2020 financial year</w:t>
      </w:r>
      <w:r>
        <w:t>, COM(2022) 331 final, 30.6.2022, p. 2.</w:t>
      </w:r>
    </w:p>
  </w:footnote>
  <w:footnote w:id="90">
    <w:p w14:paraId="71F8BC36" w14:textId="77777777" w:rsidR="00DA41DB" w:rsidRPr="00CF7811" w:rsidRDefault="00DA41DB">
      <w:pPr>
        <w:pStyle w:val="FootnoteText"/>
        <w:rPr>
          <w:i/>
        </w:rPr>
      </w:pPr>
      <w:r>
        <w:rPr>
          <w:rStyle w:val="FootnoteReference"/>
        </w:rPr>
        <w:footnoteRef/>
      </w:r>
      <w:r>
        <w:tab/>
      </w:r>
      <w:r>
        <w:rPr>
          <w:i/>
        </w:rPr>
        <w:t>Ibidem.</w:t>
      </w:r>
    </w:p>
  </w:footnote>
  <w:footnote w:id="91">
    <w:p w14:paraId="6E59555B" w14:textId="77777777" w:rsidR="00DA41DB" w:rsidRPr="000F5F0C" w:rsidRDefault="00DA41DB" w:rsidP="00773F49">
      <w:pPr>
        <w:pStyle w:val="FootnoteText"/>
      </w:pPr>
      <w:r>
        <w:rPr>
          <w:rStyle w:val="FootnoteReference"/>
        </w:rPr>
        <w:footnoteRef/>
      </w:r>
      <w:r>
        <w:tab/>
        <w:t>Spending areas linked to programming periods concern rural development, cohesion, fisheries policies and internal policies.</w:t>
      </w:r>
    </w:p>
  </w:footnote>
  <w:footnote w:id="92">
    <w:p w14:paraId="742C7A11" w14:textId="77777777" w:rsidR="00DA41DB" w:rsidRPr="00D05EB2" w:rsidRDefault="00DA41DB" w:rsidP="00773F49">
      <w:pPr>
        <w:pStyle w:val="FootnoteText"/>
      </w:pPr>
      <w:r>
        <w:rPr>
          <w:rStyle w:val="FootnoteReference"/>
        </w:rPr>
        <w:footnoteRef/>
      </w:r>
      <w:r>
        <w:tab/>
      </w:r>
      <w:r w:rsidRPr="00D05EB2">
        <w:t xml:space="preserve">FDR – Fraud Detection Rate: Ratio of financial amounts related to fraudulent irregularities on the </w:t>
      </w:r>
      <w:r>
        <w:t>total payments made.</w:t>
      </w:r>
    </w:p>
  </w:footnote>
  <w:footnote w:id="93">
    <w:p w14:paraId="6953E1AC" w14:textId="77777777" w:rsidR="00DA41DB" w:rsidRPr="00D05EB2" w:rsidRDefault="00DA41DB" w:rsidP="00773F49">
      <w:pPr>
        <w:pStyle w:val="FootnoteText"/>
      </w:pPr>
      <w:r>
        <w:rPr>
          <w:rStyle w:val="FootnoteReference"/>
        </w:rPr>
        <w:footnoteRef/>
      </w:r>
      <w:r>
        <w:tab/>
      </w:r>
      <w:r w:rsidRPr="00D05EB2">
        <w:t>IDR – Irregularity Detection Rate: Ratio of financial amounts related to non-fraudulent irregularities on the</w:t>
      </w:r>
      <w:r>
        <w:t xml:space="preserve"> total payments made.</w:t>
      </w:r>
    </w:p>
  </w:footnote>
  <w:footnote w:id="94">
    <w:p w14:paraId="2228B183" w14:textId="063A4A3F" w:rsidR="00DA41DB" w:rsidRPr="00F6664B" w:rsidRDefault="00DA41DB">
      <w:pPr>
        <w:pStyle w:val="FootnoteText"/>
      </w:pPr>
      <w:r>
        <w:rPr>
          <w:rStyle w:val="FootnoteReference"/>
        </w:rPr>
        <w:footnoteRef/>
      </w:r>
      <w:r>
        <w:tab/>
        <w:t>For a complete analysis of irregularities reported in agriculture, see ‘Statistical evaluation of irregularities reported for 2021’, accompanying this report, Section 3.</w:t>
      </w:r>
    </w:p>
  </w:footnote>
  <w:footnote w:id="95">
    <w:p w14:paraId="52057B4B" w14:textId="3C0F192C" w:rsidR="00DA41DB" w:rsidRPr="00715764" w:rsidRDefault="00DA41DB">
      <w:pPr>
        <w:pStyle w:val="FootnoteText"/>
      </w:pPr>
      <w:r>
        <w:rPr>
          <w:rStyle w:val="FootnoteReference"/>
        </w:rPr>
        <w:footnoteRef/>
      </w:r>
      <w:r>
        <w:tab/>
        <w:t>See 32</w:t>
      </w:r>
      <w:r w:rsidRPr="004A5098">
        <w:t>nd</w:t>
      </w:r>
      <w:r>
        <w:t xml:space="preserve"> PIF Report 2020, </w:t>
      </w:r>
      <w:r>
        <w:rPr>
          <w:i/>
        </w:rPr>
        <w:t>cit.</w:t>
      </w:r>
      <w:r>
        <w:t>, p. 35.</w:t>
      </w:r>
    </w:p>
  </w:footnote>
  <w:footnote w:id="96">
    <w:p w14:paraId="3757D718" w14:textId="77777777" w:rsidR="00DA41DB" w:rsidRPr="00D10B75" w:rsidRDefault="00DA41DB" w:rsidP="00D11191">
      <w:pPr>
        <w:pStyle w:val="FootnoteText"/>
      </w:pPr>
      <w:r>
        <w:rPr>
          <w:rStyle w:val="FootnoteReference"/>
        </w:rPr>
        <w:footnoteRef/>
      </w:r>
      <w:r>
        <w:tab/>
      </w:r>
      <w:r w:rsidRPr="00EB636F">
        <w:t>COM(2021) 141</w:t>
      </w:r>
      <w:r>
        <w:t>.</w:t>
      </w:r>
    </w:p>
  </w:footnote>
  <w:footnote w:id="97">
    <w:p w14:paraId="4E40FF34" w14:textId="659275AB" w:rsidR="00DA41DB" w:rsidRPr="00A251B1" w:rsidRDefault="00DA41DB">
      <w:pPr>
        <w:pStyle w:val="FootnoteText"/>
      </w:pPr>
      <w:r>
        <w:rPr>
          <w:rStyle w:val="FootnoteReference"/>
        </w:rPr>
        <w:footnoteRef/>
      </w:r>
      <w:r>
        <w:tab/>
      </w:r>
      <w:r w:rsidRPr="003430DC">
        <w:t>TRACES is the European Commission's online platform for sanitary and phytosanitary certification required for the importation of animals, animal products, food and feed of non-animal origin and plants into the European Union, and the intra-EU trade and EU exports of animals and certain animal products.</w:t>
      </w:r>
    </w:p>
  </w:footnote>
  <w:footnote w:id="98">
    <w:p w14:paraId="77D7A7AB" w14:textId="58A664C8" w:rsidR="00DA41DB" w:rsidRPr="00F6664B" w:rsidRDefault="00DA41DB">
      <w:pPr>
        <w:pStyle w:val="FootnoteText"/>
      </w:pPr>
      <w:r>
        <w:rPr>
          <w:rStyle w:val="FootnoteReference"/>
        </w:rPr>
        <w:footnoteRef/>
      </w:r>
      <w:r>
        <w:tab/>
        <w:t>For a complete analysis of irregularities reported in relation to ESIF, see ‘Statistical evaluation of irregularities reported for 2021’, accompanying this report, Section 4.</w:t>
      </w:r>
    </w:p>
  </w:footnote>
  <w:footnote w:id="99">
    <w:p w14:paraId="3FE38E4F" w14:textId="06B9C071" w:rsidR="00DA41DB" w:rsidRPr="002B1B19" w:rsidRDefault="00DA41DB">
      <w:pPr>
        <w:pStyle w:val="FootnoteText"/>
      </w:pPr>
      <w:r>
        <w:rPr>
          <w:rStyle w:val="FootnoteReference"/>
        </w:rPr>
        <w:footnoteRef/>
      </w:r>
      <w:r>
        <w:tab/>
      </w:r>
      <w:r w:rsidRPr="002B1B19">
        <w:t>With reference to the 2014-2020</w:t>
      </w:r>
      <w:r>
        <w:t xml:space="preserve"> </w:t>
      </w:r>
      <w:r w:rsidRPr="002B1B19">
        <w:t xml:space="preserve">programming period, the FDR </w:t>
      </w:r>
      <w:r>
        <w:t xml:space="preserve">is heavily influenced by significant detections </w:t>
      </w:r>
      <w:r w:rsidRPr="002B1B19">
        <w:t xml:space="preserve">by Romania and Slovakia, but </w:t>
      </w:r>
      <w:r>
        <w:t xml:space="preserve">of </w:t>
      </w:r>
      <w:r w:rsidRPr="002B1B19">
        <w:t>single irregularities that involved huge financial amounts. These irregularities also had a</w:t>
      </w:r>
      <w:r>
        <w:t xml:space="preserve"> significant </w:t>
      </w:r>
      <w:r w:rsidRPr="002B1B19">
        <w:t>impact on the EU</w:t>
      </w:r>
      <w:r>
        <w:t>-</w:t>
      </w:r>
      <w:r w:rsidRPr="002B1B19">
        <w:t>27 FDR</w:t>
      </w:r>
      <w:r>
        <w:t>. The comparison between the two programming periods is important as it allows to understand that the increase by 186% in 2021 compared to the five-years average is linked to exceptional situations.</w:t>
      </w:r>
    </w:p>
  </w:footnote>
  <w:footnote w:id="100">
    <w:p w14:paraId="17D73755" w14:textId="77777777" w:rsidR="00DA41DB" w:rsidRPr="00C77AE2" w:rsidRDefault="00DA41DB">
      <w:pPr>
        <w:pStyle w:val="FootnoteText"/>
      </w:pPr>
      <w:r>
        <w:rPr>
          <w:rStyle w:val="FootnoteReference"/>
        </w:rPr>
        <w:footnoteRef/>
      </w:r>
      <w:r>
        <w:tab/>
      </w:r>
      <w:hyperlink r:id="rId8" w:history="1">
        <w:r w:rsidRPr="00456FEA">
          <w:rPr>
            <w:rStyle w:val="Hyperlink"/>
          </w:rPr>
          <w:t>https://ec.europa.eu/regional_policy/en/policy/how/improving-investment/integrity-pacts/</w:t>
        </w:r>
      </w:hyperlink>
      <w:r>
        <w:t xml:space="preserve"> </w:t>
      </w:r>
    </w:p>
  </w:footnote>
  <w:footnote w:id="101">
    <w:p w14:paraId="02DAA84E" w14:textId="31E6B1EA" w:rsidR="00DA41DB" w:rsidRPr="00F6664B" w:rsidRDefault="00DA41DB">
      <w:pPr>
        <w:pStyle w:val="FootnoteText"/>
      </w:pPr>
      <w:r>
        <w:rPr>
          <w:rStyle w:val="FootnoteReference"/>
        </w:rPr>
        <w:footnoteRef/>
      </w:r>
      <w:r>
        <w:tab/>
        <w:t>For an analysis of irregularities reported in relation to these funds, see ‘Statistical evaluation of irregularities reported for 2021’, accompanying this report, Section 4.6.</w:t>
      </w:r>
    </w:p>
  </w:footnote>
  <w:footnote w:id="102">
    <w:p w14:paraId="4FAC67F7" w14:textId="2814D57A" w:rsidR="00DA41DB" w:rsidRPr="00F6664B" w:rsidRDefault="00DA41DB">
      <w:pPr>
        <w:pStyle w:val="FootnoteText"/>
      </w:pPr>
      <w:r>
        <w:rPr>
          <w:rStyle w:val="FootnoteReference"/>
        </w:rPr>
        <w:footnoteRef/>
      </w:r>
      <w:r>
        <w:tab/>
        <w:t>For an analysis of irregularities reported in pre-accession, see ‘Statistical evaluation of irregularities reported for 2021’, accompanying this report, Section 5.</w:t>
      </w:r>
    </w:p>
  </w:footnote>
  <w:footnote w:id="103">
    <w:p w14:paraId="72FB47D4" w14:textId="146B1940" w:rsidR="00DA41DB" w:rsidRPr="00F6664B" w:rsidRDefault="00DA41DB">
      <w:pPr>
        <w:pStyle w:val="FootnoteText"/>
      </w:pPr>
      <w:r>
        <w:rPr>
          <w:rStyle w:val="FootnoteReference"/>
        </w:rPr>
        <w:footnoteRef/>
      </w:r>
      <w:r>
        <w:tab/>
        <w:t>For an analysis of irregularities detected in direct management, see ‘Statistical evaluation of irregularities reported for 2021’, accompanying this report, Section 6.</w:t>
      </w:r>
    </w:p>
  </w:footnote>
  <w:footnote w:id="104">
    <w:p w14:paraId="3672680F" w14:textId="77777777" w:rsidR="00DA41DB" w:rsidRPr="009D39B1" w:rsidRDefault="00DA41DB">
      <w:pPr>
        <w:pStyle w:val="FootnoteText"/>
      </w:pPr>
      <w:r>
        <w:rPr>
          <w:rStyle w:val="FootnoteReference"/>
        </w:rPr>
        <w:footnoteRef/>
      </w:r>
      <w:r>
        <w:tab/>
        <w:t>See snapshots 3 and 4.</w:t>
      </w:r>
    </w:p>
  </w:footnote>
  <w:footnote w:id="105">
    <w:p w14:paraId="5E0ED96B" w14:textId="77777777" w:rsidR="00DA41DB" w:rsidRPr="000D0271" w:rsidRDefault="00DA41DB" w:rsidP="00225A0C">
      <w:pPr>
        <w:pStyle w:val="FootnoteText"/>
      </w:pPr>
      <w:r>
        <w:rPr>
          <w:rStyle w:val="FootnoteReference"/>
        </w:rPr>
        <w:footnoteRef/>
      </w:r>
      <w:r>
        <w:tab/>
        <w:t xml:space="preserve">Judgement of 16 February 2022. </w:t>
      </w:r>
      <w:r w:rsidRPr="000D0271">
        <w:t>EU:C:2022:97</w:t>
      </w:r>
      <w:r>
        <w:t>.</w:t>
      </w:r>
    </w:p>
  </w:footnote>
  <w:footnote w:id="106">
    <w:p w14:paraId="7AB7D321" w14:textId="77777777" w:rsidR="00DA41DB" w:rsidRPr="000D0271" w:rsidRDefault="00DA41DB" w:rsidP="00225A0C">
      <w:pPr>
        <w:pStyle w:val="FootnoteText"/>
      </w:pPr>
      <w:r>
        <w:rPr>
          <w:rStyle w:val="FootnoteReference"/>
        </w:rPr>
        <w:footnoteRef/>
      </w:r>
      <w:r>
        <w:tab/>
        <w:t xml:space="preserve">Judgement of 16 February 2022. </w:t>
      </w:r>
      <w:r w:rsidRPr="000D0271">
        <w:t>EU:C:2022:98</w:t>
      </w:r>
      <w:r>
        <w:t>.</w:t>
      </w:r>
    </w:p>
  </w:footnote>
  <w:footnote w:id="107">
    <w:p w14:paraId="792BA374" w14:textId="77777777" w:rsidR="00DA41DB" w:rsidRPr="001E21E5" w:rsidRDefault="00DA41DB">
      <w:pPr>
        <w:pStyle w:val="FootnoteText"/>
      </w:pPr>
      <w:r>
        <w:rPr>
          <w:rStyle w:val="FootnoteReference"/>
        </w:rPr>
        <w:footnoteRef/>
      </w:r>
      <w:r>
        <w:tab/>
      </w:r>
      <w:r w:rsidRPr="00E42FFF">
        <w:t>COM(2022) 184 final</w:t>
      </w:r>
      <w:r>
        <w:t>, 22.4.2022.</w:t>
      </w:r>
    </w:p>
  </w:footnote>
  <w:footnote w:id="108">
    <w:p w14:paraId="1A2A8CC2" w14:textId="77777777" w:rsidR="00DA41DB" w:rsidRPr="00844F69" w:rsidRDefault="00DA41DB">
      <w:pPr>
        <w:pStyle w:val="FootnoteText"/>
      </w:pPr>
      <w:r>
        <w:rPr>
          <w:rStyle w:val="FootnoteReference"/>
        </w:rPr>
        <w:footnoteRef/>
      </w:r>
      <w:r>
        <w:tab/>
        <w:t xml:space="preserve">In line with </w:t>
      </w:r>
      <w:r w:rsidRPr="00844F69">
        <w:t>Regulations (EU) 2016/679 (GDPR) and (EU) 2018/1725</w:t>
      </w:r>
      <w:r>
        <w:t>.</w:t>
      </w:r>
    </w:p>
  </w:footnote>
  <w:footnote w:id="109">
    <w:p w14:paraId="54E84B64" w14:textId="6E38D82B" w:rsidR="00DA41DB" w:rsidRPr="00AD2DE2" w:rsidRDefault="00DA41DB">
      <w:pPr>
        <w:pStyle w:val="FootnoteText"/>
      </w:pPr>
      <w:r>
        <w:rPr>
          <w:rStyle w:val="FootnoteReference"/>
        </w:rPr>
        <w:footnoteRef/>
      </w:r>
      <w:r>
        <w:tab/>
      </w:r>
      <w:r w:rsidRPr="00AD2DE2">
        <w:t>For a detailed overview of the decisions taken by the Panel in 2021, see ‘Early Detection and Exclusion System (EDES) — Panel referred to in Article 143 of the Financial Regulation’ accompanying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218F" w14:textId="77777777" w:rsidR="00EA0D7C" w:rsidRPr="00EA0D7C" w:rsidRDefault="00EA0D7C" w:rsidP="00EA0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9B68" w14:textId="77777777" w:rsidR="00EA0D7C" w:rsidRPr="00EA0D7C" w:rsidRDefault="00EA0D7C" w:rsidP="00EA0D7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9BB1" w14:textId="77777777" w:rsidR="00EA0D7C" w:rsidRPr="00EA0D7C" w:rsidRDefault="00EA0D7C" w:rsidP="00EA0D7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3082" w14:textId="77777777" w:rsidR="00DA41DB" w:rsidRDefault="00DA41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28D7" w14:textId="77777777" w:rsidR="00DA41DB" w:rsidRDefault="00DA41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DB08" w14:textId="77777777" w:rsidR="00DA41DB" w:rsidRDefault="00DA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FEC1A4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82E70A8"/>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B53C769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01602E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FCCA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76E86"/>
    <w:multiLevelType w:val="multilevel"/>
    <w:tmpl w:val="8E18D24C"/>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95541ED8"/>
    <w:name w:val="ListNumberNumbering"/>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05B2BA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DD4CD3"/>
    <w:multiLevelType w:val="hybridMultilevel"/>
    <w:tmpl w:val="F3D012E6"/>
    <w:lvl w:ilvl="0" w:tplc="08090001">
      <w:start w:val="1"/>
      <w:numFmt w:val="bullet"/>
      <w:lvlText w:val=""/>
      <w:lvlJc w:val="left"/>
      <w:pPr>
        <w:ind w:left="360" w:hanging="360"/>
      </w:pPr>
      <w:rPr>
        <w:rFonts w:ascii="Symbol" w:hAnsi="Symbol" w:hint="default"/>
      </w:rPr>
    </w:lvl>
    <w:lvl w:ilvl="1" w:tplc="58CC190C">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37D98"/>
    <w:multiLevelType w:val="multilevel"/>
    <w:tmpl w:val="95541ED8"/>
    <w:name w:val="ListNumberNumbering2"/>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6C19EE"/>
    <w:multiLevelType w:val="hybridMultilevel"/>
    <w:tmpl w:val="78E2E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93CE3"/>
    <w:multiLevelType w:val="multilevel"/>
    <w:tmpl w:val="F8BA989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2" w15:restartNumberingAfterBreak="0">
    <w:nsid w:val="2D293CF4"/>
    <w:multiLevelType w:val="multilevel"/>
    <w:tmpl w:val="B5DC329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4E1A63DF"/>
    <w:multiLevelType w:val="multilevel"/>
    <w:tmpl w:val="99640B2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8E18D24C"/>
    <w:name w:val="ListBulletNumbering"/>
    <w:lvl w:ilvl="0">
      <w:start w:val="1"/>
      <w:numFmt w:val="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8548BA90"/>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9B52"/>
    <w:multiLevelType w:val="multilevel"/>
    <w:tmpl w:val="A74482D4"/>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58B0DFE"/>
    <w:multiLevelType w:val="hybridMultilevel"/>
    <w:tmpl w:val="B3E4C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46636F"/>
    <w:multiLevelType w:val="hybridMultilevel"/>
    <w:tmpl w:val="A85E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5145E"/>
    <w:multiLevelType w:val="multilevel"/>
    <w:tmpl w:val="434AEF5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0"/>
  </w:num>
  <w:num w:numId="2">
    <w:abstractNumId w:val="12"/>
  </w:num>
  <w:num w:numId="3">
    <w:abstractNumId w:val="11"/>
  </w:num>
  <w:num w:numId="4">
    <w:abstractNumId w:val="7"/>
  </w:num>
  <w:num w:numId="5">
    <w:abstractNumId w:val="16"/>
  </w:num>
  <w:num w:numId="6">
    <w:abstractNumId w:val="13"/>
  </w:num>
  <w:num w:numId="7">
    <w:abstractNumId w:val="15"/>
  </w:num>
  <w:num w:numId="8">
    <w:abstractNumId w:val="6"/>
  </w:num>
  <w:num w:numId="9">
    <w:abstractNumId w:val="14"/>
  </w:num>
  <w:num w:numId="10">
    <w:abstractNumId w:val="19"/>
  </w:num>
  <w:num w:numId="11">
    <w:abstractNumId w:val="0"/>
  </w:num>
  <w:num w:numId="12">
    <w:abstractNumId w:val="1"/>
  </w:num>
  <w:num w:numId="13">
    <w:abstractNumId w:val="2"/>
  </w:num>
  <w:num w:numId="14">
    <w:abstractNumId w:val="3"/>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10"/>
  </w:num>
  <w:num w:numId="18">
    <w:abstractNumId w:val="17"/>
  </w:num>
  <w:num w:numId="19">
    <w:abstractNumId w:val="9"/>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4DBFCC-261E-4B9C-8F77-8CDFA42072B8"/>
    <w:docVar w:name="LW_COVERPAGE_TYPE" w:val="1"/>
    <w:docVar w:name="LW_CROSSREFERENCE" w:val="{SWD(2022) 302 final} - {SWD(2022) 303 final} - {SWD(2022) 304 final} - {SWD(2022) 305 final} - {SWD(2022) 306 final} - {SWD(2022) 307 final}"/>
    <w:docVar w:name="LW_DocType" w:val="EUROLOOK"/>
    <w:docVar w:name="LW_EMISSION" w:val="23.9.2022"/>
    <w:docVar w:name="LW_EMISSION_ISODATE" w:val="2022-09-23"/>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33rd Annual Report on the protection of the European Union’s financial interests and the fight against fraud – 2021"/>
    <w:docVar w:name="LW_TYPE.DOC.CP" w:val="REPORT FROM THE COMMISSION TO THE COUNCIL AND THE EUROPEAN PARLIAMENT"/>
    <w:docVar w:name="LwApiVersions" w:val="LW4CoDe 1.23.2.0; LW 8.0, Build 20211117"/>
  </w:docVars>
  <w:rsids>
    <w:rsidRoot w:val="0048430C"/>
    <w:rsid w:val="000005EB"/>
    <w:rsid w:val="00000C60"/>
    <w:rsid w:val="00002D17"/>
    <w:rsid w:val="000114A4"/>
    <w:rsid w:val="00011890"/>
    <w:rsid w:val="000128E2"/>
    <w:rsid w:val="00014908"/>
    <w:rsid w:val="00026DA3"/>
    <w:rsid w:val="00030F3C"/>
    <w:rsid w:val="00034841"/>
    <w:rsid w:val="000424C7"/>
    <w:rsid w:val="00053CB1"/>
    <w:rsid w:val="000579D4"/>
    <w:rsid w:val="00064AA5"/>
    <w:rsid w:val="00071FAB"/>
    <w:rsid w:val="000810E6"/>
    <w:rsid w:val="000842E0"/>
    <w:rsid w:val="000A022B"/>
    <w:rsid w:val="000A2CB4"/>
    <w:rsid w:val="000A2ED7"/>
    <w:rsid w:val="000B4633"/>
    <w:rsid w:val="000B59B8"/>
    <w:rsid w:val="000D0271"/>
    <w:rsid w:val="000F48CB"/>
    <w:rsid w:val="00101327"/>
    <w:rsid w:val="0010271E"/>
    <w:rsid w:val="0010609B"/>
    <w:rsid w:val="00110F22"/>
    <w:rsid w:val="001149B4"/>
    <w:rsid w:val="001157CA"/>
    <w:rsid w:val="00117EDE"/>
    <w:rsid w:val="00131B72"/>
    <w:rsid w:val="00153135"/>
    <w:rsid w:val="001576E8"/>
    <w:rsid w:val="001623A1"/>
    <w:rsid w:val="00167262"/>
    <w:rsid w:val="00190177"/>
    <w:rsid w:val="001950F8"/>
    <w:rsid w:val="001A2746"/>
    <w:rsid w:val="001A3BBE"/>
    <w:rsid w:val="001A6E4B"/>
    <w:rsid w:val="001A7AA9"/>
    <w:rsid w:val="001B0643"/>
    <w:rsid w:val="001B1DBF"/>
    <w:rsid w:val="001C50AD"/>
    <w:rsid w:val="001C7027"/>
    <w:rsid w:val="001E18A9"/>
    <w:rsid w:val="001E21E5"/>
    <w:rsid w:val="001E5FDE"/>
    <w:rsid w:val="00200417"/>
    <w:rsid w:val="002118BA"/>
    <w:rsid w:val="00211E8B"/>
    <w:rsid w:val="002166CE"/>
    <w:rsid w:val="00221EE2"/>
    <w:rsid w:val="00225A0C"/>
    <w:rsid w:val="002303B4"/>
    <w:rsid w:val="00233792"/>
    <w:rsid w:val="002369AB"/>
    <w:rsid w:val="00242925"/>
    <w:rsid w:val="002436C2"/>
    <w:rsid w:val="002571D1"/>
    <w:rsid w:val="00257B88"/>
    <w:rsid w:val="00261CD5"/>
    <w:rsid w:val="00262A80"/>
    <w:rsid w:val="002654B3"/>
    <w:rsid w:val="00282D64"/>
    <w:rsid w:val="00283EE7"/>
    <w:rsid w:val="002871C5"/>
    <w:rsid w:val="002923C2"/>
    <w:rsid w:val="00292801"/>
    <w:rsid w:val="00295D72"/>
    <w:rsid w:val="00296A29"/>
    <w:rsid w:val="002A173F"/>
    <w:rsid w:val="002A4350"/>
    <w:rsid w:val="002B1B19"/>
    <w:rsid w:val="002C508D"/>
    <w:rsid w:val="002D6EFC"/>
    <w:rsid w:val="002F0397"/>
    <w:rsid w:val="002F3A1F"/>
    <w:rsid w:val="002F71B1"/>
    <w:rsid w:val="00305360"/>
    <w:rsid w:val="00307B43"/>
    <w:rsid w:val="003116B9"/>
    <w:rsid w:val="0032188D"/>
    <w:rsid w:val="00322192"/>
    <w:rsid w:val="00324AAC"/>
    <w:rsid w:val="003430DC"/>
    <w:rsid w:val="00343467"/>
    <w:rsid w:val="003462B0"/>
    <w:rsid w:val="003556F9"/>
    <w:rsid w:val="00362AF6"/>
    <w:rsid w:val="00363877"/>
    <w:rsid w:val="00373899"/>
    <w:rsid w:val="00374350"/>
    <w:rsid w:val="0037452E"/>
    <w:rsid w:val="003820D0"/>
    <w:rsid w:val="003849B5"/>
    <w:rsid w:val="00387ED0"/>
    <w:rsid w:val="00396C5E"/>
    <w:rsid w:val="00400194"/>
    <w:rsid w:val="00401F3D"/>
    <w:rsid w:val="00427B23"/>
    <w:rsid w:val="0043307E"/>
    <w:rsid w:val="00440F24"/>
    <w:rsid w:val="00442C1B"/>
    <w:rsid w:val="0045480B"/>
    <w:rsid w:val="004635F1"/>
    <w:rsid w:val="00467ABB"/>
    <w:rsid w:val="00471E85"/>
    <w:rsid w:val="0048430C"/>
    <w:rsid w:val="00490854"/>
    <w:rsid w:val="004A502D"/>
    <w:rsid w:val="004A5098"/>
    <w:rsid w:val="004C0757"/>
    <w:rsid w:val="004D2B33"/>
    <w:rsid w:val="004E724E"/>
    <w:rsid w:val="004F5047"/>
    <w:rsid w:val="004F60DF"/>
    <w:rsid w:val="004F6F3F"/>
    <w:rsid w:val="00500C58"/>
    <w:rsid w:val="0050564E"/>
    <w:rsid w:val="00505DEA"/>
    <w:rsid w:val="00513355"/>
    <w:rsid w:val="005367A9"/>
    <w:rsid w:val="00542122"/>
    <w:rsid w:val="005440DB"/>
    <w:rsid w:val="005467AC"/>
    <w:rsid w:val="0055155F"/>
    <w:rsid w:val="00555EE5"/>
    <w:rsid w:val="005613B3"/>
    <w:rsid w:val="00586B86"/>
    <w:rsid w:val="00595022"/>
    <w:rsid w:val="005A1604"/>
    <w:rsid w:val="005B40CF"/>
    <w:rsid w:val="005C35A2"/>
    <w:rsid w:val="005D12B7"/>
    <w:rsid w:val="005D180A"/>
    <w:rsid w:val="005D2D3A"/>
    <w:rsid w:val="005D340A"/>
    <w:rsid w:val="005E2704"/>
    <w:rsid w:val="005E5525"/>
    <w:rsid w:val="005E717E"/>
    <w:rsid w:val="00602423"/>
    <w:rsid w:val="00607967"/>
    <w:rsid w:val="00612B29"/>
    <w:rsid w:val="00616BCE"/>
    <w:rsid w:val="00623B82"/>
    <w:rsid w:val="00640FAD"/>
    <w:rsid w:val="006418BA"/>
    <w:rsid w:val="006462D4"/>
    <w:rsid w:val="00652F34"/>
    <w:rsid w:val="00662EE8"/>
    <w:rsid w:val="00666E75"/>
    <w:rsid w:val="00671AE7"/>
    <w:rsid w:val="00677134"/>
    <w:rsid w:val="00683714"/>
    <w:rsid w:val="0069243F"/>
    <w:rsid w:val="006A4819"/>
    <w:rsid w:val="006A79C7"/>
    <w:rsid w:val="006B06A1"/>
    <w:rsid w:val="006B16B5"/>
    <w:rsid w:val="006C1E6D"/>
    <w:rsid w:val="006C31D8"/>
    <w:rsid w:val="006C6F00"/>
    <w:rsid w:val="006C7D78"/>
    <w:rsid w:val="006D5369"/>
    <w:rsid w:val="006D7177"/>
    <w:rsid w:val="006D769D"/>
    <w:rsid w:val="006E5F92"/>
    <w:rsid w:val="006E70CF"/>
    <w:rsid w:val="006F14E7"/>
    <w:rsid w:val="006F6111"/>
    <w:rsid w:val="007004DA"/>
    <w:rsid w:val="0070289A"/>
    <w:rsid w:val="00710A4D"/>
    <w:rsid w:val="00712A79"/>
    <w:rsid w:val="00715764"/>
    <w:rsid w:val="0072054A"/>
    <w:rsid w:val="0072454B"/>
    <w:rsid w:val="00727AB1"/>
    <w:rsid w:val="00734422"/>
    <w:rsid w:val="00741626"/>
    <w:rsid w:val="00743C19"/>
    <w:rsid w:val="00747F11"/>
    <w:rsid w:val="007540E3"/>
    <w:rsid w:val="00756FF8"/>
    <w:rsid w:val="00773F49"/>
    <w:rsid w:val="00775F49"/>
    <w:rsid w:val="00783105"/>
    <w:rsid w:val="00785DA9"/>
    <w:rsid w:val="00786978"/>
    <w:rsid w:val="007937C0"/>
    <w:rsid w:val="00797CA2"/>
    <w:rsid w:val="007A15FF"/>
    <w:rsid w:val="007A1C2C"/>
    <w:rsid w:val="007A27D9"/>
    <w:rsid w:val="007B0BE2"/>
    <w:rsid w:val="007B11C0"/>
    <w:rsid w:val="007B7F1F"/>
    <w:rsid w:val="007C19BE"/>
    <w:rsid w:val="007C6A8D"/>
    <w:rsid w:val="007C727A"/>
    <w:rsid w:val="007D267E"/>
    <w:rsid w:val="007E088F"/>
    <w:rsid w:val="007E2A90"/>
    <w:rsid w:val="00807C3A"/>
    <w:rsid w:val="00813F4C"/>
    <w:rsid w:val="00815D66"/>
    <w:rsid w:val="008167CF"/>
    <w:rsid w:val="00822DA8"/>
    <w:rsid w:val="00825E4C"/>
    <w:rsid w:val="008324C8"/>
    <w:rsid w:val="008436D4"/>
    <w:rsid w:val="00844B93"/>
    <w:rsid w:val="00844F69"/>
    <w:rsid w:val="0085062D"/>
    <w:rsid w:val="00854D29"/>
    <w:rsid w:val="00865694"/>
    <w:rsid w:val="0087182C"/>
    <w:rsid w:val="008721E6"/>
    <w:rsid w:val="00873938"/>
    <w:rsid w:val="00876F62"/>
    <w:rsid w:val="00880232"/>
    <w:rsid w:val="00880E62"/>
    <w:rsid w:val="00883216"/>
    <w:rsid w:val="0088672E"/>
    <w:rsid w:val="00887942"/>
    <w:rsid w:val="00893B95"/>
    <w:rsid w:val="00896E7D"/>
    <w:rsid w:val="008A17E3"/>
    <w:rsid w:val="008A4E1B"/>
    <w:rsid w:val="008A6DCE"/>
    <w:rsid w:val="008B0A53"/>
    <w:rsid w:val="008B454B"/>
    <w:rsid w:val="008B4804"/>
    <w:rsid w:val="008B676E"/>
    <w:rsid w:val="008B6BB5"/>
    <w:rsid w:val="008B7A0B"/>
    <w:rsid w:val="008D0328"/>
    <w:rsid w:val="008D394A"/>
    <w:rsid w:val="00902694"/>
    <w:rsid w:val="00906EC5"/>
    <w:rsid w:val="0091197D"/>
    <w:rsid w:val="00916AE2"/>
    <w:rsid w:val="00924817"/>
    <w:rsid w:val="00924DFB"/>
    <w:rsid w:val="00933DCB"/>
    <w:rsid w:val="009366F8"/>
    <w:rsid w:val="00941F7C"/>
    <w:rsid w:val="0094226F"/>
    <w:rsid w:val="009542F2"/>
    <w:rsid w:val="00954A53"/>
    <w:rsid w:val="009670EA"/>
    <w:rsid w:val="009701A5"/>
    <w:rsid w:val="009706BC"/>
    <w:rsid w:val="00973951"/>
    <w:rsid w:val="009741DA"/>
    <w:rsid w:val="00992A65"/>
    <w:rsid w:val="00993B00"/>
    <w:rsid w:val="00995DDF"/>
    <w:rsid w:val="00996AB3"/>
    <w:rsid w:val="00997D73"/>
    <w:rsid w:val="009A107F"/>
    <w:rsid w:val="009A3B80"/>
    <w:rsid w:val="009A3D43"/>
    <w:rsid w:val="009B39CA"/>
    <w:rsid w:val="009D39B1"/>
    <w:rsid w:val="009E16FA"/>
    <w:rsid w:val="009E5AFE"/>
    <w:rsid w:val="009E728A"/>
    <w:rsid w:val="009F3E02"/>
    <w:rsid w:val="009F547E"/>
    <w:rsid w:val="00A10036"/>
    <w:rsid w:val="00A12D45"/>
    <w:rsid w:val="00A169C9"/>
    <w:rsid w:val="00A23E50"/>
    <w:rsid w:val="00A251B1"/>
    <w:rsid w:val="00A25416"/>
    <w:rsid w:val="00A2552B"/>
    <w:rsid w:val="00A27EF6"/>
    <w:rsid w:val="00A309B8"/>
    <w:rsid w:val="00A3121D"/>
    <w:rsid w:val="00A35823"/>
    <w:rsid w:val="00A45298"/>
    <w:rsid w:val="00A50740"/>
    <w:rsid w:val="00A828A1"/>
    <w:rsid w:val="00A83949"/>
    <w:rsid w:val="00A86074"/>
    <w:rsid w:val="00A863FB"/>
    <w:rsid w:val="00A954DF"/>
    <w:rsid w:val="00AA7228"/>
    <w:rsid w:val="00AB08C0"/>
    <w:rsid w:val="00AB46D0"/>
    <w:rsid w:val="00AC5DD3"/>
    <w:rsid w:val="00AD2DE2"/>
    <w:rsid w:val="00AD49F0"/>
    <w:rsid w:val="00AD5A9B"/>
    <w:rsid w:val="00AE2579"/>
    <w:rsid w:val="00AE62DF"/>
    <w:rsid w:val="00B01601"/>
    <w:rsid w:val="00B03E7E"/>
    <w:rsid w:val="00B06C44"/>
    <w:rsid w:val="00B173C8"/>
    <w:rsid w:val="00B36D06"/>
    <w:rsid w:val="00B53222"/>
    <w:rsid w:val="00B61B75"/>
    <w:rsid w:val="00B61CAD"/>
    <w:rsid w:val="00B6242E"/>
    <w:rsid w:val="00B74C05"/>
    <w:rsid w:val="00B7631B"/>
    <w:rsid w:val="00B83E3A"/>
    <w:rsid w:val="00B844C4"/>
    <w:rsid w:val="00B850E7"/>
    <w:rsid w:val="00BB428C"/>
    <w:rsid w:val="00BB5311"/>
    <w:rsid w:val="00BB743B"/>
    <w:rsid w:val="00BD4717"/>
    <w:rsid w:val="00BD5B69"/>
    <w:rsid w:val="00BE4D60"/>
    <w:rsid w:val="00BE6084"/>
    <w:rsid w:val="00BF4843"/>
    <w:rsid w:val="00C11507"/>
    <w:rsid w:val="00C16E26"/>
    <w:rsid w:val="00C24252"/>
    <w:rsid w:val="00C24CBE"/>
    <w:rsid w:val="00C24DE6"/>
    <w:rsid w:val="00C27139"/>
    <w:rsid w:val="00C36A92"/>
    <w:rsid w:val="00C458DD"/>
    <w:rsid w:val="00C526DB"/>
    <w:rsid w:val="00C621C4"/>
    <w:rsid w:val="00C6311E"/>
    <w:rsid w:val="00C77AE2"/>
    <w:rsid w:val="00C829C4"/>
    <w:rsid w:val="00C87DB6"/>
    <w:rsid w:val="00C922F6"/>
    <w:rsid w:val="00C93715"/>
    <w:rsid w:val="00CA08E5"/>
    <w:rsid w:val="00CA3326"/>
    <w:rsid w:val="00CA6A5F"/>
    <w:rsid w:val="00CA7457"/>
    <w:rsid w:val="00CB0BD5"/>
    <w:rsid w:val="00CB2780"/>
    <w:rsid w:val="00CB3C28"/>
    <w:rsid w:val="00CB4EF4"/>
    <w:rsid w:val="00CC21E3"/>
    <w:rsid w:val="00CC711E"/>
    <w:rsid w:val="00CD1D94"/>
    <w:rsid w:val="00CD2883"/>
    <w:rsid w:val="00CD7B44"/>
    <w:rsid w:val="00CE6D22"/>
    <w:rsid w:val="00CF1D95"/>
    <w:rsid w:val="00CF5F78"/>
    <w:rsid w:val="00CF7811"/>
    <w:rsid w:val="00D10B75"/>
    <w:rsid w:val="00D11191"/>
    <w:rsid w:val="00D11485"/>
    <w:rsid w:val="00D124F9"/>
    <w:rsid w:val="00D14D2C"/>
    <w:rsid w:val="00D15E5F"/>
    <w:rsid w:val="00D161B4"/>
    <w:rsid w:val="00D20E4F"/>
    <w:rsid w:val="00D21D75"/>
    <w:rsid w:val="00D27BD8"/>
    <w:rsid w:val="00D367D9"/>
    <w:rsid w:val="00D72A23"/>
    <w:rsid w:val="00D73511"/>
    <w:rsid w:val="00D74D00"/>
    <w:rsid w:val="00D839DE"/>
    <w:rsid w:val="00D83BC8"/>
    <w:rsid w:val="00D933F0"/>
    <w:rsid w:val="00D9409F"/>
    <w:rsid w:val="00DA41DB"/>
    <w:rsid w:val="00DA534E"/>
    <w:rsid w:val="00DA7E9C"/>
    <w:rsid w:val="00DB5336"/>
    <w:rsid w:val="00DB750F"/>
    <w:rsid w:val="00DC1244"/>
    <w:rsid w:val="00DC489A"/>
    <w:rsid w:val="00DC7AB1"/>
    <w:rsid w:val="00DE0175"/>
    <w:rsid w:val="00DE7CC7"/>
    <w:rsid w:val="00DF2B13"/>
    <w:rsid w:val="00DF4C2B"/>
    <w:rsid w:val="00DF51DB"/>
    <w:rsid w:val="00E006E7"/>
    <w:rsid w:val="00E033F3"/>
    <w:rsid w:val="00E12048"/>
    <w:rsid w:val="00E1288C"/>
    <w:rsid w:val="00E16B96"/>
    <w:rsid w:val="00E23197"/>
    <w:rsid w:val="00E37566"/>
    <w:rsid w:val="00E42FFF"/>
    <w:rsid w:val="00E640CA"/>
    <w:rsid w:val="00E73053"/>
    <w:rsid w:val="00E76D2F"/>
    <w:rsid w:val="00E85864"/>
    <w:rsid w:val="00E85CD3"/>
    <w:rsid w:val="00E85E90"/>
    <w:rsid w:val="00EA0D7C"/>
    <w:rsid w:val="00EA2ADA"/>
    <w:rsid w:val="00EB636F"/>
    <w:rsid w:val="00EC369B"/>
    <w:rsid w:val="00EC462F"/>
    <w:rsid w:val="00EC70C3"/>
    <w:rsid w:val="00ED2A33"/>
    <w:rsid w:val="00EE0854"/>
    <w:rsid w:val="00EE1BDD"/>
    <w:rsid w:val="00EE2ED6"/>
    <w:rsid w:val="00EF397F"/>
    <w:rsid w:val="00F01009"/>
    <w:rsid w:val="00F2117F"/>
    <w:rsid w:val="00F23382"/>
    <w:rsid w:val="00F379FF"/>
    <w:rsid w:val="00F47B64"/>
    <w:rsid w:val="00F5142E"/>
    <w:rsid w:val="00F5318D"/>
    <w:rsid w:val="00F567A0"/>
    <w:rsid w:val="00F6567C"/>
    <w:rsid w:val="00F6664B"/>
    <w:rsid w:val="00F7378C"/>
    <w:rsid w:val="00F83AD7"/>
    <w:rsid w:val="00F845B0"/>
    <w:rsid w:val="00F85F37"/>
    <w:rsid w:val="00F90561"/>
    <w:rsid w:val="00F963A8"/>
    <w:rsid w:val="00FA7F41"/>
    <w:rsid w:val="00FB11CB"/>
    <w:rsid w:val="00FB48BC"/>
    <w:rsid w:val="00FB5CF5"/>
    <w:rsid w:val="00FB6477"/>
    <w:rsid w:val="00FD4ACD"/>
    <w:rsid w:val="00FE3518"/>
    <w:rsid w:val="00FE789E"/>
    <w:rsid w:val="00FF1D58"/>
    <w:rsid w:val="00FF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EE2DA5"/>
  <w15:docId w15:val="{3CC93EAC-B64A-422A-9467-3718FA34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2"/>
    <w:lsdException w:name="footer" w:uiPriority="2"/>
    <w:lsdException w:name="index heading" w:semiHidden="1"/>
    <w:lsdException w:name="caption" w:uiPriority="2"/>
    <w:lsdException w:name="table of figures" w:semiHidden="1" w:uiPriority="99"/>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865694"/>
    <w:pPr>
      <w:spacing w:after="120" w:line="264" w:lineRule="auto"/>
      <w:jc w:val="both"/>
    </w:pPr>
    <w:rPr>
      <w:sz w:val="22"/>
    </w:rPr>
  </w:style>
  <w:style w:type="paragraph" w:styleId="Heading1">
    <w:name w:val="heading 1"/>
    <w:basedOn w:val="Normal"/>
    <w:next w:val="Normal"/>
    <w:autoRedefine/>
    <w:uiPriority w:val="1"/>
    <w:qFormat/>
    <w:pPr>
      <w:keepNext/>
      <w:numPr>
        <w:numId w:val="10"/>
      </w:numPr>
      <w:tabs>
        <w:tab w:val="left" w:pos="510"/>
      </w:tabs>
      <w:spacing w:before="480"/>
      <w:outlineLvl w:val="0"/>
    </w:pPr>
    <w:rPr>
      <w:b/>
      <w:smallCaps/>
      <w:sz w:val="26"/>
    </w:rPr>
  </w:style>
  <w:style w:type="paragraph" w:styleId="Heading2">
    <w:name w:val="heading 2"/>
    <w:basedOn w:val="Normal"/>
    <w:next w:val="Normal"/>
    <w:autoRedefine/>
    <w:uiPriority w:val="1"/>
    <w:qFormat/>
    <w:pPr>
      <w:keepNext/>
      <w:numPr>
        <w:ilvl w:val="1"/>
        <w:numId w:val="10"/>
      </w:numPr>
      <w:tabs>
        <w:tab w:val="left" w:pos="737"/>
      </w:tabs>
      <w:spacing w:before="420"/>
      <w:outlineLvl w:val="1"/>
    </w:pPr>
    <w:rPr>
      <w:b/>
      <w:sz w:val="26"/>
    </w:rPr>
  </w:style>
  <w:style w:type="paragraph" w:styleId="Heading3">
    <w:name w:val="heading 3"/>
    <w:basedOn w:val="Normal"/>
    <w:next w:val="Normal"/>
    <w:autoRedefine/>
    <w:uiPriority w:val="1"/>
    <w:qFormat/>
    <w:rsid w:val="00CD7B44"/>
    <w:pPr>
      <w:keepNext/>
      <w:numPr>
        <w:ilvl w:val="2"/>
        <w:numId w:val="10"/>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10"/>
      </w:numPr>
      <w:tabs>
        <w:tab w:val="left" w:pos="1049"/>
      </w:tabs>
      <w:spacing w:before="360"/>
      <w:outlineLvl w:val="3"/>
    </w:pPr>
    <w:rPr>
      <w:b/>
    </w:r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numPr>
        <w:ilvl w:val="6"/>
        <w:numId w:val="10"/>
      </w:numPr>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styleId="Caption">
    <w:name w:val="caption"/>
    <w:basedOn w:val="Normal"/>
    <w:next w:val="Normal"/>
    <w:uiPriority w:val="2"/>
    <w:pPr>
      <w:spacing w:before="120"/>
    </w:pPr>
    <w:rPr>
      <w:b/>
      <w:i/>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Contact">
    <w:name w:val="Contact"/>
    <w:basedOn w:val="Normal"/>
    <w:uiPriority w:val="2"/>
    <w:pPr>
      <w:spacing w:before="480" w:after="240"/>
      <w:ind w:left="567" w:hanging="567"/>
      <w:jc w:val="left"/>
    </w:pPr>
  </w:style>
  <w:style w:type="paragraph" w:customStyle="1" w:styleId="ContNum">
    <w:name w:val="ContNum"/>
    <w:basedOn w:val="Normal"/>
    <w:uiPriority w:val="1"/>
    <w:qFormat/>
    <w:pPr>
      <w:numPr>
        <w:numId w:val="2"/>
      </w:numPr>
    </w:pPr>
  </w:style>
  <w:style w:type="paragraph" w:customStyle="1" w:styleId="ContNumLevel2">
    <w:name w:val="ContNum (Level 2)"/>
    <w:basedOn w:val="Normal"/>
    <w:uiPriority w:val="1"/>
    <w:pPr>
      <w:numPr>
        <w:ilvl w:val="1"/>
        <w:numId w:val="2"/>
      </w:numPr>
    </w:pPr>
  </w:style>
  <w:style w:type="paragraph" w:customStyle="1" w:styleId="ContNumLevel3">
    <w:name w:val="ContNum (Level 3)"/>
    <w:basedOn w:val="Normal"/>
    <w:uiPriority w:val="1"/>
    <w:pPr>
      <w:numPr>
        <w:ilvl w:val="2"/>
        <w:numId w:val="2"/>
      </w:numPr>
    </w:pPr>
  </w:style>
  <w:style w:type="paragraph" w:styleId="Date">
    <w:name w:val="Date"/>
    <w:basedOn w:val="Normal"/>
    <w:next w:val="References"/>
    <w:uiPriority w:val="1"/>
    <w:pPr>
      <w:spacing w:after="0"/>
      <w:ind w:left="5102" w:right="-567"/>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line="240" w:lineRule="auto"/>
    </w:pPr>
  </w:style>
  <w:style w:type="paragraph" w:customStyle="1" w:styleId="FigureSource">
    <w:name w:val="Figure Source"/>
    <w:basedOn w:val="Normal"/>
    <w:next w:val="Normal"/>
    <w:uiPriority w:val="2"/>
    <w:pPr>
      <w:spacing w:after="240" w:line="240" w:lineRule="auto"/>
    </w:pPr>
    <w:rPr>
      <w:sz w:val="18"/>
    </w:rPr>
  </w:style>
  <w:style w:type="paragraph" w:customStyle="1" w:styleId="FigureTitle">
    <w:name w:val="Figure Title"/>
    <w:basedOn w:val="Normal"/>
    <w:next w:val="FigureBody"/>
    <w:uiPriority w:val="2"/>
    <w:pPr>
      <w:keepNext/>
      <w:spacing w:before="120"/>
    </w:pPr>
    <w:rPr>
      <w:b/>
      <w:i/>
    </w:rPr>
  </w:style>
  <w:style w:type="paragraph" w:customStyle="1" w:styleId="FITTable">
    <w:name w:val="FIT Table"/>
    <w:basedOn w:val="Normal"/>
    <w:uiPriority w:val="2"/>
    <w:pPr>
      <w:spacing w:before="60" w:after="60"/>
    </w:p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FootnoteText">
    <w:name w:val="footnote text"/>
    <w:aliases w:val="Fußnote,fn,Footnotes,Footnote ak,ft,Char,Carattere,Footnote Text Char Char,fn Char Char,footnote text Char Char,Footnotes Char Char,Footnote ak Char Char,fn Char1,footnote text Char1,Footnotes Char1,Footnote Text Char1 Char"/>
    <w:basedOn w:val="Normal"/>
    <w:link w:val="FootnoteTextChar"/>
    <w:uiPriority w:val="99"/>
    <w:unhideWhenUsed/>
    <w:qFormat/>
    <w:pPr>
      <w:ind w:left="357" w:hanging="357"/>
    </w:pPr>
    <w:rPr>
      <w:sz w:val="20"/>
    </w:rPr>
  </w:style>
  <w:style w:type="paragraph" w:customStyle="1" w:styleId="Glossary">
    <w:name w:val="Glossary"/>
    <w:basedOn w:val="Normal"/>
    <w:uiPriority w:val="2"/>
    <w:pPr>
      <w:tabs>
        <w:tab w:val="left" w:pos="2835"/>
      </w:tabs>
      <w:ind w:left="2835" w:hanging="2835"/>
      <w:jc w:val="left"/>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LegalNumPar">
    <w:name w:val="LegalNumPar"/>
    <w:basedOn w:val="Normal"/>
    <w:uiPriority w:val="1"/>
    <w:qFormat/>
    <w:pPr>
      <w:numPr>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3">
    <w:name w:val="LegalNumPar3"/>
    <w:basedOn w:val="Normal"/>
    <w:uiPriority w:val="1"/>
    <w:pPr>
      <w:numPr>
        <w:ilvl w:val="2"/>
        <w:numId w:val="3"/>
      </w:numPr>
      <w:spacing w:line="360" w:lineRule="auto"/>
    </w:pPr>
    <w:rPr>
      <w:sz w:val="24"/>
    </w:rPr>
  </w:style>
  <w:style w:type="paragraph" w:styleId="ListBullet">
    <w:name w:val="List Bullet"/>
    <w:basedOn w:val="Normal"/>
    <w:uiPriority w:val="1"/>
    <w:pPr>
      <w:numPr>
        <w:numId w:val="20"/>
      </w:numPr>
      <w:contextualSpacing/>
    </w:pPr>
  </w:style>
  <w:style w:type="paragraph" w:customStyle="1" w:styleId="ListBulletLevel2">
    <w:name w:val="List Bullet (Level 2)"/>
    <w:basedOn w:val="Normal"/>
    <w:uiPriority w:val="1"/>
    <w:pPr>
      <w:numPr>
        <w:ilvl w:val="1"/>
        <w:numId w:val="20"/>
      </w:numPr>
      <w:contextualSpacing/>
    </w:pPr>
  </w:style>
  <w:style w:type="paragraph" w:customStyle="1" w:styleId="ListBulletLevel3">
    <w:name w:val="List Bullet (Level 3)"/>
    <w:basedOn w:val="Normal"/>
    <w:uiPriority w:val="1"/>
    <w:semiHidden/>
    <w:unhideWhenUsed/>
    <w:pPr>
      <w:numPr>
        <w:ilvl w:val="2"/>
        <w:numId w:val="20"/>
      </w:numPr>
      <w:contextualSpacing/>
    </w:pPr>
  </w:style>
  <w:style w:type="paragraph" w:customStyle="1" w:styleId="ListBulletLevel4">
    <w:name w:val="List Bullet (Level 4)"/>
    <w:basedOn w:val="Normal"/>
    <w:uiPriority w:val="1"/>
    <w:semiHidden/>
    <w:unhideWhenUsed/>
    <w:pPr>
      <w:numPr>
        <w:ilvl w:val="3"/>
        <w:numId w:val="20"/>
      </w:numPr>
      <w:contextualSpacing/>
    </w:pPr>
  </w:style>
  <w:style w:type="paragraph" w:customStyle="1" w:styleId="ListDash">
    <w:name w:val="List Dash"/>
    <w:basedOn w:val="Normal"/>
    <w:uiPriority w:val="1"/>
    <w:pPr>
      <w:numPr>
        <w:numId w:val="7"/>
      </w:numPr>
      <w:contextualSpacing/>
    </w:pPr>
  </w:style>
  <w:style w:type="paragraph" w:customStyle="1" w:styleId="ListDashLevel2">
    <w:name w:val="List Dash (Level 2)"/>
    <w:basedOn w:val="Normal"/>
    <w:uiPriority w:val="1"/>
    <w:pPr>
      <w:numPr>
        <w:ilvl w:val="1"/>
        <w:numId w:val="7"/>
      </w:numPr>
      <w:contextualSpacing/>
    </w:pPr>
  </w:style>
  <w:style w:type="paragraph" w:customStyle="1" w:styleId="ListDashLevel3">
    <w:name w:val="List Dash (Level 3)"/>
    <w:basedOn w:val="Normal"/>
    <w:uiPriority w:val="1"/>
    <w:semiHidden/>
    <w:unhideWhenUsed/>
    <w:pPr>
      <w:numPr>
        <w:ilvl w:val="2"/>
        <w:numId w:val="7"/>
      </w:numPr>
      <w:contextualSpacing/>
    </w:pPr>
  </w:style>
  <w:style w:type="paragraph" w:customStyle="1" w:styleId="ListDashLevel4">
    <w:name w:val="List Dash (Level 4)"/>
    <w:basedOn w:val="Normal"/>
    <w:uiPriority w:val="1"/>
    <w:semiHidden/>
    <w:unhideWhenUsed/>
    <w:pPr>
      <w:numPr>
        <w:ilvl w:val="3"/>
        <w:numId w:val="7"/>
      </w:numPr>
      <w:contextualSpacing/>
    </w:pPr>
  </w:style>
  <w:style w:type="paragraph" w:styleId="ListNumber">
    <w:name w:val="List Number"/>
    <w:basedOn w:val="Normal"/>
    <w:pPr>
      <w:numPr>
        <w:numId w:val="19"/>
      </w:numPr>
      <w:contextualSpacing/>
    </w:pPr>
  </w:style>
  <w:style w:type="paragraph" w:customStyle="1" w:styleId="ListNumberLevel2">
    <w:name w:val="List Number (Level 2)"/>
    <w:basedOn w:val="Normal"/>
    <w:pPr>
      <w:numPr>
        <w:ilvl w:val="1"/>
        <w:numId w:val="19"/>
      </w:numPr>
      <w:contextualSpacing/>
    </w:pPr>
  </w:style>
  <w:style w:type="paragraph" w:customStyle="1" w:styleId="ListNumberLevel3">
    <w:name w:val="List Number (Level 3)"/>
    <w:basedOn w:val="Normal"/>
    <w:unhideWhenUsed/>
    <w:pPr>
      <w:numPr>
        <w:ilvl w:val="2"/>
        <w:numId w:val="19"/>
      </w:numPr>
      <w:contextualSpacing/>
    </w:pPr>
  </w:style>
  <w:style w:type="paragraph" w:customStyle="1" w:styleId="ListNumberLevel4">
    <w:name w:val="List Number (Level 4)"/>
    <w:basedOn w:val="Normal"/>
    <w:unhideWhenUsed/>
    <w:pPr>
      <w:numPr>
        <w:ilvl w:val="3"/>
        <w:numId w:val="19"/>
      </w:numPr>
      <w:contextualSpacing/>
    </w:p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References">
    <w:name w:val="References"/>
    <w:uiPriority w:val="2"/>
    <w:pPr>
      <w:tabs>
        <w:tab w:val="num" w:pos="397"/>
        <w:tab w:val="num" w:pos="709"/>
      </w:tabs>
      <w:ind w:left="709" w:hanging="709"/>
    </w:p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SubTitle1">
    <w:name w:val="SubTitle 1"/>
    <w:basedOn w:val="Normal"/>
    <w:next w:val="Normal"/>
    <w:uiPriority w:val="1"/>
    <w:qFormat/>
    <w:pPr>
      <w:spacing w:before="360" w:after="2000"/>
      <w:jc w:val="center"/>
    </w:pPr>
    <w:rPr>
      <w:b/>
      <w:sz w:val="40"/>
    </w:rPr>
  </w:style>
  <w:style w:type="paragraph" w:customStyle="1" w:styleId="SubTitle2">
    <w:name w:val="SubTitle 2"/>
    <w:basedOn w:val="Normal"/>
    <w:uiPriority w:val="1"/>
    <w:qFormat/>
    <w:pPr>
      <w:spacing w:after="280"/>
      <w:jc w:val="center"/>
    </w:pPr>
    <w:rPr>
      <w:b/>
      <w:sz w:val="32"/>
    </w:rPr>
  </w:style>
  <w:style w:type="paragraph" w:customStyle="1" w:styleId="TableListBullet">
    <w:name w:val="Table List Bullet"/>
    <w:basedOn w:val="TableText"/>
    <w:uiPriority w:val="1"/>
    <w:pPr>
      <w:numPr>
        <w:numId w:val="6"/>
      </w:numPr>
    </w:pPr>
  </w:style>
  <w:style w:type="paragraph" w:customStyle="1" w:styleId="TableListBulletLevel2">
    <w:name w:val="Table List Bullet (Level 2)"/>
    <w:basedOn w:val="TableText"/>
    <w:uiPriority w:val="1"/>
    <w:pPr>
      <w:numPr>
        <w:ilvl w:val="1"/>
        <w:numId w:val="6"/>
      </w:numPr>
    </w:pPr>
  </w:style>
  <w:style w:type="paragraph" w:customStyle="1" w:styleId="TableListBulletLevel3">
    <w:name w:val="Table List Bullet (Level 3)"/>
    <w:basedOn w:val="TableText"/>
    <w:uiPriority w:val="1"/>
    <w:semiHidden/>
    <w:unhideWhenUsed/>
    <w:pPr>
      <w:numPr>
        <w:ilvl w:val="2"/>
        <w:numId w:val="6"/>
      </w:numPr>
    </w:pPr>
  </w:style>
  <w:style w:type="paragraph" w:customStyle="1" w:styleId="TableListBulletLevel4">
    <w:name w:val="Table List Bullet (Level 4)"/>
    <w:basedOn w:val="TableText"/>
    <w:uiPriority w:val="1"/>
    <w:semiHidden/>
    <w:unhideWhenUsed/>
    <w:pPr>
      <w:numPr>
        <w:ilvl w:val="3"/>
        <w:numId w:val="6"/>
      </w:numPr>
    </w:pPr>
  </w:style>
  <w:style w:type="paragraph" w:customStyle="1" w:styleId="TableListDash">
    <w:name w:val="Table List Dash"/>
    <w:basedOn w:val="TableText"/>
    <w:uiPriority w:val="1"/>
    <w:pPr>
      <w:numPr>
        <w:numId w:val="5"/>
      </w:numPr>
    </w:pPr>
  </w:style>
  <w:style w:type="paragraph" w:customStyle="1" w:styleId="TableListDashLevel2">
    <w:name w:val="Table List Dash (Level 2)"/>
    <w:basedOn w:val="TableText"/>
    <w:uiPriority w:val="1"/>
    <w:pPr>
      <w:numPr>
        <w:ilvl w:val="1"/>
        <w:numId w:val="5"/>
      </w:numPr>
    </w:pPr>
  </w:style>
  <w:style w:type="paragraph" w:customStyle="1" w:styleId="TableListDashLevel3">
    <w:name w:val="Table List Dash (Level 3)"/>
    <w:basedOn w:val="TableText"/>
    <w:uiPriority w:val="1"/>
    <w:semiHidden/>
    <w:unhideWhenUsed/>
    <w:pPr>
      <w:numPr>
        <w:ilvl w:val="2"/>
        <w:numId w:val="5"/>
      </w:numPr>
    </w:pPr>
  </w:style>
  <w:style w:type="paragraph" w:customStyle="1" w:styleId="TableListDashLevel4">
    <w:name w:val="Table List Dash (Level 4)"/>
    <w:basedOn w:val="TableText"/>
    <w:uiPriority w:val="1"/>
    <w:semiHidden/>
    <w:unhideWhenUsed/>
    <w:pPr>
      <w:numPr>
        <w:ilvl w:val="3"/>
        <w:numId w:val="5"/>
      </w:numPr>
    </w:pPr>
  </w:style>
  <w:style w:type="paragraph" w:customStyle="1" w:styleId="TableListNumber">
    <w:name w:val="Table List Number"/>
    <w:basedOn w:val="TableText"/>
    <w:uiPriority w:val="1"/>
    <w:pPr>
      <w:numPr>
        <w:numId w:val="4"/>
      </w:numPr>
    </w:pPr>
  </w:style>
  <w:style w:type="paragraph" w:customStyle="1" w:styleId="TableListNumberLevel2">
    <w:name w:val="Table List Number (Level 2)"/>
    <w:basedOn w:val="TableText"/>
    <w:uiPriority w:val="1"/>
    <w:pPr>
      <w:numPr>
        <w:ilvl w:val="1"/>
        <w:numId w:val="4"/>
      </w:numPr>
    </w:pPr>
  </w:style>
  <w:style w:type="paragraph" w:customStyle="1" w:styleId="TableListNumberLevel3">
    <w:name w:val="Table List Number (Level 3)"/>
    <w:basedOn w:val="TableText"/>
    <w:uiPriority w:val="1"/>
    <w:semiHidden/>
    <w:unhideWhenUsed/>
    <w:pPr>
      <w:numPr>
        <w:ilvl w:val="2"/>
        <w:numId w:val="4"/>
      </w:numPr>
    </w:pPr>
  </w:style>
  <w:style w:type="paragraph" w:customStyle="1" w:styleId="TableListNumberLevel4">
    <w:name w:val="Table List Number (Level 4)"/>
    <w:basedOn w:val="TableText"/>
    <w:uiPriority w:val="1"/>
    <w:semiHidden/>
    <w:unhideWhenUsed/>
    <w:pPr>
      <w:numPr>
        <w:ilvl w:val="3"/>
        <w:numId w:val="4"/>
      </w:numPr>
    </w:pPr>
  </w:style>
  <w:style w:type="paragraph" w:customStyle="1" w:styleId="TableSource">
    <w:name w:val="Table Source"/>
    <w:basedOn w:val="Normal"/>
    <w:next w:val="Normal"/>
    <w:semiHidden/>
    <w:unhideWhenUsed/>
    <w:pPr>
      <w:spacing w:after="240"/>
    </w:pPr>
    <w:rPr>
      <w:sz w:val="18"/>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before="120"/>
    </w:pPr>
    <w:rPr>
      <w:b/>
      <w:i/>
    </w:rPr>
  </w:style>
  <w:style w:type="paragraph" w:styleId="Title">
    <w:name w:val="Title"/>
    <w:basedOn w:val="Normal"/>
    <w:next w:val="SubTitle1"/>
    <w:uiPriority w:val="1"/>
    <w:qFormat/>
    <w:pPr>
      <w:spacing w:before="3200" w:after="480"/>
      <w:jc w:val="center"/>
    </w:pPr>
    <w:rPr>
      <w:b/>
      <w:kern w:val="28"/>
      <w:sz w:val="48"/>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ZCom">
    <w:name w:val="Z_Com"/>
    <w:basedOn w:val="Normal"/>
    <w:next w:val="Normal"/>
    <w:uiPriority w:val="2"/>
    <w:pPr>
      <w:widowControl w:val="0"/>
      <w:spacing w:before="90" w:after="0" w:line="240" w:lineRule="auto"/>
      <w:ind w:right="85"/>
      <w:jc w:val="left"/>
    </w:pPr>
    <w:rPr>
      <w:sz w:val="24"/>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Flag">
    <w:name w:val="Z_Flag"/>
    <w:basedOn w:val="Normal"/>
    <w:next w:val="Normal"/>
    <w:link w:val="ZFlagChar"/>
    <w:uiPriority w:val="2"/>
    <w:pPr>
      <w:widowControl w:val="0"/>
      <w:spacing w:after="0"/>
      <w:ind w:right="85"/>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PropertiesTable">
    <w:name w:val="Properties Table"/>
    <w:basedOn w:val="TableNormal"/>
    <w:semiHidden/>
    <w:pPr>
      <w:spacing w:after="120" w:line="264" w:lineRule="auto"/>
    </w:pPr>
    <w:tblPr>
      <w:tblInd w:w="1984" w:type="dxa"/>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FE789E"/>
    <w:rPr>
      <w:color w:val="0563C1" w:themeColor="hyperlink"/>
      <w:u w:val="single"/>
    </w:rPr>
  </w:style>
  <w:style w:type="character" w:customStyle="1" w:styleId="Marker">
    <w:name w:val="Marker"/>
    <w:basedOn w:val="DefaultParagraphFont"/>
    <w:rsid w:val="00DC489A"/>
    <w:rPr>
      <w:color w:val="0000FF"/>
      <w:shd w:val="clear" w:color="auto" w:fill="auto"/>
    </w:rPr>
  </w:style>
  <w:style w:type="paragraph" w:customStyle="1" w:styleId="Pagedecouverture">
    <w:name w:val="Page de couverture"/>
    <w:basedOn w:val="Normal"/>
    <w:next w:val="Normal"/>
    <w:rsid w:val="00DC489A"/>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rsid w:val="00DC489A"/>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2"/>
    <w:rsid w:val="00DC489A"/>
    <w:rPr>
      <w:sz w:val="22"/>
    </w:rPr>
  </w:style>
  <w:style w:type="character" w:customStyle="1" w:styleId="FooterCoverPageChar">
    <w:name w:val="Footer Cover Page Char"/>
    <w:basedOn w:val="ZFlagChar"/>
    <w:link w:val="FooterCoverPage"/>
    <w:rsid w:val="00DC489A"/>
    <w:rPr>
      <w:sz w:val="22"/>
    </w:rPr>
  </w:style>
  <w:style w:type="paragraph" w:customStyle="1" w:styleId="FooterSensitivity">
    <w:name w:val="Footer Sensitivity"/>
    <w:basedOn w:val="Normal"/>
    <w:link w:val="FooterSensitivityChar"/>
    <w:rsid w:val="00DC489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sid w:val="00DC489A"/>
    <w:rPr>
      <w:b/>
      <w:sz w:val="32"/>
    </w:rPr>
  </w:style>
  <w:style w:type="paragraph" w:customStyle="1" w:styleId="HeaderCoverPage">
    <w:name w:val="Header Cover Page"/>
    <w:basedOn w:val="Normal"/>
    <w:link w:val="HeaderCoverPageChar"/>
    <w:rsid w:val="00DC489A"/>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sid w:val="00DC489A"/>
    <w:rPr>
      <w:sz w:val="22"/>
    </w:rPr>
  </w:style>
  <w:style w:type="paragraph" w:customStyle="1" w:styleId="HeaderSensitivity">
    <w:name w:val="Header Sensitivity"/>
    <w:basedOn w:val="Normal"/>
    <w:link w:val="HeaderSensitivityChar"/>
    <w:rsid w:val="00DC489A"/>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sid w:val="00DC489A"/>
    <w:rPr>
      <w:b/>
      <w:sz w:val="32"/>
    </w:rPr>
  </w:style>
  <w:style w:type="paragraph" w:customStyle="1" w:styleId="HeaderSensitivityRight">
    <w:name w:val="Header Sensitivity Right"/>
    <w:basedOn w:val="Normal"/>
    <w:link w:val="HeaderSensitivityRightChar"/>
    <w:rsid w:val="00DC489A"/>
    <w:pPr>
      <w:spacing w:line="240" w:lineRule="auto"/>
      <w:jc w:val="right"/>
    </w:pPr>
    <w:rPr>
      <w:sz w:val="28"/>
    </w:rPr>
  </w:style>
  <w:style w:type="character" w:customStyle="1" w:styleId="HeaderSensitivityRightChar">
    <w:name w:val="Header Sensitivity Right Char"/>
    <w:basedOn w:val="ZFlagChar"/>
    <w:link w:val="HeaderSensitivityRight"/>
    <w:rsid w:val="00DC489A"/>
    <w:rPr>
      <w:sz w:val="28"/>
    </w:rPr>
  </w:style>
  <w:style w:type="paragraph" w:styleId="ListNumber3">
    <w:name w:val="List Number 3"/>
    <w:basedOn w:val="Normal"/>
    <w:semiHidden/>
    <w:locked/>
    <w:rsid w:val="00623B82"/>
    <w:pPr>
      <w:numPr>
        <w:numId w:val="11"/>
      </w:numPr>
      <w:contextualSpacing/>
    </w:pPr>
  </w:style>
  <w:style w:type="paragraph" w:styleId="ListNumber2">
    <w:name w:val="List Number 2"/>
    <w:basedOn w:val="Normal"/>
    <w:semiHidden/>
    <w:locked/>
    <w:rsid w:val="00623B82"/>
    <w:pPr>
      <w:numPr>
        <w:numId w:val="12"/>
      </w:numPr>
      <w:contextualSpacing/>
    </w:pPr>
  </w:style>
  <w:style w:type="paragraph" w:styleId="ListBullet3">
    <w:name w:val="List Bullet 3"/>
    <w:basedOn w:val="Normal"/>
    <w:semiHidden/>
    <w:locked/>
    <w:rsid w:val="004F6F3F"/>
    <w:pPr>
      <w:numPr>
        <w:numId w:val="13"/>
      </w:numPr>
      <w:contextualSpacing/>
    </w:pPr>
  </w:style>
  <w:style w:type="paragraph" w:styleId="ListBullet2">
    <w:name w:val="List Bullet 2"/>
    <w:basedOn w:val="Normal"/>
    <w:semiHidden/>
    <w:locked/>
    <w:rsid w:val="004F6F3F"/>
    <w:pPr>
      <w:numPr>
        <w:numId w:val="14"/>
      </w:numPr>
      <w:contextualSpacing/>
    </w:p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uiPriority w:val="99"/>
    <w:qFormat/>
    <w:locked/>
    <w:rsid w:val="00AC5DD3"/>
    <w:rPr>
      <w:vertAlign w:val="superscript"/>
    </w:rPr>
  </w:style>
  <w:style w:type="paragraph" w:styleId="ListParagraph">
    <w:name w:val="List Paragraph"/>
    <w:basedOn w:val="Normal"/>
    <w:uiPriority w:val="34"/>
    <w:qFormat/>
    <w:locked/>
    <w:rsid w:val="00101327"/>
    <w:pPr>
      <w:spacing w:after="0" w:line="240" w:lineRule="auto"/>
      <w:ind w:left="720"/>
      <w:jc w:val="left"/>
    </w:pPr>
    <w:rPr>
      <w:rFonts w:ascii="Calibri" w:hAnsi="Calibri"/>
      <w:szCs w:val="22"/>
      <w:lang w:eastAsia="en-US"/>
    </w:rPr>
  </w:style>
  <w:style w:type="table" w:styleId="GridTable4-Accent1">
    <w:name w:val="Grid Table 4 Accent 1"/>
    <w:basedOn w:val="TableNormal"/>
    <w:locked/>
    <w:rsid w:val="002F71B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TextChar">
    <w:name w:val="Footnote Text Char"/>
    <w:aliases w:val="Fußnote Char,fn Char,Footnotes Char,Footnote ak Char,ft Char,Char Char,Carattere Char,Footnote Text Char Char Char,fn Char Char Char,footnote text Char Char Char,Footnotes Char Char Char,Footnote ak Char Char Char,fn Char1 Char"/>
    <w:basedOn w:val="DefaultParagraphFont"/>
    <w:link w:val="FootnoteText"/>
    <w:uiPriority w:val="99"/>
    <w:rsid w:val="006C7D78"/>
    <w:rPr>
      <w:sz w:val="20"/>
    </w:rPr>
  </w:style>
  <w:style w:type="paragraph" w:styleId="TableofFigures">
    <w:name w:val="table of figures"/>
    <w:basedOn w:val="Normal"/>
    <w:next w:val="Normal"/>
    <w:uiPriority w:val="99"/>
    <w:locked/>
    <w:rsid w:val="00440F24"/>
    <w:pPr>
      <w:spacing w:after="0"/>
    </w:pPr>
  </w:style>
  <w:style w:type="paragraph" w:styleId="NormalWeb">
    <w:name w:val="Normal (Web)"/>
    <w:basedOn w:val="Normal"/>
    <w:uiPriority w:val="99"/>
    <w:semiHidden/>
    <w:unhideWhenUsed/>
    <w:locked/>
    <w:rsid w:val="00B844C4"/>
    <w:pPr>
      <w:spacing w:before="100" w:beforeAutospacing="1" w:after="100" w:afterAutospacing="1" w:line="240" w:lineRule="auto"/>
      <w:jc w:val="left"/>
    </w:pPr>
    <w:rPr>
      <w:sz w:val="24"/>
      <w:szCs w:val="24"/>
    </w:rPr>
  </w:style>
  <w:style w:type="paragraph" w:customStyle="1" w:styleId="Text1">
    <w:name w:val="Text 1"/>
    <w:basedOn w:val="Normal"/>
    <w:qFormat/>
    <w:rsid w:val="00D11191"/>
    <w:pPr>
      <w:spacing w:after="240" w:line="240" w:lineRule="auto"/>
      <w:ind w:left="482"/>
    </w:pPr>
    <w:rPr>
      <w:sz w:val="24"/>
    </w:rPr>
  </w:style>
  <w:style w:type="paragraph" w:customStyle="1" w:styleId="Default">
    <w:name w:val="Default"/>
    <w:rsid w:val="00C77AE2"/>
    <w:pPr>
      <w:autoSpaceDE w:val="0"/>
      <w:autoSpaceDN w:val="0"/>
      <w:adjustRightInd w:val="0"/>
    </w:pPr>
    <w:rPr>
      <w:color w:val="000000"/>
      <w:szCs w:val="24"/>
    </w:rPr>
  </w:style>
  <w:style w:type="character" w:styleId="CommentReference">
    <w:name w:val="annotation reference"/>
    <w:basedOn w:val="DefaultParagraphFont"/>
    <w:semiHidden/>
    <w:locked/>
    <w:rsid w:val="00602423"/>
    <w:rPr>
      <w:sz w:val="16"/>
      <w:szCs w:val="16"/>
    </w:rPr>
  </w:style>
  <w:style w:type="paragraph" w:styleId="CommentText">
    <w:name w:val="annotation text"/>
    <w:basedOn w:val="Normal"/>
    <w:link w:val="CommentTextChar"/>
    <w:semiHidden/>
    <w:locked/>
    <w:rsid w:val="00602423"/>
    <w:pPr>
      <w:spacing w:line="240" w:lineRule="auto"/>
    </w:pPr>
    <w:rPr>
      <w:sz w:val="20"/>
    </w:rPr>
  </w:style>
  <w:style w:type="character" w:customStyle="1" w:styleId="CommentTextChar">
    <w:name w:val="Comment Text Char"/>
    <w:basedOn w:val="DefaultParagraphFont"/>
    <w:link w:val="CommentText"/>
    <w:semiHidden/>
    <w:rsid w:val="00602423"/>
    <w:rPr>
      <w:sz w:val="20"/>
    </w:rPr>
  </w:style>
  <w:style w:type="paragraph" w:styleId="CommentSubject">
    <w:name w:val="annotation subject"/>
    <w:basedOn w:val="CommentText"/>
    <w:next w:val="CommentText"/>
    <w:link w:val="CommentSubjectChar"/>
    <w:semiHidden/>
    <w:locked/>
    <w:rsid w:val="00602423"/>
    <w:rPr>
      <w:b/>
      <w:bCs/>
    </w:rPr>
  </w:style>
  <w:style w:type="character" w:customStyle="1" w:styleId="CommentSubjectChar">
    <w:name w:val="Comment Subject Char"/>
    <w:basedOn w:val="CommentTextChar"/>
    <w:link w:val="CommentSubject"/>
    <w:semiHidden/>
    <w:rsid w:val="00602423"/>
    <w:rPr>
      <w:b/>
      <w:bCs/>
      <w:sz w:val="20"/>
    </w:rPr>
  </w:style>
  <w:style w:type="paragraph" w:styleId="BalloonText">
    <w:name w:val="Balloon Text"/>
    <w:basedOn w:val="Normal"/>
    <w:link w:val="BalloonTextChar"/>
    <w:semiHidden/>
    <w:locked/>
    <w:rsid w:val="0060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2423"/>
    <w:rPr>
      <w:rFonts w:ascii="Segoe UI" w:hAnsi="Segoe UI" w:cs="Segoe UI"/>
      <w:sz w:val="18"/>
      <w:szCs w:val="18"/>
    </w:rPr>
  </w:style>
  <w:style w:type="table" w:styleId="GridTable4-Accent5">
    <w:name w:val="Grid Table 4 Accent 5"/>
    <w:basedOn w:val="TableNormal"/>
    <w:locked/>
    <w:rsid w:val="00A839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rsid w:val="008A4E1B"/>
  </w:style>
  <w:style w:type="character" w:styleId="Emphasis">
    <w:name w:val="Emphasis"/>
    <w:basedOn w:val="DefaultParagraphFont"/>
    <w:uiPriority w:val="20"/>
    <w:qFormat/>
    <w:locked/>
    <w:rsid w:val="00BB428C"/>
    <w:rPr>
      <w:i/>
      <w:iCs/>
    </w:rPr>
  </w:style>
  <w:style w:type="character" w:styleId="FollowedHyperlink">
    <w:name w:val="FollowedHyperlink"/>
    <w:basedOn w:val="DefaultParagraphFont"/>
    <w:semiHidden/>
    <w:locked/>
    <w:rsid w:val="00CA6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7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file:///\\s-olaf-fas14h\USERHOME\mihaiio\Documents\C1\PIF\COCOLAF_09_06_2022_5.6%20Follow-up%20recommendations.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QuickStyle" Target="diagrams/quickStyle1.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gional_policy/en/policy/how/improving-investment/integrity-pacts/" TargetMode="External"/><Relationship Id="rId3" Type="http://schemas.openxmlformats.org/officeDocument/2006/relationships/hyperlink" Target="https://www.eppo.europa.eu/sites/default/files/2022-07/EPPO_Annual_Report_2021.pdf" TargetMode="External"/><Relationship Id="rId7" Type="http://schemas.openxmlformats.org/officeDocument/2006/relationships/hyperlink" Target="https://ec.europa.eu/info/business-economy-euro/economic-and-fiscal-policy-coordination/eu-economic-governance-monitoring-prevention-correction/european-semester/european-semester-timeline/spring-package_en" TargetMode="External"/><Relationship Id="rId2" Type="http://schemas.openxmlformats.org/officeDocument/2006/relationships/hyperlink" Target="https://anti-fraud.ec.europa.eu/system/files/2022-07/olaf-report-2021_en.pdf" TargetMode="External"/><Relationship Id="rId1" Type="http://schemas.openxmlformats.org/officeDocument/2006/relationships/hyperlink" Target="https://ec.europa.eu/info/sites/default/files/about_the_european_commission/eu_budget/budgetary-procedure.pdf" TargetMode="External"/><Relationship Id="rId6" Type="http://schemas.openxmlformats.org/officeDocument/2006/relationships/hyperlink" Target="https://ec.europa.eu/info/business-economy-euro/economic-and-fiscal-policy-coordination/eu-economic-governance-monitoring-prevention-correction/european-semester_en" TargetMode="External"/><Relationship Id="rId5" Type="http://schemas.openxmlformats.org/officeDocument/2006/relationships/hyperlink" Target="https://ec.europa.eu/info/business-economy-euro/banking-and-finance/financial-supervision-and-risk-management/anti-money-laundering-and-counter-terrorist-financing_en" TargetMode="External"/><Relationship Id="rId4" Type="http://schemas.openxmlformats.org/officeDocument/2006/relationships/hyperlink" Target="https://www.eca.europa.eu/Lists/ECADocuments/annualreports-2020/annualreports-2020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D37C4-5DBB-4EF2-84BC-72D8F157BF6E}" type="doc">
      <dgm:prSet loTypeId="urn:microsoft.com/office/officeart/2005/8/layout/chevron1" loCatId="process" qsTypeId="urn:microsoft.com/office/officeart/2005/8/quickstyle/simple1" qsCatId="simple" csTypeId="urn:microsoft.com/office/officeart/2005/8/colors/accent1_3" csCatId="accent1" phldr="1"/>
      <dgm:spPr/>
    </dgm:pt>
    <dgm:pt modelId="{48BEDD7A-42A3-4EFB-8637-56E8A52BBB21}">
      <dgm:prSet phldrT="[Text]"/>
      <dgm:spPr/>
      <dgm:t>
        <a:bodyPr/>
        <a:lstStyle/>
        <a:p>
          <a:r>
            <a:rPr lang="en-US"/>
            <a:t>MEMBER STATE</a:t>
          </a:r>
        </a:p>
      </dgm:t>
    </dgm:pt>
    <dgm:pt modelId="{F37C9437-BE39-4FC0-911F-D51A22280E13}" type="parTrans" cxnId="{05CAC821-0649-435F-96A4-BD9B33CF4FE7}">
      <dgm:prSet/>
      <dgm:spPr/>
      <dgm:t>
        <a:bodyPr/>
        <a:lstStyle/>
        <a:p>
          <a:endParaRPr lang="en-US"/>
        </a:p>
      </dgm:t>
    </dgm:pt>
    <dgm:pt modelId="{DE506E46-1FD0-4A4D-B74B-A599FF45D698}" type="sibTrans" cxnId="{05CAC821-0649-435F-96A4-BD9B33CF4FE7}">
      <dgm:prSet/>
      <dgm:spPr/>
      <dgm:t>
        <a:bodyPr/>
        <a:lstStyle/>
        <a:p>
          <a:endParaRPr lang="en-US"/>
        </a:p>
      </dgm:t>
    </dgm:pt>
    <dgm:pt modelId="{F3EFE610-D80E-4E79-8CA8-C94FF8C5F192}">
      <dgm:prSet phldrT="[Text]"/>
      <dgm:spPr/>
      <dgm:t>
        <a:bodyPr/>
        <a:lstStyle/>
        <a:p>
          <a:r>
            <a:rPr lang="en-US"/>
            <a:t>COMMISSION</a:t>
          </a:r>
        </a:p>
      </dgm:t>
    </dgm:pt>
    <dgm:pt modelId="{3FDC3A84-5A50-427B-8D65-9EEA82848285}" type="parTrans" cxnId="{82AFF46D-4493-4DAE-9674-64C63572A5E9}">
      <dgm:prSet/>
      <dgm:spPr/>
      <dgm:t>
        <a:bodyPr/>
        <a:lstStyle/>
        <a:p>
          <a:endParaRPr lang="en-US"/>
        </a:p>
      </dgm:t>
    </dgm:pt>
    <dgm:pt modelId="{CFD96C64-4156-4811-800E-52A1F8F04402}" type="sibTrans" cxnId="{82AFF46D-4493-4DAE-9674-64C63572A5E9}">
      <dgm:prSet/>
      <dgm:spPr/>
      <dgm:t>
        <a:bodyPr/>
        <a:lstStyle/>
        <a:p>
          <a:endParaRPr lang="en-US"/>
        </a:p>
      </dgm:t>
    </dgm:pt>
    <dgm:pt modelId="{25F8BCF9-6873-42B3-949C-7FE9121AEE05}">
      <dgm:prSet phldrT="[Text]"/>
      <dgm:spPr/>
      <dgm:t>
        <a:bodyPr/>
        <a:lstStyle/>
        <a:p>
          <a:r>
            <a:rPr lang="en-US"/>
            <a:t>COUNCIL</a:t>
          </a:r>
        </a:p>
      </dgm:t>
    </dgm:pt>
    <dgm:pt modelId="{6588D41E-E58B-40D8-9BF4-40C0DBC91C19}" type="parTrans" cxnId="{616EA3B2-CE73-41F0-AE94-CAEFEE0FB10B}">
      <dgm:prSet/>
      <dgm:spPr/>
      <dgm:t>
        <a:bodyPr/>
        <a:lstStyle/>
        <a:p>
          <a:endParaRPr lang="en-US"/>
        </a:p>
      </dgm:t>
    </dgm:pt>
    <dgm:pt modelId="{418E92B6-70C9-4B27-9C5E-430C47139919}" type="sibTrans" cxnId="{616EA3B2-CE73-41F0-AE94-CAEFEE0FB10B}">
      <dgm:prSet/>
      <dgm:spPr/>
      <dgm:t>
        <a:bodyPr/>
        <a:lstStyle/>
        <a:p>
          <a:endParaRPr lang="en-US"/>
        </a:p>
      </dgm:t>
    </dgm:pt>
    <dgm:pt modelId="{F1C0E952-55E8-447C-AB6B-BFFCFD382DD8}">
      <dgm:prSet phldrT="[Text]"/>
      <dgm:spPr/>
      <dgm:t>
        <a:bodyPr/>
        <a:lstStyle/>
        <a:p>
          <a:r>
            <a:rPr lang="en-US"/>
            <a:t>Countries submit national plans of investments and reforms, with clear milestones and targets</a:t>
          </a:r>
        </a:p>
      </dgm:t>
    </dgm:pt>
    <dgm:pt modelId="{2373B5DB-1F3A-48B4-8580-AA5C3B20CED9}" type="parTrans" cxnId="{1404F33D-4622-46A8-99A8-8A62030FEFA1}">
      <dgm:prSet/>
      <dgm:spPr/>
      <dgm:t>
        <a:bodyPr/>
        <a:lstStyle/>
        <a:p>
          <a:endParaRPr lang="en-US"/>
        </a:p>
      </dgm:t>
    </dgm:pt>
    <dgm:pt modelId="{210F1DED-8405-4A01-A060-36AAA15EB32C}" type="sibTrans" cxnId="{1404F33D-4622-46A8-99A8-8A62030FEFA1}">
      <dgm:prSet/>
      <dgm:spPr/>
      <dgm:t>
        <a:bodyPr/>
        <a:lstStyle/>
        <a:p>
          <a:endParaRPr lang="en-US"/>
        </a:p>
      </dgm:t>
    </dgm:pt>
    <dgm:pt modelId="{3902F3B4-E9E6-4F42-9E0B-FEAA78F8DAEF}">
      <dgm:prSet phldrT="[Text]"/>
      <dgm:spPr/>
      <dgm:t>
        <a:bodyPr/>
        <a:lstStyle/>
        <a:p>
          <a:r>
            <a:rPr lang="en-US"/>
            <a:t>The Commission assesses these recovery and resilience plans</a:t>
          </a:r>
        </a:p>
      </dgm:t>
    </dgm:pt>
    <dgm:pt modelId="{A5438503-B79E-447B-BBB8-B683F1AA81A1}" type="parTrans" cxnId="{DA736629-F901-4DEE-9EF5-2A208DA8B53F}">
      <dgm:prSet/>
      <dgm:spPr/>
      <dgm:t>
        <a:bodyPr/>
        <a:lstStyle/>
        <a:p>
          <a:endParaRPr lang="en-US"/>
        </a:p>
      </dgm:t>
    </dgm:pt>
    <dgm:pt modelId="{3837F287-79E4-4010-ADD8-EE626E2045F8}" type="sibTrans" cxnId="{DA736629-F901-4DEE-9EF5-2A208DA8B53F}">
      <dgm:prSet/>
      <dgm:spPr/>
      <dgm:t>
        <a:bodyPr/>
        <a:lstStyle/>
        <a:p>
          <a:endParaRPr lang="en-US"/>
        </a:p>
      </dgm:t>
    </dgm:pt>
    <dgm:pt modelId="{45CD5FC5-1261-4488-94E7-0BB9A1E663CF}">
      <dgm:prSet phldrT="[Text]"/>
      <dgm:spPr/>
      <dgm:t>
        <a:bodyPr/>
        <a:lstStyle/>
        <a:p>
          <a:r>
            <a:rPr lang="en-US"/>
            <a:t>COMMISSION</a:t>
          </a:r>
        </a:p>
      </dgm:t>
    </dgm:pt>
    <dgm:pt modelId="{AA55665D-9EF8-4DD8-B222-29C69365F010}" type="parTrans" cxnId="{A5C60C31-7BC1-4152-8903-832A79F00883}">
      <dgm:prSet/>
      <dgm:spPr/>
      <dgm:t>
        <a:bodyPr/>
        <a:lstStyle/>
        <a:p>
          <a:endParaRPr lang="en-US"/>
        </a:p>
      </dgm:t>
    </dgm:pt>
    <dgm:pt modelId="{68496D18-1808-4402-BF74-A1F4CB8C2A4C}" type="sibTrans" cxnId="{A5C60C31-7BC1-4152-8903-832A79F00883}">
      <dgm:prSet/>
      <dgm:spPr/>
      <dgm:t>
        <a:bodyPr/>
        <a:lstStyle/>
        <a:p>
          <a:endParaRPr lang="en-US"/>
        </a:p>
      </dgm:t>
    </dgm:pt>
    <dgm:pt modelId="{568C2D70-3ACB-4B84-9027-3CA1386F5A65}">
      <dgm:prSet phldrT="[Text]"/>
      <dgm:spPr/>
      <dgm:t>
        <a:bodyPr/>
        <a:lstStyle/>
        <a:p>
          <a:r>
            <a:rPr lang="en-US"/>
            <a:t>The Council approves national plans on a case-by-case basis</a:t>
          </a:r>
        </a:p>
      </dgm:t>
    </dgm:pt>
    <dgm:pt modelId="{87F092E5-C9EA-4CAA-9985-65D345777B02}" type="parTrans" cxnId="{4D99E5E4-2E92-4B39-9FEE-B945AC2F1A09}">
      <dgm:prSet/>
      <dgm:spPr/>
      <dgm:t>
        <a:bodyPr/>
        <a:lstStyle/>
        <a:p>
          <a:endParaRPr lang="en-US"/>
        </a:p>
      </dgm:t>
    </dgm:pt>
    <dgm:pt modelId="{41C16986-FE3A-440D-AEBD-DEAE83370B05}" type="sibTrans" cxnId="{4D99E5E4-2E92-4B39-9FEE-B945AC2F1A09}">
      <dgm:prSet/>
      <dgm:spPr/>
      <dgm:t>
        <a:bodyPr/>
        <a:lstStyle/>
        <a:p>
          <a:endParaRPr lang="en-US"/>
        </a:p>
      </dgm:t>
    </dgm:pt>
    <dgm:pt modelId="{3ABF51E7-8869-40B5-9EFA-5EE7BE97250F}">
      <dgm:prSet phldrT="[Text]"/>
      <dgm:spPr/>
      <dgm:t>
        <a:bodyPr/>
        <a:lstStyle/>
        <a:p>
          <a:r>
            <a:rPr lang="en-US"/>
            <a:t>The EU pays up to 13% of the total support upfront to kick-start the recovery</a:t>
          </a:r>
        </a:p>
      </dgm:t>
    </dgm:pt>
    <dgm:pt modelId="{FB234A72-718B-4207-8DF2-8DA60604899F}" type="parTrans" cxnId="{8CFC52BD-8D50-4D17-8AC9-C490DA054408}">
      <dgm:prSet/>
      <dgm:spPr/>
      <dgm:t>
        <a:bodyPr/>
        <a:lstStyle/>
        <a:p>
          <a:endParaRPr lang="en-US"/>
        </a:p>
      </dgm:t>
    </dgm:pt>
    <dgm:pt modelId="{8A2ED4DD-A68E-4765-BE8E-C6EEB82C93D4}" type="sibTrans" cxnId="{8CFC52BD-8D50-4D17-8AC9-C490DA054408}">
      <dgm:prSet/>
      <dgm:spPr/>
      <dgm:t>
        <a:bodyPr/>
        <a:lstStyle/>
        <a:p>
          <a:endParaRPr lang="en-US"/>
        </a:p>
      </dgm:t>
    </dgm:pt>
    <dgm:pt modelId="{5DE7D7FD-48E8-401A-8F5E-1504FF0F66BF}" type="pres">
      <dgm:prSet presAssocID="{8B5D37C4-5DBB-4EF2-84BC-72D8F157BF6E}" presName="Name0" presStyleCnt="0">
        <dgm:presLayoutVars>
          <dgm:dir/>
          <dgm:animLvl val="lvl"/>
          <dgm:resizeHandles val="exact"/>
        </dgm:presLayoutVars>
      </dgm:prSet>
      <dgm:spPr/>
    </dgm:pt>
    <dgm:pt modelId="{EF1CB368-182D-4072-84AE-DDFDC2817AE7}" type="pres">
      <dgm:prSet presAssocID="{48BEDD7A-42A3-4EFB-8637-56E8A52BBB21}" presName="composite" presStyleCnt="0"/>
      <dgm:spPr/>
    </dgm:pt>
    <dgm:pt modelId="{267AF405-9E97-428C-905E-1F74022C06F6}" type="pres">
      <dgm:prSet presAssocID="{48BEDD7A-42A3-4EFB-8637-56E8A52BBB21}" presName="parTx" presStyleLbl="node1" presStyleIdx="0" presStyleCnt="4">
        <dgm:presLayoutVars>
          <dgm:chMax val="0"/>
          <dgm:chPref val="0"/>
          <dgm:bulletEnabled val="1"/>
        </dgm:presLayoutVars>
      </dgm:prSet>
      <dgm:spPr/>
      <dgm:t>
        <a:bodyPr/>
        <a:lstStyle/>
        <a:p>
          <a:endParaRPr lang="en-US"/>
        </a:p>
      </dgm:t>
    </dgm:pt>
    <dgm:pt modelId="{780B0FAD-90FE-4D4E-AF59-21B82C29E09C}" type="pres">
      <dgm:prSet presAssocID="{48BEDD7A-42A3-4EFB-8637-56E8A52BBB21}" presName="desTx" presStyleLbl="revTx" presStyleIdx="0" presStyleCnt="4">
        <dgm:presLayoutVars>
          <dgm:bulletEnabled val="1"/>
        </dgm:presLayoutVars>
      </dgm:prSet>
      <dgm:spPr/>
      <dgm:t>
        <a:bodyPr/>
        <a:lstStyle/>
        <a:p>
          <a:endParaRPr lang="en-US"/>
        </a:p>
      </dgm:t>
    </dgm:pt>
    <dgm:pt modelId="{E5F03E0C-584A-476E-8B96-FBA55EB59EC7}" type="pres">
      <dgm:prSet presAssocID="{DE506E46-1FD0-4A4D-B74B-A599FF45D698}" presName="space" presStyleCnt="0"/>
      <dgm:spPr/>
    </dgm:pt>
    <dgm:pt modelId="{804AB6CD-A1E9-4CAE-B3E3-B8D3031C4604}" type="pres">
      <dgm:prSet presAssocID="{F3EFE610-D80E-4E79-8CA8-C94FF8C5F192}" presName="composite" presStyleCnt="0"/>
      <dgm:spPr/>
    </dgm:pt>
    <dgm:pt modelId="{E5394752-12A8-46A0-8763-96819D791968}" type="pres">
      <dgm:prSet presAssocID="{F3EFE610-D80E-4E79-8CA8-C94FF8C5F192}" presName="parTx" presStyleLbl="node1" presStyleIdx="1" presStyleCnt="4">
        <dgm:presLayoutVars>
          <dgm:chMax val="0"/>
          <dgm:chPref val="0"/>
          <dgm:bulletEnabled val="1"/>
        </dgm:presLayoutVars>
      </dgm:prSet>
      <dgm:spPr/>
      <dgm:t>
        <a:bodyPr/>
        <a:lstStyle/>
        <a:p>
          <a:endParaRPr lang="en-US"/>
        </a:p>
      </dgm:t>
    </dgm:pt>
    <dgm:pt modelId="{9E1B18CF-870C-45A8-A4AF-51BA3DEC88C6}" type="pres">
      <dgm:prSet presAssocID="{F3EFE610-D80E-4E79-8CA8-C94FF8C5F192}" presName="desTx" presStyleLbl="revTx" presStyleIdx="1" presStyleCnt="4">
        <dgm:presLayoutVars>
          <dgm:bulletEnabled val="1"/>
        </dgm:presLayoutVars>
      </dgm:prSet>
      <dgm:spPr/>
      <dgm:t>
        <a:bodyPr/>
        <a:lstStyle/>
        <a:p>
          <a:endParaRPr lang="en-US"/>
        </a:p>
      </dgm:t>
    </dgm:pt>
    <dgm:pt modelId="{826C95CB-B116-438B-A1F9-A1644FB365FB}" type="pres">
      <dgm:prSet presAssocID="{CFD96C64-4156-4811-800E-52A1F8F04402}" presName="space" presStyleCnt="0"/>
      <dgm:spPr/>
    </dgm:pt>
    <dgm:pt modelId="{E1598C82-1208-4F38-B81C-CDFB4445D1E4}" type="pres">
      <dgm:prSet presAssocID="{25F8BCF9-6873-42B3-949C-7FE9121AEE05}" presName="composite" presStyleCnt="0"/>
      <dgm:spPr/>
    </dgm:pt>
    <dgm:pt modelId="{C2524FC4-1DF1-484B-B78F-A49A337BD766}" type="pres">
      <dgm:prSet presAssocID="{25F8BCF9-6873-42B3-949C-7FE9121AEE05}" presName="parTx" presStyleLbl="node1" presStyleIdx="2" presStyleCnt="4">
        <dgm:presLayoutVars>
          <dgm:chMax val="0"/>
          <dgm:chPref val="0"/>
          <dgm:bulletEnabled val="1"/>
        </dgm:presLayoutVars>
      </dgm:prSet>
      <dgm:spPr/>
      <dgm:t>
        <a:bodyPr/>
        <a:lstStyle/>
        <a:p>
          <a:endParaRPr lang="en-US"/>
        </a:p>
      </dgm:t>
    </dgm:pt>
    <dgm:pt modelId="{CD821299-D4A8-4CC6-8DDC-6945C14BA15B}" type="pres">
      <dgm:prSet presAssocID="{25F8BCF9-6873-42B3-949C-7FE9121AEE05}" presName="desTx" presStyleLbl="revTx" presStyleIdx="2" presStyleCnt="4">
        <dgm:presLayoutVars>
          <dgm:bulletEnabled val="1"/>
        </dgm:presLayoutVars>
      </dgm:prSet>
      <dgm:spPr/>
      <dgm:t>
        <a:bodyPr/>
        <a:lstStyle/>
        <a:p>
          <a:endParaRPr lang="en-US"/>
        </a:p>
      </dgm:t>
    </dgm:pt>
    <dgm:pt modelId="{F840BC74-FA10-48CC-960A-BB559DCBA093}" type="pres">
      <dgm:prSet presAssocID="{418E92B6-70C9-4B27-9C5E-430C47139919}" presName="space" presStyleCnt="0"/>
      <dgm:spPr/>
    </dgm:pt>
    <dgm:pt modelId="{D98BC16A-B6D5-48D3-8352-061072974A5F}" type="pres">
      <dgm:prSet presAssocID="{45CD5FC5-1261-4488-94E7-0BB9A1E663CF}" presName="composite" presStyleCnt="0"/>
      <dgm:spPr/>
    </dgm:pt>
    <dgm:pt modelId="{D2319209-A1BC-4FBC-AE21-18F7ACCD4033}" type="pres">
      <dgm:prSet presAssocID="{45CD5FC5-1261-4488-94E7-0BB9A1E663CF}" presName="parTx" presStyleLbl="node1" presStyleIdx="3" presStyleCnt="4">
        <dgm:presLayoutVars>
          <dgm:chMax val="0"/>
          <dgm:chPref val="0"/>
          <dgm:bulletEnabled val="1"/>
        </dgm:presLayoutVars>
      </dgm:prSet>
      <dgm:spPr/>
      <dgm:t>
        <a:bodyPr/>
        <a:lstStyle/>
        <a:p>
          <a:endParaRPr lang="en-US"/>
        </a:p>
      </dgm:t>
    </dgm:pt>
    <dgm:pt modelId="{1B087B33-B178-4E65-9965-A94EA0CE8213}" type="pres">
      <dgm:prSet presAssocID="{45CD5FC5-1261-4488-94E7-0BB9A1E663CF}" presName="desTx" presStyleLbl="revTx" presStyleIdx="3" presStyleCnt="4">
        <dgm:presLayoutVars>
          <dgm:bulletEnabled val="1"/>
        </dgm:presLayoutVars>
      </dgm:prSet>
      <dgm:spPr/>
      <dgm:t>
        <a:bodyPr/>
        <a:lstStyle/>
        <a:p>
          <a:endParaRPr lang="en-US"/>
        </a:p>
      </dgm:t>
    </dgm:pt>
  </dgm:ptLst>
  <dgm:cxnLst>
    <dgm:cxn modelId="{7832F70E-2E69-42EA-906D-C4574290E4E9}" type="presOf" srcId="{3902F3B4-E9E6-4F42-9E0B-FEAA78F8DAEF}" destId="{9E1B18CF-870C-45A8-A4AF-51BA3DEC88C6}" srcOrd="0" destOrd="0" presId="urn:microsoft.com/office/officeart/2005/8/layout/chevron1"/>
    <dgm:cxn modelId="{82AFF46D-4493-4DAE-9674-64C63572A5E9}" srcId="{8B5D37C4-5DBB-4EF2-84BC-72D8F157BF6E}" destId="{F3EFE610-D80E-4E79-8CA8-C94FF8C5F192}" srcOrd="1" destOrd="0" parTransId="{3FDC3A84-5A50-427B-8D65-9EEA82848285}" sibTransId="{CFD96C64-4156-4811-800E-52A1F8F04402}"/>
    <dgm:cxn modelId="{A5C60C31-7BC1-4152-8903-832A79F00883}" srcId="{8B5D37C4-5DBB-4EF2-84BC-72D8F157BF6E}" destId="{45CD5FC5-1261-4488-94E7-0BB9A1E663CF}" srcOrd="3" destOrd="0" parTransId="{AA55665D-9EF8-4DD8-B222-29C69365F010}" sibTransId="{68496D18-1808-4402-BF74-A1F4CB8C2A4C}"/>
    <dgm:cxn modelId="{20C71041-5379-4C8A-9472-FD89A82B6C50}" type="presOf" srcId="{48BEDD7A-42A3-4EFB-8637-56E8A52BBB21}" destId="{267AF405-9E97-428C-905E-1F74022C06F6}" srcOrd="0" destOrd="0" presId="urn:microsoft.com/office/officeart/2005/8/layout/chevron1"/>
    <dgm:cxn modelId="{05CAC821-0649-435F-96A4-BD9B33CF4FE7}" srcId="{8B5D37C4-5DBB-4EF2-84BC-72D8F157BF6E}" destId="{48BEDD7A-42A3-4EFB-8637-56E8A52BBB21}" srcOrd="0" destOrd="0" parTransId="{F37C9437-BE39-4FC0-911F-D51A22280E13}" sibTransId="{DE506E46-1FD0-4A4D-B74B-A599FF45D698}"/>
    <dgm:cxn modelId="{DA736629-F901-4DEE-9EF5-2A208DA8B53F}" srcId="{F3EFE610-D80E-4E79-8CA8-C94FF8C5F192}" destId="{3902F3B4-E9E6-4F42-9E0B-FEAA78F8DAEF}" srcOrd="0" destOrd="0" parTransId="{A5438503-B79E-447B-BBB8-B683F1AA81A1}" sibTransId="{3837F287-79E4-4010-ADD8-EE626E2045F8}"/>
    <dgm:cxn modelId="{60EA7F3B-ADEF-4974-A4B1-0D06167972EE}" type="presOf" srcId="{45CD5FC5-1261-4488-94E7-0BB9A1E663CF}" destId="{D2319209-A1BC-4FBC-AE21-18F7ACCD4033}" srcOrd="0" destOrd="0" presId="urn:microsoft.com/office/officeart/2005/8/layout/chevron1"/>
    <dgm:cxn modelId="{6012ED1F-9C31-4C8E-ADAB-22AC84CE3F38}" type="presOf" srcId="{568C2D70-3ACB-4B84-9027-3CA1386F5A65}" destId="{CD821299-D4A8-4CC6-8DDC-6945C14BA15B}" srcOrd="0" destOrd="0" presId="urn:microsoft.com/office/officeart/2005/8/layout/chevron1"/>
    <dgm:cxn modelId="{C2C5C1E3-F8E9-4F75-92DF-45528FFA1315}" type="presOf" srcId="{25F8BCF9-6873-42B3-949C-7FE9121AEE05}" destId="{C2524FC4-1DF1-484B-B78F-A49A337BD766}" srcOrd="0" destOrd="0" presId="urn:microsoft.com/office/officeart/2005/8/layout/chevron1"/>
    <dgm:cxn modelId="{4D99E5E4-2E92-4B39-9FEE-B945AC2F1A09}" srcId="{25F8BCF9-6873-42B3-949C-7FE9121AEE05}" destId="{568C2D70-3ACB-4B84-9027-3CA1386F5A65}" srcOrd="0" destOrd="0" parTransId="{87F092E5-C9EA-4CAA-9985-65D345777B02}" sibTransId="{41C16986-FE3A-440D-AEBD-DEAE83370B05}"/>
    <dgm:cxn modelId="{AAC5CA61-56FF-469B-AB78-1B489FAE56A3}" type="presOf" srcId="{3ABF51E7-8869-40B5-9EFA-5EE7BE97250F}" destId="{1B087B33-B178-4E65-9965-A94EA0CE8213}" srcOrd="0" destOrd="0" presId="urn:microsoft.com/office/officeart/2005/8/layout/chevron1"/>
    <dgm:cxn modelId="{EB77E0F4-5AFD-46E4-9C39-B27C79DED889}" type="presOf" srcId="{8B5D37C4-5DBB-4EF2-84BC-72D8F157BF6E}" destId="{5DE7D7FD-48E8-401A-8F5E-1504FF0F66BF}" srcOrd="0" destOrd="0" presId="urn:microsoft.com/office/officeart/2005/8/layout/chevron1"/>
    <dgm:cxn modelId="{7EF5EDB8-5838-4438-9D96-CDA05EEF4612}" type="presOf" srcId="{F3EFE610-D80E-4E79-8CA8-C94FF8C5F192}" destId="{E5394752-12A8-46A0-8763-96819D791968}" srcOrd="0" destOrd="0" presId="urn:microsoft.com/office/officeart/2005/8/layout/chevron1"/>
    <dgm:cxn modelId="{DFB0A008-DFBB-446B-B43C-D4AEE92E6AD6}" type="presOf" srcId="{F1C0E952-55E8-447C-AB6B-BFFCFD382DD8}" destId="{780B0FAD-90FE-4D4E-AF59-21B82C29E09C}" srcOrd="0" destOrd="0" presId="urn:microsoft.com/office/officeart/2005/8/layout/chevron1"/>
    <dgm:cxn modelId="{616EA3B2-CE73-41F0-AE94-CAEFEE0FB10B}" srcId="{8B5D37C4-5DBB-4EF2-84BC-72D8F157BF6E}" destId="{25F8BCF9-6873-42B3-949C-7FE9121AEE05}" srcOrd="2" destOrd="0" parTransId="{6588D41E-E58B-40D8-9BF4-40C0DBC91C19}" sibTransId="{418E92B6-70C9-4B27-9C5E-430C47139919}"/>
    <dgm:cxn modelId="{1404F33D-4622-46A8-99A8-8A62030FEFA1}" srcId="{48BEDD7A-42A3-4EFB-8637-56E8A52BBB21}" destId="{F1C0E952-55E8-447C-AB6B-BFFCFD382DD8}" srcOrd="0" destOrd="0" parTransId="{2373B5DB-1F3A-48B4-8580-AA5C3B20CED9}" sibTransId="{210F1DED-8405-4A01-A060-36AAA15EB32C}"/>
    <dgm:cxn modelId="{8CFC52BD-8D50-4D17-8AC9-C490DA054408}" srcId="{45CD5FC5-1261-4488-94E7-0BB9A1E663CF}" destId="{3ABF51E7-8869-40B5-9EFA-5EE7BE97250F}" srcOrd="0" destOrd="0" parTransId="{FB234A72-718B-4207-8DF2-8DA60604899F}" sibTransId="{8A2ED4DD-A68E-4765-BE8E-C6EEB82C93D4}"/>
    <dgm:cxn modelId="{B5DE4A90-F456-4E34-9AA5-7DFAEA1CD26B}" type="presParOf" srcId="{5DE7D7FD-48E8-401A-8F5E-1504FF0F66BF}" destId="{EF1CB368-182D-4072-84AE-DDFDC2817AE7}" srcOrd="0" destOrd="0" presId="urn:microsoft.com/office/officeart/2005/8/layout/chevron1"/>
    <dgm:cxn modelId="{148560E6-17E1-4FAF-AAE6-30EA78A86534}" type="presParOf" srcId="{EF1CB368-182D-4072-84AE-DDFDC2817AE7}" destId="{267AF405-9E97-428C-905E-1F74022C06F6}" srcOrd="0" destOrd="0" presId="urn:microsoft.com/office/officeart/2005/8/layout/chevron1"/>
    <dgm:cxn modelId="{7E785FCA-DF4D-48DE-B318-8DEAE228A69E}" type="presParOf" srcId="{EF1CB368-182D-4072-84AE-DDFDC2817AE7}" destId="{780B0FAD-90FE-4D4E-AF59-21B82C29E09C}" srcOrd="1" destOrd="0" presId="urn:microsoft.com/office/officeart/2005/8/layout/chevron1"/>
    <dgm:cxn modelId="{51AF5E68-B375-4EBB-AE81-BB7328E8AAB8}" type="presParOf" srcId="{5DE7D7FD-48E8-401A-8F5E-1504FF0F66BF}" destId="{E5F03E0C-584A-476E-8B96-FBA55EB59EC7}" srcOrd="1" destOrd="0" presId="urn:microsoft.com/office/officeart/2005/8/layout/chevron1"/>
    <dgm:cxn modelId="{60F225A5-F82A-4B96-8B33-D219187992F8}" type="presParOf" srcId="{5DE7D7FD-48E8-401A-8F5E-1504FF0F66BF}" destId="{804AB6CD-A1E9-4CAE-B3E3-B8D3031C4604}" srcOrd="2" destOrd="0" presId="urn:microsoft.com/office/officeart/2005/8/layout/chevron1"/>
    <dgm:cxn modelId="{9250C96E-3529-4CC4-AFA7-81ACD2D7D4BE}" type="presParOf" srcId="{804AB6CD-A1E9-4CAE-B3E3-B8D3031C4604}" destId="{E5394752-12A8-46A0-8763-96819D791968}" srcOrd="0" destOrd="0" presId="urn:microsoft.com/office/officeart/2005/8/layout/chevron1"/>
    <dgm:cxn modelId="{AF0BE996-7762-4C15-8FFF-41734CC83F84}" type="presParOf" srcId="{804AB6CD-A1E9-4CAE-B3E3-B8D3031C4604}" destId="{9E1B18CF-870C-45A8-A4AF-51BA3DEC88C6}" srcOrd="1" destOrd="0" presId="urn:microsoft.com/office/officeart/2005/8/layout/chevron1"/>
    <dgm:cxn modelId="{48289986-4C4E-42C4-B7AE-3CCC2B35AB48}" type="presParOf" srcId="{5DE7D7FD-48E8-401A-8F5E-1504FF0F66BF}" destId="{826C95CB-B116-438B-A1F9-A1644FB365FB}" srcOrd="3" destOrd="0" presId="urn:microsoft.com/office/officeart/2005/8/layout/chevron1"/>
    <dgm:cxn modelId="{A3C3240C-92CD-4A20-A8DF-5EBE6B74BEFE}" type="presParOf" srcId="{5DE7D7FD-48E8-401A-8F5E-1504FF0F66BF}" destId="{E1598C82-1208-4F38-B81C-CDFB4445D1E4}" srcOrd="4" destOrd="0" presId="urn:microsoft.com/office/officeart/2005/8/layout/chevron1"/>
    <dgm:cxn modelId="{CF6BBA12-6426-45D3-B0FB-BCFA2F3BF2AB}" type="presParOf" srcId="{E1598C82-1208-4F38-B81C-CDFB4445D1E4}" destId="{C2524FC4-1DF1-484B-B78F-A49A337BD766}" srcOrd="0" destOrd="0" presId="urn:microsoft.com/office/officeart/2005/8/layout/chevron1"/>
    <dgm:cxn modelId="{A2973E53-E50F-47C2-A7C3-24C02BCA8691}" type="presParOf" srcId="{E1598C82-1208-4F38-B81C-CDFB4445D1E4}" destId="{CD821299-D4A8-4CC6-8DDC-6945C14BA15B}" srcOrd="1" destOrd="0" presId="urn:microsoft.com/office/officeart/2005/8/layout/chevron1"/>
    <dgm:cxn modelId="{099AA4C3-475D-483C-95D7-A82C0D77DABF}" type="presParOf" srcId="{5DE7D7FD-48E8-401A-8F5E-1504FF0F66BF}" destId="{F840BC74-FA10-48CC-960A-BB559DCBA093}" srcOrd="5" destOrd="0" presId="urn:microsoft.com/office/officeart/2005/8/layout/chevron1"/>
    <dgm:cxn modelId="{E81EE15E-4897-47C5-80A9-F24876068407}" type="presParOf" srcId="{5DE7D7FD-48E8-401A-8F5E-1504FF0F66BF}" destId="{D98BC16A-B6D5-48D3-8352-061072974A5F}" srcOrd="6" destOrd="0" presId="urn:microsoft.com/office/officeart/2005/8/layout/chevron1"/>
    <dgm:cxn modelId="{9B07DEE2-7E0E-4B07-B631-4ACA512A2331}" type="presParOf" srcId="{D98BC16A-B6D5-48D3-8352-061072974A5F}" destId="{D2319209-A1BC-4FBC-AE21-18F7ACCD4033}" srcOrd="0" destOrd="0" presId="urn:microsoft.com/office/officeart/2005/8/layout/chevron1"/>
    <dgm:cxn modelId="{AC74DEFD-0448-46CA-ADDB-4BEA8B0FEB53}" type="presParOf" srcId="{D98BC16A-B6D5-48D3-8352-061072974A5F}" destId="{1B087B33-B178-4E65-9965-A94EA0CE8213}" srcOrd="1"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AF405-9E97-428C-905E-1F74022C06F6}">
      <dsp:nvSpPr>
        <dsp:cNvPr id="0" name=""/>
        <dsp:cNvSpPr/>
      </dsp:nvSpPr>
      <dsp:spPr>
        <a:xfrm>
          <a:off x="3349" y="791697"/>
          <a:ext cx="1528432" cy="594000"/>
        </a:xfrm>
        <a:prstGeom prst="chevron">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MEMBER STATE</a:t>
          </a:r>
        </a:p>
      </dsp:txBody>
      <dsp:txXfrm>
        <a:off x="300349" y="791697"/>
        <a:ext cx="934432" cy="594000"/>
      </dsp:txXfrm>
    </dsp:sp>
    <dsp:sp modelId="{780B0FAD-90FE-4D4E-AF59-21B82C29E09C}">
      <dsp:nvSpPr>
        <dsp:cNvPr id="0" name=""/>
        <dsp:cNvSpPr/>
      </dsp:nvSpPr>
      <dsp:spPr>
        <a:xfrm>
          <a:off x="3349" y="1459947"/>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a:t>Countries submit national plans of investments and reforms, with clear milestones and targets</a:t>
          </a:r>
        </a:p>
      </dsp:txBody>
      <dsp:txXfrm>
        <a:off x="3349" y="1459947"/>
        <a:ext cx="1222746" cy="940500"/>
      </dsp:txXfrm>
    </dsp:sp>
    <dsp:sp modelId="{E5394752-12A8-46A0-8763-96819D791968}">
      <dsp:nvSpPr>
        <dsp:cNvPr id="0" name=""/>
        <dsp:cNvSpPr/>
      </dsp:nvSpPr>
      <dsp:spPr>
        <a:xfrm>
          <a:off x="1315782" y="791697"/>
          <a:ext cx="1528432" cy="594000"/>
        </a:xfrm>
        <a:prstGeom prst="chevron">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COMMISSION</a:t>
          </a:r>
        </a:p>
      </dsp:txBody>
      <dsp:txXfrm>
        <a:off x="1612782" y="791697"/>
        <a:ext cx="934432" cy="594000"/>
      </dsp:txXfrm>
    </dsp:sp>
    <dsp:sp modelId="{9E1B18CF-870C-45A8-A4AF-51BA3DEC88C6}">
      <dsp:nvSpPr>
        <dsp:cNvPr id="0" name=""/>
        <dsp:cNvSpPr/>
      </dsp:nvSpPr>
      <dsp:spPr>
        <a:xfrm>
          <a:off x="1315782" y="1459947"/>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a:t>The Commission assesses these recovery and resilience plans</a:t>
          </a:r>
        </a:p>
      </dsp:txBody>
      <dsp:txXfrm>
        <a:off x="1315782" y="1459947"/>
        <a:ext cx="1222746" cy="940500"/>
      </dsp:txXfrm>
    </dsp:sp>
    <dsp:sp modelId="{C2524FC4-1DF1-484B-B78F-A49A337BD766}">
      <dsp:nvSpPr>
        <dsp:cNvPr id="0" name=""/>
        <dsp:cNvSpPr/>
      </dsp:nvSpPr>
      <dsp:spPr>
        <a:xfrm>
          <a:off x="2628215" y="791697"/>
          <a:ext cx="1528432" cy="594000"/>
        </a:xfrm>
        <a:prstGeom prst="chevron">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COUNCIL</a:t>
          </a:r>
        </a:p>
      </dsp:txBody>
      <dsp:txXfrm>
        <a:off x="2925215" y="791697"/>
        <a:ext cx="934432" cy="594000"/>
      </dsp:txXfrm>
    </dsp:sp>
    <dsp:sp modelId="{CD821299-D4A8-4CC6-8DDC-6945C14BA15B}">
      <dsp:nvSpPr>
        <dsp:cNvPr id="0" name=""/>
        <dsp:cNvSpPr/>
      </dsp:nvSpPr>
      <dsp:spPr>
        <a:xfrm>
          <a:off x="2628215" y="1459947"/>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a:t>The Council approves national plans on a case-by-case basis</a:t>
          </a:r>
        </a:p>
      </dsp:txBody>
      <dsp:txXfrm>
        <a:off x="2628215" y="1459947"/>
        <a:ext cx="1222746" cy="940500"/>
      </dsp:txXfrm>
    </dsp:sp>
    <dsp:sp modelId="{D2319209-A1BC-4FBC-AE21-18F7ACCD4033}">
      <dsp:nvSpPr>
        <dsp:cNvPr id="0" name=""/>
        <dsp:cNvSpPr/>
      </dsp:nvSpPr>
      <dsp:spPr>
        <a:xfrm>
          <a:off x="3940647" y="791697"/>
          <a:ext cx="1528432" cy="594000"/>
        </a:xfrm>
        <a:prstGeom prst="chevron">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COMMISSION</a:t>
          </a:r>
        </a:p>
      </dsp:txBody>
      <dsp:txXfrm>
        <a:off x="4237647" y="791697"/>
        <a:ext cx="934432" cy="594000"/>
      </dsp:txXfrm>
    </dsp:sp>
    <dsp:sp modelId="{1B087B33-B178-4E65-9965-A94EA0CE8213}">
      <dsp:nvSpPr>
        <dsp:cNvPr id="0" name=""/>
        <dsp:cNvSpPr/>
      </dsp:nvSpPr>
      <dsp:spPr>
        <a:xfrm>
          <a:off x="3940647" y="1459947"/>
          <a:ext cx="1222746" cy="94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n-US" sz="1100" kern="1200"/>
            <a:t>The EU pays up to 13% of the total support upfront to kick-start the recovery</a:t>
          </a:r>
        </a:p>
      </dsp:txBody>
      <dsp:txXfrm>
        <a:off x="3940647" y="1459947"/>
        <a:ext cx="1222746" cy="9405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LabelPictureSeq>Figure {SEQ Figure \* ARABIC }: </LabelPictureSeq>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LabelFormattedFigureSeqEC>Figure {field: SEQ Figure \* ARABIC }: </LabelFormattedFigureSeqEC>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10.0.43105.0</Version>
    <Date>2022-05-20T17:29:16</Date>
    <Language>EN</Language>
    <Note/>
  </Created>
  <Edited>
    <Version/>
    <Date/>
  </Edited>
  <DocumentModel>
    <Id>34954475-997f-4cb0-a95b-7f65298f3d8c</Id>
    <Name>Report (long)</Name>
  </DocumentModel>
  <DocumentDate>2022-06-20T00:00:00</DocumentDate>
  <DocumentVersion>1.1</DocumentVersion>
  <CompatibilityMode>Eurolook10</CompatibilityMode>
  <DocumentMetadata>
    <EC_SecurityDateMarkingDate MetadataSerializationType="SimpleValue"/>
    <EC_SecurityReleasability MetadataSerializationType="SimpleValue"/>
    <EC_SecurityDistributionWorkingGroup MetadataSerializationType="SimpleValue"/>
    <EC_SecurityDistributionDG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ebab0b06-132a-4722-b111-58c14cc28097</Id>
  <Names>
    <Latin>
      <FirstName>Andrea</FirstName>
      <LastName>BORDONI</LastName>
    </Latin>
    <Greek>
      <FirstName/>
      <LastName/>
    </Greek>
    <Cyrillic>
      <FirstName/>
      <LastName/>
    </Cyrillic>
    <DocumentScript>
      <FirstName>Andrea</FirstName>
      <LastName>BORDONI</LastName>
      <FullName>Andrea BORDONI, Madeleine PUMBERGER</FullName>
    </DocumentScript>
  </Names>
  <Initials>AB</Initials>
  <Gender>m</Gender>
  <Email>Andrea.BORDONI@ec.europa.eu</Email>
  <Service>OLAF.C.1</Service>
  <Function ADCode="40" ShowInSignature="true" ShowInHeader="false" HeaderText="">Deputy Head of Unit</Function>
  <WebAddress/>
  <FunctionalMailbox/>
  <InheritedWebAddress>WebAddress</InheritedWebAddress>
  <OrgaEntity1>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1>
  <OrgaEntity2>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2>
  <OrgaEntity3>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3>
  <Hierarchy>
    <OrgaEntity>
      <Id>4860eea2-955d-4a36-8fc6-a21b0a853276</Id>
      <LogicalLevel>1</LogicalLevel>
      <Name>OLAF</Name>
      <HeadLine1>EUROPEAN ANTI-FRAUD OFFICE</HeadLine1>
      <HeadLine2/>
      <PrimaryAddressId>f03b5801-04c9-4931-aa17-c6d6c70bc579</PrimaryAddressId>
      <SecondaryAddressId/>
      <WebAddress>WebAddress</WebAddress>
      <InheritedWebAddress>WebAddress</InheritedWebAddress>
      <ShowInHeader>true</ShowInHeader>
    </OrgaEntity>
    <OrgaEntity>
      <Id>b15a73a9-fed8-4740-99a9-40ed6e43144e</Id>
      <LogicalLevel>2</LogicalLevel>
      <Name>OLAF.C</Name>
      <HeadLine1>Anti-Fraud Knowledge Centre</HeadLine1>
      <HeadLine2/>
      <PrimaryAddressId>f03b5801-04c9-4931-aa17-c6d6c70bc579</PrimaryAddressId>
      <SecondaryAddressId/>
      <WebAddress/>
      <InheritedWebAddress>WebAddress</InheritedWebAddress>
      <ShowInHeader>true</ShowInHeader>
    </OrgaEntity>
    <OrgaEntity>
      <Id>36abc2e7-3dfe-401c-a1bb-9b0677bbf6b8</Id>
      <LogicalLevel>3</LogicalLevel>
      <Name>OLAF.C.1</Name>
      <HeadLine1>Anti-Corruption, Anti-Fraud Strategy and Analysis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+32 229-67737</Phone>
    <Office>J-30 06/015</Office>
  </MainWorkplace>
  <Workplaces>
    <Workplace IsMain="true">
      <AddressId>f03b5801-04c9-4931-aa17-c6d6c70bc579</AddressId>
      <Fax/>
      <Phone>+32 229-67737</Phone>
      <Office>J-30 06/015</Office>
    </Workplace>
    <Workplace IsMain="false">
      <AddressId>1264fb81-f6bb-475e-9f9d-a937d3be6ee2</AddressId>
      <Fax/>
      <Phone/>
      <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7816110-6CF9-4EFA-B2F9-8353C7D2C589}">
  <ds:schemaRefs/>
</ds:datastoreItem>
</file>

<file path=customXml/itemProps4.xml><?xml version="1.0" encoding="utf-8"?>
<ds:datastoreItem xmlns:ds="http://schemas.openxmlformats.org/officeDocument/2006/customXml" ds:itemID="{17CB76D1-6B54-4CD5-A256-BA7E393B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17366</Words>
  <Characters>97425</Characters>
  <Application>Microsoft Office Word</Application>
  <DocSecurity>0</DocSecurity>
  <PresentationFormat>Microsoft Word 14.0</PresentationFormat>
  <Lines>1739</Lines>
  <Paragraphs>786</Paragraphs>
  <ScaleCrop>true</ScaleCrop>
  <HeadingPairs>
    <vt:vector size="2" baseType="variant">
      <vt:variant>
        <vt:lpstr>Title</vt:lpstr>
      </vt:variant>
      <vt:variant>
        <vt:i4>1</vt:i4>
      </vt:variant>
    </vt:vector>
  </HeadingPairs>
  <TitlesOfParts>
    <vt:vector size="1" baseType="lpstr">
      <vt:lpstr>33rd Annual Report on the protection of the EU financial interests and the fight against fraud</vt:lpstr>
    </vt:vector>
  </TitlesOfParts>
  <Manager/>
  <Company/>
  <LinksUpToDate>false</LinksUpToDate>
  <CharactersWithSpaces>114005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33rd Annual Report on the protection of the EU financial interests and the fight against fraud</dc:title>
  <dc:subject>2021</dc:subject>
  <dc:creator/>
  <cp:keywords/>
  <dc:description/>
  <cp:lastModifiedBy>EC CoDe</cp:lastModifiedBy>
  <cp:revision>30</cp:revision>
  <dcterms:created xsi:type="dcterms:W3CDTF">2022-09-15T12:23:00Z</dcterms:created>
  <dcterms:modified xsi:type="dcterms:W3CDTF">2022-09-16T06:29:00Z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tech.dot</vt:lpwstr>
  </property>
</Properties>
</file>