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9C06E" w14:textId="3882E414" w:rsidR="00224CBD" w:rsidRDefault="00CF6DBF" w:rsidP="00CF6DBF">
      <w:pPr>
        <w:pStyle w:val="Pagedecouverture"/>
        <w:rPr>
          <w:noProof/>
        </w:rPr>
      </w:pPr>
      <w:bookmarkStart w:id="0" w:name="LW_BM_COVERPAGE"/>
      <w:r>
        <w:rPr>
          <w:noProof/>
        </w:rPr>
        <w:pict w14:anchorId="5E2C3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14B0F0C-B157-4E71-8FFC-B074149112E2" style="width:455.25pt;height:420.75pt">
            <v:imagedata r:id="rId13" o:title=""/>
          </v:shape>
        </w:pict>
      </w:r>
    </w:p>
    <w:bookmarkEnd w:id="0"/>
    <w:p w14:paraId="11751538" w14:textId="77777777" w:rsidR="00CF6DBF" w:rsidRPr="00CF6DBF" w:rsidRDefault="00CF6DBF" w:rsidP="00CF6DBF">
      <w:pPr>
        <w:pStyle w:val="Pagedecouverture"/>
        <w:sectPr w:rsidR="00CF6DBF" w:rsidRPr="00CF6DBF" w:rsidSect="00CF6DBF">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14:paraId="033F35AF" w14:textId="281BBCD7" w:rsidR="00BE672B" w:rsidRDefault="00BE672B" w:rsidP="00BE672B">
      <w:pPr>
        <w:spacing w:before="120" w:beforeAutospacing="0" w:after="120" w:afterAutospacing="0"/>
        <w:jc w:val="both"/>
        <w:rPr>
          <w:rFonts w:cs="Times New Roman"/>
          <w:noProof/>
          <w:szCs w:val="24"/>
        </w:rPr>
      </w:pPr>
      <w:bookmarkStart w:id="1" w:name="_GoBack"/>
      <w:bookmarkEnd w:id="1"/>
    </w:p>
    <w:p w14:paraId="53A3E0E4" w14:textId="77777777" w:rsidR="00493BC7" w:rsidRPr="00493BC7" w:rsidRDefault="00493BC7" w:rsidP="00493BC7">
      <w:pPr>
        <w:pBdr>
          <w:top w:val="nil"/>
          <w:left w:val="nil"/>
          <w:bottom w:val="nil"/>
          <w:right w:val="nil"/>
          <w:between w:val="nil"/>
          <w:bar w:val="nil"/>
        </w:pBdr>
        <w:spacing w:before="0" w:beforeAutospacing="0" w:after="0" w:afterAutospacing="0"/>
        <w:jc w:val="center"/>
        <w:rPr>
          <w:rFonts w:eastAsia="Arial Unicode MS" w:cs="Times New Roman"/>
          <w:b/>
          <w:noProof/>
          <w:szCs w:val="24"/>
          <w:bdr w:val="nil"/>
        </w:rPr>
      </w:pPr>
      <w:r w:rsidRPr="00493BC7">
        <w:rPr>
          <w:rFonts w:eastAsia="Arial Unicode MS" w:cs="Times New Roman"/>
          <w:b/>
          <w:noProof/>
          <w:szCs w:val="24"/>
          <w:bdr w:val="nil"/>
        </w:rPr>
        <w:t>REPORT FROM THE COMMISSION TO THE EUROPEAN PARLIAMENT AND THE COUNCIL</w:t>
      </w:r>
    </w:p>
    <w:p w14:paraId="50F75B86" w14:textId="77777777" w:rsidR="00493BC7" w:rsidRPr="00493BC7" w:rsidRDefault="00493BC7" w:rsidP="00493BC7">
      <w:pPr>
        <w:pBdr>
          <w:top w:val="nil"/>
          <w:left w:val="nil"/>
          <w:bottom w:val="nil"/>
          <w:right w:val="nil"/>
          <w:between w:val="nil"/>
          <w:bar w:val="nil"/>
        </w:pBdr>
        <w:spacing w:before="0" w:beforeAutospacing="0" w:after="0" w:afterAutospacing="0"/>
        <w:jc w:val="center"/>
        <w:rPr>
          <w:rFonts w:eastAsia="Arial Unicode MS" w:cs="Times New Roman"/>
          <w:b/>
          <w:noProof/>
          <w:szCs w:val="24"/>
          <w:bdr w:val="nil"/>
        </w:rPr>
      </w:pPr>
    </w:p>
    <w:p w14:paraId="3C7F1592" w14:textId="5E68ACB4" w:rsidR="00493BC7" w:rsidRPr="00493BC7" w:rsidRDefault="00493BC7" w:rsidP="00493BC7">
      <w:pPr>
        <w:pBdr>
          <w:top w:val="nil"/>
          <w:left w:val="nil"/>
          <w:bottom w:val="nil"/>
          <w:right w:val="nil"/>
          <w:between w:val="nil"/>
          <w:bar w:val="nil"/>
        </w:pBdr>
        <w:spacing w:before="0" w:beforeAutospacing="0" w:after="0" w:afterAutospacing="0"/>
        <w:jc w:val="center"/>
        <w:rPr>
          <w:rFonts w:eastAsia="Arial Unicode MS" w:cs="Times New Roman"/>
          <w:b/>
          <w:noProof/>
          <w:szCs w:val="24"/>
          <w:bdr w:val="nil"/>
        </w:rPr>
      </w:pPr>
      <w:r w:rsidRPr="00493BC7">
        <w:rPr>
          <w:rFonts w:eastAsia="Arial Unicode MS" w:cs="Times New Roman"/>
          <w:b/>
          <w:noProof/>
          <w:szCs w:val="24"/>
          <w:bdr w:val="nil"/>
        </w:rPr>
        <w:t>on the exercise of the power to adopt delegated acts conferred on the Commission pursuant to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w:t>
      </w:r>
    </w:p>
    <w:p w14:paraId="726B5F79" w14:textId="77777777" w:rsidR="00493BC7" w:rsidRPr="00493BC7" w:rsidRDefault="00493BC7" w:rsidP="00493BC7">
      <w:pPr>
        <w:pBdr>
          <w:top w:val="nil"/>
          <w:left w:val="nil"/>
          <w:bottom w:val="nil"/>
          <w:right w:val="nil"/>
          <w:between w:val="nil"/>
          <w:bar w:val="nil"/>
        </w:pBdr>
        <w:spacing w:before="0" w:beforeAutospacing="0" w:after="0" w:afterAutospacing="0"/>
        <w:jc w:val="center"/>
        <w:rPr>
          <w:rFonts w:eastAsia="Arial Unicode MS" w:cs="Times New Roman"/>
          <w:b/>
          <w:noProof/>
          <w:szCs w:val="24"/>
          <w:bdr w:val="nil"/>
        </w:rPr>
      </w:pPr>
    </w:p>
    <w:p w14:paraId="1C3A9234" w14:textId="77777777" w:rsidR="00493BC7" w:rsidRPr="00493BC7" w:rsidRDefault="00493BC7" w:rsidP="00493BC7">
      <w:pPr>
        <w:pBdr>
          <w:top w:val="nil"/>
          <w:left w:val="nil"/>
          <w:bottom w:val="nil"/>
          <w:right w:val="nil"/>
          <w:between w:val="nil"/>
          <w:bar w:val="nil"/>
        </w:pBdr>
        <w:spacing w:before="0" w:beforeAutospacing="0" w:after="0" w:afterAutospacing="0"/>
        <w:rPr>
          <w:rFonts w:eastAsia="Arial Unicode MS" w:cs="Times New Roman"/>
          <w:noProof/>
          <w:szCs w:val="24"/>
          <w:bdr w:val="nil"/>
        </w:rPr>
      </w:pPr>
    </w:p>
    <w:p w14:paraId="0E07A870" w14:textId="77777777" w:rsidR="00493BC7" w:rsidRPr="00493BC7" w:rsidRDefault="00493BC7" w:rsidP="00493BC7">
      <w:pPr>
        <w:pBdr>
          <w:top w:val="nil"/>
          <w:left w:val="nil"/>
          <w:bottom w:val="nil"/>
          <w:right w:val="nil"/>
          <w:between w:val="nil"/>
          <w:bar w:val="nil"/>
        </w:pBdr>
        <w:spacing w:before="0" w:beforeAutospacing="0" w:after="0" w:afterAutospacing="0"/>
        <w:jc w:val="both"/>
        <w:rPr>
          <w:rFonts w:eastAsia="Arial Unicode MS" w:cs="Times New Roman"/>
          <w:b/>
          <w:noProof/>
          <w:szCs w:val="24"/>
          <w:bdr w:val="nil"/>
        </w:rPr>
      </w:pPr>
      <w:r w:rsidRPr="00493BC7">
        <w:rPr>
          <w:rFonts w:eastAsia="Arial Unicode MS" w:cs="Times New Roman"/>
          <w:b/>
          <w:noProof/>
          <w:szCs w:val="24"/>
          <w:bdr w:val="nil"/>
        </w:rPr>
        <w:t xml:space="preserve">1. </w:t>
      </w:r>
      <w:r w:rsidRPr="00493BC7">
        <w:rPr>
          <w:rFonts w:eastAsia="Arial Unicode MS" w:cs="Times New Roman"/>
          <w:b/>
          <w:noProof/>
          <w:szCs w:val="24"/>
          <w:bdr w:val="nil"/>
        </w:rPr>
        <w:tab/>
        <w:t>INTRODUCTION</w:t>
      </w:r>
    </w:p>
    <w:p w14:paraId="56D59878" w14:textId="02A477A6" w:rsidR="00493BC7" w:rsidRPr="00493BC7" w:rsidRDefault="00493BC7" w:rsidP="00493BC7">
      <w:p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sidRPr="00493BC7">
        <w:rPr>
          <w:rFonts w:eastAsia="Arial Unicode MS" w:cs="Times New Roman"/>
          <w:noProof/>
          <w:szCs w:val="24"/>
          <w:bdr w:val="nil"/>
        </w:rPr>
        <w:t xml:space="preserve">Regulation (EU) </w:t>
      </w:r>
      <w:r w:rsidR="00372DB1">
        <w:rPr>
          <w:rFonts w:eastAsia="Arial Unicode MS" w:cs="Times New Roman"/>
          <w:noProof/>
          <w:szCs w:val="24"/>
          <w:bdr w:val="nil"/>
        </w:rPr>
        <w:t>2018/1139</w:t>
      </w:r>
      <w:r w:rsidRPr="00493BC7">
        <w:rPr>
          <w:rFonts w:eastAsia="Arial Unicode MS" w:cs="Times New Roman"/>
          <w:noProof/>
          <w:szCs w:val="24"/>
          <w:bdr w:val="nil"/>
        </w:rPr>
        <w:t xml:space="preserve"> of the European Parliament and of the Council </w:t>
      </w:r>
      <w:r w:rsidR="00372DB1" w:rsidRPr="00AC7010">
        <w:rPr>
          <w:rFonts w:eastAsia="Arial Unicode MS" w:cs="Times New Roman"/>
          <w:i/>
          <w:noProof/>
          <w:szCs w:val="24"/>
          <w:bdr w:val="nil"/>
        </w:rPr>
        <w:t>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w:t>
      </w:r>
      <w:r w:rsidRPr="00493BC7">
        <w:rPr>
          <w:rFonts w:eastAsia="Arial Unicode MS" w:cs="Times New Roman"/>
          <w:noProof/>
          <w:szCs w:val="24"/>
          <w:bdr w:val="nil"/>
          <w:vertAlign w:val="superscript"/>
        </w:rPr>
        <w:footnoteReference w:id="2"/>
      </w:r>
      <w:r w:rsidRPr="00493BC7">
        <w:rPr>
          <w:rFonts w:eastAsia="Arial Unicode MS" w:cs="Times New Roman"/>
          <w:i/>
          <w:noProof/>
          <w:szCs w:val="24"/>
          <w:bdr w:val="nil"/>
        </w:rPr>
        <w:t xml:space="preserve"> </w:t>
      </w:r>
      <w:r w:rsidR="00AC7010">
        <w:rPr>
          <w:rFonts w:eastAsia="Arial Unicode MS" w:cs="Times New Roman"/>
          <w:noProof/>
          <w:szCs w:val="24"/>
          <w:bdr w:val="nil"/>
        </w:rPr>
        <w:t xml:space="preserve">sets out </w:t>
      </w:r>
      <w:r w:rsidR="00AC7010" w:rsidRPr="00AC7010">
        <w:rPr>
          <w:rFonts w:eastAsia="Arial Unicode MS" w:cs="Times New Roman"/>
          <w:noProof/>
          <w:szCs w:val="24"/>
          <w:bdr w:val="nil"/>
        </w:rPr>
        <w:t>the legal basis for the creation of EASA, defines EASA’s competences and establishes the scope of common aviation safety requirements</w:t>
      </w:r>
      <w:r w:rsidR="00DC0608">
        <w:rPr>
          <w:rFonts w:eastAsia="Arial Unicode MS" w:cs="Times New Roman"/>
          <w:noProof/>
          <w:szCs w:val="24"/>
          <w:bdr w:val="nil"/>
        </w:rPr>
        <w:t>.</w:t>
      </w:r>
      <w:r w:rsidRPr="00493BC7">
        <w:rPr>
          <w:rFonts w:eastAsia="Arial Unicode MS" w:cs="Times New Roman"/>
          <w:noProof/>
          <w:szCs w:val="24"/>
          <w:bdr w:val="nil"/>
        </w:rPr>
        <w:t xml:space="preserve"> The regulation </w:t>
      </w:r>
      <w:r w:rsidR="00DC0608">
        <w:rPr>
          <w:rFonts w:eastAsia="Arial Unicode MS" w:cs="Times New Roman"/>
          <w:noProof/>
          <w:szCs w:val="24"/>
          <w:bdr w:val="nil"/>
        </w:rPr>
        <w:t>covers the elements aimed at improving the performance of the European Union aviation system.</w:t>
      </w:r>
      <w:r w:rsidRPr="00493BC7">
        <w:rPr>
          <w:rFonts w:eastAsia="Arial Unicode MS" w:cs="Times New Roman"/>
          <w:noProof/>
          <w:szCs w:val="24"/>
          <w:bdr w:val="nil"/>
          <w:lang w:eastAsia="fr-FR"/>
        </w:rPr>
        <w:t xml:space="preserve"> </w:t>
      </w:r>
    </w:p>
    <w:p w14:paraId="0E0FDAFF" w14:textId="1DAEB419" w:rsidR="00D95F5F" w:rsidRDefault="00493BC7" w:rsidP="00DB5D33">
      <w:p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sidRPr="00493BC7">
        <w:rPr>
          <w:rFonts w:eastAsia="Arial Unicode MS" w:cs="Times New Roman"/>
          <w:noProof/>
          <w:szCs w:val="24"/>
          <w:bdr w:val="nil"/>
        </w:rPr>
        <w:t xml:space="preserve">Article </w:t>
      </w:r>
      <w:r w:rsidR="00DC0608">
        <w:rPr>
          <w:rFonts w:eastAsia="Arial Unicode MS" w:cs="Times New Roman"/>
          <w:noProof/>
          <w:szCs w:val="24"/>
          <w:bdr w:val="nil"/>
        </w:rPr>
        <w:t>128</w:t>
      </w:r>
      <w:r w:rsidRPr="00493BC7">
        <w:rPr>
          <w:rFonts w:eastAsia="Arial Unicode MS" w:cs="Times New Roman"/>
          <w:noProof/>
          <w:szCs w:val="24"/>
          <w:bdr w:val="nil"/>
        </w:rPr>
        <w:t>(</w:t>
      </w:r>
      <w:r w:rsidR="00DC0608">
        <w:rPr>
          <w:rFonts w:eastAsia="Arial Unicode MS" w:cs="Times New Roman"/>
          <w:noProof/>
          <w:szCs w:val="24"/>
          <w:bdr w:val="nil"/>
        </w:rPr>
        <w:t>2</w:t>
      </w:r>
      <w:r w:rsidRPr="00493BC7">
        <w:rPr>
          <w:rFonts w:eastAsia="Arial Unicode MS" w:cs="Times New Roman"/>
          <w:noProof/>
          <w:szCs w:val="24"/>
          <w:bdr w:val="nil"/>
        </w:rPr>
        <w:t xml:space="preserve">) of </w:t>
      </w:r>
      <w:r w:rsidR="00DC0608" w:rsidRPr="00DC0608">
        <w:rPr>
          <w:rFonts w:eastAsia="Arial Unicode MS" w:cs="Times New Roman"/>
          <w:noProof/>
          <w:szCs w:val="24"/>
          <w:bdr w:val="nil"/>
        </w:rPr>
        <w:t>Regulation (EU) 2018/1139</w:t>
      </w:r>
      <w:r w:rsidRPr="00493BC7">
        <w:rPr>
          <w:rFonts w:eastAsia="Arial Unicode MS" w:cs="Times New Roman"/>
          <w:noProof/>
          <w:szCs w:val="24"/>
          <w:bdr w:val="nil"/>
        </w:rPr>
        <w:t xml:space="preserve"> </w:t>
      </w:r>
      <w:r w:rsidR="00353B34" w:rsidRPr="00353B34">
        <w:rPr>
          <w:rFonts w:eastAsia="Arial Unicode MS" w:cs="Times New Roman"/>
          <w:noProof/>
          <w:szCs w:val="24"/>
          <w:bdr w:val="nil"/>
        </w:rPr>
        <w:t xml:space="preserve">confers on the European Commission the </w:t>
      </w:r>
      <w:r w:rsidR="00353B34">
        <w:rPr>
          <w:rFonts w:eastAsia="Arial Unicode MS" w:cs="Times New Roman"/>
          <w:noProof/>
          <w:szCs w:val="24"/>
          <w:bdr w:val="nil"/>
        </w:rPr>
        <w:t xml:space="preserve">power to adopt </w:t>
      </w:r>
      <w:r w:rsidR="00353B34" w:rsidRPr="00353B34">
        <w:rPr>
          <w:rFonts w:eastAsia="Arial Unicode MS" w:cs="Times New Roman"/>
          <w:noProof/>
          <w:szCs w:val="24"/>
          <w:bdr w:val="nil"/>
        </w:rPr>
        <w:t>delegated acts which detail how to comply with th</w:t>
      </w:r>
      <w:r w:rsidR="00353B34">
        <w:rPr>
          <w:rFonts w:eastAsia="Arial Unicode MS" w:cs="Times New Roman"/>
          <w:noProof/>
          <w:szCs w:val="24"/>
          <w:bdr w:val="nil"/>
        </w:rPr>
        <w:t xml:space="preserve">e essential requirements of </w:t>
      </w:r>
      <w:r w:rsidR="00CA5B57">
        <w:rPr>
          <w:rFonts w:eastAsia="Arial Unicode MS" w:cs="Times New Roman"/>
          <w:noProof/>
          <w:szCs w:val="24"/>
          <w:bdr w:val="nil"/>
        </w:rPr>
        <w:t>said Regulat</w:t>
      </w:r>
      <w:r w:rsidR="00DB5D33">
        <w:rPr>
          <w:rFonts w:eastAsia="Arial Unicode MS" w:cs="Times New Roman"/>
          <w:noProof/>
          <w:szCs w:val="24"/>
          <w:bdr w:val="nil"/>
        </w:rPr>
        <w:t>ion</w:t>
      </w:r>
      <w:r w:rsidR="00353B34">
        <w:rPr>
          <w:rFonts w:eastAsia="Arial Unicode MS" w:cs="Times New Roman"/>
          <w:noProof/>
          <w:szCs w:val="24"/>
          <w:bdr w:val="nil"/>
        </w:rPr>
        <w:t xml:space="preserve">. </w:t>
      </w:r>
    </w:p>
    <w:p w14:paraId="24E8CE57" w14:textId="5F4A9A74" w:rsidR="00D95F5F" w:rsidRDefault="00845124" w:rsidP="00DB5D33">
      <w:p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rFonts w:eastAsia="Arial Unicode MS" w:cs="Times New Roman"/>
          <w:noProof/>
          <w:szCs w:val="24"/>
          <w:bdr w:val="nil"/>
        </w:rPr>
        <w:t>In accordance with Artic</w:t>
      </w:r>
      <w:r w:rsidR="00D95F5F">
        <w:rPr>
          <w:rFonts w:eastAsia="Arial Unicode MS" w:cs="Times New Roman"/>
          <w:noProof/>
          <w:szCs w:val="24"/>
          <w:bdr w:val="nil"/>
        </w:rPr>
        <w:t>le 128(2) of Regulation (EU) 2018/1139, the European Commission is authorised to adop</w:t>
      </w:r>
      <w:r w:rsidR="00CA5B57">
        <w:rPr>
          <w:rFonts w:eastAsia="Arial Unicode MS" w:cs="Times New Roman"/>
          <w:noProof/>
          <w:szCs w:val="24"/>
          <w:bdr w:val="nil"/>
        </w:rPr>
        <w:t>t delegated acts referred to in:</w:t>
      </w:r>
    </w:p>
    <w:p w14:paraId="4C1AAF5F" w14:textId="201D08BF"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rFonts w:eastAsia="Arial Unicode MS" w:cs="Times New Roman"/>
          <w:noProof/>
          <w:szCs w:val="24"/>
          <w:bdr w:val="nil"/>
        </w:rPr>
        <w:t>Article</w:t>
      </w:r>
      <w:r w:rsidR="00493BC7" w:rsidRPr="00D95F5F">
        <w:rPr>
          <w:rFonts w:eastAsia="Arial Unicode MS" w:cs="Times New Roman"/>
          <w:noProof/>
          <w:szCs w:val="24"/>
          <w:bdr w:val="nil"/>
        </w:rPr>
        <w:t xml:space="preserve"> </w:t>
      </w:r>
      <w:r>
        <w:rPr>
          <w:rFonts w:eastAsia="Arial Unicode MS" w:cs="Times New Roman"/>
          <w:noProof/>
          <w:szCs w:val="24"/>
          <w:bdr w:val="nil"/>
        </w:rPr>
        <w:t>19: airworthiness and environmental protection</w:t>
      </w:r>
    </w:p>
    <w:p w14:paraId="06BB5DD0" w14:textId="1A52CFDB"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rFonts w:eastAsia="Arial Unicode MS" w:cs="Times New Roman"/>
          <w:noProof/>
          <w:szCs w:val="24"/>
          <w:bdr w:val="nil"/>
        </w:rPr>
        <w:t>Article 28: aircrew</w:t>
      </w:r>
    </w:p>
    <w:p w14:paraId="30F1604A" w14:textId="3CA3146A"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rFonts w:eastAsia="Arial Unicode MS" w:cs="Times New Roman"/>
          <w:noProof/>
          <w:szCs w:val="24"/>
          <w:bdr w:val="nil"/>
        </w:rPr>
        <w:t xml:space="preserve">Article </w:t>
      </w:r>
      <w:r w:rsidR="00DB5D33" w:rsidRPr="00D95F5F">
        <w:rPr>
          <w:rFonts w:eastAsia="Arial Unicode MS" w:cs="Times New Roman"/>
          <w:noProof/>
          <w:szCs w:val="24"/>
          <w:bdr w:val="nil"/>
        </w:rPr>
        <w:t>32</w:t>
      </w:r>
      <w:r>
        <w:rPr>
          <w:rFonts w:eastAsia="Arial Unicode MS" w:cs="Times New Roman"/>
          <w:noProof/>
          <w:szCs w:val="24"/>
          <w:bdr w:val="nil"/>
        </w:rPr>
        <w:t>: air operations</w:t>
      </w:r>
    </w:p>
    <w:p w14:paraId="53ABF86F" w14:textId="67D2439D"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rFonts w:eastAsia="Arial Unicode MS" w:cs="Times New Roman"/>
          <w:noProof/>
          <w:szCs w:val="24"/>
          <w:bdr w:val="nil"/>
        </w:rPr>
        <w:t>Article 39: aerodromes</w:t>
      </w:r>
    </w:p>
    <w:p w14:paraId="2B593B92" w14:textId="46D2A38C"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rFonts w:eastAsia="Arial Unicode MS" w:cs="Times New Roman"/>
          <w:noProof/>
          <w:szCs w:val="24"/>
          <w:bdr w:val="nil"/>
        </w:rPr>
        <w:t>Article 47: ATM/ANS</w:t>
      </w:r>
    </w:p>
    <w:p w14:paraId="773DD4A2" w14:textId="3D01BDC1"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rFonts w:eastAsia="Arial Unicode MS" w:cs="Times New Roman"/>
          <w:noProof/>
          <w:szCs w:val="24"/>
          <w:bdr w:val="nil"/>
        </w:rPr>
        <w:t>Article 54: air traffic controllers</w:t>
      </w:r>
    </w:p>
    <w:p w14:paraId="63264F5D" w14:textId="3D5B0717"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rFonts w:eastAsia="Arial Unicode MS" w:cs="Times New Roman"/>
          <w:noProof/>
          <w:szCs w:val="24"/>
          <w:bdr w:val="nil"/>
        </w:rPr>
        <w:t>Article 58: unmanned aircraft</w:t>
      </w:r>
    </w:p>
    <w:p w14:paraId="4D8AEE61" w14:textId="3CB947DA"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rFonts w:eastAsia="Arial Unicode MS" w:cs="Times New Roman"/>
          <w:noProof/>
          <w:szCs w:val="24"/>
          <w:bdr w:val="nil"/>
        </w:rPr>
        <w:t>Article 61: aircraft used by a third-country operator into, within or out of the Union</w:t>
      </w:r>
    </w:p>
    <w:p w14:paraId="36DE1621" w14:textId="7A3D693D"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rFonts w:eastAsia="Arial Unicode MS" w:cs="Times New Roman"/>
          <w:noProof/>
          <w:szCs w:val="24"/>
          <w:bdr w:val="nil"/>
        </w:rPr>
        <w:t>Article 62(13): certification, oversight and enforcement</w:t>
      </w:r>
    </w:p>
    <w:p w14:paraId="5B6478E8" w14:textId="46D51F86"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rFonts w:eastAsia="Arial Unicode MS" w:cs="Times New Roman"/>
          <w:noProof/>
          <w:szCs w:val="24"/>
          <w:bdr w:val="nil"/>
        </w:rPr>
        <w:t>Article 68(3): acceptance of third-country certification</w:t>
      </w:r>
    </w:p>
    <w:p w14:paraId="40D99D35" w14:textId="2C6C7CC5"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rFonts w:eastAsia="Arial Unicode MS" w:cs="Times New Roman"/>
          <w:noProof/>
          <w:szCs w:val="24"/>
          <w:bdr w:val="nil"/>
        </w:rPr>
        <w:t>Article 84(4): fines and periodic penalty payments</w:t>
      </w:r>
    </w:p>
    <w:p w14:paraId="2B464B64" w14:textId="5A7F0B00"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rFonts w:eastAsia="Arial Unicode MS" w:cs="Times New Roman"/>
          <w:noProof/>
          <w:szCs w:val="24"/>
          <w:bdr w:val="nil"/>
        </w:rPr>
        <w:t xml:space="preserve">Article </w:t>
      </w:r>
      <w:r w:rsidR="00DB5D33" w:rsidRPr="00D95F5F">
        <w:rPr>
          <w:rFonts w:eastAsia="Arial Unicode MS" w:cs="Times New Roman"/>
          <w:noProof/>
          <w:szCs w:val="24"/>
          <w:bdr w:val="nil"/>
        </w:rPr>
        <w:t>105</w:t>
      </w:r>
      <w:r>
        <w:rPr>
          <w:rFonts w:eastAsia="Arial Unicode MS" w:cs="Times New Roman"/>
          <w:noProof/>
          <w:szCs w:val="24"/>
          <w:bdr w:val="nil"/>
        </w:rPr>
        <w:t>: powers of the Board of Appeal</w:t>
      </w:r>
      <w:r w:rsidR="00DB5D33" w:rsidRPr="00D95F5F">
        <w:rPr>
          <w:rFonts w:eastAsia="Arial Unicode MS" w:cs="Times New Roman"/>
          <w:noProof/>
          <w:szCs w:val="24"/>
          <w:bdr w:val="nil"/>
        </w:rPr>
        <w:t xml:space="preserve"> </w:t>
      </w:r>
    </w:p>
    <w:p w14:paraId="5B470DE2" w14:textId="43B1C230" w:rsidR="00493BC7" w:rsidRP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rFonts w:eastAsia="Arial Unicode MS" w:cs="Times New Roman"/>
          <w:noProof/>
          <w:szCs w:val="24"/>
          <w:bdr w:val="nil"/>
        </w:rPr>
        <w:t xml:space="preserve">Article </w:t>
      </w:r>
      <w:r w:rsidR="00DB5D33" w:rsidRPr="00D95F5F">
        <w:rPr>
          <w:rFonts w:eastAsia="Arial Unicode MS" w:cs="Times New Roman"/>
          <w:noProof/>
          <w:szCs w:val="24"/>
          <w:bdr w:val="nil"/>
        </w:rPr>
        <w:t>106</w:t>
      </w:r>
      <w:r>
        <w:rPr>
          <w:rFonts w:eastAsia="Arial Unicode MS" w:cs="Times New Roman"/>
          <w:noProof/>
          <w:szCs w:val="24"/>
          <w:bdr w:val="nil"/>
        </w:rPr>
        <w:t>: members of the Board of Appeal</w:t>
      </w:r>
      <w:r w:rsidR="004156BF">
        <w:rPr>
          <w:rFonts w:eastAsia="Arial Unicode MS" w:cs="Times New Roman"/>
          <w:noProof/>
          <w:szCs w:val="24"/>
          <w:bdr w:val="nil"/>
        </w:rPr>
        <w:t>.</w:t>
      </w:r>
    </w:p>
    <w:p w14:paraId="3C00875F" w14:textId="49E433E4" w:rsidR="00493BC7" w:rsidRPr="00493BC7" w:rsidRDefault="00493BC7" w:rsidP="00493BC7">
      <w:pPr>
        <w:pBdr>
          <w:top w:val="nil"/>
          <w:left w:val="nil"/>
          <w:bottom w:val="nil"/>
          <w:right w:val="nil"/>
          <w:between w:val="nil"/>
          <w:bar w:val="nil"/>
        </w:pBdr>
        <w:spacing w:before="0" w:beforeAutospacing="0" w:after="0" w:afterAutospacing="0"/>
        <w:jc w:val="both"/>
        <w:rPr>
          <w:rFonts w:eastAsia="Arial Unicode MS" w:cs="Times New Roman"/>
          <w:b/>
          <w:noProof/>
          <w:szCs w:val="24"/>
          <w:bdr w:val="nil"/>
        </w:rPr>
      </w:pPr>
      <w:r w:rsidRPr="00493BC7">
        <w:rPr>
          <w:rFonts w:eastAsia="Arial Unicode MS" w:cs="Times New Roman"/>
          <w:b/>
          <w:noProof/>
          <w:szCs w:val="24"/>
          <w:bdr w:val="nil"/>
        </w:rPr>
        <w:t xml:space="preserve">2. </w:t>
      </w:r>
      <w:r w:rsidRPr="00493BC7">
        <w:rPr>
          <w:rFonts w:eastAsia="Arial Unicode MS" w:cs="Times New Roman"/>
          <w:b/>
          <w:noProof/>
          <w:szCs w:val="24"/>
          <w:bdr w:val="nil"/>
        </w:rPr>
        <w:tab/>
        <w:t>LEGAL BASIS</w:t>
      </w:r>
      <w:r w:rsidR="00AD142E">
        <w:rPr>
          <w:rFonts w:eastAsia="Arial Unicode MS" w:cs="Times New Roman"/>
          <w:b/>
          <w:noProof/>
          <w:szCs w:val="24"/>
          <w:bdr w:val="nil"/>
        </w:rPr>
        <w:t xml:space="preserve"> FOR THE REPORT</w:t>
      </w:r>
    </w:p>
    <w:p w14:paraId="4A1FECCA" w14:textId="2258545C" w:rsidR="0019553D" w:rsidRDefault="00493BC7" w:rsidP="00F319FA">
      <w:p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sidRPr="00493BC7">
        <w:rPr>
          <w:rFonts w:eastAsia="Arial Unicode MS" w:cs="Times New Roman"/>
          <w:noProof/>
          <w:szCs w:val="24"/>
          <w:bdr w:val="nil"/>
        </w:rPr>
        <w:t xml:space="preserve">This report is required under Article </w:t>
      </w:r>
      <w:r w:rsidR="009432B9">
        <w:rPr>
          <w:rFonts w:eastAsia="Arial Unicode MS" w:cs="Times New Roman"/>
          <w:noProof/>
          <w:szCs w:val="24"/>
          <w:bdr w:val="nil"/>
        </w:rPr>
        <w:t>128(2)</w:t>
      </w:r>
      <w:r w:rsidRPr="00493BC7">
        <w:rPr>
          <w:rFonts w:eastAsia="Arial Unicode MS" w:cs="Times New Roman"/>
          <w:noProof/>
          <w:szCs w:val="24"/>
          <w:bdr w:val="nil"/>
        </w:rPr>
        <w:t xml:space="preserve"> of </w:t>
      </w:r>
      <w:r w:rsidR="009432B9" w:rsidRPr="009432B9">
        <w:rPr>
          <w:rFonts w:eastAsia="Arial Unicode MS" w:cs="Times New Roman"/>
          <w:noProof/>
          <w:szCs w:val="24"/>
          <w:bdr w:val="nil"/>
        </w:rPr>
        <w:t>Regulation (EU) 2018/1139</w:t>
      </w:r>
      <w:r w:rsidRPr="00493BC7">
        <w:rPr>
          <w:rFonts w:eastAsia="Arial Unicode MS" w:cs="Times New Roman"/>
          <w:noProof/>
          <w:szCs w:val="24"/>
          <w:bdr w:val="nil"/>
        </w:rPr>
        <w:t>.</w:t>
      </w:r>
      <w:r w:rsidR="00F319FA">
        <w:rPr>
          <w:rFonts w:eastAsia="Arial Unicode MS" w:cs="Times New Roman"/>
          <w:noProof/>
          <w:szCs w:val="24"/>
          <w:bdr w:val="nil"/>
        </w:rPr>
        <w:t xml:space="preserve"> </w:t>
      </w:r>
    </w:p>
    <w:p w14:paraId="7B5617FB" w14:textId="5475E6B1" w:rsidR="00493BC7" w:rsidRPr="00493BC7" w:rsidRDefault="00F319FA" w:rsidP="00F319FA">
      <w:p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rFonts w:eastAsia="Arial Unicode MS" w:cs="Times New Roman"/>
          <w:noProof/>
          <w:szCs w:val="24"/>
          <w:bdr w:val="nil"/>
        </w:rPr>
        <w:t>According to this Article, t</w:t>
      </w:r>
      <w:r w:rsidRPr="00F319FA">
        <w:rPr>
          <w:rFonts w:eastAsia="Arial Unicode MS" w:cs="Times New Roman"/>
          <w:noProof/>
          <w:szCs w:val="24"/>
          <w:bdr w:val="nil"/>
        </w:rPr>
        <w:t xml:space="preserve">he Commission shall draw up a report in respect of the delegation of power not later than nine months </w:t>
      </w:r>
      <w:r>
        <w:rPr>
          <w:rFonts w:eastAsia="Arial Unicode MS" w:cs="Times New Roman"/>
          <w:noProof/>
          <w:szCs w:val="24"/>
          <w:bdr w:val="nil"/>
        </w:rPr>
        <w:t>before the end of the five-year period, thus before 11 December 2022</w:t>
      </w:r>
      <w:r w:rsidRPr="00F319FA">
        <w:rPr>
          <w:rFonts w:eastAsia="Arial Unicode MS" w:cs="Times New Roman"/>
          <w:noProof/>
          <w:szCs w:val="24"/>
          <w:bdr w:val="nil"/>
        </w:rPr>
        <w:t>.</w:t>
      </w:r>
    </w:p>
    <w:p w14:paraId="30E2FB89" w14:textId="77777777" w:rsidR="00493BC7" w:rsidRPr="00493BC7" w:rsidRDefault="00493BC7" w:rsidP="00714C8C">
      <w:pPr>
        <w:pBdr>
          <w:top w:val="nil"/>
          <w:left w:val="nil"/>
          <w:bottom w:val="nil"/>
          <w:right w:val="nil"/>
          <w:between w:val="nil"/>
          <w:bar w:val="nil"/>
        </w:pBdr>
        <w:spacing w:before="0" w:beforeAutospacing="0" w:after="240" w:afterAutospacing="0"/>
        <w:jc w:val="both"/>
        <w:rPr>
          <w:rFonts w:eastAsia="Arial Unicode MS" w:cs="Times New Roman"/>
          <w:b/>
          <w:noProof/>
          <w:szCs w:val="24"/>
          <w:bdr w:val="nil"/>
        </w:rPr>
      </w:pPr>
      <w:r w:rsidRPr="00493BC7">
        <w:rPr>
          <w:rFonts w:eastAsia="Arial Unicode MS" w:cs="Times New Roman"/>
          <w:b/>
          <w:noProof/>
          <w:szCs w:val="24"/>
          <w:bdr w:val="nil"/>
        </w:rPr>
        <w:t>3.</w:t>
      </w:r>
      <w:r w:rsidRPr="00493BC7">
        <w:rPr>
          <w:rFonts w:eastAsia="Arial Unicode MS" w:cs="Times New Roman"/>
          <w:b/>
          <w:noProof/>
          <w:szCs w:val="24"/>
          <w:bdr w:val="nil"/>
        </w:rPr>
        <w:tab/>
        <w:t>EXERCISE OF THE DELEGATION</w:t>
      </w:r>
    </w:p>
    <w:p w14:paraId="21D7E8E3" w14:textId="0884F933" w:rsidR="00493BC7" w:rsidRPr="00493BC7" w:rsidRDefault="00493BC7" w:rsidP="00493BC7">
      <w:pPr>
        <w:pBdr>
          <w:top w:val="nil"/>
          <w:left w:val="nil"/>
          <w:bottom w:val="nil"/>
          <w:right w:val="nil"/>
          <w:between w:val="nil"/>
          <w:bar w:val="nil"/>
        </w:pBdr>
        <w:spacing w:before="120" w:beforeAutospacing="0" w:after="120" w:afterAutospacing="0"/>
        <w:jc w:val="both"/>
        <w:rPr>
          <w:rFonts w:eastAsia="Arial Unicode MS" w:cs="Times New Roman"/>
          <w:b/>
          <w:noProof/>
          <w:szCs w:val="24"/>
          <w:bdr w:val="nil"/>
        </w:rPr>
      </w:pPr>
      <w:r w:rsidRPr="00493BC7">
        <w:rPr>
          <w:rFonts w:eastAsia="Arial Unicode MS" w:cs="Times New Roman"/>
          <w:b/>
          <w:noProof/>
          <w:szCs w:val="24"/>
          <w:bdr w:val="nil"/>
        </w:rPr>
        <w:t>3.1.</w:t>
      </w:r>
      <w:r w:rsidRPr="00493BC7">
        <w:rPr>
          <w:rFonts w:eastAsia="Arial Unicode MS" w:cs="Times New Roman"/>
          <w:b/>
          <w:noProof/>
          <w:szCs w:val="24"/>
          <w:bdr w:val="nil"/>
        </w:rPr>
        <w:tab/>
      </w:r>
      <w:r w:rsidR="00786387">
        <w:rPr>
          <w:rFonts w:eastAsia="Arial Unicode MS" w:cs="Times New Roman"/>
          <w:b/>
          <w:noProof/>
          <w:szCs w:val="24"/>
          <w:bdr w:val="nil"/>
        </w:rPr>
        <w:t xml:space="preserve">Use of the delegation of power by the </w:t>
      </w:r>
      <w:r w:rsidR="00104E5E">
        <w:rPr>
          <w:rFonts w:eastAsia="Arial Unicode MS" w:cs="Times New Roman"/>
          <w:b/>
          <w:noProof/>
          <w:szCs w:val="24"/>
          <w:bdr w:val="nil"/>
        </w:rPr>
        <w:t xml:space="preserve">European </w:t>
      </w:r>
      <w:r w:rsidR="00786387">
        <w:rPr>
          <w:rFonts w:eastAsia="Arial Unicode MS" w:cs="Times New Roman"/>
          <w:b/>
          <w:noProof/>
          <w:szCs w:val="24"/>
          <w:bdr w:val="nil"/>
        </w:rPr>
        <w:t>Commission</w:t>
      </w:r>
    </w:p>
    <w:p w14:paraId="730DFFF0" w14:textId="568CDE7F" w:rsidR="00814849" w:rsidRDefault="00C97166" w:rsidP="00814849">
      <w:p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rFonts w:eastAsia="Arial Unicode MS" w:cs="Times New Roman"/>
          <w:noProof/>
          <w:szCs w:val="24"/>
          <w:bdr w:val="nil"/>
        </w:rPr>
        <w:t>T</w:t>
      </w:r>
      <w:r w:rsidR="00814849">
        <w:rPr>
          <w:rFonts w:eastAsia="Arial Unicode MS" w:cs="Times New Roman"/>
          <w:noProof/>
          <w:szCs w:val="24"/>
          <w:bdr w:val="nil"/>
        </w:rPr>
        <w:t xml:space="preserve">he </w:t>
      </w:r>
      <w:r>
        <w:rPr>
          <w:rFonts w:eastAsia="Arial Unicode MS" w:cs="Times New Roman"/>
          <w:noProof/>
          <w:szCs w:val="24"/>
          <w:bdr w:val="nil"/>
        </w:rPr>
        <w:t xml:space="preserve">European </w:t>
      </w:r>
      <w:r w:rsidR="00814849">
        <w:rPr>
          <w:rFonts w:eastAsia="Arial Unicode MS" w:cs="Times New Roman"/>
          <w:noProof/>
          <w:szCs w:val="24"/>
          <w:bdr w:val="nil"/>
        </w:rPr>
        <w:t>Co</w:t>
      </w:r>
      <w:r w:rsidR="006450E4">
        <w:rPr>
          <w:rFonts w:eastAsia="Arial Unicode MS" w:cs="Times New Roman"/>
          <w:noProof/>
          <w:szCs w:val="24"/>
          <w:bdr w:val="nil"/>
        </w:rPr>
        <w:t>m</w:t>
      </w:r>
      <w:r w:rsidR="00814849">
        <w:rPr>
          <w:rFonts w:eastAsia="Arial Unicode MS" w:cs="Times New Roman"/>
          <w:noProof/>
          <w:szCs w:val="24"/>
          <w:bdr w:val="nil"/>
        </w:rPr>
        <w:t>mission used the delegation of power in the following areas:</w:t>
      </w:r>
    </w:p>
    <w:p w14:paraId="7D838839" w14:textId="301AC98E" w:rsidR="00A4199E" w:rsidRPr="00714C8C" w:rsidRDefault="00A4199E" w:rsidP="00714C8C">
      <w:pPr>
        <w:pStyle w:val="ListParagraph"/>
        <w:numPr>
          <w:ilvl w:val="0"/>
          <w:numId w:val="10"/>
        </w:numPr>
        <w:pBdr>
          <w:top w:val="nil"/>
          <w:left w:val="nil"/>
          <w:bottom w:val="nil"/>
          <w:right w:val="nil"/>
          <w:between w:val="nil"/>
          <w:bar w:val="nil"/>
        </w:pBdr>
        <w:spacing w:before="120" w:beforeAutospacing="0" w:after="120" w:afterAutospacing="0"/>
        <w:ind w:left="714" w:hanging="357"/>
        <w:contextualSpacing w:val="0"/>
        <w:jc w:val="both"/>
        <w:rPr>
          <w:rFonts w:eastAsia="Arial Unicode MS" w:cs="Times New Roman"/>
          <w:noProof/>
          <w:szCs w:val="24"/>
          <w:bdr w:val="nil"/>
        </w:rPr>
      </w:pPr>
      <w:r w:rsidRPr="00714C8C">
        <w:rPr>
          <w:rFonts w:eastAsia="Arial Unicode MS" w:cs="Times New Roman"/>
          <w:noProof/>
          <w:szCs w:val="24"/>
          <w:bdr w:val="nil"/>
        </w:rPr>
        <w:t>2019</w:t>
      </w:r>
    </w:p>
    <w:p w14:paraId="3FDED412" w14:textId="249B88CB" w:rsidR="00814849" w:rsidRDefault="00814849" w:rsidP="00CE3D93">
      <w:pPr>
        <w:pStyle w:val="ListParagraph"/>
        <w:numPr>
          <w:ilvl w:val="0"/>
          <w:numId w:val="6"/>
        </w:num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rFonts w:eastAsia="Arial Unicode MS" w:cs="Times New Roman"/>
          <w:noProof/>
          <w:szCs w:val="24"/>
          <w:bdr w:val="nil"/>
        </w:rPr>
        <w:t>Unmanned aircraft systems; and</w:t>
      </w:r>
    </w:p>
    <w:p w14:paraId="7DDB8785" w14:textId="7A44C369" w:rsidR="00814849" w:rsidRPr="00814849" w:rsidRDefault="00814849" w:rsidP="00714C8C">
      <w:pPr>
        <w:pStyle w:val="ListParagraph"/>
        <w:numPr>
          <w:ilvl w:val="0"/>
          <w:numId w:val="6"/>
        </w:numPr>
        <w:pBdr>
          <w:top w:val="nil"/>
          <w:left w:val="nil"/>
          <w:bottom w:val="nil"/>
          <w:right w:val="nil"/>
          <w:between w:val="nil"/>
          <w:bar w:val="nil"/>
        </w:pBdr>
        <w:spacing w:before="120" w:beforeAutospacing="0" w:after="120" w:afterAutospacing="0"/>
        <w:ind w:left="1077" w:hanging="357"/>
        <w:contextualSpacing w:val="0"/>
        <w:jc w:val="both"/>
        <w:rPr>
          <w:rFonts w:eastAsia="Arial Unicode MS" w:cs="Times New Roman"/>
          <w:noProof/>
          <w:szCs w:val="24"/>
          <w:bdr w:val="nil"/>
        </w:rPr>
      </w:pPr>
      <w:r>
        <w:rPr>
          <w:rFonts w:eastAsia="Arial Unicode MS" w:cs="Times New Roman"/>
          <w:noProof/>
          <w:szCs w:val="24"/>
          <w:bdr w:val="nil"/>
        </w:rPr>
        <w:t>Environmental protection</w:t>
      </w:r>
    </w:p>
    <w:p w14:paraId="561EEB4A" w14:textId="2783B42C" w:rsidR="00814849" w:rsidRPr="00714C8C" w:rsidRDefault="00814849" w:rsidP="00714C8C">
      <w:pPr>
        <w:pStyle w:val="ListParagraph"/>
        <w:numPr>
          <w:ilvl w:val="0"/>
          <w:numId w:val="10"/>
        </w:numPr>
        <w:pBdr>
          <w:top w:val="nil"/>
          <w:left w:val="nil"/>
          <w:bottom w:val="nil"/>
          <w:right w:val="nil"/>
          <w:between w:val="nil"/>
          <w:bar w:val="nil"/>
        </w:pBdr>
        <w:spacing w:before="120" w:beforeAutospacing="0" w:after="120" w:afterAutospacing="0"/>
        <w:ind w:left="714" w:hanging="357"/>
        <w:contextualSpacing w:val="0"/>
        <w:jc w:val="both"/>
        <w:rPr>
          <w:rFonts w:eastAsia="Arial Unicode MS" w:cs="Times New Roman"/>
          <w:noProof/>
          <w:szCs w:val="24"/>
          <w:bdr w:val="nil"/>
        </w:rPr>
      </w:pPr>
      <w:r w:rsidRPr="00714C8C">
        <w:rPr>
          <w:rFonts w:eastAsia="Arial Unicode MS" w:cs="Times New Roman"/>
          <w:noProof/>
          <w:szCs w:val="24"/>
          <w:bdr w:val="nil"/>
        </w:rPr>
        <w:t>2020</w:t>
      </w:r>
    </w:p>
    <w:p w14:paraId="74A09665" w14:textId="4B7711F1" w:rsidR="00814849" w:rsidRDefault="00082796" w:rsidP="00CE3D93">
      <w:pPr>
        <w:pStyle w:val="ListParagraph"/>
        <w:numPr>
          <w:ilvl w:val="0"/>
          <w:numId w:val="7"/>
        </w:num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rFonts w:eastAsia="Arial Unicode MS" w:cs="Times New Roman"/>
          <w:noProof/>
          <w:szCs w:val="24"/>
          <w:bdr w:val="nil"/>
        </w:rPr>
        <w:t xml:space="preserve">Initial </w:t>
      </w:r>
      <w:r w:rsidR="00CE3D93">
        <w:rPr>
          <w:rFonts w:eastAsia="Arial Unicode MS" w:cs="Times New Roman"/>
          <w:noProof/>
          <w:szCs w:val="24"/>
          <w:bdr w:val="nil"/>
        </w:rPr>
        <w:t>airworthiness;</w:t>
      </w:r>
    </w:p>
    <w:p w14:paraId="62318843" w14:textId="6B14D981" w:rsidR="00CE3D93" w:rsidRDefault="00CE3D93" w:rsidP="00CE3D93">
      <w:pPr>
        <w:pStyle w:val="ListParagraph"/>
        <w:numPr>
          <w:ilvl w:val="0"/>
          <w:numId w:val="7"/>
        </w:num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rFonts w:eastAsia="Arial Unicode MS" w:cs="Times New Roman"/>
          <w:noProof/>
          <w:szCs w:val="24"/>
          <w:bdr w:val="nil"/>
        </w:rPr>
        <w:t>Third-country certification of pilots</w:t>
      </w:r>
      <w:r w:rsidR="00C97166">
        <w:rPr>
          <w:rFonts w:eastAsia="Arial Unicode MS" w:cs="Times New Roman"/>
          <w:noProof/>
          <w:szCs w:val="24"/>
          <w:bdr w:val="nil"/>
        </w:rPr>
        <w:t>;</w:t>
      </w:r>
    </w:p>
    <w:p w14:paraId="734773C7" w14:textId="5DE19B07" w:rsidR="00CE3D93" w:rsidRDefault="00CE3D93" w:rsidP="00CE3D93">
      <w:pPr>
        <w:pStyle w:val="ListParagraph"/>
        <w:numPr>
          <w:ilvl w:val="0"/>
          <w:numId w:val="7"/>
        </w:num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rFonts w:eastAsia="Arial Unicode MS" w:cs="Times New Roman"/>
          <w:noProof/>
          <w:szCs w:val="24"/>
          <w:bdr w:val="nil"/>
        </w:rPr>
        <w:t>Unmanned aircraft systems;</w:t>
      </w:r>
    </w:p>
    <w:p w14:paraId="330546EB" w14:textId="2DC1E823" w:rsidR="00CE3D93" w:rsidRDefault="00CE3D93" w:rsidP="00CE3D93">
      <w:pPr>
        <w:pStyle w:val="ListParagraph"/>
        <w:numPr>
          <w:ilvl w:val="0"/>
          <w:numId w:val="7"/>
        </w:num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rFonts w:eastAsia="Arial Unicode MS" w:cs="Times New Roman"/>
          <w:noProof/>
          <w:szCs w:val="24"/>
          <w:bdr w:val="nil"/>
        </w:rPr>
        <w:t>Apron management services;</w:t>
      </w:r>
    </w:p>
    <w:p w14:paraId="02F3644E" w14:textId="078B1F2A" w:rsidR="00CE3D93" w:rsidRDefault="00CE3D93" w:rsidP="00CE3D93">
      <w:pPr>
        <w:pStyle w:val="ListParagraph"/>
        <w:numPr>
          <w:ilvl w:val="0"/>
          <w:numId w:val="7"/>
        </w:num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rFonts w:eastAsia="Arial Unicode MS" w:cs="Times New Roman"/>
          <w:noProof/>
          <w:szCs w:val="24"/>
          <w:bdr w:val="nil"/>
        </w:rPr>
        <w:t>Common European risk classification scheme; and</w:t>
      </w:r>
    </w:p>
    <w:p w14:paraId="7F373571" w14:textId="32408C04" w:rsidR="00CE3D93" w:rsidRPr="00CE3D93" w:rsidRDefault="00CE3D93" w:rsidP="00714C8C">
      <w:pPr>
        <w:pStyle w:val="ListParagraph"/>
        <w:numPr>
          <w:ilvl w:val="0"/>
          <w:numId w:val="7"/>
        </w:numPr>
        <w:pBdr>
          <w:top w:val="nil"/>
          <w:left w:val="nil"/>
          <w:bottom w:val="nil"/>
          <w:right w:val="nil"/>
          <w:between w:val="nil"/>
          <w:bar w:val="nil"/>
        </w:pBdr>
        <w:spacing w:before="120" w:beforeAutospacing="0" w:after="120" w:afterAutospacing="0"/>
        <w:ind w:left="1077" w:hanging="357"/>
        <w:contextualSpacing w:val="0"/>
        <w:jc w:val="both"/>
        <w:rPr>
          <w:rFonts w:eastAsia="Arial Unicode MS" w:cs="Times New Roman"/>
          <w:noProof/>
          <w:szCs w:val="24"/>
          <w:bdr w:val="nil"/>
        </w:rPr>
      </w:pPr>
      <w:r>
        <w:rPr>
          <w:rFonts w:eastAsia="Arial Unicode MS" w:cs="Times New Roman"/>
          <w:noProof/>
          <w:szCs w:val="24"/>
          <w:bdr w:val="nil"/>
        </w:rPr>
        <w:t>Runway safety and aeronautical data</w:t>
      </w:r>
    </w:p>
    <w:p w14:paraId="2C5BC105" w14:textId="77777777" w:rsidR="00A4199E" w:rsidRPr="00714C8C" w:rsidRDefault="00A4199E" w:rsidP="00714C8C">
      <w:pPr>
        <w:pStyle w:val="ListParagraph"/>
        <w:numPr>
          <w:ilvl w:val="0"/>
          <w:numId w:val="10"/>
        </w:numPr>
        <w:pBdr>
          <w:top w:val="nil"/>
          <w:left w:val="nil"/>
          <w:bottom w:val="nil"/>
          <w:right w:val="nil"/>
          <w:between w:val="nil"/>
          <w:bar w:val="nil"/>
        </w:pBdr>
        <w:spacing w:before="120" w:beforeAutospacing="0" w:after="120" w:afterAutospacing="0"/>
        <w:ind w:left="714" w:hanging="357"/>
        <w:contextualSpacing w:val="0"/>
        <w:jc w:val="both"/>
        <w:rPr>
          <w:rFonts w:eastAsia="Arial Unicode MS" w:cs="Times New Roman"/>
          <w:noProof/>
          <w:szCs w:val="24"/>
          <w:bdr w:val="nil"/>
        </w:rPr>
      </w:pPr>
      <w:r w:rsidRPr="00714C8C">
        <w:rPr>
          <w:rFonts w:eastAsia="Arial Unicode MS" w:cs="Times New Roman"/>
          <w:noProof/>
          <w:szCs w:val="24"/>
          <w:bdr w:val="nil"/>
        </w:rPr>
        <w:t>2021</w:t>
      </w:r>
    </w:p>
    <w:p w14:paraId="1B0E1998" w14:textId="149B4A68" w:rsidR="00814849" w:rsidRDefault="00082796" w:rsidP="00A4199E">
      <w:pPr>
        <w:pStyle w:val="ListParagraph"/>
        <w:numPr>
          <w:ilvl w:val="0"/>
          <w:numId w:val="8"/>
        </w:num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rFonts w:eastAsia="Arial Unicode MS" w:cs="Times New Roman"/>
          <w:noProof/>
          <w:szCs w:val="24"/>
          <w:bdr w:val="nil"/>
        </w:rPr>
        <w:t>Initial a</w:t>
      </w:r>
      <w:r w:rsidR="00A4199E">
        <w:rPr>
          <w:rFonts w:eastAsia="Arial Unicode MS" w:cs="Times New Roman"/>
          <w:noProof/>
          <w:szCs w:val="24"/>
          <w:bdr w:val="nil"/>
        </w:rPr>
        <w:t>irworthiness</w:t>
      </w:r>
    </w:p>
    <w:p w14:paraId="2482379F" w14:textId="112EB179" w:rsidR="00082796" w:rsidRDefault="00082796" w:rsidP="00714C8C">
      <w:pPr>
        <w:pStyle w:val="ListParagraph"/>
        <w:numPr>
          <w:ilvl w:val="0"/>
          <w:numId w:val="8"/>
        </w:numPr>
        <w:pBdr>
          <w:top w:val="nil"/>
          <w:left w:val="nil"/>
          <w:bottom w:val="nil"/>
          <w:right w:val="nil"/>
          <w:between w:val="nil"/>
          <w:bar w:val="nil"/>
        </w:pBdr>
        <w:spacing w:before="120" w:beforeAutospacing="0" w:after="120" w:afterAutospacing="0"/>
        <w:ind w:left="1077" w:hanging="357"/>
        <w:contextualSpacing w:val="0"/>
        <w:jc w:val="both"/>
        <w:rPr>
          <w:rFonts w:eastAsia="Arial Unicode MS" w:cs="Times New Roman"/>
          <w:noProof/>
          <w:szCs w:val="24"/>
          <w:bdr w:val="nil"/>
        </w:rPr>
      </w:pPr>
      <w:r>
        <w:rPr>
          <w:rFonts w:eastAsia="Arial Unicode MS" w:cs="Times New Roman"/>
          <w:noProof/>
          <w:szCs w:val="24"/>
          <w:bdr w:val="nil"/>
        </w:rPr>
        <w:t>References to ICAO provisions in Regulation (EU) 2018/1139;</w:t>
      </w:r>
    </w:p>
    <w:p w14:paraId="1BEBED1B" w14:textId="368A0C50" w:rsidR="00493BC7" w:rsidRPr="00714C8C" w:rsidRDefault="00082796" w:rsidP="00714C8C">
      <w:pPr>
        <w:pStyle w:val="ListParagraph"/>
        <w:numPr>
          <w:ilvl w:val="0"/>
          <w:numId w:val="10"/>
        </w:numPr>
        <w:pBdr>
          <w:top w:val="nil"/>
          <w:left w:val="nil"/>
          <w:bottom w:val="nil"/>
          <w:right w:val="nil"/>
          <w:between w:val="nil"/>
          <w:bar w:val="nil"/>
        </w:pBdr>
        <w:spacing w:before="120" w:beforeAutospacing="0" w:after="120" w:afterAutospacing="0"/>
        <w:ind w:left="714" w:hanging="357"/>
        <w:contextualSpacing w:val="0"/>
        <w:jc w:val="both"/>
        <w:rPr>
          <w:rFonts w:eastAsia="Arial Unicode MS" w:cs="Times New Roman"/>
          <w:noProof/>
          <w:szCs w:val="24"/>
          <w:bdr w:val="nil"/>
        </w:rPr>
      </w:pPr>
      <w:r w:rsidRPr="00714C8C">
        <w:rPr>
          <w:rFonts w:eastAsia="Arial Unicode MS" w:cs="Times New Roman"/>
          <w:noProof/>
          <w:szCs w:val="24"/>
          <w:bdr w:val="nil"/>
        </w:rPr>
        <w:t>2022</w:t>
      </w:r>
    </w:p>
    <w:p w14:paraId="69071920" w14:textId="1D72A66B" w:rsidR="00082796" w:rsidRDefault="00082796" w:rsidP="00082796">
      <w:pPr>
        <w:pStyle w:val="ListParagraph"/>
        <w:numPr>
          <w:ilvl w:val="0"/>
          <w:numId w:val="9"/>
        </w:num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rFonts w:eastAsia="Arial Unicode MS" w:cs="Times New Roman"/>
          <w:noProof/>
          <w:szCs w:val="24"/>
          <w:bdr w:val="nil"/>
        </w:rPr>
        <w:t>Initial airworthiness;</w:t>
      </w:r>
    </w:p>
    <w:p w14:paraId="4A484ABE" w14:textId="11EB815D" w:rsidR="00082796" w:rsidRDefault="00082796" w:rsidP="00082796">
      <w:pPr>
        <w:pStyle w:val="ListParagraph"/>
        <w:numPr>
          <w:ilvl w:val="0"/>
          <w:numId w:val="9"/>
        </w:num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rFonts w:eastAsia="Arial Unicode MS" w:cs="Times New Roman"/>
          <w:noProof/>
          <w:szCs w:val="24"/>
          <w:bdr w:val="nil"/>
        </w:rPr>
        <w:t>All-weather operations</w:t>
      </w:r>
    </w:p>
    <w:p w14:paraId="12CE87AF" w14:textId="2D06D2A2" w:rsidR="002B12CA" w:rsidRPr="002B12CA" w:rsidRDefault="00115573" w:rsidP="002B12CA">
      <w:p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rFonts w:eastAsia="Arial Unicode MS" w:cs="Times New Roman"/>
          <w:noProof/>
          <w:szCs w:val="24"/>
          <w:bdr w:val="nil"/>
        </w:rPr>
        <w:t xml:space="preserve">At the date of </w:t>
      </w:r>
      <w:r w:rsidR="009027F9" w:rsidRPr="00B26C31">
        <w:rPr>
          <w:rFonts w:eastAsia="Arial Unicode MS" w:cs="Times New Roman"/>
          <w:noProof/>
          <w:szCs w:val="24"/>
          <w:bdr w:val="nil"/>
        </w:rPr>
        <w:t>drafting</w:t>
      </w:r>
      <w:r w:rsidR="009027F9">
        <w:rPr>
          <w:rFonts w:eastAsia="Arial Unicode MS" w:cs="Times New Roman"/>
          <w:noProof/>
          <w:szCs w:val="24"/>
          <w:bdr w:val="nil"/>
        </w:rPr>
        <w:t xml:space="preserve"> </w:t>
      </w:r>
      <w:r>
        <w:rPr>
          <w:rFonts w:eastAsia="Arial Unicode MS" w:cs="Times New Roman"/>
          <w:noProof/>
          <w:szCs w:val="24"/>
          <w:bdr w:val="nil"/>
        </w:rPr>
        <w:t xml:space="preserve">this report, </w:t>
      </w:r>
      <w:r w:rsidR="002B12CA">
        <w:rPr>
          <w:rFonts w:eastAsia="Arial Unicode MS" w:cs="Times New Roman"/>
          <w:noProof/>
          <w:szCs w:val="24"/>
          <w:bdr w:val="nil"/>
        </w:rPr>
        <w:t>13 Delegated Regulations have been adopted by the Commission since the entering into force of Article 128(</w:t>
      </w:r>
      <w:r w:rsidR="00C97166">
        <w:rPr>
          <w:rFonts w:eastAsia="Arial Unicode MS" w:cs="Times New Roman"/>
          <w:noProof/>
          <w:szCs w:val="24"/>
          <w:bdr w:val="nil"/>
        </w:rPr>
        <w:t>2) of Regulation (EU) 2018/1139 on 11.09.2018.</w:t>
      </w:r>
    </w:p>
    <w:p w14:paraId="44F3ED6A" w14:textId="77777777" w:rsidR="00493BC7" w:rsidRPr="00493BC7" w:rsidRDefault="00493BC7" w:rsidP="00493BC7">
      <w:pPr>
        <w:pBdr>
          <w:top w:val="nil"/>
          <w:left w:val="nil"/>
          <w:bottom w:val="nil"/>
          <w:right w:val="nil"/>
          <w:between w:val="nil"/>
          <w:bar w:val="nil"/>
        </w:pBdr>
        <w:spacing w:before="120" w:beforeAutospacing="0" w:after="120" w:afterAutospacing="0"/>
        <w:jc w:val="both"/>
        <w:rPr>
          <w:rFonts w:eastAsia="Arial Unicode MS" w:cs="Times New Roman"/>
          <w:b/>
          <w:noProof/>
          <w:szCs w:val="24"/>
          <w:bdr w:val="nil"/>
        </w:rPr>
      </w:pPr>
    </w:p>
    <w:p w14:paraId="5CE7D5B8" w14:textId="09549E98" w:rsidR="00493BC7" w:rsidRPr="00493BC7" w:rsidRDefault="00493BC7" w:rsidP="00493BC7">
      <w:pPr>
        <w:pBdr>
          <w:top w:val="nil"/>
          <w:left w:val="nil"/>
          <w:bottom w:val="nil"/>
          <w:right w:val="nil"/>
          <w:between w:val="nil"/>
          <w:bar w:val="nil"/>
        </w:pBdr>
        <w:spacing w:before="120" w:beforeAutospacing="0" w:after="120" w:afterAutospacing="0"/>
        <w:jc w:val="both"/>
        <w:rPr>
          <w:rFonts w:eastAsia="Arial Unicode MS" w:cs="Times New Roman"/>
          <w:b/>
          <w:noProof/>
          <w:szCs w:val="24"/>
          <w:bdr w:val="nil"/>
        </w:rPr>
      </w:pPr>
      <w:r w:rsidRPr="00493BC7">
        <w:rPr>
          <w:rFonts w:eastAsia="Arial Unicode MS" w:cs="Times New Roman"/>
          <w:b/>
          <w:noProof/>
          <w:szCs w:val="24"/>
          <w:bdr w:val="nil"/>
        </w:rPr>
        <w:t>3.2.</w:t>
      </w:r>
      <w:r w:rsidRPr="00493BC7">
        <w:rPr>
          <w:rFonts w:eastAsia="Arial Unicode MS" w:cs="Times New Roman"/>
          <w:b/>
          <w:noProof/>
          <w:szCs w:val="24"/>
          <w:bdr w:val="nil"/>
        </w:rPr>
        <w:tab/>
      </w:r>
      <w:r w:rsidR="000308AA">
        <w:rPr>
          <w:rFonts w:eastAsia="Arial Unicode MS" w:cs="Times New Roman"/>
          <w:b/>
          <w:noProof/>
          <w:szCs w:val="24"/>
          <w:bdr w:val="nil"/>
        </w:rPr>
        <w:t>A</w:t>
      </w:r>
      <w:r w:rsidR="00EB769D">
        <w:rPr>
          <w:rFonts w:eastAsia="Arial Unicode MS" w:cs="Times New Roman"/>
          <w:b/>
          <w:noProof/>
          <w:szCs w:val="24"/>
          <w:bdr w:val="nil"/>
        </w:rPr>
        <w:t>dopted Delegated Regulations</w:t>
      </w:r>
    </w:p>
    <w:p w14:paraId="2016C5F1" w14:textId="24F38925" w:rsidR="006450E4" w:rsidRPr="00533164" w:rsidRDefault="005F3B94" w:rsidP="00846000">
      <w:pPr>
        <w:pStyle w:val="ListParagraph"/>
        <w:numPr>
          <w:ilvl w:val="0"/>
          <w:numId w:val="14"/>
        </w:numPr>
        <w:spacing w:before="0" w:beforeAutospacing="0" w:after="160" w:afterAutospacing="0" w:line="259" w:lineRule="auto"/>
        <w:contextualSpacing w:val="0"/>
        <w:jc w:val="both"/>
        <w:rPr>
          <w:noProof/>
        </w:rPr>
      </w:pPr>
      <w:r w:rsidRPr="005F3B94">
        <w:rPr>
          <w:noProof/>
        </w:rPr>
        <w:t xml:space="preserve">The Commission adopted on </w:t>
      </w:r>
      <w:r w:rsidR="00C52AE2">
        <w:rPr>
          <w:noProof/>
        </w:rPr>
        <w:t>12 March 2019</w:t>
      </w:r>
      <w:r w:rsidRPr="005F3B94">
        <w:rPr>
          <w:noProof/>
        </w:rPr>
        <w:t xml:space="preserve"> the Delegated Regulation </w:t>
      </w:r>
      <w:r w:rsidR="007A31C9">
        <w:rPr>
          <w:noProof/>
        </w:rPr>
        <w:t>(EU)</w:t>
      </w:r>
      <w:r w:rsidRPr="005F3B94">
        <w:rPr>
          <w:noProof/>
        </w:rPr>
        <w:t xml:space="preserve"> </w:t>
      </w:r>
      <w:r w:rsidR="006450E4" w:rsidRPr="00533164">
        <w:rPr>
          <w:noProof/>
        </w:rPr>
        <w:t>2019/945</w:t>
      </w:r>
      <w:r w:rsidR="00552672">
        <w:rPr>
          <w:rStyle w:val="FootnoteReference"/>
          <w:noProof/>
        </w:rPr>
        <w:footnoteReference w:id="3"/>
      </w:r>
      <w:r>
        <w:rPr>
          <w:noProof/>
        </w:rPr>
        <w:t xml:space="preserve">. This Regulation </w:t>
      </w:r>
      <w:r w:rsidR="00C8143C">
        <w:rPr>
          <w:noProof/>
        </w:rPr>
        <w:t>contains the technical requirements for the UAS classes and e-identification</w:t>
      </w:r>
      <w:r w:rsidR="00846000">
        <w:rPr>
          <w:noProof/>
        </w:rPr>
        <w:t xml:space="preserve"> of</w:t>
      </w:r>
      <w:r w:rsidR="006450E4" w:rsidRPr="00533164">
        <w:rPr>
          <w:noProof/>
        </w:rPr>
        <w:t xml:space="preserve"> unmanned aircraft systems and on third-country operators of unmanned aircraft systems</w:t>
      </w:r>
      <w:r w:rsidR="00846000">
        <w:rPr>
          <w:noProof/>
        </w:rPr>
        <w:t>.</w:t>
      </w:r>
      <w:r w:rsidR="00846000" w:rsidRPr="00846000">
        <w:rPr>
          <w:noProof/>
        </w:rPr>
        <w:t xml:space="preserve"> </w:t>
      </w:r>
      <w:r w:rsidR="00846000">
        <w:rPr>
          <w:noProof/>
        </w:rPr>
        <w:t>Specifically, this</w:t>
      </w:r>
      <w:r w:rsidR="00415232">
        <w:rPr>
          <w:noProof/>
        </w:rPr>
        <w:t xml:space="preserve"> Regulation defines the new EU market harmonisation legislation that UAS operated in the ‘open’ category will have to comply with</w:t>
      </w:r>
      <w:r w:rsidR="00846000">
        <w:rPr>
          <w:noProof/>
        </w:rPr>
        <w:t xml:space="preserve"> and</w:t>
      </w:r>
      <w:r w:rsidR="00846000" w:rsidRPr="00846000">
        <w:rPr>
          <w:noProof/>
        </w:rPr>
        <w:t xml:space="preserve"> the conditions for UAS operations conducted</w:t>
      </w:r>
      <w:r w:rsidR="00846000">
        <w:rPr>
          <w:noProof/>
        </w:rPr>
        <w:t xml:space="preserve"> by a third-country operator</w:t>
      </w:r>
      <w:r w:rsidR="00415232">
        <w:rPr>
          <w:noProof/>
        </w:rPr>
        <w:t xml:space="preserve">. Compliance is shown by affixing the CE marking and the UAS class to the UAS when it meets the essential technical requirements. This Regulation </w:t>
      </w:r>
      <w:r w:rsidR="00320885">
        <w:rPr>
          <w:noProof/>
        </w:rPr>
        <w:t xml:space="preserve">should </w:t>
      </w:r>
      <w:r w:rsidR="00415232" w:rsidRPr="00415232">
        <w:rPr>
          <w:noProof/>
        </w:rPr>
        <w:t>contribute to address</w:t>
      </w:r>
      <w:r w:rsidR="00320885">
        <w:rPr>
          <w:noProof/>
        </w:rPr>
        <w:t>ing</w:t>
      </w:r>
      <w:r w:rsidR="00415232" w:rsidRPr="00415232">
        <w:rPr>
          <w:noProof/>
        </w:rPr>
        <w:t xml:space="preserve"> citizens’ concerns regarding security, privacy, data protection, and environmental protection</w:t>
      </w:r>
      <w:r w:rsidR="00415232">
        <w:rPr>
          <w:noProof/>
        </w:rPr>
        <w:t>. It i</w:t>
      </w:r>
      <w:r w:rsidR="00415232" w:rsidRPr="00415232">
        <w:rPr>
          <w:noProof/>
        </w:rPr>
        <w:t>s expected to increase the level of safety of UAS operations, to harmonise legislation among the EU MSs, and to create an EU market that will reduce the cost of UAS and allow cross-border operations</w:t>
      </w:r>
      <w:r w:rsidR="00415232">
        <w:rPr>
          <w:noProof/>
        </w:rPr>
        <w:t>.</w:t>
      </w:r>
    </w:p>
    <w:p w14:paraId="6325093E" w14:textId="1AC02872" w:rsidR="006450E4" w:rsidRDefault="00BA2CF2" w:rsidP="00E46A18">
      <w:pPr>
        <w:pStyle w:val="ListParagraph"/>
        <w:numPr>
          <w:ilvl w:val="0"/>
          <w:numId w:val="14"/>
        </w:numPr>
        <w:spacing w:before="0" w:beforeAutospacing="0" w:after="160" w:afterAutospacing="0" w:line="259" w:lineRule="auto"/>
        <w:contextualSpacing w:val="0"/>
        <w:jc w:val="both"/>
        <w:rPr>
          <w:noProof/>
        </w:rPr>
      </w:pPr>
      <w:r>
        <w:rPr>
          <w:noProof/>
        </w:rPr>
        <w:t xml:space="preserve">The </w:t>
      </w:r>
      <w:r w:rsidR="006450E4" w:rsidRPr="00533164">
        <w:rPr>
          <w:noProof/>
        </w:rPr>
        <w:t>Commission</w:t>
      </w:r>
      <w:r>
        <w:rPr>
          <w:noProof/>
        </w:rPr>
        <w:t xml:space="preserve"> adopted on </w:t>
      </w:r>
      <w:r w:rsidRPr="00533164">
        <w:rPr>
          <w:noProof/>
        </w:rPr>
        <w:t>12 March 2019</w:t>
      </w:r>
      <w:r>
        <w:rPr>
          <w:noProof/>
        </w:rPr>
        <w:t xml:space="preserve"> the</w:t>
      </w:r>
      <w:r w:rsidRPr="00533164">
        <w:rPr>
          <w:noProof/>
        </w:rPr>
        <w:t xml:space="preserve"> </w:t>
      </w:r>
      <w:r w:rsidR="006450E4" w:rsidRPr="00533164">
        <w:rPr>
          <w:noProof/>
        </w:rPr>
        <w:t xml:space="preserve">Delegated Regulation </w:t>
      </w:r>
      <w:r w:rsidR="007A31C9">
        <w:rPr>
          <w:noProof/>
        </w:rPr>
        <w:t xml:space="preserve">(EU) </w:t>
      </w:r>
      <w:r w:rsidR="006450E4" w:rsidRPr="00533164">
        <w:rPr>
          <w:noProof/>
        </w:rPr>
        <w:t>2019/897</w:t>
      </w:r>
      <w:r w:rsidR="00552672">
        <w:rPr>
          <w:rStyle w:val="FootnoteReference"/>
          <w:noProof/>
        </w:rPr>
        <w:footnoteReference w:id="4"/>
      </w:r>
      <w:r>
        <w:rPr>
          <w:noProof/>
        </w:rPr>
        <w:t>. This Regulation concerns</w:t>
      </w:r>
      <w:r w:rsidR="006450E4" w:rsidRPr="00533164">
        <w:rPr>
          <w:noProof/>
        </w:rPr>
        <w:t xml:space="preserve"> the inclusion of risk-based compliance verification in Annex I </w:t>
      </w:r>
      <w:r>
        <w:rPr>
          <w:noProof/>
        </w:rPr>
        <w:t>of Regula</w:t>
      </w:r>
      <w:r w:rsidR="00CF0C00">
        <w:rPr>
          <w:noProof/>
        </w:rPr>
        <w:t>tion (EU) No 748/2012</w:t>
      </w:r>
      <w:r w:rsidR="00E27CEA">
        <w:rPr>
          <w:rStyle w:val="FootnoteReference"/>
          <w:noProof/>
        </w:rPr>
        <w:footnoteReference w:id="5"/>
      </w:r>
      <w:r w:rsidR="00CF0C00">
        <w:rPr>
          <w:noProof/>
        </w:rPr>
        <w:t xml:space="preserve"> (Part-21) </w:t>
      </w:r>
      <w:r w:rsidR="00C60FE2">
        <w:rPr>
          <w:noProof/>
        </w:rPr>
        <w:t>to improve the effectiveness, transparency and predictability of the certification process</w:t>
      </w:r>
      <w:r w:rsidR="00BD0AE5">
        <w:rPr>
          <w:noProof/>
        </w:rPr>
        <w:t xml:space="preserve">. It </w:t>
      </w:r>
      <w:r w:rsidR="00C60FE2">
        <w:rPr>
          <w:noProof/>
        </w:rPr>
        <w:t xml:space="preserve">includes certain selection criteria to allow determining which compliance demonstrations should be verified by EASA. </w:t>
      </w:r>
      <w:r w:rsidR="00BD0AE5">
        <w:rPr>
          <w:noProof/>
        </w:rPr>
        <w:t>In addition, this Regulation provides the possibility for production organisations to apply to their competent authority for exemptions from the environmental protection requirements for specific engines or aircraft</w:t>
      </w:r>
      <w:r w:rsidR="00A20952">
        <w:rPr>
          <w:noProof/>
        </w:rPr>
        <w:t>. This possibility of exemptions is based on</w:t>
      </w:r>
      <w:r w:rsidR="00BD0AE5">
        <w:rPr>
          <w:noProof/>
        </w:rPr>
        <w:t xml:space="preserve"> the environmental protection requirements contained in Annex 16 of the Chicago Convention.</w:t>
      </w:r>
      <w:r w:rsidR="00BD0AE5" w:rsidRPr="00BD0AE5">
        <w:rPr>
          <w:noProof/>
        </w:rPr>
        <w:t xml:space="preserve"> </w:t>
      </w:r>
      <w:r w:rsidR="00A20952">
        <w:rPr>
          <w:noProof/>
        </w:rPr>
        <w:t>This Regulation</w:t>
      </w:r>
      <w:r w:rsidR="00BD0AE5">
        <w:rPr>
          <w:noProof/>
        </w:rPr>
        <w:t xml:space="preserve"> </w:t>
      </w:r>
      <w:r w:rsidR="00A20952">
        <w:rPr>
          <w:noProof/>
        </w:rPr>
        <w:t xml:space="preserve">also </w:t>
      </w:r>
      <w:r w:rsidR="00BD0AE5">
        <w:rPr>
          <w:noProof/>
        </w:rPr>
        <w:t>corrects certain inconsistencies of Regulation (EU) No 748/2012 with Regulation (EU) 2018/1139 as regards the content of the type-certification basis and the notification process.</w:t>
      </w:r>
    </w:p>
    <w:p w14:paraId="6E6BD41A" w14:textId="137EA19B" w:rsidR="006450E4" w:rsidRPr="00533164" w:rsidRDefault="007A31C9" w:rsidP="00B076E5">
      <w:pPr>
        <w:pStyle w:val="ListParagraph"/>
        <w:numPr>
          <w:ilvl w:val="0"/>
          <w:numId w:val="14"/>
        </w:numPr>
        <w:spacing w:before="0" w:beforeAutospacing="0" w:after="160" w:afterAutospacing="0" w:line="259" w:lineRule="auto"/>
        <w:contextualSpacing w:val="0"/>
        <w:jc w:val="both"/>
        <w:rPr>
          <w:noProof/>
        </w:rPr>
      </w:pPr>
      <w:r>
        <w:rPr>
          <w:noProof/>
        </w:rPr>
        <w:t xml:space="preserve">The </w:t>
      </w:r>
      <w:r w:rsidRPr="007A31C9">
        <w:rPr>
          <w:noProof/>
        </w:rPr>
        <w:t xml:space="preserve">Commission adopted on </w:t>
      </w:r>
      <w:r w:rsidRPr="00533164">
        <w:rPr>
          <w:noProof/>
        </w:rPr>
        <w:t>28 January 2020</w:t>
      </w:r>
      <w:r>
        <w:rPr>
          <w:noProof/>
        </w:rPr>
        <w:t xml:space="preserve"> the</w:t>
      </w:r>
      <w:r w:rsidRPr="00533164">
        <w:rPr>
          <w:noProof/>
        </w:rPr>
        <w:t xml:space="preserve"> </w:t>
      </w:r>
      <w:r w:rsidR="006450E4" w:rsidRPr="00533164">
        <w:rPr>
          <w:noProof/>
        </w:rPr>
        <w:t>Delegated Regulation (EU) 2020/570</w:t>
      </w:r>
      <w:r w:rsidR="00552672">
        <w:rPr>
          <w:rStyle w:val="FootnoteReference"/>
          <w:noProof/>
        </w:rPr>
        <w:footnoteReference w:id="6"/>
      </w:r>
      <w:r w:rsidR="00552672">
        <w:rPr>
          <w:noProof/>
        </w:rPr>
        <w:t xml:space="preserve">. </w:t>
      </w:r>
      <w:r w:rsidR="00012AAD">
        <w:rPr>
          <w:noProof/>
        </w:rPr>
        <w:t>This Regulation concerns</w:t>
      </w:r>
      <w:r w:rsidR="006450E4" w:rsidRPr="00533164">
        <w:rPr>
          <w:noProof/>
        </w:rPr>
        <w:t xml:space="preserve"> the </w:t>
      </w:r>
      <w:r w:rsidR="007C0BB4">
        <w:rPr>
          <w:noProof/>
        </w:rPr>
        <w:t xml:space="preserve">amendment and correction of Regulation (EU) No 748/2012 (Part-21) for the </w:t>
      </w:r>
      <w:r w:rsidR="006450E4" w:rsidRPr="00533164">
        <w:rPr>
          <w:noProof/>
        </w:rPr>
        <w:t>alignment of rules for continuing airworthiness of aircraft and aeronautical products, parts and appliances with Regulation (EU) No 1321/2014</w:t>
      </w:r>
      <w:r w:rsidR="00DA36DE">
        <w:rPr>
          <w:rStyle w:val="FootnoteReference"/>
          <w:noProof/>
        </w:rPr>
        <w:footnoteReference w:id="7"/>
      </w:r>
      <w:r w:rsidR="00012AAD">
        <w:rPr>
          <w:noProof/>
        </w:rPr>
        <w:t>.</w:t>
      </w:r>
      <w:r w:rsidR="007C0BB4" w:rsidRPr="007C0BB4">
        <w:rPr>
          <w:noProof/>
        </w:rPr>
        <w:t xml:space="preserve"> </w:t>
      </w:r>
      <w:r w:rsidR="007C0BB4">
        <w:rPr>
          <w:noProof/>
        </w:rPr>
        <w:t>More specifically, since the provisions relating to certificates of airworthiness, repair design approvals and permits to fly, laid down in Annex I (Part 21) to Regulation (EU) No 748/2012, only refer to Annex I (Part-M) to Regulation (EU) No 1321/2014, that Annex I (Part-21) to Regulation (EU) No 748/2012 is amended to adapt its provisions to the new structure of the Annexes to Regulation (EU) No 1321/2014.</w:t>
      </w:r>
    </w:p>
    <w:p w14:paraId="39B4DE69" w14:textId="6B245AE0" w:rsidR="006450E4" w:rsidRPr="00533164" w:rsidRDefault="009D179B" w:rsidP="00984263">
      <w:pPr>
        <w:pStyle w:val="ListParagraph"/>
        <w:numPr>
          <w:ilvl w:val="0"/>
          <w:numId w:val="14"/>
        </w:numPr>
        <w:spacing w:before="0" w:beforeAutospacing="0" w:after="160" w:afterAutospacing="0" w:line="259" w:lineRule="auto"/>
        <w:contextualSpacing w:val="0"/>
        <w:jc w:val="both"/>
        <w:rPr>
          <w:noProof/>
        </w:rPr>
      </w:pPr>
      <w:r>
        <w:rPr>
          <w:noProof/>
        </w:rPr>
        <w:t xml:space="preserve">The </w:t>
      </w:r>
      <w:r w:rsidRPr="007A31C9">
        <w:rPr>
          <w:noProof/>
        </w:rPr>
        <w:t>Commission adopted on</w:t>
      </w:r>
      <w:r w:rsidR="00DD1AAE">
        <w:rPr>
          <w:noProof/>
        </w:rPr>
        <w:t xml:space="preserve"> 4 March 2020</w:t>
      </w:r>
      <w:r w:rsidR="00DD1AAE">
        <w:rPr>
          <w:rStyle w:val="FootnoteReference"/>
          <w:noProof/>
        </w:rPr>
        <w:footnoteReference w:id="8"/>
      </w:r>
      <w:r w:rsidR="00DD1AAE">
        <w:rPr>
          <w:noProof/>
        </w:rPr>
        <w:t xml:space="preserve"> the </w:t>
      </w:r>
      <w:r w:rsidR="006450E4" w:rsidRPr="00533164">
        <w:rPr>
          <w:noProof/>
        </w:rPr>
        <w:t>Delegated Regulation (EU) 2020/723</w:t>
      </w:r>
      <w:r w:rsidR="00DD1AAE">
        <w:rPr>
          <w:noProof/>
        </w:rPr>
        <w:t xml:space="preserve">. This Regulation concerns the acceptance </w:t>
      </w:r>
      <w:r w:rsidR="00F40183">
        <w:rPr>
          <w:noProof/>
        </w:rPr>
        <w:t>of certificates and other documentation attesting compliance with civil aviation rules issued in accordance with the laws of a third country, whilst ensuring an equivalent level of safety to that provided for in Regulation (EU) 2018/1139</w:t>
      </w:r>
      <w:r w:rsidR="00957811">
        <w:rPr>
          <w:noProof/>
        </w:rPr>
        <w:t>, including the conditions and procedures for achieving and maintaining the necessary confidence in regulatory systems of third countries</w:t>
      </w:r>
      <w:r w:rsidR="00F40183">
        <w:rPr>
          <w:noProof/>
        </w:rPr>
        <w:t>. According to Regulation (EU) No 1178/2011</w:t>
      </w:r>
      <w:r w:rsidR="00E5462B">
        <w:rPr>
          <w:rStyle w:val="FootnoteReference"/>
          <w:noProof/>
        </w:rPr>
        <w:footnoteReference w:id="9"/>
      </w:r>
      <w:r w:rsidR="00F40183">
        <w:rPr>
          <w:noProof/>
        </w:rPr>
        <w:t xml:space="preserve"> which lists the conditions for the acceptance of licences from third countries, a pilot licence issued by a third country may currently be accepted (under certain conditions) by Member States or the holder of such a third country licence can obtain credit when applying for a licence. Such credit is currently determined based on a recommendation from an approved training organisation. This regulation introduces the ‘declared training organisations’</w:t>
      </w:r>
      <w:r w:rsidR="00D52521">
        <w:rPr>
          <w:noProof/>
        </w:rPr>
        <w:t xml:space="preserve"> and </w:t>
      </w:r>
      <w:r w:rsidR="00F40183">
        <w:rPr>
          <w:noProof/>
        </w:rPr>
        <w:t xml:space="preserve">updates the rules concerning the acceptance of licences from third countries in order to permit </w:t>
      </w:r>
      <w:r w:rsidR="00D52521">
        <w:rPr>
          <w:noProof/>
        </w:rPr>
        <w:t xml:space="preserve">such </w:t>
      </w:r>
      <w:r w:rsidR="00F40183">
        <w:rPr>
          <w:noProof/>
        </w:rPr>
        <w:t xml:space="preserve">organisations to give credit to holders of third country licences who apply for a licence issued under the Union legal framework. </w:t>
      </w:r>
    </w:p>
    <w:p w14:paraId="6AC52A73" w14:textId="0876750B" w:rsidR="006450E4" w:rsidRPr="00533164" w:rsidRDefault="009D179B" w:rsidP="0085742D">
      <w:pPr>
        <w:pStyle w:val="ListParagraph"/>
        <w:numPr>
          <w:ilvl w:val="0"/>
          <w:numId w:val="14"/>
        </w:numPr>
        <w:spacing w:before="0" w:beforeAutospacing="0" w:after="160" w:afterAutospacing="0" w:line="259" w:lineRule="auto"/>
        <w:contextualSpacing w:val="0"/>
        <w:jc w:val="both"/>
        <w:rPr>
          <w:noProof/>
        </w:rPr>
      </w:pPr>
      <w:r>
        <w:rPr>
          <w:noProof/>
        </w:rPr>
        <w:t xml:space="preserve">The </w:t>
      </w:r>
      <w:r w:rsidRPr="007A31C9">
        <w:rPr>
          <w:noProof/>
        </w:rPr>
        <w:t xml:space="preserve">Commission adopted on </w:t>
      </w:r>
      <w:r w:rsidR="0085742D">
        <w:rPr>
          <w:noProof/>
        </w:rPr>
        <w:t xml:space="preserve">27 April 2020 the </w:t>
      </w:r>
      <w:r w:rsidR="006450E4" w:rsidRPr="00533164">
        <w:rPr>
          <w:noProof/>
        </w:rPr>
        <w:t>Delegated Regulation (EU) 2020/1058</w:t>
      </w:r>
      <w:r w:rsidR="0085742D">
        <w:rPr>
          <w:rStyle w:val="FootnoteReference"/>
          <w:noProof/>
        </w:rPr>
        <w:footnoteReference w:id="10"/>
      </w:r>
      <w:r w:rsidR="0085742D">
        <w:rPr>
          <w:noProof/>
        </w:rPr>
        <w:t>.</w:t>
      </w:r>
      <w:r w:rsidR="006450E4" w:rsidRPr="00533164">
        <w:rPr>
          <w:noProof/>
        </w:rPr>
        <w:t xml:space="preserve"> </w:t>
      </w:r>
      <w:r w:rsidR="0085742D">
        <w:rPr>
          <w:noProof/>
        </w:rPr>
        <w:t xml:space="preserve">This Regulation </w:t>
      </w:r>
      <w:r w:rsidR="006450E4" w:rsidRPr="00533164">
        <w:rPr>
          <w:noProof/>
        </w:rPr>
        <w:t>introduc</w:t>
      </w:r>
      <w:r w:rsidR="0085742D">
        <w:rPr>
          <w:noProof/>
        </w:rPr>
        <w:t xml:space="preserve">es </w:t>
      </w:r>
      <w:r w:rsidR="0085742D" w:rsidRPr="0085742D">
        <w:rPr>
          <w:noProof/>
        </w:rPr>
        <w:t xml:space="preserve">two standard scenarios (STSs) in Appendix 1 to the </w:t>
      </w:r>
      <w:r w:rsidR="00374EB9">
        <w:rPr>
          <w:noProof/>
        </w:rPr>
        <w:t>Annex to</w:t>
      </w:r>
      <w:r w:rsidR="0085742D" w:rsidRPr="0085742D">
        <w:rPr>
          <w:noProof/>
        </w:rPr>
        <w:t xml:space="preserve"> Regulation (EU) 2019/947, defining the conditions when UAS operators can start an operation after having submitted a declaration to the co</w:t>
      </w:r>
      <w:r w:rsidR="00374EB9">
        <w:rPr>
          <w:noProof/>
        </w:rPr>
        <w:t>mpetent authority. Moreover, it introduces</w:t>
      </w:r>
      <w:r w:rsidR="0085742D" w:rsidRPr="0085742D">
        <w:rPr>
          <w:noProof/>
        </w:rPr>
        <w:t xml:space="preserve"> two new Parts in the Annex to Regulation (EU) 2019/945, including the technical requirements that UAS need to meet in order to be operated in the STSs, and establishing two new UAS classes — classes C5 and C6. The conditions to conduct the STSs are based on the in-service experience of some Member States and they have been validated through the application of the specific operations risk assessment (SORA)</w:t>
      </w:r>
      <w:r w:rsidR="0085742D">
        <w:rPr>
          <w:noProof/>
        </w:rPr>
        <w:t>.</w:t>
      </w:r>
    </w:p>
    <w:p w14:paraId="28FA627C" w14:textId="74E8413F" w:rsidR="006450E4" w:rsidRPr="00533164" w:rsidRDefault="009D179B" w:rsidP="00D9137D">
      <w:pPr>
        <w:pStyle w:val="ListParagraph"/>
        <w:numPr>
          <w:ilvl w:val="0"/>
          <w:numId w:val="14"/>
        </w:numPr>
        <w:spacing w:before="0" w:beforeAutospacing="0" w:after="160" w:afterAutospacing="0" w:line="259" w:lineRule="auto"/>
        <w:contextualSpacing w:val="0"/>
        <w:jc w:val="both"/>
        <w:rPr>
          <w:noProof/>
        </w:rPr>
      </w:pPr>
      <w:r>
        <w:rPr>
          <w:noProof/>
        </w:rPr>
        <w:t xml:space="preserve">The </w:t>
      </w:r>
      <w:r w:rsidRPr="007A31C9">
        <w:rPr>
          <w:noProof/>
        </w:rPr>
        <w:t xml:space="preserve">Commission adopted on </w:t>
      </w:r>
      <w:r w:rsidR="007039BD">
        <w:rPr>
          <w:noProof/>
        </w:rPr>
        <w:t xml:space="preserve">9 June 2020 the </w:t>
      </w:r>
      <w:r w:rsidR="006450E4" w:rsidRPr="00533164">
        <w:rPr>
          <w:noProof/>
        </w:rPr>
        <w:t>Delegated Regulation (EU) 2020/1234</w:t>
      </w:r>
      <w:r w:rsidR="007039BD">
        <w:rPr>
          <w:rStyle w:val="FootnoteReference"/>
          <w:noProof/>
        </w:rPr>
        <w:footnoteReference w:id="11"/>
      </w:r>
      <w:r w:rsidR="007039BD">
        <w:rPr>
          <w:noProof/>
        </w:rPr>
        <w:t>.</w:t>
      </w:r>
      <w:r w:rsidR="006450E4" w:rsidRPr="00533164">
        <w:rPr>
          <w:noProof/>
        </w:rPr>
        <w:t xml:space="preserve"> </w:t>
      </w:r>
      <w:r w:rsidR="00797524">
        <w:rPr>
          <w:noProof/>
        </w:rPr>
        <w:t xml:space="preserve">This Regulation establishes authority requirements for the certification and oversight of providers of apron management services, their organisation requirements, operations requirements for the apron, as well as training requirements for personnel involved in the provision of apron management services. </w:t>
      </w:r>
      <w:r w:rsidR="00EE2096">
        <w:rPr>
          <w:noProof/>
        </w:rPr>
        <w:t xml:space="preserve">This Regulation </w:t>
      </w:r>
      <w:r w:rsidR="00797524">
        <w:rPr>
          <w:noProof/>
        </w:rPr>
        <w:t xml:space="preserve">aims to complete the requirements for aerodrome operations by integrating apron operations, and to allow apron management service providers to offer their services at different aerodromes and in different Member States without the need for multiple certificates. </w:t>
      </w:r>
    </w:p>
    <w:p w14:paraId="28A0E752" w14:textId="12438088" w:rsidR="006450E4" w:rsidRPr="00533164" w:rsidRDefault="009D179B" w:rsidP="00FA0AB2">
      <w:pPr>
        <w:pStyle w:val="ListParagraph"/>
        <w:numPr>
          <w:ilvl w:val="0"/>
          <w:numId w:val="14"/>
        </w:numPr>
        <w:spacing w:before="0" w:beforeAutospacing="0" w:after="160" w:afterAutospacing="0" w:line="259" w:lineRule="auto"/>
        <w:contextualSpacing w:val="0"/>
        <w:jc w:val="both"/>
        <w:rPr>
          <w:noProof/>
        </w:rPr>
      </w:pPr>
      <w:r>
        <w:rPr>
          <w:noProof/>
        </w:rPr>
        <w:t xml:space="preserve">The </w:t>
      </w:r>
      <w:r w:rsidRPr="001D11E4">
        <w:rPr>
          <w:noProof/>
        </w:rPr>
        <w:t>Commission adopted on</w:t>
      </w:r>
      <w:r w:rsidRPr="007A31C9">
        <w:rPr>
          <w:noProof/>
        </w:rPr>
        <w:t xml:space="preserve"> </w:t>
      </w:r>
      <w:r w:rsidR="00F058F1">
        <w:rPr>
          <w:noProof/>
        </w:rPr>
        <w:t xml:space="preserve">6 October 2020 the </w:t>
      </w:r>
      <w:r w:rsidR="006450E4" w:rsidRPr="00533164">
        <w:rPr>
          <w:noProof/>
        </w:rPr>
        <w:t>Delegated Regulation (EU) 2020/2034</w:t>
      </w:r>
      <w:r w:rsidR="00F058F1">
        <w:rPr>
          <w:rStyle w:val="FootnoteReference"/>
          <w:noProof/>
        </w:rPr>
        <w:footnoteReference w:id="12"/>
      </w:r>
      <w:r w:rsidR="00F058F1">
        <w:rPr>
          <w:noProof/>
        </w:rPr>
        <w:t>. This Regulation establishes the common European risk classification scheme (ERCS) for the determination of the safety risk of an occurrence. T</w:t>
      </w:r>
      <w:r w:rsidR="004D6C9B">
        <w:rPr>
          <w:noProof/>
        </w:rPr>
        <w:t xml:space="preserve">he Regulation foresees two steps, one (step 1) </w:t>
      </w:r>
      <w:r w:rsidR="00F058F1">
        <w:rPr>
          <w:noProof/>
        </w:rPr>
        <w:t xml:space="preserve">related to the determination of the values of the two variables: severity and probability and </w:t>
      </w:r>
      <w:r w:rsidR="004D6C9B">
        <w:rPr>
          <w:noProof/>
        </w:rPr>
        <w:t>the other (</w:t>
      </w:r>
      <w:r w:rsidR="00F058F1">
        <w:rPr>
          <w:noProof/>
        </w:rPr>
        <w:t>step 2</w:t>
      </w:r>
      <w:r w:rsidR="004D6C9B">
        <w:rPr>
          <w:noProof/>
        </w:rPr>
        <w:t>)</w:t>
      </w:r>
      <w:r w:rsidR="00F058F1">
        <w:rPr>
          <w:noProof/>
        </w:rPr>
        <w:t xml:space="preserve"> on the scoring of the safety risk within the ERCS matrix based on the two determined values of variables.</w:t>
      </w:r>
      <w:r w:rsidR="00FA0AB2">
        <w:rPr>
          <w:noProof/>
        </w:rPr>
        <w:t xml:space="preserve"> Through this Regulation, t</w:t>
      </w:r>
      <w:r w:rsidR="00FA0AB2" w:rsidRPr="00FA0AB2">
        <w:rPr>
          <w:noProof/>
        </w:rPr>
        <w:t xml:space="preserve">he ERCS </w:t>
      </w:r>
      <w:r w:rsidR="004D6C9B">
        <w:rPr>
          <w:noProof/>
        </w:rPr>
        <w:t xml:space="preserve">is expected to </w:t>
      </w:r>
      <w:r w:rsidR="00FA0AB2" w:rsidRPr="00FA0AB2">
        <w:rPr>
          <w:noProof/>
        </w:rPr>
        <w:t>facilitate an integrated and harmonised approach to risk management across the European aviation system and therefore enable the competent authorities of Member States and the Agency to focus on safety improvement efforts in a harmonised manner as part of the European Plan for Aviation Safety referred to in Article 6 of Regulation (EU) 2018/1139 of the European Parliament and of the Council.</w:t>
      </w:r>
    </w:p>
    <w:p w14:paraId="3FD6F813" w14:textId="1EA7B97D" w:rsidR="006450E4" w:rsidRPr="00533164" w:rsidRDefault="009D179B" w:rsidP="00195C29">
      <w:pPr>
        <w:pStyle w:val="ListParagraph"/>
        <w:numPr>
          <w:ilvl w:val="0"/>
          <w:numId w:val="14"/>
        </w:numPr>
        <w:spacing w:before="0" w:beforeAutospacing="0" w:after="160" w:afterAutospacing="0" w:line="259" w:lineRule="auto"/>
        <w:contextualSpacing w:val="0"/>
        <w:jc w:val="both"/>
        <w:rPr>
          <w:noProof/>
        </w:rPr>
      </w:pPr>
      <w:r w:rsidRPr="00ED5FD5">
        <w:rPr>
          <w:noProof/>
        </w:rPr>
        <w:t>The</w:t>
      </w:r>
      <w:r>
        <w:rPr>
          <w:noProof/>
        </w:rPr>
        <w:t xml:space="preserve"> </w:t>
      </w:r>
      <w:r w:rsidRPr="007A31C9">
        <w:rPr>
          <w:noProof/>
        </w:rPr>
        <w:t xml:space="preserve">Commission adopted </w:t>
      </w:r>
      <w:r w:rsidR="001D11E4">
        <w:rPr>
          <w:noProof/>
        </w:rPr>
        <w:t>8 October 2020 the D</w:t>
      </w:r>
      <w:r w:rsidR="006450E4" w:rsidRPr="00533164">
        <w:rPr>
          <w:noProof/>
        </w:rPr>
        <w:t>elegated Regulation (EU) 2020/2148</w:t>
      </w:r>
      <w:r w:rsidR="001D11E4">
        <w:rPr>
          <w:rStyle w:val="FootnoteReference"/>
          <w:noProof/>
        </w:rPr>
        <w:footnoteReference w:id="13"/>
      </w:r>
      <w:r w:rsidR="001D11E4">
        <w:rPr>
          <w:noProof/>
        </w:rPr>
        <w:t>.</w:t>
      </w:r>
      <w:r w:rsidR="00ED5FD5">
        <w:rPr>
          <w:noProof/>
        </w:rPr>
        <w:t xml:space="preserve"> This Regulation is expected to mitigate the safety risks associated with runway safety, from an aerodrome’s perspective, focusing mainly on the prevention of runway incursions and on runway surface condition assessment and reporting. It addresses issues such as ground collisions, runway configuration, foreign object debris related occurrences as well as runway pavements maintenance. This regulation introduces new organisation and operational requirements of Regulation (EU) No 139/2014</w:t>
      </w:r>
      <w:r w:rsidR="00DA36DE">
        <w:rPr>
          <w:rStyle w:val="FootnoteReference"/>
          <w:noProof/>
        </w:rPr>
        <w:footnoteReference w:id="14"/>
      </w:r>
      <w:r w:rsidR="00ED5FD5">
        <w:rPr>
          <w:noProof/>
        </w:rPr>
        <w:t xml:space="preserve">, which are based on ICAO provisions contained mainly in Annexes 14 and 15 as well as safety recommendations addressed to EASA by certain Member States. Furthermore, this Regulation proposes amendments to the framework for the operation of vehicles at aerodromes, including the authorisation of drivers and the conformance of vehicles operating on the manoeuvring area with certain safety prerequisites, in order to ensure runway safety. Linked to this is also the proposal for a new requirement on communications, as well as a proposal for the control of pedestrians at the aerodrome. In addition, this Regulation includes all the necessary requirements to support the application of the new Global Reporting Format (GRF) of runway surface conditions, including changes to the contents of METAR and SNOWTAM forms and of the special air-report. The </w:t>
      </w:r>
      <w:r w:rsidR="00842F91">
        <w:rPr>
          <w:noProof/>
        </w:rPr>
        <w:t>Regulation is</w:t>
      </w:r>
      <w:r w:rsidR="00ED5FD5">
        <w:rPr>
          <w:noProof/>
        </w:rPr>
        <w:t xml:space="preserve"> expected to improve safety by reducing the number of runway-safety-related occurrences from</w:t>
      </w:r>
      <w:r w:rsidR="00842F91">
        <w:rPr>
          <w:noProof/>
        </w:rPr>
        <w:t xml:space="preserve"> an aerodrome’s perspective, and </w:t>
      </w:r>
      <w:r w:rsidR="00ED5FD5">
        <w:rPr>
          <w:noProof/>
        </w:rPr>
        <w:t xml:space="preserve">improve harmonisation as a result of the introduction of new common requirements that do not currently exist. </w:t>
      </w:r>
      <w:r w:rsidR="00842F91">
        <w:rPr>
          <w:noProof/>
        </w:rPr>
        <w:t xml:space="preserve">It ensures the </w:t>
      </w:r>
      <w:r w:rsidR="00ED5FD5">
        <w:rPr>
          <w:noProof/>
        </w:rPr>
        <w:t>alignment of the current EU aerodrome regulatory framework with the relevant aerodrome-related ICAO provisions of Annexes 14 and 15, PANS-ATM and PANS-Aerodromes</w:t>
      </w:r>
      <w:r w:rsidR="00842F91">
        <w:rPr>
          <w:noProof/>
        </w:rPr>
        <w:t>.</w:t>
      </w:r>
    </w:p>
    <w:p w14:paraId="5A0F55CB" w14:textId="08A9D443" w:rsidR="00F34EC6" w:rsidRPr="00533164" w:rsidRDefault="009D179B" w:rsidP="003F3922">
      <w:pPr>
        <w:pStyle w:val="ListParagraph"/>
        <w:numPr>
          <w:ilvl w:val="0"/>
          <w:numId w:val="14"/>
        </w:numPr>
        <w:spacing w:before="0" w:beforeAutospacing="0" w:after="160" w:afterAutospacing="0" w:line="259" w:lineRule="auto"/>
        <w:contextualSpacing w:val="0"/>
        <w:jc w:val="both"/>
        <w:rPr>
          <w:noProof/>
        </w:rPr>
      </w:pPr>
      <w:r w:rsidRPr="0042629B">
        <w:rPr>
          <w:noProof/>
        </w:rPr>
        <w:t>The</w:t>
      </w:r>
      <w:r>
        <w:rPr>
          <w:noProof/>
        </w:rPr>
        <w:t xml:space="preserve"> </w:t>
      </w:r>
      <w:r w:rsidRPr="007A31C9">
        <w:rPr>
          <w:noProof/>
        </w:rPr>
        <w:t xml:space="preserve">Commission adopted on </w:t>
      </w:r>
      <w:r w:rsidR="0042629B">
        <w:rPr>
          <w:noProof/>
        </w:rPr>
        <w:t xml:space="preserve">21 December 2020 the </w:t>
      </w:r>
      <w:r w:rsidR="00F34EC6" w:rsidRPr="00533164">
        <w:rPr>
          <w:noProof/>
        </w:rPr>
        <w:t>Delegated Regulation (EU) 2021/699</w:t>
      </w:r>
      <w:r w:rsidR="0042629B">
        <w:rPr>
          <w:rStyle w:val="FootnoteReference"/>
          <w:noProof/>
        </w:rPr>
        <w:footnoteReference w:id="15"/>
      </w:r>
      <w:r w:rsidR="0042629B">
        <w:rPr>
          <w:noProof/>
        </w:rPr>
        <w:t>. This Regulation addresses safety risks related to ageing phenomena in the structures of large aeroplanes. These risks include fatigue of the basic type design, widespread fatigue damage (WFD), corrosion, fatigue of changes and repairs, and continued operation with unsafe levels of fatigue cracking.</w:t>
      </w:r>
      <w:r w:rsidR="0042629B" w:rsidRPr="0042629B">
        <w:rPr>
          <w:noProof/>
        </w:rPr>
        <w:t xml:space="preserve"> </w:t>
      </w:r>
      <w:r w:rsidR="0042629B">
        <w:rPr>
          <w:noProof/>
        </w:rPr>
        <w:t xml:space="preserve">This Regulation </w:t>
      </w:r>
      <w:r w:rsidR="00246EFA">
        <w:rPr>
          <w:noProof/>
        </w:rPr>
        <w:t xml:space="preserve">is expected to </w:t>
      </w:r>
      <w:r w:rsidR="0042629B" w:rsidRPr="0042629B">
        <w:rPr>
          <w:noProof/>
        </w:rPr>
        <w:t>ensure that Design Approval Holders (DAHs), or applicants for Type Certificates (TCs), Supplemental Type Certificates (STCs), design changes and repair approvals, will produce the necessary data, procedures, instructions and manuals related to ageing structure failures due to corrosion and fatigue and make them available to those who need to comply with them (operators).</w:t>
      </w:r>
      <w:r w:rsidR="0042629B">
        <w:rPr>
          <w:noProof/>
        </w:rPr>
        <w:t xml:space="preserve"> This Regulation is also expected to </w:t>
      </w:r>
      <w:r w:rsidR="0042629B" w:rsidRPr="0042629B">
        <w:rPr>
          <w:noProof/>
        </w:rPr>
        <w:t>mitigate the risks linked to the uncertainty of the status of the instructions for continued airworthiness (ICA) and, therefore, to avoid leaving room for interpretation in the rules, leading to differences in the use of ICA and causing possible safety risks.</w:t>
      </w:r>
      <w:r w:rsidR="0042629B">
        <w:rPr>
          <w:noProof/>
        </w:rPr>
        <w:t xml:space="preserve"> </w:t>
      </w:r>
      <w:r w:rsidR="00246EFA">
        <w:rPr>
          <w:noProof/>
        </w:rPr>
        <w:t>T</w:t>
      </w:r>
      <w:r w:rsidR="0042629B" w:rsidRPr="0042629B">
        <w:rPr>
          <w:noProof/>
        </w:rPr>
        <w:t xml:space="preserve">o achieve this, this </w:t>
      </w:r>
      <w:r w:rsidR="0042629B">
        <w:rPr>
          <w:noProof/>
        </w:rPr>
        <w:t>Regulation clarifies</w:t>
      </w:r>
      <w:r w:rsidR="0042629B" w:rsidRPr="0042629B">
        <w:rPr>
          <w:noProof/>
        </w:rPr>
        <w:t xml:space="preserve"> that the ICA are pa</w:t>
      </w:r>
      <w:r w:rsidR="0042629B">
        <w:rPr>
          <w:noProof/>
        </w:rPr>
        <w:t xml:space="preserve">rt of the type certificate (TC) and </w:t>
      </w:r>
      <w:r w:rsidR="0042629B" w:rsidRPr="0042629B">
        <w:rPr>
          <w:noProof/>
        </w:rPr>
        <w:t>merge</w:t>
      </w:r>
      <w:r w:rsidR="0042629B">
        <w:rPr>
          <w:noProof/>
        </w:rPr>
        <w:t>s</w:t>
      </w:r>
      <w:r w:rsidR="0042629B" w:rsidRPr="0042629B">
        <w:rPr>
          <w:noProof/>
        </w:rPr>
        <w:t xml:space="preserve"> the requirements related to record keeping, manuals and ICA in the various subparts into a single requirement </w:t>
      </w:r>
      <w:r w:rsidR="00246EFA">
        <w:rPr>
          <w:noProof/>
        </w:rPr>
        <w:t>(</w:t>
      </w:r>
      <w:r w:rsidR="0042629B" w:rsidRPr="0042629B">
        <w:rPr>
          <w:noProof/>
        </w:rPr>
        <w:t>in Subpart A</w:t>
      </w:r>
      <w:r w:rsidR="00246EFA">
        <w:rPr>
          <w:noProof/>
        </w:rPr>
        <w:t>)</w:t>
      </w:r>
      <w:r w:rsidR="0042629B" w:rsidRPr="0042629B">
        <w:rPr>
          <w:noProof/>
        </w:rPr>
        <w:t>.</w:t>
      </w:r>
      <w:r w:rsidR="0042629B">
        <w:rPr>
          <w:noProof/>
        </w:rPr>
        <w:t xml:space="preserve"> This Regulation is </w:t>
      </w:r>
      <w:r w:rsidR="0042629B" w:rsidRPr="0042629B">
        <w:rPr>
          <w:noProof/>
        </w:rPr>
        <w:t xml:space="preserve">expected to improve the harmonisation of the ICA among the </w:t>
      </w:r>
      <w:r w:rsidR="00CA4BD3">
        <w:rPr>
          <w:noProof/>
        </w:rPr>
        <w:t>DAHs</w:t>
      </w:r>
      <w:r w:rsidR="0042629B" w:rsidRPr="0042629B">
        <w:rPr>
          <w:noProof/>
        </w:rPr>
        <w:t xml:space="preserve"> in relation to the identification, approval, formatting and availabil</w:t>
      </w:r>
      <w:r w:rsidR="0042629B">
        <w:rPr>
          <w:noProof/>
        </w:rPr>
        <w:t>ity of the ICA to the end users and to ensure that these safety risks are mitigated for both the existing and future fleets of large aeroplanes.</w:t>
      </w:r>
    </w:p>
    <w:p w14:paraId="195B2E28" w14:textId="0A9E91BA" w:rsidR="00F34EC6" w:rsidRPr="00533164" w:rsidRDefault="009D179B" w:rsidP="00837056">
      <w:pPr>
        <w:pStyle w:val="ListParagraph"/>
        <w:numPr>
          <w:ilvl w:val="0"/>
          <w:numId w:val="14"/>
        </w:numPr>
        <w:spacing w:before="0" w:beforeAutospacing="0" w:after="160" w:afterAutospacing="0" w:line="259" w:lineRule="auto"/>
        <w:contextualSpacing w:val="0"/>
        <w:jc w:val="both"/>
        <w:rPr>
          <w:noProof/>
        </w:rPr>
      </w:pPr>
      <w:r>
        <w:rPr>
          <w:noProof/>
        </w:rPr>
        <w:t xml:space="preserve">The </w:t>
      </w:r>
      <w:r w:rsidRPr="007A31C9">
        <w:rPr>
          <w:noProof/>
        </w:rPr>
        <w:t xml:space="preserve">Commission adopted on </w:t>
      </w:r>
      <w:r w:rsidR="007E4FE4">
        <w:rPr>
          <w:noProof/>
        </w:rPr>
        <w:t xml:space="preserve">7 April 2021 the </w:t>
      </w:r>
      <w:r w:rsidR="00F34EC6" w:rsidRPr="00533164">
        <w:rPr>
          <w:noProof/>
        </w:rPr>
        <w:t>Delegated Regulation (EU) 2021/1087</w:t>
      </w:r>
      <w:r w:rsidR="007E4FE4">
        <w:rPr>
          <w:rStyle w:val="FootnoteReference"/>
          <w:noProof/>
        </w:rPr>
        <w:footnoteReference w:id="16"/>
      </w:r>
      <w:r w:rsidR="00CA4BD3">
        <w:rPr>
          <w:noProof/>
        </w:rPr>
        <w:t xml:space="preserve"> and the </w:t>
      </w:r>
      <w:r w:rsidR="00CA4BD3" w:rsidRPr="00533164">
        <w:rPr>
          <w:noProof/>
        </w:rPr>
        <w:t>Delegated Regulation (EU) 2021/1088</w:t>
      </w:r>
      <w:r w:rsidR="00CA4BD3">
        <w:rPr>
          <w:rStyle w:val="FootnoteReference"/>
          <w:noProof/>
        </w:rPr>
        <w:footnoteReference w:id="17"/>
      </w:r>
      <w:r w:rsidR="00CA4BD3">
        <w:rPr>
          <w:noProof/>
        </w:rPr>
        <w:t>. These two</w:t>
      </w:r>
      <w:r w:rsidR="00D206B5">
        <w:rPr>
          <w:noProof/>
        </w:rPr>
        <w:t xml:space="preserve"> Regulation</w:t>
      </w:r>
      <w:r w:rsidR="00CA4BD3">
        <w:rPr>
          <w:noProof/>
        </w:rPr>
        <w:t>s</w:t>
      </w:r>
      <w:r w:rsidR="00D206B5">
        <w:rPr>
          <w:noProof/>
        </w:rPr>
        <w:t xml:space="preserve"> </w:t>
      </w:r>
      <w:r w:rsidR="007E4FE4">
        <w:rPr>
          <w:noProof/>
        </w:rPr>
        <w:t xml:space="preserve">align the EU regulatory framework with the ICAO Standards and Recommended Practices (SARPs) contained in Annex 16 to the Chicago Convention. In February 2019 the ICAO Committee on Aviation Environmental Protection (CAEP) proposed improvements and updates to the existing noise, aircraft engine emissions, and aeroplane CO2 emissions SARPs, including new non-volatile particulate matter emissions regulatory levels for aircraft engines. The ICAO Council </w:t>
      </w:r>
      <w:r w:rsidR="00F837B3">
        <w:rPr>
          <w:noProof/>
        </w:rPr>
        <w:t xml:space="preserve">adopted the final amendments </w:t>
      </w:r>
      <w:r w:rsidR="007E4FE4">
        <w:rPr>
          <w:noProof/>
        </w:rPr>
        <w:t>on 11 March 2020</w:t>
      </w:r>
      <w:r w:rsidR="00F837B3">
        <w:rPr>
          <w:rStyle w:val="FootnoteReference"/>
          <w:noProof/>
        </w:rPr>
        <w:footnoteReference w:id="18"/>
      </w:r>
      <w:r w:rsidR="007E4FE4">
        <w:rPr>
          <w:noProof/>
        </w:rPr>
        <w:t xml:space="preserve">. </w:t>
      </w:r>
      <w:r w:rsidR="00CA4BD3">
        <w:rPr>
          <w:noProof/>
        </w:rPr>
        <w:t>Thus, these</w:t>
      </w:r>
      <w:r w:rsidR="007E4FE4">
        <w:rPr>
          <w:noProof/>
        </w:rPr>
        <w:t xml:space="preserve"> </w:t>
      </w:r>
      <w:r w:rsidR="00D206B5">
        <w:rPr>
          <w:noProof/>
        </w:rPr>
        <w:t>Regulation</w:t>
      </w:r>
      <w:r w:rsidR="00CA4BD3">
        <w:rPr>
          <w:noProof/>
        </w:rPr>
        <w:t>s</w:t>
      </w:r>
      <w:r w:rsidR="00D206B5">
        <w:rPr>
          <w:noProof/>
        </w:rPr>
        <w:t xml:space="preserve"> </w:t>
      </w:r>
      <w:r w:rsidR="007E4FE4">
        <w:rPr>
          <w:noProof/>
        </w:rPr>
        <w:t xml:space="preserve">amend Article 9 ‘Essential requirements’ of Regulation (EU) 2018/1139, Article 9 ‘Production organisations’ of Commission Regulation (EU) No 748/2012 and its Annex I (Part 21). </w:t>
      </w:r>
      <w:r w:rsidR="00D206B5">
        <w:rPr>
          <w:noProof/>
        </w:rPr>
        <w:t>Th</w:t>
      </w:r>
      <w:r w:rsidR="00CA4BD3">
        <w:rPr>
          <w:noProof/>
        </w:rPr>
        <w:t>ese</w:t>
      </w:r>
      <w:r w:rsidR="00D206B5">
        <w:rPr>
          <w:noProof/>
        </w:rPr>
        <w:t xml:space="preserve"> Regulation</w:t>
      </w:r>
      <w:r w:rsidR="00CA4BD3">
        <w:rPr>
          <w:noProof/>
        </w:rPr>
        <w:t>s</w:t>
      </w:r>
      <w:r w:rsidR="007E4FE4">
        <w:rPr>
          <w:noProof/>
        </w:rPr>
        <w:t xml:space="preserve"> </w:t>
      </w:r>
      <w:r w:rsidR="00CA4BD3">
        <w:rPr>
          <w:noProof/>
        </w:rPr>
        <w:t xml:space="preserve">are </w:t>
      </w:r>
      <w:r w:rsidR="007E4FE4">
        <w:rPr>
          <w:noProof/>
        </w:rPr>
        <w:t>expected to ensure a high uniform level of environmental protection and to provide a level playing field for all actors in the aviation sector.</w:t>
      </w:r>
    </w:p>
    <w:p w14:paraId="17F2C8EC" w14:textId="2379253D" w:rsidR="00F34EC6" w:rsidRPr="00533164" w:rsidRDefault="009D179B" w:rsidP="00AA2E40">
      <w:pPr>
        <w:pStyle w:val="ListParagraph"/>
        <w:numPr>
          <w:ilvl w:val="0"/>
          <w:numId w:val="14"/>
        </w:numPr>
        <w:spacing w:before="0" w:beforeAutospacing="0" w:after="160" w:afterAutospacing="0" w:line="259" w:lineRule="auto"/>
        <w:contextualSpacing w:val="0"/>
        <w:jc w:val="both"/>
        <w:rPr>
          <w:noProof/>
        </w:rPr>
      </w:pPr>
      <w:r>
        <w:rPr>
          <w:noProof/>
        </w:rPr>
        <w:t xml:space="preserve">The </w:t>
      </w:r>
      <w:r w:rsidRPr="007A31C9">
        <w:rPr>
          <w:noProof/>
        </w:rPr>
        <w:t xml:space="preserve">Commission adopted on </w:t>
      </w:r>
      <w:r w:rsidR="0015408B" w:rsidRPr="00533164">
        <w:rPr>
          <w:noProof/>
        </w:rPr>
        <w:t xml:space="preserve">10 December 2021 </w:t>
      </w:r>
      <w:r w:rsidR="0015408B">
        <w:rPr>
          <w:noProof/>
        </w:rPr>
        <w:t>the</w:t>
      </w:r>
      <w:r w:rsidR="00F34EC6" w:rsidRPr="00533164">
        <w:rPr>
          <w:noProof/>
        </w:rPr>
        <w:t xml:space="preserve"> Delegated Regulation (EU) 2022/201</w:t>
      </w:r>
      <w:r w:rsidR="0015408B">
        <w:rPr>
          <w:rStyle w:val="FootnoteReference"/>
          <w:noProof/>
        </w:rPr>
        <w:footnoteReference w:id="19"/>
      </w:r>
      <w:r w:rsidR="0015408B">
        <w:rPr>
          <w:noProof/>
        </w:rPr>
        <w:t xml:space="preserve">. </w:t>
      </w:r>
      <w:r w:rsidR="00C25E5D">
        <w:rPr>
          <w:noProof/>
        </w:rPr>
        <w:t xml:space="preserve">This Regulation </w:t>
      </w:r>
      <w:r w:rsidR="0015408B" w:rsidRPr="0015408B">
        <w:rPr>
          <w:noProof/>
        </w:rPr>
        <w:t>establish</w:t>
      </w:r>
      <w:r w:rsidR="00C25E5D">
        <w:rPr>
          <w:noProof/>
        </w:rPr>
        <w:t>es</w:t>
      </w:r>
      <w:r w:rsidR="0015408B" w:rsidRPr="0015408B">
        <w:rPr>
          <w:noProof/>
        </w:rPr>
        <w:t xml:space="preserve"> a safety management system (SMS) framework for design and production (Part 21) as well as maintenance organisations (Part-145), which are the remaining two domains for which ICAO Annex 19 has not been fully transposed yet into the E</w:t>
      </w:r>
      <w:r w:rsidR="00C25E5D">
        <w:rPr>
          <w:noProof/>
        </w:rPr>
        <w:t>U</w:t>
      </w:r>
      <w:r w:rsidR="0015408B" w:rsidRPr="0015408B">
        <w:rPr>
          <w:noProof/>
        </w:rPr>
        <w:t xml:space="preserve"> regulatory framework. In addition, Annex II ‘Essential requirements for airworthiness’ to Regulation (EU) 2018/1139 explicitly calls for design, production and maintenance organisations to implement and maintain a management system (MS), including the management of safety risks, and aim for its continuous improvement, supported by the establishment of an occurrence-reporting system.</w:t>
      </w:r>
      <w:r w:rsidR="0015408B">
        <w:rPr>
          <w:noProof/>
        </w:rPr>
        <w:t xml:space="preserve"> By establishing such an MS framework, aviation </w:t>
      </w:r>
      <w:r w:rsidR="00C25E5D">
        <w:rPr>
          <w:noProof/>
        </w:rPr>
        <w:t xml:space="preserve">safety will be enhanced through a) </w:t>
      </w:r>
      <w:r w:rsidR="0015408B">
        <w:rPr>
          <w:noProof/>
        </w:rPr>
        <w:t>the establishment of safety policies and objectives assoc</w:t>
      </w:r>
      <w:r w:rsidR="00C25E5D">
        <w:rPr>
          <w:noProof/>
        </w:rPr>
        <w:t xml:space="preserve">iated with sufficient resources, b) </w:t>
      </w:r>
      <w:r w:rsidR="0015408B">
        <w:rPr>
          <w:noProof/>
        </w:rPr>
        <w:t>the systematic identification of hazards and a risk management system;</w:t>
      </w:r>
      <w:r w:rsidR="00C25E5D">
        <w:rPr>
          <w:noProof/>
        </w:rPr>
        <w:t xml:space="preserve"> c) </w:t>
      </w:r>
      <w:r w:rsidR="0015408B">
        <w:rPr>
          <w:noProof/>
        </w:rPr>
        <w:t xml:space="preserve">safety assurance systems, giving consideration to the safety performance of organisations; and </w:t>
      </w:r>
      <w:r w:rsidR="00C25E5D">
        <w:rPr>
          <w:noProof/>
        </w:rPr>
        <w:t xml:space="preserve">d) </w:t>
      </w:r>
      <w:r w:rsidR="0015408B">
        <w:rPr>
          <w:noProof/>
        </w:rPr>
        <w:t>safety promotion and communication.</w:t>
      </w:r>
      <w:r w:rsidR="00C25E5D">
        <w:rPr>
          <w:noProof/>
        </w:rPr>
        <w:t xml:space="preserve"> This Regulation </w:t>
      </w:r>
      <w:r w:rsidR="0015408B">
        <w:rPr>
          <w:noProof/>
        </w:rPr>
        <w:t>is in line with the regulatory concept of MS established for other domains, such as Air Operations or Aerodromes, or for continuing airworthiness management organisations (Part-CAMO).</w:t>
      </w:r>
      <w:r w:rsidR="00C25E5D">
        <w:rPr>
          <w:noProof/>
        </w:rPr>
        <w:t xml:space="preserve"> </w:t>
      </w:r>
      <w:r w:rsidR="0015408B">
        <w:rPr>
          <w:noProof/>
        </w:rPr>
        <w:t>By aligning the MS provisions across all aviation domains, it will be ensured that the organisations which have to comply with several MS requirements in different domains can implement a single MS, and that competent authorities that oversee different organisations in different domains can plan and organise their oversight activities on the basis of the same regulatory principles.</w:t>
      </w:r>
    </w:p>
    <w:p w14:paraId="3DB63BF1" w14:textId="407CC3F2" w:rsidR="00EC5B87" w:rsidRPr="00EC5B87" w:rsidRDefault="009D179B" w:rsidP="00EC7DAB">
      <w:pPr>
        <w:pStyle w:val="ListParagraph"/>
        <w:numPr>
          <w:ilvl w:val="0"/>
          <w:numId w:val="14"/>
        </w:numPr>
        <w:pBdr>
          <w:top w:val="nil"/>
          <w:left w:val="nil"/>
          <w:bottom w:val="nil"/>
          <w:right w:val="nil"/>
          <w:between w:val="nil"/>
          <w:bar w:val="nil"/>
        </w:pBdr>
        <w:spacing w:before="120" w:beforeAutospacing="0" w:after="120" w:afterAutospacing="0" w:line="259" w:lineRule="auto"/>
        <w:jc w:val="both"/>
        <w:rPr>
          <w:rFonts w:eastAsia="Arial Unicode MS" w:cs="Times New Roman"/>
          <w:noProof/>
          <w:szCs w:val="24"/>
          <w:bdr w:val="nil"/>
        </w:rPr>
      </w:pPr>
      <w:r w:rsidRPr="00EC5B87">
        <w:rPr>
          <w:noProof/>
        </w:rPr>
        <w:t>The</w:t>
      </w:r>
      <w:r>
        <w:rPr>
          <w:noProof/>
        </w:rPr>
        <w:t xml:space="preserve"> </w:t>
      </w:r>
      <w:r w:rsidRPr="007A31C9">
        <w:rPr>
          <w:noProof/>
        </w:rPr>
        <w:t xml:space="preserve">Commission adopted on </w:t>
      </w:r>
      <w:r w:rsidR="00EC5B87" w:rsidRPr="00533164">
        <w:rPr>
          <w:noProof/>
        </w:rPr>
        <w:t xml:space="preserve">14 December 2021 </w:t>
      </w:r>
      <w:r w:rsidR="00EC5B87">
        <w:rPr>
          <w:noProof/>
        </w:rPr>
        <w:t xml:space="preserve">the </w:t>
      </w:r>
      <w:r w:rsidR="00F34EC6" w:rsidRPr="00533164">
        <w:rPr>
          <w:noProof/>
        </w:rPr>
        <w:t>Delegated Regulation (EU) 2022/208</w:t>
      </w:r>
      <w:r w:rsidR="00EC5B87">
        <w:rPr>
          <w:rStyle w:val="FootnoteReference"/>
          <w:noProof/>
        </w:rPr>
        <w:footnoteReference w:id="20"/>
      </w:r>
      <w:r w:rsidR="00EC5B87">
        <w:rPr>
          <w:noProof/>
        </w:rPr>
        <w:t xml:space="preserve">. </w:t>
      </w:r>
      <w:r w:rsidR="007D1326">
        <w:rPr>
          <w:rFonts w:eastAsia="Arial Unicode MS" w:cs="Times New Roman"/>
          <w:noProof/>
          <w:szCs w:val="24"/>
          <w:bdr w:val="nil"/>
        </w:rPr>
        <w:t>The</w:t>
      </w:r>
      <w:r w:rsidR="00EC5B87" w:rsidRPr="00EC5B87">
        <w:rPr>
          <w:rFonts w:eastAsia="Arial Unicode MS" w:cs="Times New Roman"/>
          <w:noProof/>
          <w:szCs w:val="24"/>
          <w:bdr w:val="nil"/>
        </w:rPr>
        <w:t xml:space="preserve"> objective of this Regulation is to modernise the EU aviation regulatory framework applicable to all-weather operations (AWOs) and flight crew training to ensure the highest level of safety while enabling efficiency gains based on the latest technological advancements. As regards AWOs, this Regulation sets the appropriate balance between performance-based and prescriptive principles depending on the type of air operations. The rules are not technology-dependent and may accommodate future changes. It addresses all relevant disciplines and update the AWO-relevant rules in the domains of air operations, aircrew and aerodromes, in a coordinated manner. As regards flight crew training, this Regulation improves the existing mandatory crew training and checking requirements for air operators. It addresses initial and recurrent training and checking, the conditions for the operation on more than one aircraft type or variant, the acceptance of previous training and checking by non-commercial operators, and multi-pilot operations of single-pilot certified helicopters. </w:t>
      </w:r>
      <w:r w:rsidR="00EC5B87">
        <w:rPr>
          <w:rFonts w:eastAsia="Arial Unicode MS" w:cs="Times New Roman"/>
          <w:noProof/>
          <w:szCs w:val="24"/>
          <w:bdr w:val="nil"/>
        </w:rPr>
        <w:t xml:space="preserve">This Regulation is </w:t>
      </w:r>
      <w:r w:rsidR="00EC5B87" w:rsidRPr="00EC5B87">
        <w:rPr>
          <w:rFonts w:eastAsia="Arial Unicode MS" w:cs="Times New Roman"/>
          <w:noProof/>
          <w:szCs w:val="24"/>
          <w:bdr w:val="nil"/>
        </w:rPr>
        <w:t>expected to increase</w:t>
      </w:r>
      <w:r w:rsidR="00EC5B87">
        <w:rPr>
          <w:rFonts w:eastAsia="Arial Unicode MS" w:cs="Times New Roman"/>
          <w:noProof/>
          <w:szCs w:val="24"/>
          <w:bdr w:val="nil"/>
        </w:rPr>
        <w:t xml:space="preserve"> safety in a cost-effective way and</w:t>
      </w:r>
      <w:r w:rsidR="00EC5B87" w:rsidRPr="00EC5B87">
        <w:rPr>
          <w:rFonts w:eastAsia="Arial Unicode MS" w:cs="Times New Roman"/>
          <w:noProof/>
          <w:szCs w:val="24"/>
          <w:bdr w:val="nil"/>
        </w:rPr>
        <w:t xml:space="preserve"> maintain safety, reduce the regulatory burden, increase cost-effectiveness, improve harmonisation regarding AWOs (e.g. with the Feder</w:t>
      </w:r>
      <w:r w:rsidR="007D1326">
        <w:rPr>
          <w:rFonts w:eastAsia="Arial Unicode MS" w:cs="Times New Roman"/>
          <w:noProof/>
          <w:szCs w:val="24"/>
          <w:bdr w:val="nil"/>
        </w:rPr>
        <w:t>al Aviation Administration</w:t>
      </w:r>
      <w:r w:rsidR="00EC5B87" w:rsidRPr="00EC5B87">
        <w:rPr>
          <w:rFonts w:eastAsia="Arial Unicode MS" w:cs="Times New Roman"/>
          <w:noProof/>
          <w:szCs w:val="24"/>
          <w:bdr w:val="nil"/>
        </w:rPr>
        <w:t xml:space="preserve">), and transpose as much as feasible the Standards and Recommended Practices (SARPs) of </w:t>
      </w:r>
      <w:r w:rsidR="00EC5B87">
        <w:rPr>
          <w:rFonts w:eastAsia="Arial Unicode MS" w:cs="Times New Roman"/>
          <w:noProof/>
          <w:szCs w:val="24"/>
          <w:bdr w:val="nil"/>
        </w:rPr>
        <w:t>ICAO</w:t>
      </w:r>
      <w:r w:rsidR="00EC5B87" w:rsidRPr="00EC5B87">
        <w:rPr>
          <w:rFonts w:eastAsia="Arial Unicode MS" w:cs="Times New Roman"/>
          <w:noProof/>
          <w:szCs w:val="24"/>
          <w:bdr w:val="nil"/>
        </w:rPr>
        <w:t>.</w:t>
      </w:r>
    </w:p>
    <w:p w14:paraId="5920B4A2" w14:textId="11A64DE2" w:rsidR="00493BC7" w:rsidRDefault="00493BC7" w:rsidP="00493BC7">
      <w:p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sidRPr="00493BC7">
        <w:rPr>
          <w:rFonts w:eastAsia="Arial Unicode MS" w:cs="Times New Roman"/>
          <w:noProof/>
          <w:szCs w:val="24"/>
          <w:bdr w:val="nil"/>
        </w:rPr>
        <w:t>Prior to the adoption of all the delegated acts referred to above, the Commission consulted experts from the Member States and the representatives of the European Parliament.</w:t>
      </w:r>
    </w:p>
    <w:p w14:paraId="34069AFD" w14:textId="5AC6950E" w:rsidR="009027F9" w:rsidRPr="00493BC7" w:rsidRDefault="009027F9" w:rsidP="00493BC7">
      <w:p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sidRPr="00B26C31">
        <w:rPr>
          <w:rFonts w:eastAsia="Arial Unicode MS" w:cs="Times New Roman"/>
          <w:noProof/>
          <w:szCs w:val="24"/>
          <w:bdr w:val="nil"/>
        </w:rPr>
        <w:t xml:space="preserve">NOTE: </w:t>
      </w:r>
      <w:r w:rsidRPr="00B26C31">
        <w:rPr>
          <w:rFonts w:eastAsia="Arial Unicode MS" w:cs="Times New Roman"/>
          <w:i/>
          <w:noProof/>
          <w:szCs w:val="24"/>
          <w:bdr w:val="nil"/>
        </w:rPr>
        <w:t xml:space="preserve">Commission Delegated Regulation </w:t>
      </w:r>
      <w:r w:rsidR="00723E36" w:rsidRPr="00723E36">
        <w:rPr>
          <w:rFonts w:eastAsia="Arial Unicode MS" w:cs="Times New Roman"/>
          <w:i/>
          <w:noProof/>
          <w:szCs w:val="24"/>
          <w:bdr w:val="nil"/>
        </w:rPr>
        <w:t>(EU) 2022/1358 of 2 June 2022</w:t>
      </w:r>
      <w:r w:rsidRPr="00B26C31">
        <w:rPr>
          <w:rFonts w:eastAsia="Arial Unicode MS" w:cs="Times New Roman"/>
          <w:i/>
          <w:noProof/>
          <w:szCs w:val="24"/>
          <w:bdr w:val="nil"/>
        </w:rPr>
        <w:t xml:space="preserve"> amending Commission Regulation (EU) No 748/2012 as regards the implementation of more proportionate requirements for aircraft used for sport and recreational aviation (Part 21 Light)</w:t>
      </w:r>
      <w:r w:rsidRPr="00B26C31">
        <w:rPr>
          <w:noProof/>
        </w:rPr>
        <w:t xml:space="preserve"> was </w:t>
      </w:r>
      <w:r w:rsidRPr="00B26C31">
        <w:rPr>
          <w:rFonts w:eastAsia="Arial Unicode MS" w:cs="Times New Roman"/>
          <w:noProof/>
          <w:szCs w:val="24"/>
          <w:bdr w:val="nil"/>
        </w:rPr>
        <w:t xml:space="preserve">adopted on 02/06/2022 </w:t>
      </w:r>
      <w:r w:rsidR="00B26C31">
        <w:rPr>
          <w:rFonts w:eastAsia="Arial Unicode MS" w:cs="Times New Roman"/>
          <w:noProof/>
          <w:szCs w:val="24"/>
          <w:bdr w:val="nil"/>
        </w:rPr>
        <w:t xml:space="preserve">and </w:t>
      </w:r>
      <w:r w:rsidRPr="00B26C31">
        <w:rPr>
          <w:rFonts w:eastAsia="Arial Unicode MS" w:cs="Times New Roman"/>
          <w:noProof/>
          <w:szCs w:val="24"/>
          <w:bdr w:val="nil"/>
        </w:rPr>
        <w:t>is currently under scrutiny by the European Parliament and the Council</w:t>
      </w:r>
      <w:r w:rsidR="00B26C31">
        <w:rPr>
          <w:rFonts w:eastAsia="Arial Unicode MS" w:cs="Times New Roman"/>
          <w:noProof/>
          <w:szCs w:val="24"/>
          <w:bdr w:val="nil"/>
        </w:rPr>
        <w:t xml:space="preserve"> for 2 months</w:t>
      </w:r>
      <w:r w:rsidRPr="00B26C31">
        <w:rPr>
          <w:rFonts w:eastAsia="Arial Unicode MS" w:cs="Times New Roman"/>
          <w:noProof/>
          <w:szCs w:val="24"/>
          <w:bdr w:val="nil"/>
        </w:rPr>
        <w:t>. This Regulation provides a lighter approach to the certification of general aviation aircraft, and introduces the possibility for a declaration of design compliance to be submitted as an alternative to certification. It also provides for the possibility to demonstrate design and production capabilities through a declaration, instead of an approval, and for certain low-risk production activities the demonstration of production capabilities is not required at all. It is expected that the barriers to the entry into the European regulatory system will be lowered while maint</w:t>
      </w:r>
      <w:r w:rsidR="00C86A07" w:rsidRPr="00B26C31">
        <w:rPr>
          <w:rFonts w:eastAsia="Arial Unicode MS" w:cs="Times New Roman"/>
          <w:noProof/>
          <w:szCs w:val="24"/>
          <w:bdr w:val="nil"/>
        </w:rPr>
        <w:t xml:space="preserve">aining aviation safety </w:t>
      </w:r>
      <w:r w:rsidRPr="00B26C31">
        <w:rPr>
          <w:rFonts w:eastAsia="Arial Unicode MS" w:cs="Times New Roman"/>
          <w:noProof/>
          <w:szCs w:val="24"/>
          <w:bdr w:val="nil"/>
        </w:rPr>
        <w:t xml:space="preserve">and </w:t>
      </w:r>
      <w:r w:rsidR="00C86A07" w:rsidRPr="00B26C31">
        <w:rPr>
          <w:rFonts w:eastAsia="Arial Unicode MS" w:cs="Times New Roman"/>
          <w:noProof/>
          <w:szCs w:val="24"/>
          <w:bdr w:val="nil"/>
        </w:rPr>
        <w:t xml:space="preserve">that it will </w:t>
      </w:r>
      <w:r w:rsidRPr="00B26C31">
        <w:rPr>
          <w:rFonts w:eastAsia="Arial Unicode MS" w:cs="Times New Roman"/>
          <w:noProof/>
          <w:szCs w:val="24"/>
          <w:bdr w:val="nil"/>
        </w:rPr>
        <w:t>permit the easier development of new aircraft types.</w:t>
      </w:r>
    </w:p>
    <w:p w14:paraId="56BE9DCA" w14:textId="77777777" w:rsidR="00493BC7" w:rsidRPr="00493BC7" w:rsidRDefault="00493BC7" w:rsidP="00493BC7">
      <w:p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p>
    <w:p w14:paraId="69B840A5" w14:textId="77777777" w:rsidR="00493BC7" w:rsidRPr="00493BC7" w:rsidRDefault="00493BC7" w:rsidP="00493BC7">
      <w:pPr>
        <w:pBdr>
          <w:top w:val="nil"/>
          <w:left w:val="nil"/>
          <w:bottom w:val="nil"/>
          <w:right w:val="nil"/>
          <w:between w:val="nil"/>
          <w:bar w:val="nil"/>
        </w:pBdr>
        <w:spacing w:before="0" w:beforeAutospacing="0" w:after="0" w:afterAutospacing="0"/>
        <w:jc w:val="both"/>
        <w:rPr>
          <w:rFonts w:eastAsia="Arial Unicode MS" w:cs="Times New Roman"/>
          <w:b/>
          <w:noProof/>
          <w:szCs w:val="24"/>
          <w:bdr w:val="nil"/>
        </w:rPr>
      </w:pPr>
      <w:r w:rsidRPr="00493BC7">
        <w:rPr>
          <w:rFonts w:eastAsia="Arial Unicode MS" w:cs="Times New Roman"/>
          <w:b/>
          <w:noProof/>
          <w:szCs w:val="24"/>
          <w:bdr w:val="nil"/>
        </w:rPr>
        <w:t xml:space="preserve">4. </w:t>
      </w:r>
      <w:r w:rsidRPr="00493BC7">
        <w:rPr>
          <w:rFonts w:eastAsia="Arial Unicode MS" w:cs="Times New Roman"/>
          <w:b/>
          <w:noProof/>
          <w:szCs w:val="24"/>
          <w:bdr w:val="nil"/>
        </w:rPr>
        <w:tab/>
        <w:t>CONCLUSION AND OUTLOOK FOR THE FUTURE</w:t>
      </w:r>
    </w:p>
    <w:p w14:paraId="67ADC41F" w14:textId="36141469" w:rsidR="00AD142E" w:rsidRDefault="00AD142E" w:rsidP="00493BC7">
      <w:p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rFonts w:eastAsia="Arial Unicode MS" w:cs="Times New Roman"/>
          <w:noProof/>
          <w:szCs w:val="24"/>
          <w:bdr w:val="nil"/>
        </w:rPr>
        <w:t xml:space="preserve">The Commission has exercised its empowerment to adopt all these Delegated Regulations with the objective to improve </w:t>
      </w:r>
      <w:r w:rsidR="001D7498">
        <w:rPr>
          <w:rFonts w:eastAsia="Arial Unicode MS" w:cs="Times New Roman"/>
          <w:noProof/>
          <w:szCs w:val="24"/>
          <w:bdr w:val="nil"/>
        </w:rPr>
        <w:t xml:space="preserve">air </w:t>
      </w:r>
      <w:r>
        <w:rPr>
          <w:rFonts w:eastAsia="Arial Unicode MS" w:cs="Times New Roman"/>
          <w:noProof/>
          <w:szCs w:val="24"/>
          <w:bdr w:val="nil"/>
        </w:rPr>
        <w:t>safety accross almost every operational domain mandated by Regulation (EU) 2018/1139.</w:t>
      </w:r>
    </w:p>
    <w:p w14:paraId="5C94FA38" w14:textId="58950355" w:rsidR="00493BC7" w:rsidRPr="00493BC7" w:rsidRDefault="00493BC7" w:rsidP="00493BC7">
      <w:p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sidRPr="00493BC7">
        <w:rPr>
          <w:rFonts w:eastAsia="Arial Unicode MS" w:cs="Times New Roman"/>
          <w:noProof/>
          <w:szCs w:val="24"/>
          <w:bdr w:val="nil"/>
        </w:rPr>
        <w:t>The Commission invites the European Parliament and the Council to take note of this Report.</w:t>
      </w:r>
    </w:p>
    <w:p w14:paraId="5A500EFC" w14:textId="653196B4" w:rsidR="00493BC7" w:rsidRPr="00493BC7" w:rsidRDefault="00493BC7" w:rsidP="00493BC7">
      <w:p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sidRPr="00493BC7">
        <w:rPr>
          <w:rFonts w:eastAsia="Arial Unicode MS" w:cs="Times New Roman"/>
          <w:noProof/>
          <w:szCs w:val="24"/>
          <w:bdr w:val="nil"/>
        </w:rPr>
        <w:t xml:space="preserve">In the future, the Commission plans to use its delegated powers for further </w:t>
      </w:r>
      <w:r w:rsidR="00A35096">
        <w:rPr>
          <w:rFonts w:eastAsia="Arial Unicode MS" w:cs="Times New Roman"/>
          <w:noProof/>
          <w:szCs w:val="24"/>
          <w:bdr w:val="nil"/>
        </w:rPr>
        <w:t>implementation of Regulation (EU) 2018/1139.</w:t>
      </w:r>
    </w:p>
    <w:p w14:paraId="041929AE" w14:textId="77777777" w:rsidR="00493BC7" w:rsidRDefault="00493BC7" w:rsidP="00BE672B">
      <w:pPr>
        <w:spacing w:before="120" w:beforeAutospacing="0" w:after="120" w:afterAutospacing="0"/>
        <w:jc w:val="both"/>
        <w:rPr>
          <w:rFonts w:cs="Times New Roman"/>
          <w:noProof/>
          <w:szCs w:val="24"/>
        </w:rPr>
      </w:pPr>
    </w:p>
    <w:p w14:paraId="4F6D1162" w14:textId="67474E36" w:rsidR="009E780C" w:rsidRPr="00276511" w:rsidRDefault="009E780C" w:rsidP="00276511">
      <w:pPr>
        <w:spacing w:before="120" w:beforeAutospacing="0" w:after="120" w:afterAutospacing="0"/>
        <w:jc w:val="both"/>
        <w:rPr>
          <w:rFonts w:cs="Times New Roman"/>
          <w:noProof/>
          <w:szCs w:val="24"/>
        </w:rPr>
      </w:pPr>
    </w:p>
    <w:sectPr w:rsidR="009E780C" w:rsidRPr="00276511" w:rsidSect="00AA7D50">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pgMar w:top="1417" w:right="1417" w:bottom="1417" w:left="1417" w:header="708" w:footer="708" w:gutter="0"/>
      <w:pgNumType w:start="2"/>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0D804" w16cid:durableId="26506A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F9F15" w14:textId="77777777" w:rsidR="00030F0A" w:rsidRDefault="00030F0A" w:rsidP="00224CBD">
      <w:pPr>
        <w:spacing w:after="0"/>
      </w:pPr>
      <w:r>
        <w:separator/>
      </w:r>
    </w:p>
  </w:endnote>
  <w:endnote w:type="continuationSeparator" w:id="0">
    <w:p w14:paraId="1673665D" w14:textId="77777777" w:rsidR="00030F0A" w:rsidRDefault="00030F0A" w:rsidP="00224CBD">
      <w:pPr>
        <w:spacing w:after="0"/>
      </w:pPr>
      <w:r>
        <w:continuationSeparator/>
      </w:r>
    </w:p>
  </w:endnote>
  <w:endnote w:type="continuationNotice" w:id="1">
    <w:p w14:paraId="563AF95D" w14:textId="77777777" w:rsidR="00030F0A" w:rsidRDefault="00030F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EDCBB" w14:textId="77777777" w:rsidR="00CF6DBF" w:rsidRPr="00CF6DBF" w:rsidRDefault="00CF6DBF" w:rsidP="00CF6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5E86" w14:textId="191B3565" w:rsidR="00493BC7" w:rsidRPr="00CF6DBF" w:rsidRDefault="00CF6DBF" w:rsidP="00CF6DBF">
    <w:pPr>
      <w:pStyle w:val="FooterCoverPage"/>
      <w:rPr>
        <w:rFonts w:ascii="Arial" w:hAnsi="Arial" w:cs="Arial"/>
        <w:b/>
        <w:sz w:val="48"/>
      </w:rPr>
    </w:pPr>
    <w:r w:rsidRPr="00CF6DBF">
      <w:rPr>
        <w:rFonts w:ascii="Arial" w:hAnsi="Arial" w:cs="Arial"/>
        <w:b/>
        <w:sz w:val="48"/>
      </w:rPr>
      <w:t>EN</w:t>
    </w:r>
    <w:r w:rsidRPr="00CF6DBF">
      <w:rPr>
        <w:rFonts w:ascii="Arial" w:hAnsi="Arial" w:cs="Arial"/>
        <w:b/>
        <w:sz w:val="48"/>
      </w:rPr>
      <w:tab/>
    </w:r>
    <w:r w:rsidRPr="00CF6DBF">
      <w:rPr>
        <w:rFonts w:ascii="Arial" w:hAnsi="Arial" w:cs="Arial"/>
        <w:b/>
        <w:sz w:val="48"/>
      </w:rPr>
      <w:tab/>
    </w:r>
    <w:r w:rsidRPr="00CF6DBF">
      <w:tab/>
    </w:r>
    <w:r w:rsidRPr="00CF6DB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CD16B" w14:textId="77777777" w:rsidR="00CF6DBF" w:rsidRPr="00CF6DBF" w:rsidRDefault="00CF6DBF" w:rsidP="00CF6DB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084E0" w14:textId="77777777" w:rsidR="001C03B7" w:rsidRDefault="001C03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406424"/>
      <w:docPartObj>
        <w:docPartGallery w:val="Page Numbers (Bottom of Page)"/>
        <w:docPartUnique/>
      </w:docPartObj>
    </w:sdtPr>
    <w:sdtEndPr>
      <w:rPr>
        <w:noProof/>
      </w:rPr>
    </w:sdtEndPr>
    <w:sdtContent>
      <w:p w14:paraId="50022C0E" w14:textId="339FF276" w:rsidR="001C03B7" w:rsidRDefault="001C03B7">
        <w:pPr>
          <w:pStyle w:val="Footer"/>
          <w:jc w:val="center"/>
        </w:pPr>
        <w:r>
          <w:fldChar w:fldCharType="begin"/>
        </w:r>
        <w:r>
          <w:instrText xml:space="preserve"> PAGE   \* MERGEFORMAT </w:instrText>
        </w:r>
        <w:r>
          <w:fldChar w:fldCharType="separate"/>
        </w:r>
        <w:r w:rsidR="00CF6DBF">
          <w:rPr>
            <w:noProof/>
          </w:rPr>
          <w:t>2</w:t>
        </w:r>
        <w:r>
          <w:rPr>
            <w:noProof/>
          </w:rPr>
          <w:fldChar w:fldCharType="end"/>
        </w:r>
      </w:p>
    </w:sdtContent>
  </w:sdt>
  <w:p w14:paraId="7E61027A" w14:textId="77777777" w:rsidR="001C03B7" w:rsidRDefault="001C03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AB68A" w14:textId="77777777" w:rsidR="001C03B7" w:rsidRDefault="001C0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181A0" w14:textId="77777777" w:rsidR="00030F0A" w:rsidRDefault="00030F0A" w:rsidP="00224CBD">
      <w:pPr>
        <w:spacing w:after="0"/>
      </w:pPr>
      <w:r>
        <w:separator/>
      </w:r>
    </w:p>
  </w:footnote>
  <w:footnote w:type="continuationSeparator" w:id="0">
    <w:p w14:paraId="4140A334" w14:textId="77777777" w:rsidR="00030F0A" w:rsidRDefault="00030F0A" w:rsidP="00224CBD">
      <w:pPr>
        <w:spacing w:after="0"/>
      </w:pPr>
      <w:r>
        <w:continuationSeparator/>
      </w:r>
    </w:p>
  </w:footnote>
  <w:footnote w:type="continuationNotice" w:id="1">
    <w:p w14:paraId="1405FBE0" w14:textId="77777777" w:rsidR="00030F0A" w:rsidRDefault="00030F0A">
      <w:pPr>
        <w:spacing w:before="0" w:after="0"/>
      </w:pPr>
    </w:p>
  </w:footnote>
  <w:footnote w:id="2">
    <w:p w14:paraId="4C5BAED1" w14:textId="74538970" w:rsidR="00493BC7" w:rsidRDefault="00493BC7" w:rsidP="00493BC7">
      <w:pPr>
        <w:pStyle w:val="FootnoteText"/>
        <w:rPr>
          <w:rFonts w:cs="Times New Roman"/>
        </w:rPr>
      </w:pPr>
      <w:r>
        <w:rPr>
          <w:rStyle w:val="FootnoteReference"/>
          <w:rFonts w:cs="Times New Roman"/>
        </w:rPr>
        <w:footnoteRef/>
      </w:r>
      <w:r>
        <w:rPr>
          <w:rFonts w:cs="Times New Roman"/>
        </w:rPr>
        <w:t xml:space="preserve"> OJ L </w:t>
      </w:r>
      <w:r w:rsidR="00AC7010">
        <w:rPr>
          <w:rFonts w:cs="Times New Roman"/>
        </w:rPr>
        <w:t>212</w:t>
      </w:r>
      <w:r>
        <w:rPr>
          <w:rFonts w:cs="Times New Roman"/>
        </w:rPr>
        <w:t>, 2</w:t>
      </w:r>
      <w:r w:rsidR="00AC7010">
        <w:rPr>
          <w:rFonts w:cs="Times New Roman"/>
        </w:rPr>
        <w:t>2</w:t>
      </w:r>
      <w:r>
        <w:rPr>
          <w:rFonts w:cs="Times New Roman"/>
        </w:rPr>
        <w:t>.</w:t>
      </w:r>
      <w:r w:rsidR="00AC7010">
        <w:rPr>
          <w:rFonts w:cs="Times New Roman"/>
        </w:rPr>
        <w:t>08.2018</w:t>
      </w:r>
      <w:r>
        <w:rPr>
          <w:rFonts w:cs="Times New Roman"/>
        </w:rPr>
        <w:t>, p. 1</w:t>
      </w:r>
    </w:p>
  </w:footnote>
  <w:footnote w:id="3">
    <w:p w14:paraId="38F02ECC" w14:textId="71AEF9A3" w:rsidR="00552672" w:rsidRPr="00552672" w:rsidRDefault="00552672">
      <w:pPr>
        <w:pStyle w:val="FootnoteText"/>
        <w:rPr>
          <w:lang w:val="en-US"/>
        </w:rPr>
      </w:pPr>
      <w:r>
        <w:rPr>
          <w:rStyle w:val="FootnoteReference"/>
        </w:rPr>
        <w:footnoteRef/>
      </w:r>
      <w:r>
        <w:t xml:space="preserve"> </w:t>
      </w:r>
      <w:r w:rsidRPr="00552672">
        <w:t>Commission Delegated Regulation (EU) 2019/945 of 12 March 2019 on unmanned aircraft systems and on third-country operators of unmanned aircraft systems</w:t>
      </w:r>
      <w:r w:rsidR="00246EFA">
        <w:t xml:space="preserve"> (</w:t>
      </w:r>
      <w:r w:rsidR="006A153D">
        <w:t>OJ L 152</w:t>
      </w:r>
      <w:r w:rsidR="006A153D" w:rsidRPr="00262D7C">
        <w:t xml:space="preserve">, </w:t>
      </w:r>
      <w:r w:rsidR="006A153D">
        <w:t>11</w:t>
      </w:r>
      <w:r w:rsidR="006A153D" w:rsidRPr="00262D7C">
        <w:t>.</w:t>
      </w:r>
      <w:r w:rsidR="006A153D">
        <w:t>6.2019, p.1</w:t>
      </w:r>
      <w:r w:rsidR="00246EFA">
        <w:t>)</w:t>
      </w:r>
      <w:r w:rsidR="006A153D">
        <w:t>.</w:t>
      </w:r>
    </w:p>
  </w:footnote>
  <w:footnote w:id="4">
    <w:p w14:paraId="553F02A2" w14:textId="5D5C8339" w:rsidR="00552672" w:rsidRPr="00552672" w:rsidRDefault="00552672" w:rsidP="00E27CEA">
      <w:pPr>
        <w:pStyle w:val="FootnoteText"/>
        <w:spacing w:after="100"/>
        <w:contextualSpacing/>
        <w:rPr>
          <w:lang w:val="en-US"/>
        </w:rPr>
      </w:pPr>
      <w:r>
        <w:rPr>
          <w:rStyle w:val="FootnoteReference"/>
        </w:rPr>
        <w:footnoteRef/>
      </w:r>
      <w:r>
        <w:t xml:space="preserve"> </w:t>
      </w:r>
      <w:r w:rsidRPr="00552672">
        <w:t>Commission Delegated Regulation (EU) 2019/897 of 12 March 2019 amending Regulation (EU) No 748/2012 as regards the inclusion of risk-based compliance verification in Annex I and the implementation of requirements for environmental protection</w:t>
      </w:r>
      <w:r w:rsidR="00E27CEA">
        <w:t xml:space="preserve"> (</w:t>
      </w:r>
      <w:r w:rsidR="00262D7C">
        <w:t>OJ L 14</w:t>
      </w:r>
      <w:r w:rsidR="00262D7C" w:rsidRPr="00262D7C">
        <w:t xml:space="preserve">6, </w:t>
      </w:r>
      <w:r w:rsidR="00262D7C">
        <w:t>5</w:t>
      </w:r>
      <w:r w:rsidR="00262D7C" w:rsidRPr="00262D7C">
        <w:t>.</w:t>
      </w:r>
      <w:r w:rsidR="00262D7C">
        <w:t>6.2019, p.116</w:t>
      </w:r>
      <w:r w:rsidR="00E27CEA">
        <w:t>)</w:t>
      </w:r>
      <w:r w:rsidR="00262D7C">
        <w:t>.</w:t>
      </w:r>
    </w:p>
  </w:footnote>
  <w:footnote w:id="5">
    <w:p w14:paraId="58DC64BF" w14:textId="3F6E017B" w:rsidR="00E27CEA" w:rsidRPr="00E27CEA" w:rsidRDefault="00E27CEA" w:rsidP="00E27CEA">
      <w:pPr>
        <w:pStyle w:val="FootnoteText"/>
        <w:spacing w:after="100"/>
        <w:contextualSpacing/>
        <w:rPr>
          <w:lang w:val="en-US"/>
        </w:rPr>
      </w:pPr>
      <w:r>
        <w:rPr>
          <w:rStyle w:val="FootnoteReference"/>
        </w:rPr>
        <w:footnoteRef/>
      </w:r>
      <w:r>
        <w:t xml:space="preserve"> Commission Regulation (EU) No 748/2012 of 3 August 2012 laying down implementing rules for the airworthiness and environmental certification of aircraft and related products, parts and appliances, as well as for the certification of design and </w:t>
      </w:r>
      <w:r w:rsidRPr="00E27CEA">
        <w:rPr>
          <w:lang w:val="en-US"/>
        </w:rPr>
        <w:t xml:space="preserve">production </w:t>
      </w:r>
      <w:r w:rsidRPr="00E27CEA">
        <w:t>organisations</w:t>
      </w:r>
      <w:r w:rsidRPr="00E27CEA">
        <w:rPr>
          <w:lang w:val="en-US"/>
        </w:rPr>
        <w:t xml:space="preserve"> (OJ L 224, 21.8.2012, p. 1).</w:t>
      </w:r>
      <w:r>
        <w:rPr>
          <w:lang w:val="en-US"/>
        </w:rPr>
        <w:t xml:space="preserve"> </w:t>
      </w:r>
    </w:p>
  </w:footnote>
  <w:footnote w:id="6">
    <w:p w14:paraId="2F6D22AE" w14:textId="34B5A503" w:rsidR="00552672" w:rsidRPr="00552672" w:rsidRDefault="00552672" w:rsidP="00E27CEA">
      <w:pPr>
        <w:pStyle w:val="FootnoteText"/>
        <w:spacing w:after="100"/>
        <w:contextualSpacing/>
        <w:rPr>
          <w:lang w:val="en-US"/>
        </w:rPr>
      </w:pPr>
      <w:r>
        <w:rPr>
          <w:rStyle w:val="FootnoteReference"/>
        </w:rPr>
        <w:footnoteRef/>
      </w:r>
      <w:r>
        <w:t xml:space="preserve"> </w:t>
      </w:r>
      <w:r w:rsidR="00012AAD" w:rsidRPr="00012AAD">
        <w:t>Commission Delegated Regulation (EU) 2020/570 of 28 January 2020 amending and correcting Regulation (EU) No 748/2012 as regards the alignment of rules for continuing airworthiness of aircraft and aeronautical products, parts and appliances with Regulation (EU) No 1321/2014</w:t>
      </w:r>
      <w:r w:rsidR="000143C8">
        <w:t xml:space="preserve"> </w:t>
      </w:r>
      <w:r w:rsidR="00E27CEA">
        <w:t>(</w:t>
      </w:r>
      <w:r w:rsidR="000143C8">
        <w:t>OJ L 132</w:t>
      </w:r>
      <w:r w:rsidR="000143C8" w:rsidRPr="00262D7C">
        <w:t xml:space="preserve">, </w:t>
      </w:r>
      <w:r w:rsidR="000143C8">
        <w:t>27.04.2020, p.1</w:t>
      </w:r>
      <w:r w:rsidR="00E27CEA">
        <w:t>)</w:t>
      </w:r>
      <w:r w:rsidR="000143C8">
        <w:t>.</w:t>
      </w:r>
    </w:p>
  </w:footnote>
  <w:footnote w:id="7">
    <w:p w14:paraId="19E02383" w14:textId="5E4E64CD" w:rsidR="00DA36DE" w:rsidRPr="00DA36DE" w:rsidRDefault="00DA36DE" w:rsidP="00DA36DE">
      <w:pPr>
        <w:pStyle w:val="FootnoteText"/>
      </w:pPr>
      <w:r>
        <w:rPr>
          <w:rStyle w:val="FootnoteReference"/>
        </w:rPr>
        <w:footnoteRef/>
      </w:r>
      <w:r>
        <w:t xml:space="preserve"> Commission Regulation (EU) No 1321/2014 of 26 November 2014 on the continuing airworthiness of aircraft and aeronautical products, parts and appliances, and on the approval of organisations and personnel involved in these tasks (OJ L 362, 17.12.2014, p. 1).</w:t>
      </w:r>
    </w:p>
  </w:footnote>
  <w:footnote w:id="8">
    <w:p w14:paraId="2036EDB4" w14:textId="0D7AFC77" w:rsidR="00DD1AAE" w:rsidRPr="007A31C9" w:rsidRDefault="00DD1AAE" w:rsidP="00DA36DE">
      <w:pPr>
        <w:pStyle w:val="FootnoteText"/>
        <w:spacing w:after="100"/>
        <w:contextualSpacing/>
        <w:jc w:val="both"/>
        <w:rPr>
          <w:lang w:val="en-US"/>
        </w:rPr>
      </w:pPr>
      <w:r>
        <w:rPr>
          <w:rStyle w:val="FootnoteReference"/>
        </w:rPr>
        <w:footnoteRef/>
      </w:r>
      <w:r>
        <w:t xml:space="preserve"> </w:t>
      </w:r>
      <w:r w:rsidRPr="007A31C9">
        <w:t>Commission Delegated Regulation (EU) 2020/723 of 4 March 2020 laying down detailed rules with regard to the acceptance of third-country certification of pilots and amending Regulation (EU) No 1178/2011</w:t>
      </w:r>
      <w:r>
        <w:t xml:space="preserve"> </w:t>
      </w:r>
      <w:r w:rsidR="00E27CEA">
        <w:t>(</w:t>
      </w:r>
      <w:r>
        <w:t>OJ L 170, 2.6.2020, p.1</w:t>
      </w:r>
      <w:r w:rsidR="00E27CEA">
        <w:t>)</w:t>
      </w:r>
      <w:r>
        <w:t>.</w:t>
      </w:r>
    </w:p>
  </w:footnote>
  <w:footnote w:id="9">
    <w:p w14:paraId="38DC344A" w14:textId="6F0A6836" w:rsidR="00E5462B" w:rsidRPr="00E5462B" w:rsidRDefault="00E5462B" w:rsidP="00DA36DE">
      <w:pPr>
        <w:pStyle w:val="FootnoteText"/>
        <w:spacing w:after="100"/>
        <w:contextualSpacing/>
        <w:jc w:val="both"/>
      </w:pPr>
      <w:r>
        <w:rPr>
          <w:rStyle w:val="FootnoteReference"/>
        </w:rPr>
        <w:footnoteRef/>
      </w:r>
      <w:r>
        <w:t xml:space="preserve"> Commission Regulation (EU) No 1178/2011 of 3 November 2011 laying down technical requirements and administrative procedures related to civil aviation aircrew pursuant to Regulation (EC) No 216/2008 of the European Parliament and of the Council (OJ L 311, 25.11.2011, p. 1).</w:t>
      </w:r>
    </w:p>
  </w:footnote>
  <w:footnote w:id="10">
    <w:p w14:paraId="42CC3824" w14:textId="0C743D1F" w:rsidR="0085742D" w:rsidRPr="007A31C9" w:rsidRDefault="0085742D" w:rsidP="00DA36DE">
      <w:pPr>
        <w:pStyle w:val="FootnoteText"/>
        <w:spacing w:after="100"/>
        <w:contextualSpacing/>
        <w:jc w:val="both"/>
        <w:rPr>
          <w:lang w:val="en-US"/>
        </w:rPr>
      </w:pPr>
      <w:r>
        <w:rPr>
          <w:rStyle w:val="FootnoteReference"/>
        </w:rPr>
        <w:footnoteRef/>
      </w:r>
      <w:r>
        <w:t xml:space="preserve"> </w:t>
      </w:r>
      <w:r w:rsidRPr="007A31C9">
        <w:t>Commission Delegated Regulation (EU) 2020/1058 of 27 April 2020 amending Delegated Regulation (EU) 2019/945 as regards the introduction of two new unmanned aircraft systems classes</w:t>
      </w:r>
      <w:r w:rsidR="00DA36DE">
        <w:t xml:space="preserve"> (</w:t>
      </w:r>
      <w:r w:rsidR="000A7696">
        <w:t>OJ L 232, 20.7.2020, p.1</w:t>
      </w:r>
      <w:r w:rsidR="00DA36DE">
        <w:t>)</w:t>
      </w:r>
      <w:r w:rsidR="000A7696">
        <w:t>.</w:t>
      </w:r>
    </w:p>
  </w:footnote>
  <w:footnote w:id="11">
    <w:p w14:paraId="456B1884" w14:textId="45CE1C6B" w:rsidR="007039BD" w:rsidRPr="007A31C9" w:rsidRDefault="007039BD" w:rsidP="00DA36DE">
      <w:pPr>
        <w:pStyle w:val="FootnoteText"/>
        <w:spacing w:after="100"/>
        <w:contextualSpacing/>
        <w:jc w:val="both"/>
        <w:rPr>
          <w:lang w:val="en-US"/>
        </w:rPr>
      </w:pPr>
      <w:r>
        <w:rPr>
          <w:rStyle w:val="FootnoteReference"/>
        </w:rPr>
        <w:footnoteRef/>
      </w:r>
      <w:r>
        <w:t xml:space="preserve"> </w:t>
      </w:r>
      <w:r w:rsidRPr="007A31C9">
        <w:t>Commission Delegated Regulation (EU) 2020/1234 of 9 June 2020 amending Regulation (EU) No 139/2014 as regards the conditions and procedures for the declaration by organisations responsible for the provision of apron management services</w:t>
      </w:r>
      <w:r w:rsidR="00DA36DE">
        <w:t xml:space="preserve"> (</w:t>
      </w:r>
      <w:r>
        <w:t>OJ L 282, 31.08.2020, p.1</w:t>
      </w:r>
      <w:r w:rsidR="00DA36DE">
        <w:t>).</w:t>
      </w:r>
    </w:p>
  </w:footnote>
  <w:footnote w:id="12">
    <w:p w14:paraId="34186B00" w14:textId="3616ED55" w:rsidR="00F058F1" w:rsidRPr="007A31C9" w:rsidRDefault="00F058F1" w:rsidP="00DA36DE">
      <w:pPr>
        <w:pStyle w:val="FootnoteText"/>
        <w:spacing w:after="100"/>
        <w:contextualSpacing/>
        <w:jc w:val="both"/>
        <w:rPr>
          <w:lang w:val="en-US"/>
        </w:rPr>
      </w:pPr>
      <w:r>
        <w:rPr>
          <w:rStyle w:val="FootnoteReference"/>
        </w:rPr>
        <w:footnoteRef/>
      </w:r>
      <w:r>
        <w:t xml:space="preserve"> </w:t>
      </w:r>
      <w:r w:rsidRPr="007A31C9">
        <w:t>Commission Delegated Regulation (EU) 2020/2034 of 6 October 2020 supplementing Regulation (EU) No 376/2014 of the European Parliament and of the Council as regards the common European risk classification scheme</w:t>
      </w:r>
      <w:r w:rsidR="00DA36DE">
        <w:t xml:space="preserve"> (</w:t>
      </w:r>
      <w:r w:rsidR="001D11E4">
        <w:t>OJ L 416, 11.12.2020, p.1</w:t>
      </w:r>
      <w:r w:rsidR="00DA36DE">
        <w:t>).</w:t>
      </w:r>
    </w:p>
  </w:footnote>
  <w:footnote w:id="13">
    <w:p w14:paraId="553E4325" w14:textId="2A5678D6" w:rsidR="001D11E4" w:rsidRPr="007A31C9" w:rsidRDefault="001D11E4" w:rsidP="00DA36DE">
      <w:pPr>
        <w:pStyle w:val="FootnoteText"/>
        <w:spacing w:after="100"/>
        <w:contextualSpacing/>
        <w:jc w:val="both"/>
        <w:rPr>
          <w:lang w:val="en-US"/>
        </w:rPr>
      </w:pPr>
      <w:r>
        <w:rPr>
          <w:rStyle w:val="FootnoteReference"/>
        </w:rPr>
        <w:footnoteRef/>
      </w:r>
      <w:r>
        <w:t xml:space="preserve"> </w:t>
      </w:r>
      <w:r w:rsidRPr="007A31C9">
        <w:t>Commission delegated Regulation (EU) 2020/2148 of 8 October 2020 amending Regulation (EU) No 139/2014 as regards runway safety and aeronautical data</w:t>
      </w:r>
      <w:r w:rsidR="00DA36DE">
        <w:t xml:space="preserve"> (</w:t>
      </w:r>
      <w:r>
        <w:t>OJ L 428, 18.12.2020, p.10</w:t>
      </w:r>
      <w:r w:rsidR="00DA36DE">
        <w:t>).</w:t>
      </w:r>
    </w:p>
  </w:footnote>
  <w:footnote w:id="14">
    <w:p w14:paraId="2383A1F1" w14:textId="7992FFE4" w:rsidR="00DA36DE" w:rsidRPr="00DA36DE" w:rsidRDefault="00DA36DE" w:rsidP="00DA36DE">
      <w:pPr>
        <w:pStyle w:val="FootnoteText"/>
        <w:jc w:val="both"/>
      </w:pPr>
      <w:r>
        <w:rPr>
          <w:rStyle w:val="FootnoteReference"/>
        </w:rPr>
        <w:footnoteRef/>
      </w:r>
      <w:r>
        <w:t xml:space="preserve"> Commission Regulation (EU) No 139/2014 of 12 February 2014 laying down requirements and administrative procedures related to aerodromes pursuant to Regulation (EC) No 216/2008 of the European Parliament and of the Council (OJ L 44, 14.2.2014, p. 1). </w:t>
      </w:r>
      <w:r>
        <w:cr/>
      </w:r>
    </w:p>
  </w:footnote>
  <w:footnote w:id="15">
    <w:p w14:paraId="3491662C" w14:textId="1D283FB9" w:rsidR="0042629B" w:rsidRPr="005D36AE" w:rsidRDefault="0042629B" w:rsidP="005D36AE">
      <w:pPr>
        <w:pStyle w:val="FootnoteText"/>
        <w:spacing w:after="100"/>
        <w:contextualSpacing/>
      </w:pPr>
      <w:r>
        <w:rPr>
          <w:rStyle w:val="FootnoteReference"/>
        </w:rPr>
        <w:footnoteRef/>
      </w:r>
      <w:r>
        <w:t xml:space="preserve"> </w:t>
      </w:r>
      <w:r w:rsidRPr="00CE635F">
        <w:t>Commission Delegated Regulation (EU) 2021/699 of 21 December 2020 amending and correcting Regulation (EU) No 748/2012 as regards the instructions for continued airworthiness, the production of parts to be used during maintenance and the consideration of ageing aircraft aspects during certification</w:t>
      </w:r>
      <w:r>
        <w:t>, OJ L 145, 28.4.2021, p.1</w:t>
      </w:r>
    </w:p>
  </w:footnote>
  <w:footnote w:id="16">
    <w:p w14:paraId="4824F2C6" w14:textId="2F19471D" w:rsidR="007E4FE4" w:rsidRPr="00CE635F" w:rsidRDefault="007E4FE4" w:rsidP="000818BB">
      <w:pPr>
        <w:pStyle w:val="FootnoteText"/>
        <w:spacing w:after="100"/>
        <w:contextualSpacing/>
        <w:rPr>
          <w:lang w:val="en-US"/>
        </w:rPr>
      </w:pPr>
      <w:r w:rsidRPr="005D36AE">
        <w:footnoteRef/>
      </w:r>
      <w:r>
        <w:t xml:space="preserve"> </w:t>
      </w:r>
      <w:r w:rsidRPr="00CE635F">
        <w:t>Commission Delegated Regulation (EU) 2021/1087 of 7 April 2021 amending Regulation (EU) 2018/1139 of the European Parliament and of the Council, as regards updating the references to the provisions of the Chicago Conv</w:t>
      </w:r>
      <w:r w:rsidR="005D36AE">
        <w:t>ention</w:t>
      </w:r>
      <w:r>
        <w:t>, OJ L 236, 5.7.2021, p.</w:t>
      </w:r>
      <w:r w:rsidR="005B7423">
        <w:t xml:space="preserve"> </w:t>
      </w:r>
      <w:r>
        <w:t>1</w:t>
      </w:r>
    </w:p>
  </w:footnote>
  <w:footnote w:id="17">
    <w:p w14:paraId="23FA7D18" w14:textId="2F0D516E" w:rsidR="00CA4BD3" w:rsidRPr="00CE635F" w:rsidRDefault="00CA4BD3" w:rsidP="000818BB">
      <w:pPr>
        <w:pStyle w:val="FootnoteText"/>
        <w:spacing w:after="100"/>
        <w:contextualSpacing/>
        <w:rPr>
          <w:lang w:val="en-US"/>
        </w:rPr>
      </w:pPr>
      <w:r>
        <w:rPr>
          <w:rStyle w:val="FootnoteReference"/>
        </w:rPr>
        <w:footnoteRef/>
      </w:r>
      <w:r>
        <w:t xml:space="preserve"> </w:t>
      </w:r>
      <w:r w:rsidRPr="00CE635F">
        <w:t>Commission Delegated Regulation (EU) 2021/1088 of 7 April 2021 amending Regulation (EU) No 748/2012 as regards updating the references to the environmental protection requir</w:t>
      </w:r>
      <w:r w:rsidR="005D36AE">
        <w:t>ements</w:t>
      </w:r>
      <w:r>
        <w:t>, OJ L 236, 5.7.2021, p.</w:t>
      </w:r>
      <w:r w:rsidR="005B7423">
        <w:t xml:space="preserve"> </w:t>
      </w:r>
      <w:r>
        <w:t>3</w:t>
      </w:r>
    </w:p>
  </w:footnote>
  <w:footnote w:id="18">
    <w:p w14:paraId="292F8E13" w14:textId="7E2548DC" w:rsidR="00F837B3" w:rsidRPr="00F837B3" w:rsidRDefault="00F837B3" w:rsidP="00F837B3">
      <w:pPr>
        <w:pStyle w:val="FootnoteText"/>
        <w:spacing w:after="100"/>
        <w:contextualSpacing/>
      </w:pPr>
      <w:r>
        <w:rPr>
          <w:rStyle w:val="FootnoteReference"/>
        </w:rPr>
        <w:footnoteRef/>
      </w:r>
      <w:r>
        <w:t xml:space="preserve"> At </w:t>
      </w:r>
      <w:r w:rsidRPr="00F837B3">
        <w:t>the fifth meeting of its 219th Session</w:t>
      </w:r>
      <w:r>
        <w:t>.</w:t>
      </w:r>
    </w:p>
  </w:footnote>
  <w:footnote w:id="19">
    <w:p w14:paraId="3F27CCC8" w14:textId="3402FB4C" w:rsidR="0015408B" w:rsidRPr="00CE635F" w:rsidRDefault="0015408B" w:rsidP="00F837B3">
      <w:pPr>
        <w:pStyle w:val="FootnoteText"/>
        <w:spacing w:after="100"/>
        <w:contextualSpacing/>
        <w:rPr>
          <w:lang w:val="en-US"/>
        </w:rPr>
      </w:pPr>
      <w:r>
        <w:rPr>
          <w:rStyle w:val="FootnoteReference"/>
        </w:rPr>
        <w:footnoteRef/>
      </w:r>
      <w:r>
        <w:t xml:space="preserve"> </w:t>
      </w:r>
      <w:r w:rsidRPr="00CE635F">
        <w:t>Commission Delegated Regulation (EU) 2022/201 of 10 December 2021 amending Regulation (EU) No 748/2012 as regards management systems and occurrence-reporting systems to be established by design and production organisations, as well as procedures applied by the Agency, and correcting that Regulation</w:t>
      </w:r>
      <w:r w:rsidR="005B7423">
        <w:t>, OJ L 33, 15.2.2022, p. 7</w:t>
      </w:r>
    </w:p>
  </w:footnote>
  <w:footnote w:id="20">
    <w:p w14:paraId="21633CF3" w14:textId="4B1E7971" w:rsidR="00EC5B87" w:rsidRPr="00CE635F" w:rsidRDefault="00EC5B87" w:rsidP="00F837B3">
      <w:pPr>
        <w:pStyle w:val="FootnoteText"/>
        <w:spacing w:after="100"/>
        <w:contextualSpacing/>
        <w:rPr>
          <w:lang w:val="en-US"/>
        </w:rPr>
      </w:pPr>
      <w:r>
        <w:rPr>
          <w:rStyle w:val="FootnoteReference"/>
        </w:rPr>
        <w:footnoteRef/>
      </w:r>
      <w:r>
        <w:t xml:space="preserve"> </w:t>
      </w:r>
      <w:r w:rsidRPr="00CE635F">
        <w:t>Commission Delegated Regulation (EU) 2022/208 of 14 December 2021 amending Regulation (EU) No 139/2014 as regards the requirements for all-weather oper</w:t>
      </w:r>
      <w:r w:rsidR="005D36AE">
        <w:t>ations</w:t>
      </w:r>
      <w:r>
        <w:t>, OJ L 35, 17.2.2022,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6C3EE" w14:textId="77777777" w:rsidR="00CF6DBF" w:rsidRPr="00CF6DBF" w:rsidRDefault="00CF6DBF" w:rsidP="00CF6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2200A" w14:textId="77777777" w:rsidR="00CF6DBF" w:rsidRPr="00CF6DBF" w:rsidRDefault="00CF6DBF" w:rsidP="00CF6DB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F759F" w14:textId="77777777" w:rsidR="00CF6DBF" w:rsidRPr="00CF6DBF" w:rsidRDefault="00CF6DBF" w:rsidP="00CF6DB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B0227" w14:textId="77777777" w:rsidR="001C03B7" w:rsidRDefault="001C03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A1C35" w14:textId="77777777" w:rsidR="001C03B7" w:rsidRDefault="001C03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137E" w14:textId="77777777" w:rsidR="001C03B7" w:rsidRDefault="001C0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15C191C"/>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EF563C02"/>
    <w:lvl w:ilvl="0">
      <w:start w:val="1"/>
      <w:numFmt w:val="decimal"/>
      <w:pStyle w:val="ListNumber"/>
      <w:lvlText w:val="%1."/>
      <w:lvlJc w:val="left"/>
      <w:pPr>
        <w:tabs>
          <w:tab w:val="num" w:pos="360"/>
        </w:tabs>
        <w:ind w:left="360" w:hanging="360"/>
      </w:pPr>
    </w:lvl>
  </w:abstractNum>
  <w:abstractNum w:abstractNumId="2" w15:restartNumberingAfterBreak="0">
    <w:nsid w:val="001D0887"/>
    <w:multiLevelType w:val="hybridMultilevel"/>
    <w:tmpl w:val="AC3E47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CD52B3"/>
    <w:multiLevelType w:val="hybridMultilevel"/>
    <w:tmpl w:val="90E6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45A"/>
    <w:multiLevelType w:val="hybridMultilevel"/>
    <w:tmpl w:val="767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9123A"/>
    <w:multiLevelType w:val="hybridMultilevel"/>
    <w:tmpl w:val="D96C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04B49"/>
    <w:multiLevelType w:val="hybridMultilevel"/>
    <w:tmpl w:val="E6E68424"/>
    <w:lvl w:ilvl="0" w:tplc="E684FD3A">
      <w:start w:val="1"/>
      <w:numFmt w:val="bullet"/>
      <w:pStyle w:val="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B03DB"/>
    <w:multiLevelType w:val="hybridMultilevel"/>
    <w:tmpl w:val="12BE4FEA"/>
    <w:lvl w:ilvl="0" w:tplc="1D768DFC">
      <w:start w:val="1"/>
      <w:numFmt w:val="decimal"/>
      <w:pStyle w:val="Heading1"/>
      <w:lvlText w:val="%1."/>
      <w:lvlJc w:val="left"/>
      <w:pPr>
        <w:ind w:left="72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6057F"/>
    <w:multiLevelType w:val="hybridMultilevel"/>
    <w:tmpl w:val="DBBA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44324"/>
    <w:multiLevelType w:val="hybridMultilevel"/>
    <w:tmpl w:val="0CE4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948BC"/>
    <w:multiLevelType w:val="hybridMultilevel"/>
    <w:tmpl w:val="50E000F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76979"/>
    <w:multiLevelType w:val="hybridMultilevel"/>
    <w:tmpl w:val="3B6E53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90342B"/>
    <w:multiLevelType w:val="hybridMultilevel"/>
    <w:tmpl w:val="4C98F9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1D769A"/>
    <w:multiLevelType w:val="hybridMultilevel"/>
    <w:tmpl w:val="7526B7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6"/>
  </w:num>
  <w:num w:numId="5">
    <w:abstractNumId w:val="4"/>
  </w:num>
  <w:num w:numId="6">
    <w:abstractNumId w:val="12"/>
  </w:num>
  <w:num w:numId="7">
    <w:abstractNumId w:val="13"/>
  </w:num>
  <w:num w:numId="8">
    <w:abstractNumId w:val="2"/>
  </w:num>
  <w:num w:numId="9">
    <w:abstractNumId w:val="11"/>
  </w:num>
  <w:num w:numId="10">
    <w:abstractNumId w:val="8"/>
  </w:num>
  <w:num w:numId="11">
    <w:abstractNumId w:val="3"/>
  </w:num>
  <w:num w:numId="12">
    <w:abstractNumId w:val="9"/>
  </w:num>
  <w:num w:numId="13">
    <w:abstractNumId w:val="5"/>
  </w:num>
  <w:num w:numId="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914B0F0C-B157-4E71-8FFC-B074149112E2"/>
    <w:docVar w:name="LW_COVERPAGE_TYPE" w:val="1"/>
    <w:docVar w:name="LW_CROSSREFERENCE" w:val="&lt;UNUSED&gt;"/>
    <w:docVar w:name="LW_DocType" w:val="NORMAL"/>
    <w:docVar w:name="LW_EMISSION" w:val="28.9.2022"/>
    <w:docVar w:name="LW_EMISSION_ISODATE" w:val="2022-09-2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2) 4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exercise of the power to adopt delegated acts conferred on the Commission pursuant to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lt;/FMT&gt;_x000b_"/>
    <w:docVar w:name="LW_TYPE.DOC.CP" w:val="REPORT FROM THE COMMISSION TO THE EUROPEAN PARLIAMENT AND THE COUNCIL"/>
    <w:docVar w:name="LwApiVersions" w:val="LW4CoDe 1.23.2.0; LW 8.0, Build 20211117"/>
  </w:docVars>
  <w:rsids>
    <w:rsidRoot w:val="00224CBD"/>
    <w:rsid w:val="000103E9"/>
    <w:rsid w:val="00012AAD"/>
    <w:rsid w:val="000143C8"/>
    <w:rsid w:val="000308AA"/>
    <w:rsid w:val="00030F0A"/>
    <w:rsid w:val="00034820"/>
    <w:rsid w:val="000352CD"/>
    <w:rsid w:val="00042E7F"/>
    <w:rsid w:val="00044C30"/>
    <w:rsid w:val="0005560A"/>
    <w:rsid w:val="00057A64"/>
    <w:rsid w:val="00057AD3"/>
    <w:rsid w:val="00081175"/>
    <w:rsid w:val="000818BB"/>
    <w:rsid w:val="00082796"/>
    <w:rsid w:val="00090F20"/>
    <w:rsid w:val="00093BC0"/>
    <w:rsid w:val="00095727"/>
    <w:rsid w:val="000A2805"/>
    <w:rsid w:val="000A3147"/>
    <w:rsid w:val="000A7696"/>
    <w:rsid w:val="000A78B7"/>
    <w:rsid w:val="000B7933"/>
    <w:rsid w:val="000C1089"/>
    <w:rsid w:val="000C4B54"/>
    <w:rsid w:val="000D61A6"/>
    <w:rsid w:val="000F450A"/>
    <w:rsid w:val="000F644E"/>
    <w:rsid w:val="00104E5E"/>
    <w:rsid w:val="0011162B"/>
    <w:rsid w:val="00112F37"/>
    <w:rsid w:val="001143BF"/>
    <w:rsid w:val="00115573"/>
    <w:rsid w:val="00115901"/>
    <w:rsid w:val="00130860"/>
    <w:rsid w:val="0015408B"/>
    <w:rsid w:val="001653C9"/>
    <w:rsid w:val="0016626D"/>
    <w:rsid w:val="0016751E"/>
    <w:rsid w:val="00172147"/>
    <w:rsid w:val="001831EF"/>
    <w:rsid w:val="0019553D"/>
    <w:rsid w:val="00196C1E"/>
    <w:rsid w:val="001A3CA2"/>
    <w:rsid w:val="001A5980"/>
    <w:rsid w:val="001B0163"/>
    <w:rsid w:val="001B1869"/>
    <w:rsid w:val="001C03B7"/>
    <w:rsid w:val="001C2D68"/>
    <w:rsid w:val="001D11E4"/>
    <w:rsid w:val="001D2CE8"/>
    <w:rsid w:val="001D7498"/>
    <w:rsid w:val="001D76A2"/>
    <w:rsid w:val="001E1074"/>
    <w:rsid w:val="001E5E67"/>
    <w:rsid w:val="001F27FC"/>
    <w:rsid w:val="002076B2"/>
    <w:rsid w:val="002164AB"/>
    <w:rsid w:val="00220954"/>
    <w:rsid w:val="00221CF4"/>
    <w:rsid w:val="0022238C"/>
    <w:rsid w:val="00224CBD"/>
    <w:rsid w:val="00225698"/>
    <w:rsid w:val="00225978"/>
    <w:rsid w:val="00230DBD"/>
    <w:rsid w:val="0024123C"/>
    <w:rsid w:val="002429B9"/>
    <w:rsid w:val="00246EFA"/>
    <w:rsid w:val="00262D7C"/>
    <w:rsid w:val="002706E6"/>
    <w:rsid w:val="00276511"/>
    <w:rsid w:val="00276D70"/>
    <w:rsid w:val="002861F4"/>
    <w:rsid w:val="00291F0F"/>
    <w:rsid w:val="002950B8"/>
    <w:rsid w:val="002A0923"/>
    <w:rsid w:val="002B12CA"/>
    <w:rsid w:val="002B3819"/>
    <w:rsid w:val="002B78ED"/>
    <w:rsid w:val="002D5FB9"/>
    <w:rsid w:val="002D778C"/>
    <w:rsid w:val="002F18BB"/>
    <w:rsid w:val="002F2049"/>
    <w:rsid w:val="002F2EC7"/>
    <w:rsid w:val="002F6534"/>
    <w:rsid w:val="003028BC"/>
    <w:rsid w:val="0030590E"/>
    <w:rsid w:val="003127DB"/>
    <w:rsid w:val="00313BE3"/>
    <w:rsid w:val="0032024C"/>
    <w:rsid w:val="00320885"/>
    <w:rsid w:val="003359E7"/>
    <w:rsid w:val="00343CD1"/>
    <w:rsid w:val="00345A38"/>
    <w:rsid w:val="00353B34"/>
    <w:rsid w:val="00355CA9"/>
    <w:rsid w:val="00360DD1"/>
    <w:rsid w:val="003676A4"/>
    <w:rsid w:val="003678D4"/>
    <w:rsid w:val="00372DB1"/>
    <w:rsid w:val="00374179"/>
    <w:rsid w:val="00374EB9"/>
    <w:rsid w:val="003770B5"/>
    <w:rsid w:val="00377121"/>
    <w:rsid w:val="003968CF"/>
    <w:rsid w:val="003A22AD"/>
    <w:rsid w:val="003A2A81"/>
    <w:rsid w:val="003A4E75"/>
    <w:rsid w:val="003B6291"/>
    <w:rsid w:val="003B76AF"/>
    <w:rsid w:val="003E165D"/>
    <w:rsid w:val="003E4548"/>
    <w:rsid w:val="003E5CD6"/>
    <w:rsid w:val="003E6F68"/>
    <w:rsid w:val="00404EDF"/>
    <w:rsid w:val="00412319"/>
    <w:rsid w:val="0041396D"/>
    <w:rsid w:val="00414543"/>
    <w:rsid w:val="00415232"/>
    <w:rsid w:val="004156BF"/>
    <w:rsid w:val="00415937"/>
    <w:rsid w:val="00417ED7"/>
    <w:rsid w:val="0042629B"/>
    <w:rsid w:val="00444EC4"/>
    <w:rsid w:val="00464646"/>
    <w:rsid w:val="00475B28"/>
    <w:rsid w:val="00487233"/>
    <w:rsid w:val="00493BC7"/>
    <w:rsid w:val="004A20E9"/>
    <w:rsid w:val="004B16A3"/>
    <w:rsid w:val="004C12EA"/>
    <w:rsid w:val="004C4756"/>
    <w:rsid w:val="004C65AC"/>
    <w:rsid w:val="004D061A"/>
    <w:rsid w:val="004D1F24"/>
    <w:rsid w:val="004D5681"/>
    <w:rsid w:val="004D6C9B"/>
    <w:rsid w:val="004E03D8"/>
    <w:rsid w:val="004E0FFD"/>
    <w:rsid w:val="004F140D"/>
    <w:rsid w:val="0050449F"/>
    <w:rsid w:val="0052186C"/>
    <w:rsid w:val="0052305B"/>
    <w:rsid w:val="0052597F"/>
    <w:rsid w:val="00531136"/>
    <w:rsid w:val="00541CF5"/>
    <w:rsid w:val="00543E2E"/>
    <w:rsid w:val="00543FDA"/>
    <w:rsid w:val="00552672"/>
    <w:rsid w:val="00554289"/>
    <w:rsid w:val="00561A99"/>
    <w:rsid w:val="00567227"/>
    <w:rsid w:val="00572718"/>
    <w:rsid w:val="00575277"/>
    <w:rsid w:val="00580C5A"/>
    <w:rsid w:val="0058463F"/>
    <w:rsid w:val="00584F84"/>
    <w:rsid w:val="005B095D"/>
    <w:rsid w:val="005B146D"/>
    <w:rsid w:val="005B7423"/>
    <w:rsid w:val="005C2CA0"/>
    <w:rsid w:val="005C5BF8"/>
    <w:rsid w:val="005C62D8"/>
    <w:rsid w:val="005C6B45"/>
    <w:rsid w:val="005C6FC1"/>
    <w:rsid w:val="005D36AE"/>
    <w:rsid w:val="005D6308"/>
    <w:rsid w:val="005D6E00"/>
    <w:rsid w:val="005F3B94"/>
    <w:rsid w:val="006064ED"/>
    <w:rsid w:val="00610918"/>
    <w:rsid w:val="0062724D"/>
    <w:rsid w:val="00631311"/>
    <w:rsid w:val="006318F1"/>
    <w:rsid w:val="006360C6"/>
    <w:rsid w:val="00642A5F"/>
    <w:rsid w:val="006450E4"/>
    <w:rsid w:val="00656395"/>
    <w:rsid w:val="006749D1"/>
    <w:rsid w:val="00674AE5"/>
    <w:rsid w:val="00675D70"/>
    <w:rsid w:val="00685AD6"/>
    <w:rsid w:val="006865AE"/>
    <w:rsid w:val="00691A9B"/>
    <w:rsid w:val="006936AB"/>
    <w:rsid w:val="006A153D"/>
    <w:rsid w:val="006B066B"/>
    <w:rsid w:val="006B46B8"/>
    <w:rsid w:val="006B55BF"/>
    <w:rsid w:val="006C0201"/>
    <w:rsid w:val="006C25A5"/>
    <w:rsid w:val="006D160B"/>
    <w:rsid w:val="006D45DD"/>
    <w:rsid w:val="006E494E"/>
    <w:rsid w:val="006F45F2"/>
    <w:rsid w:val="007039BD"/>
    <w:rsid w:val="0070719A"/>
    <w:rsid w:val="00714C8C"/>
    <w:rsid w:val="00723E36"/>
    <w:rsid w:val="007263BC"/>
    <w:rsid w:val="00747248"/>
    <w:rsid w:val="007615B1"/>
    <w:rsid w:val="007622C4"/>
    <w:rsid w:val="00765778"/>
    <w:rsid w:val="00786387"/>
    <w:rsid w:val="007965A1"/>
    <w:rsid w:val="00797524"/>
    <w:rsid w:val="007A31C9"/>
    <w:rsid w:val="007B1113"/>
    <w:rsid w:val="007C0BB4"/>
    <w:rsid w:val="007C3B5A"/>
    <w:rsid w:val="007C5274"/>
    <w:rsid w:val="007D1326"/>
    <w:rsid w:val="007D1A5F"/>
    <w:rsid w:val="007E0648"/>
    <w:rsid w:val="007E26F7"/>
    <w:rsid w:val="007E4FE4"/>
    <w:rsid w:val="007F3659"/>
    <w:rsid w:val="007F688B"/>
    <w:rsid w:val="00805350"/>
    <w:rsid w:val="00814849"/>
    <w:rsid w:val="008333BE"/>
    <w:rsid w:val="00837DE9"/>
    <w:rsid w:val="00842F91"/>
    <w:rsid w:val="00845124"/>
    <w:rsid w:val="00846000"/>
    <w:rsid w:val="00850071"/>
    <w:rsid w:val="0085742D"/>
    <w:rsid w:val="00862BAB"/>
    <w:rsid w:val="00866514"/>
    <w:rsid w:val="008726A4"/>
    <w:rsid w:val="00884B0E"/>
    <w:rsid w:val="00894F32"/>
    <w:rsid w:val="008A6D35"/>
    <w:rsid w:val="008B02FD"/>
    <w:rsid w:val="008B23F0"/>
    <w:rsid w:val="008C0BF0"/>
    <w:rsid w:val="008D03E6"/>
    <w:rsid w:val="008F2C26"/>
    <w:rsid w:val="008F41DE"/>
    <w:rsid w:val="008F41EA"/>
    <w:rsid w:val="009027F9"/>
    <w:rsid w:val="00917F40"/>
    <w:rsid w:val="00927AE3"/>
    <w:rsid w:val="00941A35"/>
    <w:rsid w:val="00941B3F"/>
    <w:rsid w:val="009432B9"/>
    <w:rsid w:val="00957811"/>
    <w:rsid w:val="00965D98"/>
    <w:rsid w:val="00975B2C"/>
    <w:rsid w:val="00980139"/>
    <w:rsid w:val="00986153"/>
    <w:rsid w:val="00991D5D"/>
    <w:rsid w:val="0099219B"/>
    <w:rsid w:val="00994282"/>
    <w:rsid w:val="009B4637"/>
    <w:rsid w:val="009C3235"/>
    <w:rsid w:val="009C3570"/>
    <w:rsid w:val="009D179B"/>
    <w:rsid w:val="009D1E73"/>
    <w:rsid w:val="009D3366"/>
    <w:rsid w:val="009E2E65"/>
    <w:rsid w:val="009E6CCB"/>
    <w:rsid w:val="009E780C"/>
    <w:rsid w:val="009F7D7A"/>
    <w:rsid w:val="00A0311B"/>
    <w:rsid w:val="00A146F5"/>
    <w:rsid w:val="00A205B7"/>
    <w:rsid w:val="00A20952"/>
    <w:rsid w:val="00A278FA"/>
    <w:rsid w:val="00A33CD8"/>
    <w:rsid w:val="00A35096"/>
    <w:rsid w:val="00A358B7"/>
    <w:rsid w:val="00A361ED"/>
    <w:rsid w:val="00A414CF"/>
    <w:rsid w:val="00A4199E"/>
    <w:rsid w:val="00A55EAF"/>
    <w:rsid w:val="00A65732"/>
    <w:rsid w:val="00A80A2F"/>
    <w:rsid w:val="00A9523B"/>
    <w:rsid w:val="00A95629"/>
    <w:rsid w:val="00AA7D50"/>
    <w:rsid w:val="00AB4FC8"/>
    <w:rsid w:val="00AB53DB"/>
    <w:rsid w:val="00AC6267"/>
    <w:rsid w:val="00AC6DAC"/>
    <w:rsid w:val="00AC7010"/>
    <w:rsid w:val="00AD0ECA"/>
    <w:rsid w:val="00AD142E"/>
    <w:rsid w:val="00AD1D6B"/>
    <w:rsid w:val="00AD348B"/>
    <w:rsid w:val="00AF2CB7"/>
    <w:rsid w:val="00AF77D8"/>
    <w:rsid w:val="00B042DE"/>
    <w:rsid w:val="00B06D9D"/>
    <w:rsid w:val="00B202DD"/>
    <w:rsid w:val="00B26C31"/>
    <w:rsid w:val="00B318C6"/>
    <w:rsid w:val="00B41433"/>
    <w:rsid w:val="00B51689"/>
    <w:rsid w:val="00B532DB"/>
    <w:rsid w:val="00B61351"/>
    <w:rsid w:val="00B625AE"/>
    <w:rsid w:val="00B65CD2"/>
    <w:rsid w:val="00B67F4D"/>
    <w:rsid w:val="00B71075"/>
    <w:rsid w:val="00B71DD1"/>
    <w:rsid w:val="00B77996"/>
    <w:rsid w:val="00B813A8"/>
    <w:rsid w:val="00B82594"/>
    <w:rsid w:val="00BA19E2"/>
    <w:rsid w:val="00BA2CF2"/>
    <w:rsid w:val="00BA778A"/>
    <w:rsid w:val="00BB34D0"/>
    <w:rsid w:val="00BC6453"/>
    <w:rsid w:val="00BD0AE5"/>
    <w:rsid w:val="00BD2FFE"/>
    <w:rsid w:val="00BD4615"/>
    <w:rsid w:val="00BE1299"/>
    <w:rsid w:val="00BE672B"/>
    <w:rsid w:val="00BF5964"/>
    <w:rsid w:val="00C12DF8"/>
    <w:rsid w:val="00C1434C"/>
    <w:rsid w:val="00C202A0"/>
    <w:rsid w:val="00C2368B"/>
    <w:rsid w:val="00C25E5D"/>
    <w:rsid w:val="00C31A20"/>
    <w:rsid w:val="00C36B39"/>
    <w:rsid w:val="00C46FAB"/>
    <w:rsid w:val="00C52AE2"/>
    <w:rsid w:val="00C60FE2"/>
    <w:rsid w:val="00C6366B"/>
    <w:rsid w:val="00C66128"/>
    <w:rsid w:val="00C763FD"/>
    <w:rsid w:val="00C8143C"/>
    <w:rsid w:val="00C86A07"/>
    <w:rsid w:val="00C97166"/>
    <w:rsid w:val="00CA0D91"/>
    <w:rsid w:val="00CA4BD3"/>
    <w:rsid w:val="00CA5B57"/>
    <w:rsid w:val="00CA6CAF"/>
    <w:rsid w:val="00CB03EE"/>
    <w:rsid w:val="00CB1561"/>
    <w:rsid w:val="00CB5FDC"/>
    <w:rsid w:val="00CB6BCF"/>
    <w:rsid w:val="00CC13FA"/>
    <w:rsid w:val="00CC5007"/>
    <w:rsid w:val="00CE0A5A"/>
    <w:rsid w:val="00CE3D93"/>
    <w:rsid w:val="00CE635F"/>
    <w:rsid w:val="00CF0C00"/>
    <w:rsid w:val="00CF29D2"/>
    <w:rsid w:val="00CF4164"/>
    <w:rsid w:val="00CF6DBF"/>
    <w:rsid w:val="00CF7950"/>
    <w:rsid w:val="00D0273C"/>
    <w:rsid w:val="00D048B5"/>
    <w:rsid w:val="00D11831"/>
    <w:rsid w:val="00D206B5"/>
    <w:rsid w:val="00D33F1A"/>
    <w:rsid w:val="00D35179"/>
    <w:rsid w:val="00D40BEB"/>
    <w:rsid w:val="00D51015"/>
    <w:rsid w:val="00D52521"/>
    <w:rsid w:val="00D54F9B"/>
    <w:rsid w:val="00D566DE"/>
    <w:rsid w:val="00D66D9B"/>
    <w:rsid w:val="00D95F5F"/>
    <w:rsid w:val="00DA36DE"/>
    <w:rsid w:val="00DB0AD2"/>
    <w:rsid w:val="00DB5D33"/>
    <w:rsid w:val="00DC0608"/>
    <w:rsid w:val="00DD1AAE"/>
    <w:rsid w:val="00DE3D66"/>
    <w:rsid w:val="00DE6DF0"/>
    <w:rsid w:val="00E0015A"/>
    <w:rsid w:val="00E0409B"/>
    <w:rsid w:val="00E04CEC"/>
    <w:rsid w:val="00E1626E"/>
    <w:rsid w:val="00E174F2"/>
    <w:rsid w:val="00E20FBD"/>
    <w:rsid w:val="00E27CEA"/>
    <w:rsid w:val="00E44B93"/>
    <w:rsid w:val="00E504CD"/>
    <w:rsid w:val="00E5462B"/>
    <w:rsid w:val="00E546E9"/>
    <w:rsid w:val="00E57C76"/>
    <w:rsid w:val="00E60646"/>
    <w:rsid w:val="00E6601F"/>
    <w:rsid w:val="00E66275"/>
    <w:rsid w:val="00E727A8"/>
    <w:rsid w:val="00E72E66"/>
    <w:rsid w:val="00E8086B"/>
    <w:rsid w:val="00E86031"/>
    <w:rsid w:val="00E935F8"/>
    <w:rsid w:val="00E94329"/>
    <w:rsid w:val="00EA0B80"/>
    <w:rsid w:val="00EB54B1"/>
    <w:rsid w:val="00EB769D"/>
    <w:rsid w:val="00EC5B87"/>
    <w:rsid w:val="00ED032A"/>
    <w:rsid w:val="00ED43A8"/>
    <w:rsid w:val="00ED5FD5"/>
    <w:rsid w:val="00EE078A"/>
    <w:rsid w:val="00EE1A0C"/>
    <w:rsid w:val="00EE2096"/>
    <w:rsid w:val="00EF3BF1"/>
    <w:rsid w:val="00EF4DBB"/>
    <w:rsid w:val="00F058F1"/>
    <w:rsid w:val="00F319FA"/>
    <w:rsid w:val="00F34EC6"/>
    <w:rsid w:val="00F36D05"/>
    <w:rsid w:val="00F40183"/>
    <w:rsid w:val="00F40271"/>
    <w:rsid w:val="00F81476"/>
    <w:rsid w:val="00F837B3"/>
    <w:rsid w:val="00F94F14"/>
    <w:rsid w:val="00FA0AB2"/>
    <w:rsid w:val="00FB2641"/>
    <w:rsid w:val="00FB39AB"/>
    <w:rsid w:val="00FC052E"/>
    <w:rsid w:val="00FC71AB"/>
    <w:rsid w:val="00FD466C"/>
    <w:rsid w:val="00FE04D8"/>
    <w:rsid w:val="00FF2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73B53DC"/>
  <w15:docId w15:val="{65ABE0FD-0197-466A-B701-D6FD779F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64"/>
    <w:pPr>
      <w:spacing w:before="100" w:beforeAutospacing="1" w:after="100" w:afterAutospacing="1" w:line="240" w:lineRule="auto"/>
    </w:pPr>
    <w:rPr>
      <w:rFonts w:ascii="Times New Roman" w:hAnsi="Times New Roman"/>
      <w:sz w:val="24"/>
    </w:rPr>
  </w:style>
  <w:style w:type="paragraph" w:styleId="Heading1">
    <w:name w:val="heading 1"/>
    <w:basedOn w:val="Normal"/>
    <w:next w:val="Normal"/>
    <w:link w:val="Heading1Char"/>
    <w:uiPriority w:val="9"/>
    <w:qFormat/>
    <w:rsid w:val="00BF5964"/>
    <w:pPr>
      <w:keepNext/>
      <w:keepLines/>
      <w:numPr>
        <w:numId w:val="3"/>
      </w:numPr>
      <w:spacing w:before="240" w:after="240"/>
      <w:outlineLvl w:val="0"/>
    </w:pPr>
    <w:rPr>
      <w:rFonts w:ascii="Times New Roman Bold" w:eastAsiaTheme="majorEastAsia" w:hAnsi="Times New Roman Bold" w:cstheme="majorBidi"/>
      <w:b/>
      <w:bCs/>
      <w:smallCaps/>
      <w:szCs w:val="28"/>
    </w:rPr>
  </w:style>
  <w:style w:type="paragraph" w:styleId="Heading2">
    <w:name w:val="heading 2"/>
    <w:basedOn w:val="Normal"/>
    <w:next w:val="Normal"/>
    <w:link w:val="Heading2Char"/>
    <w:uiPriority w:val="9"/>
    <w:unhideWhenUsed/>
    <w:qFormat/>
    <w:rsid w:val="009E780C"/>
    <w:pPr>
      <w:keepNext/>
      <w:keepLines/>
      <w:outlineLvl w:val="1"/>
    </w:pPr>
    <w:rPr>
      <w:rFonts w:ascii="Times New Roman Bold" w:eastAsiaTheme="majorEastAsia" w:hAnsi="Times New Roman Bold" w:cstheme="majorBidi"/>
      <w:b/>
      <w:bCs/>
      <w:szCs w:val="26"/>
    </w:rPr>
  </w:style>
  <w:style w:type="paragraph" w:styleId="Heading3">
    <w:name w:val="heading 3"/>
    <w:basedOn w:val="Normal"/>
    <w:next w:val="Normal"/>
    <w:link w:val="Heading3Char"/>
    <w:uiPriority w:val="9"/>
    <w:semiHidden/>
    <w:unhideWhenUsed/>
    <w:qFormat/>
    <w:rsid w:val="00BF59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59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24CBD"/>
    <w:rPr>
      <w:color w:val="0000FF"/>
      <w:shd w:val="clear" w:color="auto" w:fill="auto"/>
    </w:rPr>
  </w:style>
  <w:style w:type="paragraph" w:customStyle="1" w:styleId="Pagedecouverture">
    <w:name w:val="Page de couverture"/>
    <w:basedOn w:val="Normal"/>
    <w:next w:val="Normal"/>
    <w:rsid w:val="00224CBD"/>
    <w:pPr>
      <w:spacing w:after="0"/>
      <w:jc w:val="both"/>
    </w:pPr>
    <w:rPr>
      <w:rFonts w:cs="Times New Roman"/>
    </w:rPr>
  </w:style>
  <w:style w:type="paragraph" w:styleId="Header">
    <w:name w:val="header"/>
    <w:basedOn w:val="Normal"/>
    <w:link w:val="HeaderChar"/>
    <w:uiPriority w:val="99"/>
    <w:unhideWhenUsed/>
    <w:rsid w:val="00115901"/>
    <w:pPr>
      <w:tabs>
        <w:tab w:val="center" w:pos="4535"/>
        <w:tab w:val="right" w:pos="9071"/>
      </w:tabs>
      <w:spacing w:before="0" w:beforeAutospacing="0" w:after="120" w:afterAutospacing="0"/>
      <w:jc w:val="both"/>
    </w:pPr>
    <w:rPr>
      <w:rFonts w:cs="Times New Roman"/>
    </w:rPr>
  </w:style>
  <w:style w:type="character" w:customStyle="1" w:styleId="HeaderChar">
    <w:name w:val="Header Char"/>
    <w:basedOn w:val="DefaultParagraphFont"/>
    <w:link w:val="Header"/>
    <w:uiPriority w:val="99"/>
    <w:rsid w:val="00115901"/>
    <w:rPr>
      <w:rFonts w:ascii="Times New Roman" w:hAnsi="Times New Roman" w:cs="Times New Roman"/>
      <w:sz w:val="24"/>
    </w:rPr>
  </w:style>
  <w:style w:type="paragraph" w:styleId="Footer">
    <w:name w:val="footer"/>
    <w:basedOn w:val="Normal"/>
    <w:link w:val="FooterChar"/>
    <w:uiPriority w:val="99"/>
    <w:unhideWhenUsed/>
    <w:rsid w:val="00115901"/>
    <w:pPr>
      <w:tabs>
        <w:tab w:val="center" w:pos="4535"/>
        <w:tab w:val="right" w:pos="9071"/>
        <w:tab w:val="right" w:pos="9921"/>
      </w:tabs>
      <w:spacing w:before="360" w:beforeAutospacing="0" w:after="0" w:afterAutospacing="0"/>
      <w:ind w:left="-850" w:right="-850"/>
    </w:pPr>
    <w:rPr>
      <w:rFonts w:cs="Times New Roman"/>
    </w:rPr>
  </w:style>
  <w:style w:type="character" w:customStyle="1" w:styleId="FooterChar">
    <w:name w:val="Footer Char"/>
    <w:basedOn w:val="DefaultParagraphFont"/>
    <w:link w:val="Footer"/>
    <w:uiPriority w:val="99"/>
    <w:rsid w:val="00115901"/>
    <w:rPr>
      <w:rFonts w:ascii="Times New Roman" w:hAnsi="Times New Roman" w:cs="Times New Roman"/>
      <w:sz w:val="24"/>
    </w:rPr>
  </w:style>
  <w:style w:type="paragraph" w:customStyle="1" w:styleId="Typedudocument">
    <w:name w:val="Type du document"/>
    <w:basedOn w:val="Normal"/>
    <w:next w:val="Normal"/>
    <w:link w:val="TypedudocumentChar"/>
    <w:rsid w:val="00224CBD"/>
    <w:pPr>
      <w:spacing w:before="360" w:after="0"/>
      <w:jc w:val="center"/>
    </w:pPr>
    <w:rPr>
      <w:rFonts w:cs="Times New Roman"/>
      <w:b/>
    </w:rPr>
  </w:style>
  <w:style w:type="paragraph" w:customStyle="1" w:styleId="Titreobjet">
    <w:name w:val="Titre objet"/>
    <w:basedOn w:val="Normal"/>
    <w:next w:val="Normal"/>
    <w:rsid w:val="00115901"/>
    <w:pPr>
      <w:spacing w:before="360" w:beforeAutospacing="0" w:after="360" w:afterAutospacing="0"/>
      <w:jc w:val="center"/>
    </w:pPr>
    <w:rPr>
      <w:rFonts w:cs="Times New Roman"/>
      <w:b/>
    </w:rPr>
  </w:style>
  <w:style w:type="paragraph" w:customStyle="1" w:styleId="FooterCoverPage">
    <w:name w:val="Footer Cover Page"/>
    <w:basedOn w:val="Normal"/>
    <w:link w:val="FooterCoverPageChar"/>
    <w:rsid w:val="00224CBD"/>
    <w:pPr>
      <w:tabs>
        <w:tab w:val="center" w:pos="4535"/>
        <w:tab w:val="right" w:pos="9071"/>
        <w:tab w:val="right" w:pos="9921"/>
      </w:tabs>
      <w:spacing w:before="360" w:after="0"/>
      <w:ind w:left="-850" w:right="-850"/>
    </w:pPr>
  </w:style>
  <w:style w:type="character" w:customStyle="1" w:styleId="TypedudocumentChar">
    <w:name w:val="Type du document Char"/>
    <w:basedOn w:val="DefaultParagraphFont"/>
    <w:link w:val="Typedudocument"/>
    <w:rsid w:val="00224CBD"/>
    <w:rPr>
      <w:rFonts w:ascii="Times New Roman" w:hAnsi="Times New Roman" w:cs="Times New Roman"/>
      <w:b/>
      <w:sz w:val="24"/>
    </w:rPr>
  </w:style>
  <w:style w:type="character" w:customStyle="1" w:styleId="FooterCoverPageChar">
    <w:name w:val="Footer Cover Page Char"/>
    <w:basedOn w:val="TypedudocumentChar"/>
    <w:link w:val="FooterCoverPage"/>
    <w:rsid w:val="00224CBD"/>
    <w:rPr>
      <w:rFonts w:ascii="Times New Roman" w:hAnsi="Times New Roman" w:cs="Times New Roman"/>
      <w:b w:val="0"/>
      <w:sz w:val="24"/>
    </w:rPr>
  </w:style>
  <w:style w:type="paragraph" w:customStyle="1" w:styleId="HeaderCoverPage">
    <w:name w:val="Header Cover Page"/>
    <w:basedOn w:val="Normal"/>
    <w:link w:val="HeaderCoverPageChar"/>
    <w:rsid w:val="00224CBD"/>
    <w:pPr>
      <w:tabs>
        <w:tab w:val="center" w:pos="4535"/>
        <w:tab w:val="right" w:pos="9071"/>
      </w:tabs>
      <w:spacing w:before="0" w:after="120"/>
      <w:jc w:val="both"/>
    </w:pPr>
  </w:style>
  <w:style w:type="character" w:customStyle="1" w:styleId="HeaderCoverPageChar">
    <w:name w:val="Header Cover Page Char"/>
    <w:basedOn w:val="TypedudocumentChar"/>
    <w:link w:val="HeaderCoverPage"/>
    <w:rsid w:val="00224CBD"/>
    <w:rPr>
      <w:rFonts w:ascii="Times New Roman" w:hAnsi="Times New Roman" w:cs="Times New Roman"/>
      <w:b w:val="0"/>
      <w:sz w:val="24"/>
    </w:rPr>
  </w:style>
  <w:style w:type="character" w:styleId="CommentReference">
    <w:name w:val="annotation reference"/>
    <w:basedOn w:val="DefaultParagraphFont"/>
    <w:uiPriority w:val="99"/>
    <w:semiHidden/>
    <w:unhideWhenUsed/>
    <w:rsid w:val="000103E9"/>
    <w:rPr>
      <w:sz w:val="16"/>
      <w:szCs w:val="16"/>
    </w:rPr>
  </w:style>
  <w:style w:type="paragraph" w:styleId="CommentText">
    <w:name w:val="annotation text"/>
    <w:basedOn w:val="Normal"/>
    <w:link w:val="CommentTextChar"/>
    <w:uiPriority w:val="99"/>
    <w:unhideWhenUsed/>
    <w:rsid w:val="000103E9"/>
    <w:rPr>
      <w:sz w:val="20"/>
      <w:szCs w:val="20"/>
    </w:rPr>
  </w:style>
  <w:style w:type="character" w:customStyle="1" w:styleId="CommentTextChar">
    <w:name w:val="Comment Text Char"/>
    <w:basedOn w:val="DefaultParagraphFont"/>
    <w:link w:val="CommentText"/>
    <w:uiPriority w:val="99"/>
    <w:rsid w:val="000103E9"/>
    <w:rPr>
      <w:sz w:val="20"/>
      <w:szCs w:val="20"/>
    </w:rPr>
  </w:style>
  <w:style w:type="paragraph" w:styleId="CommentSubject">
    <w:name w:val="annotation subject"/>
    <w:basedOn w:val="CommentText"/>
    <w:next w:val="CommentText"/>
    <w:link w:val="CommentSubjectChar"/>
    <w:uiPriority w:val="99"/>
    <w:semiHidden/>
    <w:unhideWhenUsed/>
    <w:rsid w:val="000103E9"/>
    <w:rPr>
      <w:b/>
      <w:bCs/>
    </w:rPr>
  </w:style>
  <w:style w:type="character" w:customStyle="1" w:styleId="CommentSubjectChar">
    <w:name w:val="Comment Subject Char"/>
    <w:basedOn w:val="CommentTextChar"/>
    <w:link w:val="CommentSubject"/>
    <w:uiPriority w:val="99"/>
    <w:semiHidden/>
    <w:rsid w:val="000103E9"/>
    <w:rPr>
      <w:b/>
      <w:bCs/>
      <w:sz w:val="20"/>
      <w:szCs w:val="20"/>
    </w:rPr>
  </w:style>
  <w:style w:type="paragraph" w:styleId="BalloonText">
    <w:name w:val="Balloon Text"/>
    <w:basedOn w:val="Normal"/>
    <w:link w:val="BalloonTextChar"/>
    <w:uiPriority w:val="99"/>
    <w:semiHidden/>
    <w:unhideWhenUsed/>
    <w:rsid w:val="000103E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3E9"/>
    <w:rPr>
      <w:rFonts w:ascii="Tahoma" w:hAnsi="Tahoma" w:cs="Tahoma"/>
      <w:sz w:val="16"/>
      <w:szCs w:val="16"/>
    </w:rPr>
  </w:style>
  <w:style w:type="paragraph" w:styleId="FootnoteText">
    <w:name w:val="footnote text"/>
    <w:basedOn w:val="Normal"/>
    <w:link w:val="FootnoteTextChar"/>
    <w:uiPriority w:val="99"/>
    <w:semiHidden/>
    <w:unhideWhenUsed/>
    <w:rsid w:val="009F7D7A"/>
    <w:pPr>
      <w:spacing w:after="0"/>
    </w:pPr>
    <w:rPr>
      <w:sz w:val="20"/>
      <w:szCs w:val="20"/>
    </w:rPr>
  </w:style>
  <w:style w:type="character" w:customStyle="1" w:styleId="Heading1Char">
    <w:name w:val="Heading 1 Char"/>
    <w:basedOn w:val="DefaultParagraphFont"/>
    <w:link w:val="Heading1"/>
    <w:uiPriority w:val="9"/>
    <w:rsid w:val="00BF5964"/>
    <w:rPr>
      <w:rFonts w:ascii="Times New Roman Bold" w:eastAsiaTheme="majorEastAsia" w:hAnsi="Times New Roman Bold" w:cstheme="majorBidi"/>
      <w:b/>
      <w:bCs/>
      <w:smallCaps/>
      <w:sz w:val="24"/>
      <w:szCs w:val="28"/>
    </w:rPr>
  </w:style>
  <w:style w:type="paragraph" w:styleId="ListNumber">
    <w:name w:val="List Number"/>
    <w:basedOn w:val="Normal"/>
    <w:uiPriority w:val="99"/>
    <w:unhideWhenUsed/>
    <w:rsid w:val="004F140D"/>
    <w:pPr>
      <w:numPr>
        <w:numId w:val="1"/>
      </w:numPr>
      <w:contextualSpacing/>
    </w:pPr>
    <w:rPr>
      <w:rFonts w:ascii="Times New Roman Bold" w:hAnsi="Times New Roman Bold"/>
      <w:b/>
      <w:smallCaps/>
    </w:rPr>
  </w:style>
  <w:style w:type="character" w:customStyle="1" w:styleId="FootnoteTextChar">
    <w:name w:val="Footnote Text Char"/>
    <w:basedOn w:val="DefaultParagraphFont"/>
    <w:link w:val="FootnoteText"/>
    <w:uiPriority w:val="99"/>
    <w:semiHidden/>
    <w:rsid w:val="009F7D7A"/>
    <w:rPr>
      <w:sz w:val="20"/>
      <w:szCs w:val="20"/>
    </w:rPr>
  </w:style>
  <w:style w:type="character" w:styleId="FootnoteReference">
    <w:name w:val="footnote reference"/>
    <w:basedOn w:val="DefaultParagraphFont"/>
    <w:uiPriority w:val="99"/>
    <w:unhideWhenUsed/>
    <w:rsid w:val="009F7D7A"/>
    <w:rPr>
      <w:vertAlign w:val="superscript"/>
    </w:rPr>
  </w:style>
  <w:style w:type="paragraph" w:styleId="ListParagraph">
    <w:name w:val="List Paragraph"/>
    <w:basedOn w:val="Normal"/>
    <w:uiPriority w:val="34"/>
    <w:qFormat/>
    <w:rsid w:val="00561A99"/>
    <w:pPr>
      <w:ind w:left="720"/>
      <w:contextualSpacing/>
    </w:pPr>
  </w:style>
  <w:style w:type="paragraph" w:styleId="ListNumber2">
    <w:name w:val="List Number 2"/>
    <w:basedOn w:val="Normal"/>
    <w:uiPriority w:val="99"/>
    <w:unhideWhenUsed/>
    <w:rsid w:val="00561A99"/>
    <w:pPr>
      <w:numPr>
        <w:numId w:val="2"/>
      </w:numPr>
      <w:contextualSpacing/>
    </w:pPr>
  </w:style>
  <w:style w:type="character" w:customStyle="1" w:styleId="Heading2Char">
    <w:name w:val="Heading 2 Char"/>
    <w:basedOn w:val="DefaultParagraphFont"/>
    <w:link w:val="Heading2"/>
    <w:uiPriority w:val="9"/>
    <w:rsid w:val="009E780C"/>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uiPriority w:val="9"/>
    <w:semiHidden/>
    <w:rsid w:val="00BF596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F5964"/>
    <w:rPr>
      <w:rFonts w:asciiTheme="majorHAnsi" w:eastAsiaTheme="majorEastAsia" w:hAnsiTheme="majorHAnsi" w:cstheme="majorBidi"/>
      <w:b/>
      <w:bCs/>
      <w:i/>
      <w:iCs/>
      <w:color w:val="4F81BD" w:themeColor="accent1"/>
    </w:rPr>
  </w:style>
  <w:style w:type="paragraph" w:styleId="List3">
    <w:name w:val="List 3"/>
    <w:basedOn w:val="Normal"/>
    <w:uiPriority w:val="99"/>
    <w:semiHidden/>
    <w:unhideWhenUsed/>
    <w:rsid w:val="00A361ED"/>
    <w:pPr>
      <w:ind w:left="849" w:hanging="283"/>
      <w:contextualSpacing/>
    </w:pPr>
  </w:style>
  <w:style w:type="paragraph" w:customStyle="1" w:styleId="Sous-titreobjet">
    <w:name w:val="Sous-titre objet"/>
    <w:basedOn w:val="Normal"/>
    <w:rsid w:val="009C3570"/>
    <w:pPr>
      <w:spacing w:before="0" w:beforeAutospacing="0" w:after="0" w:afterAutospacing="0"/>
      <w:jc w:val="center"/>
    </w:pPr>
    <w:rPr>
      <w:rFonts w:cs="Times New Roman"/>
      <w:b/>
    </w:rPr>
  </w:style>
  <w:style w:type="paragraph" w:customStyle="1" w:styleId="Bullet2">
    <w:name w:val="Bullet 2"/>
    <w:basedOn w:val="Normal"/>
    <w:rsid w:val="006B46B8"/>
    <w:pPr>
      <w:numPr>
        <w:numId w:val="4"/>
      </w:numPr>
    </w:pPr>
  </w:style>
  <w:style w:type="paragraph" w:customStyle="1" w:styleId="TitreobjetPagedecouverture">
    <w:name w:val="Titre objet (Page de couverture)"/>
    <w:basedOn w:val="Titreobjet"/>
    <w:next w:val="Normal"/>
    <w:rsid w:val="00115901"/>
  </w:style>
  <w:style w:type="paragraph" w:customStyle="1" w:styleId="Declassification">
    <w:name w:val="Declassification"/>
    <w:basedOn w:val="Normal"/>
    <w:next w:val="Normal"/>
    <w:rsid w:val="00115901"/>
    <w:pPr>
      <w:spacing w:before="0" w:beforeAutospacing="0" w:after="0" w:afterAutospacing="0"/>
      <w:jc w:val="both"/>
    </w:pPr>
    <w:rPr>
      <w:rFonts w:cs="Times New Roman"/>
    </w:rPr>
  </w:style>
  <w:style w:type="paragraph" w:customStyle="1" w:styleId="HeaderLandscape">
    <w:name w:val="HeaderLandscape"/>
    <w:basedOn w:val="Normal"/>
    <w:rsid w:val="00115901"/>
    <w:pPr>
      <w:tabs>
        <w:tab w:val="center" w:pos="7285"/>
        <w:tab w:val="right" w:pos="14003"/>
      </w:tabs>
      <w:spacing w:before="0" w:beforeAutospacing="0" w:after="120" w:afterAutospacing="0"/>
      <w:jc w:val="both"/>
    </w:pPr>
    <w:rPr>
      <w:rFonts w:cs="Times New Roman"/>
    </w:rPr>
  </w:style>
  <w:style w:type="paragraph" w:customStyle="1" w:styleId="HeaderSensitivity">
    <w:name w:val="Header Sensitivity"/>
    <w:basedOn w:val="Normal"/>
    <w:rsid w:val="00115901"/>
    <w:pPr>
      <w:pBdr>
        <w:top w:val="single" w:sz="4" w:space="1" w:color="auto"/>
        <w:left w:val="single" w:sz="4" w:space="4" w:color="auto"/>
        <w:bottom w:val="single" w:sz="4" w:space="1" w:color="auto"/>
        <w:right w:val="single" w:sz="4" w:space="4" w:color="auto"/>
      </w:pBdr>
      <w:spacing w:before="0" w:beforeAutospacing="0" w:after="120" w:afterAutospacing="0"/>
      <w:ind w:left="113" w:right="113"/>
      <w:jc w:val="center"/>
    </w:pPr>
    <w:rPr>
      <w:b/>
      <w:sz w:val="32"/>
    </w:rPr>
  </w:style>
  <w:style w:type="paragraph" w:customStyle="1" w:styleId="HeaderSensitivityRight">
    <w:name w:val="Header Sensitivity Right"/>
    <w:basedOn w:val="Normal"/>
    <w:rsid w:val="00115901"/>
    <w:pPr>
      <w:spacing w:before="0" w:beforeAutospacing="0" w:after="120" w:afterAutospacing="0"/>
      <w:jc w:val="right"/>
    </w:pPr>
    <w:rPr>
      <w:sz w:val="28"/>
    </w:rPr>
  </w:style>
  <w:style w:type="paragraph" w:customStyle="1" w:styleId="FooterLandscape">
    <w:name w:val="FooterLandscape"/>
    <w:basedOn w:val="Normal"/>
    <w:rsid w:val="00115901"/>
    <w:pPr>
      <w:tabs>
        <w:tab w:val="center" w:pos="7285"/>
        <w:tab w:val="center" w:pos="10913"/>
        <w:tab w:val="right" w:pos="15137"/>
      </w:tabs>
      <w:spacing w:before="360" w:beforeAutospacing="0" w:after="0" w:afterAutospacing="0"/>
      <w:ind w:left="-567" w:right="-567"/>
    </w:pPr>
    <w:rPr>
      <w:rFonts w:cs="Times New Roman"/>
    </w:rPr>
  </w:style>
  <w:style w:type="paragraph" w:customStyle="1" w:styleId="FooterSensitivity">
    <w:name w:val="Footer Sensitivity"/>
    <w:basedOn w:val="Normal"/>
    <w:rsid w:val="00115901"/>
    <w:pPr>
      <w:pBdr>
        <w:top w:val="single" w:sz="4" w:space="1" w:color="auto"/>
        <w:left w:val="single" w:sz="4" w:space="4" w:color="auto"/>
        <w:bottom w:val="single" w:sz="4" w:space="1" w:color="auto"/>
        <w:right w:val="single" w:sz="4" w:space="4" w:color="auto"/>
      </w:pBdr>
      <w:spacing w:before="360" w:beforeAutospacing="0" w:after="0" w:afterAutospacing="0"/>
      <w:ind w:left="113" w:right="113"/>
      <w:jc w:val="center"/>
    </w:pPr>
    <w:rPr>
      <w:b/>
      <w:sz w:val="32"/>
    </w:rPr>
  </w:style>
  <w:style w:type="paragraph" w:customStyle="1" w:styleId="Disclaimer">
    <w:name w:val="Disclaimer"/>
    <w:basedOn w:val="Normal"/>
    <w:rsid w:val="00115901"/>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beforeAutospacing="0" w:after="120" w:afterAutospacing="0"/>
      <w:jc w:val="both"/>
    </w:pPr>
    <w:rPr>
      <w:rFonts w:cs="Times New Roman"/>
    </w:rPr>
  </w:style>
  <w:style w:type="paragraph" w:customStyle="1" w:styleId="SecurityMarking">
    <w:name w:val="SecurityMarking"/>
    <w:basedOn w:val="Normal"/>
    <w:rsid w:val="00115901"/>
    <w:pPr>
      <w:spacing w:before="0" w:beforeAutospacing="0" w:after="0" w:afterAutospacing="0" w:line="276" w:lineRule="auto"/>
      <w:ind w:left="5103"/>
    </w:pPr>
    <w:rPr>
      <w:rFonts w:cs="Times New Roman"/>
      <w:sz w:val="28"/>
    </w:rPr>
  </w:style>
  <w:style w:type="paragraph" w:customStyle="1" w:styleId="DateMarking">
    <w:name w:val="DateMarking"/>
    <w:basedOn w:val="Normal"/>
    <w:rsid w:val="00115901"/>
    <w:pPr>
      <w:spacing w:before="0" w:beforeAutospacing="0" w:after="0" w:afterAutospacing="0" w:line="276" w:lineRule="auto"/>
      <w:ind w:left="5103"/>
    </w:pPr>
    <w:rPr>
      <w:rFonts w:cs="Times New Roman"/>
      <w:i/>
      <w:sz w:val="28"/>
    </w:rPr>
  </w:style>
  <w:style w:type="paragraph" w:customStyle="1" w:styleId="ReleasableTo">
    <w:name w:val="ReleasableTo"/>
    <w:basedOn w:val="Normal"/>
    <w:rsid w:val="00115901"/>
    <w:pPr>
      <w:spacing w:before="0" w:beforeAutospacing="0" w:after="0" w:afterAutospacing="0" w:line="276" w:lineRule="auto"/>
      <w:ind w:left="5103"/>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84651">
      <w:bodyDiv w:val="1"/>
      <w:marLeft w:val="0"/>
      <w:marRight w:val="0"/>
      <w:marTop w:val="0"/>
      <w:marBottom w:val="0"/>
      <w:divBdr>
        <w:top w:val="none" w:sz="0" w:space="0" w:color="auto"/>
        <w:left w:val="none" w:sz="0" w:space="0" w:color="auto"/>
        <w:bottom w:val="none" w:sz="0" w:space="0" w:color="auto"/>
        <w:right w:val="none" w:sz="0" w:space="0" w:color="auto"/>
      </w:divBdr>
    </w:div>
    <w:div w:id="1636644520">
      <w:bodyDiv w:val="1"/>
      <w:marLeft w:val="0"/>
      <w:marRight w:val="0"/>
      <w:marTop w:val="0"/>
      <w:marBottom w:val="0"/>
      <w:divBdr>
        <w:top w:val="none" w:sz="0" w:space="0" w:color="auto"/>
        <w:left w:val="none" w:sz="0" w:space="0" w:color="auto"/>
        <w:bottom w:val="none" w:sz="0" w:space="0" w:color="auto"/>
        <w:right w:val="none" w:sz="0" w:space="0" w:color="auto"/>
      </w:divBdr>
    </w:div>
    <w:div w:id="169777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Not reviewed for public release</IMF_C0_PublicationStatus>
    <IMF_C0_Language xmlns="391a2f22-9f1b-4edd-a10b-257ace2d067d">English</IMF_C0_Language>
    <IMF_RC_RefDocumentId xmlns="6E10281A-CD3A-4F0C-9B7D-A2009929208B" xsi:nil="true"/>
    <IMF_C0_Owner xmlns="391a2f22-9f1b-4edd-a10b-257ace2d067d">
      <UserInfo>
        <DisplayName/>
        <AccountId xsi:nil="true"/>
        <AccountType/>
      </UserInfo>
    </IMF_C0_Owner>
    <IMF_C0_OriginatedTimestamp xmlns="391a2f22-9f1b-4edd-a10b-257ace2d067d">2022-03-30T09:57:00+00:00</IMF_C0_OriginatedTimestamp>
    <IMF_C53_Edition xmlns="e8879246-bfc1-4b56-8f26-022543d6b024">Third</IMF_C53_Edition>
    <IMF_RC_RefDocumentVersion xmlns="6E10281A-CD3A-4F0C-9B7D-A2009929208B" xsi:nil="true"/>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ebe49520-8a61-4518-ad1c-bc2447d8e3e0</TermId>
        </TermInfo>
      </Terms>
    </IMF_C0_SourceTaxHTField0>
    <IMF_RC_RefDocumentGuid xmlns="6E10281A-CD3A-4F0C-9B7D-A2009929208B" xsi:nil="true"/>
    <IMF_C1_Year xmlns="391a2f22-9f1b-4edd-a10b-257ace2d067d">2022</IMF_C1_Year>
    <IMF_C0_Contributor xmlns="391a2f22-9f1b-4edd-a10b-257ace2d067d">
      <UserInfo>
        <DisplayName/>
        <AccountId xsi:nil="true"/>
        <AccountType/>
      </UserInfo>
    </IMF_C0_Contributor>
    <TaxCatchAll xmlns="391a2f22-9f1b-4edd-a10b-257ace2d067d">
      <Value>101</Value>
      <Value>2</Value>
      <Value>70</Value>
    </TaxCatchAll>
    <IMF_C0_Distribution xmlns="391a2f22-9f1b-4edd-a10b-257ace2d067d">EASA</IMF_C0_Distribution>
    <IMF_RC_RefDocumentLib xmlns="6E10281A-CD3A-4F0C-9B7D-A2009929208B" xsi:nil="true"/>
    <IMF_RC_RefDocumentSet xmlns="6E10281A-CD3A-4F0C-9B7D-A2009929208B" xsi:nil="true"/>
    <IMF_RC_RefDocumentInfo xmlns="6E10281A-CD3A-4F0C-9B7D-A2009929208B" xsi:nil="true"/>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Safety programming and monitoring</TermName>
          <TermId xmlns="http://schemas.microsoft.com/office/infopath/2007/PartnerControls">9525b9c4-0559-4ebb-bd8d-cf837ccaaaf0</TermId>
        </TermInfo>
      </Terms>
    </IMF_C0_TaxonomyTaxHTField0>
    <TaxKeywordTaxHTField xmlns="391a2f22-9f1b-4edd-a10b-257ace2d067d">
      <Terms xmlns="http://schemas.microsoft.com/office/infopath/2007/PartnerControls"/>
    </TaxKeywordTaxHTField>
    <_dlc_DocId xmlns="391a2f22-9f1b-4edd-a10b-257ace2d067d">EASASFPRG-250447509-855</_dlc_DocId>
    <_dlc_DocIdUrl xmlns="391a2f22-9f1b-4edd-a10b-257ace2d067d">
      <Url>https://dms.easa.europa.eu/case/sfprg/_layouts/15/DocIdRedir.aspx?ID=EASASFPRG-250447509-855</Url>
      <Description>EASASFPRG-250447509-855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4.xml><?xml version="1.0" encoding="utf-8"?>
<?mso-contentType ?>
<SharedContentType xmlns="Microsoft.SharePoint.Taxonomy.ContentTypeSync" SourceId="8358dc2d-5dac-4cc2-8ed1-5c2041965753" ContentTypeId="0x010100A14FE9BE6CE84F1BB23C774EC08C4AEA073A" PreviousValue="false"/>
</file>

<file path=customXml/item5.xml><?xml version="1.0" encoding="utf-8"?>
<ct:contentTypeSchema xmlns:ct="http://schemas.microsoft.com/office/2006/metadata/contentType" xmlns:ma="http://schemas.microsoft.com/office/2006/metadata/properties/metaAttributes" ct:_="" ma:_="" ma:contentTypeName="SFPRG EPAS" ma:contentTypeID="0x010100A14FE9BE6CE84F1BB23C774EC08C4AEA073A00491E9A3B3B56E24BBD4EAF49F9A92954" ma:contentTypeVersion="15" ma:contentTypeDescription="" ma:contentTypeScope="" ma:versionID="bc12868d16910ab78b98b47c9239f6fc">
  <xsd:schema xmlns:xsd="http://www.w3.org/2001/XMLSchema" xmlns:xs="http://www.w3.org/2001/XMLSchema" xmlns:p="http://schemas.microsoft.com/office/2006/metadata/properties" xmlns:ns2="391a2f22-9f1b-4edd-a10b-257ace2d067d" xmlns:ns3="720140C3-6DF4-409B-A1F7-429D32417DCA" xmlns:ns4="6E10281A-CD3A-4F0C-9B7D-A2009929208B" xmlns:ns5="e8879246-bfc1-4b56-8f26-022543d6b024" targetNamespace="http://schemas.microsoft.com/office/2006/metadata/properties" ma:root="true" ma:fieldsID="91d0e733886fc354bcc26e7633e2984e" ns2:_="" ns3:_="" ns4:_="" ns5:_="">
    <xsd:import namespace="391a2f22-9f1b-4edd-a10b-257ace2d067d"/>
    <xsd:import namespace="720140C3-6DF4-409B-A1F7-429D32417DCA"/>
    <xsd:import namespace="6E10281A-CD3A-4F0C-9B7D-A2009929208B"/>
    <xsd:import namespace="e8879246-bfc1-4b56-8f26-022543d6b024"/>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F_RC_RefDocumentGuid" minOccurs="0"/>
                <xsd:element ref="ns4:IMF_RC_RefDocumentId" minOccurs="0"/>
                <xsd:element ref="ns4:IMF_RC_RefDocumentVersion" minOccurs="0"/>
                <xsd:element ref="ns4:IMF_RC_RefDocumentLib" minOccurs="0"/>
                <xsd:element ref="ns4:IMF_RC_RefDocumentSet" minOccurs="0"/>
                <xsd:element ref="ns4:IMF_RC_RefDocumentInfo" minOccurs="0"/>
                <xsd:element ref="ns2:IMF_C1_Year" minOccurs="0"/>
                <xsd:element ref="ns5:IMF_C53_Edition"/>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IMF_C1_Year" ma:index="32" nillable="true" ma:displayName="Year" ma:description="Year value" ma:internalName="IMF_C1_Year">
      <xsd:simpleType>
        <xsd:restriction base="dms:Number">
          <xsd:maxInclusive value="2200"/>
          <xsd:minInclusive value="1900"/>
        </xsd:restriction>
      </xsd:simpleType>
    </xsd:element>
    <xsd:element name="TaxCatchAll" ma:index="34" nillable="true" ma:displayName="Taxonomy Catch All Column" ma:hidden="true" ma:list="{f20cd696-f0fd-4726-a78d-d2f83f3ab84a}" ma:internalName="TaxCatchAll" ma:showField="CatchAllData" ma:web="714ec979-e668-4125-83b7-67c031615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26" nillable="true" ma:displayName="RefGuid" ma:description="" ma:hidden="true" ma:internalName="IMF_RC_RefDocumentGuid">
      <xsd:simpleType>
        <xsd:restriction base="dms:Text"/>
      </xsd:simpleType>
    </xsd:element>
    <xsd:element name="IMF_RC_RefDocumentId" ma:index="27" nillable="true" ma:displayName="RefId" ma:description="" ma:hidden="true" ma:internalName="IMF_RC_RefDocumentId">
      <xsd:simpleType>
        <xsd:restriction base="dms:Text"/>
      </xsd:simpleType>
    </xsd:element>
    <xsd:element name="IMF_RC_RefDocumentVersion" ma:index="28" nillable="true" ma:displayName="RefVer" ma:description="" ma:hidden="true" ma:internalName="IMF_RC_RefDocumentVersion">
      <xsd:simpleType>
        <xsd:restriction base="dms:Text"/>
      </xsd:simpleType>
    </xsd:element>
    <xsd:element name="IMF_RC_RefDocumentLib" ma:index="29" nillable="true" ma:displayName="RefLib" ma:description="" ma:hidden="true" ma:internalName="IMF_RC_RefDocumentLib">
      <xsd:simpleType>
        <xsd:restriction base="dms:Text"/>
      </xsd:simpleType>
    </xsd:element>
    <xsd:element name="IMF_RC_RefDocumentSet" ma:index="30" nillable="true" ma:displayName="RefDs" ma:description="" ma:hidden="true" ma:internalName="IMF_RC_RefDocumentSet">
      <xsd:simpleType>
        <xsd:restriction base="dms:Text"/>
      </xsd:simpleType>
    </xsd:element>
    <xsd:element name="IMF_RC_RefDocumentInfo" ma:index="31" nillable="true" ma:displayName="RefInfo" ma:description="" ma:hidden="true" ma:internalName="IMF_RC_RefDocumentInf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879246-bfc1-4b56-8f26-022543d6b024" elementFormDefault="qualified">
    <xsd:import namespace="http://schemas.microsoft.com/office/2006/documentManagement/types"/>
    <xsd:import namespace="http://schemas.microsoft.com/office/infopath/2007/PartnerControls"/>
    <xsd:element name="IMF_C53_Edition" ma:index="33" ma:displayName="Edition" ma:description="" ma:internalName="IMF_C53_Edi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58FFD-5DAA-4ABA-A3F1-BFA3749ACE39}">
  <ds:schemaRefs>
    <ds:schemaRef ds:uri="http://schemas.microsoft.com/office/2006/metadata/properties"/>
    <ds:schemaRef ds:uri="http://schemas.openxmlformats.org/package/2006/metadata/core-properties"/>
    <ds:schemaRef ds:uri="720140C3-6DF4-409B-A1F7-429D32417DCA"/>
    <ds:schemaRef ds:uri="http://schemas.microsoft.com/office/2006/documentManagement/types"/>
    <ds:schemaRef ds:uri="http://purl.org/dc/terms/"/>
    <ds:schemaRef ds:uri="http://purl.org/dc/dcmitype/"/>
    <ds:schemaRef ds:uri="6E10281A-CD3A-4F0C-9B7D-A2009929208B"/>
    <ds:schemaRef ds:uri="http://schemas.microsoft.com/office/infopath/2007/PartnerControls"/>
    <ds:schemaRef ds:uri="http://purl.org/dc/elements/1.1/"/>
    <ds:schemaRef ds:uri="e8879246-bfc1-4b56-8f26-022543d6b024"/>
    <ds:schemaRef ds:uri="391a2f22-9f1b-4edd-a10b-257ace2d067d"/>
    <ds:schemaRef ds:uri="http://www.w3.org/XML/1998/namespace"/>
  </ds:schemaRefs>
</ds:datastoreItem>
</file>

<file path=customXml/itemProps2.xml><?xml version="1.0" encoding="utf-8"?>
<ds:datastoreItem xmlns:ds="http://schemas.openxmlformats.org/officeDocument/2006/customXml" ds:itemID="{87CEA496-A6E5-4C99-A832-76B5EDDE2DB0}">
  <ds:schemaRefs>
    <ds:schemaRef ds:uri="http://schemas.microsoft.com/sharepoint/v3/contenttype/forms"/>
  </ds:schemaRefs>
</ds:datastoreItem>
</file>

<file path=customXml/itemProps3.xml><?xml version="1.0" encoding="utf-8"?>
<ds:datastoreItem xmlns:ds="http://schemas.openxmlformats.org/officeDocument/2006/customXml" ds:itemID="{CF44C602-29D7-4705-ABB1-39608827C712}">
  <ds:schemaRefs>
    <ds:schemaRef ds:uri="http://schemas.microsoft.com/sharepoint/events"/>
  </ds:schemaRefs>
</ds:datastoreItem>
</file>

<file path=customXml/itemProps4.xml><?xml version="1.0" encoding="utf-8"?>
<ds:datastoreItem xmlns:ds="http://schemas.openxmlformats.org/officeDocument/2006/customXml" ds:itemID="{6E98D15E-8777-425B-9DB2-0BAF57A735BE}">
  <ds:schemaRefs>
    <ds:schemaRef ds:uri="Microsoft.SharePoint.Taxonomy.ContentTypeSync"/>
  </ds:schemaRefs>
</ds:datastoreItem>
</file>

<file path=customXml/itemProps5.xml><?xml version="1.0" encoding="utf-8"?>
<ds:datastoreItem xmlns:ds="http://schemas.openxmlformats.org/officeDocument/2006/customXml" ds:itemID="{313EC7A3-7BB2-48F7-8003-D10E30278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6E10281A-CD3A-4F0C-9B7D-A2009929208B"/>
    <ds:schemaRef ds:uri="e8879246-bfc1-4b56-8f26-022543d6b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C75B85-484D-42D5-AA7C-47830AF4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2831</Words>
  <Characters>16252</Characters>
  <Application>Microsoft Office Word</Application>
  <DocSecurity>0</DocSecurity>
  <Lines>266</Lines>
  <Paragraphs>71</Paragraphs>
  <ScaleCrop>false</ScaleCrop>
  <HeadingPairs>
    <vt:vector size="2" baseType="variant">
      <vt:variant>
        <vt:lpstr>Title</vt:lpstr>
      </vt:variant>
      <vt:variant>
        <vt:i4>1</vt:i4>
      </vt:variant>
    </vt:vector>
  </HeadingPairs>
  <TitlesOfParts>
    <vt:vector size="1" baseType="lpstr">
      <vt:lpstr>European Aviation Safety Programme</vt:lpstr>
    </vt:vector>
  </TitlesOfParts>
  <Manager/>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Aviation Safety Programme</dc:title>
  <dc:creator/>
  <cp:keywords/>
  <cp:lastModifiedBy>EC CoDe</cp:lastModifiedBy>
  <cp:revision>27</cp:revision>
  <cp:lastPrinted>2022-04-29T13:01:00Z</cp:lastPrinted>
  <dcterms:created xsi:type="dcterms:W3CDTF">2022-09-19T15:20:00Z</dcterms:created>
  <dcterms:modified xsi:type="dcterms:W3CDTF">2022-09-21T08:49:00Z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8.0.1, Build 20220429</vt:lpwstr>
  </property>
  <property fmtid="{D5CDD505-2E9C-101B-9397-08002B2CF9AE}" pid="7" name="CPTemplateID">
    <vt:lpwstr>CP-006</vt:lpwstr>
  </property>
  <property fmtid="{D5CDD505-2E9C-101B-9397-08002B2CF9AE}" pid="8" name="ContentTypeId">
    <vt:lpwstr>0x010100A14FE9BE6CE84F1BB23C774EC08C4AEA073A00491E9A3B3B56E24BBD4EAF49F9A92954</vt:lpwstr>
  </property>
  <property fmtid="{D5CDD505-2E9C-101B-9397-08002B2CF9AE}" pid="9" name="IMF_C0_Taxonomy">
    <vt:lpwstr>2;#Safety programming and monitoring|9525b9c4-0559-4ebb-bd8d-cf837ccaaaf0</vt:lpwstr>
  </property>
  <property fmtid="{D5CDD505-2E9C-101B-9397-08002B2CF9AE}" pid="10" name="TaxKeyword">
    <vt:lpwstr/>
  </property>
  <property fmtid="{D5CDD505-2E9C-101B-9397-08002B2CF9AE}" pid="11" name="IMF_C53_ProjectPhase">
    <vt:lpwstr/>
  </property>
  <property fmtid="{D5CDD505-2E9C-101B-9397-08002B2CF9AE}" pid="12" name="IMF_C53_IAMEDomain">
    <vt:lpwstr>101;#Other|c2c8ba02-d31d-4f3b-8a59-b4dedb9f9160</vt:lpwstr>
  </property>
  <property fmtid="{D5CDD505-2E9C-101B-9397-08002B2CF9AE}" pid="13" name="IMF_C53_IAMESvcLev">
    <vt:lpwstr/>
  </property>
  <property fmtid="{D5CDD505-2E9C-101B-9397-08002B2CF9AE}" pid="14" name="IMF_C53_PIASubjectTaxHTField0">
    <vt:lpwstr/>
  </property>
  <property fmtid="{D5CDD505-2E9C-101B-9397-08002B2CF9AE}" pid="15" name="IMF_C53_PIASubject">
    <vt:lpwstr/>
  </property>
  <property fmtid="{D5CDD505-2E9C-101B-9397-08002B2CF9AE}" pid="16" name="IMF_C0_Source">
    <vt:lpwstr>70;#External|ebe49520-8a61-4518-ad1c-bc2447d8e3e0</vt:lpwstr>
  </property>
  <property fmtid="{D5CDD505-2E9C-101B-9397-08002B2CF9AE}" pid="17" name="IMF_C53_Topic">
    <vt:lpwstr/>
  </property>
  <property fmtid="{D5CDD505-2E9C-101B-9397-08002B2CF9AE}" pid="18" name="IMF_C53_TopicTaxHTField0">
    <vt:lpwstr/>
  </property>
  <property fmtid="{D5CDD505-2E9C-101B-9397-08002B2CF9AE}" pid="19" name="IMF_C53_ProjectPhaseTaxHTField0">
    <vt:lpwstr/>
  </property>
  <property fmtid="{D5CDD505-2E9C-101B-9397-08002B2CF9AE}" pid="20" name="IMF_C50_DomainTaxHTField0">
    <vt:lpwstr/>
  </property>
  <property fmtid="{D5CDD505-2E9C-101B-9397-08002B2CF9AE}" pid="21" name="IMF_C50_Domain">
    <vt:lpwstr/>
  </property>
  <property fmtid="{D5CDD505-2E9C-101B-9397-08002B2CF9AE}" pid="22" name="IMF_C53_IAMEDomainTaxHTField0">
    <vt:lpwstr>Other|c2c8ba02-d31d-4f3b-8a59-b4dedb9f9160</vt:lpwstr>
  </property>
  <property fmtid="{D5CDD505-2E9C-101B-9397-08002B2CF9AE}" pid="23" name="IMF_C53_IAMESvcLevTaxHTField0">
    <vt:lpwstr/>
  </property>
  <property fmtid="{D5CDD505-2E9C-101B-9397-08002B2CF9AE}" pid="24" name="_dlc_DocIdItemGuid">
    <vt:lpwstr>359dc723-322a-434f-a060-d0e9b679aead</vt:lpwstr>
  </property>
</Properties>
</file>