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6A30A" w14:textId="3A00D017" w:rsidR="006F78EE" w:rsidRPr="003C0D71" w:rsidRDefault="00FA4D77" w:rsidP="00FA4D77">
      <w:pPr>
        <w:pStyle w:val="Pagedecouverture"/>
        <w:rPr>
          <w:noProof/>
        </w:rPr>
      </w:pPr>
      <w:bookmarkStart w:id="0" w:name="LW_BM_COVERPAGE"/>
      <w:r>
        <w:rPr>
          <w:noProof/>
        </w:rPr>
        <w:pict w14:anchorId="18F94D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3641FBE3-D162-4B7B-AEAB-107BF25BCAF9" style="width:455.25pt;height:351.75pt">
            <v:imagedata r:id="rId14" o:title=""/>
          </v:shape>
        </w:pict>
      </w:r>
    </w:p>
    <w:bookmarkEnd w:id="0"/>
    <w:p w14:paraId="08F987EF" w14:textId="77777777" w:rsidR="006F78EE" w:rsidRPr="003C0D71" w:rsidRDefault="006F78EE" w:rsidP="006F78EE">
      <w:pPr>
        <w:rPr>
          <w:noProof/>
        </w:rPr>
        <w:sectPr w:rsidR="006F78EE" w:rsidRPr="003C0D71" w:rsidSect="00FA4D77">
          <w:headerReference w:type="even" r:id="rId15"/>
          <w:headerReference w:type="default" r:id="rId16"/>
          <w:footerReference w:type="even" r:id="rId17"/>
          <w:footerReference w:type="default" r:id="rId18"/>
          <w:headerReference w:type="first" r:id="rId19"/>
          <w:footerReference w:type="first" r:id="rId20"/>
          <w:pgSz w:w="11906" w:h="16838"/>
          <w:pgMar w:top="1134" w:right="1417" w:bottom="1134" w:left="1417" w:header="709" w:footer="709" w:gutter="0"/>
          <w:pgNumType w:start="0"/>
          <w:cols w:space="720"/>
          <w:docGrid w:linePitch="360"/>
        </w:sectPr>
      </w:pPr>
    </w:p>
    <w:p w14:paraId="67E0925F" w14:textId="77777777" w:rsidR="00EB7913" w:rsidRPr="003C0D71" w:rsidRDefault="2603B6C4" w:rsidP="005903EC">
      <w:pPr>
        <w:rPr>
          <w:rFonts w:ascii="Times New Roman" w:hAnsi="Times New Roman" w:cs="Times New Roman"/>
          <w:noProof/>
          <w:sz w:val="40"/>
          <w:szCs w:val="40"/>
        </w:rPr>
      </w:pPr>
      <w:bookmarkStart w:id="1" w:name="_GoBack"/>
      <w:bookmarkEnd w:id="1"/>
      <w:r w:rsidRPr="003C0D71">
        <w:rPr>
          <w:rFonts w:ascii="Times New Roman" w:hAnsi="Times New Roman" w:cs="Times New Roman"/>
          <w:noProof/>
          <w:sz w:val="40"/>
          <w:szCs w:val="40"/>
        </w:rPr>
        <w:lastRenderedPageBreak/>
        <w:t>REPORT FROM THE COMMISSION TO THE EUROPEAN PARLIAMENT AND THE COUNCIL</w:t>
      </w:r>
    </w:p>
    <w:p w14:paraId="2D5C2958" w14:textId="77777777" w:rsidR="00307B2C" w:rsidRPr="003C0D71" w:rsidRDefault="2603B6C4" w:rsidP="005903EC">
      <w:pPr>
        <w:rPr>
          <w:rFonts w:ascii="Times New Roman" w:hAnsi="Times New Roman" w:cs="Times New Roman"/>
          <w:noProof/>
          <w:sz w:val="40"/>
          <w:szCs w:val="40"/>
        </w:rPr>
      </w:pPr>
      <w:r w:rsidRPr="003C0D71">
        <w:rPr>
          <w:rFonts w:ascii="Times New Roman" w:hAnsi="Times New Roman" w:cs="Times New Roman"/>
          <w:noProof/>
          <w:sz w:val="40"/>
          <w:szCs w:val="40"/>
        </w:rPr>
        <w:t>On the functioning of the Securitisation Regulation</w:t>
      </w:r>
    </w:p>
    <w:p w14:paraId="43AADED9" w14:textId="77777777" w:rsidR="00664673" w:rsidRPr="003C0D71" w:rsidRDefault="00664673" w:rsidP="00B9203F">
      <w:pPr>
        <w:rPr>
          <w:rFonts w:ascii="Times New Roman" w:hAnsi="Times New Roman" w:cs="Times New Roman"/>
          <w:noProof/>
          <w:sz w:val="40"/>
          <w:szCs w:val="40"/>
        </w:rPr>
      </w:pPr>
    </w:p>
    <w:sdt>
      <w:sdtPr>
        <w:rPr>
          <w:rFonts w:asciiTheme="minorHAnsi" w:eastAsiaTheme="minorHAnsi" w:hAnsiTheme="minorHAnsi" w:cstheme="minorBidi"/>
          <w:noProof/>
          <w:color w:val="auto"/>
          <w:sz w:val="22"/>
          <w:szCs w:val="22"/>
          <w:lang w:val="en-GB"/>
        </w:rPr>
        <w:id w:val="1359091371"/>
        <w:docPartObj>
          <w:docPartGallery w:val="Table of Contents"/>
          <w:docPartUnique/>
        </w:docPartObj>
      </w:sdtPr>
      <w:sdtEndPr>
        <w:rPr>
          <w:b/>
          <w:bCs/>
        </w:rPr>
      </w:sdtEndPr>
      <w:sdtContent>
        <w:p w14:paraId="0D34086C" w14:textId="77777777" w:rsidR="004134D0" w:rsidRPr="003C0D71" w:rsidRDefault="004134D0">
          <w:pPr>
            <w:pStyle w:val="TOCHeading"/>
            <w:rPr>
              <w:rFonts w:ascii="Times New Roman" w:hAnsi="Times New Roman" w:cs="Times New Roman"/>
              <w:noProof/>
              <w:color w:val="auto"/>
            </w:rPr>
          </w:pPr>
          <w:r w:rsidRPr="003C0D71">
            <w:rPr>
              <w:rFonts w:ascii="Times New Roman" w:hAnsi="Times New Roman" w:cs="Times New Roman"/>
              <w:noProof/>
              <w:color w:val="auto"/>
            </w:rPr>
            <w:t>Contents</w:t>
          </w:r>
        </w:p>
        <w:p w14:paraId="1CBCD830" w14:textId="539AF37B" w:rsidR="00325EBC" w:rsidRDefault="004134D0">
          <w:pPr>
            <w:pStyle w:val="TOC1"/>
            <w:rPr>
              <w:rFonts w:eastAsiaTheme="minorEastAsia"/>
              <w:noProof/>
              <w:lang w:val="en-IE" w:eastAsia="en-IE"/>
            </w:rPr>
          </w:pPr>
          <w:r w:rsidRPr="003C0D71">
            <w:rPr>
              <w:rFonts w:ascii="Times New Roman" w:hAnsi="Times New Roman" w:cs="Times New Roman"/>
              <w:noProof/>
            </w:rPr>
            <w:fldChar w:fldCharType="begin"/>
          </w:r>
          <w:r w:rsidRPr="003C0D71">
            <w:rPr>
              <w:rFonts w:ascii="Times New Roman" w:hAnsi="Times New Roman" w:cs="Times New Roman"/>
              <w:noProof/>
            </w:rPr>
            <w:instrText xml:space="preserve"> TOC \o "1-2" \h \z \u </w:instrText>
          </w:r>
          <w:r w:rsidRPr="003C0D71">
            <w:rPr>
              <w:rFonts w:ascii="Times New Roman" w:hAnsi="Times New Roman" w:cs="Times New Roman"/>
              <w:noProof/>
            </w:rPr>
            <w:fldChar w:fldCharType="separate"/>
          </w:r>
          <w:hyperlink w:anchor="_Toc115346203" w:history="1">
            <w:r w:rsidR="00325EBC" w:rsidRPr="00F859A8">
              <w:rPr>
                <w:rStyle w:val="Hyperlink"/>
                <w:rFonts w:ascii="Times New Roman" w:hAnsi="Times New Roman" w:cs="Times New Roman"/>
                <w:noProof/>
              </w:rPr>
              <w:t>1.</w:t>
            </w:r>
            <w:r w:rsidR="00325EBC">
              <w:rPr>
                <w:rFonts w:eastAsiaTheme="minorEastAsia"/>
                <w:noProof/>
                <w:lang w:val="en-IE" w:eastAsia="en-IE"/>
              </w:rPr>
              <w:tab/>
            </w:r>
            <w:r w:rsidR="00325EBC" w:rsidRPr="00F859A8">
              <w:rPr>
                <w:rStyle w:val="Hyperlink"/>
                <w:rFonts w:ascii="Times New Roman" w:hAnsi="Times New Roman" w:cs="Times New Roman"/>
                <w:noProof/>
              </w:rPr>
              <w:t>Introduction</w:t>
            </w:r>
            <w:r w:rsidR="00325EBC">
              <w:rPr>
                <w:noProof/>
                <w:webHidden/>
              </w:rPr>
              <w:tab/>
            </w:r>
            <w:r w:rsidR="00325EBC">
              <w:rPr>
                <w:noProof/>
                <w:webHidden/>
              </w:rPr>
              <w:fldChar w:fldCharType="begin"/>
            </w:r>
            <w:r w:rsidR="00325EBC">
              <w:rPr>
                <w:noProof/>
                <w:webHidden/>
              </w:rPr>
              <w:instrText xml:space="preserve"> PAGEREF _Toc115346203 \h </w:instrText>
            </w:r>
            <w:r w:rsidR="00325EBC">
              <w:rPr>
                <w:noProof/>
                <w:webHidden/>
              </w:rPr>
            </w:r>
            <w:r w:rsidR="00325EBC">
              <w:rPr>
                <w:noProof/>
                <w:webHidden/>
              </w:rPr>
              <w:fldChar w:fldCharType="separate"/>
            </w:r>
            <w:r w:rsidR="00325EBC">
              <w:rPr>
                <w:noProof/>
                <w:webHidden/>
              </w:rPr>
              <w:t>2</w:t>
            </w:r>
            <w:r w:rsidR="00325EBC">
              <w:rPr>
                <w:noProof/>
                <w:webHidden/>
              </w:rPr>
              <w:fldChar w:fldCharType="end"/>
            </w:r>
          </w:hyperlink>
        </w:p>
        <w:p w14:paraId="13BE59B2" w14:textId="70076751" w:rsidR="00325EBC" w:rsidRDefault="00FA4D77">
          <w:pPr>
            <w:pStyle w:val="TOC1"/>
            <w:rPr>
              <w:rFonts w:eastAsiaTheme="minorEastAsia"/>
              <w:noProof/>
              <w:lang w:val="en-IE" w:eastAsia="en-IE"/>
            </w:rPr>
          </w:pPr>
          <w:hyperlink w:anchor="_Toc115346204" w:history="1">
            <w:r w:rsidR="00325EBC" w:rsidRPr="00F859A8">
              <w:rPr>
                <w:rStyle w:val="Hyperlink"/>
                <w:rFonts w:ascii="Times New Roman" w:hAnsi="Times New Roman" w:cs="Times New Roman"/>
                <w:noProof/>
              </w:rPr>
              <w:t>2.</w:t>
            </w:r>
            <w:r w:rsidR="00325EBC">
              <w:rPr>
                <w:rFonts w:eastAsiaTheme="minorEastAsia"/>
                <w:noProof/>
                <w:lang w:val="en-IE" w:eastAsia="en-IE"/>
              </w:rPr>
              <w:tab/>
            </w:r>
            <w:r w:rsidR="00325EBC" w:rsidRPr="00F859A8">
              <w:rPr>
                <w:rStyle w:val="Hyperlink"/>
                <w:rFonts w:ascii="Times New Roman" w:hAnsi="Times New Roman" w:cs="Times New Roman"/>
                <w:noProof/>
              </w:rPr>
              <w:t>Market developments</w:t>
            </w:r>
            <w:r w:rsidR="00325EBC">
              <w:rPr>
                <w:noProof/>
                <w:webHidden/>
              </w:rPr>
              <w:tab/>
            </w:r>
            <w:r w:rsidR="00325EBC">
              <w:rPr>
                <w:noProof/>
                <w:webHidden/>
              </w:rPr>
              <w:fldChar w:fldCharType="begin"/>
            </w:r>
            <w:r w:rsidR="00325EBC">
              <w:rPr>
                <w:noProof/>
                <w:webHidden/>
              </w:rPr>
              <w:instrText xml:space="preserve"> PAGEREF _Toc115346204 \h </w:instrText>
            </w:r>
            <w:r w:rsidR="00325EBC">
              <w:rPr>
                <w:noProof/>
                <w:webHidden/>
              </w:rPr>
            </w:r>
            <w:r w:rsidR="00325EBC">
              <w:rPr>
                <w:noProof/>
                <w:webHidden/>
              </w:rPr>
              <w:fldChar w:fldCharType="separate"/>
            </w:r>
            <w:r w:rsidR="00325EBC">
              <w:rPr>
                <w:noProof/>
                <w:webHidden/>
              </w:rPr>
              <w:t>4</w:t>
            </w:r>
            <w:r w:rsidR="00325EBC">
              <w:rPr>
                <w:noProof/>
                <w:webHidden/>
              </w:rPr>
              <w:fldChar w:fldCharType="end"/>
            </w:r>
          </w:hyperlink>
        </w:p>
        <w:p w14:paraId="0883B43F" w14:textId="71FDA322" w:rsidR="00325EBC" w:rsidRDefault="00FA4D77">
          <w:pPr>
            <w:pStyle w:val="TOC1"/>
            <w:rPr>
              <w:rFonts w:eastAsiaTheme="minorEastAsia"/>
              <w:noProof/>
              <w:lang w:val="en-IE" w:eastAsia="en-IE"/>
            </w:rPr>
          </w:pPr>
          <w:hyperlink w:anchor="_Toc115346205" w:history="1">
            <w:r w:rsidR="00325EBC" w:rsidRPr="00F859A8">
              <w:rPr>
                <w:rStyle w:val="Hyperlink"/>
                <w:rFonts w:ascii="Times New Roman" w:hAnsi="Times New Roman" w:cs="Times New Roman"/>
                <w:noProof/>
              </w:rPr>
              <w:t>3.</w:t>
            </w:r>
            <w:r w:rsidR="00325EBC">
              <w:rPr>
                <w:rFonts w:eastAsiaTheme="minorEastAsia"/>
                <w:noProof/>
                <w:lang w:val="en-IE" w:eastAsia="en-IE"/>
              </w:rPr>
              <w:tab/>
            </w:r>
            <w:r w:rsidR="00325EBC" w:rsidRPr="00F859A8">
              <w:rPr>
                <w:rStyle w:val="Hyperlink"/>
                <w:rFonts w:ascii="Times New Roman" w:hAnsi="Times New Roman" w:cs="Times New Roman"/>
                <w:noProof/>
              </w:rPr>
              <w:t>The effects of the Regulation</w:t>
            </w:r>
            <w:r w:rsidR="00325EBC">
              <w:rPr>
                <w:noProof/>
                <w:webHidden/>
              </w:rPr>
              <w:tab/>
            </w:r>
            <w:r w:rsidR="00325EBC">
              <w:rPr>
                <w:noProof/>
                <w:webHidden/>
              </w:rPr>
              <w:fldChar w:fldCharType="begin"/>
            </w:r>
            <w:r w:rsidR="00325EBC">
              <w:rPr>
                <w:noProof/>
                <w:webHidden/>
              </w:rPr>
              <w:instrText xml:space="preserve"> PAGEREF _Toc115346205 \h </w:instrText>
            </w:r>
            <w:r w:rsidR="00325EBC">
              <w:rPr>
                <w:noProof/>
                <w:webHidden/>
              </w:rPr>
            </w:r>
            <w:r w:rsidR="00325EBC">
              <w:rPr>
                <w:noProof/>
                <w:webHidden/>
              </w:rPr>
              <w:fldChar w:fldCharType="separate"/>
            </w:r>
            <w:r w:rsidR="00325EBC">
              <w:rPr>
                <w:noProof/>
                <w:webHidden/>
              </w:rPr>
              <w:t>5</w:t>
            </w:r>
            <w:r w:rsidR="00325EBC">
              <w:rPr>
                <w:noProof/>
                <w:webHidden/>
              </w:rPr>
              <w:fldChar w:fldCharType="end"/>
            </w:r>
          </w:hyperlink>
        </w:p>
        <w:p w14:paraId="3FA6794D" w14:textId="7BF50C9B" w:rsidR="00325EBC" w:rsidRDefault="00FA4D77">
          <w:pPr>
            <w:pStyle w:val="TOC1"/>
            <w:rPr>
              <w:rFonts w:eastAsiaTheme="minorEastAsia"/>
              <w:noProof/>
              <w:lang w:val="en-IE" w:eastAsia="en-IE"/>
            </w:rPr>
          </w:pPr>
          <w:hyperlink w:anchor="_Toc115346206" w:history="1">
            <w:r w:rsidR="00325EBC" w:rsidRPr="00F859A8">
              <w:rPr>
                <w:rStyle w:val="Hyperlink"/>
                <w:rFonts w:ascii="Times New Roman" w:hAnsi="Times New Roman" w:cs="Times New Roman"/>
                <w:noProof/>
              </w:rPr>
              <w:t>4.</w:t>
            </w:r>
            <w:r w:rsidR="00325EBC">
              <w:rPr>
                <w:rFonts w:eastAsiaTheme="minorEastAsia"/>
                <w:noProof/>
                <w:lang w:val="en-IE" w:eastAsia="en-IE"/>
              </w:rPr>
              <w:tab/>
            </w:r>
            <w:r w:rsidR="00325EBC" w:rsidRPr="00F859A8">
              <w:rPr>
                <w:rStyle w:val="Hyperlink"/>
                <w:rFonts w:ascii="Times New Roman" w:hAnsi="Times New Roman" w:cs="Times New Roman"/>
                <w:noProof/>
              </w:rPr>
              <w:t>Risk retention</w:t>
            </w:r>
            <w:r w:rsidR="00325EBC">
              <w:rPr>
                <w:noProof/>
                <w:webHidden/>
              </w:rPr>
              <w:tab/>
            </w:r>
            <w:r w:rsidR="00325EBC">
              <w:rPr>
                <w:noProof/>
                <w:webHidden/>
              </w:rPr>
              <w:fldChar w:fldCharType="begin"/>
            </w:r>
            <w:r w:rsidR="00325EBC">
              <w:rPr>
                <w:noProof/>
                <w:webHidden/>
              </w:rPr>
              <w:instrText xml:space="preserve"> PAGEREF _Toc115346206 \h </w:instrText>
            </w:r>
            <w:r w:rsidR="00325EBC">
              <w:rPr>
                <w:noProof/>
                <w:webHidden/>
              </w:rPr>
            </w:r>
            <w:r w:rsidR="00325EBC">
              <w:rPr>
                <w:noProof/>
                <w:webHidden/>
              </w:rPr>
              <w:fldChar w:fldCharType="separate"/>
            </w:r>
            <w:r w:rsidR="00325EBC">
              <w:rPr>
                <w:noProof/>
                <w:webHidden/>
              </w:rPr>
              <w:t>7</w:t>
            </w:r>
            <w:r w:rsidR="00325EBC">
              <w:rPr>
                <w:noProof/>
                <w:webHidden/>
              </w:rPr>
              <w:fldChar w:fldCharType="end"/>
            </w:r>
          </w:hyperlink>
        </w:p>
        <w:p w14:paraId="70886373" w14:textId="09BA8AD2" w:rsidR="00325EBC" w:rsidRDefault="00FA4D77">
          <w:pPr>
            <w:pStyle w:val="TOC1"/>
            <w:rPr>
              <w:rFonts w:eastAsiaTheme="minorEastAsia"/>
              <w:noProof/>
              <w:lang w:val="en-IE" w:eastAsia="en-IE"/>
            </w:rPr>
          </w:pPr>
          <w:hyperlink w:anchor="_Toc115346207" w:history="1">
            <w:r w:rsidR="00325EBC" w:rsidRPr="00F859A8">
              <w:rPr>
                <w:rStyle w:val="Hyperlink"/>
                <w:rFonts w:ascii="Times New Roman" w:hAnsi="Times New Roman" w:cs="Times New Roman"/>
                <w:noProof/>
              </w:rPr>
              <w:t>5.</w:t>
            </w:r>
            <w:r w:rsidR="00325EBC">
              <w:rPr>
                <w:rFonts w:eastAsiaTheme="minorEastAsia"/>
                <w:noProof/>
                <w:lang w:val="en-IE" w:eastAsia="en-IE"/>
              </w:rPr>
              <w:tab/>
            </w:r>
            <w:r w:rsidR="00325EBC" w:rsidRPr="00F859A8">
              <w:rPr>
                <w:rStyle w:val="Hyperlink"/>
                <w:rFonts w:ascii="Times New Roman" w:hAnsi="Times New Roman" w:cs="Times New Roman"/>
                <w:noProof/>
              </w:rPr>
              <w:t>Due diligence and transparency</w:t>
            </w:r>
            <w:r w:rsidR="00325EBC">
              <w:rPr>
                <w:noProof/>
                <w:webHidden/>
              </w:rPr>
              <w:tab/>
            </w:r>
            <w:r w:rsidR="00325EBC">
              <w:rPr>
                <w:noProof/>
                <w:webHidden/>
              </w:rPr>
              <w:fldChar w:fldCharType="begin"/>
            </w:r>
            <w:r w:rsidR="00325EBC">
              <w:rPr>
                <w:noProof/>
                <w:webHidden/>
              </w:rPr>
              <w:instrText xml:space="preserve"> PAGEREF _Toc115346207 \h </w:instrText>
            </w:r>
            <w:r w:rsidR="00325EBC">
              <w:rPr>
                <w:noProof/>
                <w:webHidden/>
              </w:rPr>
            </w:r>
            <w:r w:rsidR="00325EBC">
              <w:rPr>
                <w:noProof/>
                <w:webHidden/>
              </w:rPr>
              <w:fldChar w:fldCharType="separate"/>
            </w:r>
            <w:r w:rsidR="00325EBC">
              <w:rPr>
                <w:noProof/>
                <w:webHidden/>
              </w:rPr>
              <w:t>9</w:t>
            </w:r>
            <w:r w:rsidR="00325EBC">
              <w:rPr>
                <w:noProof/>
                <w:webHidden/>
              </w:rPr>
              <w:fldChar w:fldCharType="end"/>
            </w:r>
          </w:hyperlink>
        </w:p>
        <w:p w14:paraId="3B5C22DF" w14:textId="59356946" w:rsidR="00325EBC" w:rsidRDefault="00FA4D77">
          <w:pPr>
            <w:pStyle w:val="TOC1"/>
            <w:rPr>
              <w:rFonts w:eastAsiaTheme="minorEastAsia"/>
              <w:noProof/>
              <w:lang w:val="en-IE" w:eastAsia="en-IE"/>
            </w:rPr>
          </w:pPr>
          <w:hyperlink w:anchor="_Toc115346208" w:history="1">
            <w:r w:rsidR="00325EBC" w:rsidRPr="00F859A8">
              <w:rPr>
                <w:rStyle w:val="Hyperlink"/>
                <w:rFonts w:ascii="Times New Roman" w:hAnsi="Times New Roman" w:cs="Times New Roman"/>
                <w:noProof/>
              </w:rPr>
              <w:t>6.</w:t>
            </w:r>
            <w:r w:rsidR="00325EBC">
              <w:rPr>
                <w:rFonts w:eastAsiaTheme="minorEastAsia"/>
                <w:noProof/>
                <w:lang w:val="en-IE" w:eastAsia="en-IE"/>
              </w:rPr>
              <w:tab/>
            </w:r>
            <w:r w:rsidR="00325EBC" w:rsidRPr="00F859A8">
              <w:rPr>
                <w:rStyle w:val="Hyperlink"/>
                <w:rFonts w:ascii="Times New Roman" w:hAnsi="Times New Roman" w:cs="Times New Roman"/>
                <w:noProof/>
              </w:rPr>
              <w:t>Private securitisations</w:t>
            </w:r>
            <w:r w:rsidR="00325EBC">
              <w:rPr>
                <w:noProof/>
                <w:webHidden/>
              </w:rPr>
              <w:tab/>
            </w:r>
            <w:r w:rsidR="00325EBC">
              <w:rPr>
                <w:noProof/>
                <w:webHidden/>
              </w:rPr>
              <w:fldChar w:fldCharType="begin"/>
            </w:r>
            <w:r w:rsidR="00325EBC">
              <w:rPr>
                <w:noProof/>
                <w:webHidden/>
              </w:rPr>
              <w:instrText xml:space="preserve"> PAGEREF _Toc115346208 \h </w:instrText>
            </w:r>
            <w:r w:rsidR="00325EBC">
              <w:rPr>
                <w:noProof/>
                <w:webHidden/>
              </w:rPr>
            </w:r>
            <w:r w:rsidR="00325EBC">
              <w:rPr>
                <w:noProof/>
                <w:webHidden/>
              </w:rPr>
              <w:fldChar w:fldCharType="separate"/>
            </w:r>
            <w:r w:rsidR="00325EBC">
              <w:rPr>
                <w:noProof/>
                <w:webHidden/>
              </w:rPr>
              <w:t>10</w:t>
            </w:r>
            <w:r w:rsidR="00325EBC">
              <w:rPr>
                <w:noProof/>
                <w:webHidden/>
              </w:rPr>
              <w:fldChar w:fldCharType="end"/>
            </w:r>
          </w:hyperlink>
        </w:p>
        <w:p w14:paraId="58B294A9" w14:textId="3BDE9E7F" w:rsidR="00325EBC" w:rsidRDefault="00FA4D77">
          <w:pPr>
            <w:pStyle w:val="TOC2"/>
            <w:tabs>
              <w:tab w:val="right" w:leader="dot" w:pos="9016"/>
            </w:tabs>
            <w:rPr>
              <w:rFonts w:eastAsiaTheme="minorEastAsia"/>
              <w:noProof/>
              <w:lang w:val="en-IE" w:eastAsia="en-IE"/>
            </w:rPr>
          </w:pPr>
          <w:hyperlink w:anchor="_Toc115346209" w:history="1">
            <w:r w:rsidR="00325EBC" w:rsidRPr="00F859A8">
              <w:rPr>
                <w:rStyle w:val="Hyperlink"/>
                <w:rFonts w:ascii="Times New Roman" w:hAnsi="Times New Roman" w:cs="Times New Roman"/>
                <w:noProof/>
              </w:rPr>
              <w:t>6.1 Disproportionate rise in the number of private securitisations?</w:t>
            </w:r>
            <w:r w:rsidR="00325EBC">
              <w:rPr>
                <w:noProof/>
                <w:webHidden/>
              </w:rPr>
              <w:tab/>
            </w:r>
            <w:r w:rsidR="00325EBC">
              <w:rPr>
                <w:noProof/>
                <w:webHidden/>
              </w:rPr>
              <w:fldChar w:fldCharType="begin"/>
            </w:r>
            <w:r w:rsidR="00325EBC">
              <w:rPr>
                <w:noProof/>
                <w:webHidden/>
              </w:rPr>
              <w:instrText xml:space="preserve"> PAGEREF _Toc115346209 \h </w:instrText>
            </w:r>
            <w:r w:rsidR="00325EBC">
              <w:rPr>
                <w:noProof/>
                <w:webHidden/>
              </w:rPr>
            </w:r>
            <w:r w:rsidR="00325EBC">
              <w:rPr>
                <w:noProof/>
                <w:webHidden/>
              </w:rPr>
              <w:fldChar w:fldCharType="separate"/>
            </w:r>
            <w:r w:rsidR="00325EBC">
              <w:rPr>
                <w:noProof/>
                <w:webHidden/>
              </w:rPr>
              <w:t>10</w:t>
            </w:r>
            <w:r w:rsidR="00325EBC">
              <w:rPr>
                <w:noProof/>
                <w:webHidden/>
              </w:rPr>
              <w:fldChar w:fldCharType="end"/>
            </w:r>
          </w:hyperlink>
        </w:p>
        <w:p w14:paraId="55FDF474" w14:textId="6CD43390" w:rsidR="00325EBC" w:rsidRDefault="00FA4D77">
          <w:pPr>
            <w:pStyle w:val="TOC2"/>
            <w:tabs>
              <w:tab w:val="right" w:leader="dot" w:pos="9016"/>
            </w:tabs>
            <w:rPr>
              <w:rFonts w:eastAsiaTheme="minorEastAsia"/>
              <w:noProof/>
              <w:lang w:val="en-IE" w:eastAsia="en-IE"/>
            </w:rPr>
          </w:pPr>
          <w:hyperlink w:anchor="_Toc115346210" w:history="1">
            <w:r w:rsidR="00325EBC" w:rsidRPr="00F859A8">
              <w:rPr>
                <w:rStyle w:val="Hyperlink"/>
                <w:rFonts w:ascii="Times New Roman" w:hAnsi="Times New Roman" w:cs="Times New Roman"/>
                <w:noProof/>
              </w:rPr>
              <w:t>6.2 Sufficient information for investors and supervisors on private securitisations?</w:t>
            </w:r>
            <w:r w:rsidR="00325EBC">
              <w:rPr>
                <w:noProof/>
                <w:webHidden/>
              </w:rPr>
              <w:tab/>
            </w:r>
            <w:r w:rsidR="00325EBC">
              <w:rPr>
                <w:noProof/>
                <w:webHidden/>
              </w:rPr>
              <w:fldChar w:fldCharType="begin"/>
            </w:r>
            <w:r w:rsidR="00325EBC">
              <w:rPr>
                <w:noProof/>
                <w:webHidden/>
              </w:rPr>
              <w:instrText xml:space="preserve"> PAGEREF _Toc115346210 \h </w:instrText>
            </w:r>
            <w:r w:rsidR="00325EBC">
              <w:rPr>
                <w:noProof/>
                <w:webHidden/>
              </w:rPr>
            </w:r>
            <w:r w:rsidR="00325EBC">
              <w:rPr>
                <w:noProof/>
                <w:webHidden/>
              </w:rPr>
              <w:fldChar w:fldCharType="separate"/>
            </w:r>
            <w:r w:rsidR="00325EBC">
              <w:rPr>
                <w:noProof/>
                <w:webHidden/>
              </w:rPr>
              <w:t>11</w:t>
            </w:r>
            <w:r w:rsidR="00325EBC">
              <w:rPr>
                <w:noProof/>
                <w:webHidden/>
              </w:rPr>
              <w:fldChar w:fldCharType="end"/>
            </w:r>
          </w:hyperlink>
        </w:p>
        <w:p w14:paraId="0A97F6E9" w14:textId="3FC94146" w:rsidR="00325EBC" w:rsidRDefault="00FA4D77">
          <w:pPr>
            <w:pStyle w:val="TOC2"/>
            <w:tabs>
              <w:tab w:val="right" w:leader="dot" w:pos="9016"/>
            </w:tabs>
            <w:rPr>
              <w:rFonts w:eastAsiaTheme="minorEastAsia"/>
              <w:noProof/>
              <w:lang w:val="en-IE" w:eastAsia="en-IE"/>
            </w:rPr>
          </w:pPr>
          <w:hyperlink w:anchor="_Toc115346211" w:history="1">
            <w:r w:rsidR="00325EBC" w:rsidRPr="00F859A8">
              <w:rPr>
                <w:rStyle w:val="Hyperlink"/>
                <w:rFonts w:ascii="Times New Roman" w:hAnsi="Times New Roman" w:cs="Times New Roman"/>
                <w:noProof/>
              </w:rPr>
              <w:t>6.3 Definition of private securitisation</w:t>
            </w:r>
            <w:r w:rsidR="00325EBC">
              <w:rPr>
                <w:noProof/>
                <w:webHidden/>
              </w:rPr>
              <w:tab/>
            </w:r>
            <w:r w:rsidR="00325EBC">
              <w:rPr>
                <w:noProof/>
                <w:webHidden/>
              </w:rPr>
              <w:fldChar w:fldCharType="begin"/>
            </w:r>
            <w:r w:rsidR="00325EBC">
              <w:rPr>
                <w:noProof/>
                <w:webHidden/>
              </w:rPr>
              <w:instrText xml:space="preserve"> PAGEREF _Toc115346211 \h </w:instrText>
            </w:r>
            <w:r w:rsidR="00325EBC">
              <w:rPr>
                <w:noProof/>
                <w:webHidden/>
              </w:rPr>
            </w:r>
            <w:r w:rsidR="00325EBC">
              <w:rPr>
                <w:noProof/>
                <w:webHidden/>
              </w:rPr>
              <w:fldChar w:fldCharType="separate"/>
            </w:r>
            <w:r w:rsidR="00325EBC">
              <w:rPr>
                <w:noProof/>
                <w:webHidden/>
              </w:rPr>
              <w:t>12</w:t>
            </w:r>
            <w:r w:rsidR="00325EBC">
              <w:rPr>
                <w:noProof/>
                <w:webHidden/>
              </w:rPr>
              <w:fldChar w:fldCharType="end"/>
            </w:r>
          </w:hyperlink>
        </w:p>
        <w:p w14:paraId="02E80A49" w14:textId="1012C88C" w:rsidR="00325EBC" w:rsidRDefault="00FA4D77">
          <w:pPr>
            <w:pStyle w:val="TOC1"/>
            <w:rPr>
              <w:rFonts w:eastAsiaTheme="minorEastAsia"/>
              <w:noProof/>
              <w:lang w:val="en-IE" w:eastAsia="en-IE"/>
            </w:rPr>
          </w:pPr>
          <w:hyperlink w:anchor="_Toc115346212" w:history="1">
            <w:r w:rsidR="00325EBC" w:rsidRPr="00F859A8">
              <w:rPr>
                <w:rStyle w:val="Hyperlink"/>
                <w:rFonts w:ascii="Times New Roman" w:hAnsi="Times New Roman" w:cs="Times New Roman"/>
                <w:noProof/>
              </w:rPr>
              <w:t>7.</w:t>
            </w:r>
            <w:r w:rsidR="00325EBC">
              <w:rPr>
                <w:rFonts w:eastAsiaTheme="minorEastAsia"/>
                <w:noProof/>
                <w:lang w:val="en-IE" w:eastAsia="en-IE"/>
              </w:rPr>
              <w:tab/>
            </w:r>
            <w:r w:rsidR="00325EBC" w:rsidRPr="00F859A8">
              <w:rPr>
                <w:rStyle w:val="Hyperlink"/>
                <w:rFonts w:ascii="Times New Roman" w:hAnsi="Times New Roman" w:cs="Times New Roman"/>
                <w:noProof/>
              </w:rPr>
              <w:t>STS equivalence</w:t>
            </w:r>
            <w:r w:rsidR="00325EBC">
              <w:rPr>
                <w:noProof/>
                <w:webHidden/>
              </w:rPr>
              <w:tab/>
            </w:r>
            <w:r w:rsidR="00325EBC">
              <w:rPr>
                <w:noProof/>
                <w:webHidden/>
              </w:rPr>
              <w:fldChar w:fldCharType="begin"/>
            </w:r>
            <w:r w:rsidR="00325EBC">
              <w:rPr>
                <w:noProof/>
                <w:webHidden/>
              </w:rPr>
              <w:instrText xml:space="preserve"> PAGEREF _Toc115346212 \h </w:instrText>
            </w:r>
            <w:r w:rsidR="00325EBC">
              <w:rPr>
                <w:noProof/>
                <w:webHidden/>
              </w:rPr>
            </w:r>
            <w:r w:rsidR="00325EBC">
              <w:rPr>
                <w:noProof/>
                <w:webHidden/>
              </w:rPr>
              <w:fldChar w:fldCharType="separate"/>
            </w:r>
            <w:r w:rsidR="00325EBC">
              <w:rPr>
                <w:noProof/>
                <w:webHidden/>
              </w:rPr>
              <w:t>13</w:t>
            </w:r>
            <w:r w:rsidR="00325EBC">
              <w:rPr>
                <w:noProof/>
                <w:webHidden/>
              </w:rPr>
              <w:fldChar w:fldCharType="end"/>
            </w:r>
          </w:hyperlink>
        </w:p>
        <w:p w14:paraId="1ADF4A7E" w14:textId="2B0C8D5B" w:rsidR="00325EBC" w:rsidRDefault="00FA4D77">
          <w:pPr>
            <w:pStyle w:val="TOC1"/>
            <w:rPr>
              <w:rFonts w:eastAsiaTheme="minorEastAsia"/>
              <w:noProof/>
              <w:lang w:val="en-IE" w:eastAsia="en-IE"/>
            </w:rPr>
          </w:pPr>
          <w:hyperlink w:anchor="_Toc115346213" w:history="1">
            <w:r w:rsidR="00325EBC" w:rsidRPr="00F859A8">
              <w:rPr>
                <w:rStyle w:val="Hyperlink"/>
                <w:rFonts w:ascii="Times New Roman" w:hAnsi="Times New Roman" w:cs="Times New Roman"/>
                <w:noProof/>
              </w:rPr>
              <w:t>8.</w:t>
            </w:r>
            <w:r w:rsidR="00325EBC">
              <w:rPr>
                <w:rFonts w:eastAsiaTheme="minorEastAsia"/>
                <w:noProof/>
                <w:lang w:val="en-IE" w:eastAsia="en-IE"/>
              </w:rPr>
              <w:tab/>
            </w:r>
            <w:r w:rsidR="00325EBC" w:rsidRPr="00F859A8">
              <w:rPr>
                <w:rStyle w:val="Hyperlink"/>
                <w:rFonts w:ascii="Times New Roman" w:hAnsi="Times New Roman" w:cs="Times New Roman"/>
                <w:noProof/>
              </w:rPr>
              <w:t>Sustainable securitisation</w:t>
            </w:r>
            <w:r w:rsidR="00325EBC">
              <w:rPr>
                <w:noProof/>
                <w:webHidden/>
              </w:rPr>
              <w:tab/>
            </w:r>
            <w:r w:rsidR="00325EBC">
              <w:rPr>
                <w:noProof/>
                <w:webHidden/>
              </w:rPr>
              <w:fldChar w:fldCharType="begin"/>
            </w:r>
            <w:r w:rsidR="00325EBC">
              <w:rPr>
                <w:noProof/>
                <w:webHidden/>
              </w:rPr>
              <w:instrText xml:space="preserve"> PAGEREF _Toc115346213 \h </w:instrText>
            </w:r>
            <w:r w:rsidR="00325EBC">
              <w:rPr>
                <w:noProof/>
                <w:webHidden/>
              </w:rPr>
            </w:r>
            <w:r w:rsidR="00325EBC">
              <w:rPr>
                <w:noProof/>
                <w:webHidden/>
              </w:rPr>
              <w:fldChar w:fldCharType="separate"/>
            </w:r>
            <w:r w:rsidR="00325EBC">
              <w:rPr>
                <w:noProof/>
                <w:webHidden/>
              </w:rPr>
              <w:t>14</w:t>
            </w:r>
            <w:r w:rsidR="00325EBC">
              <w:rPr>
                <w:noProof/>
                <w:webHidden/>
              </w:rPr>
              <w:fldChar w:fldCharType="end"/>
            </w:r>
          </w:hyperlink>
        </w:p>
        <w:p w14:paraId="0339918E" w14:textId="22899400" w:rsidR="00325EBC" w:rsidRDefault="00FA4D77">
          <w:pPr>
            <w:pStyle w:val="TOC1"/>
            <w:rPr>
              <w:rFonts w:eastAsiaTheme="minorEastAsia"/>
              <w:noProof/>
              <w:lang w:val="en-IE" w:eastAsia="en-IE"/>
            </w:rPr>
          </w:pPr>
          <w:hyperlink w:anchor="_Toc115346214" w:history="1">
            <w:r w:rsidR="00325EBC" w:rsidRPr="00F859A8">
              <w:rPr>
                <w:rStyle w:val="Hyperlink"/>
                <w:rFonts w:ascii="Times New Roman" w:hAnsi="Times New Roman" w:cs="Times New Roman"/>
                <w:noProof/>
              </w:rPr>
              <w:t>9.</w:t>
            </w:r>
            <w:r w:rsidR="00325EBC">
              <w:rPr>
                <w:rFonts w:eastAsiaTheme="minorEastAsia"/>
                <w:noProof/>
                <w:lang w:val="en-IE" w:eastAsia="en-IE"/>
              </w:rPr>
              <w:tab/>
            </w:r>
            <w:r w:rsidR="00325EBC" w:rsidRPr="00F859A8">
              <w:rPr>
                <w:rStyle w:val="Hyperlink"/>
                <w:rFonts w:ascii="Times New Roman" w:hAnsi="Times New Roman" w:cs="Times New Roman"/>
                <w:noProof/>
              </w:rPr>
              <w:t>Third-party verification of STS criteria</w:t>
            </w:r>
            <w:r w:rsidR="00325EBC">
              <w:rPr>
                <w:noProof/>
                <w:webHidden/>
              </w:rPr>
              <w:tab/>
            </w:r>
            <w:r w:rsidR="00325EBC">
              <w:rPr>
                <w:noProof/>
                <w:webHidden/>
              </w:rPr>
              <w:fldChar w:fldCharType="begin"/>
            </w:r>
            <w:r w:rsidR="00325EBC">
              <w:rPr>
                <w:noProof/>
                <w:webHidden/>
              </w:rPr>
              <w:instrText xml:space="preserve"> PAGEREF _Toc115346214 \h </w:instrText>
            </w:r>
            <w:r w:rsidR="00325EBC">
              <w:rPr>
                <w:noProof/>
                <w:webHidden/>
              </w:rPr>
            </w:r>
            <w:r w:rsidR="00325EBC">
              <w:rPr>
                <w:noProof/>
                <w:webHidden/>
              </w:rPr>
              <w:fldChar w:fldCharType="separate"/>
            </w:r>
            <w:r w:rsidR="00325EBC">
              <w:rPr>
                <w:noProof/>
                <w:webHidden/>
              </w:rPr>
              <w:t>17</w:t>
            </w:r>
            <w:r w:rsidR="00325EBC">
              <w:rPr>
                <w:noProof/>
                <w:webHidden/>
              </w:rPr>
              <w:fldChar w:fldCharType="end"/>
            </w:r>
          </w:hyperlink>
        </w:p>
        <w:p w14:paraId="5291AD88" w14:textId="71884799" w:rsidR="00325EBC" w:rsidRDefault="00FA4D77">
          <w:pPr>
            <w:pStyle w:val="TOC1"/>
            <w:rPr>
              <w:rFonts w:eastAsiaTheme="minorEastAsia"/>
              <w:noProof/>
              <w:lang w:val="en-IE" w:eastAsia="en-IE"/>
            </w:rPr>
          </w:pPr>
          <w:hyperlink w:anchor="_Toc115346215" w:history="1">
            <w:r w:rsidR="00325EBC" w:rsidRPr="00F859A8">
              <w:rPr>
                <w:rStyle w:val="Hyperlink"/>
                <w:rFonts w:ascii="Times New Roman" w:hAnsi="Times New Roman" w:cs="Times New Roman"/>
                <w:noProof/>
              </w:rPr>
              <w:t>10.</w:t>
            </w:r>
            <w:r w:rsidR="00325EBC">
              <w:rPr>
                <w:rFonts w:eastAsiaTheme="minorEastAsia"/>
                <w:noProof/>
                <w:lang w:val="en-IE" w:eastAsia="en-IE"/>
              </w:rPr>
              <w:tab/>
            </w:r>
            <w:r w:rsidR="00325EBC" w:rsidRPr="00F859A8">
              <w:rPr>
                <w:rStyle w:val="Hyperlink"/>
                <w:rFonts w:ascii="Times New Roman" w:hAnsi="Times New Roman" w:cs="Times New Roman"/>
                <w:noProof/>
              </w:rPr>
              <w:t>Securitisation special purpose entities (SSPEs)</w:t>
            </w:r>
            <w:r w:rsidR="00325EBC">
              <w:rPr>
                <w:noProof/>
                <w:webHidden/>
              </w:rPr>
              <w:tab/>
            </w:r>
            <w:r w:rsidR="00325EBC">
              <w:rPr>
                <w:noProof/>
                <w:webHidden/>
              </w:rPr>
              <w:fldChar w:fldCharType="begin"/>
            </w:r>
            <w:r w:rsidR="00325EBC">
              <w:rPr>
                <w:noProof/>
                <w:webHidden/>
              </w:rPr>
              <w:instrText xml:space="preserve"> PAGEREF _Toc115346215 \h </w:instrText>
            </w:r>
            <w:r w:rsidR="00325EBC">
              <w:rPr>
                <w:noProof/>
                <w:webHidden/>
              </w:rPr>
            </w:r>
            <w:r w:rsidR="00325EBC">
              <w:rPr>
                <w:noProof/>
                <w:webHidden/>
              </w:rPr>
              <w:fldChar w:fldCharType="separate"/>
            </w:r>
            <w:r w:rsidR="00325EBC">
              <w:rPr>
                <w:noProof/>
                <w:webHidden/>
              </w:rPr>
              <w:t>17</w:t>
            </w:r>
            <w:r w:rsidR="00325EBC">
              <w:rPr>
                <w:noProof/>
                <w:webHidden/>
              </w:rPr>
              <w:fldChar w:fldCharType="end"/>
            </w:r>
          </w:hyperlink>
        </w:p>
        <w:p w14:paraId="39BB160C" w14:textId="01B1D828" w:rsidR="00325EBC" w:rsidRDefault="00FA4D77">
          <w:pPr>
            <w:pStyle w:val="TOC1"/>
            <w:rPr>
              <w:rFonts w:eastAsiaTheme="minorEastAsia"/>
              <w:noProof/>
              <w:lang w:val="en-IE" w:eastAsia="en-IE"/>
            </w:rPr>
          </w:pPr>
          <w:hyperlink w:anchor="_Toc115346216" w:history="1">
            <w:r w:rsidR="00325EBC" w:rsidRPr="00F859A8">
              <w:rPr>
                <w:rStyle w:val="Hyperlink"/>
                <w:rFonts w:ascii="Times New Roman" w:eastAsia="Times New Roman" w:hAnsi="Times New Roman" w:cs="Times New Roman"/>
                <w:noProof/>
              </w:rPr>
              <w:t>11.</w:t>
            </w:r>
            <w:r w:rsidR="00325EBC">
              <w:rPr>
                <w:rFonts w:eastAsiaTheme="minorEastAsia"/>
                <w:noProof/>
                <w:lang w:val="en-IE" w:eastAsia="en-IE"/>
              </w:rPr>
              <w:tab/>
            </w:r>
            <w:r w:rsidR="00325EBC" w:rsidRPr="00F859A8">
              <w:rPr>
                <w:rStyle w:val="Hyperlink"/>
                <w:rFonts w:ascii="Times New Roman" w:eastAsia="Times New Roman" w:hAnsi="Times New Roman" w:cs="Times New Roman"/>
                <w:noProof/>
              </w:rPr>
              <w:t>Jurisdictional scope</w:t>
            </w:r>
            <w:r w:rsidR="00325EBC">
              <w:rPr>
                <w:noProof/>
                <w:webHidden/>
              </w:rPr>
              <w:tab/>
            </w:r>
            <w:r w:rsidR="00325EBC">
              <w:rPr>
                <w:noProof/>
                <w:webHidden/>
              </w:rPr>
              <w:fldChar w:fldCharType="begin"/>
            </w:r>
            <w:r w:rsidR="00325EBC">
              <w:rPr>
                <w:noProof/>
                <w:webHidden/>
              </w:rPr>
              <w:instrText xml:space="preserve"> PAGEREF _Toc115346216 \h </w:instrText>
            </w:r>
            <w:r w:rsidR="00325EBC">
              <w:rPr>
                <w:noProof/>
                <w:webHidden/>
              </w:rPr>
            </w:r>
            <w:r w:rsidR="00325EBC">
              <w:rPr>
                <w:noProof/>
                <w:webHidden/>
              </w:rPr>
              <w:fldChar w:fldCharType="separate"/>
            </w:r>
            <w:r w:rsidR="00325EBC">
              <w:rPr>
                <w:noProof/>
                <w:webHidden/>
              </w:rPr>
              <w:t>18</w:t>
            </w:r>
            <w:r w:rsidR="00325EBC">
              <w:rPr>
                <w:noProof/>
                <w:webHidden/>
              </w:rPr>
              <w:fldChar w:fldCharType="end"/>
            </w:r>
          </w:hyperlink>
        </w:p>
        <w:p w14:paraId="59499A75" w14:textId="02BCE51E" w:rsidR="00325EBC" w:rsidRDefault="00FA4D77">
          <w:pPr>
            <w:pStyle w:val="TOC2"/>
            <w:tabs>
              <w:tab w:val="right" w:leader="dot" w:pos="9016"/>
            </w:tabs>
            <w:rPr>
              <w:rFonts w:eastAsiaTheme="minorEastAsia"/>
              <w:noProof/>
              <w:lang w:val="en-IE" w:eastAsia="en-IE"/>
            </w:rPr>
          </w:pPr>
          <w:hyperlink w:anchor="_Toc115346217" w:history="1">
            <w:r w:rsidR="00325EBC" w:rsidRPr="00F859A8">
              <w:rPr>
                <w:rStyle w:val="Hyperlink"/>
                <w:rFonts w:ascii="Times New Roman" w:hAnsi="Times New Roman" w:cs="Times New Roman"/>
                <w:noProof/>
              </w:rPr>
              <w:t>11.1 Sell-side obligations</w:t>
            </w:r>
            <w:r w:rsidR="00325EBC">
              <w:rPr>
                <w:noProof/>
                <w:webHidden/>
              </w:rPr>
              <w:tab/>
            </w:r>
            <w:r w:rsidR="00325EBC">
              <w:rPr>
                <w:noProof/>
                <w:webHidden/>
              </w:rPr>
              <w:fldChar w:fldCharType="begin"/>
            </w:r>
            <w:r w:rsidR="00325EBC">
              <w:rPr>
                <w:noProof/>
                <w:webHidden/>
              </w:rPr>
              <w:instrText xml:space="preserve"> PAGEREF _Toc115346217 \h </w:instrText>
            </w:r>
            <w:r w:rsidR="00325EBC">
              <w:rPr>
                <w:noProof/>
                <w:webHidden/>
              </w:rPr>
            </w:r>
            <w:r w:rsidR="00325EBC">
              <w:rPr>
                <w:noProof/>
                <w:webHidden/>
              </w:rPr>
              <w:fldChar w:fldCharType="separate"/>
            </w:r>
            <w:r w:rsidR="00325EBC">
              <w:rPr>
                <w:noProof/>
                <w:webHidden/>
              </w:rPr>
              <w:t>18</w:t>
            </w:r>
            <w:r w:rsidR="00325EBC">
              <w:rPr>
                <w:noProof/>
                <w:webHidden/>
              </w:rPr>
              <w:fldChar w:fldCharType="end"/>
            </w:r>
          </w:hyperlink>
        </w:p>
        <w:p w14:paraId="77B75B02" w14:textId="73B430B8" w:rsidR="00325EBC" w:rsidRDefault="00FA4D77">
          <w:pPr>
            <w:pStyle w:val="TOC2"/>
            <w:tabs>
              <w:tab w:val="right" w:leader="dot" w:pos="9016"/>
            </w:tabs>
            <w:rPr>
              <w:rFonts w:eastAsiaTheme="minorEastAsia"/>
              <w:noProof/>
              <w:lang w:val="en-IE" w:eastAsia="en-IE"/>
            </w:rPr>
          </w:pPr>
          <w:hyperlink w:anchor="_Toc115346218" w:history="1">
            <w:r w:rsidR="00325EBC" w:rsidRPr="00F859A8">
              <w:rPr>
                <w:rStyle w:val="Hyperlink"/>
                <w:rFonts w:ascii="Times New Roman" w:hAnsi="Times New Roman" w:cs="Times New Roman"/>
                <w:noProof/>
              </w:rPr>
              <w:t>11.2 Buy-side obligations – availability of disclosures</w:t>
            </w:r>
            <w:r w:rsidR="00325EBC">
              <w:rPr>
                <w:noProof/>
                <w:webHidden/>
              </w:rPr>
              <w:tab/>
            </w:r>
            <w:r w:rsidR="00325EBC">
              <w:rPr>
                <w:noProof/>
                <w:webHidden/>
              </w:rPr>
              <w:fldChar w:fldCharType="begin"/>
            </w:r>
            <w:r w:rsidR="00325EBC">
              <w:rPr>
                <w:noProof/>
                <w:webHidden/>
              </w:rPr>
              <w:instrText xml:space="preserve"> PAGEREF _Toc115346218 \h </w:instrText>
            </w:r>
            <w:r w:rsidR="00325EBC">
              <w:rPr>
                <w:noProof/>
                <w:webHidden/>
              </w:rPr>
            </w:r>
            <w:r w:rsidR="00325EBC">
              <w:rPr>
                <w:noProof/>
                <w:webHidden/>
              </w:rPr>
              <w:fldChar w:fldCharType="separate"/>
            </w:r>
            <w:r w:rsidR="00325EBC">
              <w:rPr>
                <w:noProof/>
                <w:webHidden/>
              </w:rPr>
              <w:t>20</w:t>
            </w:r>
            <w:r w:rsidR="00325EBC">
              <w:rPr>
                <w:noProof/>
                <w:webHidden/>
              </w:rPr>
              <w:fldChar w:fldCharType="end"/>
            </w:r>
          </w:hyperlink>
        </w:p>
        <w:p w14:paraId="502B5A21" w14:textId="2DDE1CAA" w:rsidR="00325EBC" w:rsidRDefault="00FA4D77">
          <w:pPr>
            <w:pStyle w:val="TOC2"/>
            <w:tabs>
              <w:tab w:val="right" w:leader="dot" w:pos="9016"/>
            </w:tabs>
            <w:rPr>
              <w:rFonts w:eastAsiaTheme="minorEastAsia"/>
              <w:noProof/>
              <w:lang w:val="en-IE" w:eastAsia="en-IE"/>
            </w:rPr>
          </w:pPr>
          <w:hyperlink w:anchor="_Toc115346219" w:history="1">
            <w:r w:rsidR="00325EBC" w:rsidRPr="00F859A8">
              <w:rPr>
                <w:rStyle w:val="Hyperlink"/>
                <w:rFonts w:ascii="Times New Roman" w:hAnsi="Times New Roman" w:cs="Times New Roman"/>
                <w:noProof/>
              </w:rPr>
              <w:t>11.3 Buy-side obligations – AIFM investors</w:t>
            </w:r>
            <w:r w:rsidR="00325EBC">
              <w:rPr>
                <w:noProof/>
                <w:webHidden/>
              </w:rPr>
              <w:tab/>
            </w:r>
            <w:r w:rsidR="00325EBC">
              <w:rPr>
                <w:noProof/>
                <w:webHidden/>
              </w:rPr>
              <w:fldChar w:fldCharType="begin"/>
            </w:r>
            <w:r w:rsidR="00325EBC">
              <w:rPr>
                <w:noProof/>
                <w:webHidden/>
              </w:rPr>
              <w:instrText xml:space="preserve"> PAGEREF _Toc115346219 \h </w:instrText>
            </w:r>
            <w:r w:rsidR="00325EBC">
              <w:rPr>
                <w:noProof/>
                <w:webHidden/>
              </w:rPr>
            </w:r>
            <w:r w:rsidR="00325EBC">
              <w:rPr>
                <w:noProof/>
                <w:webHidden/>
              </w:rPr>
              <w:fldChar w:fldCharType="separate"/>
            </w:r>
            <w:r w:rsidR="00325EBC">
              <w:rPr>
                <w:noProof/>
                <w:webHidden/>
              </w:rPr>
              <w:t>21</w:t>
            </w:r>
            <w:r w:rsidR="00325EBC">
              <w:rPr>
                <w:noProof/>
                <w:webHidden/>
              </w:rPr>
              <w:fldChar w:fldCharType="end"/>
            </w:r>
          </w:hyperlink>
        </w:p>
        <w:p w14:paraId="2A2D8E50" w14:textId="06922EE0" w:rsidR="00325EBC" w:rsidRDefault="00FA4D77">
          <w:pPr>
            <w:pStyle w:val="TOC1"/>
            <w:rPr>
              <w:rFonts w:eastAsiaTheme="minorEastAsia"/>
              <w:noProof/>
              <w:lang w:val="en-IE" w:eastAsia="en-IE"/>
            </w:rPr>
          </w:pPr>
          <w:hyperlink w:anchor="_Toc115346220" w:history="1">
            <w:r w:rsidR="00325EBC" w:rsidRPr="00F859A8">
              <w:rPr>
                <w:rStyle w:val="Hyperlink"/>
                <w:rFonts w:ascii="Times New Roman" w:hAnsi="Times New Roman" w:cs="Times New Roman"/>
                <w:noProof/>
              </w:rPr>
              <w:t>12. Supervision of securitisation</w:t>
            </w:r>
            <w:r w:rsidR="00325EBC">
              <w:rPr>
                <w:noProof/>
                <w:webHidden/>
              </w:rPr>
              <w:tab/>
            </w:r>
            <w:r w:rsidR="00325EBC">
              <w:rPr>
                <w:noProof/>
                <w:webHidden/>
              </w:rPr>
              <w:fldChar w:fldCharType="begin"/>
            </w:r>
            <w:r w:rsidR="00325EBC">
              <w:rPr>
                <w:noProof/>
                <w:webHidden/>
              </w:rPr>
              <w:instrText xml:space="preserve"> PAGEREF _Toc115346220 \h </w:instrText>
            </w:r>
            <w:r w:rsidR="00325EBC">
              <w:rPr>
                <w:noProof/>
                <w:webHidden/>
              </w:rPr>
            </w:r>
            <w:r w:rsidR="00325EBC">
              <w:rPr>
                <w:noProof/>
                <w:webHidden/>
              </w:rPr>
              <w:fldChar w:fldCharType="separate"/>
            </w:r>
            <w:r w:rsidR="00325EBC">
              <w:rPr>
                <w:noProof/>
                <w:webHidden/>
              </w:rPr>
              <w:t>23</w:t>
            </w:r>
            <w:r w:rsidR="00325EBC">
              <w:rPr>
                <w:noProof/>
                <w:webHidden/>
              </w:rPr>
              <w:fldChar w:fldCharType="end"/>
            </w:r>
          </w:hyperlink>
        </w:p>
        <w:p w14:paraId="30B9633D" w14:textId="40182BA2" w:rsidR="00325EBC" w:rsidRDefault="00FA4D77">
          <w:pPr>
            <w:pStyle w:val="TOC1"/>
            <w:rPr>
              <w:rFonts w:eastAsiaTheme="minorEastAsia"/>
              <w:noProof/>
              <w:lang w:val="en-IE" w:eastAsia="en-IE"/>
            </w:rPr>
          </w:pPr>
          <w:hyperlink w:anchor="_Toc115346221" w:history="1">
            <w:r w:rsidR="00325EBC" w:rsidRPr="00F859A8">
              <w:rPr>
                <w:rStyle w:val="Hyperlink"/>
                <w:rFonts w:ascii="Times New Roman" w:hAnsi="Times New Roman" w:cs="Times New Roman"/>
                <w:noProof/>
              </w:rPr>
              <w:t>13. Prudential treatment of securitisations</w:t>
            </w:r>
            <w:r w:rsidR="00325EBC">
              <w:rPr>
                <w:noProof/>
                <w:webHidden/>
              </w:rPr>
              <w:tab/>
            </w:r>
            <w:r w:rsidR="00325EBC">
              <w:rPr>
                <w:noProof/>
                <w:webHidden/>
              </w:rPr>
              <w:fldChar w:fldCharType="begin"/>
            </w:r>
            <w:r w:rsidR="00325EBC">
              <w:rPr>
                <w:noProof/>
                <w:webHidden/>
              </w:rPr>
              <w:instrText xml:space="preserve"> PAGEREF _Toc115346221 \h </w:instrText>
            </w:r>
            <w:r w:rsidR="00325EBC">
              <w:rPr>
                <w:noProof/>
                <w:webHidden/>
              </w:rPr>
            </w:r>
            <w:r w:rsidR="00325EBC">
              <w:rPr>
                <w:noProof/>
                <w:webHidden/>
              </w:rPr>
              <w:fldChar w:fldCharType="separate"/>
            </w:r>
            <w:r w:rsidR="00325EBC">
              <w:rPr>
                <w:noProof/>
                <w:webHidden/>
              </w:rPr>
              <w:t>24</w:t>
            </w:r>
            <w:r w:rsidR="00325EBC">
              <w:rPr>
                <w:noProof/>
                <w:webHidden/>
              </w:rPr>
              <w:fldChar w:fldCharType="end"/>
            </w:r>
          </w:hyperlink>
        </w:p>
        <w:p w14:paraId="5320DC46" w14:textId="3BDA46ED" w:rsidR="00325EBC" w:rsidRDefault="00FA4D77">
          <w:pPr>
            <w:pStyle w:val="TOC1"/>
            <w:rPr>
              <w:rFonts w:eastAsiaTheme="minorEastAsia"/>
              <w:noProof/>
              <w:lang w:val="en-IE" w:eastAsia="en-IE"/>
            </w:rPr>
          </w:pPr>
          <w:hyperlink w:anchor="_Toc115346222" w:history="1">
            <w:r w:rsidR="00325EBC" w:rsidRPr="00F859A8">
              <w:rPr>
                <w:rStyle w:val="Hyperlink"/>
                <w:rFonts w:ascii="Times New Roman" w:hAnsi="Times New Roman" w:cs="Times New Roman"/>
                <w:noProof/>
              </w:rPr>
              <w:t>14. Conclusion</w:t>
            </w:r>
            <w:r w:rsidR="00325EBC">
              <w:rPr>
                <w:noProof/>
                <w:webHidden/>
              </w:rPr>
              <w:tab/>
            </w:r>
            <w:r w:rsidR="00325EBC">
              <w:rPr>
                <w:noProof/>
                <w:webHidden/>
              </w:rPr>
              <w:fldChar w:fldCharType="begin"/>
            </w:r>
            <w:r w:rsidR="00325EBC">
              <w:rPr>
                <w:noProof/>
                <w:webHidden/>
              </w:rPr>
              <w:instrText xml:space="preserve"> PAGEREF _Toc115346222 \h </w:instrText>
            </w:r>
            <w:r w:rsidR="00325EBC">
              <w:rPr>
                <w:noProof/>
                <w:webHidden/>
              </w:rPr>
            </w:r>
            <w:r w:rsidR="00325EBC">
              <w:rPr>
                <w:noProof/>
                <w:webHidden/>
              </w:rPr>
              <w:fldChar w:fldCharType="separate"/>
            </w:r>
            <w:r w:rsidR="00325EBC">
              <w:rPr>
                <w:noProof/>
                <w:webHidden/>
              </w:rPr>
              <w:t>25</w:t>
            </w:r>
            <w:r w:rsidR="00325EBC">
              <w:rPr>
                <w:noProof/>
                <w:webHidden/>
              </w:rPr>
              <w:fldChar w:fldCharType="end"/>
            </w:r>
          </w:hyperlink>
        </w:p>
        <w:p w14:paraId="1FA6D74C" w14:textId="2EAF3D5A" w:rsidR="004134D0" w:rsidRPr="003C0D71" w:rsidRDefault="004134D0">
          <w:pPr>
            <w:rPr>
              <w:noProof/>
            </w:rPr>
          </w:pPr>
          <w:r w:rsidRPr="003C0D71">
            <w:rPr>
              <w:rFonts w:ascii="Times New Roman" w:hAnsi="Times New Roman" w:cs="Times New Roman"/>
              <w:noProof/>
            </w:rPr>
            <w:fldChar w:fldCharType="end"/>
          </w:r>
        </w:p>
      </w:sdtContent>
    </w:sdt>
    <w:p w14:paraId="5E9E5274" w14:textId="77777777" w:rsidR="0053752A" w:rsidRPr="003C0D71" w:rsidRDefault="0053752A">
      <w:pPr>
        <w:rPr>
          <w:rFonts w:ascii="Times New Roman" w:eastAsiaTheme="majorEastAsia" w:hAnsi="Times New Roman" w:cs="Times New Roman"/>
          <w:noProof/>
          <w:sz w:val="32"/>
          <w:szCs w:val="32"/>
        </w:rPr>
      </w:pPr>
      <w:r w:rsidRPr="003C0D71">
        <w:rPr>
          <w:rFonts w:ascii="Times New Roman" w:hAnsi="Times New Roman" w:cs="Times New Roman"/>
          <w:noProof/>
        </w:rPr>
        <w:br w:type="page"/>
      </w:r>
    </w:p>
    <w:p w14:paraId="7ACE0FCB" w14:textId="77777777" w:rsidR="00FA0965" w:rsidRPr="003C0D71" w:rsidRDefault="2603B6C4" w:rsidP="005D192F">
      <w:pPr>
        <w:pStyle w:val="Heading1"/>
        <w:numPr>
          <w:ilvl w:val="0"/>
          <w:numId w:val="2"/>
        </w:numPr>
        <w:rPr>
          <w:rFonts w:ascii="Times New Roman" w:hAnsi="Times New Roman" w:cs="Times New Roman"/>
          <w:noProof/>
          <w:color w:val="auto"/>
        </w:rPr>
      </w:pPr>
      <w:bookmarkStart w:id="2" w:name="_Toc104283061"/>
      <w:bookmarkStart w:id="3" w:name="_Toc104286129"/>
      <w:bookmarkStart w:id="4" w:name="_Toc104297330"/>
      <w:bookmarkStart w:id="5" w:name="_Toc115346203"/>
      <w:r w:rsidRPr="003C0D71">
        <w:rPr>
          <w:rFonts w:ascii="Times New Roman" w:hAnsi="Times New Roman" w:cs="Times New Roman"/>
          <w:noProof/>
          <w:color w:val="auto"/>
        </w:rPr>
        <w:t>Introduction</w:t>
      </w:r>
      <w:bookmarkEnd w:id="2"/>
      <w:bookmarkEnd w:id="3"/>
      <w:bookmarkEnd w:id="4"/>
      <w:bookmarkEnd w:id="5"/>
      <w:r w:rsidRPr="003C0D71">
        <w:rPr>
          <w:rFonts w:ascii="Times New Roman" w:hAnsi="Times New Roman" w:cs="Times New Roman"/>
          <w:noProof/>
          <w:color w:val="auto"/>
        </w:rPr>
        <w:t xml:space="preserve"> </w:t>
      </w:r>
    </w:p>
    <w:p w14:paraId="4E40CEEA" w14:textId="0EE57EC7" w:rsidR="000544FF" w:rsidRPr="003C0D71" w:rsidRDefault="00784D53" w:rsidP="00784D53">
      <w:pPr>
        <w:jc w:val="both"/>
        <w:rPr>
          <w:rFonts w:ascii="Times New Roman" w:hAnsi="Times New Roman" w:cs="Times New Roman"/>
          <w:noProof/>
        </w:rPr>
      </w:pPr>
      <w:bookmarkStart w:id="6" w:name="_Hlk109980946"/>
      <w:r w:rsidRPr="003C0D71">
        <w:rPr>
          <w:rFonts w:ascii="Times New Roman" w:hAnsi="Times New Roman" w:cs="Times New Roman"/>
          <w:noProof/>
        </w:rPr>
        <w:t xml:space="preserve">Securitisation is the process of turning </w:t>
      </w:r>
      <w:r w:rsidR="001E51EF" w:rsidRPr="003C0D71">
        <w:rPr>
          <w:rFonts w:ascii="Times New Roman" w:hAnsi="Times New Roman" w:cs="Times New Roman"/>
          <w:noProof/>
        </w:rPr>
        <w:t xml:space="preserve">non-fungible </w:t>
      </w:r>
      <w:r w:rsidRPr="003C0D71">
        <w:rPr>
          <w:rFonts w:ascii="Times New Roman" w:hAnsi="Times New Roman" w:cs="Times New Roman"/>
          <w:noProof/>
        </w:rPr>
        <w:t xml:space="preserve">loans, or the cash-flows </w:t>
      </w:r>
      <w:r w:rsidRPr="00DD1743">
        <w:rPr>
          <w:rFonts w:ascii="Times New Roman" w:hAnsi="Times New Roman" w:cs="Times New Roman"/>
          <w:noProof/>
        </w:rPr>
        <w:t xml:space="preserve">stemming </w:t>
      </w:r>
      <w:r w:rsidR="004C18E0" w:rsidRPr="00DD1743">
        <w:rPr>
          <w:rFonts w:ascii="Times New Roman" w:hAnsi="Times New Roman" w:cs="Times New Roman"/>
          <w:noProof/>
        </w:rPr>
        <w:t>from</w:t>
      </w:r>
      <w:r w:rsidR="004C18E0">
        <w:rPr>
          <w:rFonts w:ascii="Times New Roman" w:hAnsi="Times New Roman" w:cs="Times New Roman"/>
          <w:noProof/>
        </w:rPr>
        <w:t xml:space="preserve"> them</w:t>
      </w:r>
      <w:r w:rsidRPr="003C0D71">
        <w:rPr>
          <w:rFonts w:ascii="Times New Roman" w:hAnsi="Times New Roman" w:cs="Times New Roman"/>
          <w:noProof/>
        </w:rPr>
        <w:t xml:space="preserve">, into marketable securities. </w:t>
      </w:r>
      <w:r w:rsidR="00923AB5">
        <w:rPr>
          <w:rFonts w:ascii="Times New Roman" w:hAnsi="Times New Roman" w:cs="Times New Roman"/>
          <w:noProof/>
        </w:rPr>
        <w:t>T</w:t>
      </w:r>
      <w:r w:rsidRPr="003C0D71">
        <w:rPr>
          <w:rFonts w:ascii="Times New Roman" w:hAnsi="Times New Roman" w:cs="Times New Roman"/>
          <w:noProof/>
        </w:rPr>
        <w:t>his tool</w:t>
      </w:r>
      <w:r w:rsidR="00923AB5">
        <w:rPr>
          <w:rFonts w:ascii="Times New Roman" w:hAnsi="Times New Roman" w:cs="Times New Roman"/>
          <w:noProof/>
        </w:rPr>
        <w:t>,</w:t>
      </w:r>
      <w:r w:rsidRPr="003C0D71">
        <w:rPr>
          <w:rFonts w:ascii="Times New Roman" w:hAnsi="Times New Roman" w:cs="Times New Roman"/>
          <w:noProof/>
        </w:rPr>
        <w:t xml:space="preserve"> </w:t>
      </w:r>
      <w:r w:rsidR="00923AB5">
        <w:rPr>
          <w:rFonts w:ascii="Times New Roman" w:hAnsi="Times New Roman" w:cs="Times New Roman"/>
          <w:noProof/>
        </w:rPr>
        <w:t xml:space="preserve">therefore, makes a significant </w:t>
      </w:r>
      <w:r w:rsidRPr="003C0D71">
        <w:rPr>
          <w:rFonts w:ascii="Times New Roman" w:hAnsi="Times New Roman" w:cs="Times New Roman"/>
          <w:noProof/>
        </w:rPr>
        <w:t>contribut</w:t>
      </w:r>
      <w:r w:rsidR="00923AB5">
        <w:rPr>
          <w:rFonts w:ascii="Times New Roman" w:hAnsi="Times New Roman" w:cs="Times New Roman"/>
          <w:noProof/>
        </w:rPr>
        <w:t xml:space="preserve">ion </w:t>
      </w:r>
      <w:r w:rsidRPr="003C0D71">
        <w:rPr>
          <w:rFonts w:ascii="Times New Roman" w:hAnsi="Times New Roman" w:cs="Times New Roman"/>
          <w:noProof/>
        </w:rPr>
        <w:t>to a well-functioning financial system that efficiently finances the real economy, as it frees up capacity on banks' balance sheets</w:t>
      </w:r>
      <w:r w:rsidR="00923AB5">
        <w:rPr>
          <w:rFonts w:ascii="Times New Roman" w:hAnsi="Times New Roman" w:cs="Times New Roman"/>
          <w:noProof/>
        </w:rPr>
        <w:t>, which</w:t>
      </w:r>
      <w:r w:rsidRPr="003C0D71">
        <w:rPr>
          <w:rFonts w:ascii="Times New Roman" w:hAnsi="Times New Roman" w:cs="Times New Roman"/>
          <w:noProof/>
        </w:rPr>
        <w:t xml:space="preserve"> </w:t>
      </w:r>
      <w:r w:rsidR="00923AB5">
        <w:rPr>
          <w:rFonts w:ascii="Times New Roman" w:hAnsi="Times New Roman" w:cs="Times New Roman"/>
          <w:noProof/>
        </w:rPr>
        <w:t>enables</w:t>
      </w:r>
      <w:r w:rsidR="00923AB5" w:rsidRPr="003C0D71">
        <w:rPr>
          <w:rFonts w:ascii="Times New Roman" w:hAnsi="Times New Roman" w:cs="Times New Roman"/>
          <w:noProof/>
        </w:rPr>
        <w:t xml:space="preserve"> </w:t>
      </w:r>
      <w:r w:rsidR="00923AB5">
        <w:rPr>
          <w:rFonts w:ascii="Times New Roman" w:hAnsi="Times New Roman" w:cs="Times New Roman"/>
          <w:noProof/>
        </w:rPr>
        <w:t>them</w:t>
      </w:r>
      <w:r w:rsidR="00923AB5" w:rsidRPr="003C0D71">
        <w:rPr>
          <w:rFonts w:ascii="Times New Roman" w:hAnsi="Times New Roman" w:cs="Times New Roman"/>
          <w:noProof/>
        </w:rPr>
        <w:t xml:space="preserve"> </w:t>
      </w:r>
      <w:r w:rsidRPr="003C0D71">
        <w:rPr>
          <w:rFonts w:ascii="Times New Roman" w:hAnsi="Times New Roman" w:cs="Times New Roman"/>
          <w:noProof/>
        </w:rPr>
        <w:t xml:space="preserve">to provide new credit to </w:t>
      </w:r>
      <w:r w:rsidR="007454D5">
        <w:rPr>
          <w:rFonts w:ascii="Times New Roman" w:hAnsi="Times New Roman" w:cs="Times New Roman"/>
          <w:noProof/>
        </w:rPr>
        <w:t>businesses</w:t>
      </w:r>
      <w:r w:rsidR="000544FF" w:rsidRPr="003C0D71">
        <w:rPr>
          <w:rFonts w:ascii="Times New Roman" w:hAnsi="Times New Roman" w:cs="Times New Roman"/>
          <w:noProof/>
        </w:rPr>
        <w:t>, including small and medium-sized companies</w:t>
      </w:r>
      <w:r w:rsidRPr="003C0D71">
        <w:rPr>
          <w:rFonts w:ascii="Times New Roman" w:hAnsi="Times New Roman" w:cs="Times New Roman"/>
          <w:noProof/>
        </w:rPr>
        <w:t>. It acts as an important tool for capital, liquidity and risk management in banks. Furthermore, securitisation makes new asset classes accessible to investors, thus providing diversified investment opportunities for long</w:t>
      </w:r>
      <w:r w:rsidR="00001486">
        <w:rPr>
          <w:rFonts w:ascii="Times New Roman" w:hAnsi="Times New Roman" w:cs="Times New Roman"/>
          <w:noProof/>
        </w:rPr>
        <w:t>-</w:t>
      </w:r>
      <w:r w:rsidRPr="003C0D71">
        <w:rPr>
          <w:rFonts w:ascii="Times New Roman" w:hAnsi="Times New Roman" w:cs="Times New Roman"/>
          <w:noProof/>
        </w:rPr>
        <w:t>term investors.</w:t>
      </w:r>
    </w:p>
    <w:p w14:paraId="274EBDB4" w14:textId="6F425730" w:rsidR="00784D53" w:rsidRPr="003C0D71" w:rsidRDefault="000544FF" w:rsidP="00784D53">
      <w:pPr>
        <w:jc w:val="both"/>
        <w:rPr>
          <w:rFonts w:ascii="Times New Roman" w:hAnsi="Times New Roman" w:cs="Times New Roman"/>
          <w:noProof/>
        </w:rPr>
      </w:pPr>
      <w:r w:rsidRPr="003C0D71">
        <w:rPr>
          <w:rFonts w:ascii="Times New Roman" w:hAnsi="Times New Roman" w:cs="Times New Roman"/>
          <w:noProof/>
        </w:rPr>
        <w:t xml:space="preserve">However, 15 years after the great financial crisis, securitisation still suffers </w:t>
      </w:r>
      <w:r w:rsidR="00A11F61">
        <w:rPr>
          <w:rFonts w:ascii="Times New Roman" w:hAnsi="Times New Roman" w:cs="Times New Roman"/>
          <w:noProof/>
        </w:rPr>
        <w:t>from a perceived</w:t>
      </w:r>
      <w:r w:rsidRPr="003C0D71">
        <w:rPr>
          <w:rFonts w:ascii="Times New Roman" w:hAnsi="Times New Roman" w:cs="Times New Roman"/>
          <w:noProof/>
        </w:rPr>
        <w:t xml:space="preserve"> stigma as a complex financing engineering tool from that time. It is well known that loosely</w:t>
      </w:r>
      <w:r w:rsidR="00A11F61">
        <w:rPr>
          <w:rFonts w:ascii="Times New Roman" w:hAnsi="Times New Roman" w:cs="Times New Roman"/>
          <w:noProof/>
        </w:rPr>
        <w:t xml:space="preserve"> </w:t>
      </w:r>
      <w:r w:rsidRPr="003C0D71">
        <w:rPr>
          <w:rFonts w:ascii="Times New Roman" w:hAnsi="Times New Roman" w:cs="Times New Roman"/>
          <w:noProof/>
        </w:rPr>
        <w:t xml:space="preserve">regulated securitisation contributed in a significant way to the US subprime mortgage market crisis, which rapidly spread through the global financial system with far-reaching consequences for taxpayers and companies in the EU and beyond. </w:t>
      </w:r>
    </w:p>
    <w:p w14:paraId="12D05BF0" w14:textId="1878C23F" w:rsidR="00784D53" w:rsidRPr="003C0D71" w:rsidRDefault="000544FF" w:rsidP="00784D53">
      <w:pPr>
        <w:jc w:val="both"/>
        <w:rPr>
          <w:rFonts w:ascii="Times New Roman" w:hAnsi="Times New Roman" w:cs="Times New Roman"/>
          <w:noProof/>
        </w:rPr>
      </w:pPr>
      <w:r w:rsidRPr="003C0D71">
        <w:rPr>
          <w:rFonts w:ascii="Times New Roman" w:hAnsi="Times New Roman" w:cs="Times New Roman"/>
          <w:noProof/>
        </w:rPr>
        <w:t xml:space="preserve">The European securitisation markets </w:t>
      </w:r>
      <w:r w:rsidR="00D51C88">
        <w:rPr>
          <w:rFonts w:ascii="Times New Roman" w:hAnsi="Times New Roman" w:cs="Times New Roman"/>
          <w:noProof/>
        </w:rPr>
        <w:t>did</w:t>
      </w:r>
      <w:r w:rsidR="00982674">
        <w:rPr>
          <w:rFonts w:ascii="Times New Roman" w:hAnsi="Times New Roman" w:cs="Times New Roman"/>
          <w:noProof/>
        </w:rPr>
        <w:t xml:space="preserve"> no</w:t>
      </w:r>
      <w:r w:rsidR="00D51C88">
        <w:rPr>
          <w:rFonts w:ascii="Times New Roman" w:hAnsi="Times New Roman" w:cs="Times New Roman"/>
          <w:noProof/>
        </w:rPr>
        <w:t>t</w:t>
      </w:r>
      <w:r w:rsidR="00D51C88" w:rsidRPr="003C0D71">
        <w:rPr>
          <w:rFonts w:ascii="Times New Roman" w:hAnsi="Times New Roman" w:cs="Times New Roman"/>
          <w:noProof/>
        </w:rPr>
        <w:t xml:space="preserve"> </w:t>
      </w:r>
      <w:r w:rsidRPr="003C0D71">
        <w:rPr>
          <w:rFonts w:ascii="Times New Roman" w:hAnsi="Times New Roman" w:cs="Times New Roman"/>
          <w:noProof/>
        </w:rPr>
        <w:t>suffer the same problems as the US ones</w:t>
      </w:r>
      <w:r w:rsidR="00BE6D69" w:rsidRPr="003C0D71">
        <w:rPr>
          <w:rStyle w:val="FootnoteReference"/>
          <w:rFonts w:ascii="Times New Roman" w:hAnsi="Times New Roman" w:cs="Times New Roman"/>
          <w:noProof/>
        </w:rPr>
        <w:footnoteReference w:id="2"/>
      </w:r>
      <w:r w:rsidR="002064A8" w:rsidRPr="003C0D71">
        <w:rPr>
          <w:rFonts w:ascii="Times New Roman" w:hAnsi="Times New Roman" w:cs="Times New Roman"/>
          <w:noProof/>
        </w:rPr>
        <w:t>.</w:t>
      </w:r>
      <w:r w:rsidRPr="003C0D71">
        <w:rPr>
          <w:rFonts w:ascii="Times New Roman" w:hAnsi="Times New Roman" w:cs="Times New Roman"/>
          <w:noProof/>
        </w:rPr>
        <w:t xml:space="preserve"> </w:t>
      </w:r>
      <w:r w:rsidR="003554DE" w:rsidRPr="003C0D71">
        <w:rPr>
          <w:rFonts w:ascii="Times New Roman" w:hAnsi="Times New Roman" w:cs="Times New Roman"/>
          <w:noProof/>
        </w:rPr>
        <w:t>Nevertheless,</w:t>
      </w:r>
      <w:r w:rsidR="00AE09EE" w:rsidRPr="003C0D71">
        <w:rPr>
          <w:rFonts w:ascii="Times New Roman" w:hAnsi="Times New Roman" w:cs="Times New Roman"/>
          <w:noProof/>
        </w:rPr>
        <w:t xml:space="preserve"> issuing and investing in the EU markets slumped drastically.</w:t>
      </w:r>
      <w:r w:rsidR="003554DE" w:rsidRPr="003C0D71">
        <w:rPr>
          <w:rFonts w:ascii="Times New Roman" w:hAnsi="Times New Roman" w:cs="Times New Roman"/>
          <w:noProof/>
        </w:rPr>
        <w:t xml:space="preserve"> </w:t>
      </w:r>
      <w:r w:rsidRPr="003C0D71">
        <w:rPr>
          <w:rFonts w:ascii="Times New Roman" w:hAnsi="Times New Roman" w:cs="Times New Roman"/>
          <w:noProof/>
        </w:rPr>
        <w:t xml:space="preserve">In the wake of the </w:t>
      </w:r>
      <w:r w:rsidRPr="00DF7A05">
        <w:rPr>
          <w:rFonts w:ascii="Times New Roman" w:hAnsi="Times New Roman" w:cs="Times New Roman"/>
          <w:noProof/>
        </w:rPr>
        <w:t>great</w:t>
      </w:r>
      <w:r w:rsidRPr="003C0D71">
        <w:rPr>
          <w:rFonts w:ascii="Times New Roman" w:hAnsi="Times New Roman" w:cs="Times New Roman"/>
          <w:noProof/>
        </w:rPr>
        <w:t xml:space="preserve"> financial crisis, c</w:t>
      </w:r>
      <w:r w:rsidR="00784D53" w:rsidRPr="003C0D71">
        <w:rPr>
          <w:rFonts w:ascii="Times New Roman" w:hAnsi="Times New Roman" w:cs="Times New Roman"/>
          <w:noProof/>
        </w:rPr>
        <w:t>entral banks</w:t>
      </w:r>
      <w:r w:rsidR="00784D53" w:rsidRPr="003C0D71">
        <w:rPr>
          <w:rStyle w:val="FootnoteReference"/>
          <w:rFonts w:ascii="Times New Roman" w:hAnsi="Times New Roman" w:cs="Times New Roman"/>
          <w:noProof/>
        </w:rPr>
        <w:footnoteReference w:id="3"/>
      </w:r>
      <w:r w:rsidR="00784D53" w:rsidRPr="003C0D71">
        <w:rPr>
          <w:rFonts w:ascii="Times New Roman" w:hAnsi="Times New Roman" w:cs="Times New Roman"/>
          <w:noProof/>
        </w:rPr>
        <w:t xml:space="preserve"> and </w:t>
      </w:r>
      <w:r w:rsidRPr="003C0D71">
        <w:rPr>
          <w:rFonts w:ascii="Times New Roman" w:hAnsi="Times New Roman" w:cs="Times New Roman"/>
          <w:noProof/>
        </w:rPr>
        <w:t xml:space="preserve">many stakeholders agreed on the need to </w:t>
      </w:r>
      <w:r w:rsidR="00784D53" w:rsidRPr="003C0D71">
        <w:rPr>
          <w:rFonts w:ascii="Times New Roman" w:hAnsi="Times New Roman" w:cs="Times New Roman"/>
          <w:noProof/>
        </w:rPr>
        <w:t>revive the EU securitisation market</w:t>
      </w:r>
      <w:r w:rsidR="00D51C88">
        <w:rPr>
          <w:rFonts w:ascii="Times New Roman" w:hAnsi="Times New Roman" w:cs="Times New Roman"/>
          <w:noProof/>
        </w:rPr>
        <w:t>.</w:t>
      </w:r>
      <w:r w:rsidR="00784D53" w:rsidRPr="003C0D71">
        <w:rPr>
          <w:rFonts w:ascii="Times New Roman" w:hAnsi="Times New Roman" w:cs="Times New Roman"/>
          <w:noProof/>
        </w:rPr>
        <w:t xml:space="preserve"> </w:t>
      </w:r>
      <w:r w:rsidR="00D51C88">
        <w:rPr>
          <w:rFonts w:ascii="Times New Roman" w:hAnsi="Times New Roman" w:cs="Times New Roman"/>
          <w:noProof/>
        </w:rPr>
        <w:t>T</w:t>
      </w:r>
      <w:r w:rsidR="00784D53" w:rsidRPr="003C0D71">
        <w:rPr>
          <w:rFonts w:ascii="Times New Roman" w:hAnsi="Times New Roman" w:cs="Times New Roman"/>
          <w:noProof/>
        </w:rPr>
        <w:t xml:space="preserve">he European Commission </w:t>
      </w:r>
      <w:r w:rsidR="00D51C88">
        <w:rPr>
          <w:rFonts w:ascii="Times New Roman" w:hAnsi="Times New Roman" w:cs="Times New Roman"/>
          <w:noProof/>
        </w:rPr>
        <w:t xml:space="preserve">therefore </w:t>
      </w:r>
      <w:r w:rsidR="00784D53" w:rsidRPr="003C0D71">
        <w:rPr>
          <w:rFonts w:ascii="Times New Roman" w:hAnsi="Times New Roman" w:cs="Times New Roman"/>
          <w:noProof/>
        </w:rPr>
        <w:t>committed to the goal of reviving the securitisation market in the EU on a safe and sustainable basis</w:t>
      </w:r>
      <w:r w:rsidR="00D51C88">
        <w:rPr>
          <w:rFonts w:ascii="Times New Roman" w:hAnsi="Times New Roman" w:cs="Times New Roman"/>
          <w:noProof/>
        </w:rPr>
        <w:t>.</w:t>
      </w:r>
      <w:r w:rsidR="00784D53" w:rsidRPr="003C0D71">
        <w:rPr>
          <w:rFonts w:ascii="Times New Roman" w:hAnsi="Times New Roman" w:cs="Times New Roman"/>
          <w:noProof/>
        </w:rPr>
        <w:t xml:space="preserve"> In the </w:t>
      </w:r>
      <w:r w:rsidR="00923AB5">
        <w:rPr>
          <w:rFonts w:ascii="Times New Roman" w:hAnsi="Times New Roman" w:cs="Times New Roman"/>
          <w:noProof/>
        </w:rPr>
        <w:t xml:space="preserve">2014 </w:t>
      </w:r>
      <w:r w:rsidR="00EB4FD4">
        <w:rPr>
          <w:rFonts w:ascii="Times New Roman" w:hAnsi="Times New Roman" w:cs="Times New Roman"/>
          <w:noProof/>
        </w:rPr>
        <w:t>i</w:t>
      </w:r>
      <w:r w:rsidR="00784D53" w:rsidRPr="003C0D71">
        <w:rPr>
          <w:rFonts w:ascii="Times New Roman" w:hAnsi="Times New Roman" w:cs="Times New Roman"/>
          <w:noProof/>
        </w:rPr>
        <w:t xml:space="preserve">nvestment </w:t>
      </w:r>
      <w:r w:rsidR="00EB4FD4">
        <w:rPr>
          <w:rFonts w:ascii="Times New Roman" w:hAnsi="Times New Roman" w:cs="Times New Roman"/>
          <w:noProof/>
        </w:rPr>
        <w:t>p</w:t>
      </w:r>
      <w:r w:rsidR="00784D53" w:rsidRPr="003C0D71">
        <w:rPr>
          <w:rFonts w:ascii="Times New Roman" w:hAnsi="Times New Roman" w:cs="Times New Roman"/>
          <w:noProof/>
        </w:rPr>
        <w:t>lan for Europe</w:t>
      </w:r>
      <w:r w:rsidR="00D51C88">
        <w:rPr>
          <w:rFonts w:ascii="Times New Roman" w:hAnsi="Times New Roman" w:cs="Times New Roman"/>
          <w:noProof/>
        </w:rPr>
        <w:t>,</w:t>
      </w:r>
      <w:r w:rsidR="00784D53" w:rsidRPr="003C0D71">
        <w:rPr>
          <w:rFonts w:ascii="Times New Roman" w:hAnsi="Times New Roman" w:cs="Times New Roman"/>
          <w:noProof/>
        </w:rPr>
        <w:t xml:space="preserve"> the Commission identified </w:t>
      </w:r>
      <w:r w:rsidR="00D51C88">
        <w:rPr>
          <w:rFonts w:ascii="Times New Roman" w:hAnsi="Times New Roman" w:cs="Times New Roman"/>
          <w:noProof/>
        </w:rPr>
        <w:t xml:space="preserve">the </w:t>
      </w:r>
      <w:r w:rsidR="00784D53" w:rsidRPr="003C0D71">
        <w:rPr>
          <w:rFonts w:ascii="Times New Roman" w:hAnsi="Times New Roman" w:cs="Times New Roman"/>
          <w:noProof/>
        </w:rPr>
        <w:t>creati</w:t>
      </w:r>
      <w:r w:rsidR="00D51C88">
        <w:rPr>
          <w:rFonts w:ascii="Times New Roman" w:hAnsi="Times New Roman" w:cs="Times New Roman"/>
          <w:noProof/>
        </w:rPr>
        <w:t>on</w:t>
      </w:r>
      <w:r w:rsidR="00784D53" w:rsidRPr="003C0D71">
        <w:rPr>
          <w:rFonts w:ascii="Times New Roman" w:hAnsi="Times New Roman" w:cs="Times New Roman"/>
          <w:noProof/>
        </w:rPr>
        <w:t xml:space="preserve"> </w:t>
      </w:r>
      <w:r w:rsidR="00D51C88">
        <w:rPr>
          <w:rFonts w:ascii="Times New Roman" w:hAnsi="Times New Roman" w:cs="Times New Roman"/>
          <w:noProof/>
        </w:rPr>
        <w:t xml:space="preserve">of </w:t>
      </w:r>
      <w:r w:rsidR="00784D53" w:rsidRPr="003C0D71">
        <w:rPr>
          <w:rFonts w:ascii="Times New Roman" w:hAnsi="Times New Roman" w:cs="Times New Roman"/>
          <w:noProof/>
        </w:rPr>
        <w:t>a flourishing market of high-quality securitisations as one of the five areas where immediate action was needed and included this action in the list of building blocks for a Capital Markets Union.</w:t>
      </w:r>
      <w:r w:rsidR="00784D53" w:rsidRPr="003C0D71">
        <w:rPr>
          <w:rStyle w:val="FootnoteReference"/>
          <w:rFonts w:ascii="Times New Roman" w:hAnsi="Times New Roman" w:cs="Times New Roman"/>
          <w:noProof/>
        </w:rPr>
        <w:footnoteReference w:id="4"/>
      </w:r>
      <w:r w:rsidR="00784D53" w:rsidRPr="003C0D71">
        <w:rPr>
          <w:rFonts w:ascii="Times New Roman" w:hAnsi="Times New Roman" w:cs="Times New Roman"/>
          <w:noProof/>
        </w:rPr>
        <w:t xml:space="preserve"> </w:t>
      </w:r>
    </w:p>
    <w:p w14:paraId="5E63CCD8" w14:textId="6BC0AE65" w:rsidR="00784D53" w:rsidRPr="003C0D71" w:rsidRDefault="00784D53" w:rsidP="00784D53">
      <w:pPr>
        <w:jc w:val="both"/>
        <w:rPr>
          <w:rFonts w:ascii="Times New Roman" w:hAnsi="Times New Roman" w:cs="Times New Roman"/>
          <w:noProof/>
        </w:rPr>
      </w:pPr>
      <w:r w:rsidRPr="003C0D71">
        <w:rPr>
          <w:rFonts w:ascii="Times New Roman" w:hAnsi="Times New Roman" w:cs="Times New Roman"/>
          <w:noProof/>
        </w:rPr>
        <w:t xml:space="preserve">Following up on these policy commitments, in 2015 the Commission proposed a comprehensive legal framework consisting of a new Securitisation Regulation and targeted </w:t>
      </w:r>
      <w:r w:rsidR="00D51C88">
        <w:rPr>
          <w:rFonts w:ascii="Times New Roman" w:hAnsi="Times New Roman" w:cs="Times New Roman"/>
          <w:noProof/>
        </w:rPr>
        <w:t>changes</w:t>
      </w:r>
      <w:r w:rsidR="00D51C88" w:rsidRPr="003C0D71">
        <w:rPr>
          <w:rFonts w:ascii="Times New Roman" w:hAnsi="Times New Roman" w:cs="Times New Roman"/>
          <w:noProof/>
        </w:rPr>
        <w:t xml:space="preserve"> </w:t>
      </w:r>
      <w:r w:rsidR="000544FF" w:rsidRPr="003C0D71">
        <w:rPr>
          <w:rFonts w:ascii="Times New Roman" w:hAnsi="Times New Roman" w:cs="Times New Roman"/>
          <w:noProof/>
        </w:rPr>
        <w:t xml:space="preserve">to </w:t>
      </w:r>
      <w:r w:rsidRPr="003C0D71">
        <w:rPr>
          <w:rFonts w:ascii="Times New Roman" w:hAnsi="Times New Roman" w:cs="Times New Roman"/>
          <w:noProof/>
        </w:rPr>
        <w:t xml:space="preserve">the prudential treatment of securitisation. </w:t>
      </w:r>
    </w:p>
    <w:p w14:paraId="35B65F53" w14:textId="6BB48DA3" w:rsidR="00784D53" w:rsidRPr="003C0D71" w:rsidRDefault="00784D53" w:rsidP="00784D53">
      <w:pPr>
        <w:jc w:val="both"/>
        <w:rPr>
          <w:rFonts w:ascii="Times New Roman" w:hAnsi="Times New Roman" w:cs="Times New Roman"/>
          <w:noProof/>
        </w:rPr>
      </w:pPr>
      <w:r w:rsidRPr="003C0D71">
        <w:rPr>
          <w:rFonts w:ascii="Times New Roman" w:hAnsi="Times New Roman" w:cs="Times New Roman"/>
          <w:noProof/>
        </w:rPr>
        <w:t xml:space="preserve">The negotiations between </w:t>
      </w:r>
      <w:r w:rsidRPr="00247FD3">
        <w:rPr>
          <w:rFonts w:ascii="Times New Roman" w:hAnsi="Times New Roman" w:cs="Times New Roman"/>
          <w:noProof/>
        </w:rPr>
        <w:t xml:space="preserve">the </w:t>
      </w:r>
      <w:r w:rsidR="000A06C6" w:rsidRPr="00247FD3">
        <w:rPr>
          <w:rFonts w:ascii="Times New Roman" w:hAnsi="Times New Roman" w:cs="Times New Roman"/>
          <w:noProof/>
        </w:rPr>
        <w:t>co-</w:t>
      </w:r>
      <w:r w:rsidRPr="00247FD3">
        <w:rPr>
          <w:rFonts w:ascii="Times New Roman" w:hAnsi="Times New Roman" w:cs="Times New Roman"/>
          <w:noProof/>
        </w:rPr>
        <w:t xml:space="preserve">legislators </w:t>
      </w:r>
      <w:r w:rsidR="00DF7A05">
        <w:rPr>
          <w:rFonts w:ascii="Times New Roman" w:hAnsi="Times New Roman" w:cs="Times New Roman"/>
          <w:noProof/>
        </w:rPr>
        <w:t xml:space="preserve">- </w:t>
      </w:r>
      <w:r w:rsidR="00247FD3" w:rsidRPr="00247FD3">
        <w:rPr>
          <w:rFonts w:ascii="Times New Roman" w:hAnsi="Times New Roman" w:cs="Times New Roman"/>
          <w:noProof/>
        </w:rPr>
        <w:t>the</w:t>
      </w:r>
      <w:r w:rsidR="00247FD3">
        <w:rPr>
          <w:rFonts w:ascii="Times New Roman" w:hAnsi="Times New Roman" w:cs="Times New Roman"/>
          <w:noProof/>
        </w:rPr>
        <w:t xml:space="preserve"> European Parliament and the Council</w:t>
      </w:r>
      <w:r w:rsidR="00DF7A05">
        <w:rPr>
          <w:rFonts w:ascii="Times New Roman" w:hAnsi="Times New Roman" w:cs="Times New Roman"/>
          <w:noProof/>
        </w:rPr>
        <w:t xml:space="preserve"> -</w:t>
      </w:r>
      <w:r w:rsidR="00247FD3">
        <w:rPr>
          <w:rFonts w:ascii="Times New Roman" w:hAnsi="Times New Roman" w:cs="Times New Roman"/>
          <w:noProof/>
        </w:rPr>
        <w:t xml:space="preserve"> </w:t>
      </w:r>
      <w:r w:rsidRPr="003C0D71">
        <w:rPr>
          <w:rFonts w:ascii="Times New Roman" w:hAnsi="Times New Roman" w:cs="Times New Roman"/>
          <w:noProof/>
        </w:rPr>
        <w:t>concluded in 2017. Regulation (EU) 2017/2402</w:t>
      </w:r>
      <w:r w:rsidRPr="003C0D71">
        <w:rPr>
          <w:rStyle w:val="FootnoteReference"/>
          <w:rFonts w:ascii="Times New Roman" w:hAnsi="Times New Roman" w:cs="Times New Roman"/>
          <w:noProof/>
        </w:rPr>
        <w:footnoteReference w:id="5"/>
      </w:r>
      <w:r w:rsidRPr="003C0D71">
        <w:rPr>
          <w:rFonts w:ascii="Times New Roman" w:hAnsi="Times New Roman" w:cs="Times New Roman"/>
          <w:noProof/>
        </w:rPr>
        <w:t xml:space="preserve"> (</w:t>
      </w:r>
      <w:r w:rsidR="00D51C88" w:rsidRPr="00647E9A">
        <w:rPr>
          <w:rFonts w:ascii="Times New Roman" w:hAnsi="Times New Roman" w:cs="Times New Roman"/>
          <w:iCs/>
          <w:noProof/>
        </w:rPr>
        <w:t xml:space="preserve">the </w:t>
      </w:r>
      <w:r w:rsidR="00A11F61">
        <w:rPr>
          <w:rFonts w:ascii="Times New Roman" w:hAnsi="Times New Roman" w:cs="Times New Roman"/>
          <w:iCs/>
          <w:noProof/>
        </w:rPr>
        <w:t>‘</w:t>
      </w:r>
      <w:r w:rsidRPr="00647E9A">
        <w:rPr>
          <w:rFonts w:ascii="Times New Roman" w:hAnsi="Times New Roman" w:cs="Times New Roman"/>
          <w:iCs/>
          <w:noProof/>
        </w:rPr>
        <w:t>Securitisation Regulation</w:t>
      </w:r>
      <w:r w:rsidR="00D51C88" w:rsidRPr="00647E9A">
        <w:rPr>
          <w:rFonts w:ascii="Times New Roman" w:hAnsi="Times New Roman" w:cs="Times New Roman"/>
          <w:iCs/>
          <w:noProof/>
        </w:rPr>
        <w:t>’</w:t>
      </w:r>
      <w:r w:rsidRPr="003C0D71">
        <w:rPr>
          <w:rFonts w:ascii="Times New Roman" w:hAnsi="Times New Roman" w:cs="Times New Roman"/>
          <w:noProof/>
        </w:rPr>
        <w:t xml:space="preserve">) and </w:t>
      </w:r>
      <w:r w:rsidRPr="003C0D71">
        <w:rPr>
          <w:rFonts w:ascii="Times New Roman" w:hAnsi="Times New Roman" w:cs="Times New Roman"/>
          <w:bCs/>
          <w:noProof/>
        </w:rPr>
        <w:t>Regulation (EU) 2017/2401</w:t>
      </w:r>
      <w:r w:rsidR="00247FD3">
        <w:rPr>
          <w:rFonts w:ascii="Times New Roman" w:hAnsi="Times New Roman" w:cs="Times New Roman"/>
          <w:bCs/>
          <w:noProof/>
        </w:rPr>
        <w:t>,</w:t>
      </w:r>
      <w:r w:rsidRPr="003C0D71">
        <w:rPr>
          <w:rFonts w:ascii="Times New Roman" w:hAnsi="Times New Roman" w:cs="Times New Roman"/>
          <w:bCs/>
          <w:noProof/>
        </w:rPr>
        <w:t xml:space="preserve"> amending Regulation (EU) No 575/2013 on prudential requirements for credit institutions and investment firms</w:t>
      </w:r>
      <w:r w:rsidR="00247FD3" w:rsidRPr="00247FD3">
        <w:rPr>
          <w:rFonts w:ascii="Times New Roman" w:hAnsi="Times New Roman" w:cs="Times New Roman"/>
          <w:bCs/>
          <w:noProof/>
        </w:rPr>
        <w:t>,</w:t>
      </w:r>
      <w:r w:rsidRPr="00247FD3">
        <w:rPr>
          <w:rFonts w:ascii="Times New Roman" w:hAnsi="Times New Roman" w:cs="Times New Roman"/>
          <w:b/>
          <w:bCs/>
          <w:noProof/>
        </w:rPr>
        <w:t xml:space="preserve"> </w:t>
      </w:r>
      <w:r w:rsidRPr="00BA7894">
        <w:rPr>
          <w:rFonts w:ascii="Times New Roman" w:hAnsi="Times New Roman" w:cs="Times New Roman"/>
          <w:noProof/>
        </w:rPr>
        <w:t>entered into application</w:t>
      </w:r>
      <w:r w:rsidRPr="003C0D71">
        <w:rPr>
          <w:rFonts w:ascii="Times New Roman" w:hAnsi="Times New Roman" w:cs="Times New Roman"/>
          <w:noProof/>
        </w:rPr>
        <w:t xml:space="preserve"> on 1</w:t>
      </w:r>
      <w:r w:rsidR="007454D5">
        <w:rPr>
          <w:rFonts w:ascii="Times New Roman" w:hAnsi="Times New Roman" w:cs="Times New Roman"/>
          <w:noProof/>
        </w:rPr>
        <w:t> </w:t>
      </w:r>
      <w:r w:rsidRPr="003C0D71">
        <w:rPr>
          <w:rFonts w:ascii="Times New Roman" w:hAnsi="Times New Roman" w:cs="Times New Roman"/>
          <w:noProof/>
        </w:rPr>
        <w:t>January</w:t>
      </w:r>
      <w:r w:rsidR="007454D5">
        <w:rPr>
          <w:rFonts w:ascii="Times New Roman" w:hAnsi="Times New Roman" w:cs="Times New Roman"/>
          <w:noProof/>
        </w:rPr>
        <w:t> </w:t>
      </w:r>
      <w:r w:rsidRPr="003C0D71">
        <w:rPr>
          <w:rFonts w:ascii="Times New Roman" w:hAnsi="Times New Roman" w:cs="Times New Roman"/>
          <w:noProof/>
        </w:rPr>
        <w:t xml:space="preserve">2019. </w:t>
      </w:r>
    </w:p>
    <w:p w14:paraId="3073B95D" w14:textId="15CED3E8" w:rsidR="00784D53" w:rsidRPr="003C0D71" w:rsidRDefault="00784D53" w:rsidP="00784D53">
      <w:pPr>
        <w:jc w:val="both"/>
        <w:rPr>
          <w:rFonts w:ascii="Times New Roman" w:hAnsi="Times New Roman" w:cs="Times New Roman"/>
          <w:noProof/>
        </w:rPr>
      </w:pPr>
      <w:bookmarkStart w:id="9" w:name="_Hlk109980997"/>
      <w:bookmarkEnd w:id="6"/>
      <w:r w:rsidRPr="003C0D71">
        <w:rPr>
          <w:rFonts w:ascii="Times New Roman" w:hAnsi="Times New Roman" w:cs="Times New Roman"/>
          <w:noProof/>
        </w:rPr>
        <w:t xml:space="preserve">The Securitisation Regulation builds on a number of provisions that were already in place and </w:t>
      </w:r>
      <w:r w:rsidR="00D51C88">
        <w:rPr>
          <w:rFonts w:ascii="Times New Roman" w:hAnsi="Times New Roman" w:cs="Times New Roman"/>
          <w:noProof/>
        </w:rPr>
        <w:t xml:space="preserve">which had been </w:t>
      </w:r>
      <w:r w:rsidRPr="003C0D71">
        <w:rPr>
          <w:rFonts w:ascii="Times New Roman" w:hAnsi="Times New Roman" w:cs="Times New Roman"/>
          <w:noProof/>
        </w:rPr>
        <w:t xml:space="preserve">partly amended in </w:t>
      </w:r>
      <w:r w:rsidR="00A11F61">
        <w:rPr>
          <w:rFonts w:ascii="Times New Roman" w:hAnsi="Times New Roman" w:cs="Times New Roman"/>
          <w:noProof/>
        </w:rPr>
        <w:t>reaction to</w:t>
      </w:r>
      <w:r w:rsidRPr="003C0D71">
        <w:rPr>
          <w:rFonts w:ascii="Times New Roman" w:hAnsi="Times New Roman" w:cs="Times New Roman"/>
          <w:noProof/>
        </w:rPr>
        <w:t xml:space="preserve"> the crisis</w:t>
      </w:r>
      <w:r w:rsidR="00D51C88">
        <w:rPr>
          <w:rFonts w:ascii="Times New Roman" w:hAnsi="Times New Roman" w:cs="Times New Roman"/>
          <w:noProof/>
        </w:rPr>
        <w:t>.</w:t>
      </w:r>
      <w:r w:rsidRPr="003C0D71">
        <w:rPr>
          <w:rFonts w:ascii="Times New Roman" w:hAnsi="Times New Roman" w:cs="Times New Roman"/>
          <w:noProof/>
        </w:rPr>
        <w:t xml:space="preserve"> </w:t>
      </w:r>
      <w:r w:rsidR="00D51C88">
        <w:rPr>
          <w:rFonts w:ascii="Times New Roman" w:hAnsi="Times New Roman" w:cs="Times New Roman"/>
          <w:noProof/>
        </w:rPr>
        <w:t xml:space="preserve">These provisions, however, </w:t>
      </w:r>
      <w:r w:rsidRPr="003C0D71">
        <w:rPr>
          <w:rFonts w:ascii="Times New Roman" w:hAnsi="Times New Roman" w:cs="Times New Roman"/>
          <w:noProof/>
        </w:rPr>
        <w:t xml:space="preserve">were scattered across a large number of sectoral legal acts </w:t>
      </w:r>
      <w:r w:rsidR="00D51C88">
        <w:rPr>
          <w:rFonts w:ascii="Times New Roman" w:hAnsi="Times New Roman" w:cs="Times New Roman"/>
          <w:noProof/>
        </w:rPr>
        <w:t xml:space="preserve">that </w:t>
      </w:r>
      <w:r w:rsidR="00247FD3">
        <w:rPr>
          <w:rFonts w:ascii="Times New Roman" w:hAnsi="Times New Roman" w:cs="Times New Roman"/>
          <w:noProof/>
        </w:rPr>
        <w:t>applied</w:t>
      </w:r>
      <w:r w:rsidRPr="003C0D71">
        <w:rPr>
          <w:rFonts w:ascii="Times New Roman" w:hAnsi="Times New Roman" w:cs="Times New Roman"/>
          <w:noProof/>
        </w:rPr>
        <w:t xml:space="preserve"> to different market entities, including</w:t>
      </w:r>
      <w:r w:rsidR="00247FD3">
        <w:rPr>
          <w:rFonts w:ascii="Times New Roman" w:hAnsi="Times New Roman" w:cs="Times New Roman"/>
          <w:noProof/>
        </w:rPr>
        <w:t>: (i)</w:t>
      </w:r>
      <w:r w:rsidRPr="003C0D71">
        <w:rPr>
          <w:rFonts w:ascii="Times New Roman" w:hAnsi="Times New Roman" w:cs="Times New Roman"/>
          <w:noProof/>
        </w:rPr>
        <w:t xml:space="preserve"> the Capital Requirements Regulation </w:t>
      </w:r>
      <w:r w:rsidR="00824DF8" w:rsidRPr="003C0D71">
        <w:rPr>
          <w:rFonts w:ascii="Times New Roman" w:hAnsi="Times New Roman" w:cs="Times New Roman"/>
          <w:noProof/>
        </w:rPr>
        <w:t>(CRR)</w:t>
      </w:r>
      <w:r w:rsidRPr="003C0D71">
        <w:rPr>
          <w:rFonts w:ascii="Times New Roman" w:hAnsi="Times New Roman" w:cs="Times New Roman"/>
          <w:noProof/>
        </w:rPr>
        <w:t xml:space="preserve"> for banks</w:t>
      </w:r>
      <w:r w:rsidRPr="003C0D71">
        <w:rPr>
          <w:rStyle w:val="FootnoteReference"/>
          <w:rFonts w:ascii="Times New Roman" w:hAnsi="Times New Roman" w:cs="Times New Roman"/>
          <w:noProof/>
        </w:rPr>
        <w:footnoteReference w:id="6"/>
      </w:r>
      <w:r w:rsidR="00247FD3">
        <w:rPr>
          <w:rFonts w:ascii="Times New Roman" w:hAnsi="Times New Roman" w:cs="Times New Roman"/>
          <w:noProof/>
        </w:rPr>
        <w:t>; (ii)</w:t>
      </w:r>
      <w:r w:rsidRPr="003C0D71">
        <w:rPr>
          <w:rFonts w:ascii="Times New Roman" w:hAnsi="Times New Roman" w:cs="Times New Roman"/>
          <w:noProof/>
        </w:rPr>
        <w:t xml:space="preserve"> the Solvency II Directive</w:t>
      </w:r>
      <w:r w:rsidRPr="003C0D71">
        <w:rPr>
          <w:rStyle w:val="FootnoteReference"/>
          <w:rFonts w:ascii="Times New Roman" w:hAnsi="Times New Roman" w:cs="Times New Roman"/>
          <w:noProof/>
        </w:rPr>
        <w:footnoteReference w:id="7"/>
      </w:r>
      <w:r w:rsidRPr="003C0D71">
        <w:rPr>
          <w:rFonts w:ascii="Times New Roman" w:hAnsi="Times New Roman" w:cs="Times New Roman"/>
          <w:noProof/>
        </w:rPr>
        <w:t xml:space="preserve"> for insurers</w:t>
      </w:r>
      <w:r w:rsidR="00247FD3">
        <w:rPr>
          <w:rFonts w:ascii="Times New Roman" w:hAnsi="Times New Roman" w:cs="Times New Roman"/>
          <w:noProof/>
        </w:rPr>
        <w:t>; and (iii)</w:t>
      </w:r>
      <w:r w:rsidRPr="003C0D71">
        <w:rPr>
          <w:rFonts w:ascii="Times New Roman" w:hAnsi="Times New Roman" w:cs="Times New Roman"/>
          <w:noProof/>
        </w:rPr>
        <w:t xml:space="preserve"> the Undertakings for the Collective Investment in Transferable Securities (UCITS</w:t>
      </w:r>
      <w:r w:rsidR="00A11F61">
        <w:rPr>
          <w:rFonts w:ascii="Times New Roman" w:hAnsi="Times New Roman" w:cs="Times New Roman"/>
          <w:noProof/>
        </w:rPr>
        <w:t>)</w:t>
      </w:r>
      <w:r w:rsidRPr="003C0D71">
        <w:rPr>
          <w:rStyle w:val="FootnoteReference"/>
          <w:rFonts w:ascii="Times New Roman" w:hAnsi="Times New Roman" w:cs="Times New Roman"/>
          <w:noProof/>
        </w:rPr>
        <w:footnoteReference w:id="8"/>
      </w:r>
      <w:r w:rsidRPr="003C0D71">
        <w:rPr>
          <w:rFonts w:ascii="Times New Roman" w:hAnsi="Times New Roman" w:cs="Times New Roman"/>
          <w:noProof/>
        </w:rPr>
        <w:t xml:space="preserve"> and Alternative Investment Fund Managers (AIFM</w:t>
      </w:r>
      <w:r w:rsidRPr="003C0D71">
        <w:rPr>
          <w:rStyle w:val="FootnoteReference"/>
          <w:rFonts w:ascii="Times New Roman" w:hAnsi="Times New Roman" w:cs="Times New Roman"/>
          <w:noProof/>
        </w:rPr>
        <w:footnoteReference w:id="9"/>
      </w:r>
      <w:r w:rsidRPr="003C0D71">
        <w:rPr>
          <w:rFonts w:ascii="Times New Roman" w:hAnsi="Times New Roman" w:cs="Times New Roman"/>
          <w:noProof/>
        </w:rPr>
        <w:t>) directives for asset managers. The Securitisation Regulation creates a single and harmonised legal framework for the main parties involved in a securitisation transaction</w:t>
      </w:r>
      <w:r w:rsidR="00500B1E">
        <w:rPr>
          <w:rFonts w:ascii="Times New Roman" w:hAnsi="Times New Roman" w:cs="Times New Roman"/>
          <w:noProof/>
        </w:rPr>
        <w:t>. These are</w:t>
      </w:r>
      <w:r w:rsidRPr="003C0D71">
        <w:rPr>
          <w:rFonts w:ascii="Times New Roman" w:hAnsi="Times New Roman" w:cs="Times New Roman"/>
          <w:noProof/>
        </w:rPr>
        <w:t xml:space="preserve"> original lenders, originators, sponsors, securitisation special purpose vehicles and institutional investors participating in the EU securitisation market. In addition, the Securitisation Regulation creates a specific framework for </w:t>
      </w:r>
      <w:r w:rsidR="00757C8A">
        <w:rPr>
          <w:rFonts w:ascii="Times New Roman" w:hAnsi="Times New Roman" w:cs="Times New Roman"/>
          <w:noProof/>
        </w:rPr>
        <w:t>s</w:t>
      </w:r>
      <w:r w:rsidRPr="003C0D71">
        <w:rPr>
          <w:rFonts w:ascii="Times New Roman" w:hAnsi="Times New Roman" w:cs="Times New Roman"/>
          <w:noProof/>
        </w:rPr>
        <w:t xml:space="preserve">imple, </w:t>
      </w:r>
      <w:r w:rsidR="00757C8A">
        <w:rPr>
          <w:rFonts w:ascii="Times New Roman" w:hAnsi="Times New Roman" w:cs="Times New Roman"/>
          <w:noProof/>
        </w:rPr>
        <w:t>t</w:t>
      </w:r>
      <w:r w:rsidRPr="003C0D71">
        <w:rPr>
          <w:rFonts w:ascii="Times New Roman" w:hAnsi="Times New Roman" w:cs="Times New Roman"/>
          <w:noProof/>
        </w:rPr>
        <w:t xml:space="preserve">ransparent and </w:t>
      </w:r>
      <w:r w:rsidR="00757C8A">
        <w:rPr>
          <w:rFonts w:ascii="Times New Roman" w:hAnsi="Times New Roman" w:cs="Times New Roman"/>
          <w:noProof/>
        </w:rPr>
        <w:t>s</w:t>
      </w:r>
      <w:r w:rsidRPr="003C0D71">
        <w:rPr>
          <w:rFonts w:ascii="Times New Roman" w:hAnsi="Times New Roman" w:cs="Times New Roman"/>
          <w:noProof/>
        </w:rPr>
        <w:t>tandardised (STS) true</w:t>
      </w:r>
      <w:r w:rsidR="00D80814">
        <w:rPr>
          <w:rFonts w:ascii="Times New Roman" w:hAnsi="Times New Roman" w:cs="Times New Roman"/>
          <w:noProof/>
        </w:rPr>
        <w:t>-</w:t>
      </w:r>
      <w:r w:rsidRPr="003C0D71">
        <w:rPr>
          <w:rFonts w:ascii="Times New Roman" w:hAnsi="Times New Roman" w:cs="Times New Roman"/>
          <w:noProof/>
        </w:rPr>
        <w:t>sale securitisations</w:t>
      </w:r>
      <w:r w:rsidRPr="003C0D71">
        <w:rPr>
          <w:rStyle w:val="FootnoteReference"/>
          <w:rFonts w:ascii="Times New Roman" w:hAnsi="Times New Roman" w:cs="Times New Roman"/>
          <w:noProof/>
        </w:rPr>
        <w:footnoteReference w:id="10"/>
      </w:r>
      <w:r w:rsidRPr="003C0D71">
        <w:rPr>
          <w:rFonts w:ascii="Times New Roman" w:hAnsi="Times New Roman" w:cs="Times New Roman"/>
          <w:noProof/>
        </w:rPr>
        <w:t xml:space="preserve"> to </w:t>
      </w:r>
      <w:r w:rsidR="00500B1E">
        <w:rPr>
          <w:rFonts w:ascii="Times New Roman" w:hAnsi="Times New Roman" w:cs="Times New Roman"/>
          <w:noProof/>
        </w:rPr>
        <w:t>improve</w:t>
      </w:r>
      <w:r w:rsidR="00500B1E" w:rsidRPr="003C0D71">
        <w:rPr>
          <w:rFonts w:ascii="Times New Roman" w:hAnsi="Times New Roman" w:cs="Times New Roman"/>
          <w:noProof/>
        </w:rPr>
        <w:t xml:space="preserve"> </w:t>
      </w:r>
      <w:r w:rsidRPr="003C0D71">
        <w:rPr>
          <w:rFonts w:ascii="Times New Roman" w:hAnsi="Times New Roman" w:cs="Times New Roman"/>
          <w:noProof/>
        </w:rPr>
        <w:t xml:space="preserve">the transparency and reduce the complexity of the market. </w:t>
      </w:r>
    </w:p>
    <w:p w14:paraId="629ADFD4" w14:textId="3B2DEFCB" w:rsidR="00784D53" w:rsidRPr="003C0D71" w:rsidRDefault="00784D53" w:rsidP="00784D53">
      <w:pPr>
        <w:jc w:val="both"/>
        <w:rPr>
          <w:rFonts w:ascii="Times New Roman" w:hAnsi="Times New Roman" w:cs="Times New Roman"/>
          <w:noProof/>
        </w:rPr>
      </w:pPr>
      <w:r w:rsidRPr="003C0D71">
        <w:rPr>
          <w:rFonts w:ascii="Times New Roman" w:hAnsi="Times New Roman" w:cs="Times New Roman"/>
          <w:noProof/>
        </w:rPr>
        <w:t xml:space="preserve">The importance of a well-functioning securitisation market to provide sufficient credit to the real economy was once again underlined by the </w:t>
      </w:r>
      <w:r w:rsidR="00903390">
        <w:rPr>
          <w:rFonts w:ascii="Times New Roman" w:hAnsi="Times New Roman" w:cs="Times New Roman"/>
          <w:noProof/>
        </w:rPr>
        <w:t>C</w:t>
      </w:r>
      <w:r w:rsidRPr="003C0D71">
        <w:rPr>
          <w:rFonts w:ascii="Times New Roman" w:hAnsi="Times New Roman" w:cs="Times New Roman"/>
          <w:noProof/>
        </w:rPr>
        <w:t>apital Markets Recovery Package</w:t>
      </w:r>
      <w:r w:rsidRPr="003C0D71">
        <w:rPr>
          <w:rStyle w:val="FootnoteReference"/>
          <w:rFonts w:ascii="Times New Roman" w:hAnsi="Times New Roman" w:cs="Times New Roman"/>
          <w:noProof/>
        </w:rPr>
        <w:footnoteReference w:id="11"/>
      </w:r>
      <w:r w:rsidRPr="003C0D71">
        <w:rPr>
          <w:rFonts w:ascii="Times New Roman" w:hAnsi="Times New Roman" w:cs="Times New Roman"/>
          <w:noProof/>
        </w:rPr>
        <w:t xml:space="preserve"> to help the </w:t>
      </w:r>
      <w:r w:rsidR="0017040A">
        <w:rPr>
          <w:rFonts w:ascii="Times New Roman" w:hAnsi="Times New Roman" w:cs="Times New Roman"/>
          <w:noProof/>
        </w:rPr>
        <w:t xml:space="preserve">EU economy to </w:t>
      </w:r>
      <w:r w:rsidRPr="003C0D71">
        <w:rPr>
          <w:rFonts w:ascii="Times New Roman" w:hAnsi="Times New Roman" w:cs="Times New Roman"/>
          <w:noProof/>
        </w:rPr>
        <w:t>recover f</w:t>
      </w:r>
      <w:r w:rsidR="00B9203F" w:rsidRPr="003C0D71">
        <w:rPr>
          <w:rFonts w:ascii="Times New Roman" w:hAnsi="Times New Roman" w:cs="Times New Roman"/>
          <w:noProof/>
        </w:rPr>
        <w:t>rom</w:t>
      </w:r>
      <w:r w:rsidRPr="003C0D71">
        <w:rPr>
          <w:rFonts w:ascii="Times New Roman" w:hAnsi="Times New Roman" w:cs="Times New Roman"/>
          <w:noProof/>
        </w:rPr>
        <w:t xml:space="preserve"> the COVID</w:t>
      </w:r>
      <w:r w:rsidR="00664673" w:rsidRPr="003C0D71">
        <w:rPr>
          <w:rFonts w:ascii="Times New Roman" w:hAnsi="Times New Roman" w:cs="Times New Roman"/>
          <w:noProof/>
        </w:rPr>
        <w:t>-19</w:t>
      </w:r>
      <w:r w:rsidRPr="003C0D71">
        <w:rPr>
          <w:rFonts w:ascii="Times New Roman" w:hAnsi="Times New Roman" w:cs="Times New Roman"/>
          <w:noProof/>
        </w:rPr>
        <w:t xml:space="preserve"> </w:t>
      </w:r>
      <w:r w:rsidR="00664673" w:rsidRPr="003C0D71">
        <w:rPr>
          <w:rFonts w:ascii="Times New Roman" w:hAnsi="Times New Roman" w:cs="Times New Roman"/>
          <w:noProof/>
        </w:rPr>
        <w:t>pandemic</w:t>
      </w:r>
      <w:r w:rsidRPr="003C0D71">
        <w:rPr>
          <w:rFonts w:ascii="Times New Roman" w:hAnsi="Times New Roman" w:cs="Times New Roman"/>
          <w:noProof/>
        </w:rPr>
        <w:t>. The package included amendment</w:t>
      </w:r>
      <w:r w:rsidR="00824DF8" w:rsidRPr="003C0D71">
        <w:rPr>
          <w:rFonts w:ascii="Times New Roman" w:hAnsi="Times New Roman" w:cs="Times New Roman"/>
          <w:noProof/>
        </w:rPr>
        <w:t>s</w:t>
      </w:r>
      <w:r w:rsidRPr="003C0D71">
        <w:rPr>
          <w:rFonts w:ascii="Times New Roman" w:hAnsi="Times New Roman" w:cs="Times New Roman"/>
          <w:noProof/>
        </w:rPr>
        <w:t xml:space="preserve"> to the Securitisation Regulation with the aim </w:t>
      </w:r>
      <w:r w:rsidR="0017040A">
        <w:rPr>
          <w:rFonts w:ascii="Times New Roman" w:hAnsi="Times New Roman" w:cs="Times New Roman"/>
          <w:noProof/>
        </w:rPr>
        <w:t>of</w:t>
      </w:r>
      <w:r w:rsidR="0017040A" w:rsidRPr="003C0D71">
        <w:rPr>
          <w:rFonts w:ascii="Times New Roman" w:hAnsi="Times New Roman" w:cs="Times New Roman"/>
          <w:noProof/>
        </w:rPr>
        <w:t xml:space="preserve"> </w:t>
      </w:r>
      <w:r w:rsidRPr="003C0D71">
        <w:rPr>
          <w:rFonts w:ascii="Times New Roman" w:hAnsi="Times New Roman" w:cs="Times New Roman"/>
          <w:noProof/>
        </w:rPr>
        <w:t>expand</w:t>
      </w:r>
      <w:r w:rsidR="0017040A">
        <w:rPr>
          <w:rFonts w:ascii="Times New Roman" w:hAnsi="Times New Roman" w:cs="Times New Roman"/>
          <w:noProof/>
        </w:rPr>
        <w:t>ing</w:t>
      </w:r>
      <w:r w:rsidRPr="003C0D71">
        <w:rPr>
          <w:rFonts w:ascii="Times New Roman" w:hAnsi="Times New Roman" w:cs="Times New Roman"/>
          <w:noProof/>
        </w:rPr>
        <w:t xml:space="preserve"> the scope of the STS regime to on-balance-sheet synthetic securitisations</w:t>
      </w:r>
      <w:r w:rsidRPr="003C0D71">
        <w:rPr>
          <w:rStyle w:val="FootnoteReference"/>
          <w:rFonts w:ascii="Times New Roman" w:hAnsi="Times New Roman" w:cs="Times New Roman"/>
          <w:noProof/>
        </w:rPr>
        <w:footnoteReference w:id="12"/>
      </w:r>
      <w:r w:rsidRPr="003C0D71">
        <w:rPr>
          <w:rFonts w:ascii="Times New Roman" w:hAnsi="Times New Roman" w:cs="Times New Roman"/>
          <w:noProof/>
        </w:rPr>
        <w:t xml:space="preserve"> and to remove certain regulatory impediments </w:t>
      </w:r>
      <w:r w:rsidR="00500B1E" w:rsidRPr="007912BA">
        <w:rPr>
          <w:rFonts w:ascii="Times New Roman" w:hAnsi="Times New Roman" w:cs="Times New Roman"/>
          <w:noProof/>
        </w:rPr>
        <w:t>to</w:t>
      </w:r>
      <w:r w:rsidRPr="00500B1E">
        <w:rPr>
          <w:rFonts w:ascii="Times New Roman" w:hAnsi="Times New Roman" w:cs="Times New Roman"/>
          <w:noProof/>
        </w:rPr>
        <w:t xml:space="preserve"> the securitisation of non-performing exposures</w:t>
      </w:r>
      <w:r w:rsidRPr="003C0D71">
        <w:rPr>
          <w:rFonts w:ascii="Times New Roman" w:hAnsi="Times New Roman" w:cs="Times New Roman"/>
          <w:noProof/>
        </w:rPr>
        <w:t>. Th</w:t>
      </w:r>
      <w:r w:rsidR="00824DF8" w:rsidRPr="003C0D71">
        <w:rPr>
          <w:rFonts w:ascii="Times New Roman" w:hAnsi="Times New Roman" w:cs="Times New Roman"/>
          <w:noProof/>
        </w:rPr>
        <w:t>e</w:t>
      </w:r>
      <w:r w:rsidRPr="003C0D71">
        <w:rPr>
          <w:rFonts w:ascii="Times New Roman" w:hAnsi="Times New Roman" w:cs="Times New Roman"/>
          <w:noProof/>
        </w:rPr>
        <w:t>s</w:t>
      </w:r>
      <w:r w:rsidR="00824DF8" w:rsidRPr="003C0D71">
        <w:rPr>
          <w:rFonts w:ascii="Times New Roman" w:hAnsi="Times New Roman" w:cs="Times New Roman"/>
          <w:noProof/>
        </w:rPr>
        <w:t>e</w:t>
      </w:r>
      <w:r w:rsidRPr="003C0D71">
        <w:rPr>
          <w:rFonts w:ascii="Times New Roman" w:hAnsi="Times New Roman" w:cs="Times New Roman"/>
          <w:noProof/>
        </w:rPr>
        <w:t xml:space="preserve"> amendment</w:t>
      </w:r>
      <w:r w:rsidR="00824DF8" w:rsidRPr="003C0D71">
        <w:rPr>
          <w:rFonts w:ascii="Times New Roman" w:hAnsi="Times New Roman" w:cs="Times New Roman"/>
          <w:noProof/>
        </w:rPr>
        <w:t>s</w:t>
      </w:r>
      <w:r w:rsidRPr="003C0D71">
        <w:rPr>
          <w:rFonts w:ascii="Times New Roman" w:hAnsi="Times New Roman" w:cs="Times New Roman"/>
          <w:noProof/>
        </w:rPr>
        <w:t xml:space="preserve"> w</w:t>
      </w:r>
      <w:r w:rsidR="00824DF8" w:rsidRPr="003C0D71">
        <w:rPr>
          <w:rFonts w:ascii="Times New Roman" w:hAnsi="Times New Roman" w:cs="Times New Roman"/>
          <w:noProof/>
        </w:rPr>
        <w:t>ere</w:t>
      </w:r>
      <w:r w:rsidRPr="003C0D71">
        <w:rPr>
          <w:rFonts w:ascii="Times New Roman" w:hAnsi="Times New Roman" w:cs="Times New Roman"/>
          <w:noProof/>
        </w:rPr>
        <w:t xml:space="preserve"> adopted by the European Parliament and Council in March 2021.</w:t>
      </w:r>
    </w:p>
    <w:p w14:paraId="6A89A6F3" w14:textId="704CBC74" w:rsidR="00784D53" w:rsidRPr="003C0D71" w:rsidRDefault="00784D53" w:rsidP="00784D53">
      <w:pPr>
        <w:jc w:val="both"/>
        <w:rPr>
          <w:rFonts w:ascii="Times New Roman" w:hAnsi="Times New Roman" w:cs="Times New Roman"/>
          <w:noProof/>
        </w:rPr>
      </w:pPr>
      <w:r w:rsidRPr="003C0D71">
        <w:rPr>
          <w:rFonts w:ascii="Times New Roman" w:hAnsi="Times New Roman" w:cs="Times New Roman"/>
          <w:noProof/>
        </w:rPr>
        <w:t xml:space="preserve">More than three years after the </w:t>
      </w:r>
      <w:r w:rsidR="004E1D20" w:rsidRPr="003C0D71">
        <w:rPr>
          <w:rFonts w:ascii="Times New Roman" w:hAnsi="Times New Roman" w:cs="Times New Roman"/>
          <w:noProof/>
        </w:rPr>
        <w:t xml:space="preserve">entry into </w:t>
      </w:r>
      <w:r w:rsidRPr="003C0D71">
        <w:rPr>
          <w:rFonts w:ascii="Times New Roman" w:hAnsi="Times New Roman" w:cs="Times New Roman"/>
          <w:noProof/>
        </w:rPr>
        <w:t xml:space="preserve">application of the new securitisation framework, </w:t>
      </w:r>
      <w:r w:rsidR="00BC17AF" w:rsidRPr="003C0D71">
        <w:rPr>
          <w:rFonts w:ascii="Times New Roman" w:hAnsi="Times New Roman" w:cs="Times New Roman"/>
          <w:noProof/>
        </w:rPr>
        <w:t xml:space="preserve">and as announced in the 2020 Capital Markets Union </w:t>
      </w:r>
      <w:r w:rsidR="00443B8F">
        <w:rPr>
          <w:rFonts w:ascii="Times New Roman" w:hAnsi="Times New Roman" w:cs="Times New Roman"/>
          <w:noProof/>
        </w:rPr>
        <w:t>a</w:t>
      </w:r>
      <w:r w:rsidR="00BC17AF" w:rsidRPr="003C0D71">
        <w:rPr>
          <w:rFonts w:ascii="Times New Roman" w:hAnsi="Times New Roman" w:cs="Times New Roman"/>
          <w:noProof/>
        </w:rPr>
        <w:t xml:space="preserve">ction </w:t>
      </w:r>
      <w:r w:rsidR="00443B8F">
        <w:rPr>
          <w:rFonts w:ascii="Times New Roman" w:hAnsi="Times New Roman" w:cs="Times New Roman"/>
          <w:noProof/>
        </w:rPr>
        <w:t>p</w:t>
      </w:r>
      <w:r w:rsidR="00BC17AF" w:rsidRPr="003C0D71">
        <w:rPr>
          <w:rFonts w:ascii="Times New Roman" w:hAnsi="Times New Roman" w:cs="Times New Roman"/>
          <w:noProof/>
        </w:rPr>
        <w:t>lan</w:t>
      </w:r>
      <w:r w:rsidR="00BC17AF" w:rsidRPr="003C0D71">
        <w:rPr>
          <w:rStyle w:val="FootnoteReference"/>
          <w:rFonts w:ascii="Times New Roman" w:hAnsi="Times New Roman" w:cs="Times New Roman"/>
          <w:noProof/>
        </w:rPr>
        <w:footnoteReference w:id="13"/>
      </w:r>
      <w:r w:rsidR="00BC17AF" w:rsidRPr="003C0D71">
        <w:rPr>
          <w:rFonts w:ascii="Times New Roman" w:hAnsi="Times New Roman" w:cs="Times New Roman"/>
          <w:noProof/>
        </w:rPr>
        <w:t xml:space="preserve">, </w:t>
      </w:r>
      <w:r w:rsidRPr="003C0D71">
        <w:rPr>
          <w:rFonts w:ascii="Times New Roman" w:hAnsi="Times New Roman" w:cs="Times New Roman"/>
          <w:noProof/>
        </w:rPr>
        <w:t xml:space="preserve">this report takes stock of the development of the market and discusses important aspects of the legal framework. This report fulfils the </w:t>
      </w:r>
      <w:r w:rsidR="0017040A">
        <w:rPr>
          <w:rFonts w:ascii="Times New Roman" w:hAnsi="Times New Roman" w:cs="Times New Roman"/>
          <w:noProof/>
        </w:rPr>
        <w:t xml:space="preserve">Commission’s </w:t>
      </w:r>
      <w:r w:rsidRPr="003C0D71">
        <w:rPr>
          <w:rFonts w:ascii="Times New Roman" w:hAnsi="Times New Roman" w:cs="Times New Roman"/>
          <w:noProof/>
        </w:rPr>
        <w:t xml:space="preserve">legal mandate </w:t>
      </w:r>
      <w:r w:rsidR="0017040A">
        <w:rPr>
          <w:rFonts w:ascii="Times New Roman" w:hAnsi="Times New Roman" w:cs="Times New Roman"/>
          <w:noProof/>
        </w:rPr>
        <w:t>under</w:t>
      </w:r>
      <w:r w:rsidR="0017040A" w:rsidRPr="003C0D71">
        <w:rPr>
          <w:rFonts w:ascii="Times New Roman" w:hAnsi="Times New Roman" w:cs="Times New Roman"/>
          <w:noProof/>
        </w:rPr>
        <w:t xml:space="preserve"> </w:t>
      </w:r>
      <w:r w:rsidRPr="003C0D71">
        <w:rPr>
          <w:rFonts w:ascii="Times New Roman" w:hAnsi="Times New Roman" w:cs="Times New Roman"/>
          <w:noProof/>
        </w:rPr>
        <w:t xml:space="preserve">Article 46 </w:t>
      </w:r>
      <w:r w:rsidR="004E1D20" w:rsidRPr="003C0D71">
        <w:rPr>
          <w:rFonts w:ascii="Times New Roman" w:hAnsi="Times New Roman" w:cs="Times New Roman"/>
          <w:noProof/>
        </w:rPr>
        <w:t xml:space="preserve">of the </w:t>
      </w:r>
      <w:r w:rsidRPr="003C0D71">
        <w:rPr>
          <w:rFonts w:ascii="Times New Roman" w:hAnsi="Times New Roman" w:cs="Times New Roman"/>
          <w:noProof/>
        </w:rPr>
        <w:t xml:space="preserve">Securitisation Regulation to present a report to the European Parliament and to the Council on the functioning of the Securitisation Regulation, accompanied, if appropriate, by a legislative proposal. It also fulfils the legal mandate </w:t>
      </w:r>
      <w:r w:rsidR="007E0CA9">
        <w:rPr>
          <w:rFonts w:ascii="Times New Roman" w:hAnsi="Times New Roman" w:cs="Times New Roman"/>
          <w:noProof/>
        </w:rPr>
        <w:t xml:space="preserve">under </w:t>
      </w:r>
      <w:r w:rsidRPr="003C0D71">
        <w:rPr>
          <w:rFonts w:ascii="Times New Roman" w:hAnsi="Times New Roman" w:cs="Times New Roman"/>
          <w:noProof/>
        </w:rPr>
        <w:t xml:space="preserve">Article 45a </w:t>
      </w:r>
      <w:r w:rsidR="00257AD7" w:rsidRPr="003C0D71">
        <w:rPr>
          <w:rFonts w:ascii="Times New Roman" w:hAnsi="Times New Roman" w:cs="Times New Roman"/>
          <w:noProof/>
        </w:rPr>
        <w:t>(</w:t>
      </w:r>
      <w:r w:rsidRPr="003C0D71">
        <w:rPr>
          <w:rFonts w:ascii="Times New Roman" w:hAnsi="Times New Roman" w:cs="Times New Roman"/>
          <w:noProof/>
        </w:rPr>
        <w:t>3</w:t>
      </w:r>
      <w:r w:rsidR="00257AD7" w:rsidRPr="003C0D71">
        <w:rPr>
          <w:rFonts w:ascii="Times New Roman" w:hAnsi="Times New Roman" w:cs="Times New Roman"/>
          <w:noProof/>
        </w:rPr>
        <w:t>)</w:t>
      </w:r>
      <w:r w:rsidRPr="003C0D71">
        <w:rPr>
          <w:rFonts w:ascii="Times New Roman" w:hAnsi="Times New Roman" w:cs="Times New Roman"/>
          <w:noProof/>
        </w:rPr>
        <w:t xml:space="preserve"> to report t</w:t>
      </w:r>
      <w:r w:rsidR="004E1D20" w:rsidRPr="003C0D71">
        <w:rPr>
          <w:rFonts w:ascii="Times New Roman" w:hAnsi="Times New Roman" w:cs="Times New Roman"/>
          <w:noProof/>
        </w:rPr>
        <w:t>o t</w:t>
      </w:r>
      <w:r w:rsidRPr="003C0D71">
        <w:rPr>
          <w:rFonts w:ascii="Times New Roman" w:hAnsi="Times New Roman" w:cs="Times New Roman"/>
          <w:noProof/>
        </w:rPr>
        <w:t>he co-legislators on the creation of a specific sustainable securitisation framework, building on the re</w:t>
      </w:r>
      <w:r w:rsidR="004E1D20" w:rsidRPr="003C0D71">
        <w:rPr>
          <w:rFonts w:ascii="Times New Roman" w:hAnsi="Times New Roman" w:cs="Times New Roman"/>
          <w:noProof/>
        </w:rPr>
        <w:t xml:space="preserve">levant </w:t>
      </w:r>
      <w:r w:rsidR="0017040A">
        <w:rPr>
          <w:rFonts w:ascii="Times New Roman" w:hAnsi="Times New Roman" w:cs="Times New Roman"/>
          <w:noProof/>
        </w:rPr>
        <w:t>European Banking Authority (</w:t>
      </w:r>
      <w:r w:rsidRPr="006D5B6B">
        <w:rPr>
          <w:rFonts w:ascii="Times New Roman" w:hAnsi="Times New Roman" w:cs="Times New Roman"/>
          <w:noProof/>
        </w:rPr>
        <w:t>EBA</w:t>
      </w:r>
      <w:r w:rsidR="0017040A">
        <w:rPr>
          <w:rFonts w:ascii="Times New Roman" w:hAnsi="Times New Roman" w:cs="Times New Roman"/>
          <w:noProof/>
        </w:rPr>
        <w:t>)</w:t>
      </w:r>
      <w:r w:rsidRPr="003C0D71">
        <w:rPr>
          <w:rFonts w:ascii="Times New Roman" w:hAnsi="Times New Roman" w:cs="Times New Roman"/>
          <w:noProof/>
        </w:rPr>
        <w:t xml:space="preserve"> report. This report </w:t>
      </w:r>
      <w:r w:rsidR="004E1D20" w:rsidRPr="003C0D71">
        <w:rPr>
          <w:rFonts w:ascii="Times New Roman" w:hAnsi="Times New Roman" w:cs="Times New Roman"/>
          <w:noProof/>
        </w:rPr>
        <w:t xml:space="preserve">also </w:t>
      </w:r>
      <w:r w:rsidRPr="003C0D71">
        <w:rPr>
          <w:rFonts w:ascii="Times New Roman" w:hAnsi="Times New Roman" w:cs="Times New Roman"/>
          <w:noProof/>
        </w:rPr>
        <w:t xml:space="preserve">addresses the issues raised by the </w:t>
      </w:r>
      <w:r w:rsidR="00982674">
        <w:rPr>
          <w:rFonts w:ascii="Times New Roman" w:hAnsi="Times New Roman" w:cs="Times New Roman"/>
          <w:noProof/>
        </w:rPr>
        <w:t>European supervisory authorities</w:t>
      </w:r>
      <w:r w:rsidR="0015535D">
        <w:rPr>
          <w:rFonts w:ascii="Times New Roman" w:hAnsi="Times New Roman" w:cs="Times New Roman"/>
          <w:noProof/>
        </w:rPr>
        <w:t>’</w:t>
      </w:r>
      <w:r w:rsidR="00982674">
        <w:rPr>
          <w:rFonts w:ascii="Times New Roman" w:hAnsi="Times New Roman" w:cs="Times New Roman"/>
          <w:noProof/>
        </w:rPr>
        <w:t xml:space="preserve"> (</w:t>
      </w:r>
      <w:r w:rsidRPr="003C0D71">
        <w:rPr>
          <w:rFonts w:ascii="Times New Roman" w:hAnsi="Times New Roman" w:cs="Times New Roman"/>
          <w:noProof/>
        </w:rPr>
        <w:t>ESA</w:t>
      </w:r>
      <w:r w:rsidR="0015535D">
        <w:rPr>
          <w:rFonts w:ascii="Times New Roman" w:hAnsi="Times New Roman" w:cs="Times New Roman"/>
          <w:noProof/>
        </w:rPr>
        <w:t>s</w:t>
      </w:r>
      <w:r w:rsidR="00982674">
        <w:rPr>
          <w:rFonts w:ascii="Times New Roman" w:hAnsi="Times New Roman" w:cs="Times New Roman"/>
          <w:noProof/>
        </w:rPr>
        <w:t>)</w:t>
      </w:r>
      <w:r w:rsidRPr="003C0D71">
        <w:rPr>
          <w:rFonts w:ascii="Times New Roman" w:hAnsi="Times New Roman" w:cs="Times New Roman"/>
          <w:noProof/>
        </w:rPr>
        <w:t xml:space="preserve"> </w:t>
      </w:r>
      <w:r w:rsidR="00982674">
        <w:rPr>
          <w:rFonts w:ascii="Times New Roman" w:hAnsi="Times New Roman" w:cs="Times New Roman"/>
          <w:noProof/>
        </w:rPr>
        <w:t>o</w:t>
      </w:r>
      <w:r w:rsidRPr="003C0D71">
        <w:rPr>
          <w:rFonts w:ascii="Times New Roman" w:hAnsi="Times New Roman" w:cs="Times New Roman"/>
          <w:noProof/>
        </w:rPr>
        <w:t xml:space="preserve">pinion </w:t>
      </w:r>
      <w:r w:rsidR="0015535D">
        <w:rPr>
          <w:rFonts w:ascii="Times New Roman" w:hAnsi="Times New Roman" w:cs="Times New Roman"/>
          <w:noProof/>
        </w:rPr>
        <w:t xml:space="preserve">of </w:t>
      </w:r>
      <w:r w:rsidR="00982674" w:rsidRPr="003C0D71">
        <w:rPr>
          <w:rFonts w:ascii="Times New Roman" w:hAnsi="Times New Roman" w:cs="Times New Roman"/>
          <w:noProof/>
        </w:rPr>
        <w:t>25</w:t>
      </w:r>
      <w:r w:rsidR="00982674">
        <w:rPr>
          <w:rFonts w:ascii="Times New Roman" w:hAnsi="Times New Roman" w:cs="Times New Roman"/>
          <w:noProof/>
        </w:rPr>
        <w:t> </w:t>
      </w:r>
      <w:r w:rsidR="00982674" w:rsidRPr="003C0D71">
        <w:rPr>
          <w:rFonts w:ascii="Times New Roman" w:hAnsi="Times New Roman" w:cs="Times New Roman"/>
          <w:noProof/>
        </w:rPr>
        <w:t>March</w:t>
      </w:r>
      <w:r w:rsidR="00982674">
        <w:rPr>
          <w:rFonts w:ascii="Times New Roman" w:hAnsi="Times New Roman" w:cs="Times New Roman"/>
          <w:noProof/>
        </w:rPr>
        <w:t> </w:t>
      </w:r>
      <w:r w:rsidR="00982674" w:rsidRPr="003C0D71">
        <w:rPr>
          <w:rFonts w:ascii="Times New Roman" w:hAnsi="Times New Roman" w:cs="Times New Roman"/>
          <w:noProof/>
        </w:rPr>
        <w:t>2021</w:t>
      </w:r>
      <w:r w:rsidR="00982674">
        <w:rPr>
          <w:rFonts w:ascii="Times New Roman" w:hAnsi="Times New Roman" w:cs="Times New Roman"/>
          <w:noProof/>
        </w:rPr>
        <w:t xml:space="preserve"> </w:t>
      </w:r>
      <w:r w:rsidRPr="003C0D71">
        <w:rPr>
          <w:rFonts w:ascii="Times New Roman" w:hAnsi="Times New Roman" w:cs="Times New Roman"/>
          <w:noProof/>
        </w:rPr>
        <w:t xml:space="preserve">to the European Commission on the </w:t>
      </w:r>
      <w:r w:rsidR="00982674">
        <w:rPr>
          <w:rFonts w:ascii="Times New Roman" w:hAnsi="Times New Roman" w:cs="Times New Roman"/>
          <w:noProof/>
        </w:rPr>
        <w:t>j</w:t>
      </w:r>
      <w:r w:rsidRPr="003C0D71">
        <w:rPr>
          <w:rFonts w:ascii="Times New Roman" w:hAnsi="Times New Roman" w:cs="Times New Roman"/>
          <w:noProof/>
        </w:rPr>
        <w:t xml:space="preserve">urisdictional </w:t>
      </w:r>
      <w:r w:rsidR="00982674">
        <w:rPr>
          <w:rFonts w:ascii="Times New Roman" w:hAnsi="Times New Roman" w:cs="Times New Roman"/>
          <w:noProof/>
        </w:rPr>
        <w:t>s</w:t>
      </w:r>
      <w:r w:rsidRPr="003C0D71">
        <w:rPr>
          <w:rFonts w:ascii="Times New Roman" w:hAnsi="Times New Roman" w:cs="Times New Roman"/>
          <w:noProof/>
        </w:rPr>
        <w:t>cope</w:t>
      </w:r>
      <w:r w:rsidRPr="003C0D71">
        <w:rPr>
          <w:rStyle w:val="FootnoteReference"/>
          <w:rFonts w:ascii="Times New Roman" w:hAnsi="Times New Roman" w:cs="Times New Roman"/>
          <w:noProof/>
        </w:rPr>
        <w:footnoteReference w:id="14"/>
      </w:r>
      <w:r w:rsidRPr="003C0D71">
        <w:rPr>
          <w:rFonts w:ascii="Times New Roman" w:hAnsi="Times New Roman" w:cs="Times New Roman"/>
          <w:noProof/>
        </w:rPr>
        <w:t xml:space="preserve"> (</w:t>
      </w:r>
      <w:r w:rsidRPr="007E0CA9">
        <w:rPr>
          <w:rFonts w:ascii="Times New Roman" w:hAnsi="Times New Roman" w:cs="Times New Roman"/>
          <w:noProof/>
        </w:rPr>
        <w:t xml:space="preserve">the </w:t>
      </w:r>
      <w:r w:rsidR="006E441A">
        <w:rPr>
          <w:rFonts w:ascii="Times New Roman" w:hAnsi="Times New Roman" w:cs="Times New Roman"/>
          <w:noProof/>
        </w:rPr>
        <w:t>‘</w:t>
      </w:r>
      <w:r w:rsidRPr="007E0CA9">
        <w:rPr>
          <w:rFonts w:ascii="Times New Roman" w:hAnsi="Times New Roman" w:cs="Times New Roman"/>
          <w:noProof/>
        </w:rPr>
        <w:t xml:space="preserve">Joint Committee </w:t>
      </w:r>
      <w:r w:rsidR="00063AF5">
        <w:rPr>
          <w:rFonts w:ascii="Times New Roman" w:hAnsi="Times New Roman" w:cs="Times New Roman"/>
          <w:noProof/>
        </w:rPr>
        <w:t>o</w:t>
      </w:r>
      <w:r w:rsidRPr="007E0CA9">
        <w:rPr>
          <w:rFonts w:ascii="Times New Roman" w:hAnsi="Times New Roman" w:cs="Times New Roman"/>
          <w:noProof/>
        </w:rPr>
        <w:t>pinion</w:t>
      </w:r>
      <w:r w:rsidR="006E441A">
        <w:rPr>
          <w:rFonts w:ascii="Times New Roman" w:hAnsi="Times New Roman" w:cs="Times New Roman"/>
          <w:noProof/>
        </w:rPr>
        <w:t>’</w:t>
      </w:r>
      <w:r w:rsidRPr="003C0D71">
        <w:rPr>
          <w:rFonts w:ascii="Times New Roman" w:hAnsi="Times New Roman" w:cs="Times New Roman"/>
          <w:noProof/>
        </w:rPr>
        <w:t>), by providing legal interpretation</w:t>
      </w:r>
      <w:r w:rsidR="004E1D20" w:rsidRPr="003C0D71">
        <w:rPr>
          <w:rFonts w:ascii="Times New Roman" w:hAnsi="Times New Roman" w:cs="Times New Roman"/>
          <w:noProof/>
        </w:rPr>
        <w:t>s</w:t>
      </w:r>
      <w:r w:rsidRPr="003C0D71">
        <w:rPr>
          <w:rFonts w:ascii="Times New Roman" w:hAnsi="Times New Roman" w:cs="Times New Roman"/>
          <w:noProof/>
        </w:rPr>
        <w:t xml:space="preserve"> of certain </w:t>
      </w:r>
      <w:r w:rsidRPr="00A814E0">
        <w:rPr>
          <w:rFonts w:ascii="Times New Roman" w:hAnsi="Times New Roman" w:cs="Times New Roman"/>
          <w:noProof/>
        </w:rPr>
        <w:t>provisions</w:t>
      </w:r>
      <w:r w:rsidRPr="003C0D71">
        <w:rPr>
          <w:rFonts w:ascii="Times New Roman" w:hAnsi="Times New Roman" w:cs="Times New Roman"/>
          <w:noProof/>
        </w:rPr>
        <w:t xml:space="preserve"> of the Securitisation Regulation. </w:t>
      </w:r>
      <w:r w:rsidR="00D338B2" w:rsidRPr="003C0D71">
        <w:rPr>
          <w:rFonts w:ascii="Times New Roman" w:hAnsi="Times New Roman" w:cs="Times New Roman"/>
          <w:noProof/>
        </w:rPr>
        <w:t>It also takes into account the recommendations made by a high-level forum on the Capital Markets Union</w:t>
      </w:r>
      <w:r w:rsidR="006E441A">
        <w:rPr>
          <w:rFonts w:ascii="Times New Roman" w:hAnsi="Times New Roman" w:cs="Times New Roman"/>
          <w:noProof/>
        </w:rPr>
        <w:t xml:space="preserve">, </w:t>
      </w:r>
      <w:r w:rsidR="007E0CA9">
        <w:rPr>
          <w:rFonts w:ascii="Times New Roman" w:hAnsi="Times New Roman" w:cs="Times New Roman"/>
          <w:noProof/>
        </w:rPr>
        <w:t>created</w:t>
      </w:r>
      <w:r w:rsidR="00D338B2" w:rsidRPr="003C0D71">
        <w:rPr>
          <w:rFonts w:ascii="Times New Roman" w:hAnsi="Times New Roman" w:cs="Times New Roman"/>
          <w:noProof/>
        </w:rPr>
        <w:t xml:space="preserve"> by the Commission in 2019.</w:t>
      </w:r>
      <w:r w:rsidR="00D338B2" w:rsidRPr="003C0D71">
        <w:rPr>
          <w:rStyle w:val="FootnoteReference"/>
          <w:rFonts w:ascii="Times New Roman" w:hAnsi="Times New Roman" w:cs="Times New Roman"/>
          <w:noProof/>
        </w:rPr>
        <w:footnoteReference w:id="15"/>
      </w:r>
    </w:p>
    <w:p w14:paraId="3DD69770" w14:textId="09405F3C" w:rsidR="003C6402" w:rsidRPr="003C0D71" w:rsidRDefault="00784D53" w:rsidP="00784D53">
      <w:pPr>
        <w:jc w:val="both"/>
        <w:rPr>
          <w:rFonts w:ascii="Times New Roman" w:hAnsi="Times New Roman" w:cs="Times New Roman"/>
          <w:noProof/>
        </w:rPr>
      </w:pPr>
      <w:r w:rsidRPr="003C0D71">
        <w:rPr>
          <w:rFonts w:ascii="Times New Roman" w:hAnsi="Times New Roman" w:cs="Times New Roman"/>
          <w:noProof/>
        </w:rPr>
        <w:t xml:space="preserve">The report draws </w:t>
      </w:r>
      <w:r w:rsidR="000F3481" w:rsidRPr="003C0D71">
        <w:rPr>
          <w:rFonts w:ascii="Times New Roman" w:hAnsi="Times New Roman" w:cs="Times New Roman"/>
          <w:noProof/>
        </w:rPr>
        <w:t xml:space="preserve">from </w:t>
      </w:r>
      <w:r w:rsidRPr="003C0D71">
        <w:rPr>
          <w:rFonts w:ascii="Times New Roman" w:hAnsi="Times New Roman" w:cs="Times New Roman"/>
          <w:noProof/>
        </w:rPr>
        <w:t xml:space="preserve">a number of sources, in particular the extensive analysis </w:t>
      </w:r>
      <w:r w:rsidR="006D5B6B">
        <w:rPr>
          <w:rFonts w:ascii="Times New Roman" w:hAnsi="Times New Roman" w:cs="Times New Roman"/>
          <w:noProof/>
        </w:rPr>
        <w:t xml:space="preserve">made </w:t>
      </w:r>
      <w:r w:rsidRPr="003C0D71">
        <w:rPr>
          <w:rFonts w:ascii="Times New Roman" w:hAnsi="Times New Roman" w:cs="Times New Roman"/>
          <w:noProof/>
        </w:rPr>
        <w:t>by the securitisation sub</w:t>
      </w:r>
      <w:r w:rsidR="00D80814">
        <w:rPr>
          <w:rFonts w:ascii="Times New Roman" w:hAnsi="Times New Roman" w:cs="Times New Roman"/>
          <w:noProof/>
        </w:rPr>
        <w:t>committee</w:t>
      </w:r>
      <w:r w:rsidRPr="003C0D71">
        <w:rPr>
          <w:rFonts w:ascii="Times New Roman" w:hAnsi="Times New Roman" w:cs="Times New Roman"/>
          <w:noProof/>
        </w:rPr>
        <w:t xml:space="preserve"> of the Joint Committee of the </w:t>
      </w:r>
      <w:r w:rsidR="004E1D20" w:rsidRPr="003C0D71">
        <w:rPr>
          <w:rFonts w:ascii="Times New Roman" w:hAnsi="Times New Roman" w:cs="Times New Roman"/>
          <w:noProof/>
        </w:rPr>
        <w:t>ESAs</w:t>
      </w:r>
      <w:r w:rsidRPr="003C0D71">
        <w:rPr>
          <w:rFonts w:ascii="Times New Roman" w:hAnsi="Times New Roman" w:cs="Times New Roman"/>
          <w:noProof/>
        </w:rPr>
        <w:t xml:space="preserve">, which </w:t>
      </w:r>
      <w:r w:rsidR="004E1D20" w:rsidRPr="003C0D71">
        <w:rPr>
          <w:rFonts w:ascii="Times New Roman" w:hAnsi="Times New Roman" w:cs="Times New Roman"/>
          <w:noProof/>
        </w:rPr>
        <w:t xml:space="preserve">has been </w:t>
      </w:r>
      <w:r w:rsidRPr="003C0D71">
        <w:rPr>
          <w:rFonts w:ascii="Times New Roman" w:hAnsi="Times New Roman" w:cs="Times New Roman"/>
          <w:noProof/>
        </w:rPr>
        <w:t xml:space="preserve">published in two documents: </w:t>
      </w:r>
      <w:r w:rsidR="00063AF5">
        <w:rPr>
          <w:rFonts w:ascii="Times New Roman" w:hAnsi="Times New Roman" w:cs="Times New Roman"/>
          <w:noProof/>
        </w:rPr>
        <w:t>(</w:t>
      </w:r>
      <w:r w:rsidRPr="003C0D71">
        <w:rPr>
          <w:rFonts w:ascii="Times New Roman" w:hAnsi="Times New Roman" w:cs="Times New Roman"/>
          <w:noProof/>
        </w:rPr>
        <w:t xml:space="preserve">i) the </w:t>
      </w:r>
      <w:r w:rsidR="00A13C4B">
        <w:rPr>
          <w:rFonts w:ascii="Times New Roman" w:hAnsi="Times New Roman" w:cs="Times New Roman"/>
          <w:noProof/>
        </w:rPr>
        <w:t>r</w:t>
      </w:r>
      <w:r w:rsidRPr="003C0D71">
        <w:rPr>
          <w:rFonts w:ascii="Times New Roman" w:hAnsi="Times New Roman" w:cs="Times New Roman"/>
          <w:noProof/>
        </w:rPr>
        <w:t>eport on the implementation and functioning of the Securitisation Regulation</w:t>
      </w:r>
      <w:r w:rsidR="005E23A5" w:rsidRPr="003C0D71">
        <w:rPr>
          <w:rStyle w:val="FootnoteReference"/>
          <w:rFonts w:ascii="Times New Roman" w:hAnsi="Times New Roman" w:cs="Times New Roman"/>
          <w:noProof/>
        </w:rPr>
        <w:footnoteReference w:id="16"/>
      </w:r>
      <w:r w:rsidRPr="003C0D71">
        <w:rPr>
          <w:rFonts w:ascii="Times New Roman" w:hAnsi="Times New Roman" w:cs="Times New Roman"/>
          <w:noProof/>
        </w:rPr>
        <w:t xml:space="preserve"> (17</w:t>
      </w:r>
      <w:r w:rsidR="007454D5">
        <w:rPr>
          <w:rFonts w:ascii="Times New Roman" w:hAnsi="Times New Roman" w:cs="Times New Roman"/>
          <w:noProof/>
        </w:rPr>
        <w:t> </w:t>
      </w:r>
      <w:r w:rsidRPr="003C0D71">
        <w:rPr>
          <w:rFonts w:ascii="Times New Roman" w:hAnsi="Times New Roman" w:cs="Times New Roman"/>
          <w:noProof/>
        </w:rPr>
        <w:t>May</w:t>
      </w:r>
      <w:r w:rsidR="007454D5">
        <w:rPr>
          <w:rFonts w:ascii="Times New Roman" w:hAnsi="Times New Roman" w:cs="Times New Roman"/>
          <w:noProof/>
        </w:rPr>
        <w:t> </w:t>
      </w:r>
      <w:r w:rsidRPr="003C0D71">
        <w:rPr>
          <w:rFonts w:ascii="Times New Roman" w:hAnsi="Times New Roman" w:cs="Times New Roman"/>
          <w:noProof/>
        </w:rPr>
        <w:t xml:space="preserve">2021, </w:t>
      </w:r>
      <w:r w:rsidRPr="00647E9A">
        <w:rPr>
          <w:rFonts w:ascii="Times New Roman" w:hAnsi="Times New Roman" w:cs="Times New Roman"/>
          <w:noProof/>
        </w:rPr>
        <w:t xml:space="preserve">the </w:t>
      </w:r>
      <w:r w:rsidR="00063AF5">
        <w:rPr>
          <w:rFonts w:ascii="Times New Roman" w:hAnsi="Times New Roman" w:cs="Times New Roman"/>
          <w:noProof/>
        </w:rPr>
        <w:t>‘</w:t>
      </w:r>
      <w:r w:rsidRPr="00647E9A">
        <w:rPr>
          <w:rFonts w:ascii="Times New Roman" w:hAnsi="Times New Roman" w:cs="Times New Roman"/>
          <w:noProof/>
        </w:rPr>
        <w:t>Joint Committee</w:t>
      </w:r>
      <w:r w:rsidRPr="00577F52">
        <w:rPr>
          <w:rFonts w:ascii="Times New Roman" w:hAnsi="Times New Roman" w:cs="Times New Roman"/>
          <w:i/>
          <w:noProof/>
        </w:rPr>
        <w:t xml:space="preserve"> </w:t>
      </w:r>
      <w:r w:rsidR="00063AF5">
        <w:rPr>
          <w:rFonts w:ascii="Times New Roman" w:hAnsi="Times New Roman" w:cs="Times New Roman"/>
          <w:noProof/>
        </w:rPr>
        <w:t>r</w:t>
      </w:r>
      <w:r w:rsidRPr="00647E9A">
        <w:rPr>
          <w:rFonts w:ascii="Times New Roman" w:hAnsi="Times New Roman" w:cs="Times New Roman"/>
          <w:noProof/>
        </w:rPr>
        <w:t>eport</w:t>
      </w:r>
      <w:r w:rsidR="00063AF5">
        <w:rPr>
          <w:rFonts w:ascii="Times New Roman" w:hAnsi="Times New Roman" w:cs="Times New Roman"/>
          <w:noProof/>
        </w:rPr>
        <w:t>’</w:t>
      </w:r>
      <w:r w:rsidRPr="003C0D71">
        <w:rPr>
          <w:rFonts w:ascii="Times New Roman" w:hAnsi="Times New Roman" w:cs="Times New Roman"/>
          <w:noProof/>
        </w:rPr>
        <w:t>)</w:t>
      </w:r>
      <w:r w:rsidR="00063AF5">
        <w:rPr>
          <w:rFonts w:ascii="Times New Roman" w:hAnsi="Times New Roman" w:cs="Times New Roman"/>
          <w:noProof/>
        </w:rPr>
        <w:t>;</w:t>
      </w:r>
      <w:r w:rsidRPr="003C0D71">
        <w:rPr>
          <w:rFonts w:ascii="Times New Roman" w:hAnsi="Times New Roman" w:cs="Times New Roman"/>
          <w:noProof/>
        </w:rPr>
        <w:t xml:space="preserve"> and </w:t>
      </w:r>
      <w:r w:rsidR="00063AF5">
        <w:rPr>
          <w:rFonts w:ascii="Times New Roman" w:hAnsi="Times New Roman" w:cs="Times New Roman"/>
          <w:noProof/>
        </w:rPr>
        <w:t>(</w:t>
      </w:r>
      <w:r w:rsidRPr="003C0D71">
        <w:rPr>
          <w:rFonts w:ascii="Times New Roman" w:hAnsi="Times New Roman" w:cs="Times New Roman"/>
          <w:noProof/>
        </w:rPr>
        <w:t xml:space="preserve">ii) the Joint Committee </w:t>
      </w:r>
      <w:r w:rsidR="00063AF5">
        <w:rPr>
          <w:rFonts w:ascii="Times New Roman" w:hAnsi="Times New Roman" w:cs="Times New Roman"/>
          <w:noProof/>
        </w:rPr>
        <w:t>o</w:t>
      </w:r>
      <w:r w:rsidRPr="003C0D71">
        <w:rPr>
          <w:rFonts w:ascii="Times New Roman" w:hAnsi="Times New Roman" w:cs="Times New Roman"/>
          <w:noProof/>
        </w:rPr>
        <w:t>pinion. Moreover, the Commission carried out a targeted public consultation that received 56 replies (</w:t>
      </w:r>
      <w:r w:rsidR="00063AF5">
        <w:rPr>
          <w:rFonts w:ascii="Times New Roman" w:hAnsi="Times New Roman" w:cs="Times New Roman"/>
          <w:noProof/>
        </w:rPr>
        <w:t>‘</w:t>
      </w:r>
      <w:r w:rsidRPr="00647E9A">
        <w:rPr>
          <w:rFonts w:ascii="Times New Roman" w:hAnsi="Times New Roman" w:cs="Times New Roman"/>
          <w:noProof/>
        </w:rPr>
        <w:t xml:space="preserve">the </w:t>
      </w:r>
      <w:r w:rsidR="00C65F22" w:rsidRPr="00647E9A">
        <w:rPr>
          <w:rFonts w:ascii="Times New Roman" w:hAnsi="Times New Roman" w:cs="Times New Roman"/>
          <w:noProof/>
        </w:rPr>
        <w:t>c</w:t>
      </w:r>
      <w:r w:rsidRPr="00647E9A">
        <w:rPr>
          <w:rFonts w:ascii="Times New Roman" w:hAnsi="Times New Roman" w:cs="Times New Roman"/>
          <w:noProof/>
        </w:rPr>
        <w:t>onsultation</w:t>
      </w:r>
      <w:r w:rsidR="00063AF5">
        <w:rPr>
          <w:rFonts w:ascii="Times New Roman" w:hAnsi="Times New Roman" w:cs="Times New Roman"/>
          <w:noProof/>
        </w:rPr>
        <w:t>’</w:t>
      </w:r>
      <w:r w:rsidRPr="003C0D71">
        <w:rPr>
          <w:rFonts w:ascii="Times New Roman" w:hAnsi="Times New Roman" w:cs="Times New Roman"/>
          <w:noProof/>
        </w:rPr>
        <w:t xml:space="preserve">). </w:t>
      </w:r>
      <w:r w:rsidR="006D5B6B">
        <w:rPr>
          <w:rFonts w:ascii="Times New Roman" w:hAnsi="Times New Roman" w:cs="Times New Roman"/>
          <w:noProof/>
        </w:rPr>
        <w:t>This</w:t>
      </w:r>
      <w:r w:rsidRPr="003C0D71">
        <w:rPr>
          <w:rFonts w:ascii="Times New Roman" w:hAnsi="Times New Roman" w:cs="Times New Roman"/>
          <w:noProof/>
        </w:rPr>
        <w:t xml:space="preserve"> attracted interest </w:t>
      </w:r>
      <w:r w:rsidR="00063AF5">
        <w:rPr>
          <w:rFonts w:ascii="Times New Roman" w:hAnsi="Times New Roman" w:cs="Times New Roman"/>
          <w:noProof/>
        </w:rPr>
        <w:t>from</w:t>
      </w:r>
      <w:r w:rsidR="00063AF5" w:rsidRPr="003C0D71">
        <w:rPr>
          <w:rFonts w:ascii="Times New Roman" w:hAnsi="Times New Roman" w:cs="Times New Roman"/>
          <w:noProof/>
        </w:rPr>
        <w:t xml:space="preserve"> </w:t>
      </w:r>
      <w:r w:rsidRPr="003C0D71">
        <w:rPr>
          <w:rFonts w:ascii="Times New Roman" w:hAnsi="Times New Roman" w:cs="Times New Roman"/>
          <w:noProof/>
        </w:rPr>
        <w:t xml:space="preserve">a broad range of </w:t>
      </w:r>
      <w:r w:rsidRPr="006D5B6B">
        <w:rPr>
          <w:rFonts w:ascii="Times New Roman" w:hAnsi="Times New Roman" w:cs="Times New Roman"/>
          <w:noProof/>
        </w:rPr>
        <w:t>market participants</w:t>
      </w:r>
      <w:r w:rsidR="00063AF5">
        <w:rPr>
          <w:rFonts w:ascii="Times New Roman" w:hAnsi="Times New Roman" w:cs="Times New Roman"/>
          <w:noProof/>
        </w:rPr>
        <w:t>,</w:t>
      </w:r>
      <w:r w:rsidRPr="003C0D71">
        <w:rPr>
          <w:rFonts w:ascii="Times New Roman" w:hAnsi="Times New Roman" w:cs="Times New Roman"/>
          <w:noProof/>
        </w:rPr>
        <w:t xml:space="preserve"> from both the buy-side and the sell-side of the market, as well as from public authorities and </w:t>
      </w:r>
      <w:r w:rsidR="006D5B6B">
        <w:rPr>
          <w:rFonts w:ascii="Times New Roman" w:hAnsi="Times New Roman" w:cs="Times New Roman"/>
          <w:noProof/>
        </w:rPr>
        <w:t>academics</w:t>
      </w:r>
      <w:r w:rsidRPr="003C0D71">
        <w:rPr>
          <w:rFonts w:ascii="Times New Roman" w:hAnsi="Times New Roman" w:cs="Times New Roman"/>
          <w:noProof/>
        </w:rPr>
        <w:t>. A feedback statement</w:t>
      </w:r>
      <w:r w:rsidR="00B9203F" w:rsidRPr="003C0D71">
        <w:rPr>
          <w:rStyle w:val="FootnoteReference"/>
          <w:rFonts w:ascii="Times New Roman" w:hAnsi="Times New Roman" w:cs="Times New Roman"/>
          <w:noProof/>
        </w:rPr>
        <w:footnoteReference w:id="17"/>
      </w:r>
      <w:r w:rsidRPr="003C0D71">
        <w:rPr>
          <w:rFonts w:ascii="Times New Roman" w:hAnsi="Times New Roman" w:cs="Times New Roman"/>
          <w:noProof/>
        </w:rPr>
        <w:t xml:space="preserve"> providing a detailed summary of the responses received accompanies this report. </w:t>
      </w:r>
    </w:p>
    <w:p w14:paraId="6C7C7163" w14:textId="46FA15A6" w:rsidR="00784D53" w:rsidRPr="003C0D71" w:rsidRDefault="00784D53" w:rsidP="00784D53">
      <w:pPr>
        <w:jc w:val="both"/>
        <w:rPr>
          <w:rFonts w:ascii="Times New Roman" w:hAnsi="Times New Roman" w:cs="Times New Roman"/>
          <w:noProof/>
        </w:rPr>
      </w:pPr>
      <w:r w:rsidRPr="003C0D71">
        <w:rPr>
          <w:rFonts w:ascii="Times New Roman" w:hAnsi="Times New Roman" w:cs="Times New Roman"/>
          <w:noProof/>
        </w:rPr>
        <w:t xml:space="preserve">In line with the legal mandates, this report focuses on aspects of the securitisation framework </w:t>
      </w:r>
      <w:r w:rsidRPr="00E071C5">
        <w:rPr>
          <w:rFonts w:ascii="Times New Roman" w:hAnsi="Times New Roman" w:cs="Times New Roman"/>
          <w:noProof/>
        </w:rPr>
        <w:t>pertaining to the</w:t>
      </w:r>
      <w:r w:rsidRPr="003C0D71">
        <w:rPr>
          <w:rFonts w:ascii="Times New Roman" w:hAnsi="Times New Roman" w:cs="Times New Roman"/>
          <w:noProof/>
        </w:rPr>
        <w:t xml:space="preserve"> Securitisation Regulation. Issues related to the prudential treatment of securitisation for banks and insurance companies are currently </w:t>
      </w:r>
      <w:r w:rsidR="00E071C5">
        <w:rPr>
          <w:rFonts w:ascii="Times New Roman" w:hAnsi="Times New Roman" w:cs="Times New Roman"/>
          <w:noProof/>
        </w:rPr>
        <w:t xml:space="preserve">the </w:t>
      </w:r>
      <w:r w:rsidRPr="003C0D71">
        <w:rPr>
          <w:rFonts w:ascii="Times New Roman" w:hAnsi="Times New Roman" w:cs="Times New Roman"/>
          <w:noProof/>
        </w:rPr>
        <w:t xml:space="preserve">subject </w:t>
      </w:r>
      <w:r w:rsidR="00E071C5">
        <w:rPr>
          <w:rFonts w:ascii="Times New Roman" w:hAnsi="Times New Roman" w:cs="Times New Roman"/>
          <w:noProof/>
        </w:rPr>
        <w:t>of</w:t>
      </w:r>
      <w:r w:rsidR="00E071C5" w:rsidRPr="003C0D71">
        <w:rPr>
          <w:rFonts w:ascii="Times New Roman" w:hAnsi="Times New Roman" w:cs="Times New Roman"/>
          <w:noProof/>
        </w:rPr>
        <w:t xml:space="preserve"> </w:t>
      </w:r>
      <w:r w:rsidRPr="003C0D71">
        <w:rPr>
          <w:rFonts w:ascii="Times New Roman" w:hAnsi="Times New Roman" w:cs="Times New Roman"/>
          <w:noProof/>
        </w:rPr>
        <w:t xml:space="preserve">a </w:t>
      </w:r>
      <w:r w:rsidR="00577F52">
        <w:rPr>
          <w:rFonts w:ascii="Times New Roman" w:hAnsi="Times New Roman" w:cs="Times New Roman"/>
          <w:noProof/>
        </w:rPr>
        <w:t>c</w:t>
      </w:r>
      <w:r w:rsidRPr="003C0D71">
        <w:rPr>
          <w:rFonts w:ascii="Times New Roman" w:hAnsi="Times New Roman" w:cs="Times New Roman"/>
          <w:noProof/>
        </w:rPr>
        <w:t xml:space="preserve">all for </w:t>
      </w:r>
      <w:r w:rsidR="00577F52">
        <w:rPr>
          <w:rFonts w:ascii="Times New Roman" w:hAnsi="Times New Roman" w:cs="Times New Roman"/>
          <w:noProof/>
        </w:rPr>
        <w:t>a</w:t>
      </w:r>
      <w:r w:rsidRPr="003C0D71">
        <w:rPr>
          <w:rFonts w:ascii="Times New Roman" w:hAnsi="Times New Roman" w:cs="Times New Roman"/>
          <w:noProof/>
        </w:rPr>
        <w:t>dvice to the ESA’s Joint Committee</w:t>
      </w:r>
      <w:r w:rsidRPr="003C0D71">
        <w:rPr>
          <w:rStyle w:val="FootnoteReference"/>
          <w:rFonts w:ascii="Times New Roman" w:hAnsi="Times New Roman" w:cs="Times New Roman"/>
          <w:noProof/>
        </w:rPr>
        <w:footnoteReference w:id="18"/>
      </w:r>
      <w:r w:rsidRPr="003C0D71">
        <w:rPr>
          <w:rFonts w:ascii="Times New Roman" w:hAnsi="Times New Roman" w:cs="Times New Roman"/>
          <w:noProof/>
        </w:rPr>
        <w:t xml:space="preserve"> and will be assessed by the Commission once that requested advice has been delivered. This report and its conclusions do not in any way pre-empt the assessment and </w:t>
      </w:r>
      <w:r w:rsidR="004E1D20" w:rsidRPr="003C0D71">
        <w:rPr>
          <w:rFonts w:ascii="Times New Roman" w:hAnsi="Times New Roman" w:cs="Times New Roman"/>
          <w:noProof/>
        </w:rPr>
        <w:t xml:space="preserve">possible </w:t>
      </w:r>
      <w:r w:rsidRPr="003C0D71">
        <w:rPr>
          <w:rFonts w:ascii="Times New Roman" w:hAnsi="Times New Roman" w:cs="Times New Roman"/>
          <w:noProof/>
        </w:rPr>
        <w:t>decision</w:t>
      </w:r>
      <w:r w:rsidR="004E1D20" w:rsidRPr="003C0D71">
        <w:rPr>
          <w:rFonts w:ascii="Times New Roman" w:hAnsi="Times New Roman" w:cs="Times New Roman"/>
          <w:noProof/>
        </w:rPr>
        <w:t>s that</w:t>
      </w:r>
      <w:r w:rsidRPr="003C0D71">
        <w:rPr>
          <w:rFonts w:ascii="Times New Roman" w:hAnsi="Times New Roman" w:cs="Times New Roman"/>
          <w:noProof/>
        </w:rPr>
        <w:t xml:space="preserve"> the Commission will </w:t>
      </w:r>
      <w:r w:rsidR="00E071C5">
        <w:rPr>
          <w:rFonts w:ascii="Times New Roman" w:hAnsi="Times New Roman" w:cs="Times New Roman"/>
          <w:noProof/>
        </w:rPr>
        <w:t>make on</w:t>
      </w:r>
      <w:r w:rsidRPr="003C0D71">
        <w:rPr>
          <w:rFonts w:ascii="Times New Roman" w:hAnsi="Times New Roman" w:cs="Times New Roman"/>
          <w:noProof/>
        </w:rPr>
        <w:t xml:space="preserve"> the suitability of the current prudential regime</w:t>
      </w:r>
      <w:r w:rsidR="006E6231">
        <w:rPr>
          <w:rFonts w:ascii="Times New Roman" w:hAnsi="Times New Roman" w:cs="Times New Roman"/>
          <w:noProof/>
        </w:rPr>
        <w:t>.</w:t>
      </w:r>
      <w:r w:rsidRPr="003C0D71">
        <w:rPr>
          <w:rFonts w:ascii="Times New Roman" w:hAnsi="Times New Roman" w:cs="Times New Roman"/>
          <w:noProof/>
        </w:rPr>
        <w:t xml:space="preserve"> </w:t>
      </w:r>
    </w:p>
    <w:p w14:paraId="7D16CAAA" w14:textId="72DD80E2" w:rsidR="00784D53" w:rsidRPr="003C0D71" w:rsidRDefault="00EC6BDE" w:rsidP="00784D53">
      <w:pPr>
        <w:jc w:val="both"/>
        <w:rPr>
          <w:rFonts w:ascii="Times New Roman" w:hAnsi="Times New Roman" w:cs="Times New Roman"/>
          <w:noProof/>
        </w:rPr>
      </w:pPr>
      <w:r w:rsidRPr="003C0D71">
        <w:rPr>
          <w:rFonts w:ascii="Times New Roman" w:hAnsi="Times New Roman" w:cs="Times New Roman"/>
          <w:noProof/>
        </w:rPr>
        <w:t>T</w:t>
      </w:r>
      <w:r w:rsidR="00784D53" w:rsidRPr="003C0D71">
        <w:rPr>
          <w:rFonts w:ascii="Times New Roman" w:hAnsi="Times New Roman" w:cs="Times New Roman"/>
          <w:noProof/>
        </w:rPr>
        <w:t>he report focus</w:t>
      </w:r>
      <w:r w:rsidR="000C60D2" w:rsidRPr="003C0D71">
        <w:rPr>
          <w:rFonts w:ascii="Times New Roman" w:hAnsi="Times New Roman" w:cs="Times New Roman"/>
          <w:noProof/>
        </w:rPr>
        <w:t>es</w:t>
      </w:r>
      <w:r w:rsidR="00784D53" w:rsidRPr="003C0D71">
        <w:rPr>
          <w:rFonts w:ascii="Times New Roman" w:hAnsi="Times New Roman" w:cs="Times New Roman"/>
          <w:noProof/>
        </w:rPr>
        <w:t xml:space="preserve"> on the functioning of</w:t>
      </w:r>
      <w:r w:rsidR="00577F52">
        <w:rPr>
          <w:rFonts w:ascii="Times New Roman" w:hAnsi="Times New Roman" w:cs="Times New Roman"/>
          <w:noProof/>
        </w:rPr>
        <w:t>:</w:t>
      </w:r>
      <w:r w:rsidR="00784D53" w:rsidRPr="003C0D71">
        <w:rPr>
          <w:rFonts w:ascii="Times New Roman" w:hAnsi="Times New Roman" w:cs="Times New Roman"/>
          <w:noProof/>
        </w:rPr>
        <w:t xml:space="preserve"> (i) the risk retention requi</w:t>
      </w:r>
      <w:r w:rsidR="00B9203F" w:rsidRPr="003C0D71">
        <w:rPr>
          <w:rFonts w:ascii="Times New Roman" w:hAnsi="Times New Roman" w:cs="Times New Roman"/>
          <w:noProof/>
        </w:rPr>
        <w:t>r</w:t>
      </w:r>
      <w:r w:rsidR="00784D53" w:rsidRPr="003C0D71">
        <w:rPr>
          <w:rFonts w:ascii="Times New Roman" w:hAnsi="Times New Roman" w:cs="Times New Roman"/>
          <w:noProof/>
        </w:rPr>
        <w:t>ement</w:t>
      </w:r>
      <w:r w:rsidR="00577F52">
        <w:rPr>
          <w:rFonts w:ascii="Times New Roman" w:hAnsi="Times New Roman" w:cs="Times New Roman"/>
          <w:noProof/>
        </w:rPr>
        <w:t>;</w:t>
      </w:r>
      <w:r w:rsidR="00784D53" w:rsidRPr="003C0D71">
        <w:rPr>
          <w:rFonts w:ascii="Times New Roman" w:hAnsi="Times New Roman" w:cs="Times New Roman"/>
          <w:noProof/>
        </w:rPr>
        <w:t xml:space="preserve"> (ii) the due diligence and transparency requirements</w:t>
      </w:r>
      <w:r w:rsidR="00577F52">
        <w:rPr>
          <w:rFonts w:ascii="Times New Roman" w:hAnsi="Times New Roman" w:cs="Times New Roman"/>
          <w:noProof/>
        </w:rPr>
        <w:t>;</w:t>
      </w:r>
      <w:r w:rsidR="00784D53" w:rsidRPr="003C0D71">
        <w:rPr>
          <w:rFonts w:ascii="Times New Roman" w:hAnsi="Times New Roman" w:cs="Times New Roman"/>
          <w:noProof/>
        </w:rPr>
        <w:t xml:space="preserve"> (iii) the rules and definition for private securitisations</w:t>
      </w:r>
      <w:r w:rsidR="00577F52">
        <w:rPr>
          <w:rFonts w:ascii="Times New Roman" w:hAnsi="Times New Roman" w:cs="Times New Roman"/>
          <w:noProof/>
        </w:rPr>
        <w:t>;</w:t>
      </w:r>
      <w:r w:rsidR="00784D53" w:rsidRPr="003C0D71">
        <w:rPr>
          <w:rFonts w:ascii="Times New Roman" w:hAnsi="Times New Roman" w:cs="Times New Roman"/>
          <w:noProof/>
        </w:rPr>
        <w:t xml:space="preserve"> (iv) the case for a</w:t>
      </w:r>
      <w:r w:rsidR="0056711C">
        <w:rPr>
          <w:rFonts w:ascii="Times New Roman" w:hAnsi="Times New Roman" w:cs="Times New Roman"/>
          <w:noProof/>
        </w:rPr>
        <w:t>n</w:t>
      </w:r>
      <w:r w:rsidR="00784D53" w:rsidRPr="003C0D71">
        <w:rPr>
          <w:rFonts w:ascii="Times New Roman" w:hAnsi="Times New Roman" w:cs="Times New Roman"/>
          <w:noProof/>
        </w:rPr>
        <w:t xml:space="preserve"> STS equivalence regime</w:t>
      </w:r>
      <w:r w:rsidR="00577F52">
        <w:rPr>
          <w:rFonts w:ascii="Times New Roman" w:hAnsi="Times New Roman" w:cs="Times New Roman"/>
          <w:noProof/>
        </w:rPr>
        <w:t>;</w:t>
      </w:r>
      <w:r w:rsidR="00784D53" w:rsidRPr="003C0D71">
        <w:rPr>
          <w:rFonts w:ascii="Times New Roman" w:hAnsi="Times New Roman" w:cs="Times New Roman"/>
          <w:noProof/>
        </w:rPr>
        <w:t xml:space="preserve"> (v) a regime for sustainable securitisation</w:t>
      </w:r>
      <w:r w:rsidR="00577F52">
        <w:rPr>
          <w:rFonts w:ascii="Times New Roman" w:hAnsi="Times New Roman" w:cs="Times New Roman"/>
          <w:noProof/>
        </w:rPr>
        <w:t>;</w:t>
      </w:r>
      <w:r w:rsidR="00784D53" w:rsidRPr="003C0D71">
        <w:rPr>
          <w:rFonts w:ascii="Times New Roman" w:hAnsi="Times New Roman" w:cs="Times New Roman"/>
          <w:noProof/>
        </w:rPr>
        <w:t xml:space="preserve"> (vi) the function of the third</w:t>
      </w:r>
      <w:r w:rsidR="00001486">
        <w:rPr>
          <w:rFonts w:ascii="Times New Roman" w:hAnsi="Times New Roman" w:cs="Times New Roman"/>
          <w:noProof/>
        </w:rPr>
        <w:t>-</w:t>
      </w:r>
      <w:r w:rsidR="00784D53" w:rsidRPr="003C0D71">
        <w:rPr>
          <w:rFonts w:ascii="Times New Roman" w:hAnsi="Times New Roman" w:cs="Times New Roman"/>
          <w:noProof/>
        </w:rPr>
        <w:t>party verification of STS</w:t>
      </w:r>
      <w:r w:rsidR="00577F52">
        <w:rPr>
          <w:rFonts w:ascii="Times New Roman" w:hAnsi="Times New Roman" w:cs="Times New Roman"/>
          <w:noProof/>
        </w:rPr>
        <w:t>;</w:t>
      </w:r>
      <w:r w:rsidR="00784D53" w:rsidRPr="003C0D71">
        <w:rPr>
          <w:rFonts w:ascii="Times New Roman" w:hAnsi="Times New Roman" w:cs="Times New Roman"/>
          <w:noProof/>
        </w:rPr>
        <w:t xml:space="preserve"> and (vii) the case for establishing a system of limited</w:t>
      </w:r>
      <w:r w:rsidR="007454D5">
        <w:rPr>
          <w:rFonts w:ascii="Times New Roman" w:hAnsi="Times New Roman" w:cs="Times New Roman"/>
          <w:noProof/>
        </w:rPr>
        <w:t>-</w:t>
      </w:r>
      <w:r w:rsidR="00784D53" w:rsidRPr="003C0D71">
        <w:rPr>
          <w:rFonts w:ascii="Times New Roman" w:hAnsi="Times New Roman" w:cs="Times New Roman"/>
          <w:noProof/>
        </w:rPr>
        <w:t xml:space="preserve">licence banks to replace the current structure of true-sale securitisation built around securitisation special purpose </w:t>
      </w:r>
      <w:r w:rsidR="00F00CD7">
        <w:rPr>
          <w:rFonts w:ascii="Times New Roman" w:hAnsi="Times New Roman" w:cs="Times New Roman"/>
          <w:noProof/>
        </w:rPr>
        <w:t>entities</w:t>
      </w:r>
      <w:r w:rsidR="00F00CD7" w:rsidRPr="003C0D71">
        <w:rPr>
          <w:rFonts w:ascii="Times New Roman" w:hAnsi="Times New Roman" w:cs="Times New Roman"/>
          <w:noProof/>
        </w:rPr>
        <w:t xml:space="preserve"> </w:t>
      </w:r>
      <w:r w:rsidR="00784D53" w:rsidRPr="003C0D71">
        <w:rPr>
          <w:rFonts w:ascii="Times New Roman" w:hAnsi="Times New Roman" w:cs="Times New Roman"/>
          <w:noProof/>
        </w:rPr>
        <w:t>(</w:t>
      </w:r>
      <w:r w:rsidR="00784D53" w:rsidRPr="007E0CA9">
        <w:rPr>
          <w:rFonts w:ascii="Times New Roman" w:hAnsi="Times New Roman" w:cs="Times New Roman"/>
          <w:noProof/>
        </w:rPr>
        <w:t>SSPEs</w:t>
      </w:r>
      <w:r w:rsidR="00784D53" w:rsidRPr="003C0D71">
        <w:rPr>
          <w:rFonts w:ascii="Times New Roman" w:hAnsi="Times New Roman" w:cs="Times New Roman"/>
          <w:noProof/>
        </w:rPr>
        <w:t>). The report</w:t>
      </w:r>
      <w:r w:rsidR="004E1D20" w:rsidRPr="003C0D71">
        <w:rPr>
          <w:rFonts w:ascii="Times New Roman" w:hAnsi="Times New Roman" w:cs="Times New Roman"/>
          <w:noProof/>
        </w:rPr>
        <w:t xml:space="preserve"> also </w:t>
      </w:r>
      <w:r w:rsidR="00577F52">
        <w:rPr>
          <w:rFonts w:ascii="Times New Roman" w:hAnsi="Times New Roman" w:cs="Times New Roman"/>
          <w:noProof/>
        </w:rPr>
        <w:t>considers</w:t>
      </w:r>
      <w:r w:rsidR="00577F52" w:rsidRPr="003C0D71">
        <w:rPr>
          <w:rFonts w:ascii="Times New Roman" w:hAnsi="Times New Roman" w:cs="Times New Roman"/>
          <w:noProof/>
        </w:rPr>
        <w:t xml:space="preserve"> </w:t>
      </w:r>
      <w:r w:rsidR="00784D53" w:rsidRPr="003C0D71">
        <w:rPr>
          <w:rFonts w:ascii="Times New Roman" w:hAnsi="Times New Roman" w:cs="Times New Roman"/>
          <w:noProof/>
        </w:rPr>
        <w:t xml:space="preserve">issues </w:t>
      </w:r>
      <w:r w:rsidR="00784D53" w:rsidRPr="0056711C">
        <w:rPr>
          <w:rFonts w:ascii="Times New Roman" w:hAnsi="Times New Roman" w:cs="Times New Roman"/>
          <w:noProof/>
        </w:rPr>
        <w:t>around</w:t>
      </w:r>
      <w:r w:rsidR="00784D53" w:rsidRPr="003C0D71">
        <w:rPr>
          <w:rFonts w:ascii="Times New Roman" w:hAnsi="Times New Roman" w:cs="Times New Roman"/>
          <w:noProof/>
        </w:rPr>
        <w:t xml:space="preserve"> the jurisdictional scope of the Securitisation Regulation</w:t>
      </w:r>
      <w:r w:rsidR="004E1D20" w:rsidRPr="003C0D71">
        <w:rPr>
          <w:rFonts w:ascii="Times New Roman" w:hAnsi="Times New Roman" w:cs="Times New Roman"/>
          <w:noProof/>
        </w:rPr>
        <w:t>,</w:t>
      </w:r>
      <w:r w:rsidR="00784D53" w:rsidRPr="003C0D71">
        <w:rPr>
          <w:rFonts w:ascii="Times New Roman" w:hAnsi="Times New Roman" w:cs="Times New Roman"/>
          <w:noProof/>
        </w:rPr>
        <w:t xml:space="preserve"> </w:t>
      </w:r>
      <w:r w:rsidR="004E1D20" w:rsidRPr="003C0D71">
        <w:rPr>
          <w:rFonts w:ascii="Times New Roman" w:hAnsi="Times New Roman" w:cs="Times New Roman"/>
          <w:noProof/>
        </w:rPr>
        <w:t xml:space="preserve">as </w:t>
      </w:r>
      <w:r w:rsidR="00784D53" w:rsidRPr="003C0D71">
        <w:rPr>
          <w:rFonts w:ascii="Times New Roman" w:hAnsi="Times New Roman" w:cs="Times New Roman"/>
          <w:noProof/>
        </w:rPr>
        <w:t xml:space="preserve">raised </w:t>
      </w:r>
      <w:r w:rsidR="004E1D20" w:rsidRPr="003C0D71">
        <w:rPr>
          <w:rFonts w:ascii="Times New Roman" w:hAnsi="Times New Roman" w:cs="Times New Roman"/>
          <w:noProof/>
        </w:rPr>
        <w:t>in</w:t>
      </w:r>
      <w:r w:rsidR="00784D53" w:rsidRPr="003C0D71">
        <w:rPr>
          <w:rFonts w:ascii="Times New Roman" w:hAnsi="Times New Roman" w:cs="Times New Roman"/>
          <w:noProof/>
        </w:rPr>
        <w:t xml:space="preserve"> the Joint Committee </w:t>
      </w:r>
      <w:r w:rsidR="00577F52">
        <w:rPr>
          <w:rFonts w:ascii="Times New Roman" w:hAnsi="Times New Roman" w:cs="Times New Roman"/>
          <w:noProof/>
        </w:rPr>
        <w:t>o</w:t>
      </w:r>
      <w:r w:rsidR="00784D53" w:rsidRPr="003C0D71">
        <w:rPr>
          <w:rFonts w:ascii="Times New Roman" w:hAnsi="Times New Roman" w:cs="Times New Roman"/>
          <w:noProof/>
        </w:rPr>
        <w:t>pinion</w:t>
      </w:r>
      <w:r w:rsidR="004E1D20" w:rsidRPr="003C0D71">
        <w:rPr>
          <w:rFonts w:ascii="Times New Roman" w:hAnsi="Times New Roman" w:cs="Times New Roman"/>
          <w:noProof/>
        </w:rPr>
        <w:t>,</w:t>
      </w:r>
      <w:r w:rsidR="00784D53" w:rsidRPr="003C0D71">
        <w:rPr>
          <w:rFonts w:ascii="Times New Roman" w:hAnsi="Times New Roman" w:cs="Times New Roman"/>
          <w:noProof/>
        </w:rPr>
        <w:t xml:space="preserve"> and provides legal interpretation</w:t>
      </w:r>
      <w:r w:rsidR="004E1D20" w:rsidRPr="003C0D71">
        <w:rPr>
          <w:rFonts w:ascii="Times New Roman" w:hAnsi="Times New Roman" w:cs="Times New Roman"/>
          <w:noProof/>
        </w:rPr>
        <w:t>s in that context</w:t>
      </w:r>
      <w:r w:rsidR="00784D53" w:rsidRPr="003C0D71">
        <w:rPr>
          <w:rFonts w:ascii="Times New Roman" w:hAnsi="Times New Roman" w:cs="Times New Roman"/>
          <w:noProof/>
        </w:rPr>
        <w:t xml:space="preserve">. </w:t>
      </w:r>
      <w:r w:rsidR="004E1D20" w:rsidRPr="003C0D71">
        <w:rPr>
          <w:rFonts w:ascii="Times New Roman" w:hAnsi="Times New Roman" w:cs="Times New Roman"/>
          <w:noProof/>
        </w:rPr>
        <w:t xml:space="preserve">Based </w:t>
      </w:r>
      <w:r w:rsidR="00784D53" w:rsidRPr="003C0D71">
        <w:rPr>
          <w:rFonts w:ascii="Times New Roman" w:hAnsi="Times New Roman" w:cs="Times New Roman"/>
          <w:noProof/>
        </w:rPr>
        <w:t xml:space="preserve">on the Joint Committee </w:t>
      </w:r>
      <w:r w:rsidR="00577F52">
        <w:rPr>
          <w:rFonts w:ascii="Times New Roman" w:hAnsi="Times New Roman" w:cs="Times New Roman"/>
          <w:noProof/>
        </w:rPr>
        <w:t>r</w:t>
      </w:r>
      <w:r w:rsidR="00784D53" w:rsidRPr="003C0D71">
        <w:rPr>
          <w:rFonts w:ascii="Times New Roman" w:hAnsi="Times New Roman" w:cs="Times New Roman"/>
          <w:noProof/>
        </w:rPr>
        <w:t xml:space="preserve">eport, </w:t>
      </w:r>
      <w:r w:rsidR="004E1D20" w:rsidRPr="003C0D71">
        <w:rPr>
          <w:rFonts w:ascii="Times New Roman" w:hAnsi="Times New Roman" w:cs="Times New Roman"/>
          <w:noProof/>
        </w:rPr>
        <w:t>th</w:t>
      </w:r>
      <w:r w:rsidR="00824DF8" w:rsidRPr="003C0D71">
        <w:rPr>
          <w:rFonts w:ascii="Times New Roman" w:hAnsi="Times New Roman" w:cs="Times New Roman"/>
          <w:noProof/>
        </w:rPr>
        <w:t>is</w:t>
      </w:r>
      <w:r w:rsidR="004E1D20" w:rsidRPr="003C0D71">
        <w:rPr>
          <w:rFonts w:ascii="Times New Roman" w:hAnsi="Times New Roman" w:cs="Times New Roman"/>
          <w:noProof/>
        </w:rPr>
        <w:t xml:space="preserve"> </w:t>
      </w:r>
      <w:r w:rsidR="00577F52">
        <w:rPr>
          <w:rFonts w:ascii="Times New Roman" w:hAnsi="Times New Roman" w:cs="Times New Roman"/>
          <w:noProof/>
        </w:rPr>
        <w:t>document</w:t>
      </w:r>
      <w:r w:rsidR="00577F52" w:rsidRPr="003C0D71">
        <w:rPr>
          <w:rFonts w:ascii="Times New Roman" w:hAnsi="Times New Roman" w:cs="Times New Roman"/>
          <w:noProof/>
        </w:rPr>
        <w:t xml:space="preserve"> </w:t>
      </w:r>
      <w:r w:rsidR="00784D53" w:rsidRPr="003C0D71">
        <w:rPr>
          <w:rFonts w:ascii="Times New Roman" w:hAnsi="Times New Roman" w:cs="Times New Roman"/>
          <w:noProof/>
        </w:rPr>
        <w:t xml:space="preserve">assesses the current state of supervision and </w:t>
      </w:r>
      <w:r w:rsidR="004E1D20" w:rsidRPr="003C0D71">
        <w:rPr>
          <w:rFonts w:ascii="Times New Roman" w:hAnsi="Times New Roman" w:cs="Times New Roman"/>
          <w:noProof/>
        </w:rPr>
        <w:t xml:space="preserve">concludes </w:t>
      </w:r>
      <w:r w:rsidR="00784D53" w:rsidRPr="003C0D71">
        <w:rPr>
          <w:rFonts w:ascii="Times New Roman" w:hAnsi="Times New Roman" w:cs="Times New Roman"/>
          <w:noProof/>
        </w:rPr>
        <w:t>with a</w:t>
      </w:r>
      <w:r w:rsidR="000C60D2" w:rsidRPr="003C0D71">
        <w:rPr>
          <w:rFonts w:ascii="Times New Roman" w:hAnsi="Times New Roman" w:cs="Times New Roman"/>
          <w:noProof/>
        </w:rPr>
        <w:t>n</w:t>
      </w:r>
      <w:r w:rsidR="00784D53" w:rsidRPr="003C0D71">
        <w:rPr>
          <w:rFonts w:ascii="Times New Roman" w:hAnsi="Times New Roman" w:cs="Times New Roman"/>
          <w:noProof/>
        </w:rPr>
        <w:t xml:space="preserve"> overview o</w:t>
      </w:r>
      <w:r w:rsidR="004E1D20" w:rsidRPr="003C0D71">
        <w:rPr>
          <w:rFonts w:ascii="Times New Roman" w:hAnsi="Times New Roman" w:cs="Times New Roman"/>
          <w:noProof/>
        </w:rPr>
        <w:t>f</w:t>
      </w:r>
      <w:r w:rsidR="00784D53" w:rsidRPr="003C0D71">
        <w:rPr>
          <w:rFonts w:ascii="Times New Roman" w:hAnsi="Times New Roman" w:cs="Times New Roman"/>
          <w:noProof/>
        </w:rPr>
        <w:t xml:space="preserve"> the ongoing and upcoming work on the prudential treatment of securitisation.</w:t>
      </w:r>
    </w:p>
    <w:p w14:paraId="6E69C494" w14:textId="77777777" w:rsidR="0053752A" w:rsidRPr="003C0D71" w:rsidRDefault="0053752A" w:rsidP="0053752A">
      <w:pPr>
        <w:pStyle w:val="Heading1"/>
        <w:numPr>
          <w:ilvl w:val="0"/>
          <w:numId w:val="2"/>
        </w:numPr>
        <w:rPr>
          <w:rFonts w:ascii="Times New Roman" w:hAnsi="Times New Roman" w:cs="Times New Roman"/>
          <w:noProof/>
          <w:color w:val="auto"/>
        </w:rPr>
      </w:pPr>
      <w:bookmarkStart w:id="10" w:name="_Toc104283062"/>
      <w:bookmarkStart w:id="11" w:name="_Toc104286130"/>
      <w:bookmarkStart w:id="12" w:name="_Toc104297331"/>
      <w:bookmarkStart w:id="13" w:name="_Toc115346204"/>
      <w:bookmarkEnd w:id="9"/>
      <w:r w:rsidRPr="003C0D71">
        <w:rPr>
          <w:rFonts w:ascii="Times New Roman" w:hAnsi="Times New Roman" w:cs="Times New Roman"/>
          <w:noProof/>
          <w:color w:val="auto"/>
        </w:rPr>
        <w:t>Market developments</w:t>
      </w:r>
      <w:bookmarkEnd w:id="10"/>
      <w:bookmarkEnd w:id="11"/>
      <w:bookmarkEnd w:id="12"/>
      <w:bookmarkEnd w:id="13"/>
    </w:p>
    <w:p w14:paraId="6AA76676" w14:textId="380427C7" w:rsidR="00175683" w:rsidRPr="003C0D71" w:rsidRDefault="00175683" w:rsidP="00175683">
      <w:pPr>
        <w:spacing w:before="120"/>
        <w:jc w:val="both"/>
        <w:rPr>
          <w:rFonts w:ascii="Times New Roman" w:hAnsi="Times New Roman" w:cs="Times New Roman"/>
          <w:noProof/>
        </w:rPr>
      </w:pPr>
      <w:bookmarkStart w:id="14" w:name="_Toc104213063"/>
      <w:bookmarkStart w:id="15" w:name="_Toc104213068"/>
      <w:bookmarkEnd w:id="14"/>
      <w:r w:rsidRPr="003C0D71">
        <w:rPr>
          <w:rFonts w:ascii="Times New Roman" w:hAnsi="Times New Roman" w:cs="Times New Roman"/>
          <w:noProof/>
        </w:rPr>
        <w:t xml:space="preserve">At present it is difficult to obtain a reliable and comprehensive estimate of the size of the securitisation market in the EU. With time, securitisation repositories will be able to provide a full account of public securitisations, but </w:t>
      </w:r>
      <w:r w:rsidR="001F4323">
        <w:rPr>
          <w:rFonts w:ascii="Times New Roman" w:hAnsi="Times New Roman" w:cs="Times New Roman"/>
          <w:noProof/>
        </w:rPr>
        <w:t xml:space="preserve">there </w:t>
      </w:r>
      <w:r w:rsidRPr="003C0D71">
        <w:rPr>
          <w:rFonts w:ascii="Times New Roman" w:hAnsi="Times New Roman" w:cs="Times New Roman"/>
          <w:noProof/>
        </w:rPr>
        <w:t xml:space="preserve">currently </w:t>
      </w:r>
      <w:r w:rsidR="001F4323">
        <w:rPr>
          <w:rFonts w:ascii="Times New Roman" w:hAnsi="Times New Roman" w:cs="Times New Roman"/>
          <w:noProof/>
        </w:rPr>
        <w:t>remains</w:t>
      </w:r>
      <w:r w:rsidRPr="003C0D71">
        <w:rPr>
          <w:rFonts w:ascii="Times New Roman" w:hAnsi="Times New Roman" w:cs="Times New Roman"/>
          <w:noProof/>
        </w:rPr>
        <w:t xml:space="preserve"> a large number of active legacy transactions, i.e. issued before 1</w:t>
      </w:r>
      <w:r w:rsidR="007454D5">
        <w:rPr>
          <w:rFonts w:ascii="Times New Roman" w:hAnsi="Times New Roman" w:cs="Times New Roman"/>
          <w:noProof/>
        </w:rPr>
        <w:t> </w:t>
      </w:r>
      <w:r w:rsidRPr="003C0D71">
        <w:rPr>
          <w:rFonts w:ascii="Times New Roman" w:hAnsi="Times New Roman" w:cs="Times New Roman"/>
          <w:noProof/>
        </w:rPr>
        <w:t>January</w:t>
      </w:r>
      <w:r w:rsidR="007454D5">
        <w:rPr>
          <w:rFonts w:ascii="Times New Roman" w:hAnsi="Times New Roman" w:cs="Times New Roman"/>
          <w:noProof/>
        </w:rPr>
        <w:t> </w:t>
      </w:r>
      <w:r w:rsidRPr="003C0D71">
        <w:rPr>
          <w:rFonts w:ascii="Times New Roman" w:hAnsi="Times New Roman" w:cs="Times New Roman"/>
          <w:noProof/>
        </w:rPr>
        <w:t>2019, that do not need to be reported to the repositories. The volume of securitisations reported to the securitisation repositories stood at around EUR</w:t>
      </w:r>
      <w:r w:rsidR="00D80814">
        <w:rPr>
          <w:rFonts w:ascii="Times New Roman" w:hAnsi="Times New Roman" w:cs="Times New Roman"/>
          <w:noProof/>
        </w:rPr>
        <w:t> </w:t>
      </w:r>
      <w:r w:rsidRPr="003C0D71">
        <w:rPr>
          <w:rFonts w:ascii="Times New Roman" w:hAnsi="Times New Roman" w:cs="Times New Roman"/>
          <w:noProof/>
        </w:rPr>
        <w:t>460</w:t>
      </w:r>
      <w:r w:rsidR="00D80814">
        <w:rPr>
          <w:rFonts w:ascii="Times New Roman" w:hAnsi="Times New Roman" w:cs="Times New Roman"/>
          <w:noProof/>
        </w:rPr>
        <w:t xml:space="preserve"> </w:t>
      </w:r>
      <w:r w:rsidRPr="003C0D71">
        <w:rPr>
          <w:rFonts w:ascii="Times New Roman" w:hAnsi="Times New Roman" w:cs="Times New Roman"/>
          <w:noProof/>
        </w:rPr>
        <w:t>b</w:t>
      </w:r>
      <w:r w:rsidR="00D80814">
        <w:rPr>
          <w:rFonts w:ascii="Times New Roman" w:hAnsi="Times New Roman" w:cs="Times New Roman"/>
          <w:noProof/>
        </w:rPr>
        <w:t>illio</w:t>
      </w:r>
      <w:r w:rsidRPr="003C0D71">
        <w:rPr>
          <w:rFonts w:ascii="Times New Roman" w:hAnsi="Times New Roman" w:cs="Times New Roman"/>
          <w:noProof/>
        </w:rPr>
        <w:t xml:space="preserve">n </w:t>
      </w:r>
      <w:r w:rsidR="00D80814">
        <w:rPr>
          <w:rFonts w:ascii="Times New Roman" w:hAnsi="Times New Roman" w:cs="Times New Roman"/>
          <w:noProof/>
        </w:rPr>
        <w:t>on</w:t>
      </w:r>
      <w:r w:rsidRPr="003C0D71">
        <w:rPr>
          <w:rFonts w:ascii="Times New Roman" w:hAnsi="Times New Roman" w:cs="Times New Roman"/>
          <w:noProof/>
        </w:rPr>
        <w:t xml:space="preserve"> 6</w:t>
      </w:r>
      <w:r w:rsidR="007454D5">
        <w:rPr>
          <w:rFonts w:ascii="Times New Roman" w:hAnsi="Times New Roman" w:cs="Times New Roman"/>
          <w:noProof/>
        </w:rPr>
        <w:t> </w:t>
      </w:r>
      <w:r w:rsidRPr="003C0D71">
        <w:rPr>
          <w:rFonts w:ascii="Times New Roman" w:hAnsi="Times New Roman" w:cs="Times New Roman"/>
          <w:noProof/>
        </w:rPr>
        <w:t>April</w:t>
      </w:r>
      <w:r w:rsidR="007454D5">
        <w:rPr>
          <w:rFonts w:ascii="Times New Roman" w:hAnsi="Times New Roman" w:cs="Times New Roman"/>
          <w:noProof/>
        </w:rPr>
        <w:t> </w:t>
      </w:r>
      <w:r w:rsidRPr="003C0D71">
        <w:rPr>
          <w:rFonts w:ascii="Times New Roman" w:hAnsi="Times New Roman" w:cs="Times New Roman"/>
          <w:noProof/>
        </w:rPr>
        <w:t xml:space="preserve">2022, whereas market estimates of the size of the public securitisations market in the euro area (excluding collateralised loan obligations) at </w:t>
      </w:r>
      <w:r w:rsidR="001F4323">
        <w:rPr>
          <w:rFonts w:ascii="Times New Roman" w:hAnsi="Times New Roman" w:cs="Times New Roman"/>
          <w:noProof/>
        </w:rPr>
        <w:t xml:space="preserve">the </w:t>
      </w:r>
      <w:r w:rsidRPr="003C0D71">
        <w:rPr>
          <w:rFonts w:ascii="Times New Roman" w:hAnsi="Times New Roman" w:cs="Times New Roman"/>
          <w:noProof/>
        </w:rPr>
        <w:t>end</w:t>
      </w:r>
      <w:r w:rsidR="001F4323">
        <w:rPr>
          <w:rFonts w:ascii="Times New Roman" w:hAnsi="Times New Roman" w:cs="Times New Roman"/>
          <w:noProof/>
        </w:rPr>
        <w:t xml:space="preserve"> of </w:t>
      </w:r>
      <w:r w:rsidRPr="003C0D71">
        <w:rPr>
          <w:rFonts w:ascii="Times New Roman" w:hAnsi="Times New Roman" w:cs="Times New Roman"/>
          <w:noProof/>
        </w:rPr>
        <w:t>2021 stood at nearly EUR</w:t>
      </w:r>
      <w:r w:rsidR="00D80814">
        <w:rPr>
          <w:rFonts w:ascii="Times New Roman" w:hAnsi="Times New Roman" w:cs="Times New Roman"/>
          <w:noProof/>
        </w:rPr>
        <w:t> </w:t>
      </w:r>
      <w:r w:rsidRPr="003C0D71">
        <w:rPr>
          <w:rFonts w:ascii="Times New Roman" w:hAnsi="Times New Roman" w:cs="Times New Roman"/>
          <w:noProof/>
        </w:rPr>
        <w:t>750</w:t>
      </w:r>
      <w:r w:rsidR="00D80814">
        <w:rPr>
          <w:rFonts w:ascii="Times New Roman" w:hAnsi="Times New Roman" w:cs="Times New Roman"/>
          <w:noProof/>
        </w:rPr>
        <w:t xml:space="preserve"> </w:t>
      </w:r>
      <w:r w:rsidRPr="003C0D71">
        <w:rPr>
          <w:rFonts w:ascii="Times New Roman" w:hAnsi="Times New Roman" w:cs="Times New Roman"/>
          <w:noProof/>
        </w:rPr>
        <w:t>b</w:t>
      </w:r>
      <w:r w:rsidR="00D80814">
        <w:rPr>
          <w:rFonts w:ascii="Times New Roman" w:hAnsi="Times New Roman" w:cs="Times New Roman"/>
          <w:noProof/>
        </w:rPr>
        <w:t>illio</w:t>
      </w:r>
      <w:r w:rsidRPr="003C0D71">
        <w:rPr>
          <w:rFonts w:ascii="Times New Roman" w:hAnsi="Times New Roman" w:cs="Times New Roman"/>
          <w:noProof/>
        </w:rPr>
        <w:t>n. In addition, there is currently no official information on the exact size of the private securitisations market, due to the fact that such transactions are currently only reported to securitisation repositories on a voluntary basis</w:t>
      </w:r>
      <w:r w:rsidR="001F4323">
        <w:rPr>
          <w:rFonts w:ascii="Times New Roman" w:hAnsi="Times New Roman" w:cs="Times New Roman"/>
          <w:noProof/>
        </w:rPr>
        <w:t>,</w:t>
      </w:r>
      <w:r w:rsidRPr="003C0D71">
        <w:rPr>
          <w:rFonts w:ascii="Times New Roman" w:hAnsi="Times New Roman" w:cs="Times New Roman"/>
          <w:noProof/>
        </w:rPr>
        <w:t xml:space="preserve"> and supervisors have so far not collected such data systematically. According to the European Benchmarking Exercise for private securitisations</w:t>
      </w:r>
      <w:r w:rsidRPr="003C0D71">
        <w:rPr>
          <w:rStyle w:val="FootnoteReference"/>
          <w:rFonts w:ascii="Times New Roman" w:hAnsi="Times New Roman" w:cs="Times New Roman"/>
          <w:noProof/>
        </w:rPr>
        <w:footnoteReference w:id="19"/>
      </w:r>
      <w:r w:rsidRPr="003C0D71">
        <w:rPr>
          <w:rFonts w:ascii="Times New Roman" w:hAnsi="Times New Roman" w:cs="Times New Roman"/>
          <w:noProof/>
        </w:rPr>
        <w:t xml:space="preserve">, the overall market is estimated to </w:t>
      </w:r>
      <w:r w:rsidR="001F4323">
        <w:rPr>
          <w:rFonts w:ascii="Times New Roman" w:hAnsi="Times New Roman" w:cs="Times New Roman"/>
          <w:noProof/>
        </w:rPr>
        <w:t xml:space="preserve">be </w:t>
      </w:r>
      <w:r w:rsidRPr="003C0D71">
        <w:rPr>
          <w:rFonts w:ascii="Times New Roman" w:hAnsi="Times New Roman" w:cs="Times New Roman"/>
          <w:noProof/>
        </w:rPr>
        <w:t xml:space="preserve">at least </w:t>
      </w:r>
      <w:r w:rsidR="00D80814">
        <w:rPr>
          <w:rFonts w:ascii="Times New Roman" w:hAnsi="Times New Roman" w:cs="Times New Roman"/>
          <w:noProof/>
        </w:rPr>
        <w:t>EUR </w:t>
      </w:r>
      <w:r w:rsidRPr="003C0D71">
        <w:rPr>
          <w:rFonts w:ascii="Times New Roman" w:hAnsi="Times New Roman" w:cs="Times New Roman"/>
          <w:noProof/>
        </w:rPr>
        <w:t>189</w:t>
      </w:r>
      <w:r w:rsidR="00D80814">
        <w:rPr>
          <w:rFonts w:ascii="Times New Roman" w:hAnsi="Times New Roman" w:cs="Times New Roman"/>
          <w:noProof/>
        </w:rPr>
        <w:t> </w:t>
      </w:r>
      <w:r w:rsidRPr="003C0D71">
        <w:rPr>
          <w:rFonts w:ascii="Times New Roman" w:hAnsi="Times New Roman" w:cs="Times New Roman"/>
          <w:noProof/>
        </w:rPr>
        <w:t>b</w:t>
      </w:r>
      <w:r w:rsidR="00D80814">
        <w:rPr>
          <w:rFonts w:ascii="Times New Roman" w:hAnsi="Times New Roman" w:cs="Times New Roman"/>
          <w:noProof/>
        </w:rPr>
        <w:t>illio</w:t>
      </w:r>
      <w:r w:rsidRPr="003C0D71">
        <w:rPr>
          <w:rFonts w:ascii="Times New Roman" w:hAnsi="Times New Roman" w:cs="Times New Roman"/>
          <w:noProof/>
        </w:rPr>
        <w:t xml:space="preserve">n </w:t>
      </w:r>
      <w:r w:rsidR="001F4323">
        <w:rPr>
          <w:rFonts w:ascii="Times New Roman" w:hAnsi="Times New Roman" w:cs="Times New Roman"/>
          <w:noProof/>
        </w:rPr>
        <w:t>in</w:t>
      </w:r>
      <w:r w:rsidR="001F4323" w:rsidRPr="003C0D71">
        <w:rPr>
          <w:rFonts w:ascii="Times New Roman" w:hAnsi="Times New Roman" w:cs="Times New Roman"/>
          <w:noProof/>
        </w:rPr>
        <w:t xml:space="preserve"> </w:t>
      </w:r>
      <w:r w:rsidRPr="003C0D71">
        <w:rPr>
          <w:rFonts w:ascii="Times New Roman" w:hAnsi="Times New Roman" w:cs="Times New Roman"/>
          <w:noProof/>
        </w:rPr>
        <w:t>total commitments. This estimate, however, includes UK transactions.</w:t>
      </w:r>
    </w:p>
    <w:p w14:paraId="3312B115" w14:textId="7C67156F" w:rsidR="005C5C27" w:rsidRPr="003C0D71" w:rsidRDefault="005C5C27" w:rsidP="005C5C27">
      <w:pPr>
        <w:spacing w:before="120"/>
        <w:jc w:val="both"/>
        <w:rPr>
          <w:rFonts w:ascii="Times New Roman" w:hAnsi="Times New Roman" w:cs="Times New Roman"/>
          <w:noProof/>
          <w:lang w:val="en-IE"/>
        </w:rPr>
      </w:pPr>
      <w:r w:rsidRPr="003C0D71">
        <w:rPr>
          <w:rFonts w:ascii="Times New Roman" w:hAnsi="Times New Roman" w:cs="Times New Roman"/>
          <w:noProof/>
        </w:rPr>
        <w:t xml:space="preserve">According to market estimates, </w:t>
      </w:r>
      <w:r w:rsidR="006E4190">
        <w:rPr>
          <w:rFonts w:ascii="Times New Roman" w:hAnsi="Times New Roman" w:cs="Times New Roman"/>
          <w:noProof/>
        </w:rPr>
        <w:t>after</w:t>
      </w:r>
      <w:r w:rsidR="006E4190" w:rsidRPr="003C0D71">
        <w:rPr>
          <w:rFonts w:ascii="Times New Roman" w:hAnsi="Times New Roman" w:cs="Times New Roman"/>
          <w:noProof/>
        </w:rPr>
        <w:t xml:space="preserve"> several years of decline</w:t>
      </w:r>
      <w:r w:rsidR="006E4190" w:rsidRPr="003C0D71">
        <w:rPr>
          <w:rStyle w:val="FootnoteReference"/>
          <w:rFonts w:ascii="Times New Roman" w:hAnsi="Times New Roman" w:cs="Times New Roman"/>
          <w:noProof/>
        </w:rPr>
        <w:footnoteReference w:id="20"/>
      </w:r>
      <w:r w:rsidR="006E4190">
        <w:rPr>
          <w:rFonts w:ascii="Times New Roman" w:hAnsi="Times New Roman" w:cs="Times New Roman"/>
          <w:noProof/>
        </w:rPr>
        <w:t xml:space="preserve">, </w:t>
      </w:r>
      <w:r w:rsidRPr="003C0D71">
        <w:rPr>
          <w:rFonts w:ascii="Times New Roman" w:hAnsi="Times New Roman" w:cs="Times New Roman"/>
          <w:noProof/>
        </w:rPr>
        <w:t>the outstanding balance of securitisation transactions in the EU has been stable since the entry into application of the Securitisation Regulation in 2019.</w:t>
      </w:r>
      <w:r w:rsidRPr="003C0D71">
        <w:rPr>
          <w:rFonts w:ascii="Times New Roman" w:hAnsi="Times New Roman" w:cs="Times New Roman"/>
          <w:noProof/>
          <w:lang w:val="bg-BG"/>
        </w:rPr>
        <w:t xml:space="preserve"> </w:t>
      </w:r>
      <w:r w:rsidR="00686572">
        <w:rPr>
          <w:rFonts w:ascii="Times New Roman" w:hAnsi="Times New Roman" w:cs="Times New Roman"/>
          <w:noProof/>
          <w:lang w:val="en-IE"/>
        </w:rPr>
        <w:t>The balance</w:t>
      </w:r>
      <w:r w:rsidR="00686572" w:rsidRPr="003C0D71">
        <w:rPr>
          <w:rFonts w:ascii="Times New Roman" w:hAnsi="Times New Roman" w:cs="Times New Roman"/>
          <w:noProof/>
          <w:lang w:val="en-IE"/>
        </w:rPr>
        <w:t xml:space="preserve"> </w:t>
      </w:r>
      <w:r w:rsidRPr="003C0D71">
        <w:rPr>
          <w:rFonts w:ascii="Times New Roman" w:hAnsi="Times New Roman" w:cs="Times New Roman"/>
          <w:noProof/>
          <w:lang w:val="en-IE"/>
        </w:rPr>
        <w:t xml:space="preserve">decreased by 11.9% between 2015 and </w:t>
      </w:r>
      <w:r w:rsidR="006E4190">
        <w:rPr>
          <w:rFonts w:ascii="Times New Roman" w:hAnsi="Times New Roman" w:cs="Times New Roman"/>
          <w:noProof/>
          <w:lang w:val="en-IE"/>
        </w:rPr>
        <w:t xml:space="preserve">the end of </w:t>
      </w:r>
      <w:r w:rsidRPr="003C0D71">
        <w:rPr>
          <w:rFonts w:ascii="Times New Roman" w:hAnsi="Times New Roman" w:cs="Times New Roman"/>
          <w:noProof/>
          <w:lang w:val="en-IE"/>
        </w:rPr>
        <w:t>2021, exhibiting a similar dynamic as the UK market, while the U</w:t>
      </w:r>
      <w:r w:rsidR="00982674">
        <w:rPr>
          <w:rFonts w:ascii="Times New Roman" w:hAnsi="Times New Roman" w:cs="Times New Roman"/>
          <w:noProof/>
          <w:lang w:val="en-IE"/>
        </w:rPr>
        <w:t>S</w:t>
      </w:r>
      <w:r w:rsidRPr="003C0D71">
        <w:rPr>
          <w:rFonts w:ascii="Times New Roman" w:hAnsi="Times New Roman" w:cs="Times New Roman"/>
          <w:noProof/>
          <w:lang w:val="en-IE"/>
        </w:rPr>
        <w:t xml:space="preserve"> securitisation market grew </w:t>
      </w:r>
      <w:r w:rsidR="006E4190">
        <w:rPr>
          <w:rFonts w:ascii="Times New Roman" w:hAnsi="Times New Roman" w:cs="Times New Roman"/>
          <w:noProof/>
          <w:lang w:val="en-IE"/>
        </w:rPr>
        <w:t>substantially during</w:t>
      </w:r>
      <w:r w:rsidRPr="003C0D71">
        <w:rPr>
          <w:rFonts w:ascii="Times New Roman" w:hAnsi="Times New Roman" w:cs="Times New Roman"/>
          <w:noProof/>
          <w:lang w:val="en-IE"/>
        </w:rPr>
        <w:t xml:space="preserve"> this period</w:t>
      </w:r>
      <w:r w:rsidRPr="003C0D71">
        <w:rPr>
          <w:rStyle w:val="FootnoteReference"/>
          <w:rFonts w:ascii="Times New Roman" w:hAnsi="Times New Roman" w:cs="Times New Roman"/>
          <w:noProof/>
          <w:lang w:val="en-IE"/>
        </w:rPr>
        <w:footnoteReference w:id="21"/>
      </w:r>
      <w:r w:rsidRPr="003C0D71">
        <w:rPr>
          <w:rFonts w:ascii="Times New Roman" w:hAnsi="Times New Roman" w:cs="Times New Roman"/>
          <w:noProof/>
          <w:lang w:val="en-IE"/>
        </w:rPr>
        <w:t xml:space="preserve">. The dominant type of securitisation is the residential mortgage-backed security, which represented nearly 60% of the EU market at the end of 2021, followed </w:t>
      </w:r>
      <w:r w:rsidR="006E4190">
        <w:rPr>
          <w:rFonts w:ascii="Times New Roman" w:hAnsi="Times New Roman" w:cs="Times New Roman"/>
          <w:noProof/>
          <w:lang w:val="en-IE"/>
        </w:rPr>
        <w:t xml:space="preserve">by </w:t>
      </w:r>
      <w:r w:rsidRPr="003C0D71">
        <w:rPr>
          <w:rFonts w:ascii="Times New Roman" w:hAnsi="Times New Roman" w:cs="Times New Roman"/>
          <w:noProof/>
          <w:lang w:val="en-IE"/>
        </w:rPr>
        <w:t xml:space="preserve">securitisation backed up by </w:t>
      </w:r>
      <w:r w:rsidRPr="006E4190">
        <w:rPr>
          <w:rFonts w:ascii="Times New Roman" w:hAnsi="Times New Roman" w:cs="Times New Roman"/>
          <w:noProof/>
          <w:lang w:val="en-IE"/>
        </w:rPr>
        <w:t>SME</w:t>
      </w:r>
      <w:r w:rsidRPr="003C0D71">
        <w:rPr>
          <w:rFonts w:ascii="Times New Roman" w:hAnsi="Times New Roman" w:cs="Times New Roman"/>
          <w:noProof/>
          <w:lang w:val="en-IE"/>
        </w:rPr>
        <w:t xml:space="preserve"> loans, consumer credit and auto loans</w:t>
      </w:r>
      <w:r w:rsidR="006E4190">
        <w:rPr>
          <w:rFonts w:ascii="Times New Roman" w:hAnsi="Times New Roman" w:cs="Times New Roman"/>
          <w:noProof/>
          <w:lang w:val="en-IE"/>
        </w:rPr>
        <w:t>.</w:t>
      </w:r>
      <w:r w:rsidRPr="003C0D71">
        <w:rPr>
          <w:rFonts w:ascii="Times New Roman" w:hAnsi="Times New Roman" w:cs="Times New Roman"/>
          <w:noProof/>
          <w:lang w:val="en-IE"/>
        </w:rPr>
        <w:t xml:space="preserve"> </w:t>
      </w:r>
    </w:p>
    <w:p w14:paraId="6F2041E7" w14:textId="3F3D8F49" w:rsidR="00175683" w:rsidRPr="003C0D71" w:rsidRDefault="00134A50" w:rsidP="00175683">
      <w:pPr>
        <w:spacing w:before="120"/>
        <w:jc w:val="both"/>
        <w:rPr>
          <w:rFonts w:ascii="Times New Roman" w:hAnsi="Times New Roman" w:cs="Times New Roman"/>
          <w:noProof/>
          <w:lang w:val="en-IE"/>
        </w:rPr>
      </w:pPr>
      <w:r>
        <w:rPr>
          <w:rFonts w:ascii="Times New Roman" w:hAnsi="Times New Roman" w:cs="Times New Roman"/>
          <w:noProof/>
          <w:lang w:val="en-IE"/>
        </w:rPr>
        <w:t>A</w:t>
      </w:r>
      <w:r w:rsidRPr="003C0D71">
        <w:rPr>
          <w:rFonts w:ascii="Times New Roman" w:hAnsi="Times New Roman" w:cs="Times New Roman"/>
          <w:noProof/>
          <w:lang w:val="en-IE"/>
        </w:rPr>
        <w:t xml:space="preserve">n alternative source </w:t>
      </w:r>
      <w:r>
        <w:rPr>
          <w:rFonts w:ascii="Times New Roman" w:hAnsi="Times New Roman" w:cs="Times New Roman"/>
          <w:noProof/>
          <w:lang w:val="en-IE"/>
        </w:rPr>
        <w:t xml:space="preserve">of </w:t>
      </w:r>
      <w:r w:rsidRPr="003C0D71">
        <w:rPr>
          <w:rFonts w:ascii="Times New Roman" w:hAnsi="Times New Roman" w:cs="Times New Roman"/>
          <w:noProof/>
          <w:lang w:val="en-IE"/>
        </w:rPr>
        <w:t xml:space="preserve">data </w:t>
      </w:r>
      <w:r>
        <w:rPr>
          <w:rFonts w:ascii="Times New Roman" w:hAnsi="Times New Roman" w:cs="Times New Roman"/>
          <w:noProof/>
          <w:lang w:val="en-IE"/>
        </w:rPr>
        <w:t>is t</w:t>
      </w:r>
      <w:r w:rsidR="002C55A1" w:rsidRPr="003C0D71">
        <w:rPr>
          <w:rFonts w:ascii="Times New Roman" w:hAnsi="Times New Roman" w:cs="Times New Roman"/>
          <w:noProof/>
          <w:lang w:val="en-IE"/>
        </w:rPr>
        <w:t xml:space="preserve">he common reporting for consolidated, sub-consolidated and solo capital requirements (COREP), which includes true-sale securitisations, synthetic securitisations and asset-backed commercial papers held or originated by </w:t>
      </w:r>
      <w:r w:rsidR="00932C40" w:rsidRPr="003C0D71">
        <w:rPr>
          <w:rFonts w:ascii="Times New Roman" w:hAnsi="Times New Roman" w:cs="Times New Roman"/>
          <w:noProof/>
          <w:lang w:val="en-IE"/>
        </w:rPr>
        <w:t>banks</w:t>
      </w:r>
      <w:r>
        <w:rPr>
          <w:rFonts w:ascii="Times New Roman" w:hAnsi="Times New Roman" w:cs="Times New Roman"/>
          <w:noProof/>
          <w:lang w:val="en-IE"/>
        </w:rPr>
        <w:t xml:space="preserve">. This source </w:t>
      </w:r>
      <w:r w:rsidR="001B35B3" w:rsidRPr="003C0D71">
        <w:rPr>
          <w:rFonts w:ascii="Times New Roman" w:hAnsi="Times New Roman" w:cs="Times New Roman"/>
          <w:noProof/>
          <w:lang w:val="en-IE"/>
        </w:rPr>
        <w:t>has the benefit of including private transactions</w:t>
      </w:r>
      <w:r>
        <w:rPr>
          <w:rFonts w:ascii="Times New Roman" w:hAnsi="Times New Roman" w:cs="Times New Roman"/>
          <w:noProof/>
          <w:lang w:val="en-IE"/>
        </w:rPr>
        <w:t>,</w:t>
      </w:r>
      <w:r w:rsidR="001B35B3" w:rsidRPr="003C0D71">
        <w:rPr>
          <w:rFonts w:ascii="Times New Roman" w:hAnsi="Times New Roman" w:cs="Times New Roman"/>
          <w:noProof/>
          <w:lang w:val="en-IE"/>
        </w:rPr>
        <w:t xml:space="preserve"> albeit with the caveat that transactions without a participating bank are not </w:t>
      </w:r>
      <w:r>
        <w:rPr>
          <w:rFonts w:ascii="Times New Roman" w:hAnsi="Times New Roman" w:cs="Times New Roman"/>
          <w:noProof/>
          <w:lang w:val="en-IE"/>
        </w:rPr>
        <w:t>within its</w:t>
      </w:r>
      <w:r w:rsidRPr="003C0D71">
        <w:rPr>
          <w:rFonts w:ascii="Times New Roman" w:hAnsi="Times New Roman" w:cs="Times New Roman"/>
          <w:noProof/>
          <w:lang w:val="en-IE"/>
        </w:rPr>
        <w:t xml:space="preserve"> </w:t>
      </w:r>
      <w:r w:rsidR="001B35B3" w:rsidRPr="003C0D71">
        <w:rPr>
          <w:rFonts w:ascii="Times New Roman" w:hAnsi="Times New Roman" w:cs="Times New Roman"/>
          <w:noProof/>
          <w:lang w:val="en-IE"/>
        </w:rPr>
        <w:t>scope. According to this data source,</w:t>
      </w:r>
      <w:r w:rsidR="002C55A1" w:rsidRPr="003C0D71">
        <w:rPr>
          <w:rFonts w:ascii="Times New Roman" w:hAnsi="Times New Roman" w:cs="Times New Roman"/>
          <w:noProof/>
          <w:lang w:val="en-IE"/>
        </w:rPr>
        <w:t xml:space="preserve"> the outstanding amount of transactions increased from EUR</w:t>
      </w:r>
      <w:r w:rsidR="00D80814">
        <w:rPr>
          <w:rFonts w:ascii="Times New Roman" w:hAnsi="Times New Roman" w:cs="Times New Roman"/>
          <w:noProof/>
          <w:lang w:val="en-IE"/>
        </w:rPr>
        <w:t> </w:t>
      </w:r>
      <w:r w:rsidR="002C55A1" w:rsidRPr="003C0D71">
        <w:rPr>
          <w:rFonts w:ascii="Times New Roman" w:hAnsi="Times New Roman" w:cs="Times New Roman"/>
          <w:noProof/>
          <w:lang w:val="en-IE"/>
        </w:rPr>
        <w:t>1</w:t>
      </w:r>
      <w:r w:rsidR="00D80814">
        <w:rPr>
          <w:rFonts w:ascii="Times New Roman" w:hAnsi="Times New Roman" w:cs="Times New Roman"/>
          <w:noProof/>
          <w:lang w:val="en-IE"/>
        </w:rPr>
        <w:t> </w:t>
      </w:r>
      <w:r w:rsidR="002C55A1" w:rsidRPr="003C0D71">
        <w:rPr>
          <w:rFonts w:ascii="Times New Roman" w:hAnsi="Times New Roman" w:cs="Times New Roman"/>
          <w:noProof/>
          <w:lang w:val="en-IE"/>
        </w:rPr>
        <w:t>080</w:t>
      </w:r>
      <w:r w:rsidR="00D80814">
        <w:rPr>
          <w:rFonts w:ascii="Times New Roman" w:hAnsi="Times New Roman" w:cs="Times New Roman"/>
          <w:noProof/>
          <w:lang w:val="en-IE"/>
        </w:rPr>
        <w:t xml:space="preserve"> </w:t>
      </w:r>
      <w:r w:rsidR="002C55A1" w:rsidRPr="003C0D71">
        <w:rPr>
          <w:rFonts w:ascii="Times New Roman" w:hAnsi="Times New Roman" w:cs="Times New Roman"/>
          <w:noProof/>
          <w:lang w:val="en-IE"/>
        </w:rPr>
        <w:t>m</w:t>
      </w:r>
      <w:r w:rsidR="00D80814">
        <w:rPr>
          <w:rFonts w:ascii="Times New Roman" w:hAnsi="Times New Roman" w:cs="Times New Roman"/>
          <w:noProof/>
          <w:lang w:val="en-IE"/>
        </w:rPr>
        <w:t>illio</w:t>
      </w:r>
      <w:r w:rsidR="002C55A1" w:rsidRPr="003C0D71">
        <w:rPr>
          <w:rFonts w:ascii="Times New Roman" w:hAnsi="Times New Roman" w:cs="Times New Roman"/>
          <w:noProof/>
          <w:lang w:val="en-IE"/>
        </w:rPr>
        <w:t>n in 2018 to EUR</w:t>
      </w:r>
      <w:r w:rsidR="00D80814">
        <w:rPr>
          <w:rFonts w:ascii="Times New Roman" w:hAnsi="Times New Roman" w:cs="Times New Roman"/>
          <w:noProof/>
          <w:lang w:val="en-IE"/>
        </w:rPr>
        <w:t> </w:t>
      </w:r>
      <w:r w:rsidR="002C55A1" w:rsidRPr="003C0D71">
        <w:rPr>
          <w:rFonts w:ascii="Times New Roman" w:hAnsi="Times New Roman" w:cs="Times New Roman"/>
          <w:noProof/>
          <w:lang w:val="en-IE"/>
        </w:rPr>
        <w:t>1</w:t>
      </w:r>
      <w:r w:rsidR="00D80814">
        <w:rPr>
          <w:rFonts w:ascii="Times New Roman" w:hAnsi="Times New Roman" w:cs="Times New Roman"/>
          <w:noProof/>
          <w:lang w:val="en-IE"/>
        </w:rPr>
        <w:t> </w:t>
      </w:r>
      <w:r w:rsidR="002C55A1" w:rsidRPr="003C0D71">
        <w:rPr>
          <w:rFonts w:ascii="Times New Roman" w:hAnsi="Times New Roman" w:cs="Times New Roman"/>
          <w:noProof/>
          <w:lang w:val="en-IE"/>
        </w:rPr>
        <w:t>300</w:t>
      </w:r>
      <w:r w:rsidR="00D80814">
        <w:rPr>
          <w:rFonts w:ascii="Times New Roman" w:hAnsi="Times New Roman" w:cs="Times New Roman"/>
          <w:noProof/>
          <w:lang w:val="en-IE"/>
        </w:rPr>
        <w:t xml:space="preserve"> </w:t>
      </w:r>
      <w:r w:rsidR="002C55A1" w:rsidRPr="003C0D71">
        <w:rPr>
          <w:rFonts w:ascii="Times New Roman" w:hAnsi="Times New Roman" w:cs="Times New Roman"/>
          <w:noProof/>
          <w:lang w:val="en-IE"/>
        </w:rPr>
        <w:t>m</w:t>
      </w:r>
      <w:r w:rsidR="00D80814">
        <w:rPr>
          <w:rFonts w:ascii="Times New Roman" w:hAnsi="Times New Roman" w:cs="Times New Roman"/>
          <w:noProof/>
          <w:lang w:val="en-IE"/>
        </w:rPr>
        <w:t>illio</w:t>
      </w:r>
      <w:r w:rsidR="002C55A1" w:rsidRPr="003C0D71">
        <w:rPr>
          <w:rFonts w:ascii="Times New Roman" w:hAnsi="Times New Roman" w:cs="Times New Roman"/>
          <w:noProof/>
          <w:lang w:val="en-IE"/>
        </w:rPr>
        <w:t>n in 2021</w:t>
      </w:r>
      <w:r w:rsidR="001B35B3" w:rsidRPr="003C0D71">
        <w:rPr>
          <w:rFonts w:ascii="Times New Roman" w:hAnsi="Times New Roman" w:cs="Times New Roman"/>
          <w:noProof/>
          <w:lang w:val="en-IE"/>
        </w:rPr>
        <w:t xml:space="preserve">, suggesting an increase in securitisation activity among banks since the Securitisation Regulation </w:t>
      </w:r>
      <w:r w:rsidR="00B75872">
        <w:rPr>
          <w:rFonts w:ascii="Times New Roman" w:hAnsi="Times New Roman" w:cs="Times New Roman"/>
          <w:noProof/>
          <w:lang w:val="en-IE"/>
        </w:rPr>
        <w:t>became applicable</w:t>
      </w:r>
      <w:r w:rsidR="002C55A1" w:rsidRPr="003C0D71">
        <w:rPr>
          <w:rFonts w:ascii="Times New Roman" w:hAnsi="Times New Roman" w:cs="Times New Roman"/>
          <w:noProof/>
          <w:lang w:val="en-IE"/>
        </w:rPr>
        <w:t>.</w:t>
      </w:r>
    </w:p>
    <w:p w14:paraId="438D1B80" w14:textId="77777777" w:rsidR="00175683" w:rsidRPr="003C0D71" w:rsidRDefault="00175683" w:rsidP="00175683">
      <w:pPr>
        <w:pStyle w:val="Heading1"/>
        <w:numPr>
          <w:ilvl w:val="0"/>
          <w:numId w:val="2"/>
        </w:numPr>
        <w:rPr>
          <w:rFonts w:ascii="Times New Roman" w:hAnsi="Times New Roman" w:cs="Times New Roman"/>
          <w:noProof/>
          <w:color w:val="auto"/>
        </w:rPr>
      </w:pPr>
      <w:r w:rsidRPr="003C0D71">
        <w:rPr>
          <w:rFonts w:ascii="Times New Roman" w:hAnsi="Times New Roman" w:cs="Times New Roman"/>
          <w:noProof/>
          <w:color w:val="auto"/>
        </w:rPr>
        <w:t xml:space="preserve"> </w:t>
      </w:r>
      <w:bookmarkStart w:id="16" w:name="_Toc115346205"/>
      <w:r w:rsidRPr="003C0D71">
        <w:rPr>
          <w:rFonts w:ascii="Times New Roman" w:hAnsi="Times New Roman" w:cs="Times New Roman"/>
          <w:noProof/>
          <w:color w:val="auto"/>
        </w:rPr>
        <w:t>The effects of the Regulation</w:t>
      </w:r>
      <w:bookmarkEnd w:id="15"/>
      <w:bookmarkEnd w:id="16"/>
    </w:p>
    <w:p w14:paraId="1764DC96" w14:textId="77777777" w:rsidR="004100C8" w:rsidRPr="003C0D71" w:rsidRDefault="004100C8" w:rsidP="00175683">
      <w:pPr>
        <w:rPr>
          <w:rFonts w:ascii="Times New Roman" w:hAnsi="Times New Roman" w:cs="Times New Roman"/>
          <w:b/>
          <w:noProof/>
          <w:sz w:val="24"/>
        </w:rPr>
      </w:pPr>
      <w:r w:rsidRPr="003C0D71">
        <w:rPr>
          <w:rFonts w:ascii="Times New Roman" w:hAnsi="Times New Roman" w:cs="Times New Roman"/>
          <w:b/>
          <w:noProof/>
          <w:sz w:val="24"/>
        </w:rPr>
        <w:t>Background and findings</w:t>
      </w:r>
    </w:p>
    <w:p w14:paraId="136F2D3A" w14:textId="09B50227" w:rsidR="00175683" w:rsidRPr="003C0D71" w:rsidRDefault="00175683" w:rsidP="00175683">
      <w:pPr>
        <w:rPr>
          <w:rFonts w:ascii="Times New Roman" w:hAnsi="Times New Roman" w:cs="Times New Roman"/>
          <w:b/>
          <w:i/>
          <w:noProof/>
          <w:sz w:val="24"/>
        </w:rPr>
      </w:pPr>
      <w:r w:rsidRPr="003C0D71">
        <w:rPr>
          <w:rFonts w:ascii="Times New Roman" w:hAnsi="Times New Roman" w:cs="Times New Roman"/>
          <w:b/>
          <w:i/>
          <w:noProof/>
          <w:sz w:val="24"/>
        </w:rPr>
        <w:t xml:space="preserve">Impact on the functioning of the market for securitisation in the </w:t>
      </w:r>
      <w:r w:rsidR="004C18E0">
        <w:rPr>
          <w:rFonts w:ascii="Times New Roman" w:hAnsi="Times New Roman" w:cs="Times New Roman"/>
          <w:b/>
          <w:i/>
          <w:noProof/>
          <w:sz w:val="24"/>
        </w:rPr>
        <w:t>EU</w:t>
      </w:r>
    </w:p>
    <w:p w14:paraId="2B26CF88" w14:textId="79F64444" w:rsidR="00175683" w:rsidRDefault="00B75872" w:rsidP="00175683">
      <w:pPr>
        <w:jc w:val="both"/>
        <w:rPr>
          <w:rFonts w:ascii="Times New Roman" w:hAnsi="Times New Roman" w:cs="Times New Roman"/>
          <w:noProof/>
        </w:rPr>
      </w:pPr>
      <w:r>
        <w:rPr>
          <w:rFonts w:ascii="Times New Roman" w:hAnsi="Times New Roman" w:cs="Times New Roman"/>
          <w:noProof/>
        </w:rPr>
        <w:t>M</w:t>
      </w:r>
      <w:r w:rsidR="00175683" w:rsidRPr="003C0D71">
        <w:rPr>
          <w:rFonts w:ascii="Times New Roman" w:hAnsi="Times New Roman" w:cs="Times New Roman"/>
          <w:noProof/>
        </w:rPr>
        <w:t xml:space="preserve">ost respondents </w:t>
      </w:r>
      <w:r>
        <w:rPr>
          <w:rFonts w:ascii="Times New Roman" w:hAnsi="Times New Roman" w:cs="Times New Roman"/>
          <w:noProof/>
        </w:rPr>
        <w:t xml:space="preserve">to the consultation </w:t>
      </w:r>
      <w:r w:rsidR="00175683" w:rsidRPr="003C0D71">
        <w:rPr>
          <w:rFonts w:ascii="Times New Roman" w:hAnsi="Times New Roman" w:cs="Times New Roman"/>
          <w:noProof/>
        </w:rPr>
        <w:t xml:space="preserve">were generally supportive of the existing legal framework. Respondents also considered that the Securitisation Regulation had only </w:t>
      </w:r>
      <w:r>
        <w:rPr>
          <w:rFonts w:ascii="Times New Roman" w:hAnsi="Times New Roman" w:cs="Times New Roman"/>
          <w:noProof/>
        </w:rPr>
        <w:t>applied</w:t>
      </w:r>
      <w:r w:rsidR="00175683" w:rsidRPr="003C0D71">
        <w:rPr>
          <w:rFonts w:ascii="Times New Roman" w:hAnsi="Times New Roman" w:cs="Times New Roman"/>
          <w:noProof/>
        </w:rPr>
        <w:t xml:space="preserve"> for a relatively short period of time and </w:t>
      </w:r>
      <w:r w:rsidR="0048467D">
        <w:rPr>
          <w:rFonts w:ascii="Times New Roman" w:hAnsi="Times New Roman" w:cs="Times New Roman"/>
          <w:noProof/>
        </w:rPr>
        <w:t xml:space="preserve">together with </w:t>
      </w:r>
      <w:r w:rsidR="00175683" w:rsidRPr="003C0D71">
        <w:rPr>
          <w:rFonts w:ascii="Times New Roman" w:hAnsi="Times New Roman" w:cs="Times New Roman"/>
          <w:noProof/>
        </w:rPr>
        <w:t xml:space="preserve">exogenous factors, such as the COVID-19 pandemic and increased liquidity through monetary policy instruments, </w:t>
      </w:r>
      <w:r w:rsidR="0048467D">
        <w:rPr>
          <w:rFonts w:ascii="Times New Roman" w:hAnsi="Times New Roman" w:cs="Times New Roman"/>
          <w:noProof/>
        </w:rPr>
        <w:t xml:space="preserve">this </w:t>
      </w:r>
      <w:r w:rsidR="00175683" w:rsidRPr="003C0D71">
        <w:rPr>
          <w:rFonts w:ascii="Times New Roman" w:hAnsi="Times New Roman" w:cs="Times New Roman"/>
          <w:noProof/>
        </w:rPr>
        <w:t xml:space="preserve">made it difficult to fully assess the effects. </w:t>
      </w:r>
    </w:p>
    <w:p w14:paraId="08A0C99F" w14:textId="77777777" w:rsidR="00325EBC" w:rsidRDefault="00325EBC" w:rsidP="00617F0D">
      <w:pPr>
        <w:jc w:val="both"/>
        <w:rPr>
          <w:rFonts w:ascii="Times New Roman" w:hAnsi="Times New Roman" w:cs="Times New Roman"/>
          <w:b/>
          <w:noProof/>
        </w:rPr>
      </w:pPr>
    </w:p>
    <w:p w14:paraId="55556E57" w14:textId="77777777" w:rsidR="00325EBC" w:rsidRDefault="00325EBC" w:rsidP="00617F0D">
      <w:pPr>
        <w:jc w:val="both"/>
        <w:rPr>
          <w:rFonts w:ascii="Times New Roman" w:hAnsi="Times New Roman" w:cs="Times New Roman"/>
          <w:b/>
          <w:noProof/>
        </w:rPr>
      </w:pPr>
    </w:p>
    <w:p w14:paraId="70021643" w14:textId="77777777" w:rsidR="00325EBC" w:rsidRDefault="00325EBC" w:rsidP="00617F0D">
      <w:pPr>
        <w:jc w:val="both"/>
        <w:rPr>
          <w:rFonts w:ascii="Times New Roman" w:hAnsi="Times New Roman" w:cs="Times New Roman"/>
          <w:b/>
          <w:noProof/>
        </w:rPr>
      </w:pPr>
    </w:p>
    <w:p w14:paraId="44C0A41A" w14:textId="77777777" w:rsidR="00325EBC" w:rsidRDefault="00325EBC" w:rsidP="00617F0D">
      <w:pPr>
        <w:jc w:val="both"/>
        <w:rPr>
          <w:rFonts w:ascii="Times New Roman" w:hAnsi="Times New Roman" w:cs="Times New Roman"/>
          <w:b/>
          <w:noProof/>
        </w:rPr>
      </w:pPr>
    </w:p>
    <w:p w14:paraId="7C15921D" w14:textId="77777777" w:rsidR="00325EBC" w:rsidRDefault="00325EBC" w:rsidP="00617F0D">
      <w:pPr>
        <w:jc w:val="both"/>
        <w:rPr>
          <w:rFonts w:ascii="Times New Roman" w:hAnsi="Times New Roman" w:cs="Times New Roman"/>
          <w:b/>
          <w:noProof/>
        </w:rPr>
      </w:pPr>
    </w:p>
    <w:p w14:paraId="47CD4609" w14:textId="77777777" w:rsidR="00325EBC" w:rsidRDefault="00325EBC" w:rsidP="00617F0D">
      <w:pPr>
        <w:jc w:val="both"/>
        <w:rPr>
          <w:rFonts w:ascii="Times New Roman" w:hAnsi="Times New Roman" w:cs="Times New Roman"/>
          <w:b/>
          <w:noProof/>
        </w:rPr>
      </w:pPr>
    </w:p>
    <w:p w14:paraId="3174A30B" w14:textId="77777777" w:rsidR="00325EBC" w:rsidRDefault="00325EBC" w:rsidP="00617F0D">
      <w:pPr>
        <w:jc w:val="both"/>
        <w:rPr>
          <w:rFonts w:ascii="Times New Roman" w:hAnsi="Times New Roman" w:cs="Times New Roman"/>
          <w:b/>
          <w:noProof/>
        </w:rPr>
      </w:pPr>
    </w:p>
    <w:p w14:paraId="2324EDB4" w14:textId="77777777" w:rsidR="00325EBC" w:rsidRDefault="00325EBC" w:rsidP="00617F0D">
      <w:pPr>
        <w:jc w:val="both"/>
        <w:rPr>
          <w:rFonts w:ascii="Times New Roman" w:hAnsi="Times New Roman" w:cs="Times New Roman"/>
          <w:b/>
          <w:noProof/>
        </w:rPr>
      </w:pPr>
    </w:p>
    <w:p w14:paraId="0B333A85" w14:textId="77777777" w:rsidR="00325EBC" w:rsidRDefault="00325EBC" w:rsidP="00617F0D">
      <w:pPr>
        <w:jc w:val="both"/>
        <w:rPr>
          <w:rFonts w:ascii="Times New Roman" w:hAnsi="Times New Roman" w:cs="Times New Roman"/>
          <w:b/>
          <w:noProof/>
        </w:rPr>
      </w:pPr>
    </w:p>
    <w:p w14:paraId="08274FFE" w14:textId="5ABFCD48" w:rsidR="00504488" w:rsidRDefault="003C0D71" w:rsidP="00617F0D">
      <w:pPr>
        <w:jc w:val="both"/>
        <w:rPr>
          <w:rFonts w:ascii="Times New Roman" w:hAnsi="Times New Roman" w:cs="Times New Roman"/>
          <w:noProof/>
        </w:rPr>
      </w:pPr>
      <w:r w:rsidRPr="003C0D71">
        <w:rPr>
          <w:rFonts w:ascii="Times New Roman" w:hAnsi="Times New Roman" w:cs="Times New Roman"/>
          <w:b/>
          <w:noProof/>
        </w:rPr>
        <w:t>Figure</w:t>
      </w:r>
      <w:r w:rsidR="00617F0D" w:rsidRPr="003C0D71">
        <w:rPr>
          <w:rFonts w:ascii="Times New Roman" w:hAnsi="Times New Roman" w:cs="Times New Roman"/>
          <w:b/>
          <w:noProof/>
        </w:rPr>
        <w:t xml:space="preserve"> </w:t>
      </w:r>
      <w:r w:rsidRPr="003C0D71">
        <w:rPr>
          <w:rFonts w:ascii="Times New Roman" w:hAnsi="Times New Roman" w:cs="Times New Roman"/>
          <w:b/>
          <w:noProof/>
        </w:rPr>
        <w:t>1</w:t>
      </w:r>
      <w:r w:rsidR="00617F0D" w:rsidRPr="003C0D71">
        <w:rPr>
          <w:rFonts w:ascii="Times New Roman" w:hAnsi="Times New Roman" w:cs="Times New Roman"/>
          <w:noProof/>
        </w:rPr>
        <w:t>: Summary of responses to Question 1: Has the Securitisation Regulation been successful in achieving the following objectives</w:t>
      </w:r>
      <w:r>
        <w:rPr>
          <w:rFonts w:ascii="Times New Roman" w:hAnsi="Times New Roman" w:cs="Times New Roman"/>
          <w:noProof/>
        </w:rPr>
        <w:t>?</w:t>
      </w:r>
    </w:p>
    <w:p w14:paraId="28EE8737" w14:textId="61C61BD9" w:rsidR="00504488" w:rsidRDefault="00617F0D" w:rsidP="00617F0D">
      <w:pPr>
        <w:jc w:val="both"/>
        <w:rPr>
          <w:rFonts w:ascii="Times New Roman" w:hAnsi="Times New Roman" w:cs="Times New Roman"/>
          <w:noProof/>
        </w:rPr>
      </w:pPr>
      <w:r w:rsidRPr="003C0D71">
        <w:rPr>
          <w:noProof/>
          <w:lang w:eastAsia="en-GB"/>
        </w:rPr>
        <w:drawing>
          <wp:inline distT="0" distB="0" distL="0" distR="0" wp14:anchorId="6FF123A8" wp14:editId="10F1E73C">
            <wp:extent cx="5731510" cy="2900680"/>
            <wp:effectExtent l="0" t="0" r="2540" b="139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4B65EE2" w14:textId="4FA5DBCF" w:rsidR="00175683" w:rsidRPr="003C0D71" w:rsidRDefault="00175683" w:rsidP="00617F0D">
      <w:pPr>
        <w:jc w:val="both"/>
        <w:rPr>
          <w:rFonts w:ascii="Times New Roman" w:hAnsi="Times New Roman" w:cs="Times New Roman"/>
          <w:noProof/>
        </w:rPr>
      </w:pPr>
      <w:r w:rsidRPr="003C0D71">
        <w:rPr>
          <w:rFonts w:ascii="Times New Roman" w:hAnsi="Times New Roman" w:cs="Times New Roman"/>
          <w:noProof/>
        </w:rPr>
        <w:t xml:space="preserve">According to respondents, the new legal framework has been most effective </w:t>
      </w:r>
      <w:r w:rsidRPr="0048467D">
        <w:rPr>
          <w:rFonts w:ascii="Times New Roman" w:hAnsi="Times New Roman" w:cs="Times New Roman"/>
          <w:noProof/>
        </w:rPr>
        <w:t>with regard to</w:t>
      </w:r>
      <w:r w:rsidRPr="003C0D71">
        <w:rPr>
          <w:rFonts w:ascii="Times New Roman" w:hAnsi="Times New Roman" w:cs="Times New Roman"/>
          <w:noProof/>
        </w:rPr>
        <w:t xml:space="preserve"> the policy aim of </w:t>
      </w:r>
      <w:r w:rsidRPr="003C0D71">
        <w:rPr>
          <w:rFonts w:ascii="Times New Roman" w:hAnsi="Times New Roman" w:cs="Times New Roman"/>
          <w:b/>
          <w:noProof/>
        </w:rPr>
        <w:t>providing a high level of investor protection</w:t>
      </w:r>
      <w:r w:rsidRPr="003C0D71">
        <w:rPr>
          <w:rFonts w:ascii="Times New Roman" w:hAnsi="Times New Roman" w:cs="Times New Roman"/>
          <w:noProof/>
        </w:rPr>
        <w:t xml:space="preserve"> through risk retention and information availability. Some respondents questioned the proportionality of the compliance costs. It was generally acknowledged that the Regulation had facilitated further </w:t>
      </w:r>
      <w:r w:rsidRPr="003C0D71">
        <w:rPr>
          <w:rFonts w:ascii="Times New Roman" w:hAnsi="Times New Roman" w:cs="Times New Roman"/>
          <w:b/>
          <w:noProof/>
        </w:rPr>
        <w:t>integration,</w:t>
      </w:r>
      <w:r w:rsidRPr="003C0D71">
        <w:rPr>
          <w:rFonts w:ascii="Times New Roman" w:hAnsi="Times New Roman" w:cs="Times New Roman"/>
          <w:noProof/>
        </w:rPr>
        <w:t xml:space="preserve"> but that the EU securitisation market was still developing. However, respondents noted that the market remains fragmented between Member States, which seems to limit the economies of scale that </w:t>
      </w:r>
      <w:r w:rsidR="0048467D">
        <w:rPr>
          <w:rFonts w:ascii="Times New Roman" w:hAnsi="Times New Roman" w:cs="Times New Roman"/>
          <w:noProof/>
        </w:rPr>
        <w:t>could</w:t>
      </w:r>
      <w:r w:rsidR="0048467D" w:rsidRPr="003C0D71">
        <w:rPr>
          <w:rFonts w:ascii="Times New Roman" w:hAnsi="Times New Roman" w:cs="Times New Roman"/>
          <w:noProof/>
        </w:rPr>
        <w:t xml:space="preserve"> </w:t>
      </w:r>
      <w:r w:rsidRPr="003C0D71">
        <w:rPr>
          <w:rFonts w:ascii="Times New Roman" w:hAnsi="Times New Roman" w:cs="Times New Roman"/>
          <w:noProof/>
        </w:rPr>
        <w:t xml:space="preserve">be achieved. Respondents also highlighted that further integration of the EU securitisation market depends on factors other than the Securitisation Regulation itself, such as monetary policy, supervisory infrastructure and progress on the broader </w:t>
      </w:r>
      <w:r w:rsidRPr="003C0D71">
        <w:rPr>
          <w:rFonts w:ascii="Times New Roman" w:eastAsia="Times New Roman" w:hAnsi="Times New Roman" w:cs="Times New Roman"/>
          <w:noProof/>
        </w:rPr>
        <w:t>Capital Markets Union</w:t>
      </w:r>
      <w:r w:rsidRPr="003C0D71">
        <w:rPr>
          <w:rFonts w:ascii="Times New Roman" w:hAnsi="Times New Roman" w:cs="Times New Roman"/>
          <w:noProof/>
        </w:rPr>
        <w:t xml:space="preserve"> </w:t>
      </w:r>
      <w:r w:rsidR="00443B8F">
        <w:rPr>
          <w:rFonts w:ascii="Times New Roman" w:hAnsi="Times New Roman" w:cs="Times New Roman"/>
          <w:noProof/>
        </w:rPr>
        <w:t>a</w:t>
      </w:r>
      <w:r w:rsidRPr="003C0D71">
        <w:rPr>
          <w:rFonts w:ascii="Times New Roman" w:hAnsi="Times New Roman" w:cs="Times New Roman"/>
          <w:noProof/>
        </w:rPr>
        <w:t xml:space="preserve">ction </w:t>
      </w:r>
      <w:r w:rsidR="00443B8F">
        <w:rPr>
          <w:rFonts w:ascii="Times New Roman" w:hAnsi="Times New Roman" w:cs="Times New Roman"/>
          <w:noProof/>
        </w:rPr>
        <w:t>p</w:t>
      </w:r>
      <w:r w:rsidRPr="003C0D71">
        <w:rPr>
          <w:rFonts w:ascii="Times New Roman" w:hAnsi="Times New Roman" w:cs="Times New Roman"/>
          <w:noProof/>
        </w:rPr>
        <w:t xml:space="preserve">lan. A majority of respondents agreed that the Securitisation Regulation provides a </w:t>
      </w:r>
      <w:r w:rsidRPr="003C0D71">
        <w:rPr>
          <w:rFonts w:ascii="Times New Roman" w:hAnsi="Times New Roman" w:cs="Times New Roman"/>
          <w:b/>
          <w:noProof/>
        </w:rPr>
        <w:t>clear legal framework,</w:t>
      </w:r>
      <w:r w:rsidRPr="003C0D71">
        <w:rPr>
          <w:rFonts w:ascii="Times New Roman" w:hAnsi="Times New Roman" w:cs="Times New Roman"/>
          <w:noProof/>
        </w:rPr>
        <w:t xml:space="preserve"> while underlining that certain parts could be improved, and recognised that the Securitisation Regulation has facilitated the </w:t>
      </w:r>
      <w:r w:rsidRPr="003C0D71">
        <w:rPr>
          <w:rFonts w:ascii="Times New Roman" w:hAnsi="Times New Roman" w:cs="Times New Roman"/>
          <w:b/>
          <w:noProof/>
        </w:rPr>
        <w:t>monitoring of possible risks</w:t>
      </w:r>
      <w:r w:rsidRPr="003C0D71">
        <w:rPr>
          <w:rFonts w:ascii="Times New Roman" w:hAnsi="Times New Roman" w:cs="Times New Roman"/>
          <w:noProof/>
        </w:rPr>
        <w:t xml:space="preserve">, although not necessarily </w:t>
      </w:r>
      <w:r w:rsidR="00AD264D">
        <w:rPr>
          <w:rFonts w:ascii="Times New Roman" w:hAnsi="Times New Roman" w:cs="Times New Roman"/>
          <w:noProof/>
        </w:rPr>
        <w:t>for</w:t>
      </w:r>
      <w:r w:rsidRPr="003C0D71">
        <w:rPr>
          <w:rFonts w:ascii="Times New Roman" w:hAnsi="Times New Roman" w:cs="Times New Roman"/>
          <w:noProof/>
        </w:rPr>
        <w:t xml:space="preserve"> private securitisations.</w:t>
      </w:r>
    </w:p>
    <w:p w14:paraId="5362D878" w14:textId="4D9C8EA8" w:rsidR="000F3481" w:rsidRPr="003C0D71" w:rsidRDefault="00175683" w:rsidP="000F3481">
      <w:pPr>
        <w:jc w:val="both"/>
        <w:rPr>
          <w:rFonts w:ascii="Times New Roman" w:hAnsi="Times New Roman" w:cs="Times New Roman"/>
          <w:noProof/>
          <w:lang w:val="en-IE"/>
        </w:rPr>
      </w:pPr>
      <w:r w:rsidRPr="003C0D71">
        <w:rPr>
          <w:rFonts w:ascii="Times New Roman" w:hAnsi="Times New Roman" w:cs="Times New Roman"/>
          <w:noProof/>
        </w:rPr>
        <w:t xml:space="preserve">A majority of respondents </w:t>
      </w:r>
      <w:r w:rsidR="00617F0D" w:rsidRPr="003C0D71">
        <w:rPr>
          <w:rFonts w:ascii="Times New Roman" w:hAnsi="Times New Roman" w:cs="Times New Roman"/>
          <w:noProof/>
        </w:rPr>
        <w:t xml:space="preserve">from the industry </w:t>
      </w:r>
      <w:r w:rsidR="00CA68B9">
        <w:rPr>
          <w:rFonts w:ascii="Times New Roman" w:hAnsi="Times New Roman" w:cs="Times New Roman"/>
          <w:noProof/>
        </w:rPr>
        <w:t>did</w:t>
      </w:r>
      <w:r w:rsidR="00CA68B9" w:rsidRPr="003C0D71">
        <w:rPr>
          <w:rFonts w:ascii="Times New Roman" w:hAnsi="Times New Roman" w:cs="Times New Roman"/>
          <w:noProof/>
        </w:rPr>
        <w:t xml:space="preserve"> </w:t>
      </w:r>
      <w:r w:rsidRPr="003C0D71">
        <w:rPr>
          <w:rFonts w:ascii="Times New Roman" w:hAnsi="Times New Roman" w:cs="Times New Roman"/>
          <w:noProof/>
        </w:rPr>
        <w:t xml:space="preserve">not think that securitisation has improved </w:t>
      </w:r>
      <w:r w:rsidRPr="003C0D71">
        <w:rPr>
          <w:rFonts w:ascii="Times New Roman" w:hAnsi="Times New Roman" w:cs="Times New Roman"/>
          <w:b/>
          <w:noProof/>
        </w:rPr>
        <w:t>access to credit for the real economy</w:t>
      </w:r>
      <w:r w:rsidRPr="003C0D71">
        <w:rPr>
          <w:rFonts w:ascii="Times New Roman" w:hAnsi="Times New Roman" w:cs="Times New Roman"/>
          <w:noProof/>
        </w:rPr>
        <w:t xml:space="preserve">, including SMEs. </w:t>
      </w:r>
      <w:r w:rsidR="00617F0D" w:rsidRPr="003C0D71">
        <w:rPr>
          <w:rFonts w:ascii="Times New Roman" w:hAnsi="Times New Roman" w:cs="Times New Roman"/>
          <w:noProof/>
        </w:rPr>
        <w:t xml:space="preserve">Similarly, industry </w:t>
      </w:r>
      <w:r w:rsidR="00617F0D" w:rsidRPr="003C0D71">
        <w:rPr>
          <w:rFonts w:ascii="Times New Roman" w:hAnsi="Times New Roman" w:cs="Times New Roman"/>
          <w:noProof/>
          <w:lang w:val="en-IE"/>
        </w:rPr>
        <w:t>r</w:t>
      </w:r>
      <w:r w:rsidRPr="003C0D71">
        <w:rPr>
          <w:rFonts w:ascii="Times New Roman" w:hAnsi="Times New Roman" w:cs="Times New Roman"/>
          <w:noProof/>
          <w:lang w:val="en-IE"/>
        </w:rPr>
        <w:t xml:space="preserve">espondents did not witness a </w:t>
      </w:r>
      <w:r w:rsidRPr="003C0D71">
        <w:rPr>
          <w:rFonts w:ascii="Times New Roman" w:hAnsi="Times New Roman" w:cs="Times New Roman"/>
          <w:b/>
          <w:noProof/>
          <w:lang w:val="en-IE"/>
        </w:rPr>
        <w:t>widening of the investor or issuer base</w:t>
      </w:r>
      <w:r w:rsidRPr="003C0D71">
        <w:rPr>
          <w:rFonts w:ascii="Times New Roman" w:hAnsi="Times New Roman" w:cs="Times New Roman"/>
          <w:noProof/>
          <w:lang w:val="en-IE"/>
        </w:rPr>
        <w:t xml:space="preserve"> during the first years of implementation of the Securitisation Regulation. </w:t>
      </w:r>
      <w:r w:rsidR="000F3481" w:rsidRPr="003C0D71">
        <w:rPr>
          <w:rFonts w:ascii="Times New Roman" w:hAnsi="Times New Roman" w:cs="Times New Roman"/>
          <w:noProof/>
          <w:lang w:val="en-IE"/>
        </w:rPr>
        <w:t xml:space="preserve">On the contrary, respondents stated that the number of investors from some </w:t>
      </w:r>
      <w:r w:rsidR="00995A1E">
        <w:rPr>
          <w:rFonts w:ascii="Times New Roman" w:hAnsi="Times New Roman" w:cs="Times New Roman"/>
          <w:noProof/>
          <w:lang w:val="en-IE"/>
        </w:rPr>
        <w:t>major</w:t>
      </w:r>
      <w:r w:rsidR="00995A1E" w:rsidRPr="003C0D71">
        <w:rPr>
          <w:rFonts w:ascii="Times New Roman" w:hAnsi="Times New Roman" w:cs="Times New Roman"/>
          <w:noProof/>
          <w:lang w:val="en-IE"/>
        </w:rPr>
        <w:t xml:space="preserve"> </w:t>
      </w:r>
      <w:r w:rsidR="000F3481" w:rsidRPr="003C0D71">
        <w:rPr>
          <w:rFonts w:ascii="Times New Roman" w:hAnsi="Times New Roman" w:cs="Times New Roman"/>
          <w:noProof/>
          <w:lang w:val="en-IE"/>
        </w:rPr>
        <w:t xml:space="preserve">sectors, such as insurance companies, has decreased. </w:t>
      </w:r>
    </w:p>
    <w:p w14:paraId="121761AB" w14:textId="69CC8CEE" w:rsidR="00175683" w:rsidRPr="003C0D71" w:rsidRDefault="00175683" w:rsidP="00175683">
      <w:pPr>
        <w:jc w:val="both"/>
        <w:rPr>
          <w:rFonts w:ascii="Times New Roman" w:hAnsi="Times New Roman" w:cs="Times New Roman"/>
          <w:noProof/>
        </w:rPr>
      </w:pPr>
      <w:r w:rsidRPr="003C0D71">
        <w:rPr>
          <w:rFonts w:ascii="Times New Roman" w:hAnsi="Times New Roman" w:cs="Times New Roman"/>
          <w:noProof/>
          <w:lang w:val="en-IE"/>
        </w:rPr>
        <w:t xml:space="preserve">Overall, </w:t>
      </w:r>
      <w:r w:rsidRPr="003C0D71">
        <w:rPr>
          <w:rFonts w:ascii="Times New Roman" w:hAnsi="Times New Roman" w:cs="Times New Roman"/>
          <w:noProof/>
        </w:rPr>
        <w:t xml:space="preserve">respondents felt that the Securitisation Regulation has so far brought no tangible benefit to the real economy and SME lending. </w:t>
      </w:r>
      <w:r w:rsidR="00995A1E">
        <w:rPr>
          <w:rFonts w:ascii="Times New Roman" w:hAnsi="Times New Roman" w:cs="Times New Roman"/>
          <w:noProof/>
        </w:rPr>
        <w:t>I</w:t>
      </w:r>
      <w:r w:rsidRPr="003C0D71">
        <w:rPr>
          <w:rFonts w:ascii="Times New Roman" w:hAnsi="Times New Roman" w:cs="Times New Roman"/>
          <w:noProof/>
        </w:rPr>
        <w:t>n particular</w:t>
      </w:r>
      <w:r w:rsidR="00995A1E">
        <w:rPr>
          <w:rFonts w:ascii="Times New Roman" w:hAnsi="Times New Roman" w:cs="Times New Roman"/>
          <w:noProof/>
        </w:rPr>
        <w:t>, this is</w:t>
      </w:r>
      <w:r w:rsidRPr="003C0D71">
        <w:rPr>
          <w:rFonts w:ascii="Times New Roman" w:hAnsi="Times New Roman" w:cs="Times New Roman"/>
          <w:noProof/>
        </w:rPr>
        <w:t xml:space="preserve"> because the market’s volume</w:t>
      </w:r>
      <w:r w:rsidRPr="003C0D71" w:rsidDel="00865AC5">
        <w:rPr>
          <w:rFonts w:ascii="Times New Roman" w:hAnsi="Times New Roman" w:cs="Times New Roman"/>
          <w:noProof/>
        </w:rPr>
        <w:t xml:space="preserve"> </w:t>
      </w:r>
      <w:r w:rsidR="00995A1E">
        <w:rPr>
          <w:rFonts w:ascii="Times New Roman" w:hAnsi="Times New Roman" w:cs="Times New Roman"/>
          <w:noProof/>
        </w:rPr>
        <w:t xml:space="preserve">has </w:t>
      </w:r>
      <w:r w:rsidRPr="003C0D71">
        <w:rPr>
          <w:rFonts w:ascii="Times New Roman" w:hAnsi="Times New Roman" w:cs="Times New Roman"/>
          <w:noProof/>
        </w:rPr>
        <w:t>not increase</w:t>
      </w:r>
      <w:r w:rsidR="00995A1E">
        <w:rPr>
          <w:rFonts w:ascii="Times New Roman" w:hAnsi="Times New Roman" w:cs="Times New Roman"/>
          <w:noProof/>
        </w:rPr>
        <w:t>d</w:t>
      </w:r>
      <w:r w:rsidRPr="003C0D71">
        <w:rPr>
          <w:rFonts w:ascii="Times New Roman" w:hAnsi="Times New Roman" w:cs="Times New Roman"/>
          <w:noProof/>
        </w:rPr>
        <w:t xml:space="preserve"> since the introduction of the Securitisation Regulation, especially for SME loans.</w:t>
      </w:r>
    </w:p>
    <w:p w14:paraId="260A8A14" w14:textId="77777777" w:rsidR="00384D56" w:rsidRPr="003C0D71" w:rsidRDefault="00384D56" w:rsidP="00175683">
      <w:pPr>
        <w:rPr>
          <w:rFonts w:ascii="Times New Roman" w:hAnsi="Times New Roman" w:cs="Times New Roman"/>
          <w:b/>
          <w:i/>
          <w:noProof/>
          <w:sz w:val="24"/>
        </w:rPr>
      </w:pPr>
      <w:r w:rsidRPr="003C0D71">
        <w:rPr>
          <w:rFonts w:ascii="Times New Roman" w:hAnsi="Times New Roman" w:cs="Times New Roman"/>
          <w:b/>
          <w:i/>
          <w:noProof/>
          <w:sz w:val="24"/>
        </w:rPr>
        <w:t xml:space="preserve">Impact of </w:t>
      </w:r>
      <w:r w:rsidR="00107D0F">
        <w:rPr>
          <w:rFonts w:ascii="Times New Roman" w:hAnsi="Times New Roman" w:cs="Times New Roman"/>
          <w:b/>
          <w:i/>
          <w:noProof/>
          <w:sz w:val="24"/>
        </w:rPr>
        <w:t xml:space="preserve">the </w:t>
      </w:r>
      <w:r w:rsidRPr="003C0D71">
        <w:rPr>
          <w:rFonts w:ascii="Times New Roman" w:hAnsi="Times New Roman" w:cs="Times New Roman"/>
          <w:b/>
          <w:i/>
          <w:noProof/>
          <w:sz w:val="24"/>
        </w:rPr>
        <w:t xml:space="preserve">STS label </w:t>
      </w:r>
    </w:p>
    <w:p w14:paraId="7D5FFA80" w14:textId="168ABA3A" w:rsidR="00384D56" w:rsidRPr="003C0D71" w:rsidRDefault="00384D56" w:rsidP="00384D56">
      <w:pPr>
        <w:jc w:val="both"/>
        <w:rPr>
          <w:rFonts w:ascii="Times New Roman" w:hAnsi="Times New Roman" w:cs="Times New Roman"/>
          <w:noProof/>
        </w:rPr>
      </w:pPr>
      <w:r w:rsidRPr="003C0D71">
        <w:rPr>
          <w:rFonts w:ascii="Times New Roman" w:hAnsi="Times New Roman" w:cs="Times New Roman"/>
          <w:noProof/>
        </w:rPr>
        <w:t>At the end of March 2022, 620 traditional and 19 on-balance-sheet</w:t>
      </w:r>
      <w:r w:rsidRPr="003C0D71">
        <w:rPr>
          <w:rStyle w:val="FootnoteReference"/>
          <w:rFonts w:ascii="Times New Roman" w:hAnsi="Times New Roman" w:cs="Times New Roman"/>
          <w:noProof/>
        </w:rPr>
        <w:footnoteReference w:id="22"/>
      </w:r>
      <w:r w:rsidRPr="003C0D71">
        <w:rPr>
          <w:rFonts w:ascii="Times New Roman" w:hAnsi="Times New Roman" w:cs="Times New Roman"/>
          <w:noProof/>
        </w:rPr>
        <w:t xml:space="preserve"> STS securitisations </w:t>
      </w:r>
      <w:r w:rsidR="00995A1E">
        <w:rPr>
          <w:rFonts w:ascii="Times New Roman" w:hAnsi="Times New Roman" w:cs="Times New Roman"/>
          <w:noProof/>
        </w:rPr>
        <w:t xml:space="preserve">had been </w:t>
      </w:r>
      <w:r w:rsidRPr="003C0D71">
        <w:rPr>
          <w:rFonts w:ascii="Times New Roman" w:hAnsi="Times New Roman" w:cs="Times New Roman"/>
          <w:noProof/>
        </w:rPr>
        <w:t>notified to</w:t>
      </w:r>
      <w:r w:rsidR="00A27C1C">
        <w:rPr>
          <w:rFonts w:ascii="Times New Roman" w:hAnsi="Times New Roman" w:cs="Times New Roman"/>
          <w:noProof/>
        </w:rPr>
        <w:t xml:space="preserve"> the </w:t>
      </w:r>
      <w:r w:rsidR="00A27C1C" w:rsidRPr="00A27C1C">
        <w:rPr>
          <w:rFonts w:ascii="Times New Roman" w:hAnsi="Times New Roman" w:cs="Times New Roman"/>
          <w:noProof/>
        </w:rPr>
        <w:t>European Securities and Markets Authority</w:t>
      </w:r>
      <w:r w:rsidR="00A27C1C">
        <w:rPr>
          <w:rFonts w:ascii="Times New Roman" w:hAnsi="Times New Roman" w:cs="Times New Roman"/>
          <w:noProof/>
        </w:rPr>
        <w:t xml:space="preserve"> (</w:t>
      </w:r>
      <w:r w:rsidRPr="00A27C1C">
        <w:rPr>
          <w:rFonts w:ascii="Times New Roman" w:hAnsi="Times New Roman" w:cs="Times New Roman"/>
          <w:noProof/>
        </w:rPr>
        <w:t>ESMA</w:t>
      </w:r>
      <w:r w:rsidR="00A27C1C">
        <w:rPr>
          <w:rFonts w:ascii="Times New Roman" w:hAnsi="Times New Roman" w:cs="Times New Roman"/>
          <w:noProof/>
        </w:rPr>
        <w:t>)</w:t>
      </w:r>
      <w:r w:rsidRPr="003C0D71">
        <w:rPr>
          <w:rFonts w:ascii="Times New Roman" w:hAnsi="Times New Roman" w:cs="Times New Roman"/>
          <w:noProof/>
        </w:rPr>
        <w:t>. The most common type of underlying assets in STS securitisations are trade receivables, usually by way of asset-backed commercial paper transactions, followed by auto loans/leases and residential mortgage-backed securities</w:t>
      </w:r>
      <w:r w:rsidR="00175683" w:rsidRPr="003C0D71">
        <w:rPr>
          <w:rFonts w:ascii="Times New Roman" w:hAnsi="Times New Roman" w:cs="Times New Roman"/>
          <w:noProof/>
        </w:rPr>
        <w:t xml:space="preserve">. According to the </w:t>
      </w:r>
      <w:r w:rsidRPr="003C0D71">
        <w:rPr>
          <w:rFonts w:ascii="Times New Roman" w:hAnsi="Times New Roman" w:cs="Times New Roman"/>
          <w:noProof/>
        </w:rPr>
        <w:t xml:space="preserve">Joint Committee </w:t>
      </w:r>
      <w:r w:rsidR="007A67D0">
        <w:rPr>
          <w:rFonts w:ascii="Times New Roman" w:hAnsi="Times New Roman" w:cs="Times New Roman"/>
          <w:noProof/>
        </w:rPr>
        <w:t>r</w:t>
      </w:r>
      <w:r w:rsidRPr="003C0D71">
        <w:rPr>
          <w:rFonts w:ascii="Times New Roman" w:hAnsi="Times New Roman" w:cs="Times New Roman"/>
          <w:noProof/>
        </w:rPr>
        <w:t>eport, the main benefit that market participants see in the STS label is the preferential regulatory treatment attached to it</w:t>
      </w:r>
      <w:r w:rsidR="007A67D0">
        <w:rPr>
          <w:rFonts w:ascii="Times New Roman" w:hAnsi="Times New Roman" w:cs="Times New Roman"/>
          <w:noProof/>
        </w:rPr>
        <w:t>.</w:t>
      </w:r>
      <w:r w:rsidRPr="003C0D71">
        <w:rPr>
          <w:rFonts w:ascii="Times New Roman" w:hAnsi="Times New Roman" w:cs="Times New Roman"/>
          <w:noProof/>
        </w:rPr>
        <w:t xml:space="preserve"> </w:t>
      </w:r>
      <w:r w:rsidR="007A67D0">
        <w:rPr>
          <w:rFonts w:ascii="Times New Roman" w:hAnsi="Times New Roman" w:cs="Times New Roman"/>
          <w:noProof/>
        </w:rPr>
        <w:t>A</w:t>
      </w:r>
      <w:r w:rsidRPr="003C0D71">
        <w:rPr>
          <w:rFonts w:ascii="Times New Roman" w:hAnsi="Times New Roman" w:cs="Times New Roman"/>
          <w:noProof/>
        </w:rPr>
        <w:t xml:space="preserve">s a result of </w:t>
      </w:r>
      <w:r w:rsidR="007A67D0">
        <w:rPr>
          <w:rFonts w:ascii="Times New Roman" w:hAnsi="Times New Roman" w:cs="Times New Roman"/>
          <w:noProof/>
        </w:rPr>
        <w:t>this</w:t>
      </w:r>
      <w:r w:rsidR="007C7FAA">
        <w:rPr>
          <w:rFonts w:ascii="Times New Roman" w:hAnsi="Times New Roman" w:cs="Times New Roman"/>
          <w:noProof/>
        </w:rPr>
        <w:t>,</w:t>
      </w:r>
      <w:r w:rsidR="007A67D0" w:rsidRPr="003C0D71">
        <w:rPr>
          <w:rFonts w:ascii="Times New Roman" w:hAnsi="Times New Roman" w:cs="Times New Roman"/>
          <w:noProof/>
        </w:rPr>
        <w:t xml:space="preserve"> </w:t>
      </w:r>
      <w:r w:rsidRPr="003C0D71">
        <w:rPr>
          <w:rFonts w:ascii="Times New Roman" w:hAnsi="Times New Roman" w:cs="Times New Roman"/>
          <w:noProof/>
        </w:rPr>
        <w:t>bank</w:t>
      </w:r>
      <w:r w:rsidR="005903EC" w:rsidRPr="003C0D71">
        <w:rPr>
          <w:rFonts w:ascii="Times New Roman" w:hAnsi="Times New Roman" w:cs="Times New Roman"/>
          <w:noProof/>
        </w:rPr>
        <w:t>s</w:t>
      </w:r>
      <w:r w:rsidRPr="003C0D71">
        <w:rPr>
          <w:rFonts w:ascii="Times New Roman" w:hAnsi="Times New Roman" w:cs="Times New Roman"/>
          <w:noProof/>
        </w:rPr>
        <w:t xml:space="preserve"> and insurance companies benefit from a lower capital charge on </w:t>
      </w:r>
      <w:r w:rsidR="007A67D0">
        <w:rPr>
          <w:rFonts w:ascii="Times New Roman" w:hAnsi="Times New Roman" w:cs="Times New Roman"/>
          <w:noProof/>
        </w:rPr>
        <w:t>the</w:t>
      </w:r>
      <w:r w:rsidR="00FD4424">
        <w:rPr>
          <w:rFonts w:ascii="Times New Roman" w:hAnsi="Times New Roman" w:cs="Times New Roman"/>
          <w:noProof/>
        </w:rPr>
        <w:t xml:space="preserve"> positions notified as</w:t>
      </w:r>
      <w:r w:rsidR="007A67D0">
        <w:rPr>
          <w:rFonts w:ascii="Times New Roman" w:hAnsi="Times New Roman" w:cs="Times New Roman"/>
          <w:noProof/>
        </w:rPr>
        <w:t xml:space="preserve"> STS</w:t>
      </w:r>
      <w:r w:rsidR="007A67D0" w:rsidRPr="003C0D71">
        <w:rPr>
          <w:rFonts w:ascii="Times New Roman" w:hAnsi="Times New Roman" w:cs="Times New Roman"/>
          <w:noProof/>
        </w:rPr>
        <w:t xml:space="preserve"> </w:t>
      </w:r>
      <w:r w:rsidRPr="003C0D71">
        <w:rPr>
          <w:rFonts w:ascii="Times New Roman" w:hAnsi="Times New Roman" w:cs="Times New Roman"/>
          <w:noProof/>
        </w:rPr>
        <w:t xml:space="preserve">compared to non-STS securitisations </w:t>
      </w:r>
      <w:r w:rsidR="00175683" w:rsidRPr="003C0D71">
        <w:rPr>
          <w:rFonts w:ascii="Times New Roman" w:hAnsi="Times New Roman" w:cs="Times New Roman"/>
          <w:noProof/>
        </w:rPr>
        <w:t xml:space="preserve">(see Figure </w:t>
      </w:r>
      <w:r w:rsidR="003C0D71">
        <w:rPr>
          <w:rFonts w:ascii="Times New Roman" w:hAnsi="Times New Roman" w:cs="Times New Roman"/>
          <w:noProof/>
        </w:rPr>
        <w:t>2</w:t>
      </w:r>
      <w:r w:rsidR="00175683" w:rsidRPr="003C0D71">
        <w:rPr>
          <w:rFonts w:ascii="Times New Roman" w:hAnsi="Times New Roman" w:cs="Times New Roman"/>
          <w:noProof/>
        </w:rPr>
        <w:t>)</w:t>
      </w:r>
      <w:r w:rsidR="00107D0F">
        <w:rPr>
          <w:rFonts w:ascii="Times New Roman" w:hAnsi="Times New Roman" w:cs="Times New Roman"/>
          <w:noProof/>
        </w:rPr>
        <w:t>.</w:t>
      </w:r>
      <w:r w:rsidRPr="003C0D71">
        <w:rPr>
          <w:rFonts w:ascii="Times New Roman" w:hAnsi="Times New Roman" w:cs="Times New Roman"/>
          <w:noProof/>
        </w:rPr>
        <w:t xml:space="preserve"> </w:t>
      </w:r>
    </w:p>
    <w:p w14:paraId="661A0D83" w14:textId="77777777" w:rsidR="00D338B2" w:rsidRPr="003C0D71" w:rsidRDefault="003C0D71" w:rsidP="00D338B2">
      <w:pPr>
        <w:jc w:val="both"/>
        <w:rPr>
          <w:rFonts w:ascii="Times New Roman" w:hAnsi="Times New Roman" w:cs="Times New Roman"/>
          <w:b/>
          <w:noProof/>
        </w:rPr>
      </w:pPr>
      <w:r>
        <w:rPr>
          <w:rFonts w:ascii="Times New Roman" w:hAnsi="Times New Roman" w:cs="Times New Roman"/>
          <w:b/>
          <w:noProof/>
        </w:rPr>
        <w:t>Figure 2</w:t>
      </w:r>
      <w:r w:rsidR="00D338B2" w:rsidRPr="003C0D71">
        <w:rPr>
          <w:rFonts w:ascii="Times New Roman" w:hAnsi="Times New Roman" w:cs="Times New Roman"/>
          <w:b/>
          <w:noProof/>
        </w:rPr>
        <w:t>: Main benefits and challenges of the STS label</w:t>
      </w:r>
    </w:p>
    <w:tbl>
      <w:tblPr>
        <w:tblStyle w:val="TableGrid"/>
        <w:tblW w:w="0" w:type="auto"/>
        <w:tblLook w:val="04A0" w:firstRow="1" w:lastRow="0" w:firstColumn="1" w:lastColumn="0" w:noHBand="0" w:noVBand="1"/>
      </w:tblPr>
      <w:tblGrid>
        <w:gridCol w:w="3108"/>
        <w:gridCol w:w="1512"/>
        <w:gridCol w:w="2928"/>
        <w:gridCol w:w="1694"/>
      </w:tblGrid>
      <w:tr w:rsidR="003C0D71" w:rsidRPr="003C0D71" w14:paraId="13DB2B63" w14:textId="77777777" w:rsidTr="00384D56">
        <w:tc>
          <w:tcPr>
            <w:tcW w:w="3108" w:type="dxa"/>
          </w:tcPr>
          <w:p w14:paraId="1085551A" w14:textId="77777777" w:rsidR="00384D56" w:rsidRPr="003C0D71" w:rsidRDefault="00384D56" w:rsidP="00384D56">
            <w:pPr>
              <w:rPr>
                <w:rFonts w:ascii="Times New Roman" w:hAnsi="Times New Roman" w:cs="Times New Roman"/>
                <w:b/>
                <w:noProof/>
              </w:rPr>
            </w:pPr>
            <w:r w:rsidRPr="003C0D71">
              <w:rPr>
                <w:rFonts w:ascii="Times New Roman" w:hAnsi="Times New Roman" w:cs="Times New Roman"/>
                <w:b/>
                <w:noProof/>
              </w:rPr>
              <w:t>Benefits of STS</w:t>
            </w:r>
          </w:p>
        </w:tc>
        <w:tc>
          <w:tcPr>
            <w:tcW w:w="1512" w:type="dxa"/>
          </w:tcPr>
          <w:p w14:paraId="661E793F" w14:textId="77777777" w:rsidR="00384D56" w:rsidRPr="003C0D71" w:rsidRDefault="00384D56" w:rsidP="00384D56">
            <w:pPr>
              <w:rPr>
                <w:rFonts w:ascii="Times New Roman" w:hAnsi="Times New Roman" w:cs="Times New Roman"/>
                <w:b/>
                <w:noProof/>
              </w:rPr>
            </w:pPr>
            <w:r w:rsidRPr="003C0D71">
              <w:rPr>
                <w:rFonts w:ascii="Times New Roman" w:hAnsi="Times New Roman" w:cs="Times New Roman"/>
                <w:b/>
                <w:noProof/>
              </w:rPr>
              <w:t>Relative score</w:t>
            </w:r>
          </w:p>
        </w:tc>
        <w:tc>
          <w:tcPr>
            <w:tcW w:w="2928" w:type="dxa"/>
          </w:tcPr>
          <w:p w14:paraId="3A1E4592" w14:textId="77777777" w:rsidR="00384D56" w:rsidRPr="003C0D71" w:rsidRDefault="00384D56" w:rsidP="00384D56">
            <w:pPr>
              <w:rPr>
                <w:rFonts w:ascii="Times New Roman" w:hAnsi="Times New Roman" w:cs="Times New Roman"/>
                <w:b/>
                <w:noProof/>
              </w:rPr>
            </w:pPr>
            <w:r w:rsidRPr="003C0D71">
              <w:rPr>
                <w:rFonts w:ascii="Times New Roman" w:hAnsi="Times New Roman" w:cs="Times New Roman"/>
                <w:b/>
                <w:noProof/>
              </w:rPr>
              <w:t>Challenges of STS</w:t>
            </w:r>
          </w:p>
        </w:tc>
        <w:tc>
          <w:tcPr>
            <w:tcW w:w="1694" w:type="dxa"/>
          </w:tcPr>
          <w:p w14:paraId="365FCA28" w14:textId="77777777" w:rsidR="00384D56" w:rsidRPr="003C0D71" w:rsidRDefault="00384D56" w:rsidP="00384D56">
            <w:pPr>
              <w:rPr>
                <w:rFonts w:ascii="Times New Roman" w:hAnsi="Times New Roman" w:cs="Times New Roman"/>
                <w:b/>
                <w:noProof/>
              </w:rPr>
            </w:pPr>
            <w:r w:rsidRPr="003C0D71">
              <w:rPr>
                <w:rFonts w:ascii="Times New Roman" w:hAnsi="Times New Roman" w:cs="Times New Roman"/>
                <w:b/>
                <w:noProof/>
              </w:rPr>
              <w:t>Relative score</w:t>
            </w:r>
          </w:p>
        </w:tc>
      </w:tr>
      <w:tr w:rsidR="003C0D71" w:rsidRPr="003C0D71" w14:paraId="79DC7DBD" w14:textId="77777777" w:rsidTr="00384D56">
        <w:tc>
          <w:tcPr>
            <w:tcW w:w="3108" w:type="dxa"/>
          </w:tcPr>
          <w:p w14:paraId="5A1C3A0C" w14:textId="77777777" w:rsidR="00384D56" w:rsidRPr="003C0D71" w:rsidRDefault="00384D56" w:rsidP="00384D56">
            <w:pPr>
              <w:rPr>
                <w:rFonts w:ascii="Times New Roman" w:hAnsi="Times New Roman" w:cs="Times New Roman"/>
                <w:noProof/>
              </w:rPr>
            </w:pPr>
            <w:r w:rsidRPr="003C0D71">
              <w:rPr>
                <w:rFonts w:ascii="Times New Roman" w:hAnsi="Times New Roman" w:cs="Times New Roman"/>
                <w:noProof/>
              </w:rPr>
              <w:t>Capital treatment</w:t>
            </w:r>
          </w:p>
        </w:tc>
        <w:tc>
          <w:tcPr>
            <w:tcW w:w="1512" w:type="dxa"/>
          </w:tcPr>
          <w:p w14:paraId="07EBCA56" w14:textId="77777777" w:rsidR="00384D56" w:rsidRPr="003C0D71" w:rsidRDefault="00384D56" w:rsidP="00384D56">
            <w:pPr>
              <w:rPr>
                <w:rFonts w:ascii="Times New Roman" w:hAnsi="Times New Roman" w:cs="Times New Roman"/>
                <w:noProof/>
              </w:rPr>
            </w:pPr>
            <w:r w:rsidRPr="003C0D71">
              <w:rPr>
                <w:rFonts w:ascii="Times New Roman" w:hAnsi="Times New Roman" w:cs="Times New Roman"/>
                <w:noProof/>
              </w:rPr>
              <w:t>4.2</w:t>
            </w:r>
          </w:p>
        </w:tc>
        <w:tc>
          <w:tcPr>
            <w:tcW w:w="2928" w:type="dxa"/>
          </w:tcPr>
          <w:p w14:paraId="7BBDEEE6" w14:textId="77777777" w:rsidR="00384D56" w:rsidRPr="003C0D71" w:rsidRDefault="00384D56" w:rsidP="00384D56">
            <w:pPr>
              <w:rPr>
                <w:rFonts w:ascii="Times New Roman" w:hAnsi="Times New Roman" w:cs="Times New Roman"/>
                <w:noProof/>
              </w:rPr>
            </w:pPr>
            <w:r w:rsidRPr="003C0D71">
              <w:rPr>
                <w:rFonts w:ascii="Times New Roman" w:hAnsi="Times New Roman" w:cs="Times New Roman"/>
                <w:noProof/>
              </w:rPr>
              <w:t>Complexity of STS criteria</w:t>
            </w:r>
          </w:p>
        </w:tc>
        <w:tc>
          <w:tcPr>
            <w:tcW w:w="1694" w:type="dxa"/>
          </w:tcPr>
          <w:p w14:paraId="4082ED75" w14:textId="77777777" w:rsidR="00384D56" w:rsidRPr="003C0D71" w:rsidRDefault="00384D56" w:rsidP="00384D56">
            <w:pPr>
              <w:rPr>
                <w:rFonts w:ascii="Times New Roman" w:hAnsi="Times New Roman" w:cs="Times New Roman"/>
                <w:noProof/>
              </w:rPr>
            </w:pPr>
            <w:r w:rsidRPr="003C0D71">
              <w:rPr>
                <w:rFonts w:ascii="Times New Roman" w:hAnsi="Times New Roman" w:cs="Times New Roman"/>
                <w:noProof/>
              </w:rPr>
              <w:t>3.9</w:t>
            </w:r>
          </w:p>
        </w:tc>
      </w:tr>
      <w:tr w:rsidR="003C0D71" w:rsidRPr="003C0D71" w14:paraId="5A3FC2E2" w14:textId="77777777" w:rsidTr="00384D56">
        <w:tc>
          <w:tcPr>
            <w:tcW w:w="3108" w:type="dxa"/>
          </w:tcPr>
          <w:p w14:paraId="1AD0AC81" w14:textId="77777777" w:rsidR="00384D56" w:rsidRPr="003C0D71" w:rsidRDefault="00384D56" w:rsidP="00384D56">
            <w:pPr>
              <w:rPr>
                <w:rFonts w:ascii="Times New Roman" w:hAnsi="Times New Roman" w:cs="Times New Roman"/>
                <w:noProof/>
              </w:rPr>
            </w:pPr>
            <w:r w:rsidRPr="003C0D71">
              <w:rPr>
                <w:rFonts w:ascii="Times New Roman" w:hAnsi="Times New Roman" w:cs="Times New Roman"/>
                <w:noProof/>
              </w:rPr>
              <w:t>Wider investor base</w:t>
            </w:r>
          </w:p>
        </w:tc>
        <w:tc>
          <w:tcPr>
            <w:tcW w:w="1512" w:type="dxa"/>
          </w:tcPr>
          <w:p w14:paraId="5276999E" w14:textId="77777777" w:rsidR="00384D56" w:rsidRPr="003C0D71" w:rsidRDefault="00384D56" w:rsidP="00384D56">
            <w:pPr>
              <w:rPr>
                <w:rFonts w:ascii="Times New Roman" w:hAnsi="Times New Roman" w:cs="Times New Roman"/>
                <w:noProof/>
              </w:rPr>
            </w:pPr>
            <w:r w:rsidRPr="003C0D71">
              <w:rPr>
                <w:rFonts w:ascii="Times New Roman" w:hAnsi="Times New Roman" w:cs="Times New Roman"/>
                <w:noProof/>
              </w:rPr>
              <w:t>3.4</w:t>
            </w:r>
          </w:p>
        </w:tc>
        <w:tc>
          <w:tcPr>
            <w:tcW w:w="2928" w:type="dxa"/>
          </w:tcPr>
          <w:p w14:paraId="2AF02A8D" w14:textId="77777777" w:rsidR="00384D56" w:rsidRPr="003C0D71" w:rsidRDefault="00384D56" w:rsidP="00384D56">
            <w:pPr>
              <w:rPr>
                <w:rFonts w:ascii="Times New Roman" w:hAnsi="Times New Roman" w:cs="Times New Roman"/>
                <w:noProof/>
              </w:rPr>
            </w:pPr>
            <w:r w:rsidRPr="003C0D71">
              <w:rPr>
                <w:rFonts w:ascii="Times New Roman" w:hAnsi="Times New Roman" w:cs="Times New Roman"/>
                <w:noProof/>
              </w:rPr>
              <w:t>Restrictiveness of criteria</w:t>
            </w:r>
          </w:p>
        </w:tc>
        <w:tc>
          <w:tcPr>
            <w:tcW w:w="1694" w:type="dxa"/>
          </w:tcPr>
          <w:p w14:paraId="5A9D2921" w14:textId="77777777" w:rsidR="00384D56" w:rsidRPr="003C0D71" w:rsidRDefault="00384D56" w:rsidP="00384D56">
            <w:pPr>
              <w:rPr>
                <w:rFonts w:ascii="Times New Roman" w:hAnsi="Times New Roman" w:cs="Times New Roman"/>
                <w:noProof/>
              </w:rPr>
            </w:pPr>
            <w:r w:rsidRPr="003C0D71">
              <w:rPr>
                <w:rFonts w:ascii="Times New Roman" w:hAnsi="Times New Roman" w:cs="Times New Roman"/>
                <w:noProof/>
              </w:rPr>
              <w:t>3.7</w:t>
            </w:r>
          </w:p>
        </w:tc>
      </w:tr>
      <w:tr w:rsidR="003C0D71" w:rsidRPr="003C0D71" w14:paraId="5C8B55B9" w14:textId="77777777" w:rsidTr="00384D56">
        <w:tc>
          <w:tcPr>
            <w:tcW w:w="3108" w:type="dxa"/>
          </w:tcPr>
          <w:p w14:paraId="5B244785" w14:textId="77777777" w:rsidR="00384D56" w:rsidRPr="003C0D71" w:rsidRDefault="00384D56" w:rsidP="00384D56">
            <w:pPr>
              <w:rPr>
                <w:rFonts w:ascii="Times New Roman" w:hAnsi="Times New Roman" w:cs="Times New Roman"/>
                <w:noProof/>
              </w:rPr>
            </w:pPr>
            <w:r w:rsidRPr="003C0D71">
              <w:rPr>
                <w:rFonts w:ascii="Times New Roman" w:hAnsi="Times New Roman" w:cs="Times New Roman"/>
                <w:noProof/>
              </w:rPr>
              <w:t>Pricing</w:t>
            </w:r>
          </w:p>
        </w:tc>
        <w:tc>
          <w:tcPr>
            <w:tcW w:w="1512" w:type="dxa"/>
          </w:tcPr>
          <w:p w14:paraId="19D896FB" w14:textId="77777777" w:rsidR="00384D56" w:rsidRPr="003C0D71" w:rsidRDefault="00384D56" w:rsidP="00384D56">
            <w:pPr>
              <w:rPr>
                <w:rFonts w:ascii="Times New Roman" w:hAnsi="Times New Roman" w:cs="Times New Roman"/>
                <w:noProof/>
              </w:rPr>
            </w:pPr>
            <w:r w:rsidRPr="003C0D71">
              <w:rPr>
                <w:rFonts w:ascii="Times New Roman" w:hAnsi="Times New Roman" w:cs="Times New Roman"/>
                <w:noProof/>
              </w:rPr>
              <w:t>3.3</w:t>
            </w:r>
          </w:p>
        </w:tc>
        <w:tc>
          <w:tcPr>
            <w:tcW w:w="2928" w:type="dxa"/>
          </w:tcPr>
          <w:p w14:paraId="2524D09C" w14:textId="77777777" w:rsidR="00384D56" w:rsidRPr="003C0D71" w:rsidRDefault="00384D56" w:rsidP="00384D56">
            <w:pPr>
              <w:rPr>
                <w:rFonts w:ascii="Times New Roman" w:hAnsi="Times New Roman" w:cs="Times New Roman"/>
                <w:noProof/>
              </w:rPr>
            </w:pPr>
            <w:r w:rsidRPr="003C0D71">
              <w:rPr>
                <w:rFonts w:ascii="Times New Roman" w:hAnsi="Times New Roman" w:cs="Times New Roman"/>
                <w:noProof/>
              </w:rPr>
              <w:t>Legal penalties</w:t>
            </w:r>
          </w:p>
        </w:tc>
        <w:tc>
          <w:tcPr>
            <w:tcW w:w="1694" w:type="dxa"/>
          </w:tcPr>
          <w:p w14:paraId="1063B7B5" w14:textId="77777777" w:rsidR="00384D56" w:rsidRPr="003C0D71" w:rsidRDefault="00384D56" w:rsidP="00384D56">
            <w:pPr>
              <w:rPr>
                <w:rFonts w:ascii="Times New Roman" w:hAnsi="Times New Roman" w:cs="Times New Roman"/>
                <w:noProof/>
              </w:rPr>
            </w:pPr>
            <w:r w:rsidRPr="003C0D71">
              <w:rPr>
                <w:rFonts w:ascii="Times New Roman" w:hAnsi="Times New Roman" w:cs="Times New Roman"/>
                <w:noProof/>
              </w:rPr>
              <w:t>3.7</w:t>
            </w:r>
          </w:p>
        </w:tc>
      </w:tr>
      <w:tr w:rsidR="003C0D71" w:rsidRPr="003C0D71" w14:paraId="46D2D846" w14:textId="77777777" w:rsidTr="00384D56">
        <w:tc>
          <w:tcPr>
            <w:tcW w:w="3108" w:type="dxa"/>
          </w:tcPr>
          <w:p w14:paraId="6864722C" w14:textId="77777777" w:rsidR="00384D56" w:rsidRPr="003C0D71" w:rsidRDefault="00384D56" w:rsidP="00384D56">
            <w:pPr>
              <w:rPr>
                <w:rFonts w:ascii="Times New Roman" w:hAnsi="Times New Roman" w:cs="Times New Roman"/>
                <w:noProof/>
              </w:rPr>
            </w:pPr>
            <w:r w:rsidRPr="003C0D71">
              <w:rPr>
                <w:rFonts w:ascii="Times New Roman" w:hAnsi="Times New Roman" w:cs="Times New Roman"/>
                <w:noProof/>
              </w:rPr>
              <w:t>Standardisation</w:t>
            </w:r>
          </w:p>
        </w:tc>
        <w:tc>
          <w:tcPr>
            <w:tcW w:w="1512" w:type="dxa"/>
          </w:tcPr>
          <w:p w14:paraId="707CE543" w14:textId="77777777" w:rsidR="00384D56" w:rsidRPr="003C0D71" w:rsidRDefault="00384D56" w:rsidP="00384D56">
            <w:pPr>
              <w:rPr>
                <w:rFonts w:ascii="Times New Roman" w:hAnsi="Times New Roman" w:cs="Times New Roman"/>
                <w:noProof/>
              </w:rPr>
            </w:pPr>
            <w:r w:rsidRPr="003C0D71">
              <w:rPr>
                <w:rFonts w:ascii="Times New Roman" w:hAnsi="Times New Roman" w:cs="Times New Roman"/>
                <w:noProof/>
              </w:rPr>
              <w:t>3.1</w:t>
            </w:r>
          </w:p>
        </w:tc>
        <w:tc>
          <w:tcPr>
            <w:tcW w:w="2928" w:type="dxa"/>
          </w:tcPr>
          <w:p w14:paraId="02742F09" w14:textId="77777777" w:rsidR="00384D56" w:rsidRPr="003C0D71" w:rsidRDefault="00384D56" w:rsidP="00384D56">
            <w:pPr>
              <w:rPr>
                <w:rFonts w:ascii="Times New Roman" w:hAnsi="Times New Roman" w:cs="Times New Roman"/>
                <w:noProof/>
              </w:rPr>
            </w:pPr>
            <w:r w:rsidRPr="003C0D71">
              <w:rPr>
                <w:rFonts w:ascii="Times New Roman" w:hAnsi="Times New Roman" w:cs="Times New Roman"/>
                <w:noProof/>
              </w:rPr>
              <w:t>Compliance costs</w:t>
            </w:r>
          </w:p>
        </w:tc>
        <w:tc>
          <w:tcPr>
            <w:tcW w:w="1694" w:type="dxa"/>
          </w:tcPr>
          <w:p w14:paraId="3E3D0AC4" w14:textId="77777777" w:rsidR="00384D56" w:rsidRPr="003C0D71" w:rsidRDefault="00384D56" w:rsidP="00384D56">
            <w:pPr>
              <w:rPr>
                <w:rFonts w:ascii="Times New Roman" w:hAnsi="Times New Roman" w:cs="Times New Roman"/>
                <w:noProof/>
              </w:rPr>
            </w:pPr>
            <w:r w:rsidRPr="003C0D71">
              <w:rPr>
                <w:rFonts w:ascii="Times New Roman" w:hAnsi="Times New Roman" w:cs="Times New Roman"/>
                <w:noProof/>
              </w:rPr>
              <w:t>3.6</w:t>
            </w:r>
          </w:p>
        </w:tc>
      </w:tr>
      <w:tr w:rsidR="003C0D71" w:rsidRPr="003C0D71" w14:paraId="70016CEE" w14:textId="77777777" w:rsidTr="00384D56">
        <w:tc>
          <w:tcPr>
            <w:tcW w:w="3108" w:type="dxa"/>
          </w:tcPr>
          <w:p w14:paraId="21BFC275" w14:textId="77777777" w:rsidR="00384D56" w:rsidRPr="003C0D71" w:rsidRDefault="00384D56" w:rsidP="00384D56">
            <w:pPr>
              <w:rPr>
                <w:rFonts w:ascii="Times New Roman" w:hAnsi="Times New Roman" w:cs="Times New Roman"/>
                <w:noProof/>
              </w:rPr>
            </w:pPr>
            <w:r w:rsidRPr="003C0D71">
              <w:rPr>
                <w:rFonts w:ascii="Times New Roman" w:hAnsi="Times New Roman" w:cs="Times New Roman"/>
                <w:noProof/>
              </w:rPr>
              <w:t>Transparency</w:t>
            </w:r>
          </w:p>
        </w:tc>
        <w:tc>
          <w:tcPr>
            <w:tcW w:w="1512" w:type="dxa"/>
          </w:tcPr>
          <w:p w14:paraId="5493D1DA" w14:textId="77777777" w:rsidR="00384D56" w:rsidRPr="003C0D71" w:rsidRDefault="00384D56" w:rsidP="00384D56">
            <w:pPr>
              <w:rPr>
                <w:rFonts w:ascii="Times New Roman" w:hAnsi="Times New Roman" w:cs="Times New Roman"/>
                <w:noProof/>
              </w:rPr>
            </w:pPr>
            <w:r w:rsidRPr="003C0D71">
              <w:rPr>
                <w:rFonts w:ascii="Times New Roman" w:hAnsi="Times New Roman" w:cs="Times New Roman"/>
                <w:noProof/>
              </w:rPr>
              <w:t>3.0</w:t>
            </w:r>
          </w:p>
        </w:tc>
        <w:tc>
          <w:tcPr>
            <w:tcW w:w="2928" w:type="dxa"/>
          </w:tcPr>
          <w:p w14:paraId="45E67FBF" w14:textId="77777777" w:rsidR="00384D56" w:rsidRPr="003C0D71" w:rsidRDefault="00384D56" w:rsidP="00384D56">
            <w:pPr>
              <w:rPr>
                <w:rFonts w:ascii="Times New Roman" w:hAnsi="Times New Roman" w:cs="Times New Roman"/>
                <w:noProof/>
              </w:rPr>
            </w:pPr>
            <w:r w:rsidRPr="003C0D71">
              <w:rPr>
                <w:rFonts w:ascii="Times New Roman" w:hAnsi="Times New Roman" w:cs="Times New Roman"/>
                <w:noProof/>
              </w:rPr>
              <w:t>Insufficient clarity of criteria</w:t>
            </w:r>
          </w:p>
        </w:tc>
        <w:tc>
          <w:tcPr>
            <w:tcW w:w="1694" w:type="dxa"/>
          </w:tcPr>
          <w:p w14:paraId="36BF9D47" w14:textId="77777777" w:rsidR="00384D56" w:rsidRPr="003C0D71" w:rsidRDefault="00384D56" w:rsidP="00384D56">
            <w:pPr>
              <w:rPr>
                <w:rFonts w:ascii="Times New Roman" w:hAnsi="Times New Roman" w:cs="Times New Roman"/>
                <w:noProof/>
              </w:rPr>
            </w:pPr>
            <w:r w:rsidRPr="003C0D71">
              <w:rPr>
                <w:rFonts w:ascii="Times New Roman" w:hAnsi="Times New Roman" w:cs="Times New Roman"/>
                <w:noProof/>
              </w:rPr>
              <w:t>3.5</w:t>
            </w:r>
          </w:p>
        </w:tc>
      </w:tr>
    </w:tbl>
    <w:p w14:paraId="01BCD2E3" w14:textId="77777777" w:rsidR="00384D56" w:rsidRPr="003C0D71" w:rsidRDefault="00384D56" w:rsidP="00384D56">
      <w:pPr>
        <w:spacing w:after="0"/>
        <w:rPr>
          <w:rFonts w:ascii="Times New Roman" w:hAnsi="Times New Roman" w:cs="Times New Roman"/>
          <w:noProof/>
          <w:sz w:val="20"/>
        </w:rPr>
      </w:pPr>
      <w:r w:rsidRPr="003C0D71">
        <w:rPr>
          <w:rFonts w:ascii="Times New Roman" w:hAnsi="Times New Roman" w:cs="Times New Roman"/>
          <w:noProof/>
          <w:sz w:val="20"/>
        </w:rPr>
        <w:t>Source: Joint Committee Report</w:t>
      </w:r>
    </w:p>
    <w:p w14:paraId="43F2FBA6" w14:textId="77777777" w:rsidR="00384D56" w:rsidRPr="003C0D71" w:rsidRDefault="00384D56" w:rsidP="00384D56">
      <w:pPr>
        <w:rPr>
          <w:rFonts w:ascii="Times New Roman" w:hAnsi="Times New Roman" w:cs="Times New Roman"/>
          <w:noProof/>
          <w:sz w:val="20"/>
        </w:rPr>
      </w:pPr>
      <w:r w:rsidRPr="003C0D71">
        <w:rPr>
          <w:rFonts w:ascii="Times New Roman" w:hAnsi="Times New Roman" w:cs="Times New Roman"/>
          <w:noProof/>
          <w:sz w:val="20"/>
        </w:rPr>
        <w:t>Relative score from 0 (not relevant) to 5 (extremely relevant)</w:t>
      </w:r>
    </w:p>
    <w:p w14:paraId="5BACD716" w14:textId="2B45A7CB" w:rsidR="004D621C" w:rsidRPr="003C0D71" w:rsidRDefault="000146AB" w:rsidP="00175683">
      <w:pPr>
        <w:rPr>
          <w:rFonts w:ascii="Times New Roman" w:hAnsi="Times New Roman" w:cs="Times New Roman"/>
          <w:b/>
          <w:noProof/>
          <w:sz w:val="24"/>
        </w:rPr>
      </w:pPr>
      <w:r>
        <w:rPr>
          <w:rFonts w:ascii="Times New Roman" w:hAnsi="Times New Roman" w:cs="Times New Roman"/>
          <w:b/>
          <w:noProof/>
          <w:sz w:val="24"/>
        </w:rPr>
        <w:t>The</w:t>
      </w:r>
      <w:r w:rsidR="0059643E" w:rsidRPr="003C0D71">
        <w:rPr>
          <w:rFonts w:ascii="Times New Roman" w:hAnsi="Times New Roman" w:cs="Times New Roman"/>
          <w:b/>
          <w:noProof/>
          <w:sz w:val="24"/>
        </w:rPr>
        <w:t xml:space="preserve"> Commission</w:t>
      </w:r>
      <w:r>
        <w:rPr>
          <w:rFonts w:ascii="Times New Roman" w:hAnsi="Times New Roman" w:cs="Times New Roman"/>
          <w:b/>
          <w:noProof/>
          <w:sz w:val="24"/>
        </w:rPr>
        <w:t>’s assessment</w:t>
      </w:r>
    </w:p>
    <w:p w14:paraId="10C45849" w14:textId="1BB91607" w:rsidR="00175683" w:rsidRPr="003C0D71" w:rsidRDefault="007A67D0" w:rsidP="00175683">
      <w:pPr>
        <w:jc w:val="both"/>
        <w:rPr>
          <w:rFonts w:ascii="Times New Roman" w:hAnsi="Times New Roman" w:cs="Times New Roman"/>
          <w:noProof/>
        </w:rPr>
      </w:pPr>
      <w:r>
        <w:rPr>
          <w:rFonts w:ascii="Times New Roman" w:hAnsi="Times New Roman" w:cs="Times New Roman"/>
          <w:noProof/>
        </w:rPr>
        <w:t>On</w:t>
      </w:r>
      <w:r w:rsidR="00175683" w:rsidRPr="003C0D71">
        <w:rPr>
          <w:rFonts w:ascii="Times New Roman" w:hAnsi="Times New Roman" w:cs="Times New Roman"/>
          <w:noProof/>
        </w:rPr>
        <w:t xml:space="preserve"> the overall market situation, the Commission</w:t>
      </w:r>
      <w:r w:rsidR="001B35B3" w:rsidRPr="003C0D71">
        <w:rPr>
          <w:rFonts w:ascii="Times New Roman" w:hAnsi="Times New Roman" w:cs="Times New Roman"/>
          <w:noProof/>
        </w:rPr>
        <w:t xml:space="preserve"> acknowledges the feedback from industry which </w:t>
      </w:r>
      <w:r>
        <w:rPr>
          <w:rFonts w:ascii="Times New Roman" w:hAnsi="Times New Roman" w:cs="Times New Roman"/>
          <w:noProof/>
        </w:rPr>
        <w:t xml:space="preserve">indicates that </w:t>
      </w:r>
      <w:r w:rsidRPr="003C0D71">
        <w:rPr>
          <w:rFonts w:ascii="Times New Roman" w:hAnsi="Times New Roman" w:cs="Times New Roman"/>
          <w:noProof/>
        </w:rPr>
        <w:t xml:space="preserve">securitisation </w:t>
      </w:r>
      <w:r>
        <w:rPr>
          <w:rFonts w:ascii="Times New Roman" w:hAnsi="Times New Roman" w:cs="Times New Roman"/>
          <w:noProof/>
        </w:rPr>
        <w:t>issuance is still muted</w:t>
      </w:r>
      <w:r w:rsidR="00175683" w:rsidRPr="003C0D71">
        <w:rPr>
          <w:rFonts w:ascii="Times New Roman" w:hAnsi="Times New Roman" w:cs="Times New Roman"/>
          <w:noProof/>
        </w:rPr>
        <w:t>.</w:t>
      </w:r>
      <w:r w:rsidR="001B35B3" w:rsidRPr="003C0D71">
        <w:rPr>
          <w:rFonts w:ascii="Times New Roman" w:hAnsi="Times New Roman" w:cs="Times New Roman"/>
          <w:noProof/>
        </w:rPr>
        <w:t xml:space="preserve"> However, in the absence of a comprehensive data source that captures all segments of the market, it is not possible to confidently </w:t>
      </w:r>
      <w:r w:rsidR="00F4026A" w:rsidRPr="003C0D71">
        <w:rPr>
          <w:rFonts w:ascii="Times New Roman" w:hAnsi="Times New Roman" w:cs="Times New Roman"/>
          <w:noProof/>
        </w:rPr>
        <w:t xml:space="preserve">determine the </w:t>
      </w:r>
      <w:r w:rsidRPr="003C0D71">
        <w:rPr>
          <w:rFonts w:ascii="Times New Roman" w:hAnsi="Times New Roman" w:cs="Times New Roman"/>
          <w:noProof/>
        </w:rPr>
        <w:t xml:space="preserve">situation </w:t>
      </w:r>
      <w:r w:rsidR="00E662CB">
        <w:rPr>
          <w:rFonts w:ascii="Times New Roman" w:hAnsi="Times New Roman" w:cs="Times New Roman"/>
          <w:noProof/>
        </w:rPr>
        <w:t>for</w:t>
      </w:r>
      <w:r>
        <w:rPr>
          <w:rFonts w:ascii="Times New Roman" w:hAnsi="Times New Roman" w:cs="Times New Roman"/>
          <w:noProof/>
        </w:rPr>
        <w:t xml:space="preserve"> the entire </w:t>
      </w:r>
      <w:r w:rsidR="00F4026A" w:rsidRPr="003C0D71">
        <w:rPr>
          <w:rFonts w:ascii="Times New Roman" w:hAnsi="Times New Roman" w:cs="Times New Roman"/>
          <w:noProof/>
        </w:rPr>
        <w:t>market</w:t>
      </w:r>
      <w:r w:rsidR="001B35B3" w:rsidRPr="003C0D71">
        <w:rPr>
          <w:rFonts w:ascii="Times New Roman" w:hAnsi="Times New Roman" w:cs="Times New Roman"/>
          <w:noProof/>
        </w:rPr>
        <w:t xml:space="preserve">. </w:t>
      </w:r>
      <w:r w:rsidR="00F4026A" w:rsidRPr="003C0D71">
        <w:rPr>
          <w:rFonts w:ascii="Times New Roman" w:hAnsi="Times New Roman" w:cs="Times New Roman"/>
          <w:noProof/>
        </w:rPr>
        <w:t>In this respect, s</w:t>
      </w:r>
      <w:r w:rsidR="001B35B3" w:rsidRPr="003C0D71">
        <w:rPr>
          <w:rFonts w:ascii="Times New Roman" w:hAnsi="Times New Roman" w:cs="Times New Roman"/>
          <w:noProof/>
        </w:rPr>
        <w:t xml:space="preserve">upervisors are encouraged to </w:t>
      </w:r>
      <w:r w:rsidR="00E662CB">
        <w:rPr>
          <w:rFonts w:ascii="Times New Roman" w:hAnsi="Times New Roman" w:cs="Times New Roman"/>
          <w:noProof/>
        </w:rPr>
        <w:t xml:space="preserve">make further </w:t>
      </w:r>
      <w:r w:rsidR="00E662CB" w:rsidRPr="00E662CB">
        <w:rPr>
          <w:rFonts w:ascii="Times New Roman" w:hAnsi="Times New Roman" w:cs="Times New Roman"/>
          <w:noProof/>
        </w:rPr>
        <w:t>efforts</w:t>
      </w:r>
      <w:r w:rsidR="00F4026A" w:rsidRPr="00E662CB">
        <w:rPr>
          <w:rFonts w:ascii="Times New Roman" w:hAnsi="Times New Roman" w:cs="Times New Roman"/>
          <w:noProof/>
        </w:rPr>
        <w:t xml:space="preserve"> to get a better grasp, in particular</w:t>
      </w:r>
      <w:r w:rsidR="00E662CB" w:rsidRPr="00E662CB">
        <w:rPr>
          <w:rFonts w:ascii="Times New Roman" w:hAnsi="Times New Roman" w:cs="Times New Roman"/>
          <w:noProof/>
        </w:rPr>
        <w:t>,</w:t>
      </w:r>
      <w:r w:rsidR="00F4026A" w:rsidRPr="00E662CB">
        <w:rPr>
          <w:rFonts w:ascii="Times New Roman" w:hAnsi="Times New Roman" w:cs="Times New Roman"/>
          <w:noProof/>
        </w:rPr>
        <w:t xml:space="preserve"> of the size of the private securitisation market.</w:t>
      </w:r>
      <w:r w:rsidR="00175683" w:rsidRPr="00E662CB">
        <w:rPr>
          <w:rFonts w:ascii="Times New Roman" w:hAnsi="Times New Roman" w:cs="Times New Roman"/>
          <w:noProof/>
        </w:rPr>
        <w:t xml:space="preserve"> </w:t>
      </w:r>
      <w:r w:rsidR="00F4026A" w:rsidRPr="00E662CB">
        <w:rPr>
          <w:rFonts w:ascii="Times New Roman" w:hAnsi="Times New Roman" w:cs="Times New Roman"/>
          <w:noProof/>
        </w:rPr>
        <w:t>Moreover</w:t>
      </w:r>
      <w:r w:rsidR="00175683" w:rsidRPr="00E662CB">
        <w:rPr>
          <w:rFonts w:ascii="Times New Roman" w:hAnsi="Times New Roman" w:cs="Times New Roman"/>
          <w:noProof/>
        </w:rPr>
        <w:t>, at th</w:t>
      </w:r>
      <w:r w:rsidR="00175683" w:rsidRPr="003C0D71">
        <w:rPr>
          <w:rFonts w:ascii="Times New Roman" w:hAnsi="Times New Roman" w:cs="Times New Roman"/>
          <w:noProof/>
        </w:rPr>
        <w:t xml:space="preserve">is stage it is not clear to what extent market developments can be attributed to the impact of the regulatory regime, and to what extent exogenous factors have been more decisive. </w:t>
      </w:r>
    </w:p>
    <w:p w14:paraId="577BB492" w14:textId="77777777" w:rsidR="00175683" w:rsidRPr="003C0D71" w:rsidRDefault="00175683" w:rsidP="00175683">
      <w:pPr>
        <w:jc w:val="both"/>
        <w:rPr>
          <w:rFonts w:ascii="Times New Roman" w:hAnsi="Times New Roman" w:cs="Times New Roman"/>
          <w:noProof/>
        </w:rPr>
      </w:pPr>
      <w:r w:rsidRPr="003C0D71">
        <w:rPr>
          <w:rFonts w:ascii="Times New Roman" w:hAnsi="Times New Roman" w:cs="Times New Roman"/>
          <w:noProof/>
        </w:rPr>
        <w:t>The Commission has not come across or been made aware of significant concerns about the credit quality of EU securitisations, despite the relatively adverse macroeconomic environment, which suggests that the EU securitisation market is on a solid footing.</w:t>
      </w:r>
    </w:p>
    <w:p w14:paraId="3FCB2CE4" w14:textId="2159E554" w:rsidR="00175683" w:rsidRPr="003C0D71" w:rsidRDefault="00175683" w:rsidP="00175683">
      <w:pPr>
        <w:jc w:val="both"/>
        <w:rPr>
          <w:rFonts w:ascii="Times New Roman" w:hAnsi="Times New Roman" w:cs="Times New Roman"/>
          <w:noProof/>
        </w:rPr>
      </w:pPr>
      <w:r w:rsidRPr="003C0D71">
        <w:rPr>
          <w:rFonts w:ascii="Times New Roman" w:hAnsi="Times New Roman" w:cs="Times New Roman"/>
          <w:noProof/>
        </w:rPr>
        <w:t>The Commission notes that the STS label has</w:t>
      </w:r>
      <w:r w:rsidR="00112295">
        <w:rPr>
          <w:rFonts w:ascii="Times New Roman" w:hAnsi="Times New Roman" w:cs="Times New Roman"/>
          <w:noProof/>
        </w:rPr>
        <w:t xml:space="preserve"> been</w:t>
      </w:r>
      <w:r w:rsidRPr="003C0D71">
        <w:rPr>
          <w:rFonts w:ascii="Times New Roman" w:hAnsi="Times New Roman" w:cs="Times New Roman"/>
          <w:noProof/>
        </w:rPr>
        <w:t xml:space="preserve"> taken up and broadly accepted by the market. It serves its purpose of helping investors identify high-quality </w:t>
      </w:r>
      <w:r w:rsidRPr="00F21378">
        <w:rPr>
          <w:rFonts w:ascii="Times New Roman" w:hAnsi="Times New Roman" w:cs="Times New Roman"/>
          <w:noProof/>
        </w:rPr>
        <w:t>structures</w:t>
      </w:r>
      <w:r w:rsidRPr="003C0D71">
        <w:rPr>
          <w:rFonts w:ascii="Times New Roman" w:hAnsi="Times New Roman" w:cs="Times New Roman"/>
          <w:noProof/>
        </w:rPr>
        <w:t xml:space="preserve"> and helps to remove the stigma attached to securitisation. The Commission and the ESAs will continue </w:t>
      </w:r>
      <w:r w:rsidR="00112295">
        <w:rPr>
          <w:rFonts w:ascii="Times New Roman" w:hAnsi="Times New Roman" w:cs="Times New Roman"/>
          <w:noProof/>
        </w:rPr>
        <w:t xml:space="preserve">to </w:t>
      </w:r>
      <w:r w:rsidRPr="003C0D71">
        <w:rPr>
          <w:rFonts w:ascii="Times New Roman" w:hAnsi="Times New Roman" w:cs="Times New Roman"/>
          <w:noProof/>
        </w:rPr>
        <w:t xml:space="preserve">monitor the market and </w:t>
      </w:r>
      <w:r w:rsidRPr="00F21378">
        <w:rPr>
          <w:rFonts w:ascii="Times New Roman" w:hAnsi="Times New Roman" w:cs="Times New Roman"/>
          <w:noProof/>
        </w:rPr>
        <w:t xml:space="preserve">provide </w:t>
      </w:r>
      <w:r w:rsidR="00F21378" w:rsidRPr="00F21378">
        <w:rPr>
          <w:rFonts w:ascii="Times New Roman" w:hAnsi="Times New Roman" w:cs="Times New Roman"/>
          <w:noProof/>
        </w:rPr>
        <w:t xml:space="preserve">market participants with </w:t>
      </w:r>
      <w:r w:rsidRPr="00F21378">
        <w:rPr>
          <w:rFonts w:ascii="Times New Roman" w:hAnsi="Times New Roman" w:cs="Times New Roman"/>
          <w:noProof/>
        </w:rPr>
        <w:t xml:space="preserve">guidance and clarity </w:t>
      </w:r>
      <w:r w:rsidR="00112295" w:rsidRPr="00F21378">
        <w:rPr>
          <w:rFonts w:ascii="Times New Roman" w:hAnsi="Times New Roman" w:cs="Times New Roman"/>
          <w:noProof/>
        </w:rPr>
        <w:t xml:space="preserve">as necessary </w:t>
      </w:r>
      <w:r w:rsidR="008E582D" w:rsidRPr="00F21378">
        <w:rPr>
          <w:rFonts w:ascii="Times New Roman" w:hAnsi="Times New Roman" w:cs="Times New Roman"/>
          <w:noProof/>
        </w:rPr>
        <w:t>on</w:t>
      </w:r>
      <w:r w:rsidRPr="00F21378">
        <w:rPr>
          <w:rFonts w:ascii="Times New Roman" w:hAnsi="Times New Roman" w:cs="Times New Roman"/>
          <w:noProof/>
        </w:rPr>
        <w:t xml:space="preserve"> the interpretation of the STS criteria, to help them navigate the legal framework</w:t>
      </w:r>
      <w:r w:rsidRPr="003C0D71">
        <w:rPr>
          <w:rFonts w:ascii="Times New Roman" w:hAnsi="Times New Roman" w:cs="Times New Roman"/>
          <w:noProof/>
        </w:rPr>
        <w:t>.</w:t>
      </w:r>
    </w:p>
    <w:p w14:paraId="7085F739" w14:textId="07F9713B" w:rsidR="00175683" w:rsidRPr="003C0D71" w:rsidRDefault="00175683" w:rsidP="00175683">
      <w:pPr>
        <w:jc w:val="both"/>
        <w:rPr>
          <w:rFonts w:ascii="Times New Roman" w:hAnsi="Times New Roman" w:cs="Times New Roman"/>
          <w:noProof/>
        </w:rPr>
      </w:pPr>
      <w:r w:rsidRPr="003C0D71">
        <w:rPr>
          <w:rFonts w:ascii="Times New Roman" w:hAnsi="Times New Roman" w:cs="Times New Roman"/>
          <w:noProof/>
        </w:rPr>
        <w:t xml:space="preserve">The Commission is of the opinion that the Securitisation Regulation seems overall </w:t>
      </w:r>
      <w:r w:rsidR="00112295">
        <w:rPr>
          <w:rFonts w:ascii="Times New Roman" w:hAnsi="Times New Roman" w:cs="Times New Roman"/>
          <w:noProof/>
        </w:rPr>
        <w:t xml:space="preserve">to </w:t>
      </w:r>
      <w:r w:rsidRPr="003C0D71">
        <w:rPr>
          <w:rFonts w:ascii="Times New Roman" w:hAnsi="Times New Roman" w:cs="Times New Roman"/>
          <w:noProof/>
        </w:rPr>
        <w:t xml:space="preserve">be fit for purpose and </w:t>
      </w:r>
      <w:r w:rsidR="00112295">
        <w:rPr>
          <w:rFonts w:ascii="Times New Roman" w:hAnsi="Times New Roman" w:cs="Times New Roman"/>
          <w:noProof/>
        </w:rPr>
        <w:t>does not see</w:t>
      </w:r>
      <w:r w:rsidRPr="003C0D71">
        <w:rPr>
          <w:rFonts w:ascii="Times New Roman" w:hAnsi="Times New Roman" w:cs="Times New Roman"/>
          <w:noProof/>
        </w:rPr>
        <w:t xml:space="preserve"> the need for major legislative change at this juncture. Having said that, </w:t>
      </w:r>
      <w:r w:rsidR="00CA68B9">
        <w:rPr>
          <w:rFonts w:ascii="Times New Roman" w:hAnsi="Times New Roman" w:cs="Times New Roman"/>
          <w:noProof/>
        </w:rPr>
        <w:t>t</w:t>
      </w:r>
      <w:r w:rsidR="00CA68B9" w:rsidRPr="003C0D71">
        <w:rPr>
          <w:rFonts w:ascii="Times New Roman" w:hAnsi="Times New Roman" w:cs="Times New Roman"/>
          <w:noProof/>
        </w:rPr>
        <w:t xml:space="preserve">he Commission takes note of the concerns expressed by stakeholders </w:t>
      </w:r>
      <w:r w:rsidR="00CA68B9">
        <w:rPr>
          <w:rFonts w:ascii="Times New Roman" w:hAnsi="Times New Roman" w:cs="Times New Roman"/>
          <w:noProof/>
        </w:rPr>
        <w:t>and</w:t>
      </w:r>
      <w:r w:rsidRPr="003C0D71">
        <w:rPr>
          <w:rFonts w:ascii="Times New Roman" w:hAnsi="Times New Roman" w:cs="Times New Roman"/>
          <w:noProof/>
        </w:rPr>
        <w:t xml:space="preserve"> acknowledges that there is room for fine-tuning on certain aspects (see </w:t>
      </w:r>
      <w:r w:rsidR="00D80814">
        <w:rPr>
          <w:rFonts w:ascii="Times New Roman" w:hAnsi="Times New Roman" w:cs="Times New Roman"/>
          <w:noProof/>
        </w:rPr>
        <w:t>S</w:t>
      </w:r>
      <w:r w:rsidRPr="003C0D71">
        <w:rPr>
          <w:rFonts w:ascii="Times New Roman" w:hAnsi="Times New Roman" w:cs="Times New Roman"/>
          <w:noProof/>
        </w:rPr>
        <w:t>ection</w:t>
      </w:r>
      <w:r w:rsidR="00D80814">
        <w:rPr>
          <w:rFonts w:ascii="Times New Roman" w:hAnsi="Times New Roman" w:cs="Times New Roman"/>
          <w:noProof/>
        </w:rPr>
        <w:t>s</w:t>
      </w:r>
      <w:r w:rsidRPr="003C0D71">
        <w:rPr>
          <w:rFonts w:ascii="Times New Roman" w:hAnsi="Times New Roman" w:cs="Times New Roman"/>
          <w:noProof/>
        </w:rPr>
        <w:t xml:space="preserve"> 5 and 6). </w:t>
      </w:r>
    </w:p>
    <w:p w14:paraId="5E6A4216" w14:textId="77777777" w:rsidR="005D192F" w:rsidRPr="003C0D71" w:rsidRDefault="2603B6C4" w:rsidP="005D192F">
      <w:pPr>
        <w:pStyle w:val="Heading1"/>
        <w:numPr>
          <w:ilvl w:val="0"/>
          <w:numId w:val="2"/>
        </w:numPr>
        <w:rPr>
          <w:rFonts w:ascii="Times New Roman" w:hAnsi="Times New Roman" w:cs="Times New Roman"/>
          <w:noProof/>
          <w:color w:val="auto"/>
        </w:rPr>
      </w:pPr>
      <w:bookmarkStart w:id="17" w:name="_Toc104283064"/>
      <w:bookmarkStart w:id="18" w:name="_Toc104286132"/>
      <w:bookmarkStart w:id="19" w:name="_Toc104297337"/>
      <w:bookmarkStart w:id="20" w:name="_Toc115346206"/>
      <w:r w:rsidRPr="003C0D71">
        <w:rPr>
          <w:rFonts w:ascii="Times New Roman" w:hAnsi="Times New Roman" w:cs="Times New Roman"/>
          <w:noProof/>
          <w:color w:val="auto"/>
        </w:rPr>
        <w:t>Risk retention</w:t>
      </w:r>
      <w:bookmarkEnd w:id="17"/>
      <w:bookmarkEnd w:id="18"/>
      <w:bookmarkEnd w:id="19"/>
      <w:bookmarkEnd w:id="20"/>
    </w:p>
    <w:p w14:paraId="2D7633EA" w14:textId="77777777" w:rsidR="00D57961" w:rsidRPr="003C0D71" w:rsidRDefault="2603B6C4" w:rsidP="000D4664">
      <w:pPr>
        <w:rPr>
          <w:rFonts w:ascii="Times New Roman" w:hAnsi="Times New Roman" w:cs="Times New Roman"/>
          <w:b/>
          <w:noProof/>
          <w:sz w:val="24"/>
        </w:rPr>
      </w:pPr>
      <w:r w:rsidRPr="003C0D71">
        <w:rPr>
          <w:rFonts w:ascii="Times New Roman" w:hAnsi="Times New Roman" w:cs="Times New Roman"/>
          <w:b/>
          <w:noProof/>
          <w:sz w:val="24"/>
        </w:rPr>
        <w:t>Background and findings</w:t>
      </w:r>
    </w:p>
    <w:p w14:paraId="2AB25D65" w14:textId="07798A80" w:rsidR="00D946F3" w:rsidRPr="003C0D71" w:rsidRDefault="2603B6C4" w:rsidP="2603B6C4">
      <w:pPr>
        <w:jc w:val="both"/>
        <w:rPr>
          <w:rFonts w:ascii="Times New Roman" w:hAnsi="Times New Roman" w:cs="Times New Roman"/>
          <w:noProof/>
        </w:rPr>
      </w:pPr>
      <w:r w:rsidRPr="003C0D71">
        <w:rPr>
          <w:rFonts w:ascii="Times New Roman" w:hAnsi="Times New Roman" w:cs="Times New Roman"/>
          <w:noProof/>
        </w:rPr>
        <w:t xml:space="preserve">In order to prevent a </w:t>
      </w:r>
      <w:r w:rsidRPr="00F21378">
        <w:rPr>
          <w:rFonts w:ascii="Times New Roman" w:hAnsi="Times New Roman" w:cs="Times New Roman"/>
          <w:noProof/>
        </w:rPr>
        <w:t>misalignment of incentives</w:t>
      </w:r>
      <w:r w:rsidRPr="003C0D71">
        <w:rPr>
          <w:rFonts w:ascii="Times New Roman" w:hAnsi="Times New Roman" w:cs="Times New Roman"/>
          <w:noProof/>
        </w:rPr>
        <w:t xml:space="preserve"> between </w:t>
      </w:r>
      <w:r w:rsidR="00F21378">
        <w:rPr>
          <w:rFonts w:ascii="Times New Roman" w:hAnsi="Times New Roman" w:cs="Times New Roman"/>
          <w:noProof/>
        </w:rPr>
        <w:t xml:space="preserve">the </w:t>
      </w:r>
      <w:r w:rsidRPr="003C0D71">
        <w:rPr>
          <w:rFonts w:ascii="Times New Roman" w:hAnsi="Times New Roman" w:cs="Times New Roman"/>
          <w:noProof/>
        </w:rPr>
        <w:t xml:space="preserve">issuers and buyers of a securitisation, </w:t>
      </w:r>
      <w:r w:rsidR="005903EC" w:rsidRPr="003C0D71">
        <w:rPr>
          <w:rFonts w:ascii="Times New Roman" w:hAnsi="Times New Roman" w:cs="Times New Roman"/>
          <w:noProof/>
        </w:rPr>
        <w:t xml:space="preserve">Article 6 </w:t>
      </w:r>
      <w:r w:rsidR="00AD264D">
        <w:rPr>
          <w:rFonts w:ascii="Times New Roman" w:hAnsi="Times New Roman" w:cs="Times New Roman"/>
          <w:noProof/>
        </w:rPr>
        <w:t xml:space="preserve">of the </w:t>
      </w:r>
      <w:r w:rsidR="005903EC" w:rsidRPr="003C0D71">
        <w:rPr>
          <w:rFonts w:ascii="Times New Roman" w:hAnsi="Times New Roman" w:cs="Times New Roman"/>
          <w:noProof/>
        </w:rPr>
        <w:t xml:space="preserve">Securitisation Regulation requires </w:t>
      </w:r>
      <w:r w:rsidRPr="003C0D71">
        <w:rPr>
          <w:rFonts w:ascii="Times New Roman" w:hAnsi="Times New Roman" w:cs="Times New Roman"/>
          <w:noProof/>
        </w:rPr>
        <w:t>originators, sponsors or original lenders (and servicers, in the case of securitisation of non-performing exposures) to hold at least</w:t>
      </w:r>
      <w:r w:rsidR="00F21378">
        <w:rPr>
          <w:rFonts w:ascii="Times New Roman" w:hAnsi="Times New Roman" w:cs="Times New Roman"/>
          <w:noProof/>
        </w:rPr>
        <w:t xml:space="preserve"> a </w:t>
      </w:r>
      <w:r w:rsidRPr="003C0D71">
        <w:rPr>
          <w:rFonts w:ascii="Times New Roman" w:hAnsi="Times New Roman" w:cs="Times New Roman"/>
          <w:noProof/>
        </w:rPr>
        <w:t xml:space="preserve">5% net economic interest in the securitisation throughout the life of the transaction. In addition to this direct obligation, there is also an indirect verification of the risk retention requirement whereby institutional investors are only allowed to hold securitisation positions where at least </w:t>
      </w:r>
      <w:r w:rsidR="00F21378">
        <w:rPr>
          <w:rFonts w:ascii="Times New Roman" w:hAnsi="Times New Roman" w:cs="Times New Roman"/>
          <w:noProof/>
        </w:rPr>
        <w:t xml:space="preserve">a </w:t>
      </w:r>
      <w:r w:rsidRPr="003C0D71">
        <w:rPr>
          <w:rFonts w:ascii="Times New Roman" w:hAnsi="Times New Roman" w:cs="Times New Roman"/>
          <w:noProof/>
        </w:rPr>
        <w:t>5% material net economic interest is retained.</w:t>
      </w:r>
    </w:p>
    <w:p w14:paraId="17B5A6D0" w14:textId="4D330E28" w:rsidR="00BE2871" w:rsidRDefault="002B1000" w:rsidP="2603B6C4">
      <w:pPr>
        <w:jc w:val="both"/>
        <w:rPr>
          <w:rFonts w:ascii="Times New Roman" w:hAnsi="Times New Roman" w:cs="Times New Roman"/>
          <w:noProof/>
        </w:rPr>
      </w:pPr>
      <w:r w:rsidRPr="003C0D71">
        <w:rPr>
          <w:rFonts w:ascii="Times New Roman" w:hAnsi="Times New Roman" w:cs="Times New Roman"/>
          <w:noProof/>
        </w:rPr>
        <w:t>According to information from the European Data Warehouse</w:t>
      </w:r>
      <w:r w:rsidR="003409D4" w:rsidRPr="003C0D71">
        <w:rPr>
          <w:rStyle w:val="FootnoteReference"/>
          <w:rFonts w:ascii="Times New Roman" w:hAnsi="Times New Roman" w:cs="Times New Roman"/>
          <w:noProof/>
        </w:rPr>
        <w:footnoteReference w:id="23"/>
      </w:r>
      <w:r w:rsidRPr="003C0D71">
        <w:rPr>
          <w:rFonts w:ascii="Times New Roman" w:hAnsi="Times New Roman" w:cs="Times New Roman"/>
          <w:noProof/>
        </w:rPr>
        <w:t xml:space="preserve"> securitisation repository, the most common retention method among public </w:t>
      </w:r>
      <w:r w:rsidR="006C172B" w:rsidRPr="003C0D71">
        <w:rPr>
          <w:rFonts w:ascii="Times New Roman" w:hAnsi="Times New Roman" w:cs="Times New Roman"/>
          <w:noProof/>
        </w:rPr>
        <w:t>long-</w:t>
      </w:r>
      <w:r w:rsidRPr="003C0D71">
        <w:rPr>
          <w:rFonts w:ascii="Times New Roman" w:hAnsi="Times New Roman" w:cs="Times New Roman"/>
          <w:noProof/>
        </w:rPr>
        <w:t>term securitisations was ‘first loss’</w:t>
      </w:r>
      <w:r w:rsidR="00F21378">
        <w:rPr>
          <w:rFonts w:ascii="Times New Roman" w:hAnsi="Times New Roman" w:cs="Times New Roman"/>
          <w:noProof/>
        </w:rPr>
        <w:t>,</w:t>
      </w:r>
      <w:r w:rsidRPr="003C0D71">
        <w:rPr>
          <w:rFonts w:ascii="Times New Roman" w:hAnsi="Times New Roman" w:cs="Times New Roman"/>
          <w:noProof/>
        </w:rPr>
        <w:t xml:space="preserve"> </w:t>
      </w:r>
      <w:r w:rsidR="00367978" w:rsidRPr="003C0D71">
        <w:rPr>
          <w:rFonts w:ascii="Times New Roman" w:hAnsi="Times New Roman" w:cs="Times New Roman"/>
          <w:noProof/>
        </w:rPr>
        <w:t xml:space="preserve">whereby the retainer keeps the first credit loss up to at least 5% of the nominal value of the securitised exposures (see Figure </w:t>
      </w:r>
      <w:r w:rsidR="003C0D71">
        <w:rPr>
          <w:rFonts w:ascii="Times New Roman" w:hAnsi="Times New Roman" w:cs="Times New Roman"/>
          <w:noProof/>
        </w:rPr>
        <w:t>3</w:t>
      </w:r>
      <w:r w:rsidR="00367978" w:rsidRPr="003C0D71">
        <w:rPr>
          <w:rFonts w:ascii="Times New Roman" w:hAnsi="Times New Roman" w:cs="Times New Roman"/>
          <w:noProof/>
        </w:rPr>
        <w:t>).</w:t>
      </w:r>
    </w:p>
    <w:p w14:paraId="2ECD391A" w14:textId="77777777" w:rsidR="00367978" w:rsidRPr="003C0D71" w:rsidRDefault="00367978" w:rsidP="00367978">
      <w:pPr>
        <w:spacing w:after="0"/>
        <w:jc w:val="both"/>
        <w:rPr>
          <w:rFonts w:ascii="Times New Roman" w:hAnsi="Times New Roman" w:cs="Times New Roman"/>
          <w:b/>
          <w:noProof/>
        </w:rPr>
      </w:pPr>
      <w:r w:rsidRPr="003C0D71">
        <w:rPr>
          <w:rFonts w:ascii="Times New Roman" w:hAnsi="Times New Roman" w:cs="Times New Roman"/>
          <w:b/>
          <w:noProof/>
        </w:rPr>
        <w:t>Figure</w:t>
      </w:r>
      <w:r w:rsidR="00D338B2" w:rsidRPr="003C0D71">
        <w:rPr>
          <w:rFonts w:ascii="Times New Roman" w:hAnsi="Times New Roman" w:cs="Times New Roman"/>
          <w:b/>
          <w:noProof/>
        </w:rPr>
        <w:t xml:space="preserve"> </w:t>
      </w:r>
      <w:r w:rsidR="003C0D71">
        <w:rPr>
          <w:rFonts w:ascii="Times New Roman" w:hAnsi="Times New Roman" w:cs="Times New Roman"/>
          <w:b/>
          <w:noProof/>
        </w:rPr>
        <w:t>3</w:t>
      </w:r>
      <w:r w:rsidRPr="003C0D71">
        <w:rPr>
          <w:rFonts w:ascii="Times New Roman" w:hAnsi="Times New Roman" w:cs="Times New Roman"/>
          <w:b/>
          <w:noProof/>
        </w:rPr>
        <w:t>: Use of retention methods in public term securitisations, % of total</w:t>
      </w:r>
    </w:p>
    <w:p w14:paraId="1214757C" w14:textId="77777777" w:rsidR="00367978" w:rsidRPr="003C0D71" w:rsidRDefault="00367978" w:rsidP="00367978">
      <w:pPr>
        <w:spacing w:after="0"/>
        <w:jc w:val="both"/>
        <w:rPr>
          <w:rFonts w:ascii="Times New Roman" w:hAnsi="Times New Roman" w:cs="Times New Roman"/>
          <w:b/>
          <w:noProof/>
        </w:rPr>
      </w:pPr>
    </w:p>
    <w:p w14:paraId="132F42D7" w14:textId="77777777" w:rsidR="00865B96" w:rsidRDefault="00367978" w:rsidP="2603B6C4">
      <w:pPr>
        <w:jc w:val="both"/>
        <w:rPr>
          <w:rFonts w:ascii="Times New Roman" w:hAnsi="Times New Roman" w:cs="Times New Roman"/>
          <w:noProof/>
          <w:sz w:val="20"/>
        </w:rPr>
      </w:pPr>
      <w:r w:rsidRPr="003C0D71">
        <w:rPr>
          <w:rFonts w:ascii="Times New Roman" w:hAnsi="Times New Roman" w:cs="Times New Roman"/>
          <w:noProof/>
          <w:sz w:val="20"/>
        </w:rPr>
        <w:t>Source: European Data Warehouse</w:t>
      </w:r>
    </w:p>
    <w:p w14:paraId="359B5D71" w14:textId="3496AB1D" w:rsidR="00367978" w:rsidRPr="003C0D71" w:rsidRDefault="00865B96" w:rsidP="2603B6C4">
      <w:pPr>
        <w:jc w:val="both"/>
        <w:rPr>
          <w:rFonts w:ascii="Times New Roman" w:hAnsi="Times New Roman" w:cs="Times New Roman"/>
          <w:noProof/>
          <w:sz w:val="20"/>
        </w:rPr>
      </w:pPr>
      <w:r>
        <w:rPr>
          <w:noProof/>
          <w:lang w:eastAsia="en-GB"/>
        </w:rPr>
        <w:drawing>
          <wp:inline distT="0" distB="0" distL="0" distR="0" wp14:anchorId="0BDC3425" wp14:editId="024353AD">
            <wp:extent cx="5081905" cy="2446020"/>
            <wp:effectExtent l="0" t="0" r="4445" b="1143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45C8C46" w14:textId="750CD973" w:rsidR="00F15BAC" w:rsidRPr="003C0D71" w:rsidRDefault="002B1000" w:rsidP="2603B6C4">
      <w:pPr>
        <w:jc w:val="both"/>
        <w:rPr>
          <w:rFonts w:ascii="Times New Roman" w:hAnsi="Times New Roman" w:cs="Times New Roman"/>
          <w:noProof/>
        </w:rPr>
      </w:pPr>
      <w:r w:rsidRPr="003C0D71">
        <w:rPr>
          <w:rFonts w:ascii="Times New Roman" w:hAnsi="Times New Roman" w:cs="Times New Roman"/>
          <w:noProof/>
        </w:rPr>
        <w:t xml:space="preserve">As private securitisations are not required to report to the securitisation repositories, </w:t>
      </w:r>
      <w:r w:rsidR="001F59A9">
        <w:rPr>
          <w:rFonts w:ascii="Times New Roman" w:hAnsi="Times New Roman" w:cs="Times New Roman"/>
          <w:noProof/>
        </w:rPr>
        <w:t xml:space="preserve">it </w:t>
      </w:r>
      <w:r w:rsidR="001F59A9" w:rsidRPr="003C0D71">
        <w:rPr>
          <w:rFonts w:ascii="Times New Roman" w:hAnsi="Times New Roman" w:cs="Times New Roman"/>
          <w:noProof/>
        </w:rPr>
        <w:t xml:space="preserve">is more difficult to obtain systematically </w:t>
      </w:r>
      <w:r w:rsidRPr="003C0D71">
        <w:rPr>
          <w:rFonts w:ascii="Times New Roman" w:hAnsi="Times New Roman" w:cs="Times New Roman"/>
          <w:noProof/>
        </w:rPr>
        <w:t xml:space="preserve">data on the risk retention methods in private deals. </w:t>
      </w:r>
      <w:r w:rsidR="2603B6C4" w:rsidRPr="003C0D71">
        <w:rPr>
          <w:rFonts w:ascii="Times New Roman" w:hAnsi="Times New Roman" w:cs="Times New Roman"/>
          <w:noProof/>
        </w:rPr>
        <w:t>According to</w:t>
      </w:r>
      <w:r w:rsidR="00347576" w:rsidRPr="003C0D71">
        <w:rPr>
          <w:rFonts w:ascii="Times New Roman" w:hAnsi="Times New Roman" w:cs="Times New Roman"/>
          <w:noProof/>
        </w:rPr>
        <w:t xml:space="preserve"> </w:t>
      </w:r>
      <w:r w:rsidR="00D338B2" w:rsidRPr="003C0D71">
        <w:rPr>
          <w:rFonts w:ascii="Times New Roman" w:hAnsi="Times New Roman" w:cs="Times New Roman"/>
          <w:noProof/>
        </w:rPr>
        <w:t>COREP data</w:t>
      </w:r>
      <w:r w:rsidR="00D74F12" w:rsidRPr="003C0D71">
        <w:rPr>
          <w:rFonts w:ascii="Times New Roman" w:hAnsi="Times New Roman" w:cs="Times New Roman"/>
          <w:noProof/>
        </w:rPr>
        <w:t xml:space="preserve"> </w:t>
      </w:r>
      <w:r w:rsidR="00C808F2">
        <w:rPr>
          <w:rFonts w:ascii="Times New Roman" w:hAnsi="Times New Roman" w:cs="Times New Roman"/>
          <w:noProof/>
        </w:rPr>
        <w:t>on</w:t>
      </w:r>
      <w:r w:rsidR="00C808F2" w:rsidRPr="003C0D71">
        <w:rPr>
          <w:rFonts w:ascii="Times New Roman" w:hAnsi="Times New Roman" w:cs="Times New Roman"/>
          <w:noProof/>
        </w:rPr>
        <w:t xml:space="preserve"> </w:t>
      </w:r>
      <w:r w:rsidR="00D74F12" w:rsidRPr="003C0D71">
        <w:rPr>
          <w:rFonts w:ascii="Times New Roman" w:hAnsi="Times New Roman" w:cs="Times New Roman"/>
          <w:noProof/>
        </w:rPr>
        <w:t>the banks involved in securitisation transactions</w:t>
      </w:r>
      <w:r w:rsidR="2603B6C4" w:rsidRPr="003C0D71">
        <w:rPr>
          <w:rFonts w:ascii="Times New Roman" w:hAnsi="Times New Roman" w:cs="Times New Roman"/>
          <w:noProof/>
        </w:rPr>
        <w:t>, the most common retention method</w:t>
      </w:r>
      <w:r w:rsidR="00BE2871" w:rsidRPr="003C0D71">
        <w:rPr>
          <w:rFonts w:ascii="Times New Roman" w:hAnsi="Times New Roman" w:cs="Times New Roman"/>
          <w:noProof/>
        </w:rPr>
        <w:t xml:space="preserve"> among </w:t>
      </w:r>
      <w:r w:rsidR="0002619F" w:rsidRPr="003C0D71">
        <w:rPr>
          <w:rFonts w:ascii="Times New Roman" w:hAnsi="Times New Roman" w:cs="Times New Roman"/>
          <w:noProof/>
        </w:rPr>
        <w:t>synthetic</w:t>
      </w:r>
      <w:r w:rsidR="00BE2871" w:rsidRPr="003C0D71">
        <w:rPr>
          <w:rFonts w:ascii="Times New Roman" w:hAnsi="Times New Roman" w:cs="Times New Roman"/>
          <w:noProof/>
        </w:rPr>
        <w:t xml:space="preserve"> transaction</w:t>
      </w:r>
      <w:r w:rsidR="006A4B89" w:rsidRPr="003C0D71">
        <w:rPr>
          <w:rFonts w:ascii="Times New Roman" w:hAnsi="Times New Roman" w:cs="Times New Roman"/>
          <w:noProof/>
        </w:rPr>
        <w:t>s</w:t>
      </w:r>
      <w:r w:rsidR="00BE2871" w:rsidRPr="003C0D71">
        <w:rPr>
          <w:rFonts w:ascii="Times New Roman" w:hAnsi="Times New Roman" w:cs="Times New Roman"/>
          <w:noProof/>
        </w:rPr>
        <w:t xml:space="preserve"> seeking the recognition of significant risk transfer </w:t>
      </w:r>
      <w:r w:rsidR="0002619F" w:rsidRPr="003C0D71">
        <w:rPr>
          <w:rFonts w:ascii="Times New Roman" w:hAnsi="Times New Roman" w:cs="Times New Roman"/>
          <w:noProof/>
        </w:rPr>
        <w:t>(SRT)</w:t>
      </w:r>
      <w:r w:rsidR="00BE2871" w:rsidRPr="003C0D71">
        <w:rPr>
          <w:rFonts w:ascii="Times New Roman" w:hAnsi="Times New Roman" w:cs="Times New Roman"/>
          <w:noProof/>
        </w:rPr>
        <w:t xml:space="preserve"> to free up capital</w:t>
      </w:r>
      <w:r w:rsidR="00C808F2">
        <w:rPr>
          <w:rFonts w:ascii="Times New Roman" w:hAnsi="Times New Roman" w:cs="Times New Roman"/>
          <w:noProof/>
        </w:rPr>
        <w:t xml:space="preserve"> (</w:t>
      </w:r>
      <w:r w:rsidR="0002619F" w:rsidRPr="003C0D71">
        <w:rPr>
          <w:rFonts w:ascii="Times New Roman" w:hAnsi="Times New Roman" w:cs="Times New Roman"/>
          <w:noProof/>
        </w:rPr>
        <w:t xml:space="preserve">which are typically private </w:t>
      </w:r>
      <w:r w:rsidR="00C808F2">
        <w:rPr>
          <w:rFonts w:ascii="Times New Roman" w:hAnsi="Times New Roman" w:cs="Times New Roman"/>
          <w:noProof/>
        </w:rPr>
        <w:t>transactions)</w:t>
      </w:r>
      <w:r w:rsidR="0002619F" w:rsidRPr="003C0D71">
        <w:rPr>
          <w:rFonts w:ascii="Times New Roman" w:hAnsi="Times New Roman" w:cs="Times New Roman"/>
          <w:noProof/>
        </w:rPr>
        <w:t>,</w:t>
      </w:r>
      <w:r w:rsidR="2603B6C4" w:rsidRPr="003C0D71">
        <w:rPr>
          <w:rFonts w:ascii="Times New Roman" w:hAnsi="Times New Roman" w:cs="Times New Roman"/>
          <w:noProof/>
        </w:rPr>
        <w:t xml:space="preserve"> is the </w:t>
      </w:r>
      <w:r w:rsidR="000A06C6">
        <w:rPr>
          <w:rFonts w:ascii="Times New Roman" w:hAnsi="Times New Roman" w:cs="Times New Roman"/>
          <w:noProof/>
        </w:rPr>
        <w:t>‘</w:t>
      </w:r>
      <w:r w:rsidR="2603B6C4" w:rsidRPr="003C0D71">
        <w:rPr>
          <w:rFonts w:ascii="Times New Roman" w:hAnsi="Times New Roman" w:cs="Times New Roman"/>
          <w:noProof/>
        </w:rPr>
        <w:t>vertical slice</w:t>
      </w:r>
      <w:r w:rsidR="000A06C6">
        <w:rPr>
          <w:rFonts w:ascii="Times New Roman" w:hAnsi="Times New Roman" w:cs="Times New Roman"/>
          <w:noProof/>
        </w:rPr>
        <w:t>’</w:t>
      </w:r>
      <w:r w:rsidR="00C808F2">
        <w:rPr>
          <w:rFonts w:ascii="Times New Roman" w:hAnsi="Times New Roman" w:cs="Times New Roman"/>
          <w:noProof/>
        </w:rPr>
        <w:t xml:space="preserve">. This means that </w:t>
      </w:r>
      <w:r w:rsidR="2603B6C4" w:rsidRPr="003C0D71">
        <w:rPr>
          <w:rFonts w:ascii="Times New Roman" w:hAnsi="Times New Roman" w:cs="Times New Roman"/>
          <w:noProof/>
        </w:rPr>
        <w:t>the originator, sponsor or original lender retain</w:t>
      </w:r>
      <w:r w:rsidR="00C808F2">
        <w:rPr>
          <w:rFonts w:ascii="Times New Roman" w:hAnsi="Times New Roman" w:cs="Times New Roman"/>
          <w:noProof/>
        </w:rPr>
        <w:t>s</w:t>
      </w:r>
      <w:r w:rsidR="2603B6C4" w:rsidRPr="003C0D71">
        <w:rPr>
          <w:rFonts w:ascii="Times New Roman" w:hAnsi="Times New Roman" w:cs="Times New Roman"/>
          <w:noProof/>
        </w:rPr>
        <w:t xml:space="preserve"> at least 5% of each tranche sold or transferred to investors. </w:t>
      </w:r>
      <w:r w:rsidR="0002619F" w:rsidRPr="003C0D71">
        <w:rPr>
          <w:rFonts w:ascii="Times New Roman" w:hAnsi="Times New Roman" w:cs="Times New Roman"/>
          <w:noProof/>
        </w:rPr>
        <w:t xml:space="preserve">This method of retention was used by 80% of the synthetic SRT transactions in </w:t>
      </w:r>
      <w:r w:rsidR="0002619F" w:rsidRPr="00E01880">
        <w:rPr>
          <w:rFonts w:ascii="Times New Roman" w:hAnsi="Times New Roman" w:cs="Times New Roman"/>
          <w:noProof/>
        </w:rPr>
        <w:t>2020 – 2021</w:t>
      </w:r>
      <w:r w:rsidR="0002619F" w:rsidRPr="003C0D71">
        <w:rPr>
          <w:rFonts w:ascii="Times New Roman" w:hAnsi="Times New Roman" w:cs="Times New Roman"/>
          <w:noProof/>
        </w:rPr>
        <w:t>.</w:t>
      </w:r>
    </w:p>
    <w:p w14:paraId="0D7E1334" w14:textId="6944F184" w:rsidR="00214960" w:rsidRPr="003C0D71" w:rsidRDefault="2603B6C4" w:rsidP="2603B6C4">
      <w:pPr>
        <w:jc w:val="both"/>
        <w:rPr>
          <w:rFonts w:ascii="Times New Roman" w:hAnsi="Times New Roman" w:cs="Times New Roman"/>
          <w:noProof/>
        </w:rPr>
      </w:pPr>
      <w:r w:rsidRPr="003C0D71">
        <w:rPr>
          <w:rFonts w:ascii="Times New Roman" w:hAnsi="Times New Roman" w:cs="Times New Roman"/>
          <w:noProof/>
        </w:rPr>
        <w:t xml:space="preserve">The Joint Committee </w:t>
      </w:r>
      <w:r w:rsidR="00C808F2">
        <w:rPr>
          <w:rFonts w:ascii="Times New Roman" w:hAnsi="Times New Roman" w:cs="Times New Roman"/>
          <w:noProof/>
        </w:rPr>
        <w:t>r</w:t>
      </w:r>
      <w:r w:rsidRPr="003C0D71">
        <w:rPr>
          <w:rFonts w:ascii="Times New Roman" w:hAnsi="Times New Roman" w:cs="Times New Roman"/>
          <w:noProof/>
        </w:rPr>
        <w:t xml:space="preserve">eport did not find </w:t>
      </w:r>
      <w:r w:rsidR="00C808F2">
        <w:rPr>
          <w:rFonts w:ascii="Times New Roman" w:hAnsi="Times New Roman" w:cs="Times New Roman"/>
          <w:noProof/>
        </w:rPr>
        <w:t>deficiencies</w:t>
      </w:r>
      <w:r w:rsidR="00C808F2" w:rsidRPr="003C0D71">
        <w:rPr>
          <w:rFonts w:ascii="Times New Roman" w:hAnsi="Times New Roman" w:cs="Times New Roman"/>
          <w:noProof/>
        </w:rPr>
        <w:t xml:space="preserve"> </w:t>
      </w:r>
      <w:r w:rsidRPr="003C0D71">
        <w:rPr>
          <w:rFonts w:ascii="Times New Roman" w:hAnsi="Times New Roman" w:cs="Times New Roman"/>
          <w:noProof/>
        </w:rPr>
        <w:t xml:space="preserve">in </w:t>
      </w:r>
      <w:r w:rsidR="00C808F2">
        <w:rPr>
          <w:rFonts w:ascii="Times New Roman" w:hAnsi="Times New Roman" w:cs="Times New Roman"/>
          <w:noProof/>
        </w:rPr>
        <w:t>how</w:t>
      </w:r>
      <w:r w:rsidRPr="003C0D71">
        <w:rPr>
          <w:rFonts w:ascii="Times New Roman" w:hAnsi="Times New Roman" w:cs="Times New Roman"/>
          <w:noProof/>
        </w:rPr>
        <w:t xml:space="preserve"> the risk retention framework is applied. </w:t>
      </w:r>
      <w:r w:rsidR="00C808F2">
        <w:rPr>
          <w:rFonts w:ascii="Times New Roman" w:hAnsi="Times New Roman" w:cs="Times New Roman"/>
          <w:noProof/>
        </w:rPr>
        <w:t>H</w:t>
      </w:r>
      <w:r w:rsidR="00C808F2" w:rsidRPr="003C0D71">
        <w:rPr>
          <w:rFonts w:ascii="Times New Roman" w:hAnsi="Times New Roman" w:cs="Times New Roman"/>
          <w:noProof/>
        </w:rPr>
        <w:t>owever,</w:t>
      </w:r>
      <w:r w:rsidR="00C808F2">
        <w:rPr>
          <w:rFonts w:ascii="Times New Roman" w:hAnsi="Times New Roman" w:cs="Times New Roman"/>
          <w:noProof/>
        </w:rPr>
        <w:t xml:space="preserve"> t</w:t>
      </w:r>
      <w:r w:rsidRPr="003C0D71">
        <w:rPr>
          <w:rFonts w:ascii="Times New Roman" w:hAnsi="Times New Roman" w:cs="Times New Roman"/>
          <w:noProof/>
        </w:rPr>
        <w:t>he regulatory technical standard</w:t>
      </w:r>
      <w:r w:rsidR="00C845A7">
        <w:rPr>
          <w:rFonts w:ascii="Times New Roman" w:hAnsi="Times New Roman" w:cs="Times New Roman"/>
          <w:noProof/>
        </w:rPr>
        <w:t>s</w:t>
      </w:r>
      <w:r w:rsidRPr="003C0D71">
        <w:rPr>
          <w:rFonts w:ascii="Times New Roman" w:hAnsi="Times New Roman" w:cs="Times New Roman"/>
          <w:noProof/>
        </w:rPr>
        <w:t xml:space="preserve"> mandated by Article 6(7)</w:t>
      </w:r>
      <w:r w:rsidR="006A4B89" w:rsidRPr="003C0D71">
        <w:rPr>
          <w:rFonts w:ascii="Times New Roman" w:hAnsi="Times New Roman" w:cs="Times New Roman"/>
          <w:noProof/>
        </w:rPr>
        <w:t xml:space="preserve"> </w:t>
      </w:r>
      <w:r w:rsidR="00726A63" w:rsidRPr="003C0D71">
        <w:rPr>
          <w:rFonts w:ascii="Times New Roman" w:hAnsi="Times New Roman" w:cs="Times New Roman"/>
          <w:noProof/>
        </w:rPr>
        <w:t xml:space="preserve">of the </w:t>
      </w:r>
      <w:r w:rsidR="006A4B89" w:rsidRPr="003C0D71">
        <w:rPr>
          <w:rFonts w:ascii="Times New Roman" w:hAnsi="Times New Roman" w:cs="Times New Roman"/>
          <w:noProof/>
        </w:rPr>
        <w:t>Securitisation Regulation,</w:t>
      </w:r>
      <w:r w:rsidR="00024F2B" w:rsidRPr="003C0D71">
        <w:rPr>
          <w:rFonts w:ascii="Times New Roman" w:hAnsi="Times New Roman" w:cs="Times New Roman"/>
          <w:noProof/>
        </w:rPr>
        <w:t xml:space="preserve"> </w:t>
      </w:r>
      <w:r w:rsidR="006A4B89" w:rsidRPr="003C0D71">
        <w:rPr>
          <w:rFonts w:ascii="Times New Roman" w:hAnsi="Times New Roman" w:cs="Times New Roman"/>
          <w:noProof/>
        </w:rPr>
        <w:t xml:space="preserve">which </w:t>
      </w:r>
      <w:r w:rsidR="000464A8">
        <w:rPr>
          <w:rFonts w:ascii="Times New Roman" w:hAnsi="Times New Roman" w:cs="Times New Roman"/>
          <w:noProof/>
        </w:rPr>
        <w:t>sets out</w:t>
      </w:r>
      <w:r w:rsidR="000464A8" w:rsidRPr="003C0D71">
        <w:rPr>
          <w:rFonts w:ascii="Times New Roman" w:hAnsi="Times New Roman" w:cs="Times New Roman"/>
          <w:noProof/>
        </w:rPr>
        <w:t xml:space="preserve"> </w:t>
      </w:r>
      <w:r w:rsidR="00B054EE" w:rsidRPr="003C0D71">
        <w:rPr>
          <w:rFonts w:ascii="Times New Roman" w:hAnsi="Times New Roman" w:cs="Times New Roman"/>
          <w:noProof/>
        </w:rPr>
        <w:t xml:space="preserve">the specifics of </w:t>
      </w:r>
      <w:r w:rsidRPr="003C0D71">
        <w:rPr>
          <w:rFonts w:ascii="Times New Roman" w:hAnsi="Times New Roman" w:cs="Times New Roman"/>
          <w:noProof/>
        </w:rPr>
        <w:t xml:space="preserve">the risk retention </w:t>
      </w:r>
      <w:r w:rsidR="000464A8">
        <w:rPr>
          <w:rFonts w:ascii="Times New Roman" w:hAnsi="Times New Roman" w:cs="Times New Roman"/>
          <w:noProof/>
        </w:rPr>
        <w:t>procedures</w:t>
      </w:r>
      <w:r w:rsidRPr="003C0D71">
        <w:rPr>
          <w:rFonts w:ascii="Times New Roman" w:hAnsi="Times New Roman" w:cs="Times New Roman"/>
          <w:noProof/>
        </w:rPr>
        <w:t>, have not yet been adopted by the Commission</w:t>
      </w:r>
      <w:r w:rsidR="009F0497">
        <w:rPr>
          <w:rFonts w:ascii="Times New Roman" w:hAnsi="Times New Roman" w:cs="Times New Roman"/>
          <w:noProof/>
        </w:rPr>
        <w:t>. This</w:t>
      </w:r>
      <w:r w:rsidRPr="003C0D71">
        <w:rPr>
          <w:rFonts w:ascii="Times New Roman" w:hAnsi="Times New Roman" w:cs="Times New Roman"/>
          <w:noProof/>
        </w:rPr>
        <w:t xml:space="preserve"> may have resulted in some legal uncertainty for market participants</w:t>
      </w:r>
      <w:r w:rsidR="006A4B89" w:rsidRPr="003C0D71">
        <w:rPr>
          <w:rStyle w:val="FootnoteReference"/>
          <w:rFonts w:ascii="Times New Roman" w:hAnsi="Times New Roman" w:cs="Times New Roman"/>
          <w:noProof/>
        </w:rPr>
        <w:footnoteReference w:id="24"/>
      </w:r>
      <w:r w:rsidR="000A06C6">
        <w:rPr>
          <w:rFonts w:ascii="Times New Roman" w:hAnsi="Times New Roman" w:cs="Times New Roman"/>
          <w:noProof/>
        </w:rPr>
        <w:t>.</w:t>
      </w:r>
      <w:r w:rsidRPr="003C0D71">
        <w:rPr>
          <w:rFonts w:ascii="Times New Roman" w:hAnsi="Times New Roman" w:cs="Times New Roman"/>
          <w:noProof/>
        </w:rPr>
        <w:t xml:space="preserve"> </w:t>
      </w:r>
      <w:r w:rsidR="000A06C6">
        <w:rPr>
          <w:rFonts w:ascii="Times New Roman" w:hAnsi="Times New Roman" w:cs="Times New Roman"/>
          <w:noProof/>
        </w:rPr>
        <w:t>‘</w:t>
      </w:r>
      <w:r w:rsidRPr="003C0D71">
        <w:rPr>
          <w:rFonts w:ascii="Times New Roman" w:hAnsi="Times New Roman" w:cs="Times New Roman"/>
          <w:noProof/>
        </w:rPr>
        <w:t>Plain</w:t>
      </w:r>
      <w:r w:rsidR="00E01880">
        <w:rPr>
          <w:rFonts w:ascii="Times New Roman" w:hAnsi="Times New Roman" w:cs="Times New Roman"/>
          <w:noProof/>
        </w:rPr>
        <w:t xml:space="preserve"> </w:t>
      </w:r>
      <w:r w:rsidRPr="003C0D71">
        <w:rPr>
          <w:rFonts w:ascii="Times New Roman" w:hAnsi="Times New Roman" w:cs="Times New Roman"/>
          <w:noProof/>
        </w:rPr>
        <w:t>vanilla</w:t>
      </w:r>
      <w:r w:rsidR="000A06C6">
        <w:rPr>
          <w:rFonts w:ascii="Times New Roman" w:hAnsi="Times New Roman" w:cs="Times New Roman"/>
          <w:noProof/>
        </w:rPr>
        <w:t>’</w:t>
      </w:r>
      <w:r w:rsidRPr="003C0D71">
        <w:rPr>
          <w:rFonts w:ascii="Times New Roman" w:hAnsi="Times New Roman" w:cs="Times New Roman"/>
          <w:noProof/>
        </w:rPr>
        <w:t xml:space="preserve"> transactions appear</w:t>
      </w:r>
      <w:r w:rsidR="00B054EE" w:rsidRPr="003C0D71">
        <w:rPr>
          <w:rFonts w:ascii="Times New Roman" w:hAnsi="Times New Roman" w:cs="Times New Roman"/>
          <w:noProof/>
        </w:rPr>
        <w:t xml:space="preserve"> not</w:t>
      </w:r>
      <w:r w:rsidRPr="003C0D71">
        <w:rPr>
          <w:rFonts w:ascii="Times New Roman" w:hAnsi="Times New Roman" w:cs="Times New Roman"/>
          <w:noProof/>
        </w:rPr>
        <w:t xml:space="preserve"> to have been affected by this</w:t>
      </w:r>
      <w:r w:rsidR="00B054EE" w:rsidRPr="003C0D71">
        <w:rPr>
          <w:rFonts w:ascii="Times New Roman" w:hAnsi="Times New Roman" w:cs="Times New Roman"/>
          <w:noProof/>
        </w:rPr>
        <w:t xml:space="preserve"> lack of detailed provisions</w:t>
      </w:r>
      <w:r w:rsidRPr="003C0D71">
        <w:rPr>
          <w:rFonts w:ascii="Times New Roman" w:hAnsi="Times New Roman" w:cs="Times New Roman"/>
          <w:noProof/>
        </w:rPr>
        <w:t xml:space="preserve">, as the risk retention requirements largely carried over </w:t>
      </w:r>
      <w:r w:rsidR="003975FE">
        <w:rPr>
          <w:rFonts w:ascii="Times New Roman" w:hAnsi="Times New Roman" w:cs="Times New Roman"/>
          <w:noProof/>
        </w:rPr>
        <w:t xml:space="preserve">already </w:t>
      </w:r>
      <w:r w:rsidR="00D17F19">
        <w:rPr>
          <w:rFonts w:ascii="Times New Roman" w:hAnsi="Times New Roman" w:cs="Times New Roman"/>
          <w:noProof/>
        </w:rPr>
        <w:t>existing</w:t>
      </w:r>
      <w:r w:rsidR="00D17F19" w:rsidRPr="003C0D71">
        <w:rPr>
          <w:rFonts w:ascii="Times New Roman" w:hAnsi="Times New Roman" w:cs="Times New Roman"/>
          <w:noProof/>
        </w:rPr>
        <w:t xml:space="preserve"> </w:t>
      </w:r>
      <w:r w:rsidRPr="003C0D71">
        <w:rPr>
          <w:rFonts w:ascii="Times New Roman" w:hAnsi="Times New Roman" w:cs="Times New Roman"/>
          <w:noProof/>
        </w:rPr>
        <w:t>provisions from the Capital Requirements Regulation</w:t>
      </w:r>
      <w:r w:rsidR="009F0497">
        <w:rPr>
          <w:rFonts w:ascii="Times New Roman" w:hAnsi="Times New Roman" w:cs="Times New Roman"/>
          <w:noProof/>
        </w:rPr>
        <w:t>,</w:t>
      </w:r>
      <w:r w:rsidRPr="003C0D71">
        <w:rPr>
          <w:rFonts w:ascii="Times New Roman" w:hAnsi="Times New Roman" w:cs="Times New Roman"/>
          <w:noProof/>
        </w:rPr>
        <w:t xml:space="preserve"> and credit institutions in particular are familiar with them. </w:t>
      </w:r>
    </w:p>
    <w:p w14:paraId="38B36717" w14:textId="6081E356" w:rsidR="00EB5730" w:rsidRPr="003C0D71" w:rsidRDefault="000146AB" w:rsidP="000D4664">
      <w:pPr>
        <w:rPr>
          <w:rFonts w:ascii="Times New Roman" w:hAnsi="Times New Roman" w:cs="Times New Roman"/>
          <w:b/>
          <w:noProof/>
          <w:sz w:val="24"/>
        </w:rPr>
      </w:pPr>
      <w:r>
        <w:rPr>
          <w:rFonts w:ascii="Times New Roman" w:hAnsi="Times New Roman" w:cs="Times New Roman"/>
          <w:b/>
          <w:noProof/>
          <w:sz w:val="24"/>
        </w:rPr>
        <w:t xml:space="preserve">The </w:t>
      </w:r>
      <w:r w:rsidR="0059643E" w:rsidRPr="003C0D71">
        <w:rPr>
          <w:rFonts w:ascii="Times New Roman" w:hAnsi="Times New Roman" w:cs="Times New Roman"/>
          <w:b/>
          <w:noProof/>
          <w:sz w:val="24"/>
        </w:rPr>
        <w:t>Commission</w:t>
      </w:r>
      <w:r>
        <w:rPr>
          <w:rFonts w:ascii="Times New Roman" w:hAnsi="Times New Roman" w:cs="Times New Roman"/>
          <w:b/>
          <w:noProof/>
          <w:sz w:val="24"/>
        </w:rPr>
        <w:t>’s assessment</w:t>
      </w:r>
    </w:p>
    <w:p w14:paraId="5586B5D8" w14:textId="598212AA" w:rsidR="00DE112A" w:rsidRPr="003C0D71" w:rsidRDefault="00FE2A37" w:rsidP="00DE112A">
      <w:pPr>
        <w:jc w:val="both"/>
        <w:rPr>
          <w:rFonts w:ascii="Times New Roman" w:hAnsi="Times New Roman" w:cs="Times New Roman"/>
          <w:noProof/>
        </w:rPr>
      </w:pPr>
      <w:r w:rsidRPr="003C0D71">
        <w:rPr>
          <w:rFonts w:ascii="Times New Roman" w:hAnsi="Times New Roman" w:cs="Times New Roman"/>
          <w:noProof/>
        </w:rPr>
        <w:t xml:space="preserve">The data shows that all available retention methods are </w:t>
      </w:r>
      <w:r w:rsidR="00F86E87">
        <w:rPr>
          <w:rFonts w:ascii="Times New Roman" w:hAnsi="Times New Roman" w:cs="Times New Roman"/>
          <w:noProof/>
        </w:rPr>
        <w:t xml:space="preserve">being </w:t>
      </w:r>
      <w:r w:rsidRPr="003C0D71">
        <w:rPr>
          <w:rFonts w:ascii="Times New Roman" w:hAnsi="Times New Roman" w:cs="Times New Roman"/>
          <w:noProof/>
        </w:rPr>
        <w:t xml:space="preserve">used by the market. </w:t>
      </w:r>
      <w:r w:rsidR="00DD73BE" w:rsidRPr="003C0D71">
        <w:rPr>
          <w:rFonts w:ascii="Times New Roman" w:hAnsi="Times New Roman" w:cs="Times New Roman"/>
          <w:noProof/>
        </w:rPr>
        <w:t>There is no</w:t>
      </w:r>
      <w:r w:rsidR="0002619F" w:rsidRPr="003C0D71">
        <w:rPr>
          <w:rFonts w:ascii="Times New Roman" w:hAnsi="Times New Roman" w:cs="Times New Roman"/>
          <w:noProof/>
        </w:rPr>
        <w:t xml:space="preserve"> evidence </w:t>
      </w:r>
      <w:r w:rsidR="00DE112A" w:rsidRPr="003C0D71">
        <w:rPr>
          <w:rFonts w:ascii="Times New Roman" w:hAnsi="Times New Roman" w:cs="Times New Roman"/>
          <w:noProof/>
        </w:rPr>
        <w:t xml:space="preserve">that </w:t>
      </w:r>
      <w:r w:rsidRPr="003C0D71">
        <w:rPr>
          <w:rFonts w:ascii="Times New Roman" w:hAnsi="Times New Roman" w:cs="Times New Roman"/>
          <w:noProof/>
        </w:rPr>
        <w:t xml:space="preserve">any of </w:t>
      </w:r>
      <w:r w:rsidR="00DE112A" w:rsidRPr="003C0D71">
        <w:rPr>
          <w:rFonts w:ascii="Times New Roman" w:hAnsi="Times New Roman" w:cs="Times New Roman"/>
          <w:noProof/>
        </w:rPr>
        <w:t xml:space="preserve">the risk retention methods </w:t>
      </w:r>
      <w:r w:rsidR="00DD73BE" w:rsidRPr="003C0D71">
        <w:rPr>
          <w:rFonts w:ascii="Times New Roman" w:hAnsi="Times New Roman" w:cs="Times New Roman"/>
          <w:noProof/>
        </w:rPr>
        <w:t>allowed by</w:t>
      </w:r>
      <w:r w:rsidR="00DE112A" w:rsidRPr="003C0D71">
        <w:rPr>
          <w:rFonts w:ascii="Times New Roman" w:hAnsi="Times New Roman" w:cs="Times New Roman"/>
          <w:noProof/>
        </w:rPr>
        <w:t xml:space="preserve"> the Securitisation Regulation </w:t>
      </w:r>
      <w:r w:rsidR="006A4B89" w:rsidRPr="003C0D71">
        <w:rPr>
          <w:rFonts w:ascii="Times New Roman" w:hAnsi="Times New Roman" w:cs="Times New Roman"/>
          <w:noProof/>
        </w:rPr>
        <w:t xml:space="preserve">is </w:t>
      </w:r>
      <w:r w:rsidR="00DE112A" w:rsidRPr="003C0D71">
        <w:rPr>
          <w:rFonts w:ascii="Times New Roman" w:hAnsi="Times New Roman" w:cs="Times New Roman"/>
          <w:noProof/>
        </w:rPr>
        <w:t xml:space="preserve">inadequate. The Commission therefore does not see a need to revise the </w:t>
      </w:r>
      <w:r w:rsidR="00B054EE" w:rsidRPr="003C0D71">
        <w:rPr>
          <w:rFonts w:ascii="Times New Roman" w:hAnsi="Times New Roman" w:cs="Times New Roman"/>
          <w:noProof/>
        </w:rPr>
        <w:t xml:space="preserve">risk </w:t>
      </w:r>
      <w:r w:rsidR="00DE112A" w:rsidRPr="003C0D71">
        <w:rPr>
          <w:rFonts w:ascii="Times New Roman" w:hAnsi="Times New Roman" w:cs="Times New Roman"/>
          <w:noProof/>
        </w:rPr>
        <w:t xml:space="preserve">retention </w:t>
      </w:r>
      <w:r w:rsidR="00B054EE" w:rsidRPr="003C0D71">
        <w:rPr>
          <w:rFonts w:ascii="Times New Roman" w:hAnsi="Times New Roman" w:cs="Times New Roman"/>
          <w:noProof/>
        </w:rPr>
        <w:t>requirements</w:t>
      </w:r>
      <w:r w:rsidR="009400AB">
        <w:rPr>
          <w:rFonts w:ascii="Times New Roman" w:hAnsi="Times New Roman" w:cs="Times New Roman"/>
          <w:noProof/>
        </w:rPr>
        <w:t>, but</w:t>
      </w:r>
      <w:r w:rsidR="00DE112A" w:rsidRPr="003C0D71">
        <w:rPr>
          <w:rFonts w:ascii="Times New Roman" w:hAnsi="Times New Roman" w:cs="Times New Roman"/>
          <w:noProof/>
        </w:rPr>
        <w:t xml:space="preserve"> invites the E</w:t>
      </w:r>
      <w:r w:rsidR="003601A9">
        <w:rPr>
          <w:rFonts w:ascii="Times New Roman" w:hAnsi="Times New Roman" w:cs="Times New Roman"/>
          <w:noProof/>
        </w:rPr>
        <w:t>BA</w:t>
      </w:r>
      <w:r w:rsidR="00DE112A" w:rsidRPr="003C0D71">
        <w:rPr>
          <w:rFonts w:ascii="Times New Roman" w:hAnsi="Times New Roman" w:cs="Times New Roman"/>
          <w:noProof/>
        </w:rPr>
        <w:t xml:space="preserve"> to continue monitoring the application of the</w:t>
      </w:r>
      <w:r w:rsidR="00B054EE" w:rsidRPr="003C0D71">
        <w:rPr>
          <w:rFonts w:ascii="Times New Roman" w:hAnsi="Times New Roman" w:cs="Times New Roman"/>
          <w:noProof/>
        </w:rPr>
        <w:t>se</w:t>
      </w:r>
      <w:r w:rsidR="00DE112A" w:rsidRPr="003C0D71">
        <w:rPr>
          <w:rFonts w:ascii="Times New Roman" w:hAnsi="Times New Roman" w:cs="Times New Roman"/>
          <w:noProof/>
        </w:rPr>
        <w:t xml:space="preserve"> </w:t>
      </w:r>
      <w:r w:rsidR="00B054EE" w:rsidRPr="003C0D71">
        <w:rPr>
          <w:rFonts w:ascii="Times New Roman" w:hAnsi="Times New Roman" w:cs="Times New Roman"/>
          <w:noProof/>
        </w:rPr>
        <w:t>requirements</w:t>
      </w:r>
      <w:r w:rsidR="00DE112A" w:rsidRPr="003C0D71">
        <w:rPr>
          <w:rFonts w:ascii="Times New Roman" w:hAnsi="Times New Roman" w:cs="Times New Roman"/>
          <w:noProof/>
        </w:rPr>
        <w:t>.</w:t>
      </w:r>
      <w:r w:rsidR="00251252" w:rsidRPr="003C0D71">
        <w:rPr>
          <w:rFonts w:ascii="Times New Roman" w:hAnsi="Times New Roman" w:cs="Times New Roman"/>
          <w:noProof/>
        </w:rPr>
        <w:t xml:space="preserve"> </w:t>
      </w:r>
      <w:r w:rsidR="00251252" w:rsidRPr="00E01880">
        <w:rPr>
          <w:rFonts w:ascii="Times New Roman" w:hAnsi="Times New Roman" w:cs="Times New Roman"/>
          <w:noProof/>
        </w:rPr>
        <w:t>Going forward, it</w:t>
      </w:r>
      <w:r w:rsidR="00251252" w:rsidRPr="003C0D71">
        <w:rPr>
          <w:rFonts w:ascii="Times New Roman" w:hAnsi="Times New Roman" w:cs="Times New Roman"/>
          <w:noProof/>
        </w:rPr>
        <w:t xml:space="preserve"> </w:t>
      </w:r>
      <w:r w:rsidR="00B054EE" w:rsidRPr="003C0D71">
        <w:rPr>
          <w:rFonts w:ascii="Times New Roman" w:hAnsi="Times New Roman" w:cs="Times New Roman"/>
          <w:noProof/>
        </w:rPr>
        <w:t xml:space="preserve">may </w:t>
      </w:r>
      <w:r w:rsidR="00251252" w:rsidRPr="003C0D71">
        <w:rPr>
          <w:rFonts w:ascii="Times New Roman" w:hAnsi="Times New Roman" w:cs="Times New Roman"/>
          <w:noProof/>
        </w:rPr>
        <w:t xml:space="preserve">be </w:t>
      </w:r>
      <w:r w:rsidR="00B054EE" w:rsidRPr="003C0D71">
        <w:rPr>
          <w:rFonts w:ascii="Times New Roman" w:hAnsi="Times New Roman" w:cs="Times New Roman"/>
          <w:noProof/>
        </w:rPr>
        <w:t>appropriate</w:t>
      </w:r>
      <w:r w:rsidR="00251252" w:rsidRPr="003C0D71">
        <w:rPr>
          <w:rFonts w:ascii="Times New Roman" w:hAnsi="Times New Roman" w:cs="Times New Roman"/>
          <w:noProof/>
        </w:rPr>
        <w:t xml:space="preserve"> to </w:t>
      </w:r>
      <w:r w:rsidR="00B054EE" w:rsidRPr="003C0D71">
        <w:rPr>
          <w:rFonts w:ascii="Times New Roman" w:hAnsi="Times New Roman" w:cs="Times New Roman"/>
          <w:noProof/>
        </w:rPr>
        <w:t>examine</w:t>
      </w:r>
      <w:r w:rsidR="00251252" w:rsidRPr="003C0D71">
        <w:rPr>
          <w:rFonts w:ascii="Times New Roman" w:hAnsi="Times New Roman" w:cs="Times New Roman"/>
          <w:noProof/>
        </w:rPr>
        <w:t xml:space="preserve"> in more detail why and in what circumstances market participants privilege one retention method over the other and how </w:t>
      </w:r>
      <w:r w:rsidR="00B054EE" w:rsidRPr="003C0D71">
        <w:rPr>
          <w:rFonts w:ascii="Times New Roman" w:hAnsi="Times New Roman" w:cs="Times New Roman"/>
          <w:noProof/>
        </w:rPr>
        <w:t>effective each</w:t>
      </w:r>
      <w:r w:rsidR="00251252" w:rsidRPr="003C0D71">
        <w:rPr>
          <w:rFonts w:ascii="Times New Roman" w:hAnsi="Times New Roman" w:cs="Times New Roman"/>
          <w:noProof/>
        </w:rPr>
        <w:t xml:space="preserve"> retention method </w:t>
      </w:r>
      <w:r w:rsidR="00B054EE" w:rsidRPr="003C0D71">
        <w:rPr>
          <w:rFonts w:ascii="Times New Roman" w:hAnsi="Times New Roman" w:cs="Times New Roman"/>
          <w:noProof/>
        </w:rPr>
        <w:t xml:space="preserve">is </w:t>
      </w:r>
      <w:r w:rsidR="0014049E">
        <w:rPr>
          <w:rFonts w:ascii="Times New Roman" w:hAnsi="Times New Roman" w:cs="Times New Roman"/>
          <w:noProof/>
        </w:rPr>
        <w:t>in retaining a</w:t>
      </w:r>
      <w:r w:rsidR="00B054EE" w:rsidRPr="003C0D71">
        <w:rPr>
          <w:rFonts w:ascii="Times New Roman" w:hAnsi="Times New Roman" w:cs="Times New Roman"/>
          <w:noProof/>
        </w:rPr>
        <w:t xml:space="preserve"> </w:t>
      </w:r>
      <w:r w:rsidR="00251252" w:rsidRPr="001D1540">
        <w:rPr>
          <w:rFonts w:ascii="Times New Roman" w:hAnsi="Times New Roman" w:cs="Times New Roman"/>
          <w:noProof/>
        </w:rPr>
        <w:t>proportion of the transaction</w:t>
      </w:r>
      <w:r w:rsidR="00251252" w:rsidRPr="003C0D71">
        <w:rPr>
          <w:rFonts w:ascii="Times New Roman" w:hAnsi="Times New Roman" w:cs="Times New Roman"/>
          <w:noProof/>
        </w:rPr>
        <w:t>.</w:t>
      </w:r>
      <w:r w:rsidR="00175683" w:rsidRPr="003C0D71">
        <w:rPr>
          <w:rFonts w:ascii="Times New Roman" w:hAnsi="Times New Roman" w:cs="Times New Roman"/>
          <w:noProof/>
        </w:rPr>
        <w:t xml:space="preserve"> </w:t>
      </w:r>
    </w:p>
    <w:p w14:paraId="5934DB19" w14:textId="77777777" w:rsidR="00830A7F" w:rsidRPr="003C0D71" w:rsidRDefault="00830A7F" w:rsidP="00830A7F">
      <w:pPr>
        <w:pStyle w:val="Heading1"/>
        <w:numPr>
          <w:ilvl w:val="0"/>
          <w:numId w:val="2"/>
        </w:numPr>
        <w:rPr>
          <w:rFonts w:ascii="Times New Roman" w:hAnsi="Times New Roman" w:cs="Times New Roman"/>
          <w:noProof/>
          <w:color w:val="auto"/>
        </w:rPr>
      </w:pPr>
      <w:bookmarkStart w:id="21" w:name="_Toc104283065"/>
      <w:bookmarkStart w:id="22" w:name="_Toc104286133"/>
      <w:bookmarkStart w:id="23" w:name="_Toc104297338"/>
      <w:bookmarkStart w:id="24" w:name="_Toc115346207"/>
      <w:r w:rsidRPr="003C0D71">
        <w:rPr>
          <w:rFonts w:ascii="Times New Roman" w:hAnsi="Times New Roman" w:cs="Times New Roman"/>
          <w:noProof/>
          <w:color w:val="auto"/>
        </w:rPr>
        <w:t>Due diligence and transparency</w:t>
      </w:r>
      <w:bookmarkEnd w:id="21"/>
      <w:bookmarkEnd w:id="22"/>
      <w:bookmarkEnd w:id="23"/>
      <w:bookmarkEnd w:id="24"/>
    </w:p>
    <w:p w14:paraId="5BC63BED" w14:textId="77777777" w:rsidR="00676084" w:rsidRPr="003C0D71" w:rsidRDefault="00676084" w:rsidP="000D4664">
      <w:pPr>
        <w:rPr>
          <w:rFonts w:ascii="Times New Roman" w:hAnsi="Times New Roman" w:cs="Times New Roman"/>
          <w:b/>
          <w:noProof/>
          <w:sz w:val="24"/>
        </w:rPr>
      </w:pPr>
      <w:r w:rsidRPr="003C0D71">
        <w:rPr>
          <w:rFonts w:ascii="Times New Roman" w:hAnsi="Times New Roman" w:cs="Times New Roman"/>
          <w:b/>
          <w:noProof/>
          <w:sz w:val="24"/>
        </w:rPr>
        <w:t>Background and findings</w:t>
      </w:r>
    </w:p>
    <w:p w14:paraId="5EF5D7E0" w14:textId="45FE5642" w:rsidR="00676084" w:rsidRPr="003C0D71" w:rsidRDefault="00676084" w:rsidP="00676084">
      <w:pPr>
        <w:jc w:val="both"/>
        <w:rPr>
          <w:rFonts w:ascii="Times New Roman" w:eastAsia="Calibri" w:hAnsi="Times New Roman" w:cs="Times New Roman"/>
          <w:noProof/>
        </w:rPr>
      </w:pPr>
      <w:r w:rsidRPr="003C0D71">
        <w:rPr>
          <w:rFonts w:ascii="Times New Roman" w:eastAsia="Calibri" w:hAnsi="Times New Roman" w:cs="Times New Roman"/>
          <w:noProof/>
        </w:rPr>
        <w:t xml:space="preserve">The Securitisation Regulation requires that institutional investors conduct thorough due diligence </w:t>
      </w:r>
      <w:r w:rsidR="000A06C6">
        <w:rPr>
          <w:rFonts w:ascii="Times New Roman" w:eastAsia="Calibri" w:hAnsi="Times New Roman" w:cs="Times New Roman"/>
          <w:noProof/>
        </w:rPr>
        <w:t>before</w:t>
      </w:r>
      <w:r w:rsidRPr="003C0D71">
        <w:rPr>
          <w:rFonts w:ascii="Times New Roman" w:eastAsia="Calibri" w:hAnsi="Times New Roman" w:cs="Times New Roman"/>
          <w:noProof/>
        </w:rPr>
        <w:t xml:space="preserve"> holding a securitisation position. A prudent and diligent analysis of the risks involved in a securitisation critically depends on access to information. To facilitate investors’ due diligence and </w:t>
      </w:r>
      <w:r w:rsidR="00BE0B1B">
        <w:rPr>
          <w:rFonts w:ascii="Times New Roman" w:eastAsia="Calibri" w:hAnsi="Times New Roman" w:cs="Times New Roman"/>
          <w:noProof/>
        </w:rPr>
        <w:t xml:space="preserve">support </w:t>
      </w:r>
      <w:r w:rsidRPr="003C0D71">
        <w:rPr>
          <w:rFonts w:ascii="Times New Roman" w:eastAsia="Calibri" w:hAnsi="Times New Roman" w:cs="Times New Roman"/>
          <w:noProof/>
        </w:rPr>
        <w:t xml:space="preserve"> competent authorities</w:t>
      </w:r>
      <w:r w:rsidR="00BE0B1B">
        <w:rPr>
          <w:rFonts w:ascii="Times New Roman" w:eastAsia="Calibri" w:hAnsi="Times New Roman" w:cs="Times New Roman"/>
          <w:noProof/>
        </w:rPr>
        <w:t xml:space="preserve"> in supervision</w:t>
      </w:r>
      <w:r w:rsidRPr="003C0D71">
        <w:rPr>
          <w:rFonts w:ascii="Times New Roman" w:eastAsia="Calibri" w:hAnsi="Times New Roman" w:cs="Times New Roman"/>
          <w:noProof/>
        </w:rPr>
        <w:t xml:space="preserve">, Article 7 requires </w:t>
      </w:r>
      <w:r w:rsidR="007661F5" w:rsidRPr="003C0D71">
        <w:rPr>
          <w:rFonts w:ascii="Times New Roman" w:eastAsia="Calibri" w:hAnsi="Times New Roman" w:cs="Times New Roman"/>
          <w:noProof/>
        </w:rPr>
        <w:t xml:space="preserve">originators, sponsors and </w:t>
      </w:r>
      <w:r w:rsidR="007661F5" w:rsidRPr="001D1540">
        <w:rPr>
          <w:rFonts w:ascii="Times New Roman" w:eastAsia="Calibri" w:hAnsi="Times New Roman" w:cs="Times New Roman"/>
          <w:noProof/>
        </w:rPr>
        <w:t>SSPEs</w:t>
      </w:r>
      <w:r w:rsidR="007661F5" w:rsidRPr="003C0D71">
        <w:rPr>
          <w:rFonts w:ascii="Times New Roman" w:eastAsia="Calibri" w:hAnsi="Times New Roman" w:cs="Times New Roman"/>
          <w:noProof/>
        </w:rPr>
        <w:t xml:space="preserve"> </w:t>
      </w:r>
      <w:r w:rsidRPr="003C0D71">
        <w:rPr>
          <w:rFonts w:ascii="Times New Roman" w:eastAsia="Calibri" w:hAnsi="Times New Roman" w:cs="Times New Roman"/>
          <w:noProof/>
        </w:rPr>
        <w:t>to make available all relevant documentation describing the features of the securitisation</w:t>
      </w:r>
      <w:r w:rsidR="00A511D9">
        <w:rPr>
          <w:rFonts w:ascii="Times New Roman" w:eastAsia="Calibri" w:hAnsi="Times New Roman" w:cs="Times New Roman"/>
          <w:noProof/>
        </w:rPr>
        <w:t>,</w:t>
      </w:r>
      <w:r w:rsidRPr="003C0D71">
        <w:rPr>
          <w:rFonts w:ascii="Times New Roman" w:eastAsia="Calibri" w:hAnsi="Times New Roman" w:cs="Times New Roman"/>
          <w:noProof/>
        </w:rPr>
        <w:t xml:space="preserve"> and to </w:t>
      </w:r>
      <w:r w:rsidR="00A511D9">
        <w:rPr>
          <w:rFonts w:ascii="Times New Roman" w:eastAsia="Calibri" w:hAnsi="Times New Roman" w:cs="Times New Roman"/>
          <w:noProof/>
        </w:rPr>
        <w:t xml:space="preserve">regularly </w:t>
      </w:r>
      <w:r w:rsidRPr="003C0D71">
        <w:rPr>
          <w:rFonts w:ascii="Times New Roman" w:eastAsia="Calibri" w:hAnsi="Times New Roman" w:cs="Times New Roman"/>
          <w:noProof/>
        </w:rPr>
        <w:t xml:space="preserve">disclose all materially relevant data on the credit quality and performance of underlying exposures. </w:t>
      </w:r>
      <w:r w:rsidR="00FD67F0" w:rsidRPr="003C0D71">
        <w:rPr>
          <w:rFonts w:ascii="Times New Roman" w:eastAsia="Calibri" w:hAnsi="Times New Roman" w:cs="Times New Roman"/>
          <w:noProof/>
        </w:rPr>
        <w:t xml:space="preserve">Information is submitted to the securitisation repositories by means of standardised templates. </w:t>
      </w:r>
      <w:r w:rsidR="004B5D57">
        <w:rPr>
          <w:rFonts w:ascii="Times New Roman" w:eastAsia="Calibri" w:hAnsi="Times New Roman" w:cs="Times New Roman"/>
          <w:noProof/>
        </w:rPr>
        <w:t>One p</w:t>
      </w:r>
      <w:r w:rsidRPr="003C0D71">
        <w:rPr>
          <w:rFonts w:ascii="Times New Roman" w:eastAsia="Calibri" w:hAnsi="Times New Roman" w:cs="Times New Roman"/>
          <w:noProof/>
        </w:rPr>
        <w:t xml:space="preserve">art of investors’ </w:t>
      </w:r>
      <w:r w:rsidR="004B5D57">
        <w:rPr>
          <w:rFonts w:ascii="Times New Roman" w:eastAsia="Calibri" w:hAnsi="Times New Roman" w:cs="Times New Roman"/>
          <w:noProof/>
        </w:rPr>
        <w:t>duties</w:t>
      </w:r>
      <w:r w:rsidR="00A511D9">
        <w:rPr>
          <w:rFonts w:ascii="Times New Roman" w:eastAsia="Calibri" w:hAnsi="Times New Roman" w:cs="Times New Roman"/>
          <w:noProof/>
        </w:rPr>
        <w:t xml:space="preserve"> of </w:t>
      </w:r>
      <w:r w:rsidRPr="003C0D71">
        <w:rPr>
          <w:rFonts w:ascii="Times New Roman" w:eastAsia="Calibri" w:hAnsi="Times New Roman" w:cs="Times New Roman"/>
          <w:noProof/>
        </w:rPr>
        <w:t>due diligence is to check that the securitisation complies with the transparency requirements in the Securitisation Regulation.</w:t>
      </w:r>
    </w:p>
    <w:p w14:paraId="186791FB" w14:textId="350D6F33" w:rsidR="00676084" w:rsidRPr="003C0D71" w:rsidRDefault="00676084" w:rsidP="00676084">
      <w:pPr>
        <w:jc w:val="both"/>
        <w:rPr>
          <w:rFonts w:ascii="Times New Roman" w:hAnsi="Times New Roman" w:cs="Times New Roman"/>
          <w:noProof/>
        </w:rPr>
      </w:pPr>
      <w:r w:rsidRPr="003C0D71">
        <w:rPr>
          <w:rFonts w:ascii="Times New Roman" w:hAnsi="Times New Roman" w:cs="Times New Roman"/>
          <w:noProof/>
        </w:rPr>
        <w:t xml:space="preserve">The </w:t>
      </w:r>
      <w:r w:rsidR="004B5D57">
        <w:rPr>
          <w:rFonts w:ascii="Times New Roman" w:hAnsi="Times New Roman" w:cs="Times New Roman"/>
          <w:noProof/>
        </w:rPr>
        <w:t>c</w:t>
      </w:r>
      <w:r w:rsidRPr="003C0D71">
        <w:rPr>
          <w:rFonts w:ascii="Times New Roman" w:hAnsi="Times New Roman" w:cs="Times New Roman"/>
          <w:noProof/>
        </w:rPr>
        <w:t xml:space="preserve">onsultation asked </w:t>
      </w:r>
      <w:r w:rsidR="00581AF8" w:rsidRPr="003C0D71">
        <w:rPr>
          <w:rFonts w:ascii="Times New Roman" w:hAnsi="Times New Roman" w:cs="Times New Roman"/>
          <w:noProof/>
        </w:rPr>
        <w:t xml:space="preserve">for </w:t>
      </w:r>
      <w:r w:rsidRPr="003C0D71">
        <w:rPr>
          <w:rFonts w:ascii="Times New Roman" w:hAnsi="Times New Roman" w:cs="Times New Roman"/>
          <w:noProof/>
        </w:rPr>
        <w:t>feedback on the proportionality of the disclosure and due diligence requirements, investors’ due diligence procedures, and the usefulness of the data disclosure templates.</w:t>
      </w:r>
      <w:r w:rsidR="006A4B89" w:rsidRPr="003C0D71">
        <w:rPr>
          <w:rFonts w:ascii="Times New Roman" w:hAnsi="Times New Roman" w:cs="Times New Roman"/>
          <w:noProof/>
        </w:rPr>
        <w:t xml:space="preserve"> </w:t>
      </w:r>
      <w:r w:rsidR="004C18E0">
        <w:rPr>
          <w:rFonts w:ascii="Times New Roman" w:eastAsia="Calibri" w:hAnsi="Times New Roman" w:cs="Times New Roman"/>
          <w:noProof/>
        </w:rPr>
        <w:t>Most</w:t>
      </w:r>
      <w:r w:rsidRPr="003C0D71">
        <w:rPr>
          <w:rFonts w:ascii="Times New Roman" w:eastAsia="Calibri" w:hAnsi="Times New Roman" w:cs="Times New Roman"/>
          <w:noProof/>
        </w:rPr>
        <w:t xml:space="preserve"> respondents, in particular those representing the industry, did not </w:t>
      </w:r>
      <w:r w:rsidR="00BE0B1B">
        <w:rPr>
          <w:rFonts w:ascii="Times New Roman" w:eastAsia="Calibri" w:hAnsi="Times New Roman" w:cs="Times New Roman"/>
          <w:noProof/>
        </w:rPr>
        <w:t>consider</w:t>
      </w:r>
      <w:r w:rsidR="00BE0B1B" w:rsidRPr="003C0D71">
        <w:rPr>
          <w:rFonts w:ascii="Times New Roman" w:eastAsia="Calibri" w:hAnsi="Times New Roman" w:cs="Times New Roman"/>
          <w:noProof/>
        </w:rPr>
        <w:t xml:space="preserve"> </w:t>
      </w:r>
      <w:r w:rsidRPr="003C0D71">
        <w:rPr>
          <w:rFonts w:ascii="Times New Roman" w:eastAsia="Calibri" w:hAnsi="Times New Roman" w:cs="Times New Roman"/>
          <w:noProof/>
        </w:rPr>
        <w:t xml:space="preserve">the due diligence and transparency </w:t>
      </w:r>
      <w:r w:rsidR="004B5D57">
        <w:rPr>
          <w:rFonts w:ascii="Times New Roman" w:eastAsia="Calibri" w:hAnsi="Times New Roman" w:cs="Times New Roman"/>
          <w:noProof/>
        </w:rPr>
        <w:t>requirements</w:t>
      </w:r>
      <w:r w:rsidR="004B5D57" w:rsidRPr="003C0D71">
        <w:rPr>
          <w:rFonts w:ascii="Times New Roman" w:eastAsia="Calibri" w:hAnsi="Times New Roman" w:cs="Times New Roman"/>
          <w:noProof/>
        </w:rPr>
        <w:t xml:space="preserve"> </w:t>
      </w:r>
      <w:r w:rsidR="00BE0B1B">
        <w:rPr>
          <w:rFonts w:ascii="Times New Roman" w:eastAsia="Calibri" w:hAnsi="Times New Roman" w:cs="Times New Roman"/>
          <w:noProof/>
        </w:rPr>
        <w:t>as</w:t>
      </w:r>
      <w:r w:rsidR="00BE0B1B" w:rsidRPr="003C0D71">
        <w:rPr>
          <w:rFonts w:ascii="Times New Roman" w:eastAsia="Calibri" w:hAnsi="Times New Roman" w:cs="Times New Roman"/>
          <w:noProof/>
        </w:rPr>
        <w:t xml:space="preserve"> </w:t>
      </w:r>
      <w:r w:rsidRPr="003C0D71">
        <w:rPr>
          <w:rFonts w:ascii="Times New Roman" w:eastAsia="Calibri" w:hAnsi="Times New Roman" w:cs="Times New Roman"/>
          <w:noProof/>
        </w:rPr>
        <w:t>proportionate. Th</w:t>
      </w:r>
      <w:r w:rsidR="007661F5" w:rsidRPr="003C0D71">
        <w:rPr>
          <w:rFonts w:ascii="Times New Roman" w:eastAsia="Calibri" w:hAnsi="Times New Roman" w:cs="Times New Roman"/>
          <w:noProof/>
        </w:rPr>
        <w:t>e</w:t>
      </w:r>
      <w:r w:rsidRPr="003C0D71">
        <w:rPr>
          <w:rFonts w:ascii="Times New Roman" w:eastAsia="Calibri" w:hAnsi="Times New Roman" w:cs="Times New Roman"/>
          <w:noProof/>
        </w:rPr>
        <w:t xml:space="preserve">se stakeholders found the provisions too prescriptive and strict, especially when compared with the framework applicable to similar instruments, such as covered bonds. In addition, respondents thought </w:t>
      </w:r>
      <w:r w:rsidR="00006888">
        <w:rPr>
          <w:rFonts w:ascii="Times New Roman" w:eastAsia="Calibri" w:hAnsi="Times New Roman" w:cs="Times New Roman"/>
          <w:noProof/>
        </w:rPr>
        <w:t xml:space="preserve">that </w:t>
      </w:r>
      <w:r w:rsidRPr="003C0D71">
        <w:rPr>
          <w:rFonts w:ascii="Times New Roman" w:eastAsia="Calibri" w:hAnsi="Times New Roman" w:cs="Times New Roman"/>
          <w:noProof/>
        </w:rPr>
        <w:t xml:space="preserve">the provisions fail to fully take account of </w:t>
      </w:r>
      <w:r w:rsidR="00006888">
        <w:rPr>
          <w:rFonts w:ascii="Times New Roman" w:eastAsia="Calibri" w:hAnsi="Times New Roman" w:cs="Times New Roman"/>
          <w:noProof/>
        </w:rPr>
        <w:t xml:space="preserve">the </w:t>
      </w:r>
      <w:r w:rsidR="00006888" w:rsidRPr="003C0D71">
        <w:rPr>
          <w:rFonts w:ascii="Times New Roman" w:eastAsia="Calibri" w:hAnsi="Times New Roman" w:cs="Times New Roman"/>
          <w:noProof/>
        </w:rPr>
        <w:t xml:space="preserve">specificities </w:t>
      </w:r>
      <w:r w:rsidR="00006888">
        <w:rPr>
          <w:rFonts w:ascii="Times New Roman" w:eastAsia="Calibri" w:hAnsi="Times New Roman" w:cs="Times New Roman"/>
          <w:noProof/>
        </w:rPr>
        <w:t xml:space="preserve">of a </w:t>
      </w:r>
      <w:r w:rsidRPr="003C0D71">
        <w:rPr>
          <w:rFonts w:ascii="Times New Roman" w:eastAsia="Calibri" w:hAnsi="Times New Roman" w:cs="Times New Roman"/>
          <w:noProof/>
        </w:rPr>
        <w:t xml:space="preserve">deal, </w:t>
      </w:r>
      <w:r w:rsidR="00006888">
        <w:rPr>
          <w:rFonts w:ascii="Times New Roman" w:eastAsia="Calibri" w:hAnsi="Times New Roman" w:cs="Times New Roman"/>
          <w:noProof/>
        </w:rPr>
        <w:t>in particular</w:t>
      </w:r>
      <w:r w:rsidR="00006888" w:rsidRPr="003C0D71">
        <w:rPr>
          <w:rFonts w:ascii="Times New Roman" w:eastAsia="Calibri" w:hAnsi="Times New Roman" w:cs="Times New Roman"/>
          <w:noProof/>
        </w:rPr>
        <w:t xml:space="preserve"> </w:t>
      </w:r>
      <w:r w:rsidRPr="003C0D71">
        <w:rPr>
          <w:rFonts w:ascii="Times New Roman" w:eastAsia="Calibri" w:hAnsi="Times New Roman" w:cs="Times New Roman"/>
          <w:noProof/>
        </w:rPr>
        <w:t xml:space="preserve">whether it is public or private (see </w:t>
      </w:r>
      <w:r w:rsidR="00910129" w:rsidRPr="003C0D71">
        <w:rPr>
          <w:rFonts w:ascii="Times New Roman" w:eastAsia="Calibri" w:hAnsi="Times New Roman" w:cs="Times New Roman"/>
          <w:noProof/>
        </w:rPr>
        <w:t xml:space="preserve">also </w:t>
      </w:r>
      <w:r w:rsidRPr="003C0D71">
        <w:rPr>
          <w:rFonts w:ascii="Times New Roman" w:eastAsia="Calibri" w:hAnsi="Times New Roman" w:cs="Times New Roman"/>
          <w:noProof/>
        </w:rPr>
        <w:t xml:space="preserve">Section 6 on private securitisations). Industry respondents </w:t>
      </w:r>
      <w:r w:rsidR="00006888">
        <w:rPr>
          <w:rFonts w:ascii="Times New Roman" w:eastAsia="Calibri" w:hAnsi="Times New Roman" w:cs="Times New Roman"/>
          <w:noProof/>
        </w:rPr>
        <w:t xml:space="preserve">also </w:t>
      </w:r>
      <w:r w:rsidRPr="003C0D71">
        <w:rPr>
          <w:rFonts w:ascii="Times New Roman" w:eastAsia="Calibri" w:hAnsi="Times New Roman" w:cs="Times New Roman"/>
          <w:noProof/>
        </w:rPr>
        <w:t xml:space="preserve">saw a lack of proportionality </w:t>
      </w:r>
      <w:r w:rsidR="00006888">
        <w:rPr>
          <w:rFonts w:ascii="Times New Roman" w:eastAsia="Calibri" w:hAnsi="Times New Roman" w:cs="Times New Roman"/>
          <w:noProof/>
        </w:rPr>
        <w:t>in</w:t>
      </w:r>
      <w:r w:rsidRPr="003C0D71">
        <w:rPr>
          <w:rFonts w:ascii="Times New Roman" w:eastAsia="Calibri" w:hAnsi="Times New Roman" w:cs="Times New Roman"/>
          <w:noProof/>
        </w:rPr>
        <w:t xml:space="preserve"> the application of transparency rules to </w:t>
      </w:r>
      <w:r w:rsidR="001D1540">
        <w:rPr>
          <w:rFonts w:ascii="Times New Roman" w:eastAsia="Calibri" w:hAnsi="Times New Roman" w:cs="Times New Roman"/>
          <w:noProof/>
        </w:rPr>
        <w:t>third</w:t>
      </w:r>
      <w:r w:rsidR="00865B96">
        <w:rPr>
          <w:rFonts w:ascii="Times New Roman" w:eastAsia="Calibri" w:hAnsi="Times New Roman" w:cs="Times New Roman"/>
          <w:noProof/>
        </w:rPr>
        <w:t xml:space="preserve"> </w:t>
      </w:r>
      <w:r w:rsidRPr="003C0D71">
        <w:rPr>
          <w:rFonts w:ascii="Times New Roman" w:eastAsia="Calibri" w:hAnsi="Times New Roman" w:cs="Times New Roman"/>
          <w:noProof/>
        </w:rPr>
        <w:t>country securitisations</w:t>
      </w:r>
      <w:r w:rsidR="00006888">
        <w:rPr>
          <w:rFonts w:ascii="Times New Roman" w:eastAsia="Calibri" w:hAnsi="Times New Roman" w:cs="Times New Roman"/>
          <w:noProof/>
        </w:rPr>
        <w:t xml:space="preserve">. </w:t>
      </w:r>
      <w:r w:rsidR="00006888" w:rsidRPr="00865B96">
        <w:rPr>
          <w:rFonts w:ascii="Times New Roman" w:eastAsia="Calibri" w:hAnsi="Times New Roman" w:cs="Times New Roman"/>
          <w:noProof/>
        </w:rPr>
        <w:t>This</w:t>
      </w:r>
      <w:r w:rsidRPr="00865B96">
        <w:rPr>
          <w:rFonts w:ascii="Times New Roman" w:eastAsia="Calibri" w:hAnsi="Times New Roman" w:cs="Times New Roman"/>
          <w:noProof/>
        </w:rPr>
        <w:t xml:space="preserve"> creates uncertainty</w:t>
      </w:r>
      <w:r w:rsidRPr="003C0D71">
        <w:rPr>
          <w:rFonts w:ascii="Times New Roman" w:eastAsia="Calibri" w:hAnsi="Times New Roman" w:cs="Times New Roman"/>
          <w:noProof/>
        </w:rPr>
        <w:t xml:space="preserve"> as to </w:t>
      </w:r>
      <w:r w:rsidR="00F97902" w:rsidRPr="003C0D71">
        <w:rPr>
          <w:rFonts w:ascii="Times New Roman" w:eastAsia="Calibri" w:hAnsi="Times New Roman" w:cs="Times New Roman"/>
          <w:noProof/>
        </w:rPr>
        <w:t>investors</w:t>
      </w:r>
      <w:r w:rsidR="00F97902">
        <w:rPr>
          <w:rFonts w:ascii="Times New Roman" w:eastAsia="Calibri" w:hAnsi="Times New Roman" w:cs="Times New Roman"/>
          <w:noProof/>
        </w:rPr>
        <w:t>’</w:t>
      </w:r>
      <w:r w:rsidR="00F97902" w:rsidRPr="003C0D71">
        <w:rPr>
          <w:rFonts w:ascii="Times New Roman" w:eastAsia="Calibri" w:hAnsi="Times New Roman" w:cs="Times New Roman"/>
          <w:noProof/>
        </w:rPr>
        <w:t xml:space="preserve"> </w:t>
      </w:r>
      <w:r w:rsidRPr="003C0D71">
        <w:rPr>
          <w:rFonts w:ascii="Times New Roman" w:eastAsia="Calibri" w:hAnsi="Times New Roman" w:cs="Times New Roman"/>
          <w:noProof/>
        </w:rPr>
        <w:t xml:space="preserve">ability to comply with their due diligence obligations when investing in such transactions (see Section </w:t>
      </w:r>
      <w:r w:rsidR="00910129" w:rsidRPr="003C0D71">
        <w:rPr>
          <w:rFonts w:ascii="Times New Roman" w:eastAsia="Calibri" w:hAnsi="Times New Roman" w:cs="Times New Roman"/>
          <w:noProof/>
        </w:rPr>
        <w:t>11</w:t>
      </w:r>
      <w:r w:rsidRPr="003C0D71">
        <w:rPr>
          <w:rFonts w:ascii="Times New Roman" w:eastAsia="Calibri" w:hAnsi="Times New Roman" w:cs="Times New Roman"/>
          <w:noProof/>
        </w:rPr>
        <w:t xml:space="preserve">). Those </w:t>
      </w:r>
      <w:r w:rsidR="00910129" w:rsidRPr="003C0D71">
        <w:rPr>
          <w:rFonts w:ascii="Times New Roman" w:eastAsia="Calibri" w:hAnsi="Times New Roman" w:cs="Times New Roman"/>
          <w:noProof/>
        </w:rPr>
        <w:t xml:space="preserve">who </w:t>
      </w:r>
      <w:r w:rsidR="00BE0B1B">
        <w:rPr>
          <w:rFonts w:ascii="Times New Roman" w:eastAsia="Calibri" w:hAnsi="Times New Roman" w:cs="Times New Roman"/>
          <w:noProof/>
        </w:rPr>
        <w:t>considered</w:t>
      </w:r>
      <w:r w:rsidR="00BE0B1B" w:rsidRPr="003C0D71">
        <w:rPr>
          <w:rFonts w:ascii="Times New Roman" w:eastAsia="Calibri" w:hAnsi="Times New Roman" w:cs="Times New Roman"/>
          <w:noProof/>
        </w:rPr>
        <w:t xml:space="preserve"> </w:t>
      </w:r>
      <w:r w:rsidRPr="003C0D71">
        <w:rPr>
          <w:rFonts w:ascii="Times New Roman" w:eastAsia="Calibri" w:hAnsi="Times New Roman" w:cs="Times New Roman"/>
          <w:noProof/>
        </w:rPr>
        <w:t xml:space="preserve">the current regime proportionate focused on the benefit of standardised disclosures </w:t>
      </w:r>
      <w:r w:rsidR="008E2993">
        <w:rPr>
          <w:rFonts w:ascii="Times New Roman" w:eastAsia="Calibri" w:hAnsi="Times New Roman" w:cs="Times New Roman"/>
          <w:noProof/>
        </w:rPr>
        <w:t>to help</w:t>
      </w:r>
      <w:r w:rsidRPr="003C0D71">
        <w:rPr>
          <w:rFonts w:ascii="Times New Roman" w:eastAsia="Calibri" w:hAnsi="Times New Roman" w:cs="Times New Roman"/>
          <w:noProof/>
        </w:rPr>
        <w:t xml:space="preserve"> investors analyse the </w:t>
      </w:r>
      <w:r w:rsidR="00910129" w:rsidRPr="003C0D71">
        <w:rPr>
          <w:rFonts w:ascii="Times New Roman" w:eastAsia="Calibri" w:hAnsi="Times New Roman" w:cs="Times New Roman"/>
          <w:noProof/>
        </w:rPr>
        <w:t xml:space="preserve">features </w:t>
      </w:r>
      <w:r w:rsidRPr="003C0D71">
        <w:rPr>
          <w:rFonts w:ascii="Times New Roman" w:eastAsia="Calibri" w:hAnsi="Times New Roman" w:cs="Times New Roman"/>
          <w:noProof/>
        </w:rPr>
        <w:t xml:space="preserve">of a </w:t>
      </w:r>
      <w:r w:rsidR="00910129" w:rsidRPr="003C0D71">
        <w:rPr>
          <w:rFonts w:ascii="Times New Roman" w:eastAsia="Calibri" w:hAnsi="Times New Roman" w:cs="Times New Roman"/>
          <w:noProof/>
        </w:rPr>
        <w:t xml:space="preserve">complex </w:t>
      </w:r>
      <w:r w:rsidRPr="003C0D71">
        <w:rPr>
          <w:rFonts w:ascii="Times New Roman" w:eastAsia="Calibri" w:hAnsi="Times New Roman" w:cs="Times New Roman"/>
          <w:noProof/>
        </w:rPr>
        <w:t xml:space="preserve">securitisation transaction. </w:t>
      </w:r>
    </w:p>
    <w:p w14:paraId="58580959" w14:textId="6806B1EE" w:rsidR="00676084" w:rsidRPr="003C0D71" w:rsidRDefault="00676084" w:rsidP="00676084">
      <w:pPr>
        <w:jc w:val="both"/>
        <w:rPr>
          <w:rFonts w:ascii="Times New Roman" w:eastAsia="Times New Roman" w:hAnsi="Times New Roman" w:cs="Times New Roman"/>
          <w:noProof/>
          <w:lang w:eastAsia="en-GB"/>
        </w:rPr>
      </w:pPr>
      <w:r w:rsidRPr="003C0D71">
        <w:rPr>
          <w:rFonts w:ascii="Times New Roman" w:eastAsia="Times New Roman" w:hAnsi="Times New Roman" w:cs="Times New Roman"/>
          <w:noProof/>
          <w:lang w:eastAsia="en-GB"/>
        </w:rPr>
        <w:t xml:space="preserve">Most respondents </w:t>
      </w:r>
      <w:r w:rsidR="00581AF8" w:rsidRPr="003C0D71">
        <w:rPr>
          <w:rFonts w:ascii="Times New Roman" w:eastAsia="Times New Roman" w:hAnsi="Times New Roman" w:cs="Times New Roman"/>
          <w:noProof/>
          <w:lang w:eastAsia="en-GB"/>
        </w:rPr>
        <w:t xml:space="preserve">concurred </w:t>
      </w:r>
      <w:r w:rsidRPr="003C0D71">
        <w:rPr>
          <w:rFonts w:ascii="Times New Roman" w:eastAsia="Times New Roman" w:hAnsi="Times New Roman" w:cs="Times New Roman"/>
          <w:noProof/>
          <w:lang w:eastAsia="en-GB"/>
        </w:rPr>
        <w:t xml:space="preserve">that the information provided under Article 7 </w:t>
      </w:r>
      <w:r w:rsidR="00726A63" w:rsidRPr="003C0D71">
        <w:rPr>
          <w:rFonts w:ascii="Times New Roman" w:eastAsia="Times New Roman" w:hAnsi="Times New Roman" w:cs="Times New Roman"/>
          <w:noProof/>
          <w:lang w:eastAsia="en-GB"/>
        </w:rPr>
        <w:t xml:space="preserve">of the </w:t>
      </w:r>
      <w:r w:rsidRPr="003C0D71">
        <w:rPr>
          <w:rFonts w:ascii="Times New Roman" w:eastAsia="Times New Roman" w:hAnsi="Times New Roman" w:cs="Times New Roman"/>
          <w:noProof/>
          <w:lang w:eastAsia="en-GB"/>
        </w:rPr>
        <w:t>Securitisation Regulation is sufficient for investors’ due diligence needs.</w:t>
      </w:r>
      <w:r w:rsidR="003E7EA9" w:rsidRPr="003C0D71">
        <w:rPr>
          <w:rFonts w:ascii="Times New Roman" w:eastAsia="Times New Roman" w:hAnsi="Times New Roman" w:cs="Times New Roman"/>
          <w:noProof/>
          <w:lang w:eastAsia="en-GB"/>
        </w:rPr>
        <w:t xml:space="preserve"> </w:t>
      </w:r>
      <w:r w:rsidR="00581AF8" w:rsidRPr="003C0D71">
        <w:rPr>
          <w:rFonts w:ascii="Times New Roman" w:eastAsia="Times New Roman" w:hAnsi="Times New Roman" w:cs="Times New Roman"/>
          <w:noProof/>
          <w:lang w:eastAsia="en-GB"/>
        </w:rPr>
        <w:t>S</w:t>
      </w:r>
      <w:r w:rsidRPr="003C0D71">
        <w:rPr>
          <w:rFonts w:ascii="Times New Roman" w:eastAsia="Times New Roman" w:hAnsi="Times New Roman" w:cs="Times New Roman"/>
          <w:noProof/>
          <w:lang w:eastAsia="en-GB"/>
        </w:rPr>
        <w:t xml:space="preserve">ome stakeholders </w:t>
      </w:r>
      <w:r w:rsidR="00581AF8" w:rsidRPr="003C0D71">
        <w:rPr>
          <w:rFonts w:ascii="Times New Roman" w:eastAsia="Times New Roman" w:hAnsi="Times New Roman" w:cs="Times New Roman"/>
          <w:noProof/>
          <w:lang w:eastAsia="en-GB"/>
        </w:rPr>
        <w:t xml:space="preserve">argued </w:t>
      </w:r>
      <w:r w:rsidRPr="003C0D71">
        <w:rPr>
          <w:rFonts w:ascii="Times New Roman" w:eastAsia="Times New Roman" w:hAnsi="Times New Roman" w:cs="Times New Roman"/>
          <w:noProof/>
          <w:lang w:eastAsia="en-GB"/>
        </w:rPr>
        <w:t xml:space="preserve">that </w:t>
      </w:r>
      <w:r w:rsidR="00581AF8" w:rsidRPr="003C0D71">
        <w:rPr>
          <w:rFonts w:ascii="Times New Roman" w:eastAsia="Times New Roman" w:hAnsi="Times New Roman" w:cs="Times New Roman"/>
          <w:noProof/>
          <w:lang w:eastAsia="en-GB"/>
        </w:rPr>
        <w:t xml:space="preserve">this </w:t>
      </w:r>
      <w:r w:rsidRPr="003C0D71">
        <w:rPr>
          <w:rFonts w:ascii="Times New Roman" w:eastAsia="Times New Roman" w:hAnsi="Times New Roman" w:cs="Times New Roman"/>
          <w:noProof/>
          <w:lang w:eastAsia="en-GB"/>
        </w:rPr>
        <w:t>information</w:t>
      </w:r>
      <w:r w:rsidR="00581AF8" w:rsidRPr="003C0D71">
        <w:rPr>
          <w:rFonts w:ascii="Times New Roman" w:eastAsia="Times New Roman" w:hAnsi="Times New Roman" w:cs="Times New Roman"/>
          <w:noProof/>
          <w:lang w:eastAsia="en-GB"/>
        </w:rPr>
        <w:t xml:space="preserve"> </w:t>
      </w:r>
      <w:r w:rsidRPr="003C0D71">
        <w:rPr>
          <w:rFonts w:ascii="Times New Roman" w:eastAsia="Times New Roman" w:hAnsi="Times New Roman" w:cs="Times New Roman"/>
          <w:noProof/>
          <w:lang w:eastAsia="en-GB"/>
        </w:rPr>
        <w:t>is</w:t>
      </w:r>
      <w:r w:rsidR="00581AF8" w:rsidRPr="003C0D71">
        <w:rPr>
          <w:rFonts w:ascii="Times New Roman" w:eastAsia="Times New Roman" w:hAnsi="Times New Roman" w:cs="Times New Roman"/>
          <w:noProof/>
          <w:lang w:eastAsia="en-GB"/>
        </w:rPr>
        <w:t xml:space="preserve"> </w:t>
      </w:r>
      <w:r w:rsidR="00581AF8" w:rsidRPr="008E2993">
        <w:rPr>
          <w:rFonts w:ascii="Times New Roman" w:eastAsia="Times New Roman" w:hAnsi="Times New Roman" w:cs="Times New Roman"/>
          <w:noProof/>
          <w:lang w:eastAsia="en-GB"/>
        </w:rPr>
        <w:t>actually</w:t>
      </w:r>
      <w:r w:rsidRPr="008E2993">
        <w:rPr>
          <w:rFonts w:ascii="Times New Roman" w:eastAsia="Times New Roman" w:hAnsi="Times New Roman" w:cs="Times New Roman"/>
          <w:noProof/>
          <w:lang w:eastAsia="en-GB"/>
        </w:rPr>
        <w:t xml:space="preserve"> excessive</w:t>
      </w:r>
      <w:r w:rsidRPr="003C0D71">
        <w:rPr>
          <w:rFonts w:ascii="Times New Roman" w:eastAsia="Times New Roman" w:hAnsi="Times New Roman" w:cs="Times New Roman"/>
          <w:noProof/>
          <w:lang w:eastAsia="en-GB"/>
        </w:rPr>
        <w:t xml:space="preserve"> and </w:t>
      </w:r>
      <w:r w:rsidR="00581AF8" w:rsidRPr="003C0D71">
        <w:rPr>
          <w:rFonts w:ascii="Times New Roman" w:eastAsia="Times New Roman" w:hAnsi="Times New Roman" w:cs="Times New Roman"/>
          <w:noProof/>
          <w:lang w:eastAsia="en-GB"/>
        </w:rPr>
        <w:t>that</w:t>
      </w:r>
      <w:r w:rsidRPr="003C0D71">
        <w:rPr>
          <w:rFonts w:ascii="Times New Roman" w:eastAsia="Times New Roman" w:hAnsi="Times New Roman" w:cs="Times New Roman"/>
          <w:noProof/>
          <w:lang w:eastAsia="en-GB"/>
        </w:rPr>
        <w:t xml:space="preserve"> investors </w:t>
      </w:r>
      <w:r w:rsidR="00581AF8" w:rsidRPr="003C0D71">
        <w:rPr>
          <w:rFonts w:ascii="Times New Roman" w:eastAsia="Times New Roman" w:hAnsi="Times New Roman" w:cs="Times New Roman"/>
          <w:noProof/>
          <w:lang w:eastAsia="en-GB"/>
        </w:rPr>
        <w:t xml:space="preserve">might </w:t>
      </w:r>
      <w:r w:rsidRPr="003C0D71">
        <w:rPr>
          <w:rFonts w:ascii="Times New Roman" w:eastAsia="Times New Roman" w:hAnsi="Times New Roman" w:cs="Times New Roman"/>
          <w:noProof/>
          <w:lang w:eastAsia="en-GB"/>
        </w:rPr>
        <w:t>not use it</w:t>
      </w:r>
      <w:r w:rsidR="00581AF8" w:rsidRPr="003C0D71">
        <w:rPr>
          <w:rFonts w:ascii="Times New Roman" w:eastAsia="Times New Roman" w:hAnsi="Times New Roman" w:cs="Times New Roman"/>
          <w:noProof/>
          <w:lang w:eastAsia="en-GB"/>
        </w:rPr>
        <w:t>, but</w:t>
      </w:r>
      <w:r w:rsidR="003E7EA9" w:rsidRPr="003C0D71">
        <w:rPr>
          <w:rFonts w:ascii="Times New Roman" w:eastAsia="Times New Roman" w:hAnsi="Times New Roman" w:cs="Times New Roman"/>
          <w:noProof/>
          <w:lang w:eastAsia="en-GB"/>
        </w:rPr>
        <w:t xml:space="preserve"> </w:t>
      </w:r>
      <w:r w:rsidRPr="003C0D71">
        <w:rPr>
          <w:rFonts w:ascii="Times New Roman" w:eastAsia="Times New Roman" w:hAnsi="Times New Roman" w:cs="Times New Roman"/>
          <w:noProof/>
          <w:lang w:eastAsia="en-GB"/>
        </w:rPr>
        <w:t xml:space="preserve">instead rely on their existing due diligence arrangements that were in place before the Securitisation Regulation entered into force. A number of respondents identified </w:t>
      </w:r>
      <w:r w:rsidR="00F97902">
        <w:rPr>
          <w:rFonts w:ascii="Times New Roman" w:eastAsia="Times New Roman" w:hAnsi="Times New Roman" w:cs="Times New Roman"/>
          <w:noProof/>
          <w:lang w:eastAsia="en-GB"/>
        </w:rPr>
        <w:t>specific</w:t>
      </w:r>
      <w:r w:rsidR="00F97902" w:rsidRPr="003C0D71">
        <w:rPr>
          <w:rFonts w:ascii="Times New Roman" w:eastAsia="Times New Roman" w:hAnsi="Times New Roman" w:cs="Times New Roman"/>
          <w:noProof/>
          <w:lang w:eastAsia="en-GB"/>
        </w:rPr>
        <w:t xml:space="preserve"> </w:t>
      </w:r>
      <w:r w:rsidRPr="003C0D71">
        <w:rPr>
          <w:rFonts w:ascii="Times New Roman" w:eastAsia="Times New Roman" w:hAnsi="Times New Roman" w:cs="Times New Roman"/>
          <w:noProof/>
          <w:lang w:eastAsia="en-GB"/>
        </w:rPr>
        <w:t xml:space="preserve">fields in the templates </w:t>
      </w:r>
      <w:r w:rsidR="00CE6EEC" w:rsidRPr="003C0D71">
        <w:rPr>
          <w:rFonts w:ascii="Times New Roman" w:eastAsia="Times New Roman" w:hAnsi="Times New Roman" w:cs="Times New Roman"/>
          <w:noProof/>
          <w:lang w:eastAsia="en-GB"/>
        </w:rPr>
        <w:t xml:space="preserve">which </w:t>
      </w:r>
      <w:r w:rsidRPr="003C0D71">
        <w:rPr>
          <w:rFonts w:ascii="Times New Roman" w:eastAsia="Times New Roman" w:hAnsi="Times New Roman" w:cs="Times New Roman"/>
          <w:noProof/>
          <w:lang w:eastAsia="en-GB"/>
        </w:rPr>
        <w:t xml:space="preserve">they deemed </w:t>
      </w:r>
      <w:r w:rsidR="00581AF8" w:rsidRPr="003C0D71">
        <w:rPr>
          <w:rFonts w:ascii="Times New Roman" w:eastAsia="Times New Roman" w:hAnsi="Times New Roman" w:cs="Times New Roman"/>
          <w:noProof/>
          <w:lang w:eastAsia="en-GB"/>
        </w:rPr>
        <w:t xml:space="preserve">problematic </w:t>
      </w:r>
      <w:r w:rsidRPr="003C0D71">
        <w:rPr>
          <w:rFonts w:ascii="Times New Roman" w:eastAsia="Times New Roman" w:hAnsi="Times New Roman" w:cs="Times New Roman"/>
          <w:noProof/>
          <w:lang w:eastAsia="en-GB"/>
        </w:rPr>
        <w:t xml:space="preserve">for various reasons, </w:t>
      </w:r>
      <w:r w:rsidR="00581AF8" w:rsidRPr="003C0D71">
        <w:rPr>
          <w:rFonts w:ascii="Times New Roman" w:eastAsia="Times New Roman" w:hAnsi="Times New Roman" w:cs="Times New Roman"/>
          <w:noProof/>
          <w:lang w:eastAsia="en-GB"/>
        </w:rPr>
        <w:t>e.g.</w:t>
      </w:r>
      <w:r w:rsidRPr="003C0D71">
        <w:rPr>
          <w:rFonts w:ascii="Times New Roman" w:eastAsia="Times New Roman" w:hAnsi="Times New Roman" w:cs="Times New Roman"/>
          <w:noProof/>
          <w:lang w:eastAsia="en-GB"/>
        </w:rPr>
        <w:t xml:space="preserve"> multiple fields </w:t>
      </w:r>
      <w:r w:rsidR="007224C1">
        <w:rPr>
          <w:rFonts w:ascii="Times New Roman" w:eastAsia="Times New Roman" w:hAnsi="Times New Roman" w:cs="Times New Roman"/>
          <w:noProof/>
          <w:lang w:eastAsia="en-GB"/>
        </w:rPr>
        <w:t>for</w:t>
      </w:r>
      <w:r w:rsidR="007224C1" w:rsidRPr="003C0D71">
        <w:rPr>
          <w:rFonts w:ascii="Times New Roman" w:eastAsia="Times New Roman" w:hAnsi="Times New Roman" w:cs="Times New Roman"/>
          <w:noProof/>
          <w:lang w:eastAsia="en-GB"/>
        </w:rPr>
        <w:t xml:space="preserve"> </w:t>
      </w:r>
      <w:r w:rsidRPr="003C0D71">
        <w:rPr>
          <w:rFonts w:ascii="Times New Roman" w:eastAsia="Times New Roman" w:hAnsi="Times New Roman" w:cs="Times New Roman"/>
          <w:noProof/>
          <w:lang w:eastAsia="en-GB"/>
        </w:rPr>
        <w:t>similar information</w:t>
      </w:r>
      <w:r w:rsidR="00581AF8" w:rsidRPr="003C0D71">
        <w:rPr>
          <w:rFonts w:ascii="Times New Roman" w:eastAsia="Times New Roman" w:hAnsi="Times New Roman" w:cs="Times New Roman"/>
          <w:noProof/>
          <w:lang w:eastAsia="en-GB"/>
        </w:rPr>
        <w:t xml:space="preserve"> or </w:t>
      </w:r>
      <w:r w:rsidR="007224C1">
        <w:rPr>
          <w:rFonts w:ascii="Times New Roman" w:eastAsia="Times New Roman" w:hAnsi="Times New Roman" w:cs="Times New Roman"/>
          <w:noProof/>
          <w:lang w:eastAsia="en-GB"/>
        </w:rPr>
        <w:t>lack of clarity on the</w:t>
      </w:r>
      <w:r w:rsidR="007224C1" w:rsidRPr="003C0D71">
        <w:rPr>
          <w:rFonts w:ascii="Times New Roman" w:eastAsia="Times New Roman" w:hAnsi="Times New Roman" w:cs="Times New Roman"/>
          <w:noProof/>
          <w:lang w:eastAsia="en-GB"/>
        </w:rPr>
        <w:t xml:space="preserve"> </w:t>
      </w:r>
      <w:r w:rsidRPr="003C0D71">
        <w:rPr>
          <w:rFonts w:ascii="Times New Roman" w:eastAsia="Times New Roman" w:hAnsi="Times New Roman" w:cs="Times New Roman"/>
          <w:noProof/>
          <w:lang w:eastAsia="en-GB"/>
        </w:rPr>
        <w:t xml:space="preserve">usefulness of certain information required by the templates. </w:t>
      </w:r>
      <w:r w:rsidR="008E582D">
        <w:rPr>
          <w:rFonts w:ascii="Times New Roman" w:eastAsia="Times New Roman" w:hAnsi="Times New Roman" w:cs="Times New Roman"/>
          <w:noProof/>
          <w:lang w:eastAsia="en-GB"/>
        </w:rPr>
        <w:t>On</w:t>
      </w:r>
      <w:r w:rsidRPr="003C0D71">
        <w:rPr>
          <w:rFonts w:ascii="Times New Roman" w:eastAsia="Times New Roman" w:hAnsi="Times New Roman" w:cs="Times New Roman"/>
          <w:noProof/>
          <w:lang w:eastAsia="en-GB"/>
        </w:rPr>
        <w:t xml:space="preserve"> the impact of loan-by-loan information disclosure, most stakeholders found it </w:t>
      </w:r>
      <w:r w:rsidR="008836A2" w:rsidRPr="003C0D71">
        <w:rPr>
          <w:rFonts w:ascii="Times New Roman" w:eastAsia="Times New Roman" w:hAnsi="Times New Roman" w:cs="Times New Roman"/>
          <w:noProof/>
          <w:lang w:eastAsia="en-GB"/>
        </w:rPr>
        <w:t xml:space="preserve">generally </w:t>
      </w:r>
      <w:r w:rsidRPr="003C0D71">
        <w:rPr>
          <w:rFonts w:ascii="Times New Roman" w:eastAsia="Times New Roman" w:hAnsi="Times New Roman" w:cs="Times New Roman"/>
          <w:noProof/>
          <w:lang w:eastAsia="en-GB"/>
        </w:rPr>
        <w:t xml:space="preserve">useful for </w:t>
      </w:r>
      <w:r w:rsidR="00CE6EEC" w:rsidRPr="003C0D71">
        <w:rPr>
          <w:rFonts w:ascii="Times New Roman" w:eastAsia="Times New Roman" w:hAnsi="Times New Roman" w:cs="Times New Roman"/>
          <w:noProof/>
          <w:lang w:eastAsia="en-GB"/>
        </w:rPr>
        <w:t>all</w:t>
      </w:r>
      <w:r w:rsidRPr="003C0D71">
        <w:rPr>
          <w:rFonts w:ascii="Times New Roman" w:eastAsia="Times New Roman" w:hAnsi="Times New Roman" w:cs="Times New Roman"/>
          <w:noProof/>
          <w:lang w:eastAsia="en-GB"/>
        </w:rPr>
        <w:t xml:space="preserve"> asset classes</w:t>
      </w:r>
      <w:r w:rsidR="008836A2" w:rsidRPr="003C0D71">
        <w:rPr>
          <w:rFonts w:ascii="Times New Roman" w:eastAsia="Times New Roman" w:hAnsi="Times New Roman" w:cs="Times New Roman"/>
          <w:noProof/>
          <w:lang w:eastAsia="en-GB"/>
        </w:rPr>
        <w:t>,</w:t>
      </w:r>
      <w:r w:rsidRPr="003C0D71">
        <w:rPr>
          <w:rFonts w:ascii="Times New Roman" w:eastAsia="Times New Roman" w:hAnsi="Times New Roman" w:cs="Times New Roman"/>
          <w:noProof/>
          <w:lang w:eastAsia="en-GB"/>
        </w:rPr>
        <w:t xml:space="preserve"> unless the portfolio is</w:t>
      </w:r>
      <w:r w:rsidR="00905C86">
        <w:rPr>
          <w:rFonts w:ascii="Times New Roman" w:eastAsia="Times New Roman" w:hAnsi="Times New Roman" w:cs="Times New Roman"/>
          <w:noProof/>
          <w:lang w:eastAsia="en-GB"/>
        </w:rPr>
        <w:t xml:space="preserve"> composed of a large number of exposures</w:t>
      </w:r>
      <w:r w:rsidR="007224C1">
        <w:rPr>
          <w:rFonts w:ascii="Times New Roman" w:eastAsia="Times New Roman" w:hAnsi="Times New Roman" w:cs="Times New Roman"/>
          <w:noProof/>
          <w:lang w:eastAsia="en-GB"/>
        </w:rPr>
        <w:t>,</w:t>
      </w:r>
      <w:r w:rsidRPr="003C0D71">
        <w:rPr>
          <w:rFonts w:ascii="Times New Roman" w:eastAsia="Times New Roman" w:hAnsi="Times New Roman" w:cs="Times New Roman"/>
          <w:noProof/>
          <w:lang w:eastAsia="en-GB"/>
        </w:rPr>
        <w:t xml:space="preserve"> in which case the impact of an individual exposure on the performance of the securitised pool is small.</w:t>
      </w:r>
    </w:p>
    <w:p w14:paraId="446B79E4" w14:textId="01950907" w:rsidR="00676084" w:rsidRPr="003C0D71" w:rsidRDefault="00676084" w:rsidP="00676084">
      <w:pPr>
        <w:jc w:val="both"/>
        <w:rPr>
          <w:rFonts w:ascii="Times New Roman" w:eastAsia="Times New Roman" w:hAnsi="Times New Roman" w:cs="Times New Roman"/>
          <w:noProof/>
          <w:lang w:eastAsia="en-GB"/>
        </w:rPr>
      </w:pPr>
      <w:r w:rsidRPr="003C0D71">
        <w:rPr>
          <w:rFonts w:ascii="Times New Roman" w:eastAsia="Times New Roman" w:hAnsi="Times New Roman" w:cs="Times New Roman"/>
          <w:noProof/>
          <w:lang w:eastAsia="en-GB"/>
        </w:rPr>
        <w:t>Most stakeholders believe</w:t>
      </w:r>
      <w:r w:rsidR="00BB2462">
        <w:rPr>
          <w:rFonts w:ascii="Times New Roman" w:eastAsia="Times New Roman" w:hAnsi="Times New Roman" w:cs="Times New Roman"/>
          <w:noProof/>
          <w:lang w:eastAsia="en-GB"/>
        </w:rPr>
        <w:t>d</w:t>
      </w:r>
      <w:r w:rsidRPr="003C0D71">
        <w:rPr>
          <w:rFonts w:ascii="Times New Roman" w:eastAsia="Times New Roman" w:hAnsi="Times New Roman" w:cs="Times New Roman"/>
          <w:noProof/>
          <w:lang w:eastAsia="en-GB"/>
        </w:rPr>
        <w:t xml:space="preserve"> that the disclosure regime can </w:t>
      </w:r>
      <w:r w:rsidR="007224C1">
        <w:rPr>
          <w:rFonts w:ascii="Times New Roman" w:eastAsia="Times New Roman" w:hAnsi="Times New Roman" w:cs="Times New Roman"/>
          <w:noProof/>
          <w:lang w:eastAsia="en-GB"/>
        </w:rPr>
        <w:t>therefore</w:t>
      </w:r>
      <w:r w:rsidR="007224C1" w:rsidRPr="003C0D71">
        <w:rPr>
          <w:rFonts w:ascii="Times New Roman" w:eastAsia="Times New Roman" w:hAnsi="Times New Roman" w:cs="Times New Roman"/>
          <w:noProof/>
          <w:lang w:eastAsia="en-GB"/>
        </w:rPr>
        <w:t xml:space="preserve"> </w:t>
      </w:r>
      <w:r w:rsidRPr="003C0D71">
        <w:rPr>
          <w:rFonts w:ascii="Times New Roman" w:eastAsia="Times New Roman" w:hAnsi="Times New Roman" w:cs="Times New Roman"/>
          <w:noProof/>
          <w:lang w:eastAsia="en-GB"/>
        </w:rPr>
        <w:t xml:space="preserve">be simplified without </w:t>
      </w:r>
      <w:r w:rsidR="008836A2" w:rsidRPr="008E2993">
        <w:rPr>
          <w:rFonts w:ascii="Times New Roman" w:eastAsia="Times New Roman" w:hAnsi="Times New Roman" w:cs="Times New Roman"/>
          <w:noProof/>
          <w:lang w:eastAsia="en-GB"/>
        </w:rPr>
        <w:t xml:space="preserve">impairing </w:t>
      </w:r>
      <w:r w:rsidRPr="008E2993">
        <w:rPr>
          <w:rFonts w:ascii="Times New Roman" w:eastAsia="Times New Roman" w:hAnsi="Times New Roman" w:cs="Times New Roman"/>
          <w:noProof/>
          <w:lang w:eastAsia="en-GB"/>
        </w:rPr>
        <w:t xml:space="preserve">the </w:t>
      </w:r>
      <w:r w:rsidR="000A06C6" w:rsidRPr="008E2993">
        <w:rPr>
          <w:rFonts w:ascii="Times New Roman" w:eastAsia="Times New Roman" w:hAnsi="Times New Roman" w:cs="Times New Roman"/>
          <w:noProof/>
          <w:lang w:eastAsia="en-GB"/>
        </w:rPr>
        <w:t>co-</w:t>
      </w:r>
      <w:r w:rsidR="008836A2" w:rsidRPr="008E2993">
        <w:rPr>
          <w:rFonts w:ascii="Times New Roman" w:eastAsia="Times New Roman" w:hAnsi="Times New Roman" w:cs="Times New Roman"/>
          <w:noProof/>
          <w:lang w:eastAsia="en-GB"/>
        </w:rPr>
        <w:t xml:space="preserve">legislators’ </w:t>
      </w:r>
      <w:r w:rsidRPr="008E2993">
        <w:rPr>
          <w:rFonts w:ascii="Times New Roman" w:eastAsia="Times New Roman" w:hAnsi="Times New Roman" w:cs="Times New Roman"/>
          <w:noProof/>
          <w:lang w:eastAsia="en-GB"/>
        </w:rPr>
        <w:t>objective</w:t>
      </w:r>
      <w:r w:rsidRPr="003C0D71">
        <w:rPr>
          <w:rFonts w:ascii="Times New Roman" w:eastAsia="Times New Roman" w:hAnsi="Times New Roman" w:cs="Times New Roman"/>
          <w:noProof/>
          <w:lang w:eastAsia="en-GB"/>
        </w:rPr>
        <w:t xml:space="preserve"> of protecting institutional investors and of facilitating supervision</w:t>
      </w:r>
      <w:r w:rsidR="007224C1">
        <w:rPr>
          <w:rFonts w:ascii="Times New Roman" w:eastAsia="Times New Roman" w:hAnsi="Times New Roman" w:cs="Times New Roman"/>
          <w:noProof/>
          <w:lang w:eastAsia="en-GB"/>
        </w:rPr>
        <w:t>. M</w:t>
      </w:r>
      <w:r w:rsidR="004C18E0">
        <w:rPr>
          <w:rFonts w:ascii="Times New Roman" w:eastAsia="Times New Roman" w:hAnsi="Times New Roman" w:cs="Times New Roman"/>
          <w:noProof/>
          <w:lang w:eastAsia="en-GB"/>
        </w:rPr>
        <w:t xml:space="preserve">ost </w:t>
      </w:r>
      <w:r w:rsidRPr="003C0D71">
        <w:rPr>
          <w:rFonts w:ascii="Times New Roman" w:eastAsia="Times New Roman" w:hAnsi="Times New Roman" w:cs="Times New Roman"/>
          <w:noProof/>
          <w:lang w:eastAsia="en-GB"/>
        </w:rPr>
        <w:t>responses</w:t>
      </w:r>
      <w:r w:rsidR="00FB7BC9" w:rsidRPr="003C0D71">
        <w:rPr>
          <w:rFonts w:ascii="Times New Roman" w:eastAsia="Times New Roman" w:hAnsi="Times New Roman" w:cs="Times New Roman"/>
          <w:noProof/>
          <w:lang w:eastAsia="en-GB"/>
        </w:rPr>
        <w:t xml:space="preserve">, including </w:t>
      </w:r>
      <w:r w:rsidR="008E2993">
        <w:rPr>
          <w:rFonts w:ascii="Times New Roman" w:eastAsia="Times New Roman" w:hAnsi="Times New Roman" w:cs="Times New Roman"/>
          <w:noProof/>
          <w:lang w:eastAsia="en-GB"/>
        </w:rPr>
        <w:t xml:space="preserve">from </w:t>
      </w:r>
      <w:r w:rsidR="00FB7BC9" w:rsidRPr="003C0D71">
        <w:rPr>
          <w:rFonts w:ascii="Times New Roman" w:eastAsia="Times New Roman" w:hAnsi="Times New Roman" w:cs="Times New Roman"/>
          <w:noProof/>
          <w:lang w:eastAsia="en-GB"/>
        </w:rPr>
        <w:t>several public authorities,</w:t>
      </w:r>
      <w:r w:rsidRPr="003C0D71">
        <w:rPr>
          <w:rFonts w:ascii="Times New Roman" w:eastAsia="Times New Roman" w:hAnsi="Times New Roman" w:cs="Times New Roman"/>
          <w:noProof/>
          <w:lang w:eastAsia="en-GB"/>
        </w:rPr>
        <w:t xml:space="preserve"> </w:t>
      </w:r>
      <w:r w:rsidR="007224C1">
        <w:rPr>
          <w:rFonts w:ascii="Times New Roman" w:eastAsia="Times New Roman" w:hAnsi="Times New Roman" w:cs="Times New Roman"/>
          <w:noProof/>
          <w:lang w:eastAsia="en-GB"/>
        </w:rPr>
        <w:t>suggested</w:t>
      </w:r>
      <w:r w:rsidR="007224C1" w:rsidRPr="003C0D71">
        <w:rPr>
          <w:rFonts w:ascii="Times New Roman" w:eastAsia="Times New Roman" w:hAnsi="Times New Roman" w:cs="Times New Roman"/>
          <w:noProof/>
          <w:lang w:eastAsia="en-GB"/>
        </w:rPr>
        <w:t xml:space="preserve"> </w:t>
      </w:r>
      <w:r w:rsidRPr="003C0D71">
        <w:rPr>
          <w:rFonts w:ascii="Times New Roman" w:eastAsia="Times New Roman" w:hAnsi="Times New Roman" w:cs="Times New Roman"/>
          <w:noProof/>
          <w:lang w:eastAsia="en-GB"/>
        </w:rPr>
        <w:t>that the transparency requirements should be better aligned with the needs of investors, particularly for private securitisations.</w:t>
      </w:r>
    </w:p>
    <w:p w14:paraId="6A300282" w14:textId="4D87F3B6" w:rsidR="00FC55F0" w:rsidRDefault="00FC55F0" w:rsidP="00676084">
      <w:pPr>
        <w:jc w:val="both"/>
        <w:rPr>
          <w:rFonts w:ascii="Times New Roman" w:eastAsia="Times New Roman" w:hAnsi="Times New Roman" w:cs="Times New Roman"/>
          <w:noProof/>
          <w:lang w:eastAsia="en-GB"/>
        </w:rPr>
      </w:pPr>
      <w:r w:rsidRPr="003C0D71">
        <w:rPr>
          <w:rFonts w:ascii="Times New Roman" w:eastAsia="Times New Roman" w:hAnsi="Times New Roman" w:cs="Times New Roman"/>
          <w:noProof/>
          <w:lang w:eastAsia="en-GB"/>
        </w:rPr>
        <w:t>The J</w:t>
      </w:r>
      <w:r w:rsidR="009F6AB1" w:rsidRPr="003C0D71">
        <w:rPr>
          <w:rFonts w:ascii="Times New Roman" w:eastAsia="Times New Roman" w:hAnsi="Times New Roman" w:cs="Times New Roman"/>
          <w:noProof/>
          <w:lang w:eastAsia="en-GB"/>
        </w:rPr>
        <w:t xml:space="preserve">oint </w:t>
      </w:r>
      <w:r w:rsidRPr="003C0D71">
        <w:rPr>
          <w:rFonts w:ascii="Times New Roman" w:eastAsia="Times New Roman" w:hAnsi="Times New Roman" w:cs="Times New Roman"/>
          <w:noProof/>
          <w:lang w:eastAsia="en-GB"/>
        </w:rPr>
        <w:t>C</w:t>
      </w:r>
      <w:r w:rsidR="009F6AB1" w:rsidRPr="003C0D71">
        <w:rPr>
          <w:rFonts w:ascii="Times New Roman" w:eastAsia="Times New Roman" w:hAnsi="Times New Roman" w:cs="Times New Roman"/>
          <w:noProof/>
          <w:lang w:eastAsia="en-GB"/>
        </w:rPr>
        <w:t>ommittee</w:t>
      </w:r>
      <w:r w:rsidRPr="003C0D71">
        <w:rPr>
          <w:rFonts w:ascii="Times New Roman" w:eastAsia="Times New Roman" w:hAnsi="Times New Roman" w:cs="Times New Roman"/>
          <w:noProof/>
          <w:lang w:eastAsia="en-GB"/>
        </w:rPr>
        <w:t xml:space="preserve"> </w:t>
      </w:r>
      <w:r w:rsidR="007224C1">
        <w:rPr>
          <w:rFonts w:ascii="Times New Roman" w:eastAsia="Times New Roman" w:hAnsi="Times New Roman" w:cs="Times New Roman"/>
          <w:noProof/>
          <w:lang w:eastAsia="en-GB"/>
        </w:rPr>
        <w:t>r</w:t>
      </w:r>
      <w:r w:rsidRPr="003C0D71">
        <w:rPr>
          <w:rFonts w:ascii="Times New Roman" w:eastAsia="Times New Roman" w:hAnsi="Times New Roman" w:cs="Times New Roman"/>
          <w:noProof/>
          <w:lang w:eastAsia="en-GB"/>
        </w:rPr>
        <w:t xml:space="preserve">eport also reviewed the impact of the due diligence and transparency requirements. </w:t>
      </w:r>
      <w:r w:rsidR="008E582D">
        <w:rPr>
          <w:rFonts w:ascii="Times New Roman" w:eastAsia="Times New Roman" w:hAnsi="Times New Roman" w:cs="Times New Roman"/>
          <w:noProof/>
          <w:lang w:eastAsia="en-GB"/>
        </w:rPr>
        <w:t>On</w:t>
      </w:r>
      <w:r w:rsidRPr="003C0D71">
        <w:rPr>
          <w:rFonts w:ascii="Times New Roman" w:eastAsia="Times New Roman" w:hAnsi="Times New Roman" w:cs="Times New Roman"/>
          <w:noProof/>
          <w:lang w:eastAsia="en-GB"/>
        </w:rPr>
        <w:t xml:space="preserve"> due diligence, the </w:t>
      </w:r>
      <w:r w:rsidR="007224C1">
        <w:rPr>
          <w:rFonts w:ascii="Times New Roman" w:eastAsia="Times New Roman" w:hAnsi="Times New Roman" w:cs="Times New Roman"/>
          <w:noProof/>
          <w:lang w:eastAsia="en-GB"/>
        </w:rPr>
        <w:t>report</w:t>
      </w:r>
      <w:r w:rsidRPr="003C0D71">
        <w:rPr>
          <w:rFonts w:ascii="Times New Roman" w:eastAsia="Times New Roman" w:hAnsi="Times New Roman" w:cs="Times New Roman"/>
          <w:noProof/>
          <w:lang w:eastAsia="en-GB"/>
        </w:rPr>
        <w:t xml:space="preserve"> did not see a need for legal changes and recommended </w:t>
      </w:r>
      <w:r w:rsidR="00DD1AFF" w:rsidRPr="003C0D71">
        <w:rPr>
          <w:rFonts w:ascii="Times New Roman" w:eastAsia="Times New Roman" w:hAnsi="Times New Roman" w:cs="Times New Roman"/>
          <w:noProof/>
          <w:lang w:eastAsia="en-GB"/>
        </w:rPr>
        <w:t xml:space="preserve">clarification </w:t>
      </w:r>
      <w:r w:rsidR="007224C1">
        <w:rPr>
          <w:rFonts w:ascii="Times New Roman" w:eastAsia="Times New Roman" w:hAnsi="Times New Roman" w:cs="Times New Roman"/>
          <w:noProof/>
          <w:lang w:eastAsia="en-GB"/>
        </w:rPr>
        <w:t>on</w:t>
      </w:r>
      <w:r w:rsidR="007224C1" w:rsidRPr="003C0D71">
        <w:rPr>
          <w:rFonts w:ascii="Times New Roman" w:eastAsia="Times New Roman" w:hAnsi="Times New Roman" w:cs="Times New Roman"/>
          <w:noProof/>
          <w:lang w:eastAsia="en-GB"/>
        </w:rPr>
        <w:t xml:space="preserve"> </w:t>
      </w:r>
      <w:r w:rsidRPr="003C0D71">
        <w:rPr>
          <w:rFonts w:ascii="Times New Roman" w:eastAsia="Times New Roman" w:hAnsi="Times New Roman" w:cs="Times New Roman"/>
          <w:noProof/>
          <w:lang w:eastAsia="en-GB"/>
        </w:rPr>
        <w:t xml:space="preserve">the jurisdictional scope of the provisions (see Section </w:t>
      </w:r>
      <w:r w:rsidR="00F315A8" w:rsidRPr="003C0D71">
        <w:rPr>
          <w:rFonts w:ascii="Times New Roman" w:eastAsia="Times New Roman" w:hAnsi="Times New Roman" w:cs="Times New Roman"/>
          <w:noProof/>
          <w:lang w:eastAsia="en-GB"/>
        </w:rPr>
        <w:t>11</w:t>
      </w:r>
      <w:r w:rsidRPr="003C0D71">
        <w:rPr>
          <w:rFonts w:ascii="Times New Roman" w:eastAsia="Times New Roman" w:hAnsi="Times New Roman" w:cs="Times New Roman"/>
          <w:noProof/>
          <w:lang w:eastAsia="en-GB"/>
        </w:rPr>
        <w:t xml:space="preserve">) and </w:t>
      </w:r>
      <w:r w:rsidR="007224C1">
        <w:rPr>
          <w:rFonts w:ascii="Times New Roman" w:eastAsia="Times New Roman" w:hAnsi="Times New Roman" w:cs="Times New Roman"/>
          <w:noProof/>
          <w:lang w:eastAsia="en-GB"/>
        </w:rPr>
        <w:t>greater</w:t>
      </w:r>
      <w:r w:rsidR="007224C1" w:rsidRPr="003C0D71">
        <w:rPr>
          <w:rFonts w:ascii="Times New Roman" w:eastAsia="Times New Roman" w:hAnsi="Times New Roman" w:cs="Times New Roman"/>
          <w:noProof/>
          <w:lang w:eastAsia="en-GB"/>
        </w:rPr>
        <w:t xml:space="preserve"> </w:t>
      </w:r>
      <w:r w:rsidRPr="003C0D71">
        <w:rPr>
          <w:rFonts w:ascii="Times New Roman" w:eastAsia="Times New Roman" w:hAnsi="Times New Roman" w:cs="Times New Roman"/>
          <w:noProof/>
          <w:lang w:eastAsia="en-GB"/>
        </w:rPr>
        <w:t xml:space="preserve">effort </w:t>
      </w:r>
      <w:r w:rsidR="00F77E81">
        <w:rPr>
          <w:rFonts w:ascii="Times New Roman" w:eastAsia="Times New Roman" w:hAnsi="Times New Roman" w:cs="Times New Roman"/>
          <w:noProof/>
          <w:lang w:eastAsia="en-GB"/>
        </w:rPr>
        <w:t>from</w:t>
      </w:r>
      <w:r w:rsidRPr="003C0D71">
        <w:rPr>
          <w:rFonts w:ascii="Times New Roman" w:eastAsia="Times New Roman" w:hAnsi="Times New Roman" w:cs="Times New Roman"/>
          <w:noProof/>
          <w:lang w:eastAsia="en-GB"/>
        </w:rPr>
        <w:t xml:space="preserve"> the national competent authorities to </w:t>
      </w:r>
      <w:r w:rsidR="009056F4">
        <w:rPr>
          <w:rFonts w:ascii="Times New Roman" w:eastAsia="Times New Roman" w:hAnsi="Times New Roman" w:cs="Times New Roman"/>
          <w:noProof/>
          <w:lang w:eastAsia="en-GB"/>
        </w:rPr>
        <w:t>make</w:t>
      </w:r>
      <w:r w:rsidR="009056F4" w:rsidRPr="003C0D71">
        <w:rPr>
          <w:rFonts w:ascii="Times New Roman" w:eastAsia="Times New Roman" w:hAnsi="Times New Roman" w:cs="Times New Roman"/>
          <w:noProof/>
          <w:lang w:eastAsia="en-GB"/>
        </w:rPr>
        <w:t xml:space="preserve"> </w:t>
      </w:r>
      <w:r w:rsidRPr="003C0D71">
        <w:rPr>
          <w:rFonts w:ascii="Times New Roman" w:eastAsia="Times New Roman" w:hAnsi="Times New Roman" w:cs="Times New Roman"/>
          <w:noProof/>
          <w:lang w:eastAsia="en-GB"/>
        </w:rPr>
        <w:t xml:space="preserve">the </w:t>
      </w:r>
      <w:r w:rsidRPr="008E2993">
        <w:rPr>
          <w:rFonts w:ascii="Times New Roman" w:eastAsia="Times New Roman" w:hAnsi="Times New Roman" w:cs="Times New Roman"/>
          <w:noProof/>
          <w:lang w:eastAsia="en-GB"/>
        </w:rPr>
        <w:t>supervision</w:t>
      </w:r>
      <w:r w:rsidRPr="003C0D71">
        <w:rPr>
          <w:rFonts w:ascii="Times New Roman" w:eastAsia="Times New Roman" w:hAnsi="Times New Roman" w:cs="Times New Roman"/>
          <w:noProof/>
          <w:lang w:eastAsia="en-GB"/>
        </w:rPr>
        <w:t xml:space="preserve"> of due diligence</w:t>
      </w:r>
      <w:r w:rsidR="009056F4">
        <w:rPr>
          <w:rFonts w:ascii="Times New Roman" w:eastAsia="Times New Roman" w:hAnsi="Times New Roman" w:cs="Times New Roman"/>
          <w:noProof/>
          <w:lang w:eastAsia="en-GB"/>
        </w:rPr>
        <w:t xml:space="preserve"> more effective</w:t>
      </w:r>
      <w:r w:rsidRPr="003C0D71">
        <w:rPr>
          <w:rFonts w:ascii="Times New Roman" w:eastAsia="Times New Roman" w:hAnsi="Times New Roman" w:cs="Times New Roman"/>
          <w:noProof/>
          <w:lang w:eastAsia="en-GB"/>
        </w:rPr>
        <w:t xml:space="preserve">. </w:t>
      </w:r>
      <w:r w:rsidR="008E582D">
        <w:rPr>
          <w:rFonts w:ascii="Times New Roman" w:eastAsia="Times New Roman" w:hAnsi="Times New Roman" w:cs="Times New Roman"/>
          <w:noProof/>
          <w:lang w:eastAsia="en-GB"/>
        </w:rPr>
        <w:t>On</w:t>
      </w:r>
      <w:r w:rsidRPr="003C0D71">
        <w:rPr>
          <w:rFonts w:ascii="Times New Roman" w:eastAsia="Times New Roman" w:hAnsi="Times New Roman" w:cs="Times New Roman"/>
          <w:noProof/>
          <w:lang w:eastAsia="en-GB"/>
        </w:rPr>
        <w:t xml:space="preserve"> the transparency provisions, the main recommendations were to </w:t>
      </w:r>
      <w:r w:rsidR="007224C1">
        <w:rPr>
          <w:rFonts w:ascii="Times New Roman" w:eastAsia="Times New Roman" w:hAnsi="Times New Roman" w:cs="Times New Roman"/>
          <w:noProof/>
          <w:lang w:eastAsia="en-GB"/>
        </w:rPr>
        <w:t>i</w:t>
      </w:r>
      <w:r w:rsidR="00700EC4">
        <w:rPr>
          <w:rFonts w:ascii="Times New Roman" w:eastAsia="Times New Roman" w:hAnsi="Times New Roman" w:cs="Times New Roman"/>
          <w:noProof/>
          <w:lang w:eastAsia="en-GB"/>
        </w:rPr>
        <w:t>mpro</w:t>
      </w:r>
      <w:r w:rsidR="007224C1">
        <w:rPr>
          <w:rFonts w:ascii="Times New Roman" w:eastAsia="Times New Roman" w:hAnsi="Times New Roman" w:cs="Times New Roman"/>
          <w:noProof/>
          <w:lang w:eastAsia="en-GB"/>
        </w:rPr>
        <w:t>ve</w:t>
      </w:r>
      <w:r w:rsidR="007224C1" w:rsidRPr="003C0D71">
        <w:rPr>
          <w:rFonts w:ascii="Times New Roman" w:eastAsia="Times New Roman" w:hAnsi="Times New Roman" w:cs="Times New Roman"/>
          <w:noProof/>
          <w:lang w:eastAsia="en-GB"/>
        </w:rPr>
        <w:t xml:space="preserve"> </w:t>
      </w:r>
      <w:r w:rsidRPr="003C0D71">
        <w:rPr>
          <w:rFonts w:ascii="Times New Roman" w:eastAsia="Times New Roman" w:hAnsi="Times New Roman" w:cs="Times New Roman"/>
          <w:noProof/>
          <w:lang w:eastAsia="en-GB"/>
        </w:rPr>
        <w:t xml:space="preserve">convergence and coordination in the area of supervision, and to monitor </w:t>
      </w:r>
      <w:r w:rsidR="00BE0B1B">
        <w:rPr>
          <w:rFonts w:ascii="Times New Roman" w:eastAsia="Times New Roman" w:hAnsi="Times New Roman" w:cs="Times New Roman"/>
          <w:noProof/>
          <w:lang w:eastAsia="en-GB"/>
        </w:rPr>
        <w:t xml:space="preserve">further </w:t>
      </w:r>
      <w:r w:rsidRPr="003C0D71">
        <w:rPr>
          <w:rFonts w:ascii="Times New Roman" w:eastAsia="Times New Roman" w:hAnsi="Times New Roman" w:cs="Times New Roman"/>
          <w:noProof/>
          <w:lang w:eastAsia="en-GB"/>
        </w:rPr>
        <w:t xml:space="preserve">the </w:t>
      </w:r>
      <w:r w:rsidR="00201047" w:rsidRPr="003C0D71">
        <w:rPr>
          <w:rFonts w:ascii="Times New Roman" w:eastAsia="Times New Roman" w:hAnsi="Times New Roman" w:cs="Times New Roman"/>
          <w:noProof/>
          <w:lang w:eastAsia="en-GB"/>
        </w:rPr>
        <w:t>impact</w:t>
      </w:r>
      <w:r w:rsidRPr="003C0D71">
        <w:rPr>
          <w:rFonts w:ascii="Times New Roman" w:eastAsia="Times New Roman" w:hAnsi="Times New Roman" w:cs="Times New Roman"/>
          <w:noProof/>
          <w:lang w:eastAsia="en-GB"/>
        </w:rPr>
        <w:t xml:space="preserve"> of the disclosure templates</w:t>
      </w:r>
      <w:r w:rsidR="00201047" w:rsidRPr="003C0D71">
        <w:rPr>
          <w:rFonts w:ascii="Times New Roman" w:eastAsia="Times New Roman" w:hAnsi="Times New Roman" w:cs="Times New Roman"/>
          <w:noProof/>
          <w:lang w:eastAsia="en-GB"/>
        </w:rPr>
        <w:t xml:space="preserve">, arguing that it was too early at that stage for a comprehensive evaluation of </w:t>
      </w:r>
      <w:r w:rsidR="007224C1">
        <w:rPr>
          <w:rFonts w:ascii="Times New Roman" w:eastAsia="Times New Roman" w:hAnsi="Times New Roman" w:cs="Times New Roman"/>
          <w:noProof/>
          <w:lang w:eastAsia="en-GB"/>
        </w:rPr>
        <w:t>how</w:t>
      </w:r>
      <w:r w:rsidR="00201047" w:rsidRPr="003C0D71">
        <w:rPr>
          <w:rFonts w:ascii="Times New Roman" w:eastAsia="Times New Roman" w:hAnsi="Times New Roman" w:cs="Times New Roman"/>
          <w:noProof/>
          <w:lang w:eastAsia="en-GB"/>
        </w:rPr>
        <w:t xml:space="preserve"> the templates</w:t>
      </w:r>
      <w:r w:rsidR="007224C1">
        <w:rPr>
          <w:rFonts w:ascii="Times New Roman" w:eastAsia="Times New Roman" w:hAnsi="Times New Roman" w:cs="Times New Roman"/>
          <w:noProof/>
          <w:lang w:eastAsia="en-GB"/>
        </w:rPr>
        <w:t xml:space="preserve"> work</w:t>
      </w:r>
      <w:r w:rsidR="00201047" w:rsidRPr="003C0D71">
        <w:rPr>
          <w:rFonts w:ascii="Times New Roman" w:eastAsia="Times New Roman" w:hAnsi="Times New Roman" w:cs="Times New Roman"/>
          <w:noProof/>
          <w:lang w:eastAsia="en-GB"/>
        </w:rPr>
        <w:t>.</w:t>
      </w:r>
      <w:r w:rsidR="008A1378">
        <w:rPr>
          <w:rFonts w:ascii="Times New Roman" w:eastAsia="Times New Roman" w:hAnsi="Times New Roman" w:cs="Times New Roman"/>
          <w:noProof/>
          <w:lang w:eastAsia="en-GB"/>
        </w:rPr>
        <w:t xml:space="preserve"> </w:t>
      </w:r>
    </w:p>
    <w:p w14:paraId="4EDD1788" w14:textId="6E7E0601" w:rsidR="00676084" w:rsidRPr="003C0D71" w:rsidRDefault="000146AB" w:rsidP="000D4664">
      <w:pPr>
        <w:rPr>
          <w:rFonts w:ascii="Times New Roman" w:hAnsi="Times New Roman" w:cs="Times New Roman"/>
          <w:b/>
          <w:noProof/>
          <w:sz w:val="24"/>
        </w:rPr>
      </w:pPr>
      <w:r>
        <w:rPr>
          <w:rFonts w:ascii="Times New Roman" w:hAnsi="Times New Roman" w:cs="Times New Roman"/>
          <w:b/>
          <w:noProof/>
          <w:sz w:val="24"/>
        </w:rPr>
        <w:t xml:space="preserve">The </w:t>
      </w:r>
      <w:r w:rsidR="0059643E" w:rsidRPr="003C0D71">
        <w:rPr>
          <w:rFonts w:ascii="Times New Roman" w:hAnsi="Times New Roman" w:cs="Times New Roman"/>
          <w:b/>
          <w:noProof/>
          <w:sz w:val="24"/>
        </w:rPr>
        <w:t>Commission</w:t>
      </w:r>
      <w:r>
        <w:rPr>
          <w:rFonts w:ascii="Times New Roman" w:hAnsi="Times New Roman" w:cs="Times New Roman"/>
          <w:b/>
          <w:noProof/>
          <w:sz w:val="24"/>
        </w:rPr>
        <w:t>’s assessment</w:t>
      </w:r>
    </w:p>
    <w:p w14:paraId="12DCA23D" w14:textId="095AFF8D" w:rsidR="00676084" w:rsidRPr="003C0D71" w:rsidRDefault="00676084" w:rsidP="00676084">
      <w:pPr>
        <w:jc w:val="both"/>
        <w:rPr>
          <w:rFonts w:ascii="Times New Roman" w:eastAsia="Times New Roman" w:hAnsi="Times New Roman" w:cs="Times New Roman"/>
          <w:noProof/>
          <w:lang w:eastAsia="en-GB"/>
        </w:rPr>
      </w:pPr>
      <w:r w:rsidRPr="003C0D71">
        <w:rPr>
          <w:rFonts w:ascii="Times New Roman" w:eastAsia="Times New Roman" w:hAnsi="Times New Roman" w:cs="Times New Roman"/>
          <w:noProof/>
          <w:lang w:eastAsia="en-GB"/>
        </w:rPr>
        <w:t xml:space="preserve">The transparency and due diligence provisions in the Securitisation Regulation </w:t>
      </w:r>
      <w:r w:rsidR="00243857" w:rsidRPr="003C0D71">
        <w:rPr>
          <w:rFonts w:ascii="Times New Roman" w:eastAsia="Times New Roman" w:hAnsi="Times New Roman" w:cs="Times New Roman"/>
          <w:noProof/>
          <w:lang w:eastAsia="en-GB"/>
        </w:rPr>
        <w:t xml:space="preserve">are </w:t>
      </w:r>
      <w:r w:rsidR="00CE6EEC" w:rsidRPr="003C0D71">
        <w:rPr>
          <w:rFonts w:ascii="Times New Roman" w:eastAsia="Times New Roman" w:hAnsi="Times New Roman" w:cs="Times New Roman"/>
          <w:noProof/>
          <w:lang w:eastAsia="en-GB"/>
        </w:rPr>
        <w:t xml:space="preserve">inherently </w:t>
      </w:r>
      <w:r w:rsidRPr="003C0D71">
        <w:rPr>
          <w:rFonts w:ascii="Times New Roman" w:eastAsia="Times New Roman" w:hAnsi="Times New Roman" w:cs="Times New Roman"/>
          <w:noProof/>
          <w:lang w:eastAsia="en-GB"/>
        </w:rPr>
        <w:t xml:space="preserve">linked </w:t>
      </w:r>
      <w:r w:rsidR="007224C1">
        <w:rPr>
          <w:rFonts w:ascii="Times New Roman" w:eastAsia="Times New Roman" w:hAnsi="Times New Roman" w:cs="Times New Roman"/>
          <w:noProof/>
          <w:lang w:eastAsia="en-GB"/>
        </w:rPr>
        <w:t>since</w:t>
      </w:r>
      <w:r w:rsidR="007224C1" w:rsidRPr="003C0D71">
        <w:rPr>
          <w:rFonts w:ascii="Times New Roman" w:eastAsia="Times New Roman" w:hAnsi="Times New Roman" w:cs="Times New Roman"/>
          <w:noProof/>
          <w:lang w:eastAsia="en-GB"/>
        </w:rPr>
        <w:t xml:space="preserve"> </w:t>
      </w:r>
      <w:r w:rsidR="00F77E81">
        <w:rPr>
          <w:rFonts w:ascii="Times New Roman" w:eastAsia="Times New Roman" w:hAnsi="Times New Roman" w:cs="Times New Roman"/>
          <w:noProof/>
          <w:lang w:eastAsia="en-GB"/>
        </w:rPr>
        <w:t>transparency</w:t>
      </w:r>
      <w:r w:rsidRPr="003C0D71">
        <w:rPr>
          <w:rFonts w:ascii="Times New Roman" w:eastAsia="Times New Roman" w:hAnsi="Times New Roman" w:cs="Times New Roman"/>
          <w:noProof/>
          <w:lang w:eastAsia="en-GB"/>
        </w:rPr>
        <w:t xml:space="preserve"> should facilitate </w:t>
      </w:r>
      <w:r w:rsidR="00F77E81">
        <w:rPr>
          <w:rFonts w:ascii="Times New Roman" w:eastAsia="Times New Roman" w:hAnsi="Times New Roman" w:cs="Times New Roman"/>
          <w:noProof/>
          <w:lang w:eastAsia="en-GB"/>
        </w:rPr>
        <w:t>due diligence</w:t>
      </w:r>
      <w:r w:rsidRPr="003C0D71">
        <w:rPr>
          <w:rFonts w:ascii="Times New Roman" w:eastAsia="Times New Roman" w:hAnsi="Times New Roman" w:cs="Times New Roman"/>
          <w:noProof/>
          <w:lang w:eastAsia="en-GB"/>
        </w:rPr>
        <w:t>. The reporting of information that is not used by investors should thus be avoided as it implies unnecessary compliance costs with little benefit.</w:t>
      </w:r>
    </w:p>
    <w:p w14:paraId="3548ABDE" w14:textId="44883D55" w:rsidR="00676084" w:rsidRPr="003C0D71" w:rsidRDefault="00676084" w:rsidP="00676084">
      <w:pPr>
        <w:jc w:val="both"/>
        <w:rPr>
          <w:rFonts w:ascii="Times New Roman" w:eastAsia="Times New Roman" w:hAnsi="Times New Roman" w:cs="Times New Roman"/>
          <w:noProof/>
          <w:lang w:eastAsia="en-GB"/>
        </w:rPr>
      </w:pPr>
      <w:r w:rsidRPr="003C0D71">
        <w:rPr>
          <w:rFonts w:ascii="Times New Roman" w:eastAsia="Times New Roman" w:hAnsi="Times New Roman" w:cs="Times New Roman"/>
          <w:noProof/>
          <w:lang w:eastAsia="en-GB"/>
        </w:rPr>
        <w:t xml:space="preserve">Even if the transparency framework </w:t>
      </w:r>
      <w:r w:rsidR="00700EC4">
        <w:rPr>
          <w:rFonts w:ascii="Times New Roman" w:eastAsia="Times New Roman" w:hAnsi="Times New Roman" w:cs="Times New Roman"/>
          <w:noProof/>
          <w:lang w:eastAsia="en-GB"/>
        </w:rPr>
        <w:t xml:space="preserve">has only </w:t>
      </w:r>
      <w:r w:rsidRPr="003C0D71">
        <w:rPr>
          <w:rFonts w:ascii="Times New Roman" w:eastAsia="Times New Roman" w:hAnsi="Times New Roman" w:cs="Times New Roman"/>
          <w:noProof/>
          <w:lang w:eastAsia="en-GB"/>
        </w:rPr>
        <w:t>applie</w:t>
      </w:r>
      <w:r w:rsidR="00700EC4">
        <w:rPr>
          <w:rFonts w:ascii="Times New Roman" w:eastAsia="Times New Roman" w:hAnsi="Times New Roman" w:cs="Times New Roman"/>
          <w:noProof/>
          <w:lang w:eastAsia="en-GB"/>
        </w:rPr>
        <w:t>d fully</w:t>
      </w:r>
      <w:r w:rsidRPr="003C0D71">
        <w:rPr>
          <w:rFonts w:ascii="Times New Roman" w:eastAsia="Times New Roman" w:hAnsi="Times New Roman" w:cs="Times New Roman"/>
          <w:noProof/>
          <w:lang w:eastAsia="en-GB"/>
        </w:rPr>
        <w:t xml:space="preserve"> since June 2021 with the authorisation of the first securitisation repositories, the disclosure templates have been in use, at least in </w:t>
      </w:r>
      <w:r w:rsidRPr="00F77E81">
        <w:rPr>
          <w:rFonts w:ascii="Times New Roman" w:eastAsia="Times New Roman" w:hAnsi="Times New Roman" w:cs="Times New Roman"/>
          <w:noProof/>
          <w:lang w:eastAsia="en-GB"/>
        </w:rPr>
        <w:t>parts</w:t>
      </w:r>
      <w:r w:rsidRPr="003C0D71">
        <w:rPr>
          <w:rFonts w:ascii="Times New Roman" w:eastAsia="Times New Roman" w:hAnsi="Times New Roman" w:cs="Times New Roman"/>
          <w:noProof/>
          <w:lang w:eastAsia="en-GB"/>
        </w:rPr>
        <w:t xml:space="preserve"> of the market, since they were adopted by ESMA in January 2019. Therefore, the Commission considers that the templates have been in use for a sufficient amount of time to allow for any potentially significant shortcomings to become apparent. The </w:t>
      </w:r>
      <w:r w:rsidR="00243857" w:rsidRPr="003C0D71">
        <w:rPr>
          <w:rFonts w:ascii="Times New Roman" w:eastAsia="Times New Roman" w:hAnsi="Times New Roman" w:cs="Times New Roman"/>
          <w:noProof/>
          <w:lang w:eastAsia="en-GB"/>
        </w:rPr>
        <w:t xml:space="preserve">feedback to the </w:t>
      </w:r>
      <w:r w:rsidR="00443B8F">
        <w:rPr>
          <w:rFonts w:ascii="Times New Roman" w:eastAsia="Times New Roman" w:hAnsi="Times New Roman" w:cs="Times New Roman"/>
          <w:noProof/>
          <w:lang w:eastAsia="en-GB"/>
        </w:rPr>
        <w:t>c</w:t>
      </w:r>
      <w:r w:rsidRPr="003C0D71">
        <w:rPr>
          <w:rFonts w:ascii="Times New Roman" w:eastAsia="Times New Roman" w:hAnsi="Times New Roman" w:cs="Times New Roman"/>
          <w:noProof/>
          <w:lang w:eastAsia="en-GB"/>
        </w:rPr>
        <w:t xml:space="preserve">onsultation points </w:t>
      </w:r>
      <w:r w:rsidR="00243857" w:rsidRPr="003C0D71">
        <w:rPr>
          <w:rFonts w:ascii="Times New Roman" w:eastAsia="Times New Roman" w:hAnsi="Times New Roman" w:cs="Times New Roman"/>
          <w:noProof/>
          <w:lang w:eastAsia="en-GB"/>
        </w:rPr>
        <w:t xml:space="preserve">out </w:t>
      </w:r>
      <w:r w:rsidRPr="003C0D71">
        <w:rPr>
          <w:rFonts w:ascii="Times New Roman" w:eastAsia="Times New Roman" w:hAnsi="Times New Roman" w:cs="Times New Roman"/>
          <w:noProof/>
          <w:lang w:eastAsia="en-GB"/>
        </w:rPr>
        <w:t xml:space="preserve">areas where the usefulness of the disclosure templates might </w:t>
      </w:r>
      <w:r w:rsidR="00243857" w:rsidRPr="003C0D71">
        <w:rPr>
          <w:rFonts w:ascii="Times New Roman" w:eastAsia="Times New Roman" w:hAnsi="Times New Roman" w:cs="Times New Roman"/>
          <w:noProof/>
          <w:lang w:eastAsia="en-GB"/>
        </w:rPr>
        <w:t xml:space="preserve">indeed </w:t>
      </w:r>
      <w:r w:rsidRPr="003C0D71">
        <w:rPr>
          <w:rFonts w:ascii="Times New Roman" w:eastAsia="Times New Roman" w:hAnsi="Times New Roman" w:cs="Times New Roman"/>
          <w:noProof/>
          <w:lang w:eastAsia="en-GB"/>
        </w:rPr>
        <w:t>be limited.</w:t>
      </w:r>
    </w:p>
    <w:p w14:paraId="3FF635D8" w14:textId="1A178E3D" w:rsidR="00676084" w:rsidRPr="003C0D71" w:rsidRDefault="00700EC4" w:rsidP="00676084">
      <w:pPr>
        <w:jc w:val="both"/>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T</w:t>
      </w:r>
      <w:r w:rsidR="00676084" w:rsidRPr="003C0D71">
        <w:rPr>
          <w:rFonts w:ascii="Times New Roman" w:eastAsia="Times New Roman" w:hAnsi="Times New Roman" w:cs="Times New Roman"/>
          <w:noProof/>
          <w:lang w:eastAsia="en-GB"/>
        </w:rPr>
        <w:t xml:space="preserve">he Commission </w:t>
      </w:r>
      <w:r>
        <w:rPr>
          <w:rFonts w:ascii="Times New Roman" w:eastAsia="Times New Roman" w:hAnsi="Times New Roman" w:cs="Times New Roman"/>
          <w:noProof/>
          <w:lang w:eastAsia="en-GB"/>
        </w:rPr>
        <w:t xml:space="preserve">therefore </w:t>
      </w:r>
      <w:r w:rsidR="00676084" w:rsidRPr="003C0D71">
        <w:rPr>
          <w:rFonts w:ascii="Times New Roman" w:eastAsia="Times New Roman" w:hAnsi="Times New Roman" w:cs="Times New Roman"/>
          <w:noProof/>
          <w:lang w:eastAsia="en-GB"/>
        </w:rPr>
        <w:t xml:space="preserve">invites ESMA to review the disclosure templates for underlying exposures in securitisation. ESMA should in particular seek to address possible technical difficulties </w:t>
      </w:r>
      <w:r w:rsidR="00F77E81">
        <w:rPr>
          <w:rFonts w:ascii="Times New Roman" w:eastAsia="Times New Roman" w:hAnsi="Times New Roman" w:cs="Times New Roman"/>
          <w:noProof/>
          <w:lang w:eastAsia="en-GB"/>
        </w:rPr>
        <w:t>in</w:t>
      </w:r>
      <w:r w:rsidR="00F77E81" w:rsidRPr="003C0D71">
        <w:rPr>
          <w:rFonts w:ascii="Times New Roman" w:eastAsia="Times New Roman" w:hAnsi="Times New Roman" w:cs="Times New Roman"/>
          <w:noProof/>
          <w:lang w:eastAsia="en-GB"/>
        </w:rPr>
        <w:t xml:space="preserve"> </w:t>
      </w:r>
      <w:r>
        <w:rPr>
          <w:rFonts w:ascii="Times New Roman" w:eastAsia="Times New Roman" w:hAnsi="Times New Roman" w:cs="Times New Roman"/>
          <w:noProof/>
          <w:lang w:eastAsia="en-GB"/>
        </w:rPr>
        <w:t>completing</w:t>
      </w:r>
      <w:r w:rsidRPr="003C0D71">
        <w:rPr>
          <w:rFonts w:ascii="Times New Roman" w:eastAsia="Times New Roman" w:hAnsi="Times New Roman" w:cs="Times New Roman"/>
          <w:noProof/>
          <w:lang w:eastAsia="en-GB"/>
        </w:rPr>
        <w:t xml:space="preserve"> </w:t>
      </w:r>
      <w:r w:rsidR="00676084" w:rsidRPr="003C0D71">
        <w:rPr>
          <w:rFonts w:ascii="Times New Roman" w:eastAsia="Times New Roman" w:hAnsi="Times New Roman" w:cs="Times New Roman"/>
          <w:noProof/>
          <w:lang w:eastAsia="en-GB"/>
        </w:rPr>
        <w:t xml:space="preserve">the information required in certain fields, remove possibly unnecessary fields and </w:t>
      </w:r>
      <w:r w:rsidR="0045184E" w:rsidRPr="003C0D71">
        <w:rPr>
          <w:rFonts w:ascii="Times New Roman" w:eastAsia="Times New Roman" w:hAnsi="Times New Roman" w:cs="Times New Roman"/>
          <w:noProof/>
          <w:lang w:eastAsia="en-GB"/>
        </w:rPr>
        <w:t xml:space="preserve">align them </w:t>
      </w:r>
      <w:r w:rsidR="00676084" w:rsidRPr="003C0D71">
        <w:rPr>
          <w:rFonts w:ascii="Times New Roman" w:eastAsia="Times New Roman" w:hAnsi="Times New Roman" w:cs="Times New Roman"/>
          <w:noProof/>
          <w:lang w:eastAsia="en-GB"/>
        </w:rPr>
        <w:t>more closely with investors’ needs</w:t>
      </w:r>
      <w:r w:rsidR="0045184E">
        <w:rPr>
          <w:rFonts w:ascii="Times New Roman" w:eastAsia="Times New Roman" w:hAnsi="Times New Roman" w:cs="Times New Roman"/>
          <w:noProof/>
          <w:lang w:eastAsia="en-GB"/>
        </w:rPr>
        <w:t>. As part of this work, ESMA should</w:t>
      </w:r>
      <w:r w:rsidR="00676084" w:rsidRPr="003C0D71">
        <w:rPr>
          <w:rFonts w:ascii="Times New Roman" w:eastAsia="Times New Roman" w:hAnsi="Times New Roman" w:cs="Times New Roman"/>
          <w:noProof/>
          <w:lang w:eastAsia="en-GB"/>
        </w:rPr>
        <w:t xml:space="preserve"> consider whether information on a loan-by-loan basis is useful and </w:t>
      </w:r>
      <w:r w:rsidR="00F77E81">
        <w:rPr>
          <w:rFonts w:ascii="Times New Roman" w:eastAsia="Times New Roman" w:hAnsi="Times New Roman" w:cs="Times New Roman"/>
          <w:noProof/>
          <w:lang w:eastAsia="en-GB"/>
        </w:rPr>
        <w:t>proportionate</w:t>
      </w:r>
      <w:r w:rsidR="00F77E81" w:rsidRPr="003C0D71">
        <w:rPr>
          <w:rFonts w:ascii="Times New Roman" w:eastAsia="Times New Roman" w:hAnsi="Times New Roman" w:cs="Times New Roman"/>
          <w:noProof/>
          <w:lang w:eastAsia="en-GB"/>
        </w:rPr>
        <w:t xml:space="preserve"> </w:t>
      </w:r>
      <w:r w:rsidR="00676084" w:rsidRPr="003C0D71">
        <w:rPr>
          <w:rFonts w:ascii="Times New Roman" w:eastAsia="Times New Roman" w:hAnsi="Times New Roman" w:cs="Times New Roman"/>
          <w:noProof/>
          <w:lang w:eastAsia="en-GB"/>
        </w:rPr>
        <w:t>to investors’ needs for all types of securitisations.</w:t>
      </w:r>
    </w:p>
    <w:p w14:paraId="637C8345" w14:textId="77777777" w:rsidR="005D192F" w:rsidRPr="003C0D71" w:rsidRDefault="2603B6C4" w:rsidP="005D192F">
      <w:pPr>
        <w:pStyle w:val="Heading1"/>
        <w:numPr>
          <w:ilvl w:val="0"/>
          <w:numId w:val="2"/>
        </w:numPr>
        <w:rPr>
          <w:rFonts w:ascii="Times New Roman" w:hAnsi="Times New Roman" w:cs="Times New Roman"/>
          <w:noProof/>
          <w:color w:val="auto"/>
        </w:rPr>
      </w:pPr>
      <w:bookmarkStart w:id="25" w:name="_Toc104283066"/>
      <w:bookmarkStart w:id="26" w:name="_Toc104286134"/>
      <w:bookmarkStart w:id="27" w:name="_Toc104297339"/>
      <w:bookmarkStart w:id="28" w:name="_Toc115346208"/>
      <w:r w:rsidRPr="003C0D71">
        <w:rPr>
          <w:rFonts w:ascii="Times New Roman" w:hAnsi="Times New Roman" w:cs="Times New Roman"/>
          <w:noProof/>
          <w:color w:val="auto"/>
        </w:rPr>
        <w:t>Private securitisations</w:t>
      </w:r>
      <w:bookmarkEnd w:id="25"/>
      <w:bookmarkEnd w:id="26"/>
      <w:bookmarkEnd w:id="27"/>
      <w:bookmarkEnd w:id="28"/>
      <w:r w:rsidRPr="003C0D71">
        <w:rPr>
          <w:rFonts w:ascii="Times New Roman" w:hAnsi="Times New Roman" w:cs="Times New Roman"/>
          <w:noProof/>
          <w:color w:val="auto"/>
        </w:rPr>
        <w:t xml:space="preserve"> </w:t>
      </w:r>
    </w:p>
    <w:p w14:paraId="3AC4EC2C" w14:textId="67E9A77E" w:rsidR="00533EF2" w:rsidRPr="003C0D71" w:rsidRDefault="00533EF2" w:rsidP="000D4664">
      <w:pPr>
        <w:jc w:val="both"/>
        <w:rPr>
          <w:noProof/>
        </w:rPr>
      </w:pPr>
      <w:r w:rsidRPr="003C0D71">
        <w:rPr>
          <w:rFonts w:ascii="Times New Roman" w:eastAsia="Times New Roman" w:hAnsi="Times New Roman" w:cs="Times New Roman"/>
          <w:noProof/>
          <w:lang w:eastAsia="en-GB"/>
        </w:rPr>
        <w:t>Private securitisations are defined as securitisations where no prospectus has to be drawn up in accordance with Directive 20</w:t>
      </w:r>
      <w:r w:rsidR="00E85847" w:rsidRPr="003C0D71">
        <w:rPr>
          <w:rFonts w:ascii="Times New Roman" w:eastAsia="Times New Roman" w:hAnsi="Times New Roman" w:cs="Times New Roman"/>
          <w:noProof/>
          <w:lang w:eastAsia="en-GB"/>
        </w:rPr>
        <w:t>03</w:t>
      </w:r>
      <w:r w:rsidRPr="003C0D71">
        <w:rPr>
          <w:rFonts w:ascii="Times New Roman" w:eastAsia="Times New Roman" w:hAnsi="Times New Roman" w:cs="Times New Roman"/>
          <w:noProof/>
          <w:lang w:eastAsia="en-GB"/>
        </w:rPr>
        <w:t>/71/EC. Private securitisations have to fulfil the same regulatory requirements</w:t>
      </w:r>
      <w:r w:rsidR="00957043">
        <w:rPr>
          <w:rFonts w:ascii="Times New Roman" w:eastAsia="Times New Roman" w:hAnsi="Times New Roman" w:cs="Times New Roman"/>
          <w:noProof/>
          <w:lang w:eastAsia="en-GB"/>
        </w:rPr>
        <w:t xml:space="preserve"> as public securitisations</w:t>
      </w:r>
      <w:r w:rsidRPr="003C0D71">
        <w:rPr>
          <w:rFonts w:ascii="Times New Roman" w:eastAsia="Times New Roman" w:hAnsi="Times New Roman" w:cs="Times New Roman"/>
          <w:noProof/>
          <w:lang w:eastAsia="en-GB"/>
        </w:rPr>
        <w:t xml:space="preserve">, apart from being exempted from </w:t>
      </w:r>
      <w:r w:rsidR="0045184E">
        <w:rPr>
          <w:rFonts w:ascii="Times New Roman" w:eastAsia="Times New Roman" w:hAnsi="Times New Roman" w:cs="Times New Roman"/>
          <w:noProof/>
          <w:lang w:eastAsia="en-GB"/>
        </w:rPr>
        <w:t>having</w:t>
      </w:r>
      <w:r w:rsidRPr="003C0D71">
        <w:rPr>
          <w:rFonts w:ascii="Times New Roman" w:eastAsia="Times New Roman" w:hAnsi="Times New Roman" w:cs="Times New Roman"/>
          <w:noProof/>
          <w:lang w:eastAsia="en-GB"/>
        </w:rPr>
        <w:t xml:space="preserve"> to use the securitisation repository </w:t>
      </w:r>
      <w:r w:rsidR="00F77E81">
        <w:rPr>
          <w:rFonts w:ascii="Times New Roman" w:eastAsia="Times New Roman" w:hAnsi="Times New Roman" w:cs="Times New Roman"/>
          <w:noProof/>
          <w:lang w:eastAsia="en-GB"/>
        </w:rPr>
        <w:t>to</w:t>
      </w:r>
      <w:r w:rsidRPr="003C0D71">
        <w:rPr>
          <w:rFonts w:ascii="Times New Roman" w:eastAsia="Times New Roman" w:hAnsi="Times New Roman" w:cs="Times New Roman"/>
          <w:noProof/>
          <w:lang w:eastAsia="en-GB"/>
        </w:rPr>
        <w:t xml:space="preserve"> disclose the information prescribed by Article 7 of the Securitisation Regulation. </w:t>
      </w:r>
    </w:p>
    <w:p w14:paraId="2FA5225C" w14:textId="77777777" w:rsidR="004D621C" w:rsidRPr="003C0D71" w:rsidRDefault="004134D0" w:rsidP="004D621C">
      <w:pPr>
        <w:pStyle w:val="Heading2"/>
        <w:rPr>
          <w:rFonts w:ascii="Times New Roman" w:hAnsi="Times New Roman" w:cs="Times New Roman"/>
          <w:noProof/>
          <w:color w:val="auto"/>
        </w:rPr>
      </w:pPr>
      <w:bookmarkStart w:id="29" w:name="_Toc104283067"/>
      <w:bookmarkStart w:id="30" w:name="_Toc104286135"/>
      <w:bookmarkStart w:id="31" w:name="_Toc104297340"/>
      <w:bookmarkStart w:id="32" w:name="_Toc115346209"/>
      <w:r w:rsidRPr="003C0D71">
        <w:rPr>
          <w:rFonts w:ascii="Times New Roman" w:hAnsi="Times New Roman" w:cs="Times New Roman"/>
          <w:noProof/>
          <w:color w:val="auto"/>
        </w:rPr>
        <w:t>6</w:t>
      </w:r>
      <w:r w:rsidR="004D621C" w:rsidRPr="003C0D71">
        <w:rPr>
          <w:rFonts w:ascii="Times New Roman" w:hAnsi="Times New Roman" w:cs="Times New Roman"/>
          <w:noProof/>
          <w:color w:val="auto"/>
        </w:rPr>
        <w:t xml:space="preserve">.1 Disproportionate rise in </w:t>
      </w:r>
      <w:r w:rsidR="0045184E">
        <w:rPr>
          <w:rFonts w:ascii="Times New Roman" w:hAnsi="Times New Roman" w:cs="Times New Roman"/>
          <w:noProof/>
          <w:color w:val="auto"/>
        </w:rPr>
        <w:t xml:space="preserve">the </w:t>
      </w:r>
      <w:r w:rsidR="004D621C" w:rsidRPr="003C0D71">
        <w:rPr>
          <w:rFonts w:ascii="Times New Roman" w:hAnsi="Times New Roman" w:cs="Times New Roman"/>
          <w:noProof/>
          <w:color w:val="auto"/>
        </w:rPr>
        <w:t>number of private securitisations?</w:t>
      </w:r>
      <w:bookmarkEnd w:id="29"/>
      <w:bookmarkEnd w:id="30"/>
      <w:bookmarkEnd w:id="31"/>
      <w:bookmarkEnd w:id="32"/>
      <w:r w:rsidR="004D621C" w:rsidRPr="003C0D71">
        <w:rPr>
          <w:rFonts w:ascii="Times New Roman" w:hAnsi="Times New Roman" w:cs="Times New Roman"/>
          <w:noProof/>
          <w:color w:val="auto"/>
        </w:rPr>
        <w:t xml:space="preserve"> </w:t>
      </w:r>
    </w:p>
    <w:p w14:paraId="6D23FD1C" w14:textId="77777777" w:rsidR="004D621C" w:rsidRPr="003C0D71" w:rsidRDefault="004D621C" w:rsidP="000D4664">
      <w:pPr>
        <w:rPr>
          <w:rFonts w:ascii="Times New Roman" w:hAnsi="Times New Roman" w:cs="Times New Roman"/>
          <w:b/>
          <w:noProof/>
          <w:sz w:val="24"/>
        </w:rPr>
      </w:pPr>
      <w:r w:rsidRPr="003C0D71">
        <w:rPr>
          <w:rFonts w:ascii="Times New Roman" w:hAnsi="Times New Roman" w:cs="Times New Roman"/>
          <w:b/>
          <w:noProof/>
          <w:sz w:val="24"/>
        </w:rPr>
        <w:t>Background and findings</w:t>
      </w:r>
    </w:p>
    <w:p w14:paraId="18B20546" w14:textId="1B65E70F" w:rsidR="004D621C" w:rsidRPr="003C0D71" w:rsidRDefault="00CE6EEC" w:rsidP="004D621C">
      <w:pPr>
        <w:jc w:val="both"/>
        <w:rPr>
          <w:rFonts w:ascii="Times New Roman" w:eastAsia="Times New Roman" w:hAnsi="Times New Roman" w:cs="Times New Roman"/>
          <w:noProof/>
          <w:lang w:eastAsia="en-GB"/>
        </w:rPr>
      </w:pPr>
      <w:r w:rsidRPr="003C0D71">
        <w:rPr>
          <w:rFonts w:ascii="Times New Roman" w:eastAsia="Times New Roman" w:hAnsi="Times New Roman" w:cs="Times New Roman"/>
          <w:noProof/>
          <w:lang w:eastAsia="en-GB"/>
        </w:rPr>
        <w:t xml:space="preserve">Private securitisations </w:t>
      </w:r>
      <w:r w:rsidR="004D621C" w:rsidRPr="003C0D71">
        <w:rPr>
          <w:rFonts w:ascii="Times New Roman" w:eastAsia="Times New Roman" w:hAnsi="Times New Roman" w:cs="Times New Roman"/>
          <w:noProof/>
          <w:lang w:eastAsia="en-GB"/>
        </w:rPr>
        <w:t xml:space="preserve">are </w:t>
      </w:r>
      <w:r w:rsidR="00243857" w:rsidRPr="003C0D71">
        <w:rPr>
          <w:rFonts w:ascii="Times New Roman" w:eastAsia="Times New Roman" w:hAnsi="Times New Roman" w:cs="Times New Roman"/>
          <w:noProof/>
          <w:lang w:eastAsia="en-GB"/>
        </w:rPr>
        <w:t xml:space="preserve">a </w:t>
      </w:r>
      <w:r w:rsidR="00C65F22">
        <w:rPr>
          <w:rFonts w:ascii="Times New Roman" w:eastAsia="Times New Roman" w:hAnsi="Times New Roman" w:cs="Times New Roman"/>
          <w:noProof/>
          <w:lang w:eastAsia="en-GB"/>
        </w:rPr>
        <w:t>significant</w:t>
      </w:r>
      <w:r w:rsidR="00C65F22" w:rsidRPr="003C0D71">
        <w:rPr>
          <w:rFonts w:ascii="Times New Roman" w:eastAsia="Times New Roman" w:hAnsi="Times New Roman" w:cs="Times New Roman"/>
          <w:noProof/>
          <w:lang w:eastAsia="en-GB"/>
        </w:rPr>
        <w:t xml:space="preserve"> </w:t>
      </w:r>
      <w:r w:rsidR="004D621C" w:rsidRPr="003C0D71">
        <w:rPr>
          <w:rFonts w:ascii="Times New Roman" w:eastAsia="Times New Roman" w:hAnsi="Times New Roman" w:cs="Times New Roman"/>
          <w:noProof/>
          <w:lang w:eastAsia="en-GB"/>
        </w:rPr>
        <w:t xml:space="preserve">additional </w:t>
      </w:r>
      <w:r w:rsidR="00C14F37" w:rsidRPr="003C0D71">
        <w:rPr>
          <w:rFonts w:ascii="Times New Roman" w:eastAsia="Times New Roman" w:hAnsi="Times New Roman" w:cs="Times New Roman"/>
          <w:noProof/>
          <w:lang w:eastAsia="en-GB"/>
        </w:rPr>
        <w:t>sou</w:t>
      </w:r>
      <w:r w:rsidR="003269B6" w:rsidRPr="003C0D71">
        <w:rPr>
          <w:rFonts w:ascii="Times New Roman" w:eastAsia="Times New Roman" w:hAnsi="Times New Roman" w:cs="Times New Roman"/>
          <w:noProof/>
          <w:lang w:eastAsia="en-GB"/>
        </w:rPr>
        <w:t>r</w:t>
      </w:r>
      <w:r w:rsidR="00C14F37" w:rsidRPr="003C0D71">
        <w:rPr>
          <w:rFonts w:ascii="Times New Roman" w:eastAsia="Times New Roman" w:hAnsi="Times New Roman" w:cs="Times New Roman"/>
          <w:noProof/>
          <w:lang w:eastAsia="en-GB"/>
        </w:rPr>
        <w:t xml:space="preserve">ce </w:t>
      </w:r>
      <w:r w:rsidR="004D621C" w:rsidRPr="003C0D71">
        <w:rPr>
          <w:rFonts w:ascii="Times New Roman" w:eastAsia="Times New Roman" w:hAnsi="Times New Roman" w:cs="Times New Roman"/>
          <w:noProof/>
          <w:lang w:eastAsia="en-GB"/>
        </w:rPr>
        <w:t xml:space="preserve">of </w:t>
      </w:r>
      <w:r w:rsidR="003C6402" w:rsidRPr="003C0D71">
        <w:rPr>
          <w:rFonts w:ascii="Times New Roman" w:eastAsia="Times New Roman" w:hAnsi="Times New Roman" w:cs="Times New Roman"/>
          <w:noProof/>
          <w:lang w:eastAsia="en-GB"/>
        </w:rPr>
        <w:t>financing</w:t>
      </w:r>
      <w:r w:rsidR="004D621C" w:rsidRPr="003C0D71">
        <w:rPr>
          <w:rFonts w:ascii="Times New Roman" w:eastAsia="Times New Roman" w:hAnsi="Times New Roman" w:cs="Times New Roman"/>
          <w:noProof/>
          <w:lang w:eastAsia="en-GB"/>
        </w:rPr>
        <w:t xml:space="preserve"> </w:t>
      </w:r>
      <w:r w:rsidR="003C6402" w:rsidRPr="003C0D71">
        <w:rPr>
          <w:rFonts w:ascii="Times New Roman" w:eastAsia="Times New Roman" w:hAnsi="Times New Roman" w:cs="Times New Roman"/>
          <w:noProof/>
          <w:lang w:eastAsia="en-GB"/>
        </w:rPr>
        <w:t xml:space="preserve">for </w:t>
      </w:r>
      <w:r w:rsidR="004D621C" w:rsidRPr="003C0D71">
        <w:rPr>
          <w:rFonts w:ascii="Times New Roman" w:eastAsia="Times New Roman" w:hAnsi="Times New Roman" w:cs="Times New Roman"/>
          <w:noProof/>
          <w:lang w:eastAsia="en-GB"/>
        </w:rPr>
        <w:t>businesses</w:t>
      </w:r>
      <w:r w:rsidR="003975FE">
        <w:rPr>
          <w:rFonts w:ascii="Times New Roman" w:eastAsia="Times New Roman" w:hAnsi="Times New Roman" w:cs="Times New Roman"/>
          <w:noProof/>
          <w:lang w:eastAsia="en-GB"/>
        </w:rPr>
        <w:t>.</w:t>
      </w:r>
      <w:r w:rsidR="004D621C" w:rsidRPr="003C0D71">
        <w:rPr>
          <w:rFonts w:ascii="Times New Roman" w:eastAsia="Times New Roman" w:hAnsi="Times New Roman" w:cs="Times New Roman"/>
          <w:noProof/>
          <w:lang w:eastAsia="en-GB"/>
        </w:rPr>
        <w:t xml:space="preserve">. </w:t>
      </w:r>
      <w:r w:rsidR="004D489F" w:rsidRPr="003C0D71">
        <w:rPr>
          <w:rFonts w:ascii="Times New Roman" w:eastAsia="Times New Roman" w:hAnsi="Times New Roman" w:cs="Times New Roman"/>
          <w:noProof/>
          <w:lang w:eastAsia="en-GB"/>
        </w:rPr>
        <w:t>Private securitisations</w:t>
      </w:r>
      <w:r w:rsidR="0045184E">
        <w:rPr>
          <w:rFonts w:ascii="Times New Roman" w:eastAsia="Times New Roman" w:hAnsi="Times New Roman" w:cs="Times New Roman"/>
          <w:noProof/>
          <w:lang w:eastAsia="en-GB"/>
        </w:rPr>
        <w:t>,</w:t>
      </w:r>
      <w:r w:rsidR="004D489F" w:rsidRPr="003C0D71">
        <w:rPr>
          <w:rFonts w:ascii="Times New Roman" w:eastAsia="Times New Roman" w:hAnsi="Times New Roman" w:cs="Times New Roman"/>
          <w:noProof/>
          <w:lang w:eastAsia="en-GB"/>
        </w:rPr>
        <w:t xml:space="preserve"> for </w:t>
      </w:r>
      <w:r w:rsidR="0045184E">
        <w:rPr>
          <w:rFonts w:ascii="Times New Roman" w:eastAsia="Times New Roman" w:hAnsi="Times New Roman" w:cs="Times New Roman"/>
          <w:noProof/>
          <w:lang w:eastAsia="en-GB"/>
        </w:rPr>
        <w:t xml:space="preserve">the </w:t>
      </w:r>
      <w:r w:rsidR="004D489F" w:rsidRPr="003C0D71">
        <w:rPr>
          <w:rFonts w:ascii="Times New Roman" w:eastAsia="Times New Roman" w:hAnsi="Times New Roman" w:cs="Times New Roman"/>
          <w:noProof/>
          <w:lang w:eastAsia="en-GB"/>
        </w:rPr>
        <w:t>most part</w:t>
      </w:r>
      <w:r w:rsidR="0045184E">
        <w:rPr>
          <w:rFonts w:ascii="Times New Roman" w:eastAsia="Times New Roman" w:hAnsi="Times New Roman" w:cs="Times New Roman"/>
          <w:noProof/>
          <w:lang w:eastAsia="en-GB"/>
        </w:rPr>
        <w:t>,</w:t>
      </w:r>
      <w:r w:rsidR="004D489F" w:rsidRPr="003C0D71">
        <w:rPr>
          <w:rFonts w:ascii="Times New Roman" w:eastAsia="Times New Roman" w:hAnsi="Times New Roman" w:cs="Times New Roman"/>
          <w:noProof/>
          <w:lang w:eastAsia="en-GB"/>
        </w:rPr>
        <w:t xml:space="preserve"> serve very specific </w:t>
      </w:r>
      <w:r w:rsidR="0045184E">
        <w:rPr>
          <w:rFonts w:ascii="Times New Roman" w:eastAsia="Times New Roman" w:hAnsi="Times New Roman" w:cs="Times New Roman"/>
          <w:noProof/>
          <w:lang w:eastAsia="en-GB"/>
        </w:rPr>
        <w:t xml:space="preserve">market </w:t>
      </w:r>
      <w:r w:rsidR="004D489F" w:rsidRPr="003C0D71">
        <w:rPr>
          <w:rFonts w:ascii="Times New Roman" w:eastAsia="Times New Roman" w:hAnsi="Times New Roman" w:cs="Times New Roman"/>
          <w:noProof/>
          <w:lang w:eastAsia="en-GB"/>
        </w:rPr>
        <w:t>niches, for instance</w:t>
      </w:r>
      <w:r w:rsidR="0045184E">
        <w:rPr>
          <w:rFonts w:ascii="Times New Roman" w:eastAsia="Times New Roman" w:hAnsi="Times New Roman" w:cs="Times New Roman"/>
          <w:noProof/>
          <w:lang w:eastAsia="en-GB"/>
        </w:rPr>
        <w:t xml:space="preserve">: (i) </w:t>
      </w:r>
      <w:r w:rsidR="004D489F" w:rsidRPr="003C0D71">
        <w:rPr>
          <w:rFonts w:ascii="Times New Roman" w:eastAsia="Times New Roman" w:hAnsi="Times New Roman" w:cs="Times New Roman"/>
          <w:noProof/>
          <w:lang w:eastAsia="en-GB"/>
        </w:rPr>
        <w:t xml:space="preserve">where the direct relationship between investor and originator is </w:t>
      </w:r>
      <w:r w:rsidR="001E51EF" w:rsidRPr="003C0D71">
        <w:rPr>
          <w:rFonts w:ascii="Times New Roman" w:eastAsia="Times New Roman" w:hAnsi="Times New Roman" w:cs="Times New Roman"/>
          <w:noProof/>
          <w:lang w:eastAsia="en-GB"/>
        </w:rPr>
        <w:t>important</w:t>
      </w:r>
      <w:r w:rsidR="0045184E">
        <w:rPr>
          <w:rFonts w:ascii="Times New Roman" w:eastAsia="Times New Roman" w:hAnsi="Times New Roman" w:cs="Times New Roman"/>
          <w:noProof/>
          <w:lang w:eastAsia="en-GB"/>
        </w:rPr>
        <w:t>;</w:t>
      </w:r>
      <w:r w:rsidR="004D489F" w:rsidRPr="003C0D71">
        <w:rPr>
          <w:rFonts w:ascii="Times New Roman" w:eastAsia="Times New Roman" w:hAnsi="Times New Roman" w:cs="Times New Roman"/>
          <w:noProof/>
          <w:lang w:eastAsia="en-GB"/>
        </w:rPr>
        <w:t xml:space="preserve"> </w:t>
      </w:r>
      <w:r w:rsidR="0045184E">
        <w:rPr>
          <w:rFonts w:ascii="Times New Roman" w:eastAsia="Times New Roman" w:hAnsi="Times New Roman" w:cs="Times New Roman"/>
          <w:noProof/>
          <w:lang w:eastAsia="en-GB"/>
        </w:rPr>
        <w:t xml:space="preserve">(ii) </w:t>
      </w:r>
      <w:r w:rsidR="004D489F" w:rsidRPr="003C0D71">
        <w:rPr>
          <w:rFonts w:ascii="Times New Roman" w:eastAsia="Times New Roman" w:hAnsi="Times New Roman" w:cs="Times New Roman"/>
          <w:noProof/>
          <w:lang w:eastAsia="en-GB"/>
        </w:rPr>
        <w:t>where the issuer need</w:t>
      </w:r>
      <w:r w:rsidR="00E85847" w:rsidRPr="003C0D71">
        <w:rPr>
          <w:rFonts w:ascii="Times New Roman" w:eastAsia="Times New Roman" w:hAnsi="Times New Roman" w:cs="Times New Roman"/>
          <w:noProof/>
          <w:lang w:eastAsia="en-GB"/>
        </w:rPr>
        <w:t>s</w:t>
      </w:r>
      <w:r w:rsidR="004D489F" w:rsidRPr="003C0D71">
        <w:rPr>
          <w:rFonts w:ascii="Times New Roman" w:eastAsia="Times New Roman" w:hAnsi="Times New Roman" w:cs="Times New Roman"/>
          <w:noProof/>
          <w:lang w:eastAsia="en-GB"/>
        </w:rPr>
        <w:t xml:space="preserve"> to control access to particularly sensitive business data</w:t>
      </w:r>
      <w:r w:rsidR="0045184E">
        <w:rPr>
          <w:rFonts w:ascii="Times New Roman" w:eastAsia="Times New Roman" w:hAnsi="Times New Roman" w:cs="Times New Roman"/>
          <w:noProof/>
          <w:lang w:eastAsia="en-GB"/>
        </w:rPr>
        <w:t>;</w:t>
      </w:r>
      <w:r w:rsidR="004D489F" w:rsidRPr="003C0D71">
        <w:rPr>
          <w:rFonts w:ascii="Times New Roman" w:eastAsia="Times New Roman" w:hAnsi="Times New Roman" w:cs="Times New Roman"/>
          <w:noProof/>
          <w:lang w:eastAsia="en-GB"/>
        </w:rPr>
        <w:t xml:space="preserve"> or </w:t>
      </w:r>
      <w:r w:rsidR="0045184E">
        <w:rPr>
          <w:rFonts w:ascii="Times New Roman" w:eastAsia="Times New Roman" w:hAnsi="Times New Roman" w:cs="Times New Roman"/>
          <w:noProof/>
          <w:lang w:eastAsia="en-GB"/>
        </w:rPr>
        <w:t xml:space="preserve">(iii) </w:t>
      </w:r>
      <w:r w:rsidR="004D489F" w:rsidRPr="003C0D71">
        <w:rPr>
          <w:rFonts w:ascii="Times New Roman" w:eastAsia="Times New Roman" w:hAnsi="Times New Roman" w:cs="Times New Roman"/>
          <w:noProof/>
          <w:lang w:eastAsia="en-GB"/>
        </w:rPr>
        <w:t xml:space="preserve">where the transaction volumes are too small to </w:t>
      </w:r>
      <w:r w:rsidR="00E85847" w:rsidRPr="003C0D71">
        <w:rPr>
          <w:rFonts w:ascii="Times New Roman" w:eastAsia="Times New Roman" w:hAnsi="Times New Roman" w:cs="Times New Roman"/>
          <w:noProof/>
          <w:lang w:eastAsia="en-GB"/>
        </w:rPr>
        <w:t xml:space="preserve">justify </w:t>
      </w:r>
      <w:r w:rsidR="004D489F" w:rsidRPr="003C0D71">
        <w:rPr>
          <w:rFonts w:ascii="Times New Roman" w:eastAsia="Times New Roman" w:hAnsi="Times New Roman" w:cs="Times New Roman"/>
          <w:noProof/>
          <w:lang w:eastAsia="en-GB"/>
        </w:rPr>
        <w:t>the cost of public issuance.</w:t>
      </w:r>
    </w:p>
    <w:p w14:paraId="008109B4" w14:textId="6812AC7D" w:rsidR="004D621C" w:rsidRPr="003C0D71" w:rsidRDefault="004D621C" w:rsidP="004D621C">
      <w:pPr>
        <w:jc w:val="both"/>
        <w:rPr>
          <w:rFonts w:ascii="Times New Roman" w:eastAsia="Times New Roman" w:hAnsi="Times New Roman" w:cs="Times New Roman"/>
          <w:noProof/>
          <w:lang w:eastAsia="en-GB"/>
        </w:rPr>
      </w:pPr>
      <w:r w:rsidRPr="003C0D71">
        <w:rPr>
          <w:rFonts w:ascii="Times New Roman" w:eastAsia="Times New Roman" w:hAnsi="Times New Roman" w:cs="Times New Roman"/>
          <w:noProof/>
          <w:lang w:eastAsia="en-GB"/>
        </w:rPr>
        <w:t xml:space="preserve">At the same time, </w:t>
      </w:r>
      <w:r w:rsidR="00017FC3">
        <w:rPr>
          <w:rFonts w:ascii="Times New Roman" w:eastAsia="Times New Roman" w:hAnsi="Times New Roman" w:cs="Times New Roman"/>
          <w:noProof/>
          <w:lang w:eastAsia="en-GB"/>
        </w:rPr>
        <w:t xml:space="preserve">the </w:t>
      </w:r>
      <w:r w:rsidRPr="003C0D71">
        <w:rPr>
          <w:rFonts w:ascii="Times New Roman" w:eastAsia="Times New Roman" w:hAnsi="Times New Roman" w:cs="Times New Roman"/>
          <w:noProof/>
          <w:lang w:eastAsia="en-GB"/>
        </w:rPr>
        <w:t xml:space="preserve">co-legislators were concerned that such deals might be used to circumvent the more onerous transparency requirements </w:t>
      </w:r>
      <w:r w:rsidR="0045184E">
        <w:rPr>
          <w:rFonts w:ascii="Times New Roman" w:eastAsia="Times New Roman" w:hAnsi="Times New Roman" w:cs="Times New Roman"/>
          <w:noProof/>
          <w:lang w:eastAsia="en-GB"/>
        </w:rPr>
        <w:t>for</w:t>
      </w:r>
      <w:r w:rsidR="0045184E" w:rsidRPr="003C0D71">
        <w:rPr>
          <w:rFonts w:ascii="Times New Roman" w:eastAsia="Times New Roman" w:hAnsi="Times New Roman" w:cs="Times New Roman"/>
          <w:noProof/>
          <w:lang w:eastAsia="en-GB"/>
        </w:rPr>
        <w:t xml:space="preserve"> </w:t>
      </w:r>
      <w:r w:rsidRPr="003C0D71">
        <w:rPr>
          <w:rFonts w:ascii="Times New Roman" w:eastAsia="Times New Roman" w:hAnsi="Times New Roman" w:cs="Times New Roman"/>
          <w:noProof/>
          <w:lang w:eastAsia="en-GB"/>
        </w:rPr>
        <w:t>public securitisations</w:t>
      </w:r>
      <w:r w:rsidR="0045184E">
        <w:rPr>
          <w:rFonts w:ascii="Times New Roman" w:eastAsia="Times New Roman" w:hAnsi="Times New Roman" w:cs="Times New Roman"/>
          <w:noProof/>
          <w:lang w:eastAsia="en-GB"/>
        </w:rPr>
        <w:t>. They therefore</w:t>
      </w:r>
      <w:r w:rsidRPr="003C0D71">
        <w:rPr>
          <w:rFonts w:ascii="Times New Roman" w:eastAsia="Times New Roman" w:hAnsi="Times New Roman" w:cs="Times New Roman"/>
          <w:noProof/>
          <w:lang w:eastAsia="en-GB"/>
        </w:rPr>
        <w:t xml:space="preserve"> </w:t>
      </w:r>
      <w:r w:rsidR="0045184E">
        <w:rPr>
          <w:rFonts w:ascii="Times New Roman" w:eastAsia="Times New Roman" w:hAnsi="Times New Roman" w:cs="Times New Roman"/>
          <w:noProof/>
          <w:lang w:eastAsia="en-GB"/>
        </w:rPr>
        <w:t>asked</w:t>
      </w:r>
      <w:r w:rsidR="0045184E" w:rsidRPr="003C0D71">
        <w:rPr>
          <w:rFonts w:ascii="Times New Roman" w:eastAsia="Times New Roman" w:hAnsi="Times New Roman" w:cs="Times New Roman"/>
          <w:noProof/>
          <w:lang w:eastAsia="en-GB"/>
        </w:rPr>
        <w:t xml:space="preserve"> </w:t>
      </w:r>
      <w:r w:rsidRPr="003C0D71">
        <w:rPr>
          <w:rFonts w:ascii="Times New Roman" w:eastAsia="Times New Roman" w:hAnsi="Times New Roman" w:cs="Times New Roman"/>
          <w:noProof/>
          <w:lang w:eastAsia="en-GB"/>
        </w:rPr>
        <w:t>the Commission to assess whether there ha</w:t>
      </w:r>
      <w:r w:rsidR="00E85847" w:rsidRPr="003C0D71">
        <w:rPr>
          <w:rFonts w:ascii="Times New Roman" w:eastAsia="Times New Roman" w:hAnsi="Times New Roman" w:cs="Times New Roman"/>
          <w:noProof/>
          <w:lang w:eastAsia="en-GB"/>
        </w:rPr>
        <w:t>d</w:t>
      </w:r>
      <w:r w:rsidRPr="003C0D71">
        <w:rPr>
          <w:rFonts w:ascii="Times New Roman" w:eastAsia="Times New Roman" w:hAnsi="Times New Roman" w:cs="Times New Roman"/>
          <w:noProof/>
          <w:lang w:eastAsia="en-GB"/>
        </w:rPr>
        <w:t xml:space="preserve"> been a disproportionate rise in </w:t>
      </w:r>
      <w:r w:rsidR="0045184E">
        <w:rPr>
          <w:rFonts w:ascii="Times New Roman" w:eastAsia="Times New Roman" w:hAnsi="Times New Roman" w:cs="Times New Roman"/>
          <w:noProof/>
          <w:lang w:eastAsia="en-GB"/>
        </w:rPr>
        <w:t xml:space="preserve">the </w:t>
      </w:r>
      <w:r w:rsidRPr="003C0D71">
        <w:rPr>
          <w:rFonts w:ascii="Times New Roman" w:eastAsia="Times New Roman" w:hAnsi="Times New Roman" w:cs="Times New Roman"/>
          <w:noProof/>
          <w:lang w:eastAsia="en-GB"/>
        </w:rPr>
        <w:t xml:space="preserve">number of these transactions and whether this </w:t>
      </w:r>
      <w:r w:rsidRPr="00F77E81">
        <w:rPr>
          <w:rFonts w:ascii="Times New Roman" w:eastAsia="Times New Roman" w:hAnsi="Times New Roman" w:cs="Times New Roman"/>
          <w:noProof/>
          <w:lang w:eastAsia="en-GB"/>
        </w:rPr>
        <w:t>was motivated</w:t>
      </w:r>
      <w:r w:rsidRPr="003C0D71">
        <w:rPr>
          <w:rFonts w:ascii="Times New Roman" w:eastAsia="Times New Roman" w:hAnsi="Times New Roman" w:cs="Times New Roman"/>
          <w:noProof/>
          <w:lang w:eastAsia="en-GB"/>
        </w:rPr>
        <w:t xml:space="preserve"> by </w:t>
      </w:r>
      <w:r w:rsidR="000146AB">
        <w:rPr>
          <w:rFonts w:ascii="Times New Roman" w:eastAsia="Times New Roman" w:hAnsi="Times New Roman" w:cs="Times New Roman"/>
          <w:noProof/>
          <w:lang w:eastAsia="en-GB"/>
        </w:rPr>
        <w:t xml:space="preserve">a desire to </w:t>
      </w:r>
      <w:r w:rsidRPr="003C0D71">
        <w:rPr>
          <w:rFonts w:ascii="Times New Roman" w:eastAsia="Times New Roman" w:hAnsi="Times New Roman" w:cs="Times New Roman"/>
          <w:noProof/>
          <w:lang w:eastAsia="en-GB"/>
        </w:rPr>
        <w:t xml:space="preserve">avoid the transparency obligations of public transactions. In this context, an increase in these transactions </w:t>
      </w:r>
      <w:r w:rsidR="002655FF" w:rsidRPr="003C0D71">
        <w:rPr>
          <w:rFonts w:ascii="Times New Roman" w:eastAsia="Times New Roman" w:hAnsi="Times New Roman" w:cs="Times New Roman"/>
          <w:noProof/>
          <w:lang w:eastAsia="en-GB"/>
        </w:rPr>
        <w:t>c</w:t>
      </w:r>
      <w:r w:rsidRPr="003C0D71">
        <w:rPr>
          <w:rFonts w:ascii="Times New Roman" w:eastAsia="Times New Roman" w:hAnsi="Times New Roman" w:cs="Times New Roman"/>
          <w:noProof/>
          <w:lang w:eastAsia="en-GB"/>
        </w:rPr>
        <w:t xml:space="preserve">ould be </w:t>
      </w:r>
      <w:r w:rsidR="0045184E">
        <w:rPr>
          <w:rFonts w:ascii="Times New Roman" w:eastAsia="Times New Roman" w:hAnsi="Times New Roman" w:cs="Times New Roman"/>
          <w:noProof/>
          <w:lang w:eastAsia="en-GB"/>
        </w:rPr>
        <w:t>’</w:t>
      </w:r>
      <w:r w:rsidRPr="003C0D71">
        <w:rPr>
          <w:rFonts w:ascii="Times New Roman" w:eastAsia="Times New Roman" w:hAnsi="Times New Roman" w:cs="Times New Roman"/>
          <w:noProof/>
          <w:lang w:eastAsia="en-GB"/>
        </w:rPr>
        <w:t>disproportionate</w:t>
      </w:r>
      <w:r w:rsidR="0045184E">
        <w:rPr>
          <w:rFonts w:ascii="Times New Roman" w:eastAsia="Times New Roman" w:hAnsi="Times New Roman" w:cs="Times New Roman"/>
          <w:noProof/>
          <w:lang w:eastAsia="en-GB"/>
        </w:rPr>
        <w:t>’</w:t>
      </w:r>
      <w:r w:rsidRPr="003C0D71">
        <w:rPr>
          <w:rFonts w:ascii="Times New Roman" w:eastAsia="Times New Roman" w:hAnsi="Times New Roman" w:cs="Times New Roman"/>
          <w:noProof/>
          <w:lang w:eastAsia="en-GB"/>
        </w:rPr>
        <w:t xml:space="preserve"> if it </w:t>
      </w:r>
      <w:r w:rsidR="0045184E">
        <w:rPr>
          <w:rFonts w:ascii="Times New Roman" w:eastAsia="Times New Roman" w:hAnsi="Times New Roman" w:cs="Times New Roman"/>
          <w:noProof/>
          <w:lang w:eastAsia="en-GB"/>
        </w:rPr>
        <w:t>is</w:t>
      </w:r>
      <w:r w:rsidRPr="003C0D71">
        <w:rPr>
          <w:rFonts w:ascii="Times New Roman" w:eastAsia="Times New Roman" w:hAnsi="Times New Roman" w:cs="Times New Roman"/>
          <w:noProof/>
          <w:lang w:eastAsia="en-GB"/>
        </w:rPr>
        <w:t xml:space="preserve"> suspected that private securitisations replace transactions that would otherwise </w:t>
      </w:r>
      <w:r w:rsidR="002655FF" w:rsidRPr="003C0D71">
        <w:rPr>
          <w:rFonts w:ascii="Times New Roman" w:eastAsia="Times New Roman" w:hAnsi="Times New Roman" w:cs="Times New Roman"/>
          <w:noProof/>
          <w:lang w:eastAsia="en-GB"/>
        </w:rPr>
        <w:t>be</w:t>
      </w:r>
      <w:r w:rsidRPr="003C0D71">
        <w:rPr>
          <w:rFonts w:ascii="Times New Roman" w:eastAsia="Times New Roman" w:hAnsi="Times New Roman" w:cs="Times New Roman"/>
          <w:noProof/>
          <w:lang w:eastAsia="en-GB"/>
        </w:rPr>
        <w:t xml:space="preserve"> done publicly. </w:t>
      </w:r>
    </w:p>
    <w:p w14:paraId="715DE580" w14:textId="31C2A39B" w:rsidR="004D621C" w:rsidRPr="003C0D71" w:rsidRDefault="004D621C" w:rsidP="004D621C">
      <w:pPr>
        <w:jc w:val="both"/>
        <w:rPr>
          <w:rFonts w:ascii="Times New Roman" w:eastAsia="Times New Roman" w:hAnsi="Times New Roman" w:cs="Times New Roman"/>
          <w:noProof/>
          <w:lang w:eastAsia="en-GB"/>
        </w:rPr>
      </w:pPr>
      <w:r w:rsidRPr="003C0D71">
        <w:rPr>
          <w:rFonts w:ascii="Times New Roman" w:eastAsia="Times New Roman" w:hAnsi="Times New Roman" w:cs="Times New Roman"/>
          <w:noProof/>
          <w:lang w:eastAsia="en-GB"/>
        </w:rPr>
        <w:t>The J</w:t>
      </w:r>
      <w:r w:rsidR="009F6AB1" w:rsidRPr="003C0D71">
        <w:rPr>
          <w:rFonts w:ascii="Times New Roman" w:eastAsia="Times New Roman" w:hAnsi="Times New Roman" w:cs="Times New Roman"/>
          <w:noProof/>
          <w:lang w:eastAsia="en-GB"/>
        </w:rPr>
        <w:t xml:space="preserve">oint </w:t>
      </w:r>
      <w:r w:rsidRPr="003C0D71">
        <w:rPr>
          <w:rFonts w:ascii="Times New Roman" w:eastAsia="Times New Roman" w:hAnsi="Times New Roman" w:cs="Times New Roman"/>
          <w:noProof/>
          <w:lang w:eastAsia="en-GB"/>
        </w:rPr>
        <w:t>C</w:t>
      </w:r>
      <w:r w:rsidR="009F6AB1" w:rsidRPr="003C0D71">
        <w:rPr>
          <w:rFonts w:ascii="Times New Roman" w:eastAsia="Times New Roman" w:hAnsi="Times New Roman" w:cs="Times New Roman"/>
          <w:noProof/>
          <w:lang w:eastAsia="en-GB"/>
        </w:rPr>
        <w:t>ommittee</w:t>
      </w:r>
      <w:r w:rsidRPr="003C0D71">
        <w:rPr>
          <w:rFonts w:ascii="Times New Roman" w:eastAsia="Times New Roman" w:hAnsi="Times New Roman" w:cs="Times New Roman"/>
          <w:noProof/>
          <w:lang w:eastAsia="en-GB"/>
        </w:rPr>
        <w:t xml:space="preserve"> </w:t>
      </w:r>
      <w:r w:rsidR="0045184E">
        <w:rPr>
          <w:rFonts w:ascii="Times New Roman" w:eastAsia="Times New Roman" w:hAnsi="Times New Roman" w:cs="Times New Roman"/>
          <w:noProof/>
          <w:lang w:eastAsia="en-GB"/>
        </w:rPr>
        <w:t>r</w:t>
      </w:r>
      <w:r w:rsidRPr="003C0D71">
        <w:rPr>
          <w:rFonts w:ascii="Times New Roman" w:eastAsia="Times New Roman" w:hAnsi="Times New Roman" w:cs="Times New Roman"/>
          <w:noProof/>
          <w:lang w:eastAsia="en-GB"/>
        </w:rPr>
        <w:t xml:space="preserve">eport </w:t>
      </w:r>
      <w:r w:rsidRPr="00BB2462">
        <w:rPr>
          <w:rFonts w:ascii="Times New Roman" w:eastAsia="Times New Roman" w:hAnsi="Times New Roman" w:cs="Times New Roman"/>
          <w:noProof/>
          <w:lang w:eastAsia="en-GB"/>
        </w:rPr>
        <w:t>point</w:t>
      </w:r>
      <w:r w:rsidR="00BB2462">
        <w:rPr>
          <w:rFonts w:ascii="Times New Roman" w:eastAsia="Times New Roman" w:hAnsi="Times New Roman" w:cs="Times New Roman"/>
          <w:noProof/>
          <w:lang w:eastAsia="en-GB"/>
        </w:rPr>
        <w:t>ed</w:t>
      </w:r>
      <w:r w:rsidRPr="00BB2462">
        <w:rPr>
          <w:rFonts w:ascii="Times New Roman" w:eastAsia="Times New Roman" w:hAnsi="Times New Roman" w:cs="Times New Roman"/>
          <w:noProof/>
          <w:lang w:eastAsia="en-GB"/>
        </w:rPr>
        <w:t xml:space="preserve"> out that the</w:t>
      </w:r>
      <w:r w:rsidRPr="003C0D71">
        <w:rPr>
          <w:rFonts w:ascii="Times New Roman" w:eastAsia="Times New Roman" w:hAnsi="Times New Roman" w:cs="Times New Roman"/>
          <w:noProof/>
          <w:lang w:eastAsia="en-GB"/>
        </w:rPr>
        <w:t xml:space="preserve"> number of private STS securitisations </w:t>
      </w:r>
      <w:r w:rsidR="0045184E">
        <w:rPr>
          <w:rFonts w:ascii="Times New Roman" w:eastAsia="Times New Roman" w:hAnsi="Times New Roman" w:cs="Times New Roman"/>
          <w:noProof/>
          <w:lang w:eastAsia="en-GB"/>
        </w:rPr>
        <w:t>has</w:t>
      </w:r>
      <w:r w:rsidR="0045184E" w:rsidRPr="003C0D71">
        <w:rPr>
          <w:rFonts w:ascii="Times New Roman" w:eastAsia="Times New Roman" w:hAnsi="Times New Roman" w:cs="Times New Roman"/>
          <w:noProof/>
          <w:lang w:eastAsia="en-GB"/>
        </w:rPr>
        <w:t xml:space="preserve"> </w:t>
      </w:r>
      <w:r w:rsidRPr="003C0D71">
        <w:rPr>
          <w:rFonts w:ascii="Times New Roman" w:eastAsia="Times New Roman" w:hAnsi="Times New Roman" w:cs="Times New Roman"/>
          <w:noProof/>
          <w:lang w:eastAsia="en-GB"/>
        </w:rPr>
        <w:t xml:space="preserve">indeed risen considerably since March </w:t>
      </w:r>
      <w:r w:rsidR="007A1661" w:rsidRPr="003C0D71">
        <w:rPr>
          <w:rFonts w:ascii="Times New Roman" w:eastAsia="Times New Roman" w:hAnsi="Times New Roman" w:cs="Times New Roman"/>
          <w:noProof/>
          <w:lang w:eastAsia="en-GB"/>
        </w:rPr>
        <w:t xml:space="preserve">2019. </w:t>
      </w:r>
      <w:r w:rsidR="00D338B2" w:rsidRPr="003C0D71">
        <w:rPr>
          <w:rFonts w:ascii="Times New Roman" w:eastAsia="Times New Roman" w:hAnsi="Times New Roman" w:cs="Times New Roman"/>
          <w:noProof/>
          <w:lang w:eastAsia="en-GB"/>
        </w:rPr>
        <w:t>Three</w:t>
      </w:r>
      <w:r w:rsidR="00982674">
        <w:rPr>
          <w:rFonts w:ascii="Times New Roman" w:eastAsia="Times New Roman" w:hAnsi="Times New Roman" w:cs="Times New Roman"/>
          <w:noProof/>
          <w:lang w:eastAsia="en-GB"/>
        </w:rPr>
        <w:t xml:space="preserve"> </w:t>
      </w:r>
      <w:r w:rsidR="00D338B2" w:rsidRPr="003C0D71">
        <w:rPr>
          <w:rFonts w:ascii="Times New Roman" w:eastAsia="Times New Roman" w:hAnsi="Times New Roman" w:cs="Times New Roman"/>
          <w:noProof/>
          <w:lang w:eastAsia="en-GB"/>
        </w:rPr>
        <w:t xml:space="preserve">quarters </w:t>
      </w:r>
      <w:r w:rsidR="00F674C0" w:rsidRPr="003C0D71">
        <w:rPr>
          <w:rFonts w:ascii="Times New Roman" w:eastAsia="Times New Roman" w:hAnsi="Times New Roman" w:cs="Times New Roman"/>
          <w:noProof/>
          <w:lang w:eastAsia="en-GB"/>
        </w:rPr>
        <w:t xml:space="preserve">of all STS transactions in 2020 </w:t>
      </w:r>
      <w:r w:rsidR="0045184E">
        <w:rPr>
          <w:rFonts w:ascii="Times New Roman" w:eastAsia="Times New Roman" w:hAnsi="Times New Roman" w:cs="Times New Roman"/>
          <w:noProof/>
          <w:lang w:eastAsia="en-GB"/>
        </w:rPr>
        <w:t>were</w:t>
      </w:r>
      <w:r w:rsidR="00F674C0" w:rsidRPr="003C0D71">
        <w:rPr>
          <w:rFonts w:ascii="Times New Roman" w:eastAsia="Times New Roman" w:hAnsi="Times New Roman" w:cs="Times New Roman"/>
          <w:noProof/>
          <w:lang w:eastAsia="en-GB"/>
        </w:rPr>
        <w:t xml:space="preserve"> private</w:t>
      </w:r>
      <w:r w:rsidR="00BE0B1B">
        <w:rPr>
          <w:rFonts w:ascii="Times New Roman" w:eastAsia="Times New Roman" w:hAnsi="Times New Roman" w:cs="Times New Roman"/>
          <w:noProof/>
          <w:lang w:eastAsia="en-GB"/>
        </w:rPr>
        <w:t xml:space="preserve"> compared to</w:t>
      </w:r>
      <w:r w:rsidR="00381223" w:rsidRPr="003C0D71">
        <w:rPr>
          <w:rFonts w:ascii="Times New Roman" w:eastAsia="Times New Roman" w:hAnsi="Times New Roman" w:cs="Times New Roman"/>
          <w:noProof/>
          <w:lang w:eastAsia="en-GB"/>
        </w:rPr>
        <w:t xml:space="preserve"> only one third of all STS securitisations in 2019. According to the </w:t>
      </w:r>
      <w:r w:rsidR="0045184E">
        <w:rPr>
          <w:rFonts w:ascii="Times New Roman" w:eastAsia="Times New Roman" w:hAnsi="Times New Roman" w:cs="Times New Roman"/>
          <w:noProof/>
          <w:lang w:eastAsia="en-GB"/>
        </w:rPr>
        <w:t>information on</w:t>
      </w:r>
      <w:r w:rsidR="00381223" w:rsidRPr="003C0D71">
        <w:rPr>
          <w:rFonts w:ascii="Times New Roman" w:eastAsia="Times New Roman" w:hAnsi="Times New Roman" w:cs="Times New Roman"/>
          <w:noProof/>
          <w:lang w:eastAsia="en-GB"/>
        </w:rPr>
        <w:t xml:space="preserve"> STS securitisations published on the ESMA website, </w:t>
      </w:r>
      <w:r w:rsidR="00D338B2" w:rsidRPr="003C0D71">
        <w:rPr>
          <w:rFonts w:ascii="Times New Roman" w:eastAsia="Times New Roman" w:hAnsi="Times New Roman" w:cs="Times New Roman"/>
          <w:noProof/>
          <w:lang w:eastAsia="en-GB"/>
        </w:rPr>
        <w:t xml:space="preserve">the </w:t>
      </w:r>
      <w:r w:rsidR="00381223" w:rsidRPr="003C0D71">
        <w:rPr>
          <w:rFonts w:ascii="Times New Roman" w:eastAsia="Times New Roman" w:hAnsi="Times New Roman" w:cs="Times New Roman"/>
          <w:noProof/>
          <w:lang w:eastAsia="en-GB"/>
        </w:rPr>
        <w:t>number of private transactions ha</w:t>
      </w:r>
      <w:r w:rsidR="00D338B2" w:rsidRPr="003C0D71">
        <w:rPr>
          <w:rFonts w:ascii="Times New Roman" w:eastAsia="Times New Roman" w:hAnsi="Times New Roman" w:cs="Times New Roman"/>
          <w:noProof/>
          <w:lang w:eastAsia="en-GB"/>
        </w:rPr>
        <w:t>s</w:t>
      </w:r>
      <w:r w:rsidR="00381223" w:rsidRPr="003C0D71">
        <w:rPr>
          <w:rFonts w:ascii="Times New Roman" w:eastAsia="Times New Roman" w:hAnsi="Times New Roman" w:cs="Times New Roman"/>
          <w:noProof/>
          <w:lang w:eastAsia="en-GB"/>
        </w:rPr>
        <w:t xml:space="preserve"> fallen again in 2021, accounting for less than 60% of all STS securitisations.</w:t>
      </w:r>
      <w:r w:rsidR="00F674C0" w:rsidRPr="003C0D71">
        <w:rPr>
          <w:rFonts w:ascii="Times New Roman" w:eastAsia="Times New Roman" w:hAnsi="Times New Roman" w:cs="Times New Roman"/>
          <w:noProof/>
          <w:lang w:eastAsia="en-GB"/>
        </w:rPr>
        <w:t xml:space="preserve"> </w:t>
      </w:r>
      <w:r w:rsidR="00F77E81">
        <w:rPr>
          <w:rFonts w:ascii="Times New Roman" w:eastAsia="Times New Roman" w:hAnsi="Times New Roman" w:cs="Times New Roman"/>
          <w:noProof/>
          <w:lang w:eastAsia="en-GB"/>
        </w:rPr>
        <w:t>Data on the</w:t>
      </w:r>
      <w:r w:rsidR="00F77E81" w:rsidRPr="003C0D71">
        <w:rPr>
          <w:rFonts w:ascii="Times New Roman" w:eastAsia="Times New Roman" w:hAnsi="Times New Roman" w:cs="Times New Roman"/>
          <w:noProof/>
          <w:lang w:eastAsia="en-GB"/>
        </w:rPr>
        <w:t xml:space="preserve"> </w:t>
      </w:r>
      <w:r w:rsidR="00D338B2" w:rsidRPr="003C0D71">
        <w:rPr>
          <w:rFonts w:ascii="Times New Roman" w:eastAsia="Times New Roman" w:hAnsi="Times New Roman" w:cs="Times New Roman"/>
          <w:noProof/>
          <w:lang w:eastAsia="en-GB"/>
        </w:rPr>
        <w:t>n</w:t>
      </w:r>
      <w:r w:rsidRPr="003C0D71">
        <w:rPr>
          <w:rFonts w:ascii="Times New Roman" w:eastAsia="Times New Roman" w:hAnsi="Times New Roman" w:cs="Times New Roman"/>
          <w:noProof/>
          <w:lang w:eastAsia="en-GB"/>
        </w:rPr>
        <w:t>umber o</w:t>
      </w:r>
      <w:r w:rsidR="00D338B2" w:rsidRPr="003C0D71">
        <w:rPr>
          <w:rFonts w:ascii="Times New Roman" w:eastAsia="Times New Roman" w:hAnsi="Times New Roman" w:cs="Times New Roman"/>
          <w:noProof/>
          <w:lang w:eastAsia="en-GB"/>
        </w:rPr>
        <w:t>f</w:t>
      </w:r>
      <w:r w:rsidRPr="003C0D71">
        <w:rPr>
          <w:rFonts w:ascii="Times New Roman" w:eastAsia="Times New Roman" w:hAnsi="Times New Roman" w:cs="Times New Roman"/>
          <w:noProof/>
          <w:lang w:eastAsia="en-GB"/>
        </w:rPr>
        <w:t xml:space="preserve"> non-STS transactions </w:t>
      </w:r>
      <w:r w:rsidR="00F674C0" w:rsidRPr="003C0D71">
        <w:rPr>
          <w:rFonts w:ascii="Times New Roman" w:eastAsia="Times New Roman" w:hAnsi="Times New Roman" w:cs="Times New Roman"/>
          <w:noProof/>
          <w:lang w:eastAsia="en-GB"/>
        </w:rPr>
        <w:t xml:space="preserve">as well as </w:t>
      </w:r>
      <w:r w:rsidR="0045184E">
        <w:rPr>
          <w:rFonts w:ascii="Times New Roman" w:eastAsia="Times New Roman" w:hAnsi="Times New Roman" w:cs="Times New Roman"/>
          <w:noProof/>
          <w:lang w:eastAsia="en-GB"/>
        </w:rPr>
        <w:t xml:space="preserve">their </w:t>
      </w:r>
      <w:r w:rsidR="00F674C0" w:rsidRPr="003C0D71">
        <w:rPr>
          <w:rFonts w:ascii="Times New Roman" w:eastAsia="Times New Roman" w:hAnsi="Times New Roman" w:cs="Times New Roman"/>
          <w:noProof/>
          <w:lang w:eastAsia="en-GB"/>
        </w:rPr>
        <w:t xml:space="preserve">volume </w:t>
      </w:r>
      <w:r w:rsidRPr="003C0D71">
        <w:rPr>
          <w:rFonts w:ascii="Times New Roman" w:eastAsia="Times New Roman" w:hAnsi="Times New Roman" w:cs="Times New Roman"/>
          <w:noProof/>
          <w:lang w:eastAsia="en-GB"/>
        </w:rPr>
        <w:t>were</w:t>
      </w:r>
      <w:r w:rsidR="0045184E">
        <w:rPr>
          <w:rFonts w:ascii="Times New Roman" w:eastAsia="Times New Roman" w:hAnsi="Times New Roman" w:cs="Times New Roman"/>
          <w:noProof/>
          <w:lang w:eastAsia="en-GB"/>
        </w:rPr>
        <w:t>,</w:t>
      </w:r>
      <w:r w:rsidRPr="003C0D71">
        <w:rPr>
          <w:rFonts w:ascii="Times New Roman" w:eastAsia="Times New Roman" w:hAnsi="Times New Roman" w:cs="Times New Roman"/>
          <w:noProof/>
          <w:lang w:eastAsia="en-GB"/>
        </w:rPr>
        <w:t xml:space="preserve"> </w:t>
      </w:r>
      <w:r w:rsidR="003269B6" w:rsidRPr="003C0D71">
        <w:rPr>
          <w:rFonts w:ascii="Times New Roman" w:eastAsia="Times New Roman" w:hAnsi="Times New Roman" w:cs="Times New Roman"/>
          <w:noProof/>
          <w:lang w:eastAsia="en-GB"/>
        </w:rPr>
        <w:t>however</w:t>
      </w:r>
      <w:r w:rsidR="00C6328D">
        <w:rPr>
          <w:rFonts w:ascii="Times New Roman" w:eastAsia="Times New Roman" w:hAnsi="Times New Roman" w:cs="Times New Roman"/>
          <w:noProof/>
          <w:lang w:eastAsia="en-GB"/>
        </w:rPr>
        <w:t>,</w:t>
      </w:r>
      <w:r w:rsidR="003269B6" w:rsidRPr="003C0D71">
        <w:rPr>
          <w:rFonts w:ascii="Times New Roman" w:eastAsia="Times New Roman" w:hAnsi="Times New Roman" w:cs="Times New Roman"/>
          <w:noProof/>
          <w:lang w:eastAsia="en-GB"/>
        </w:rPr>
        <w:t xml:space="preserve"> </w:t>
      </w:r>
      <w:r w:rsidRPr="003C0D71">
        <w:rPr>
          <w:rFonts w:ascii="Times New Roman" w:eastAsia="Times New Roman" w:hAnsi="Times New Roman" w:cs="Times New Roman"/>
          <w:noProof/>
          <w:lang w:eastAsia="en-GB"/>
        </w:rPr>
        <w:t xml:space="preserve">not included in the </w:t>
      </w:r>
      <w:r w:rsidR="009F6AB1" w:rsidRPr="003C0D71">
        <w:rPr>
          <w:rFonts w:ascii="Times New Roman" w:eastAsia="Times New Roman" w:hAnsi="Times New Roman" w:cs="Times New Roman"/>
          <w:noProof/>
          <w:lang w:eastAsia="en-GB"/>
        </w:rPr>
        <w:t>Joint Committee</w:t>
      </w:r>
      <w:r w:rsidRPr="003C0D71">
        <w:rPr>
          <w:rFonts w:ascii="Times New Roman" w:eastAsia="Times New Roman" w:hAnsi="Times New Roman" w:cs="Times New Roman"/>
          <w:noProof/>
          <w:lang w:eastAsia="en-GB"/>
        </w:rPr>
        <w:t xml:space="preserve"> </w:t>
      </w:r>
      <w:r w:rsidR="00C6328D">
        <w:rPr>
          <w:rFonts w:ascii="Times New Roman" w:eastAsia="Times New Roman" w:hAnsi="Times New Roman" w:cs="Times New Roman"/>
          <w:noProof/>
          <w:lang w:eastAsia="en-GB"/>
        </w:rPr>
        <w:t>r</w:t>
      </w:r>
      <w:r w:rsidRPr="003C0D71">
        <w:rPr>
          <w:rFonts w:ascii="Times New Roman" w:eastAsia="Times New Roman" w:hAnsi="Times New Roman" w:cs="Times New Roman"/>
          <w:noProof/>
          <w:lang w:eastAsia="en-GB"/>
        </w:rPr>
        <w:t xml:space="preserve">eport. </w:t>
      </w:r>
    </w:p>
    <w:p w14:paraId="3A3A58A9" w14:textId="3CEB5B4D" w:rsidR="004D469C" w:rsidRPr="003C0D71" w:rsidRDefault="004D621C" w:rsidP="004D469C">
      <w:pPr>
        <w:jc w:val="both"/>
        <w:rPr>
          <w:rFonts w:ascii="Times New Roman" w:eastAsia="Times New Roman" w:hAnsi="Times New Roman" w:cs="Times New Roman"/>
          <w:noProof/>
          <w:lang w:eastAsia="en-GB"/>
        </w:rPr>
      </w:pPr>
      <w:r w:rsidRPr="003C0D71">
        <w:rPr>
          <w:rFonts w:ascii="Times New Roman" w:eastAsia="Times New Roman" w:hAnsi="Times New Roman" w:cs="Times New Roman"/>
          <w:noProof/>
          <w:lang w:eastAsia="en-GB"/>
        </w:rPr>
        <w:t xml:space="preserve">Industry respondents to the </w:t>
      </w:r>
      <w:r w:rsidR="00443B8F">
        <w:rPr>
          <w:rFonts w:ascii="Times New Roman" w:eastAsia="Times New Roman" w:hAnsi="Times New Roman" w:cs="Times New Roman"/>
          <w:noProof/>
          <w:lang w:eastAsia="en-GB"/>
        </w:rPr>
        <w:t>c</w:t>
      </w:r>
      <w:r w:rsidRPr="003C0D71">
        <w:rPr>
          <w:rFonts w:ascii="Times New Roman" w:eastAsia="Times New Roman" w:hAnsi="Times New Roman" w:cs="Times New Roman"/>
          <w:noProof/>
          <w:lang w:eastAsia="en-GB"/>
        </w:rPr>
        <w:t>onsultation consider</w:t>
      </w:r>
      <w:r w:rsidR="00F70773">
        <w:rPr>
          <w:rFonts w:ascii="Times New Roman" w:eastAsia="Times New Roman" w:hAnsi="Times New Roman" w:cs="Times New Roman"/>
          <w:noProof/>
          <w:lang w:eastAsia="en-GB"/>
        </w:rPr>
        <w:t>ed</w:t>
      </w:r>
      <w:r w:rsidRPr="003C0D71">
        <w:rPr>
          <w:rFonts w:ascii="Times New Roman" w:eastAsia="Times New Roman" w:hAnsi="Times New Roman" w:cs="Times New Roman"/>
          <w:noProof/>
          <w:lang w:eastAsia="en-GB"/>
        </w:rPr>
        <w:t xml:space="preserve"> </w:t>
      </w:r>
      <w:r w:rsidR="000146AB">
        <w:rPr>
          <w:rFonts w:ascii="Times New Roman" w:eastAsia="Times New Roman" w:hAnsi="Times New Roman" w:cs="Times New Roman"/>
          <w:noProof/>
          <w:lang w:eastAsia="en-GB"/>
        </w:rPr>
        <w:t xml:space="preserve">that </w:t>
      </w:r>
      <w:r w:rsidRPr="003C0D71">
        <w:rPr>
          <w:rFonts w:ascii="Times New Roman" w:eastAsia="Times New Roman" w:hAnsi="Times New Roman" w:cs="Times New Roman"/>
          <w:noProof/>
          <w:lang w:eastAsia="en-GB"/>
        </w:rPr>
        <w:t xml:space="preserve">these </w:t>
      </w:r>
      <w:r w:rsidR="00D338B2" w:rsidRPr="003C0D71">
        <w:rPr>
          <w:rFonts w:ascii="Times New Roman" w:eastAsia="Times New Roman" w:hAnsi="Times New Roman" w:cs="Times New Roman"/>
          <w:noProof/>
          <w:lang w:eastAsia="en-GB"/>
        </w:rPr>
        <w:t>figures</w:t>
      </w:r>
      <w:r w:rsidRPr="003C0D71">
        <w:rPr>
          <w:rFonts w:ascii="Times New Roman" w:eastAsia="Times New Roman" w:hAnsi="Times New Roman" w:cs="Times New Roman"/>
          <w:noProof/>
          <w:lang w:eastAsia="en-GB"/>
        </w:rPr>
        <w:t xml:space="preserve"> </w:t>
      </w:r>
      <w:r w:rsidR="00874AFF">
        <w:rPr>
          <w:rFonts w:ascii="Times New Roman" w:eastAsia="Times New Roman" w:hAnsi="Times New Roman" w:cs="Times New Roman"/>
          <w:noProof/>
          <w:lang w:eastAsia="en-GB"/>
        </w:rPr>
        <w:t>for</w:t>
      </w:r>
      <w:r w:rsidR="00874AFF" w:rsidRPr="003C0D71">
        <w:rPr>
          <w:rFonts w:ascii="Times New Roman" w:eastAsia="Times New Roman" w:hAnsi="Times New Roman" w:cs="Times New Roman"/>
          <w:noProof/>
          <w:lang w:eastAsia="en-GB"/>
        </w:rPr>
        <w:t xml:space="preserve"> </w:t>
      </w:r>
      <w:r w:rsidRPr="003C0D71">
        <w:rPr>
          <w:rFonts w:ascii="Times New Roman" w:eastAsia="Times New Roman" w:hAnsi="Times New Roman" w:cs="Times New Roman"/>
          <w:noProof/>
          <w:lang w:eastAsia="en-GB"/>
        </w:rPr>
        <w:t xml:space="preserve">STS private </w:t>
      </w:r>
      <w:r w:rsidR="0059645F" w:rsidRPr="003C0D71">
        <w:rPr>
          <w:rFonts w:ascii="Times New Roman" w:eastAsia="Times New Roman" w:hAnsi="Times New Roman" w:cs="Times New Roman"/>
          <w:noProof/>
          <w:lang w:eastAsia="en-GB"/>
        </w:rPr>
        <w:t>securitisations</w:t>
      </w:r>
      <w:r w:rsidR="00C94ED6" w:rsidRPr="003C0D71">
        <w:rPr>
          <w:rFonts w:ascii="Times New Roman" w:eastAsia="Times New Roman" w:hAnsi="Times New Roman" w:cs="Times New Roman"/>
          <w:noProof/>
          <w:lang w:eastAsia="en-GB"/>
        </w:rPr>
        <w:t xml:space="preserve"> </w:t>
      </w:r>
      <w:r w:rsidR="000146AB">
        <w:rPr>
          <w:rFonts w:ascii="Times New Roman" w:eastAsia="Times New Roman" w:hAnsi="Times New Roman" w:cs="Times New Roman"/>
          <w:noProof/>
          <w:lang w:eastAsia="en-GB"/>
        </w:rPr>
        <w:t>are</w:t>
      </w:r>
      <w:r w:rsidR="000146AB" w:rsidRPr="003C0D71">
        <w:rPr>
          <w:rFonts w:ascii="Times New Roman" w:eastAsia="Times New Roman" w:hAnsi="Times New Roman" w:cs="Times New Roman"/>
          <w:noProof/>
          <w:lang w:eastAsia="en-GB"/>
        </w:rPr>
        <w:t xml:space="preserve"> </w:t>
      </w:r>
      <w:r w:rsidRPr="003C0D71">
        <w:rPr>
          <w:rFonts w:ascii="Times New Roman" w:eastAsia="Times New Roman" w:hAnsi="Times New Roman" w:cs="Times New Roman"/>
          <w:noProof/>
          <w:lang w:eastAsia="en-GB"/>
        </w:rPr>
        <w:t>misleading</w:t>
      </w:r>
      <w:r w:rsidR="00F70773">
        <w:rPr>
          <w:rFonts w:ascii="Times New Roman" w:eastAsia="Times New Roman" w:hAnsi="Times New Roman" w:cs="Times New Roman"/>
          <w:noProof/>
          <w:lang w:eastAsia="en-GB"/>
        </w:rPr>
        <w:t xml:space="preserve"> and</w:t>
      </w:r>
      <w:r w:rsidRPr="003C0D71">
        <w:rPr>
          <w:rFonts w:ascii="Times New Roman" w:eastAsia="Times New Roman" w:hAnsi="Times New Roman" w:cs="Times New Roman"/>
          <w:noProof/>
          <w:lang w:eastAsia="en-GB"/>
        </w:rPr>
        <w:t xml:space="preserve"> a</w:t>
      </w:r>
      <w:r w:rsidR="00E85847" w:rsidRPr="003C0D71">
        <w:rPr>
          <w:rFonts w:ascii="Times New Roman" w:eastAsia="Times New Roman" w:hAnsi="Times New Roman" w:cs="Times New Roman"/>
          <w:noProof/>
          <w:lang w:eastAsia="en-GB"/>
        </w:rPr>
        <w:t xml:space="preserve"> </w:t>
      </w:r>
      <w:r w:rsidR="007A1661" w:rsidRPr="003C0D71">
        <w:rPr>
          <w:rFonts w:ascii="Times New Roman" w:eastAsia="Times New Roman" w:hAnsi="Times New Roman" w:cs="Times New Roman"/>
          <w:noProof/>
          <w:lang w:eastAsia="en-GB"/>
        </w:rPr>
        <w:t>consequence of</w:t>
      </w:r>
      <w:r w:rsidRPr="003C0D71">
        <w:rPr>
          <w:rFonts w:ascii="Times New Roman" w:eastAsia="Times New Roman" w:hAnsi="Times New Roman" w:cs="Times New Roman"/>
          <w:noProof/>
          <w:lang w:eastAsia="en-GB"/>
        </w:rPr>
        <w:t xml:space="preserve"> the new regulatory framework</w:t>
      </w:r>
      <w:r w:rsidR="00F70773">
        <w:rPr>
          <w:rFonts w:ascii="Times New Roman" w:eastAsia="Times New Roman" w:hAnsi="Times New Roman" w:cs="Times New Roman"/>
          <w:noProof/>
          <w:lang w:eastAsia="en-GB"/>
        </w:rPr>
        <w:t xml:space="preserve"> for the following reasons:</w:t>
      </w:r>
      <w:r w:rsidR="004D469C" w:rsidRPr="003C0D71">
        <w:rPr>
          <w:rFonts w:ascii="Times New Roman" w:eastAsia="Times New Roman" w:hAnsi="Times New Roman" w:cs="Times New Roman"/>
          <w:noProof/>
          <w:lang w:eastAsia="en-GB"/>
        </w:rPr>
        <w:t xml:space="preserve"> First, the very </w:t>
      </w:r>
      <w:r w:rsidR="000146AB">
        <w:rPr>
          <w:rFonts w:ascii="Times New Roman" w:eastAsia="Times New Roman" w:hAnsi="Times New Roman" w:cs="Times New Roman"/>
          <w:noProof/>
          <w:lang w:eastAsia="en-GB"/>
        </w:rPr>
        <w:t>broad</w:t>
      </w:r>
      <w:r w:rsidR="000146AB" w:rsidRPr="003C0D71">
        <w:rPr>
          <w:rFonts w:ascii="Times New Roman" w:eastAsia="Times New Roman" w:hAnsi="Times New Roman" w:cs="Times New Roman"/>
          <w:noProof/>
          <w:lang w:eastAsia="en-GB"/>
        </w:rPr>
        <w:t xml:space="preserve"> </w:t>
      </w:r>
      <w:r w:rsidR="004D469C" w:rsidRPr="003C0D71">
        <w:rPr>
          <w:rFonts w:ascii="Times New Roman" w:eastAsia="Times New Roman" w:hAnsi="Times New Roman" w:cs="Times New Roman"/>
          <w:noProof/>
          <w:lang w:eastAsia="en-GB"/>
        </w:rPr>
        <w:t xml:space="preserve">definition of securitisation </w:t>
      </w:r>
      <w:r w:rsidR="00805A04">
        <w:rPr>
          <w:rFonts w:ascii="Times New Roman" w:eastAsia="Times New Roman" w:hAnsi="Times New Roman" w:cs="Times New Roman"/>
          <w:noProof/>
          <w:lang w:eastAsia="en-GB"/>
        </w:rPr>
        <w:t>applied</w:t>
      </w:r>
      <w:r w:rsidR="00805A04" w:rsidRPr="003C0D71">
        <w:rPr>
          <w:rFonts w:ascii="Times New Roman" w:eastAsia="Times New Roman" w:hAnsi="Times New Roman" w:cs="Times New Roman"/>
          <w:noProof/>
          <w:lang w:eastAsia="en-GB"/>
        </w:rPr>
        <w:t xml:space="preserve"> </w:t>
      </w:r>
      <w:r w:rsidR="004D469C" w:rsidRPr="003C0D71">
        <w:rPr>
          <w:rFonts w:ascii="Times New Roman" w:eastAsia="Times New Roman" w:hAnsi="Times New Roman" w:cs="Times New Roman"/>
          <w:noProof/>
          <w:lang w:eastAsia="en-GB"/>
        </w:rPr>
        <w:t xml:space="preserve">by the Securitisation Regulation earmarked certain transactions as private securitisations that had previously been considered as bank lending. Second, most private transactions, and especially </w:t>
      </w:r>
      <w:r w:rsidR="0015535D" w:rsidRPr="0015535D">
        <w:rPr>
          <w:rFonts w:ascii="Times New Roman" w:eastAsia="Times New Roman" w:hAnsi="Times New Roman" w:cs="Times New Roman"/>
          <w:noProof/>
          <w:lang w:eastAsia="en-GB"/>
        </w:rPr>
        <w:t xml:space="preserve">asset-backed commercial paper </w:t>
      </w:r>
      <w:r w:rsidR="00FC779D">
        <w:rPr>
          <w:rFonts w:ascii="Times New Roman" w:eastAsia="Times New Roman" w:hAnsi="Times New Roman" w:cs="Times New Roman"/>
          <w:noProof/>
          <w:lang w:eastAsia="en-GB"/>
        </w:rPr>
        <w:t>(</w:t>
      </w:r>
      <w:r w:rsidR="004D469C" w:rsidRPr="003C0D71">
        <w:rPr>
          <w:rFonts w:ascii="Times New Roman" w:eastAsia="Times New Roman" w:hAnsi="Times New Roman" w:cs="Times New Roman"/>
          <w:noProof/>
          <w:lang w:eastAsia="en-GB"/>
        </w:rPr>
        <w:t>ABCP</w:t>
      </w:r>
      <w:r w:rsidR="00FC779D">
        <w:rPr>
          <w:rFonts w:ascii="Times New Roman" w:eastAsia="Times New Roman" w:hAnsi="Times New Roman" w:cs="Times New Roman"/>
          <w:noProof/>
          <w:lang w:eastAsia="en-GB"/>
        </w:rPr>
        <w:t>)</w:t>
      </w:r>
      <w:r w:rsidR="004D469C" w:rsidRPr="003C0D71">
        <w:rPr>
          <w:rFonts w:ascii="Times New Roman" w:eastAsia="Times New Roman" w:hAnsi="Times New Roman" w:cs="Times New Roman"/>
          <w:noProof/>
          <w:lang w:eastAsia="en-GB"/>
        </w:rPr>
        <w:t xml:space="preserve"> transactions, had been renewed/rolled</w:t>
      </w:r>
      <w:r w:rsidR="000146AB">
        <w:rPr>
          <w:rFonts w:ascii="Times New Roman" w:eastAsia="Times New Roman" w:hAnsi="Times New Roman" w:cs="Times New Roman"/>
          <w:noProof/>
          <w:lang w:eastAsia="en-GB"/>
        </w:rPr>
        <w:t xml:space="preserve"> </w:t>
      </w:r>
      <w:r w:rsidR="004D469C" w:rsidRPr="003C0D71">
        <w:rPr>
          <w:rFonts w:ascii="Times New Roman" w:eastAsia="Times New Roman" w:hAnsi="Times New Roman" w:cs="Times New Roman"/>
          <w:noProof/>
          <w:lang w:eastAsia="en-GB"/>
        </w:rPr>
        <w:t xml:space="preserve">over many times and </w:t>
      </w:r>
      <w:r w:rsidR="000146AB">
        <w:rPr>
          <w:rFonts w:ascii="Times New Roman" w:eastAsia="Times New Roman" w:hAnsi="Times New Roman" w:cs="Times New Roman"/>
          <w:noProof/>
          <w:lang w:eastAsia="en-GB"/>
        </w:rPr>
        <w:t>are</w:t>
      </w:r>
      <w:r w:rsidR="004D469C" w:rsidRPr="003C0D71">
        <w:rPr>
          <w:rFonts w:ascii="Times New Roman" w:eastAsia="Times New Roman" w:hAnsi="Times New Roman" w:cs="Times New Roman"/>
          <w:noProof/>
          <w:lang w:eastAsia="en-GB"/>
        </w:rPr>
        <w:t xml:space="preserve"> now visible because they </w:t>
      </w:r>
      <w:r w:rsidR="000146AB">
        <w:rPr>
          <w:rFonts w:ascii="Times New Roman" w:eastAsia="Times New Roman" w:hAnsi="Times New Roman" w:cs="Times New Roman"/>
          <w:noProof/>
          <w:lang w:eastAsia="en-GB"/>
        </w:rPr>
        <w:t>have been</w:t>
      </w:r>
      <w:r w:rsidR="004D469C" w:rsidRPr="003C0D71">
        <w:rPr>
          <w:rFonts w:ascii="Times New Roman" w:eastAsia="Times New Roman" w:hAnsi="Times New Roman" w:cs="Times New Roman"/>
          <w:noProof/>
          <w:lang w:eastAsia="en-GB"/>
        </w:rPr>
        <w:t xml:space="preserve"> restructured to STS </w:t>
      </w:r>
      <w:r w:rsidR="00874AFF">
        <w:rPr>
          <w:rFonts w:ascii="Times New Roman" w:eastAsia="Times New Roman" w:hAnsi="Times New Roman" w:cs="Times New Roman"/>
          <w:noProof/>
          <w:lang w:eastAsia="en-GB"/>
        </w:rPr>
        <w:t xml:space="preserve">transactions </w:t>
      </w:r>
      <w:r w:rsidR="004D469C" w:rsidRPr="003C0D71">
        <w:rPr>
          <w:rFonts w:ascii="Times New Roman" w:eastAsia="Times New Roman" w:hAnsi="Times New Roman" w:cs="Times New Roman"/>
          <w:noProof/>
          <w:lang w:eastAsia="en-GB"/>
        </w:rPr>
        <w:t xml:space="preserve">and therefore </w:t>
      </w:r>
      <w:r w:rsidR="000146AB">
        <w:rPr>
          <w:rFonts w:ascii="Times New Roman" w:eastAsia="Times New Roman" w:hAnsi="Times New Roman" w:cs="Times New Roman"/>
          <w:noProof/>
          <w:lang w:eastAsia="en-GB"/>
        </w:rPr>
        <w:t>show up on</w:t>
      </w:r>
      <w:r w:rsidR="004D469C" w:rsidRPr="003C0D71">
        <w:rPr>
          <w:rFonts w:ascii="Times New Roman" w:eastAsia="Times New Roman" w:hAnsi="Times New Roman" w:cs="Times New Roman"/>
          <w:noProof/>
          <w:lang w:eastAsia="en-GB"/>
        </w:rPr>
        <w:t xml:space="preserve"> the ESMA register.</w:t>
      </w:r>
    </w:p>
    <w:p w14:paraId="6B6825D5" w14:textId="2C1A7570" w:rsidR="004D621C" w:rsidRPr="000146AB" w:rsidRDefault="004D621C" w:rsidP="002064A8">
      <w:pPr>
        <w:jc w:val="both"/>
        <w:rPr>
          <w:rFonts w:ascii="Times New Roman" w:hAnsi="Times New Roman" w:cs="Times New Roman"/>
          <w:b/>
          <w:noProof/>
          <w:sz w:val="24"/>
        </w:rPr>
      </w:pPr>
      <w:r w:rsidRPr="00972364">
        <w:rPr>
          <w:rFonts w:ascii="Times New Roman" w:eastAsia="Times New Roman" w:hAnsi="Times New Roman" w:cs="Times New Roman"/>
          <w:b/>
          <w:noProof/>
          <w:lang w:eastAsia="en-GB"/>
        </w:rPr>
        <w:t xml:space="preserve"> </w:t>
      </w:r>
      <w:r w:rsidR="000146AB" w:rsidRPr="00972364">
        <w:rPr>
          <w:rFonts w:ascii="Times New Roman" w:eastAsia="Times New Roman" w:hAnsi="Times New Roman" w:cs="Times New Roman"/>
          <w:b/>
          <w:noProof/>
          <w:lang w:eastAsia="en-GB"/>
        </w:rPr>
        <w:t xml:space="preserve">The Commission’s </w:t>
      </w:r>
      <w:r w:rsidR="000146AB" w:rsidRPr="000146AB">
        <w:rPr>
          <w:rFonts w:ascii="Times New Roman" w:hAnsi="Times New Roman" w:cs="Times New Roman"/>
          <w:b/>
          <w:noProof/>
          <w:sz w:val="24"/>
        </w:rPr>
        <w:t>a</w:t>
      </w:r>
      <w:r w:rsidR="000146AB">
        <w:rPr>
          <w:rFonts w:ascii="Times New Roman" w:hAnsi="Times New Roman" w:cs="Times New Roman"/>
          <w:b/>
          <w:noProof/>
          <w:sz w:val="24"/>
        </w:rPr>
        <w:t>ssessment</w:t>
      </w:r>
    </w:p>
    <w:p w14:paraId="15803F70" w14:textId="4FB8676F" w:rsidR="00381223" w:rsidRPr="003C0D71" w:rsidRDefault="004D621C" w:rsidP="004D621C">
      <w:pPr>
        <w:jc w:val="both"/>
        <w:rPr>
          <w:rFonts w:ascii="Times New Roman" w:eastAsia="Times New Roman" w:hAnsi="Times New Roman" w:cs="Times New Roman"/>
          <w:noProof/>
          <w:lang w:eastAsia="en-GB"/>
        </w:rPr>
      </w:pPr>
      <w:r w:rsidRPr="003C0D71">
        <w:rPr>
          <w:rFonts w:ascii="Times New Roman" w:eastAsia="Times New Roman" w:hAnsi="Times New Roman" w:cs="Times New Roman"/>
          <w:noProof/>
          <w:lang w:eastAsia="en-GB"/>
        </w:rPr>
        <w:t>The Commission acknowledges that adaptations to the new regulatory framework might</w:t>
      </w:r>
      <w:r w:rsidR="00EC2163">
        <w:rPr>
          <w:rFonts w:ascii="Times New Roman" w:eastAsia="Times New Roman" w:hAnsi="Times New Roman" w:cs="Times New Roman"/>
          <w:noProof/>
          <w:lang w:eastAsia="en-GB"/>
        </w:rPr>
        <w:t xml:space="preserve"> be contributing to</w:t>
      </w:r>
      <w:r w:rsidRPr="003C0D71">
        <w:rPr>
          <w:rFonts w:ascii="Times New Roman" w:eastAsia="Times New Roman" w:hAnsi="Times New Roman" w:cs="Times New Roman"/>
          <w:noProof/>
          <w:lang w:eastAsia="en-GB"/>
        </w:rPr>
        <w:t xml:space="preserve"> the </w:t>
      </w:r>
      <w:r w:rsidR="00C94ED6" w:rsidRPr="003C0D71">
        <w:rPr>
          <w:rFonts w:ascii="Times New Roman" w:eastAsia="Times New Roman" w:hAnsi="Times New Roman" w:cs="Times New Roman"/>
          <w:noProof/>
          <w:lang w:eastAsia="en-GB"/>
        </w:rPr>
        <w:t>rise</w:t>
      </w:r>
      <w:r w:rsidR="00EC2163">
        <w:rPr>
          <w:rFonts w:ascii="Times New Roman" w:eastAsia="Times New Roman" w:hAnsi="Times New Roman" w:cs="Times New Roman"/>
          <w:noProof/>
          <w:lang w:eastAsia="en-GB"/>
        </w:rPr>
        <w:t xml:space="preserve"> in the</w:t>
      </w:r>
      <w:r w:rsidR="00C94ED6" w:rsidRPr="003C0D71">
        <w:rPr>
          <w:rFonts w:ascii="Times New Roman" w:eastAsia="Times New Roman" w:hAnsi="Times New Roman" w:cs="Times New Roman"/>
          <w:noProof/>
          <w:lang w:eastAsia="en-GB"/>
        </w:rPr>
        <w:t xml:space="preserve"> </w:t>
      </w:r>
      <w:r w:rsidRPr="003C0D71">
        <w:rPr>
          <w:rFonts w:ascii="Times New Roman" w:eastAsia="Times New Roman" w:hAnsi="Times New Roman" w:cs="Times New Roman"/>
          <w:noProof/>
          <w:lang w:eastAsia="en-GB"/>
        </w:rPr>
        <w:t>number o</w:t>
      </w:r>
      <w:r w:rsidR="00E85847" w:rsidRPr="003C0D71">
        <w:rPr>
          <w:rFonts w:ascii="Times New Roman" w:eastAsia="Times New Roman" w:hAnsi="Times New Roman" w:cs="Times New Roman"/>
          <w:noProof/>
          <w:lang w:eastAsia="en-GB"/>
        </w:rPr>
        <w:t>f</w:t>
      </w:r>
      <w:r w:rsidRPr="003C0D71">
        <w:rPr>
          <w:rFonts w:ascii="Times New Roman" w:eastAsia="Times New Roman" w:hAnsi="Times New Roman" w:cs="Times New Roman"/>
          <w:noProof/>
          <w:lang w:eastAsia="en-GB"/>
        </w:rPr>
        <w:t xml:space="preserve"> private securitisations since the date of application of the new securitisation framework. Against that background, a period of 2 years is not </w:t>
      </w:r>
      <w:r w:rsidR="00C94ED6" w:rsidRPr="003C0D71">
        <w:rPr>
          <w:rFonts w:ascii="Times New Roman" w:eastAsia="Times New Roman" w:hAnsi="Times New Roman" w:cs="Times New Roman"/>
          <w:noProof/>
          <w:lang w:eastAsia="en-GB"/>
        </w:rPr>
        <w:t xml:space="preserve">considered </w:t>
      </w:r>
      <w:r w:rsidRPr="003C0D71">
        <w:rPr>
          <w:rFonts w:ascii="Times New Roman" w:eastAsia="Times New Roman" w:hAnsi="Times New Roman" w:cs="Times New Roman"/>
          <w:noProof/>
          <w:lang w:eastAsia="en-GB"/>
        </w:rPr>
        <w:t xml:space="preserve">enough to establish </w:t>
      </w:r>
      <w:r w:rsidR="00E85847" w:rsidRPr="003C0D71">
        <w:rPr>
          <w:rFonts w:ascii="Times New Roman" w:eastAsia="Times New Roman" w:hAnsi="Times New Roman" w:cs="Times New Roman"/>
          <w:noProof/>
          <w:lang w:eastAsia="en-GB"/>
        </w:rPr>
        <w:t xml:space="preserve">with certainty </w:t>
      </w:r>
      <w:r w:rsidRPr="003C0D71">
        <w:rPr>
          <w:rFonts w:ascii="Times New Roman" w:eastAsia="Times New Roman" w:hAnsi="Times New Roman" w:cs="Times New Roman"/>
          <w:noProof/>
          <w:lang w:eastAsia="en-GB"/>
        </w:rPr>
        <w:t>whe</w:t>
      </w:r>
      <w:r w:rsidR="007863E1" w:rsidRPr="003C0D71">
        <w:rPr>
          <w:rFonts w:ascii="Times New Roman" w:eastAsia="Times New Roman" w:hAnsi="Times New Roman" w:cs="Times New Roman"/>
          <w:noProof/>
          <w:lang w:eastAsia="en-GB"/>
        </w:rPr>
        <w:t>the</w:t>
      </w:r>
      <w:r w:rsidRPr="003C0D71">
        <w:rPr>
          <w:rFonts w:ascii="Times New Roman" w:eastAsia="Times New Roman" w:hAnsi="Times New Roman" w:cs="Times New Roman"/>
          <w:noProof/>
          <w:lang w:eastAsia="en-GB"/>
        </w:rPr>
        <w:t xml:space="preserve">r or not there </w:t>
      </w:r>
      <w:r w:rsidR="00E85847" w:rsidRPr="003C0D71">
        <w:rPr>
          <w:rFonts w:ascii="Times New Roman" w:eastAsia="Times New Roman" w:hAnsi="Times New Roman" w:cs="Times New Roman"/>
          <w:noProof/>
          <w:lang w:eastAsia="en-GB"/>
        </w:rPr>
        <w:t xml:space="preserve">has been </w:t>
      </w:r>
      <w:r w:rsidRPr="003C0D71">
        <w:rPr>
          <w:rFonts w:ascii="Times New Roman" w:eastAsia="Times New Roman" w:hAnsi="Times New Roman" w:cs="Times New Roman"/>
          <w:noProof/>
          <w:lang w:eastAsia="en-GB"/>
        </w:rPr>
        <w:t xml:space="preserve">a real shift from public to private transactions. The Commission also notes that </w:t>
      </w:r>
      <w:r w:rsidR="00EC2163">
        <w:rPr>
          <w:rFonts w:ascii="Times New Roman" w:eastAsia="Times New Roman" w:hAnsi="Times New Roman" w:cs="Times New Roman"/>
          <w:noProof/>
          <w:lang w:eastAsia="en-GB"/>
        </w:rPr>
        <w:t xml:space="preserve">data is not available on </w:t>
      </w:r>
      <w:r w:rsidR="00B054EE" w:rsidRPr="003C0D71">
        <w:rPr>
          <w:rFonts w:ascii="Times New Roman" w:eastAsia="Times New Roman" w:hAnsi="Times New Roman" w:cs="Times New Roman"/>
          <w:noProof/>
          <w:lang w:eastAsia="en-GB"/>
        </w:rPr>
        <w:t xml:space="preserve">the </w:t>
      </w:r>
      <w:r w:rsidRPr="003C0D71">
        <w:rPr>
          <w:rFonts w:ascii="Times New Roman" w:eastAsia="Times New Roman" w:hAnsi="Times New Roman" w:cs="Times New Roman"/>
          <w:noProof/>
          <w:lang w:eastAsia="en-GB"/>
        </w:rPr>
        <w:t xml:space="preserve">number </w:t>
      </w:r>
      <w:r w:rsidR="00EC2163">
        <w:rPr>
          <w:rFonts w:ascii="Times New Roman" w:eastAsia="Times New Roman" w:hAnsi="Times New Roman" w:cs="Times New Roman"/>
          <w:noProof/>
          <w:lang w:eastAsia="en-GB"/>
        </w:rPr>
        <w:t>of</w:t>
      </w:r>
      <w:r w:rsidR="00EC2163" w:rsidRPr="003C0D71">
        <w:rPr>
          <w:rFonts w:ascii="Times New Roman" w:eastAsia="Times New Roman" w:hAnsi="Times New Roman" w:cs="Times New Roman"/>
          <w:noProof/>
          <w:lang w:eastAsia="en-GB"/>
        </w:rPr>
        <w:t xml:space="preserve"> </w:t>
      </w:r>
      <w:r w:rsidRPr="003C0D71">
        <w:rPr>
          <w:rFonts w:ascii="Times New Roman" w:eastAsia="Times New Roman" w:hAnsi="Times New Roman" w:cs="Times New Roman"/>
          <w:noProof/>
          <w:lang w:eastAsia="en-GB"/>
        </w:rPr>
        <w:t>private non-STS transactions</w:t>
      </w:r>
      <w:r w:rsidR="00E85847" w:rsidRPr="003C0D71">
        <w:rPr>
          <w:rFonts w:ascii="Times New Roman" w:eastAsia="Times New Roman" w:hAnsi="Times New Roman" w:cs="Times New Roman"/>
          <w:noProof/>
          <w:lang w:eastAsia="en-GB"/>
        </w:rPr>
        <w:t>,</w:t>
      </w:r>
      <w:r w:rsidR="00381223" w:rsidRPr="003C0D71">
        <w:rPr>
          <w:rFonts w:ascii="Times New Roman" w:eastAsia="Times New Roman" w:hAnsi="Times New Roman" w:cs="Times New Roman"/>
          <w:noProof/>
          <w:lang w:eastAsia="en-GB"/>
        </w:rPr>
        <w:t xml:space="preserve"> nor </w:t>
      </w:r>
      <w:r w:rsidR="000A06C6">
        <w:rPr>
          <w:rFonts w:ascii="Times New Roman" w:eastAsia="Times New Roman" w:hAnsi="Times New Roman" w:cs="Times New Roman"/>
          <w:noProof/>
          <w:lang w:eastAsia="en-GB"/>
        </w:rPr>
        <w:t>on</w:t>
      </w:r>
      <w:r w:rsidR="000A06C6" w:rsidRPr="003C0D71">
        <w:rPr>
          <w:rFonts w:ascii="Times New Roman" w:eastAsia="Times New Roman" w:hAnsi="Times New Roman" w:cs="Times New Roman"/>
          <w:noProof/>
          <w:lang w:eastAsia="en-GB"/>
        </w:rPr>
        <w:t xml:space="preserve"> </w:t>
      </w:r>
      <w:r w:rsidR="00381223" w:rsidRPr="003C0D71">
        <w:rPr>
          <w:rFonts w:ascii="Times New Roman" w:eastAsia="Times New Roman" w:hAnsi="Times New Roman" w:cs="Times New Roman"/>
          <w:noProof/>
          <w:lang w:eastAsia="en-GB"/>
        </w:rPr>
        <w:t>the volume of transactions</w:t>
      </w:r>
      <w:r w:rsidR="00686E18" w:rsidRPr="003C0D71">
        <w:rPr>
          <w:rFonts w:ascii="Times New Roman" w:eastAsia="Times New Roman" w:hAnsi="Times New Roman" w:cs="Times New Roman"/>
          <w:noProof/>
          <w:lang w:eastAsia="en-GB"/>
        </w:rPr>
        <w:t xml:space="preserve"> </w:t>
      </w:r>
      <w:r w:rsidRPr="003C0D71">
        <w:rPr>
          <w:rFonts w:ascii="Times New Roman" w:eastAsia="Times New Roman" w:hAnsi="Times New Roman" w:cs="Times New Roman"/>
          <w:noProof/>
          <w:lang w:eastAsia="en-GB"/>
        </w:rPr>
        <w:t xml:space="preserve">which makes a comprehensive </w:t>
      </w:r>
      <w:r w:rsidR="00233D8C" w:rsidRPr="003C0D71">
        <w:rPr>
          <w:rFonts w:ascii="Times New Roman" w:eastAsia="Times New Roman" w:hAnsi="Times New Roman" w:cs="Times New Roman"/>
          <w:noProof/>
          <w:lang w:eastAsia="en-GB"/>
        </w:rPr>
        <w:t>assessment of</w:t>
      </w:r>
      <w:r w:rsidRPr="003C0D71">
        <w:rPr>
          <w:rFonts w:ascii="Times New Roman" w:eastAsia="Times New Roman" w:hAnsi="Times New Roman" w:cs="Times New Roman"/>
          <w:noProof/>
          <w:lang w:eastAsia="en-GB"/>
        </w:rPr>
        <w:t xml:space="preserve"> the market development of private transactions difficult.</w:t>
      </w:r>
      <w:r w:rsidR="00233D8C" w:rsidRPr="003C0D71">
        <w:rPr>
          <w:rFonts w:ascii="Times New Roman" w:eastAsia="Times New Roman" w:hAnsi="Times New Roman" w:cs="Times New Roman"/>
          <w:noProof/>
          <w:lang w:eastAsia="en-GB"/>
        </w:rPr>
        <w:t xml:space="preserve"> </w:t>
      </w:r>
    </w:p>
    <w:p w14:paraId="740E6441" w14:textId="30E205C8" w:rsidR="004D621C" w:rsidRPr="003C0D71" w:rsidRDefault="00F70773" w:rsidP="004D621C">
      <w:pPr>
        <w:jc w:val="both"/>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While</w:t>
      </w:r>
      <w:r w:rsidR="00B054EE" w:rsidRPr="003C0D71">
        <w:rPr>
          <w:rFonts w:ascii="Times New Roman" w:eastAsia="Times New Roman" w:hAnsi="Times New Roman" w:cs="Times New Roman"/>
          <w:noProof/>
          <w:lang w:eastAsia="en-GB"/>
        </w:rPr>
        <w:t xml:space="preserve"> a definite</w:t>
      </w:r>
      <w:r w:rsidR="004D621C" w:rsidRPr="003C0D71">
        <w:rPr>
          <w:rFonts w:ascii="Times New Roman" w:eastAsia="Times New Roman" w:hAnsi="Times New Roman" w:cs="Times New Roman"/>
          <w:noProof/>
          <w:lang w:eastAsia="en-GB"/>
        </w:rPr>
        <w:t xml:space="preserve"> conclusion </w:t>
      </w:r>
      <w:r w:rsidR="00B054EE" w:rsidRPr="003C0D71">
        <w:rPr>
          <w:rFonts w:ascii="Times New Roman" w:eastAsia="Times New Roman" w:hAnsi="Times New Roman" w:cs="Times New Roman"/>
          <w:noProof/>
          <w:lang w:eastAsia="en-GB"/>
        </w:rPr>
        <w:t>cannot be reached as to</w:t>
      </w:r>
      <w:r w:rsidR="004D621C" w:rsidRPr="003C0D71">
        <w:rPr>
          <w:rFonts w:ascii="Times New Roman" w:eastAsia="Times New Roman" w:hAnsi="Times New Roman" w:cs="Times New Roman"/>
          <w:noProof/>
          <w:lang w:eastAsia="en-GB"/>
        </w:rPr>
        <w:t xml:space="preserve"> </w:t>
      </w:r>
      <w:r w:rsidR="00381223" w:rsidRPr="003C0D71">
        <w:rPr>
          <w:rFonts w:ascii="Times New Roman" w:eastAsia="Times New Roman" w:hAnsi="Times New Roman" w:cs="Times New Roman"/>
          <w:noProof/>
          <w:lang w:eastAsia="en-GB"/>
        </w:rPr>
        <w:t xml:space="preserve">whether </w:t>
      </w:r>
      <w:r w:rsidR="001B0558" w:rsidRPr="003C0D71">
        <w:rPr>
          <w:rFonts w:ascii="Times New Roman" w:eastAsia="Times New Roman" w:hAnsi="Times New Roman" w:cs="Times New Roman"/>
          <w:noProof/>
          <w:lang w:eastAsia="en-GB"/>
        </w:rPr>
        <w:t xml:space="preserve">there is a consistent rise in </w:t>
      </w:r>
      <w:r w:rsidR="00C00C19">
        <w:rPr>
          <w:rFonts w:ascii="Times New Roman" w:eastAsia="Times New Roman" w:hAnsi="Times New Roman" w:cs="Times New Roman"/>
          <w:noProof/>
          <w:lang w:eastAsia="en-GB"/>
        </w:rPr>
        <w:t xml:space="preserve">the </w:t>
      </w:r>
      <w:r w:rsidR="001B0558" w:rsidRPr="003C0D71">
        <w:rPr>
          <w:rFonts w:ascii="Times New Roman" w:eastAsia="Times New Roman" w:hAnsi="Times New Roman" w:cs="Times New Roman"/>
          <w:noProof/>
          <w:lang w:eastAsia="en-GB"/>
        </w:rPr>
        <w:t>number and volume of private securitisations that is not mirrored by a proportiona</w:t>
      </w:r>
      <w:r w:rsidR="00F77E81">
        <w:rPr>
          <w:rFonts w:ascii="Times New Roman" w:eastAsia="Times New Roman" w:hAnsi="Times New Roman" w:cs="Times New Roman"/>
          <w:noProof/>
          <w:lang w:eastAsia="en-GB"/>
        </w:rPr>
        <w:t>te</w:t>
      </w:r>
      <w:r w:rsidR="001B0558" w:rsidRPr="003C0D71">
        <w:rPr>
          <w:rFonts w:ascii="Times New Roman" w:eastAsia="Times New Roman" w:hAnsi="Times New Roman" w:cs="Times New Roman"/>
          <w:noProof/>
          <w:lang w:eastAsia="en-GB"/>
        </w:rPr>
        <w:t xml:space="preserve"> rise </w:t>
      </w:r>
      <w:r w:rsidR="00F77E81">
        <w:rPr>
          <w:rFonts w:ascii="Times New Roman" w:eastAsia="Times New Roman" w:hAnsi="Times New Roman" w:cs="Times New Roman"/>
          <w:noProof/>
          <w:lang w:eastAsia="en-GB"/>
        </w:rPr>
        <w:t>in</w:t>
      </w:r>
      <w:r w:rsidR="00F77E81" w:rsidRPr="003C0D71">
        <w:rPr>
          <w:rFonts w:ascii="Times New Roman" w:eastAsia="Times New Roman" w:hAnsi="Times New Roman" w:cs="Times New Roman"/>
          <w:noProof/>
          <w:lang w:eastAsia="en-GB"/>
        </w:rPr>
        <w:t xml:space="preserve"> </w:t>
      </w:r>
      <w:r w:rsidR="001B0558" w:rsidRPr="003C0D71">
        <w:rPr>
          <w:rFonts w:ascii="Times New Roman" w:eastAsia="Times New Roman" w:hAnsi="Times New Roman" w:cs="Times New Roman"/>
          <w:noProof/>
          <w:lang w:eastAsia="en-GB"/>
        </w:rPr>
        <w:t>public transactions</w:t>
      </w:r>
      <w:r w:rsidR="004D621C" w:rsidRPr="003C0D71">
        <w:rPr>
          <w:rFonts w:ascii="Times New Roman" w:eastAsia="Times New Roman" w:hAnsi="Times New Roman" w:cs="Times New Roman"/>
          <w:noProof/>
          <w:lang w:eastAsia="en-GB"/>
        </w:rPr>
        <w:t xml:space="preserve">, the Commission cannot assess whether such a rise is </w:t>
      </w:r>
      <w:r w:rsidR="004D621C" w:rsidRPr="00FF79A5">
        <w:rPr>
          <w:rFonts w:ascii="Times New Roman" w:eastAsia="Times New Roman" w:hAnsi="Times New Roman" w:cs="Times New Roman"/>
          <w:noProof/>
          <w:lang w:eastAsia="en-GB"/>
        </w:rPr>
        <w:t>motivated by</w:t>
      </w:r>
      <w:r w:rsidR="00554198" w:rsidRPr="00FF79A5">
        <w:rPr>
          <w:rFonts w:ascii="Times New Roman" w:eastAsia="Times New Roman" w:hAnsi="Times New Roman" w:cs="Times New Roman"/>
          <w:noProof/>
          <w:lang w:eastAsia="en-GB"/>
        </w:rPr>
        <w:t xml:space="preserve"> the aim</w:t>
      </w:r>
      <w:r w:rsidR="00554198" w:rsidRPr="003C0D71">
        <w:rPr>
          <w:rFonts w:ascii="Times New Roman" w:eastAsia="Times New Roman" w:hAnsi="Times New Roman" w:cs="Times New Roman"/>
          <w:noProof/>
          <w:lang w:eastAsia="en-GB"/>
        </w:rPr>
        <w:t xml:space="preserve"> of</w:t>
      </w:r>
      <w:r w:rsidR="004D621C" w:rsidRPr="003C0D71">
        <w:rPr>
          <w:rFonts w:ascii="Times New Roman" w:eastAsia="Times New Roman" w:hAnsi="Times New Roman" w:cs="Times New Roman"/>
          <w:noProof/>
          <w:lang w:eastAsia="en-GB"/>
        </w:rPr>
        <w:t xml:space="preserve"> avoiding the transparency obligations of public transactions. </w:t>
      </w:r>
      <w:r w:rsidR="004D621C" w:rsidRPr="00FF79A5">
        <w:rPr>
          <w:rFonts w:ascii="Times New Roman" w:eastAsia="Times New Roman" w:hAnsi="Times New Roman" w:cs="Times New Roman"/>
          <w:noProof/>
          <w:lang w:eastAsia="en-GB"/>
        </w:rPr>
        <w:t xml:space="preserve">The Commission therefore invites the </w:t>
      </w:r>
      <w:r w:rsidR="009F6AB1" w:rsidRPr="00FF79A5">
        <w:rPr>
          <w:rFonts w:ascii="Times New Roman" w:eastAsia="Times New Roman" w:hAnsi="Times New Roman" w:cs="Times New Roman"/>
          <w:noProof/>
          <w:lang w:eastAsia="en-GB"/>
        </w:rPr>
        <w:t>Joint Committee</w:t>
      </w:r>
      <w:r w:rsidR="004D621C" w:rsidRPr="00FF79A5">
        <w:rPr>
          <w:rFonts w:ascii="Times New Roman" w:eastAsia="Times New Roman" w:hAnsi="Times New Roman" w:cs="Times New Roman"/>
          <w:noProof/>
          <w:lang w:eastAsia="en-GB"/>
        </w:rPr>
        <w:t xml:space="preserve"> to continue monitoring development</w:t>
      </w:r>
      <w:r w:rsidR="00C00C19" w:rsidRPr="00FF79A5">
        <w:rPr>
          <w:rFonts w:ascii="Times New Roman" w:eastAsia="Times New Roman" w:hAnsi="Times New Roman" w:cs="Times New Roman"/>
          <w:noProof/>
          <w:lang w:eastAsia="en-GB"/>
        </w:rPr>
        <w:t>s</w:t>
      </w:r>
      <w:r w:rsidR="004D621C" w:rsidRPr="00FF79A5">
        <w:rPr>
          <w:rFonts w:ascii="Times New Roman" w:eastAsia="Times New Roman" w:hAnsi="Times New Roman" w:cs="Times New Roman"/>
          <w:noProof/>
          <w:lang w:eastAsia="en-GB"/>
        </w:rPr>
        <w:t xml:space="preserve"> </w:t>
      </w:r>
      <w:r w:rsidR="00C00C19" w:rsidRPr="00FF79A5">
        <w:rPr>
          <w:rFonts w:ascii="Times New Roman" w:eastAsia="Times New Roman" w:hAnsi="Times New Roman" w:cs="Times New Roman"/>
          <w:noProof/>
          <w:lang w:eastAsia="en-GB"/>
        </w:rPr>
        <w:t>in the</w:t>
      </w:r>
      <w:r w:rsidR="00554198" w:rsidRPr="00FF79A5">
        <w:rPr>
          <w:rFonts w:ascii="Times New Roman" w:eastAsia="Times New Roman" w:hAnsi="Times New Roman" w:cs="Times New Roman"/>
          <w:noProof/>
          <w:lang w:eastAsia="en-GB"/>
        </w:rPr>
        <w:t xml:space="preserve"> volumes </w:t>
      </w:r>
      <w:r w:rsidR="004D621C" w:rsidRPr="00FF79A5">
        <w:rPr>
          <w:rFonts w:ascii="Times New Roman" w:eastAsia="Times New Roman" w:hAnsi="Times New Roman" w:cs="Times New Roman"/>
          <w:noProof/>
          <w:lang w:eastAsia="en-GB"/>
        </w:rPr>
        <w:t xml:space="preserve">of private and public transactions and to </w:t>
      </w:r>
      <w:r w:rsidR="00C00C19" w:rsidRPr="00FF79A5">
        <w:rPr>
          <w:rFonts w:ascii="Times New Roman" w:eastAsia="Times New Roman" w:hAnsi="Times New Roman" w:cs="Times New Roman"/>
          <w:noProof/>
          <w:lang w:eastAsia="en-GB"/>
        </w:rPr>
        <w:t>track</w:t>
      </w:r>
      <w:r w:rsidR="004D621C" w:rsidRPr="00FF79A5">
        <w:rPr>
          <w:rFonts w:ascii="Times New Roman" w:eastAsia="Times New Roman" w:hAnsi="Times New Roman" w:cs="Times New Roman"/>
          <w:noProof/>
          <w:lang w:eastAsia="en-GB"/>
        </w:rPr>
        <w:t xml:space="preserve"> the </w:t>
      </w:r>
      <w:r w:rsidR="00D338B2" w:rsidRPr="00FF79A5">
        <w:rPr>
          <w:rFonts w:ascii="Times New Roman" w:eastAsia="Times New Roman" w:hAnsi="Times New Roman" w:cs="Times New Roman"/>
          <w:noProof/>
          <w:lang w:eastAsia="en-GB"/>
        </w:rPr>
        <w:t xml:space="preserve">volume </w:t>
      </w:r>
      <w:r w:rsidR="004D621C" w:rsidRPr="00FF79A5">
        <w:rPr>
          <w:rFonts w:ascii="Times New Roman" w:eastAsia="Times New Roman" w:hAnsi="Times New Roman" w:cs="Times New Roman"/>
          <w:noProof/>
          <w:lang w:eastAsia="en-GB"/>
        </w:rPr>
        <w:t>of non-STS transactions</w:t>
      </w:r>
      <w:r w:rsidR="001B0558" w:rsidRPr="00FF79A5">
        <w:rPr>
          <w:rFonts w:ascii="Times New Roman" w:eastAsia="Times New Roman" w:hAnsi="Times New Roman" w:cs="Times New Roman"/>
          <w:noProof/>
          <w:lang w:eastAsia="en-GB"/>
        </w:rPr>
        <w:t xml:space="preserve"> </w:t>
      </w:r>
      <w:r w:rsidR="00554198" w:rsidRPr="00FF79A5">
        <w:rPr>
          <w:rFonts w:ascii="Times New Roman" w:eastAsia="Times New Roman" w:hAnsi="Times New Roman" w:cs="Times New Roman"/>
          <w:noProof/>
          <w:lang w:eastAsia="en-GB"/>
        </w:rPr>
        <w:t xml:space="preserve">and </w:t>
      </w:r>
      <w:r w:rsidR="001B0558" w:rsidRPr="00FF79A5">
        <w:rPr>
          <w:rFonts w:ascii="Times New Roman" w:eastAsia="Times New Roman" w:hAnsi="Times New Roman" w:cs="Times New Roman"/>
          <w:noProof/>
          <w:lang w:eastAsia="en-GB"/>
        </w:rPr>
        <w:t>the</w:t>
      </w:r>
      <w:r w:rsidR="00554198" w:rsidRPr="00FF79A5">
        <w:rPr>
          <w:rFonts w:ascii="Times New Roman" w:eastAsia="Times New Roman" w:hAnsi="Times New Roman" w:cs="Times New Roman"/>
          <w:noProof/>
          <w:lang w:eastAsia="en-GB"/>
        </w:rPr>
        <w:t xml:space="preserve"> overall</w:t>
      </w:r>
      <w:r w:rsidR="001B0558" w:rsidRPr="00FF79A5">
        <w:rPr>
          <w:rFonts w:ascii="Times New Roman" w:eastAsia="Times New Roman" w:hAnsi="Times New Roman" w:cs="Times New Roman"/>
          <w:noProof/>
          <w:lang w:eastAsia="en-GB"/>
        </w:rPr>
        <w:t xml:space="preserve"> volume of transactions</w:t>
      </w:r>
      <w:r w:rsidR="004D621C" w:rsidRPr="00FF79A5">
        <w:rPr>
          <w:rFonts w:ascii="Times New Roman" w:eastAsia="Times New Roman" w:hAnsi="Times New Roman" w:cs="Times New Roman"/>
          <w:noProof/>
          <w:lang w:eastAsia="en-GB"/>
        </w:rPr>
        <w:t>. Based on th</w:t>
      </w:r>
      <w:r w:rsidR="00554198" w:rsidRPr="00FF79A5">
        <w:rPr>
          <w:rFonts w:ascii="Times New Roman" w:eastAsia="Times New Roman" w:hAnsi="Times New Roman" w:cs="Times New Roman"/>
          <w:noProof/>
          <w:lang w:eastAsia="en-GB"/>
        </w:rPr>
        <w:t>ese</w:t>
      </w:r>
      <w:r w:rsidR="004D621C" w:rsidRPr="00FF79A5">
        <w:rPr>
          <w:rFonts w:ascii="Times New Roman" w:eastAsia="Times New Roman" w:hAnsi="Times New Roman" w:cs="Times New Roman"/>
          <w:noProof/>
          <w:lang w:eastAsia="en-GB"/>
        </w:rPr>
        <w:t xml:space="preserve"> additional data, the Commission will revisit the question in due course</w:t>
      </w:r>
      <w:r w:rsidR="004D621C" w:rsidRPr="003C0D71">
        <w:rPr>
          <w:rFonts w:ascii="Times New Roman" w:eastAsia="Times New Roman" w:hAnsi="Times New Roman" w:cs="Times New Roman"/>
          <w:noProof/>
          <w:lang w:eastAsia="en-GB"/>
        </w:rPr>
        <w:t xml:space="preserve">. </w:t>
      </w:r>
    </w:p>
    <w:p w14:paraId="67291722" w14:textId="77777777" w:rsidR="004D621C" w:rsidRPr="003C0D71" w:rsidRDefault="004134D0" w:rsidP="004D621C">
      <w:pPr>
        <w:pStyle w:val="Heading2"/>
        <w:rPr>
          <w:rFonts w:ascii="Times New Roman" w:hAnsi="Times New Roman" w:cs="Times New Roman"/>
          <w:noProof/>
          <w:color w:val="auto"/>
        </w:rPr>
      </w:pPr>
      <w:bookmarkStart w:id="33" w:name="_Toc104283068"/>
      <w:bookmarkStart w:id="34" w:name="_Toc104286136"/>
      <w:bookmarkStart w:id="35" w:name="_Toc104297341"/>
      <w:bookmarkStart w:id="36" w:name="_Toc115346210"/>
      <w:r w:rsidRPr="003C0D71">
        <w:rPr>
          <w:rFonts w:ascii="Times New Roman" w:hAnsi="Times New Roman" w:cs="Times New Roman"/>
          <w:noProof/>
          <w:color w:val="auto"/>
        </w:rPr>
        <w:t>6</w:t>
      </w:r>
      <w:r w:rsidR="004D621C" w:rsidRPr="003C0D71">
        <w:rPr>
          <w:rFonts w:ascii="Times New Roman" w:hAnsi="Times New Roman" w:cs="Times New Roman"/>
          <w:noProof/>
          <w:color w:val="auto"/>
        </w:rPr>
        <w:t>.2 Sufficient information for investors and supervisors on private securitisations?</w:t>
      </w:r>
      <w:bookmarkEnd w:id="33"/>
      <w:bookmarkEnd w:id="34"/>
      <w:bookmarkEnd w:id="35"/>
      <w:bookmarkEnd w:id="36"/>
      <w:r w:rsidR="004D621C" w:rsidRPr="003C0D71">
        <w:rPr>
          <w:rFonts w:ascii="Times New Roman" w:hAnsi="Times New Roman" w:cs="Times New Roman"/>
          <w:noProof/>
          <w:color w:val="auto"/>
        </w:rPr>
        <w:t xml:space="preserve"> </w:t>
      </w:r>
    </w:p>
    <w:p w14:paraId="1CB6F4F4" w14:textId="77777777" w:rsidR="004D621C" w:rsidRPr="003C0D71" w:rsidRDefault="004D621C" w:rsidP="000D4664">
      <w:pPr>
        <w:rPr>
          <w:rFonts w:ascii="Times New Roman" w:hAnsi="Times New Roman" w:cs="Times New Roman"/>
          <w:b/>
          <w:noProof/>
          <w:sz w:val="24"/>
        </w:rPr>
      </w:pPr>
      <w:r w:rsidRPr="003C0D71">
        <w:rPr>
          <w:rFonts w:ascii="Times New Roman" w:hAnsi="Times New Roman" w:cs="Times New Roman"/>
          <w:b/>
          <w:noProof/>
          <w:sz w:val="24"/>
        </w:rPr>
        <w:t>Background and findings</w:t>
      </w:r>
    </w:p>
    <w:p w14:paraId="31DFEEDC" w14:textId="731CD131" w:rsidR="004D621C" w:rsidRPr="003C0D71" w:rsidRDefault="004D621C" w:rsidP="004D621C">
      <w:pPr>
        <w:jc w:val="both"/>
        <w:rPr>
          <w:rFonts w:ascii="Times New Roman" w:eastAsia="Times New Roman" w:hAnsi="Times New Roman" w:cs="Times New Roman"/>
          <w:noProof/>
          <w:lang w:eastAsia="en-GB"/>
        </w:rPr>
      </w:pPr>
      <w:r w:rsidRPr="003C0D71">
        <w:rPr>
          <w:rFonts w:ascii="Times New Roman" w:eastAsia="Times New Roman" w:hAnsi="Times New Roman" w:cs="Times New Roman"/>
          <w:noProof/>
          <w:lang w:eastAsia="en-GB"/>
        </w:rPr>
        <w:t xml:space="preserve">Currently, there is no dedicated template for private securitisations, but originators, sponsors or SSPEs of private securitisations have to fill in the extensive templates </w:t>
      </w:r>
      <w:r w:rsidR="007D661E">
        <w:rPr>
          <w:rFonts w:ascii="Times New Roman" w:eastAsia="Times New Roman" w:hAnsi="Times New Roman" w:cs="Times New Roman"/>
          <w:noProof/>
          <w:lang w:eastAsia="en-GB"/>
        </w:rPr>
        <w:t xml:space="preserve">that are </w:t>
      </w:r>
      <w:r w:rsidRPr="003C0D71">
        <w:rPr>
          <w:rFonts w:ascii="Times New Roman" w:eastAsia="Times New Roman" w:hAnsi="Times New Roman" w:cs="Times New Roman"/>
          <w:noProof/>
          <w:lang w:eastAsia="en-GB"/>
        </w:rPr>
        <w:t xml:space="preserve">also used for public securitisations, </w:t>
      </w:r>
      <w:r w:rsidR="00233D8C" w:rsidRPr="003C0D71">
        <w:rPr>
          <w:rFonts w:ascii="Times New Roman" w:eastAsia="Times New Roman" w:hAnsi="Times New Roman" w:cs="Times New Roman"/>
          <w:noProof/>
          <w:lang w:eastAsia="en-GB"/>
        </w:rPr>
        <w:t>al</w:t>
      </w:r>
      <w:r w:rsidRPr="003C0D71">
        <w:rPr>
          <w:rFonts w:ascii="Times New Roman" w:eastAsia="Times New Roman" w:hAnsi="Times New Roman" w:cs="Times New Roman"/>
          <w:noProof/>
          <w:lang w:eastAsia="en-GB"/>
        </w:rPr>
        <w:t>though the</w:t>
      </w:r>
      <w:r w:rsidR="007D661E">
        <w:rPr>
          <w:rFonts w:ascii="Times New Roman" w:eastAsia="Times New Roman" w:hAnsi="Times New Roman" w:cs="Times New Roman"/>
          <w:noProof/>
          <w:lang w:eastAsia="en-GB"/>
        </w:rPr>
        <w:t>se</w:t>
      </w:r>
      <w:r w:rsidRPr="003C0D71">
        <w:rPr>
          <w:rFonts w:ascii="Times New Roman" w:eastAsia="Times New Roman" w:hAnsi="Times New Roman" w:cs="Times New Roman"/>
          <w:noProof/>
          <w:lang w:eastAsia="en-GB"/>
        </w:rPr>
        <w:t xml:space="preserve"> do not need to be provided via a securitisation repository. Some </w:t>
      </w:r>
      <w:r w:rsidR="00A13C4B">
        <w:rPr>
          <w:rFonts w:ascii="Times New Roman" w:eastAsia="Times New Roman" w:hAnsi="Times New Roman" w:cs="Times New Roman"/>
          <w:noProof/>
          <w:lang w:eastAsia="en-GB"/>
        </w:rPr>
        <w:t>n</w:t>
      </w:r>
      <w:r w:rsidR="009F6AB1" w:rsidRPr="003C0D71">
        <w:rPr>
          <w:rFonts w:ascii="Times New Roman" w:eastAsia="Times New Roman" w:hAnsi="Times New Roman" w:cs="Times New Roman"/>
          <w:noProof/>
          <w:lang w:eastAsia="en-GB"/>
        </w:rPr>
        <w:t xml:space="preserve">ational </w:t>
      </w:r>
      <w:r w:rsidR="00A13C4B">
        <w:rPr>
          <w:rFonts w:ascii="Times New Roman" w:eastAsia="Times New Roman" w:hAnsi="Times New Roman" w:cs="Times New Roman"/>
          <w:noProof/>
          <w:lang w:eastAsia="en-GB"/>
        </w:rPr>
        <w:t>c</w:t>
      </w:r>
      <w:r w:rsidR="009F6AB1" w:rsidRPr="003C0D71">
        <w:rPr>
          <w:rFonts w:ascii="Times New Roman" w:eastAsia="Times New Roman" w:hAnsi="Times New Roman" w:cs="Times New Roman"/>
          <w:noProof/>
          <w:lang w:eastAsia="en-GB"/>
        </w:rPr>
        <w:t xml:space="preserve">ompetent </w:t>
      </w:r>
      <w:r w:rsidR="00A13C4B">
        <w:rPr>
          <w:rFonts w:ascii="Times New Roman" w:eastAsia="Times New Roman" w:hAnsi="Times New Roman" w:cs="Times New Roman"/>
          <w:noProof/>
          <w:lang w:eastAsia="en-GB"/>
        </w:rPr>
        <w:t>a</w:t>
      </w:r>
      <w:r w:rsidR="009F6AB1" w:rsidRPr="003C0D71">
        <w:rPr>
          <w:rFonts w:ascii="Times New Roman" w:eastAsia="Times New Roman" w:hAnsi="Times New Roman" w:cs="Times New Roman"/>
          <w:noProof/>
          <w:lang w:eastAsia="en-GB"/>
        </w:rPr>
        <w:t xml:space="preserve">uthorities </w:t>
      </w:r>
      <w:r w:rsidRPr="003C0D71">
        <w:rPr>
          <w:rFonts w:ascii="Times New Roman" w:eastAsia="Times New Roman" w:hAnsi="Times New Roman" w:cs="Times New Roman"/>
          <w:noProof/>
          <w:lang w:eastAsia="en-GB"/>
        </w:rPr>
        <w:t>request basic information on private deals via individual forms.</w:t>
      </w:r>
    </w:p>
    <w:p w14:paraId="76DB4CEE" w14:textId="2F73DE34" w:rsidR="004D621C" w:rsidRPr="003C0D71" w:rsidRDefault="004D621C" w:rsidP="004D621C">
      <w:pPr>
        <w:jc w:val="both"/>
        <w:rPr>
          <w:rFonts w:ascii="Times New Roman" w:eastAsia="Times New Roman" w:hAnsi="Times New Roman" w:cs="Times New Roman"/>
          <w:noProof/>
          <w:lang w:eastAsia="en-GB"/>
        </w:rPr>
      </w:pPr>
      <w:r w:rsidRPr="003C0D71">
        <w:rPr>
          <w:rFonts w:ascii="Times New Roman" w:eastAsia="Times New Roman" w:hAnsi="Times New Roman" w:cs="Times New Roman"/>
          <w:noProof/>
          <w:lang w:eastAsia="en-GB"/>
        </w:rPr>
        <w:t xml:space="preserve">Views </w:t>
      </w:r>
      <w:r w:rsidR="00F5039F">
        <w:rPr>
          <w:rFonts w:ascii="Times New Roman" w:eastAsia="Times New Roman" w:hAnsi="Times New Roman" w:cs="Times New Roman"/>
          <w:noProof/>
          <w:lang w:eastAsia="en-GB"/>
        </w:rPr>
        <w:t>were</w:t>
      </w:r>
      <w:r w:rsidR="00F5039F" w:rsidRPr="003C0D71">
        <w:rPr>
          <w:rFonts w:ascii="Times New Roman" w:eastAsia="Times New Roman" w:hAnsi="Times New Roman" w:cs="Times New Roman"/>
          <w:noProof/>
          <w:lang w:eastAsia="en-GB"/>
        </w:rPr>
        <w:t xml:space="preserve"> </w:t>
      </w:r>
      <w:r w:rsidRPr="003C0D71">
        <w:rPr>
          <w:rFonts w:ascii="Times New Roman" w:eastAsia="Times New Roman" w:hAnsi="Times New Roman" w:cs="Times New Roman"/>
          <w:noProof/>
          <w:lang w:eastAsia="en-GB"/>
        </w:rPr>
        <w:t xml:space="preserve">split </w:t>
      </w:r>
      <w:r w:rsidR="00252D5F">
        <w:rPr>
          <w:rFonts w:ascii="Times New Roman" w:eastAsia="Times New Roman" w:hAnsi="Times New Roman" w:cs="Times New Roman"/>
          <w:noProof/>
          <w:lang w:eastAsia="en-GB"/>
        </w:rPr>
        <w:t xml:space="preserve">on </w:t>
      </w:r>
      <w:r w:rsidRPr="003C0D71">
        <w:rPr>
          <w:rFonts w:ascii="Times New Roman" w:eastAsia="Times New Roman" w:hAnsi="Times New Roman" w:cs="Times New Roman"/>
          <w:noProof/>
          <w:lang w:eastAsia="en-GB"/>
        </w:rPr>
        <w:t xml:space="preserve">whether templates add value </w:t>
      </w:r>
      <w:r w:rsidR="00AD264D">
        <w:rPr>
          <w:rFonts w:ascii="Times New Roman" w:eastAsia="Times New Roman" w:hAnsi="Times New Roman" w:cs="Times New Roman"/>
          <w:noProof/>
          <w:lang w:eastAsia="en-GB"/>
        </w:rPr>
        <w:t>to</w:t>
      </w:r>
      <w:r w:rsidRPr="003C0D71">
        <w:rPr>
          <w:rFonts w:ascii="Times New Roman" w:eastAsia="Times New Roman" w:hAnsi="Times New Roman" w:cs="Times New Roman"/>
          <w:noProof/>
          <w:lang w:eastAsia="en-GB"/>
        </w:rPr>
        <w:t xml:space="preserve"> private securitisations: </w:t>
      </w:r>
      <w:r w:rsidR="00171022">
        <w:rPr>
          <w:rFonts w:ascii="Times New Roman" w:eastAsia="Times New Roman" w:hAnsi="Times New Roman" w:cs="Times New Roman"/>
          <w:noProof/>
          <w:lang w:eastAsia="en-GB"/>
        </w:rPr>
        <w:t xml:space="preserve">some </w:t>
      </w:r>
      <w:r w:rsidRPr="003C0D71">
        <w:rPr>
          <w:rFonts w:ascii="Times New Roman" w:eastAsia="Times New Roman" w:hAnsi="Times New Roman" w:cs="Times New Roman"/>
          <w:noProof/>
          <w:lang w:eastAsia="en-GB"/>
        </w:rPr>
        <w:t>industry respondents</w:t>
      </w:r>
      <w:r w:rsidR="00A06862" w:rsidRPr="003C0D71">
        <w:rPr>
          <w:rFonts w:ascii="Times New Roman" w:eastAsia="Times New Roman" w:hAnsi="Times New Roman" w:cs="Times New Roman"/>
          <w:noProof/>
          <w:lang w:eastAsia="en-GB"/>
        </w:rPr>
        <w:t xml:space="preserve"> (</w:t>
      </w:r>
      <w:r w:rsidR="00233D8C" w:rsidRPr="003C0D71">
        <w:rPr>
          <w:rFonts w:ascii="Times New Roman" w:eastAsia="Times New Roman" w:hAnsi="Times New Roman" w:cs="Times New Roman"/>
          <w:noProof/>
          <w:lang w:eastAsia="en-GB"/>
        </w:rPr>
        <w:t>irrespective of</w:t>
      </w:r>
      <w:r w:rsidR="00A06862" w:rsidRPr="003C0D71">
        <w:rPr>
          <w:rFonts w:ascii="Times New Roman" w:eastAsia="Times New Roman" w:hAnsi="Times New Roman" w:cs="Times New Roman"/>
          <w:noProof/>
          <w:lang w:eastAsia="en-GB"/>
        </w:rPr>
        <w:t xml:space="preserve"> whether they act as investor or originator in the securitisation market)</w:t>
      </w:r>
      <w:r w:rsidRPr="003C0D71">
        <w:rPr>
          <w:rFonts w:ascii="Times New Roman" w:eastAsia="Times New Roman" w:hAnsi="Times New Roman" w:cs="Times New Roman"/>
          <w:noProof/>
          <w:lang w:eastAsia="en-GB"/>
        </w:rPr>
        <w:t xml:space="preserve"> and most public authorities </w:t>
      </w:r>
      <w:r w:rsidR="00F5039F">
        <w:rPr>
          <w:rFonts w:ascii="Times New Roman" w:eastAsia="Times New Roman" w:hAnsi="Times New Roman" w:cs="Times New Roman"/>
          <w:noProof/>
          <w:lang w:eastAsia="en-GB"/>
        </w:rPr>
        <w:t>saw</w:t>
      </w:r>
      <w:r w:rsidR="00F5039F" w:rsidRPr="003C0D71">
        <w:rPr>
          <w:rFonts w:ascii="Times New Roman" w:eastAsia="Times New Roman" w:hAnsi="Times New Roman" w:cs="Times New Roman"/>
          <w:noProof/>
          <w:lang w:eastAsia="en-GB"/>
        </w:rPr>
        <w:t xml:space="preserve"> </w:t>
      </w:r>
      <w:r w:rsidRPr="003C0D71">
        <w:rPr>
          <w:rFonts w:ascii="Times New Roman" w:eastAsia="Times New Roman" w:hAnsi="Times New Roman" w:cs="Times New Roman"/>
          <w:noProof/>
          <w:lang w:eastAsia="en-GB"/>
        </w:rPr>
        <w:t xml:space="preserve">the benefit of standardised templates. </w:t>
      </w:r>
      <w:r w:rsidR="003975FE">
        <w:rPr>
          <w:rFonts w:ascii="Times New Roman" w:eastAsia="Times New Roman" w:hAnsi="Times New Roman" w:cs="Times New Roman"/>
          <w:noProof/>
          <w:lang w:eastAsia="en-GB"/>
        </w:rPr>
        <w:t>Other</w:t>
      </w:r>
      <w:r w:rsidRPr="003C0D71">
        <w:rPr>
          <w:rFonts w:ascii="Times New Roman" w:eastAsia="Times New Roman" w:hAnsi="Times New Roman" w:cs="Times New Roman"/>
          <w:noProof/>
          <w:lang w:eastAsia="en-GB"/>
        </w:rPr>
        <w:t xml:space="preserve"> respondents question</w:t>
      </w:r>
      <w:r w:rsidR="00F5039F">
        <w:rPr>
          <w:rFonts w:ascii="Times New Roman" w:eastAsia="Times New Roman" w:hAnsi="Times New Roman" w:cs="Times New Roman"/>
          <w:noProof/>
          <w:lang w:eastAsia="en-GB"/>
        </w:rPr>
        <w:t>ed</w:t>
      </w:r>
      <w:r w:rsidRPr="003C0D71">
        <w:rPr>
          <w:rFonts w:ascii="Times New Roman" w:eastAsia="Times New Roman" w:hAnsi="Times New Roman" w:cs="Times New Roman"/>
          <w:noProof/>
          <w:lang w:eastAsia="en-GB"/>
        </w:rPr>
        <w:t xml:space="preserve"> the usefulness of templates for providing transparency on private securitisations, particularly for private synthetic deals where information needs are very specific.</w:t>
      </w:r>
    </w:p>
    <w:p w14:paraId="56232C96" w14:textId="130B3CD7" w:rsidR="004D621C" w:rsidRPr="003C0D71" w:rsidRDefault="00DF40FC" w:rsidP="004D621C">
      <w:pPr>
        <w:jc w:val="both"/>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Most</w:t>
      </w:r>
      <w:r w:rsidR="004D621C" w:rsidRPr="003C0D71">
        <w:rPr>
          <w:rFonts w:ascii="Times New Roman" w:eastAsia="Times New Roman" w:hAnsi="Times New Roman" w:cs="Times New Roman"/>
          <w:noProof/>
          <w:lang w:eastAsia="en-GB"/>
        </w:rPr>
        <w:t xml:space="preserve"> industry respondents </w:t>
      </w:r>
      <w:r w:rsidR="00F5039F">
        <w:rPr>
          <w:rFonts w:ascii="Times New Roman" w:eastAsia="Times New Roman" w:hAnsi="Times New Roman" w:cs="Times New Roman"/>
          <w:noProof/>
          <w:lang w:eastAsia="en-GB"/>
        </w:rPr>
        <w:t>argued</w:t>
      </w:r>
      <w:r w:rsidR="004D621C" w:rsidRPr="003C0D71">
        <w:rPr>
          <w:rFonts w:ascii="Times New Roman" w:eastAsia="Times New Roman" w:hAnsi="Times New Roman" w:cs="Times New Roman"/>
          <w:noProof/>
          <w:lang w:eastAsia="en-GB"/>
        </w:rPr>
        <w:t xml:space="preserve"> that under the current </w:t>
      </w:r>
      <w:r>
        <w:rPr>
          <w:rFonts w:ascii="Times New Roman" w:eastAsia="Times New Roman" w:hAnsi="Times New Roman" w:cs="Times New Roman"/>
          <w:noProof/>
          <w:lang w:eastAsia="en-GB"/>
        </w:rPr>
        <w:t>system</w:t>
      </w:r>
      <w:r w:rsidR="00E85847" w:rsidRPr="003C0D71">
        <w:rPr>
          <w:rFonts w:ascii="Times New Roman" w:eastAsia="Times New Roman" w:hAnsi="Times New Roman" w:cs="Times New Roman"/>
          <w:noProof/>
          <w:lang w:eastAsia="en-GB"/>
        </w:rPr>
        <w:t>,</w:t>
      </w:r>
      <w:r w:rsidR="004D621C" w:rsidRPr="003C0D71">
        <w:rPr>
          <w:rFonts w:ascii="Times New Roman" w:eastAsia="Times New Roman" w:hAnsi="Times New Roman" w:cs="Times New Roman"/>
          <w:noProof/>
          <w:lang w:eastAsia="en-GB"/>
        </w:rPr>
        <w:t xml:space="preserve"> supervisors </w:t>
      </w:r>
      <w:r w:rsidR="002322A9" w:rsidRPr="003C0D71">
        <w:rPr>
          <w:rFonts w:ascii="Times New Roman" w:eastAsia="Times New Roman" w:hAnsi="Times New Roman" w:cs="Times New Roman"/>
          <w:noProof/>
          <w:lang w:eastAsia="en-GB"/>
        </w:rPr>
        <w:t xml:space="preserve">and </w:t>
      </w:r>
      <w:r w:rsidR="004D621C" w:rsidRPr="003C0D71">
        <w:rPr>
          <w:rFonts w:ascii="Times New Roman" w:eastAsia="Times New Roman" w:hAnsi="Times New Roman" w:cs="Times New Roman"/>
          <w:noProof/>
          <w:lang w:eastAsia="en-GB"/>
        </w:rPr>
        <w:t xml:space="preserve">investors have enough information </w:t>
      </w:r>
      <w:r w:rsidR="00E85847" w:rsidRPr="003C0D71">
        <w:rPr>
          <w:rFonts w:ascii="Times New Roman" w:eastAsia="Times New Roman" w:hAnsi="Times New Roman" w:cs="Times New Roman"/>
          <w:noProof/>
          <w:lang w:eastAsia="en-GB"/>
        </w:rPr>
        <w:t>to</w:t>
      </w:r>
      <w:r w:rsidR="00A51937">
        <w:rPr>
          <w:rFonts w:ascii="Times New Roman" w:eastAsia="Times New Roman" w:hAnsi="Times New Roman" w:cs="Times New Roman"/>
          <w:noProof/>
          <w:lang w:eastAsia="en-GB"/>
        </w:rPr>
        <w:t>, respectively,</w:t>
      </w:r>
      <w:r w:rsidR="00E85847" w:rsidRPr="003C0D71">
        <w:rPr>
          <w:rFonts w:ascii="Times New Roman" w:eastAsia="Times New Roman" w:hAnsi="Times New Roman" w:cs="Times New Roman"/>
          <w:noProof/>
          <w:lang w:eastAsia="en-GB"/>
        </w:rPr>
        <w:t xml:space="preserve"> </w:t>
      </w:r>
      <w:r w:rsidR="00554198" w:rsidRPr="003C0D71">
        <w:rPr>
          <w:rFonts w:ascii="Times New Roman" w:eastAsia="Times New Roman" w:hAnsi="Times New Roman" w:cs="Times New Roman"/>
          <w:noProof/>
          <w:lang w:eastAsia="en-GB"/>
        </w:rPr>
        <w:t>monitor market</w:t>
      </w:r>
      <w:r w:rsidR="004D621C" w:rsidRPr="003C0D71">
        <w:rPr>
          <w:rFonts w:ascii="Times New Roman" w:eastAsia="Times New Roman" w:hAnsi="Times New Roman" w:cs="Times New Roman"/>
          <w:noProof/>
          <w:lang w:eastAsia="en-GB"/>
        </w:rPr>
        <w:t xml:space="preserve"> developments</w:t>
      </w:r>
      <w:r w:rsidR="00233D8C" w:rsidRPr="003C0D71">
        <w:rPr>
          <w:rFonts w:ascii="Times New Roman" w:eastAsia="Times New Roman" w:hAnsi="Times New Roman" w:cs="Times New Roman"/>
          <w:noProof/>
          <w:lang w:eastAsia="en-GB"/>
        </w:rPr>
        <w:t xml:space="preserve"> and</w:t>
      </w:r>
      <w:r w:rsidR="00A51937">
        <w:rPr>
          <w:rFonts w:ascii="Times New Roman" w:eastAsia="Times New Roman" w:hAnsi="Times New Roman" w:cs="Times New Roman"/>
          <w:noProof/>
          <w:lang w:eastAsia="en-GB"/>
        </w:rPr>
        <w:t xml:space="preserve"> </w:t>
      </w:r>
      <w:r w:rsidR="004D621C" w:rsidRPr="003C0D71">
        <w:rPr>
          <w:rFonts w:ascii="Times New Roman" w:eastAsia="Times New Roman" w:hAnsi="Times New Roman" w:cs="Times New Roman"/>
          <w:noProof/>
          <w:lang w:eastAsia="en-GB"/>
        </w:rPr>
        <w:t xml:space="preserve">perform </w:t>
      </w:r>
      <w:r w:rsidR="00171022">
        <w:rPr>
          <w:rFonts w:ascii="Times New Roman" w:eastAsia="Times New Roman" w:hAnsi="Times New Roman" w:cs="Times New Roman"/>
          <w:noProof/>
          <w:lang w:eastAsia="en-GB"/>
        </w:rPr>
        <w:t>thorough</w:t>
      </w:r>
      <w:r w:rsidR="00171022" w:rsidRPr="003C0D71">
        <w:rPr>
          <w:rFonts w:ascii="Times New Roman" w:eastAsia="Times New Roman" w:hAnsi="Times New Roman" w:cs="Times New Roman"/>
          <w:noProof/>
          <w:lang w:eastAsia="en-GB"/>
        </w:rPr>
        <w:t xml:space="preserve"> </w:t>
      </w:r>
      <w:r w:rsidR="004D621C" w:rsidRPr="003C0D71">
        <w:rPr>
          <w:rFonts w:ascii="Times New Roman" w:eastAsia="Times New Roman" w:hAnsi="Times New Roman" w:cs="Times New Roman"/>
          <w:noProof/>
          <w:lang w:eastAsia="en-GB"/>
        </w:rPr>
        <w:t xml:space="preserve">due diligence. </w:t>
      </w:r>
    </w:p>
    <w:p w14:paraId="1E726683" w14:textId="28FE9A98" w:rsidR="004D621C" w:rsidRDefault="004D621C" w:rsidP="004D621C">
      <w:pPr>
        <w:jc w:val="both"/>
        <w:rPr>
          <w:rFonts w:ascii="Times New Roman" w:eastAsia="Times New Roman" w:hAnsi="Times New Roman" w:cs="Times New Roman"/>
          <w:noProof/>
          <w:lang w:eastAsia="en-GB"/>
        </w:rPr>
      </w:pPr>
      <w:r w:rsidRPr="003C0D71">
        <w:rPr>
          <w:rFonts w:ascii="Times New Roman" w:eastAsia="Times New Roman" w:hAnsi="Times New Roman" w:cs="Times New Roman"/>
          <w:noProof/>
          <w:lang w:eastAsia="en-GB"/>
        </w:rPr>
        <w:t>While industry respondents believe</w:t>
      </w:r>
      <w:r w:rsidR="00F5039F">
        <w:rPr>
          <w:rFonts w:ascii="Times New Roman" w:eastAsia="Times New Roman" w:hAnsi="Times New Roman" w:cs="Times New Roman"/>
          <w:noProof/>
          <w:lang w:eastAsia="en-GB"/>
        </w:rPr>
        <w:t>d</w:t>
      </w:r>
      <w:r w:rsidRPr="003C0D71">
        <w:rPr>
          <w:rFonts w:ascii="Times New Roman" w:eastAsia="Times New Roman" w:hAnsi="Times New Roman" w:cs="Times New Roman"/>
          <w:noProof/>
          <w:lang w:eastAsia="en-GB"/>
        </w:rPr>
        <w:t xml:space="preserve"> that the current </w:t>
      </w:r>
      <w:r w:rsidR="00686E18" w:rsidRPr="003C0D71">
        <w:rPr>
          <w:rFonts w:ascii="Times New Roman" w:eastAsia="Times New Roman" w:hAnsi="Times New Roman" w:cs="Times New Roman"/>
          <w:noProof/>
          <w:lang w:eastAsia="en-GB"/>
        </w:rPr>
        <w:t>Article 7</w:t>
      </w:r>
      <w:r w:rsidRPr="003C0D71">
        <w:rPr>
          <w:rFonts w:ascii="Times New Roman" w:eastAsia="Times New Roman" w:hAnsi="Times New Roman" w:cs="Times New Roman"/>
          <w:noProof/>
          <w:lang w:eastAsia="en-GB"/>
        </w:rPr>
        <w:t xml:space="preserve"> templates should </w:t>
      </w:r>
      <w:r w:rsidR="00A51937">
        <w:rPr>
          <w:rFonts w:ascii="Times New Roman" w:eastAsia="Times New Roman" w:hAnsi="Times New Roman" w:cs="Times New Roman"/>
          <w:noProof/>
          <w:lang w:eastAsia="en-GB"/>
        </w:rPr>
        <w:t xml:space="preserve">also </w:t>
      </w:r>
      <w:r w:rsidRPr="003C0D71">
        <w:rPr>
          <w:rFonts w:ascii="Times New Roman" w:eastAsia="Times New Roman" w:hAnsi="Times New Roman" w:cs="Times New Roman"/>
          <w:noProof/>
          <w:lang w:eastAsia="en-GB"/>
        </w:rPr>
        <w:t xml:space="preserve">provide enough information on private securitisations for supervisors, the feedback from public authorities </w:t>
      </w:r>
      <w:r w:rsidR="00A51937">
        <w:rPr>
          <w:rFonts w:ascii="Times New Roman" w:eastAsia="Times New Roman" w:hAnsi="Times New Roman" w:cs="Times New Roman"/>
          <w:noProof/>
          <w:lang w:eastAsia="en-GB"/>
        </w:rPr>
        <w:t>on</w:t>
      </w:r>
      <w:r w:rsidR="00A51937" w:rsidRPr="003C0D71">
        <w:rPr>
          <w:rFonts w:ascii="Times New Roman" w:eastAsia="Times New Roman" w:hAnsi="Times New Roman" w:cs="Times New Roman"/>
          <w:noProof/>
          <w:lang w:eastAsia="en-GB"/>
        </w:rPr>
        <w:t xml:space="preserve"> </w:t>
      </w:r>
      <w:r w:rsidRPr="003C0D71">
        <w:rPr>
          <w:rFonts w:ascii="Times New Roman" w:eastAsia="Times New Roman" w:hAnsi="Times New Roman" w:cs="Times New Roman"/>
          <w:noProof/>
          <w:lang w:eastAsia="en-GB"/>
        </w:rPr>
        <w:t xml:space="preserve">this question </w:t>
      </w:r>
      <w:r w:rsidR="00F5039F">
        <w:rPr>
          <w:rFonts w:ascii="Times New Roman" w:eastAsia="Times New Roman" w:hAnsi="Times New Roman" w:cs="Times New Roman"/>
          <w:noProof/>
          <w:lang w:eastAsia="en-GB"/>
        </w:rPr>
        <w:t>was</w:t>
      </w:r>
      <w:r w:rsidR="00F5039F" w:rsidRPr="003C0D71">
        <w:rPr>
          <w:rFonts w:ascii="Times New Roman" w:eastAsia="Times New Roman" w:hAnsi="Times New Roman" w:cs="Times New Roman"/>
          <w:noProof/>
          <w:lang w:eastAsia="en-GB"/>
        </w:rPr>
        <w:t xml:space="preserve"> </w:t>
      </w:r>
      <w:r w:rsidRPr="003C0D71">
        <w:rPr>
          <w:rFonts w:ascii="Times New Roman" w:eastAsia="Times New Roman" w:hAnsi="Times New Roman" w:cs="Times New Roman"/>
          <w:noProof/>
          <w:lang w:eastAsia="en-GB"/>
        </w:rPr>
        <w:t>split</w:t>
      </w:r>
      <w:r w:rsidR="00A51937">
        <w:rPr>
          <w:rFonts w:ascii="Times New Roman" w:eastAsia="Times New Roman" w:hAnsi="Times New Roman" w:cs="Times New Roman"/>
          <w:noProof/>
          <w:lang w:eastAsia="en-GB"/>
        </w:rPr>
        <w:t>.</w:t>
      </w:r>
      <w:r w:rsidRPr="003C0D71">
        <w:rPr>
          <w:rFonts w:ascii="Times New Roman" w:eastAsia="Times New Roman" w:hAnsi="Times New Roman" w:cs="Times New Roman"/>
          <w:noProof/>
          <w:lang w:eastAsia="en-GB"/>
        </w:rPr>
        <w:t xml:space="preserve"> Two supervisors tend</w:t>
      </w:r>
      <w:r w:rsidR="00F5039F">
        <w:rPr>
          <w:rFonts w:ascii="Times New Roman" w:eastAsia="Times New Roman" w:hAnsi="Times New Roman" w:cs="Times New Roman"/>
          <w:noProof/>
          <w:lang w:eastAsia="en-GB"/>
        </w:rPr>
        <w:t>ed</w:t>
      </w:r>
      <w:r w:rsidRPr="003C0D71">
        <w:rPr>
          <w:rFonts w:ascii="Times New Roman" w:eastAsia="Times New Roman" w:hAnsi="Times New Roman" w:cs="Times New Roman"/>
          <w:noProof/>
          <w:lang w:eastAsia="en-GB"/>
        </w:rPr>
        <w:t xml:space="preserve"> to agree</w:t>
      </w:r>
      <w:r w:rsidR="003A0FF5" w:rsidRPr="003C0D71">
        <w:rPr>
          <w:rFonts w:ascii="Times New Roman" w:eastAsia="Times New Roman" w:hAnsi="Times New Roman" w:cs="Times New Roman"/>
          <w:noProof/>
          <w:lang w:eastAsia="en-GB"/>
        </w:rPr>
        <w:t>, while</w:t>
      </w:r>
      <w:r w:rsidRPr="003C0D71">
        <w:rPr>
          <w:rFonts w:ascii="Times New Roman" w:eastAsia="Times New Roman" w:hAnsi="Times New Roman" w:cs="Times New Roman"/>
          <w:noProof/>
          <w:lang w:eastAsia="en-GB"/>
        </w:rPr>
        <w:t xml:space="preserve"> </w:t>
      </w:r>
      <w:r w:rsidR="003A0FF5" w:rsidRPr="003C0D71">
        <w:rPr>
          <w:rFonts w:ascii="Times New Roman" w:eastAsia="Times New Roman" w:hAnsi="Times New Roman" w:cs="Times New Roman"/>
          <w:noProof/>
          <w:lang w:eastAsia="en-GB"/>
        </w:rPr>
        <w:t>the</w:t>
      </w:r>
      <w:r w:rsidRPr="003C0D71">
        <w:rPr>
          <w:rFonts w:ascii="Times New Roman" w:eastAsia="Times New Roman" w:hAnsi="Times New Roman" w:cs="Times New Roman"/>
          <w:noProof/>
          <w:lang w:eastAsia="en-GB"/>
        </w:rPr>
        <w:t xml:space="preserve"> majority of the supervisors support</w:t>
      </w:r>
      <w:r w:rsidR="00F5039F">
        <w:rPr>
          <w:rFonts w:ascii="Times New Roman" w:eastAsia="Times New Roman" w:hAnsi="Times New Roman" w:cs="Times New Roman"/>
          <w:noProof/>
          <w:lang w:eastAsia="en-GB"/>
        </w:rPr>
        <w:t>ed</w:t>
      </w:r>
      <w:r w:rsidRPr="003C0D71">
        <w:rPr>
          <w:rFonts w:ascii="Times New Roman" w:eastAsia="Times New Roman" w:hAnsi="Times New Roman" w:cs="Times New Roman"/>
          <w:noProof/>
          <w:lang w:eastAsia="en-GB"/>
        </w:rPr>
        <w:t xml:space="preserve"> the views of the </w:t>
      </w:r>
      <w:r w:rsidR="009F6AB1" w:rsidRPr="003C0D71">
        <w:rPr>
          <w:rFonts w:ascii="Times New Roman" w:eastAsia="Times New Roman" w:hAnsi="Times New Roman" w:cs="Times New Roman"/>
          <w:noProof/>
          <w:lang w:eastAsia="en-GB"/>
        </w:rPr>
        <w:t>Joint Committee</w:t>
      </w:r>
      <w:r w:rsidRPr="003C0D71">
        <w:rPr>
          <w:rFonts w:ascii="Times New Roman" w:eastAsia="Times New Roman" w:hAnsi="Times New Roman" w:cs="Times New Roman"/>
          <w:noProof/>
          <w:lang w:eastAsia="en-GB"/>
        </w:rPr>
        <w:t xml:space="preserve"> </w:t>
      </w:r>
      <w:r w:rsidR="00A51937">
        <w:rPr>
          <w:rFonts w:ascii="Times New Roman" w:eastAsia="Times New Roman" w:hAnsi="Times New Roman" w:cs="Times New Roman"/>
          <w:noProof/>
          <w:lang w:eastAsia="en-GB"/>
        </w:rPr>
        <w:t>r</w:t>
      </w:r>
      <w:r w:rsidRPr="003C0D71">
        <w:rPr>
          <w:rFonts w:ascii="Times New Roman" w:eastAsia="Times New Roman" w:hAnsi="Times New Roman" w:cs="Times New Roman"/>
          <w:noProof/>
          <w:lang w:eastAsia="en-GB"/>
        </w:rPr>
        <w:t>eport</w:t>
      </w:r>
      <w:r w:rsidR="0000404E" w:rsidRPr="003C0D71">
        <w:rPr>
          <w:rFonts w:ascii="Times New Roman" w:eastAsia="Times New Roman" w:hAnsi="Times New Roman" w:cs="Times New Roman"/>
          <w:noProof/>
          <w:lang w:eastAsia="en-GB"/>
        </w:rPr>
        <w:t xml:space="preserve"> which</w:t>
      </w:r>
      <w:r w:rsidRPr="003C0D71">
        <w:rPr>
          <w:rFonts w:ascii="Times New Roman" w:eastAsia="Times New Roman" w:hAnsi="Times New Roman" w:cs="Times New Roman"/>
          <w:noProof/>
          <w:lang w:eastAsia="en-GB"/>
        </w:rPr>
        <w:t xml:space="preserve"> note</w:t>
      </w:r>
      <w:r w:rsidR="00BB2462">
        <w:rPr>
          <w:rFonts w:ascii="Times New Roman" w:eastAsia="Times New Roman" w:hAnsi="Times New Roman" w:cs="Times New Roman"/>
          <w:noProof/>
          <w:lang w:eastAsia="en-GB"/>
        </w:rPr>
        <w:t>d</w:t>
      </w:r>
      <w:r w:rsidRPr="003C0D71">
        <w:rPr>
          <w:rFonts w:ascii="Times New Roman" w:eastAsia="Times New Roman" w:hAnsi="Times New Roman" w:cs="Times New Roman"/>
          <w:noProof/>
          <w:lang w:eastAsia="en-GB"/>
        </w:rPr>
        <w:t xml:space="preserve"> difficulties for supervisors </w:t>
      </w:r>
      <w:r w:rsidR="0040120E">
        <w:rPr>
          <w:rFonts w:ascii="Times New Roman" w:eastAsia="Times New Roman" w:hAnsi="Times New Roman" w:cs="Times New Roman"/>
          <w:noProof/>
          <w:lang w:eastAsia="en-GB"/>
        </w:rPr>
        <w:t>in</w:t>
      </w:r>
      <w:r w:rsidRPr="003C0D71">
        <w:rPr>
          <w:rFonts w:ascii="Times New Roman" w:eastAsia="Times New Roman" w:hAnsi="Times New Roman" w:cs="Times New Roman"/>
          <w:noProof/>
          <w:lang w:eastAsia="en-GB"/>
        </w:rPr>
        <w:t xml:space="preserve"> </w:t>
      </w:r>
      <w:r w:rsidR="0040120E">
        <w:rPr>
          <w:rFonts w:ascii="Times New Roman" w:eastAsia="Times New Roman" w:hAnsi="Times New Roman" w:cs="Times New Roman"/>
          <w:noProof/>
          <w:lang w:eastAsia="en-GB"/>
        </w:rPr>
        <w:t xml:space="preserve">being </w:t>
      </w:r>
      <w:r w:rsidRPr="003C0D71">
        <w:rPr>
          <w:rFonts w:ascii="Times New Roman" w:eastAsia="Times New Roman" w:hAnsi="Times New Roman" w:cs="Times New Roman"/>
          <w:noProof/>
          <w:lang w:eastAsia="en-GB"/>
        </w:rPr>
        <w:t xml:space="preserve">sufficiently </w:t>
      </w:r>
      <w:r w:rsidR="003A0FF5" w:rsidRPr="003C0D71">
        <w:rPr>
          <w:rFonts w:ascii="Times New Roman" w:eastAsia="Times New Roman" w:hAnsi="Times New Roman" w:cs="Times New Roman"/>
          <w:noProof/>
          <w:lang w:eastAsia="en-GB"/>
        </w:rPr>
        <w:t xml:space="preserve">well </w:t>
      </w:r>
      <w:r w:rsidRPr="003C0D71">
        <w:rPr>
          <w:rFonts w:ascii="Times New Roman" w:eastAsia="Times New Roman" w:hAnsi="Times New Roman" w:cs="Times New Roman"/>
          <w:noProof/>
          <w:lang w:eastAsia="en-GB"/>
        </w:rPr>
        <w:t xml:space="preserve">informed about the existence and the parameters of the transactions. </w:t>
      </w:r>
    </w:p>
    <w:p w14:paraId="3F76F148" w14:textId="512E0630" w:rsidR="004D621C" w:rsidRPr="003C0D71" w:rsidRDefault="000146AB" w:rsidP="000D4664">
      <w:pPr>
        <w:rPr>
          <w:rFonts w:ascii="Times New Roman" w:hAnsi="Times New Roman" w:cs="Times New Roman"/>
          <w:b/>
          <w:noProof/>
          <w:sz w:val="24"/>
        </w:rPr>
      </w:pPr>
      <w:r>
        <w:rPr>
          <w:rFonts w:ascii="Times New Roman" w:hAnsi="Times New Roman" w:cs="Times New Roman"/>
          <w:b/>
          <w:noProof/>
          <w:sz w:val="24"/>
        </w:rPr>
        <w:t>The Commission’s assessment</w:t>
      </w:r>
    </w:p>
    <w:p w14:paraId="51131C50" w14:textId="0DA367B6" w:rsidR="004D621C" w:rsidRPr="003C0D71" w:rsidRDefault="004D621C" w:rsidP="004D621C">
      <w:pPr>
        <w:jc w:val="both"/>
        <w:rPr>
          <w:rFonts w:ascii="Times New Roman" w:eastAsia="Times New Roman" w:hAnsi="Times New Roman" w:cs="Times New Roman"/>
          <w:noProof/>
          <w:lang w:eastAsia="en-GB"/>
        </w:rPr>
      </w:pPr>
      <w:r w:rsidRPr="003C0D71">
        <w:rPr>
          <w:rFonts w:ascii="Times New Roman" w:eastAsia="Times New Roman" w:hAnsi="Times New Roman" w:cs="Times New Roman"/>
          <w:noProof/>
          <w:lang w:eastAsia="en-GB"/>
        </w:rPr>
        <w:t>The Commission agrees with the view that standardised templates help to provide information that is of sufficiently high quality and sufficiently easy to process by the different recipients. At the same time, the Commission acknowledges that</w:t>
      </w:r>
      <w:r w:rsidR="0040120E">
        <w:rPr>
          <w:rFonts w:ascii="Times New Roman" w:eastAsia="Times New Roman" w:hAnsi="Times New Roman" w:cs="Times New Roman"/>
          <w:noProof/>
          <w:lang w:eastAsia="en-GB"/>
        </w:rPr>
        <w:t>,</w:t>
      </w:r>
      <w:r w:rsidRPr="003C0D71">
        <w:rPr>
          <w:rFonts w:ascii="Times New Roman" w:eastAsia="Times New Roman" w:hAnsi="Times New Roman" w:cs="Times New Roman"/>
          <w:noProof/>
          <w:lang w:eastAsia="en-GB"/>
        </w:rPr>
        <w:t xml:space="preserve"> because of the bespoke nature of private securitisation</w:t>
      </w:r>
      <w:r w:rsidR="00E85847" w:rsidRPr="003C0D71">
        <w:rPr>
          <w:rFonts w:ascii="Times New Roman" w:eastAsia="Times New Roman" w:hAnsi="Times New Roman" w:cs="Times New Roman"/>
          <w:noProof/>
          <w:lang w:eastAsia="en-GB"/>
        </w:rPr>
        <w:t>,</w:t>
      </w:r>
      <w:r w:rsidRPr="003C0D71">
        <w:rPr>
          <w:rFonts w:ascii="Times New Roman" w:eastAsia="Times New Roman" w:hAnsi="Times New Roman" w:cs="Times New Roman"/>
          <w:noProof/>
          <w:lang w:eastAsia="en-GB"/>
        </w:rPr>
        <w:t xml:space="preserve"> investors in such transactions need more tailor-made information than the ESMA templates might be able to </w:t>
      </w:r>
      <w:r w:rsidR="0040120E">
        <w:rPr>
          <w:rFonts w:ascii="Times New Roman" w:eastAsia="Times New Roman" w:hAnsi="Times New Roman" w:cs="Times New Roman"/>
          <w:noProof/>
          <w:lang w:eastAsia="en-GB"/>
        </w:rPr>
        <w:t>provide</w:t>
      </w:r>
      <w:r w:rsidRPr="003C0D71">
        <w:rPr>
          <w:rFonts w:ascii="Times New Roman" w:eastAsia="Times New Roman" w:hAnsi="Times New Roman" w:cs="Times New Roman"/>
          <w:noProof/>
          <w:lang w:eastAsia="en-GB"/>
        </w:rPr>
        <w:t>. The Commission has no indication</w:t>
      </w:r>
      <w:r w:rsidR="00554198" w:rsidRPr="003C0D71">
        <w:rPr>
          <w:rFonts w:ascii="Times New Roman" w:eastAsia="Times New Roman" w:hAnsi="Times New Roman" w:cs="Times New Roman"/>
          <w:noProof/>
          <w:lang w:eastAsia="en-GB"/>
        </w:rPr>
        <w:t xml:space="preserve"> </w:t>
      </w:r>
      <w:r w:rsidR="00F5039F">
        <w:rPr>
          <w:rFonts w:ascii="Times New Roman" w:eastAsia="Times New Roman" w:hAnsi="Times New Roman" w:cs="Times New Roman"/>
          <w:noProof/>
          <w:lang w:eastAsia="en-GB"/>
        </w:rPr>
        <w:t>to question</w:t>
      </w:r>
      <w:r w:rsidR="00F5039F" w:rsidRPr="003C0D71">
        <w:rPr>
          <w:rFonts w:ascii="Times New Roman" w:eastAsia="Times New Roman" w:hAnsi="Times New Roman" w:cs="Times New Roman"/>
          <w:noProof/>
          <w:lang w:eastAsia="en-GB"/>
        </w:rPr>
        <w:t xml:space="preserve"> </w:t>
      </w:r>
      <w:r w:rsidRPr="003C0D71">
        <w:rPr>
          <w:rFonts w:ascii="Times New Roman" w:eastAsia="Times New Roman" w:hAnsi="Times New Roman" w:cs="Times New Roman"/>
          <w:noProof/>
          <w:lang w:eastAsia="en-GB"/>
        </w:rPr>
        <w:t xml:space="preserve">the claim of industry respondents that investors in private deals have a structurally strong enough position to request and receive all the information they need for thorough due diligence. But while the information submitted via the ESMA templates might be of less relevance to investors than originally assumed by the </w:t>
      </w:r>
      <w:r w:rsidR="000A06C6">
        <w:rPr>
          <w:rFonts w:ascii="Times New Roman" w:eastAsia="Times New Roman" w:hAnsi="Times New Roman" w:cs="Times New Roman"/>
          <w:noProof/>
          <w:lang w:eastAsia="en-GB"/>
        </w:rPr>
        <w:t>co-</w:t>
      </w:r>
      <w:r w:rsidRPr="003C0D71">
        <w:rPr>
          <w:rFonts w:ascii="Times New Roman" w:eastAsia="Times New Roman" w:hAnsi="Times New Roman" w:cs="Times New Roman"/>
          <w:noProof/>
          <w:lang w:eastAsia="en-GB"/>
        </w:rPr>
        <w:t>legislators, standardised information on the existing private transactions is still essential for supervisors to quickly gain an overview o</w:t>
      </w:r>
      <w:r w:rsidR="00E85847" w:rsidRPr="003C0D71">
        <w:rPr>
          <w:rFonts w:ascii="Times New Roman" w:eastAsia="Times New Roman" w:hAnsi="Times New Roman" w:cs="Times New Roman"/>
          <w:noProof/>
          <w:lang w:eastAsia="en-GB"/>
        </w:rPr>
        <w:t>f</w:t>
      </w:r>
      <w:r w:rsidRPr="003C0D71">
        <w:rPr>
          <w:rFonts w:ascii="Times New Roman" w:eastAsia="Times New Roman" w:hAnsi="Times New Roman" w:cs="Times New Roman"/>
          <w:noProof/>
          <w:lang w:eastAsia="en-GB"/>
        </w:rPr>
        <w:t xml:space="preserve"> market developments and to identify transactions that they might want to </w:t>
      </w:r>
      <w:r w:rsidRPr="00FF79A5">
        <w:rPr>
          <w:rFonts w:ascii="Times New Roman" w:eastAsia="Times New Roman" w:hAnsi="Times New Roman" w:cs="Times New Roman"/>
          <w:noProof/>
          <w:lang w:eastAsia="en-GB"/>
        </w:rPr>
        <w:t>subject to detailed supervisory scrutiny. The different ad</w:t>
      </w:r>
      <w:r w:rsidR="00BC13DA" w:rsidRPr="00FF79A5">
        <w:rPr>
          <w:rFonts w:ascii="Times New Roman" w:eastAsia="Times New Roman" w:hAnsi="Times New Roman" w:cs="Times New Roman"/>
          <w:noProof/>
          <w:lang w:eastAsia="en-GB"/>
        </w:rPr>
        <w:t xml:space="preserve"> </w:t>
      </w:r>
      <w:r w:rsidRPr="00FF79A5">
        <w:rPr>
          <w:rFonts w:ascii="Times New Roman" w:eastAsia="Times New Roman" w:hAnsi="Times New Roman" w:cs="Times New Roman"/>
          <w:noProof/>
          <w:lang w:eastAsia="en-GB"/>
        </w:rPr>
        <w:t>hoc forms that several supervisors have cre</w:t>
      </w:r>
      <w:r w:rsidRPr="003C0D71">
        <w:rPr>
          <w:rFonts w:ascii="Times New Roman" w:eastAsia="Times New Roman" w:hAnsi="Times New Roman" w:cs="Times New Roman"/>
          <w:noProof/>
          <w:lang w:eastAsia="en-GB"/>
        </w:rPr>
        <w:t xml:space="preserve">ated to this end </w:t>
      </w:r>
      <w:r w:rsidR="00164CF6">
        <w:rPr>
          <w:rFonts w:ascii="Times New Roman" w:eastAsia="Times New Roman" w:hAnsi="Times New Roman" w:cs="Times New Roman"/>
          <w:noProof/>
          <w:lang w:eastAsia="en-GB"/>
        </w:rPr>
        <w:t>suggest</w:t>
      </w:r>
      <w:r w:rsidR="00E75C27" w:rsidRPr="003C0D71">
        <w:rPr>
          <w:rFonts w:ascii="Times New Roman" w:eastAsia="Times New Roman" w:hAnsi="Times New Roman" w:cs="Times New Roman"/>
          <w:noProof/>
          <w:lang w:eastAsia="en-GB"/>
        </w:rPr>
        <w:t xml:space="preserve"> </w:t>
      </w:r>
      <w:r w:rsidRPr="003C0D71">
        <w:rPr>
          <w:rFonts w:ascii="Times New Roman" w:eastAsia="Times New Roman" w:hAnsi="Times New Roman" w:cs="Times New Roman"/>
          <w:noProof/>
          <w:lang w:eastAsia="en-GB"/>
        </w:rPr>
        <w:t xml:space="preserve">that </w:t>
      </w:r>
      <w:r w:rsidR="00E75C27" w:rsidRPr="003C0D71">
        <w:rPr>
          <w:rFonts w:ascii="Times New Roman" w:eastAsia="Times New Roman" w:hAnsi="Times New Roman" w:cs="Times New Roman"/>
          <w:noProof/>
          <w:lang w:eastAsia="en-GB"/>
        </w:rPr>
        <w:t>ESMA</w:t>
      </w:r>
      <w:r w:rsidR="00E75C27">
        <w:rPr>
          <w:rFonts w:ascii="Times New Roman" w:eastAsia="Times New Roman" w:hAnsi="Times New Roman" w:cs="Times New Roman"/>
          <w:noProof/>
          <w:lang w:eastAsia="en-GB"/>
        </w:rPr>
        <w:t>’s</w:t>
      </w:r>
      <w:r w:rsidR="00E75C27" w:rsidRPr="003C0D71">
        <w:rPr>
          <w:rFonts w:ascii="Times New Roman" w:eastAsia="Times New Roman" w:hAnsi="Times New Roman" w:cs="Times New Roman"/>
          <w:noProof/>
          <w:lang w:eastAsia="en-GB"/>
        </w:rPr>
        <w:t xml:space="preserve"> </w:t>
      </w:r>
      <w:r w:rsidRPr="003C0D71">
        <w:rPr>
          <w:rFonts w:ascii="Times New Roman" w:eastAsia="Times New Roman" w:hAnsi="Times New Roman" w:cs="Times New Roman"/>
          <w:noProof/>
          <w:lang w:eastAsia="en-GB"/>
        </w:rPr>
        <w:t>current</w:t>
      </w:r>
      <w:r w:rsidR="00E75C27">
        <w:rPr>
          <w:rFonts w:ascii="Times New Roman" w:eastAsia="Times New Roman" w:hAnsi="Times New Roman" w:cs="Times New Roman"/>
          <w:noProof/>
          <w:lang w:eastAsia="en-GB"/>
        </w:rPr>
        <w:t xml:space="preserve"> detailed</w:t>
      </w:r>
      <w:r w:rsidRPr="003C0D71">
        <w:rPr>
          <w:rFonts w:ascii="Times New Roman" w:eastAsia="Times New Roman" w:hAnsi="Times New Roman" w:cs="Times New Roman"/>
          <w:noProof/>
          <w:lang w:eastAsia="en-GB"/>
        </w:rPr>
        <w:t xml:space="preserve"> templates might not be fully </w:t>
      </w:r>
      <w:r w:rsidR="00FF79A5">
        <w:rPr>
          <w:rFonts w:ascii="Times New Roman" w:eastAsia="Times New Roman" w:hAnsi="Times New Roman" w:cs="Times New Roman"/>
          <w:noProof/>
          <w:lang w:eastAsia="en-GB"/>
        </w:rPr>
        <w:t>appropriate</w:t>
      </w:r>
      <w:r w:rsidR="00FF79A5" w:rsidRPr="003C0D71">
        <w:rPr>
          <w:rFonts w:ascii="Times New Roman" w:eastAsia="Times New Roman" w:hAnsi="Times New Roman" w:cs="Times New Roman"/>
          <w:noProof/>
          <w:lang w:eastAsia="en-GB"/>
        </w:rPr>
        <w:t xml:space="preserve"> </w:t>
      </w:r>
      <w:r w:rsidRPr="003C0D71">
        <w:rPr>
          <w:rFonts w:ascii="Times New Roman" w:eastAsia="Times New Roman" w:hAnsi="Times New Roman" w:cs="Times New Roman"/>
          <w:noProof/>
          <w:lang w:eastAsia="en-GB"/>
        </w:rPr>
        <w:t xml:space="preserve">for easily </w:t>
      </w:r>
      <w:r w:rsidR="007454D5" w:rsidRPr="003C0D71">
        <w:rPr>
          <w:rFonts w:ascii="Times New Roman" w:eastAsia="Times New Roman" w:hAnsi="Times New Roman" w:cs="Times New Roman"/>
          <w:noProof/>
          <w:lang w:eastAsia="en-GB"/>
        </w:rPr>
        <w:t xml:space="preserve">gaining </w:t>
      </w:r>
      <w:r w:rsidRPr="003C0D71">
        <w:rPr>
          <w:rFonts w:ascii="Times New Roman" w:eastAsia="Times New Roman" w:hAnsi="Times New Roman" w:cs="Times New Roman"/>
          <w:noProof/>
          <w:lang w:eastAsia="en-GB"/>
        </w:rPr>
        <w:t>a</w:t>
      </w:r>
      <w:r w:rsidR="00E85847" w:rsidRPr="003C0D71">
        <w:rPr>
          <w:rFonts w:ascii="Times New Roman" w:eastAsia="Times New Roman" w:hAnsi="Times New Roman" w:cs="Times New Roman"/>
          <w:noProof/>
          <w:lang w:eastAsia="en-GB"/>
        </w:rPr>
        <w:t xml:space="preserve">n </w:t>
      </w:r>
      <w:r w:rsidR="00E75C27">
        <w:rPr>
          <w:rFonts w:ascii="Times New Roman" w:eastAsia="Times New Roman" w:hAnsi="Times New Roman" w:cs="Times New Roman"/>
          <w:noProof/>
          <w:lang w:eastAsia="en-GB"/>
        </w:rPr>
        <w:t>accurate</w:t>
      </w:r>
      <w:r w:rsidR="00E75C27" w:rsidRPr="003C0D71">
        <w:rPr>
          <w:rFonts w:ascii="Times New Roman" w:eastAsia="Times New Roman" w:hAnsi="Times New Roman" w:cs="Times New Roman"/>
          <w:noProof/>
          <w:lang w:eastAsia="en-GB"/>
        </w:rPr>
        <w:t xml:space="preserve"> </w:t>
      </w:r>
      <w:r w:rsidRPr="003C0D71">
        <w:rPr>
          <w:rFonts w:ascii="Times New Roman" w:eastAsia="Times New Roman" w:hAnsi="Times New Roman" w:cs="Times New Roman"/>
          <w:noProof/>
          <w:lang w:eastAsia="en-GB"/>
        </w:rPr>
        <w:t>overview o</w:t>
      </w:r>
      <w:r w:rsidR="00E85847" w:rsidRPr="003C0D71">
        <w:rPr>
          <w:rFonts w:ascii="Times New Roman" w:eastAsia="Times New Roman" w:hAnsi="Times New Roman" w:cs="Times New Roman"/>
          <w:noProof/>
          <w:lang w:eastAsia="en-GB"/>
        </w:rPr>
        <w:t>f</w:t>
      </w:r>
      <w:r w:rsidRPr="003C0D71">
        <w:rPr>
          <w:rFonts w:ascii="Times New Roman" w:eastAsia="Times New Roman" w:hAnsi="Times New Roman" w:cs="Times New Roman"/>
          <w:noProof/>
          <w:lang w:eastAsia="en-GB"/>
        </w:rPr>
        <w:t xml:space="preserve"> the private securitisation market. </w:t>
      </w:r>
    </w:p>
    <w:p w14:paraId="65321C00" w14:textId="5C7C44B6" w:rsidR="001E6354" w:rsidRDefault="004D621C" w:rsidP="004D621C">
      <w:pPr>
        <w:jc w:val="both"/>
        <w:rPr>
          <w:rFonts w:ascii="Times New Roman" w:eastAsia="Times New Roman" w:hAnsi="Times New Roman" w:cs="Times New Roman"/>
          <w:noProof/>
          <w:lang w:eastAsia="en-GB"/>
        </w:rPr>
      </w:pPr>
      <w:r w:rsidRPr="003C0D71">
        <w:rPr>
          <w:rFonts w:ascii="Times New Roman" w:eastAsia="Times New Roman" w:hAnsi="Times New Roman" w:cs="Times New Roman"/>
          <w:noProof/>
          <w:lang w:eastAsia="en-GB"/>
        </w:rPr>
        <w:t xml:space="preserve">In light of these considerations, the Commission invites ESMA to draw up a dedicated template for private securitisation transactions that is tailored particularly to </w:t>
      </w:r>
      <w:r w:rsidRPr="00FF79A5">
        <w:rPr>
          <w:rFonts w:ascii="Times New Roman" w:eastAsia="Times New Roman" w:hAnsi="Times New Roman" w:cs="Times New Roman"/>
          <w:noProof/>
          <w:lang w:eastAsia="en-GB"/>
        </w:rPr>
        <w:t>supervisors</w:t>
      </w:r>
      <w:r w:rsidR="00FF79A5">
        <w:rPr>
          <w:rFonts w:ascii="Times New Roman" w:eastAsia="Times New Roman" w:hAnsi="Times New Roman" w:cs="Times New Roman"/>
          <w:noProof/>
          <w:lang w:eastAsia="en-GB"/>
        </w:rPr>
        <w:t>’ need</w:t>
      </w:r>
      <w:r w:rsidRPr="00FF79A5">
        <w:rPr>
          <w:rFonts w:ascii="Times New Roman" w:eastAsia="Times New Roman" w:hAnsi="Times New Roman" w:cs="Times New Roman"/>
          <w:noProof/>
          <w:lang w:eastAsia="en-GB"/>
        </w:rPr>
        <w:t xml:space="preserve"> to gain an overview o</w:t>
      </w:r>
      <w:r w:rsidR="00E85847" w:rsidRPr="00FF79A5">
        <w:rPr>
          <w:rFonts w:ascii="Times New Roman" w:eastAsia="Times New Roman" w:hAnsi="Times New Roman" w:cs="Times New Roman"/>
          <w:noProof/>
          <w:lang w:eastAsia="en-GB"/>
        </w:rPr>
        <w:t>f</w:t>
      </w:r>
      <w:r w:rsidRPr="00FF79A5">
        <w:rPr>
          <w:rFonts w:ascii="Times New Roman" w:eastAsia="Times New Roman" w:hAnsi="Times New Roman" w:cs="Times New Roman"/>
          <w:noProof/>
          <w:lang w:eastAsia="en-GB"/>
        </w:rPr>
        <w:t xml:space="preserve"> the market</w:t>
      </w:r>
      <w:r w:rsidRPr="003C0D71">
        <w:rPr>
          <w:rFonts w:ascii="Times New Roman" w:eastAsia="Times New Roman" w:hAnsi="Times New Roman" w:cs="Times New Roman"/>
          <w:noProof/>
          <w:lang w:eastAsia="en-GB"/>
        </w:rPr>
        <w:t xml:space="preserve"> and o</w:t>
      </w:r>
      <w:r w:rsidR="00E85847" w:rsidRPr="003C0D71">
        <w:rPr>
          <w:rFonts w:ascii="Times New Roman" w:eastAsia="Times New Roman" w:hAnsi="Times New Roman" w:cs="Times New Roman"/>
          <w:noProof/>
          <w:lang w:eastAsia="en-GB"/>
        </w:rPr>
        <w:t>f</w:t>
      </w:r>
      <w:r w:rsidRPr="003C0D71">
        <w:rPr>
          <w:rFonts w:ascii="Times New Roman" w:eastAsia="Times New Roman" w:hAnsi="Times New Roman" w:cs="Times New Roman"/>
          <w:noProof/>
          <w:lang w:eastAsia="en-GB"/>
        </w:rPr>
        <w:t xml:space="preserve"> the main features of the private transactions. </w:t>
      </w:r>
      <w:r w:rsidR="00E75C27">
        <w:rPr>
          <w:rFonts w:ascii="Times New Roman" w:eastAsia="Times New Roman" w:hAnsi="Times New Roman" w:cs="Times New Roman"/>
          <w:noProof/>
          <w:lang w:eastAsia="en-GB"/>
        </w:rPr>
        <w:t>Having different</w:t>
      </w:r>
      <w:r w:rsidR="00EF47D5" w:rsidRPr="003C0D71">
        <w:rPr>
          <w:rFonts w:ascii="Times New Roman" w:eastAsia="Times New Roman" w:hAnsi="Times New Roman" w:cs="Times New Roman"/>
          <w:noProof/>
          <w:lang w:eastAsia="en-GB"/>
        </w:rPr>
        <w:t xml:space="preserve"> templates for private and public securitisations is also legally possible, as Article 7(3) </w:t>
      </w:r>
      <w:r w:rsidR="00E75C27">
        <w:rPr>
          <w:rFonts w:ascii="Times New Roman" w:eastAsia="Times New Roman" w:hAnsi="Times New Roman" w:cs="Times New Roman"/>
          <w:noProof/>
          <w:lang w:eastAsia="en-GB"/>
        </w:rPr>
        <w:t xml:space="preserve">of the </w:t>
      </w:r>
      <w:r w:rsidR="00EF47D5" w:rsidRPr="003C0D71">
        <w:rPr>
          <w:rFonts w:ascii="Times New Roman" w:eastAsia="Times New Roman" w:hAnsi="Times New Roman" w:cs="Times New Roman"/>
          <w:noProof/>
          <w:lang w:eastAsia="en-GB"/>
        </w:rPr>
        <w:t xml:space="preserve">Securitisation Regulation </w:t>
      </w:r>
      <w:r w:rsidR="003F49DB" w:rsidRPr="003C0D71">
        <w:rPr>
          <w:rFonts w:ascii="Times New Roman" w:eastAsia="Times New Roman" w:hAnsi="Times New Roman" w:cs="Times New Roman"/>
          <w:noProof/>
          <w:lang w:eastAsia="en-GB"/>
        </w:rPr>
        <w:t>allows for</w:t>
      </w:r>
      <w:r w:rsidR="00EF47D5" w:rsidRPr="003C0D71">
        <w:rPr>
          <w:rFonts w:ascii="Times New Roman" w:eastAsia="Times New Roman" w:hAnsi="Times New Roman" w:cs="Times New Roman"/>
          <w:noProof/>
          <w:lang w:eastAsia="en-GB"/>
        </w:rPr>
        <w:t xml:space="preserve"> the development of templates </w:t>
      </w:r>
      <w:r w:rsidR="00FF79A5">
        <w:rPr>
          <w:rFonts w:ascii="Times New Roman" w:eastAsia="Times New Roman" w:hAnsi="Times New Roman" w:cs="Times New Roman"/>
          <w:noProof/>
          <w:lang w:eastAsia="en-GB"/>
        </w:rPr>
        <w:t>‘</w:t>
      </w:r>
      <w:r w:rsidR="00EF47D5" w:rsidRPr="003C0D71">
        <w:rPr>
          <w:rFonts w:ascii="Times New Roman" w:eastAsia="Times New Roman" w:hAnsi="Times New Roman" w:cs="Times New Roman"/>
          <w:noProof/>
          <w:lang w:eastAsia="en-GB"/>
        </w:rPr>
        <w:t>taking into account the usefulness of the information for the holder of the securitisation position</w:t>
      </w:r>
      <w:r w:rsidR="00E75C27">
        <w:rPr>
          <w:rFonts w:ascii="Times New Roman" w:eastAsia="Times New Roman" w:hAnsi="Times New Roman" w:cs="Times New Roman"/>
          <w:noProof/>
          <w:lang w:eastAsia="en-GB"/>
        </w:rPr>
        <w:t>’</w:t>
      </w:r>
      <w:r w:rsidR="00EF47D5" w:rsidRPr="003C0D71">
        <w:rPr>
          <w:rFonts w:ascii="Times New Roman" w:eastAsia="Times New Roman" w:hAnsi="Times New Roman" w:cs="Times New Roman"/>
          <w:noProof/>
          <w:lang w:eastAsia="en-GB"/>
        </w:rPr>
        <w:t xml:space="preserve">. A dedicated template for private securitisations </w:t>
      </w:r>
      <w:r w:rsidRPr="003C0D71">
        <w:rPr>
          <w:rFonts w:ascii="Times New Roman" w:eastAsia="Times New Roman" w:hAnsi="Times New Roman" w:cs="Times New Roman"/>
          <w:noProof/>
          <w:lang w:eastAsia="en-GB"/>
        </w:rPr>
        <w:t xml:space="preserve">is expected to simplify considerably the transparency requirements </w:t>
      </w:r>
      <w:r w:rsidR="00FD41D0">
        <w:rPr>
          <w:rFonts w:ascii="Times New Roman" w:eastAsia="Times New Roman" w:hAnsi="Times New Roman" w:cs="Times New Roman"/>
          <w:noProof/>
          <w:lang w:eastAsia="en-GB"/>
        </w:rPr>
        <w:t xml:space="preserve">for </w:t>
      </w:r>
      <w:r w:rsidRPr="003C0D71">
        <w:rPr>
          <w:rFonts w:ascii="Times New Roman" w:eastAsia="Times New Roman" w:hAnsi="Times New Roman" w:cs="Times New Roman"/>
          <w:noProof/>
          <w:lang w:eastAsia="en-GB"/>
        </w:rPr>
        <w:t>private securitisation</w:t>
      </w:r>
      <w:r w:rsidR="00FD41D0">
        <w:rPr>
          <w:rFonts w:ascii="Times New Roman" w:eastAsia="Times New Roman" w:hAnsi="Times New Roman" w:cs="Times New Roman"/>
          <w:noProof/>
          <w:lang w:eastAsia="en-GB"/>
        </w:rPr>
        <w:t>s.</w:t>
      </w:r>
      <w:r w:rsidR="00E6144C" w:rsidRPr="003C0D71">
        <w:rPr>
          <w:rFonts w:ascii="Times New Roman" w:eastAsia="Times New Roman" w:hAnsi="Times New Roman" w:cs="Times New Roman"/>
          <w:noProof/>
          <w:lang w:eastAsia="en-GB"/>
        </w:rPr>
        <w:t xml:space="preserve"> </w:t>
      </w:r>
      <w:r w:rsidR="00FD41D0">
        <w:rPr>
          <w:rFonts w:ascii="Times New Roman" w:eastAsia="Times New Roman" w:hAnsi="Times New Roman" w:cs="Times New Roman"/>
          <w:noProof/>
          <w:lang w:eastAsia="en-GB"/>
        </w:rPr>
        <w:t>A</w:t>
      </w:r>
      <w:r w:rsidR="00E6144C" w:rsidRPr="003C0D71">
        <w:rPr>
          <w:rFonts w:ascii="Times New Roman" w:eastAsia="Times New Roman" w:hAnsi="Times New Roman" w:cs="Times New Roman"/>
          <w:noProof/>
          <w:lang w:eastAsia="en-GB"/>
        </w:rPr>
        <w:t>t the same time</w:t>
      </w:r>
      <w:r w:rsidR="00FD41D0">
        <w:rPr>
          <w:rFonts w:ascii="Times New Roman" w:eastAsia="Times New Roman" w:hAnsi="Times New Roman" w:cs="Times New Roman"/>
          <w:noProof/>
          <w:lang w:eastAsia="en-GB"/>
        </w:rPr>
        <w:t>, it will</w:t>
      </w:r>
      <w:r w:rsidR="00E6144C" w:rsidRPr="003C0D71">
        <w:rPr>
          <w:rFonts w:ascii="Times New Roman" w:eastAsia="Times New Roman" w:hAnsi="Times New Roman" w:cs="Times New Roman"/>
          <w:noProof/>
          <w:lang w:eastAsia="en-GB"/>
        </w:rPr>
        <w:t xml:space="preserve"> </w:t>
      </w:r>
      <w:r w:rsidR="00EF47D5" w:rsidRPr="003C0D71">
        <w:rPr>
          <w:rFonts w:ascii="Times New Roman" w:eastAsia="Times New Roman" w:hAnsi="Times New Roman" w:cs="Times New Roman"/>
          <w:noProof/>
          <w:lang w:eastAsia="en-GB"/>
        </w:rPr>
        <w:t>serv</w:t>
      </w:r>
      <w:r w:rsidR="00FD41D0">
        <w:rPr>
          <w:rFonts w:ascii="Times New Roman" w:eastAsia="Times New Roman" w:hAnsi="Times New Roman" w:cs="Times New Roman"/>
          <w:noProof/>
          <w:lang w:eastAsia="en-GB"/>
        </w:rPr>
        <w:t>e</w:t>
      </w:r>
      <w:r w:rsidR="00EF47D5" w:rsidRPr="003C0D71">
        <w:rPr>
          <w:rFonts w:ascii="Times New Roman" w:eastAsia="Times New Roman" w:hAnsi="Times New Roman" w:cs="Times New Roman"/>
          <w:noProof/>
          <w:lang w:eastAsia="en-GB"/>
        </w:rPr>
        <w:t xml:space="preserve"> </w:t>
      </w:r>
      <w:r w:rsidR="00E6144C" w:rsidRPr="003C0D71">
        <w:rPr>
          <w:rFonts w:ascii="Times New Roman" w:eastAsia="Times New Roman" w:hAnsi="Times New Roman" w:cs="Times New Roman"/>
          <w:noProof/>
          <w:lang w:eastAsia="en-GB"/>
        </w:rPr>
        <w:t>the need of</w:t>
      </w:r>
      <w:r w:rsidR="00EF47D5" w:rsidRPr="003C0D71">
        <w:rPr>
          <w:rFonts w:ascii="Times New Roman" w:eastAsia="Times New Roman" w:hAnsi="Times New Roman" w:cs="Times New Roman"/>
          <w:noProof/>
          <w:lang w:eastAsia="en-GB"/>
        </w:rPr>
        <w:t xml:space="preserve"> </w:t>
      </w:r>
      <w:r w:rsidRPr="003C0D71">
        <w:rPr>
          <w:rFonts w:ascii="Times New Roman" w:eastAsia="Times New Roman" w:hAnsi="Times New Roman" w:cs="Times New Roman"/>
          <w:noProof/>
          <w:lang w:eastAsia="en-GB"/>
        </w:rPr>
        <w:t xml:space="preserve">supervisors to receive sufficient information on private transactions. </w:t>
      </w:r>
    </w:p>
    <w:p w14:paraId="4E691E44" w14:textId="0EE06E46" w:rsidR="004D621C" w:rsidRPr="003C0D71" w:rsidRDefault="008E7227" w:rsidP="004D621C">
      <w:pPr>
        <w:jc w:val="both"/>
        <w:rPr>
          <w:rFonts w:ascii="Times New Roman" w:eastAsia="Times New Roman" w:hAnsi="Times New Roman" w:cs="Times New Roman"/>
          <w:noProof/>
          <w:lang w:eastAsia="en-GB"/>
        </w:rPr>
      </w:pPr>
      <w:r w:rsidRPr="003C0D71">
        <w:rPr>
          <w:rFonts w:ascii="Times New Roman" w:eastAsia="Times New Roman" w:hAnsi="Times New Roman" w:cs="Times New Roman"/>
          <w:noProof/>
          <w:lang w:eastAsia="en-GB"/>
        </w:rPr>
        <w:t>This</w:t>
      </w:r>
      <w:r w:rsidR="004D621C" w:rsidRPr="003C0D71">
        <w:rPr>
          <w:rFonts w:ascii="Times New Roman" w:eastAsia="Times New Roman" w:hAnsi="Times New Roman" w:cs="Times New Roman"/>
          <w:noProof/>
          <w:lang w:eastAsia="en-GB"/>
        </w:rPr>
        <w:t xml:space="preserve"> new template could replace the existing templates for all private securitisations. </w:t>
      </w:r>
      <w:r w:rsidR="00164CF6">
        <w:rPr>
          <w:rFonts w:ascii="Times New Roman" w:eastAsia="Times New Roman" w:hAnsi="Times New Roman" w:cs="Times New Roman"/>
          <w:noProof/>
          <w:lang w:eastAsia="en-GB"/>
        </w:rPr>
        <w:t>It</w:t>
      </w:r>
      <w:r w:rsidR="00164CF6" w:rsidRPr="003C0D71">
        <w:rPr>
          <w:rFonts w:ascii="Times New Roman" w:eastAsia="Times New Roman" w:hAnsi="Times New Roman" w:cs="Times New Roman"/>
          <w:noProof/>
          <w:lang w:eastAsia="en-GB"/>
        </w:rPr>
        <w:t xml:space="preserve"> </w:t>
      </w:r>
      <w:r w:rsidR="004D621C" w:rsidRPr="003C0D71">
        <w:rPr>
          <w:rFonts w:ascii="Times New Roman" w:eastAsia="Times New Roman" w:hAnsi="Times New Roman" w:cs="Times New Roman"/>
          <w:noProof/>
          <w:lang w:eastAsia="en-GB"/>
        </w:rPr>
        <w:t xml:space="preserve">would ensure that supervisors receive the information they need, while investors in private securitisations could </w:t>
      </w:r>
      <w:r w:rsidR="00164CF6">
        <w:rPr>
          <w:rFonts w:ascii="Times New Roman" w:eastAsia="Times New Roman" w:hAnsi="Times New Roman" w:cs="Times New Roman"/>
          <w:noProof/>
          <w:lang w:eastAsia="en-GB"/>
        </w:rPr>
        <w:t>obtain</w:t>
      </w:r>
      <w:r w:rsidR="00164CF6" w:rsidRPr="003C0D71">
        <w:rPr>
          <w:rFonts w:ascii="Times New Roman" w:eastAsia="Times New Roman" w:hAnsi="Times New Roman" w:cs="Times New Roman"/>
          <w:noProof/>
          <w:lang w:eastAsia="en-GB"/>
        </w:rPr>
        <w:t xml:space="preserve"> </w:t>
      </w:r>
      <w:r w:rsidR="004D621C" w:rsidRPr="003C0D71">
        <w:rPr>
          <w:rFonts w:ascii="Times New Roman" w:eastAsia="Times New Roman" w:hAnsi="Times New Roman" w:cs="Times New Roman"/>
          <w:noProof/>
          <w:lang w:eastAsia="en-GB"/>
        </w:rPr>
        <w:t>any additional information they require in bilaterally agreed formats</w:t>
      </w:r>
      <w:r w:rsidR="00FD41D0">
        <w:rPr>
          <w:rFonts w:ascii="Times New Roman" w:eastAsia="Times New Roman" w:hAnsi="Times New Roman" w:cs="Times New Roman"/>
          <w:noProof/>
          <w:lang w:eastAsia="en-GB"/>
        </w:rPr>
        <w:t>,</w:t>
      </w:r>
      <w:r w:rsidR="004D621C" w:rsidRPr="003C0D71">
        <w:rPr>
          <w:rFonts w:ascii="Times New Roman" w:eastAsia="Times New Roman" w:hAnsi="Times New Roman" w:cs="Times New Roman"/>
          <w:noProof/>
          <w:lang w:eastAsia="en-GB"/>
        </w:rPr>
        <w:t xml:space="preserve"> unconstrained by </w:t>
      </w:r>
      <w:r w:rsidR="00FD41D0">
        <w:rPr>
          <w:rFonts w:ascii="Times New Roman" w:eastAsia="Times New Roman" w:hAnsi="Times New Roman" w:cs="Times New Roman"/>
          <w:noProof/>
          <w:lang w:eastAsia="en-GB"/>
        </w:rPr>
        <w:t xml:space="preserve">the content of the </w:t>
      </w:r>
      <w:r w:rsidR="004D621C" w:rsidRPr="003C0D71">
        <w:rPr>
          <w:rFonts w:ascii="Times New Roman" w:eastAsia="Times New Roman" w:hAnsi="Times New Roman" w:cs="Times New Roman"/>
          <w:noProof/>
          <w:lang w:eastAsia="en-GB"/>
        </w:rPr>
        <w:t xml:space="preserve">standardised templates. While issuers do not have to submit templates for private securitisations to a repository, the Commission considers that there is no </w:t>
      </w:r>
      <w:r w:rsidRPr="003C0D71">
        <w:rPr>
          <w:rFonts w:ascii="Times New Roman" w:eastAsia="Times New Roman" w:hAnsi="Times New Roman" w:cs="Times New Roman"/>
          <w:noProof/>
          <w:lang w:eastAsia="en-GB"/>
        </w:rPr>
        <w:t xml:space="preserve">obstacle </w:t>
      </w:r>
      <w:r w:rsidR="00FD41D0">
        <w:rPr>
          <w:rFonts w:ascii="Times New Roman" w:eastAsia="Times New Roman" w:hAnsi="Times New Roman" w:cs="Times New Roman"/>
          <w:noProof/>
          <w:lang w:eastAsia="en-GB"/>
        </w:rPr>
        <w:t>to</w:t>
      </w:r>
      <w:r w:rsidR="00FD41D0" w:rsidRPr="003C0D71">
        <w:rPr>
          <w:rFonts w:ascii="Times New Roman" w:eastAsia="Times New Roman" w:hAnsi="Times New Roman" w:cs="Times New Roman"/>
          <w:noProof/>
          <w:lang w:eastAsia="en-GB"/>
        </w:rPr>
        <w:t xml:space="preserve"> </w:t>
      </w:r>
      <w:r w:rsidR="004D621C" w:rsidRPr="003C0D71">
        <w:rPr>
          <w:rFonts w:ascii="Times New Roman" w:eastAsia="Times New Roman" w:hAnsi="Times New Roman" w:cs="Times New Roman"/>
          <w:noProof/>
          <w:lang w:eastAsia="en-GB"/>
        </w:rPr>
        <w:t>supervisors obtain</w:t>
      </w:r>
      <w:r w:rsidR="00FD41D0">
        <w:rPr>
          <w:rFonts w:ascii="Times New Roman" w:eastAsia="Times New Roman" w:hAnsi="Times New Roman" w:cs="Times New Roman"/>
          <w:noProof/>
          <w:lang w:eastAsia="en-GB"/>
        </w:rPr>
        <w:t>ing</w:t>
      </w:r>
      <w:r w:rsidR="004D621C" w:rsidRPr="003C0D71">
        <w:rPr>
          <w:rFonts w:ascii="Times New Roman" w:eastAsia="Times New Roman" w:hAnsi="Times New Roman" w:cs="Times New Roman"/>
          <w:noProof/>
          <w:lang w:eastAsia="en-GB"/>
        </w:rPr>
        <w:t xml:space="preserve"> that information since </w:t>
      </w:r>
      <w:r w:rsidR="003F49DB" w:rsidRPr="003C0D71">
        <w:rPr>
          <w:rFonts w:ascii="Times New Roman" w:eastAsia="Times New Roman" w:hAnsi="Times New Roman" w:cs="Times New Roman"/>
          <w:noProof/>
          <w:lang w:eastAsia="en-GB"/>
        </w:rPr>
        <w:t xml:space="preserve">Article </w:t>
      </w:r>
      <w:r w:rsidR="00F229C1" w:rsidRPr="003C0D71">
        <w:rPr>
          <w:rFonts w:ascii="Times New Roman" w:eastAsia="Times New Roman" w:hAnsi="Times New Roman" w:cs="Times New Roman"/>
          <w:noProof/>
          <w:lang w:eastAsia="en-GB"/>
        </w:rPr>
        <w:t xml:space="preserve">7 </w:t>
      </w:r>
      <w:r w:rsidR="004D621C" w:rsidRPr="003C0D71">
        <w:rPr>
          <w:rFonts w:ascii="Times New Roman" w:eastAsia="Times New Roman" w:hAnsi="Times New Roman" w:cs="Times New Roman"/>
          <w:noProof/>
          <w:lang w:eastAsia="en-GB"/>
        </w:rPr>
        <w:t xml:space="preserve">requires issuers to make this information available to supervisors. The Commission considers that supervisors should enforce that obligation and use the information in the templates for their work. The ESAs could use their existing powers to ensure that the information is received by the supervisors in </w:t>
      </w:r>
      <w:r w:rsidR="004D621C" w:rsidRPr="00FF79A5">
        <w:rPr>
          <w:rFonts w:ascii="Times New Roman" w:eastAsia="Times New Roman" w:hAnsi="Times New Roman" w:cs="Times New Roman"/>
          <w:noProof/>
          <w:lang w:eastAsia="en-GB"/>
        </w:rPr>
        <w:t xml:space="preserve">ways that </w:t>
      </w:r>
      <w:r w:rsidR="00FF79A5" w:rsidRPr="00972364">
        <w:rPr>
          <w:rFonts w:ascii="Times New Roman" w:eastAsia="Times New Roman" w:hAnsi="Times New Roman" w:cs="Times New Roman"/>
          <w:noProof/>
          <w:lang w:eastAsia="en-GB"/>
        </w:rPr>
        <w:t xml:space="preserve">make </w:t>
      </w:r>
      <w:r w:rsidR="004D621C" w:rsidRPr="00FF79A5">
        <w:rPr>
          <w:rFonts w:ascii="Times New Roman" w:eastAsia="Times New Roman" w:hAnsi="Times New Roman" w:cs="Times New Roman"/>
          <w:noProof/>
          <w:lang w:eastAsia="en-GB"/>
        </w:rPr>
        <w:t>it readily usable.</w:t>
      </w:r>
    </w:p>
    <w:p w14:paraId="31BAF09E" w14:textId="137FB698" w:rsidR="004D621C" w:rsidRPr="003C0D71" w:rsidRDefault="007F1316" w:rsidP="004D621C">
      <w:pPr>
        <w:jc w:val="both"/>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It may be</w:t>
      </w:r>
      <w:r w:rsidR="004D621C" w:rsidRPr="003C0D71">
        <w:rPr>
          <w:rFonts w:ascii="Times New Roman" w:eastAsia="Times New Roman" w:hAnsi="Times New Roman" w:cs="Times New Roman"/>
          <w:noProof/>
          <w:lang w:eastAsia="en-GB"/>
        </w:rPr>
        <w:t xml:space="preserve"> that notifications submitted </w:t>
      </w:r>
      <w:r>
        <w:rPr>
          <w:rFonts w:ascii="Times New Roman" w:eastAsia="Times New Roman" w:hAnsi="Times New Roman" w:cs="Times New Roman"/>
          <w:noProof/>
          <w:lang w:eastAsia="en-GB"/>
        </w:rPr>
        <w:t xml:space="preserve">individually </w:t>
      </w:r>
      <w:r w:rsidR="004D621C" w:rsidRPr="003C0D71">
        <w:rPr>
          <w:rFonts w:ascii="Times New Roman" w:eastAsia="Times New Roman" w:hAnsi="Times New Roman" w:cs="Times New Roman"/>
          <w:noProof/>
          <w:lang w:eastAsia="en-GB"/>
        </w:rPr>
        <w:t>by originators, sponsors or SSPEs</w:t>
      </w:r>
      <w:r w:rsidR="00264CC3">
        <w:rPr>
          <w:rFonts w:ascii="Times New Roman" w:eastAsia="Times New Roman" w:hAnsi="Times New Roman" w:cs="Times New Roman"/>
          <w:noProof/>
          <w:lang w:eastAsia="en-GB"/>
        </w:rPr>
        <w:t>,</w:t>
      </w:r>
      <w:r w:rsidR="004D621C" w:rsidRPr="003C0D71">
        <w:rPr>
          <w:rFonts w:ascii="Times New Roman" w:eastAsia="Times New Roman" w:hAnsi="Times New Roman" w:cs="Times New Roman"/>
          <w:noProof/>
          <w:lang w:eastAsia="en-GB"/>
        </w:rPr>
        <w:t xml:space="preserve"> instead of via securitisation repositories</w:t>
      </w:r>
      <w:r w:rsidR="00264CC3">
        <w:rPr>
          <w:rFonts w:ascii="Times New Roman" w:eastAsia="Times New Roman" w:hAnsi="Times New Roman" w:cs="Times New Roman"/>
          <w:noProof/>
          <w:lang w:eastAsia="en-GB"/>
        </w:rPr>
        <w:t>,</w:t>
      </w:r>
      <w:r w:rsidR="004D621C" w:rsidRPr="003C0D71">
        <w:rPr>
          <w:rFonts w:ascii="Times New Roman" w:eastAsia="Times New Roman" w:hAnsi="Times New Roman" w:cs="Times New Roman"/>
          <w:noProof/>
          <w:lang w:eastAsia="en-GB"/>
        </w:rPr>
        <w:t xml:space="preserve"> are </w:t>
      </w:r>
      <w:r w:rsidR="00E85847" w:rsidRPr="003C0D71">
        <w:rPr>
          <w:rFonts w:ascii="Times New Roman" w:eastAsia="Times New Roman" w:hAnsi="Times New Roman" w:cs="Times New Roman"/>
          <w:noProof/>
          <w:lang w:eastAsia="en-GB"/>
        </w:rPr>
        <w:t xml:space="preserve">considerably </w:t>
      </w:r>
      <w:r w:rsidR="004D621C" w:rsidRPr="003C0D71">
        <w:rPr>
          <w:rFonts w:ascii="Times New Roman" w:eastAsia="Times New Roman" w:hAnsi="Times New Roman" w:cs="Times New Roman"/>
          <w:noProof/>
          <w:lang w:eastAsia="en-GB"/>
        </w:rPr>
        <w:t xml:space="preserve">more difficult to process and </w:t>
      </w:r>
      <w:r w:rsidR="00E85847" w:rsidRPr="003C0D71">
        <w:rPr>
          <w:rFonts w:ascii="Times New Roman" w:eastAsia="Times New Roman" w:hAnsi="Times New Roman" w:cs="Times New Roman"/>
          <w:noProof/>
          <w:lang w:eastAsia="en-GB"/>
        </w:rPr>
        <w:t xml:space="preserve">that </w:t>
      </w:r>
      <w:r w:rsidR="004D621C" w:rsidRPr="003C0D71">
        <w:rPr>
          <w:rFonts w:ascii="Times New Roman" w:eastAsia="Times New Roman" w:hAnsi="Times New Roman" w:cs="Times New Roman"/>
          <w:noProof/>
          <w:lang w:eastAsia="en-GB"/>
        </w:rPr>
        <w:t>quality checks of securitisation repositories are indispensable for high quality data</w:t>
      </w:r>
      <w:r>
        <w:rPr>
          <w:rFonts w:ascii="Times New Roman" w:eastAsia="Times New Roman" w:hAnsi="Times New Roman" w:cs="Times New Roman"/>
          <w:noProof/>
          <w:lang w:eastAsia="en-GB"/>
        </w:rPr>
        <w:t>. If this is the case</w:t>
      </w:r>
      <w:r w:rsidR="004D621C" w:rsidRPr="003C0D71">
        <w:rPr>
          <w:rFonts w:ascii="Times New Roman" w:eastAsia="Times New Roman" w:hAnsi="Times New Roman" w:cs="Times New Roman"/>
          <w:noProof/>
          <w:lang w:eastAsia="en-GB"/>
        </w:rPr>
        <w:t xml:space="preserve"> </w:t>
      </w:r>
      <w:r w:rsidR="00264CC3">
        <w:rPr>
          <w:rFonts w:ascii="Times New Roman" w:eastAsia="Times New Roman" w:hAnsi="Times New Roman" w:cs="Times New Roman"/>
          <w:noProof/>
          <w:lang w:eastAsia="en-GB"/>
        </w:rPr>
        <w:t xml:space="preserve">then </w:t>
      </w:r>
      <w:r w:rsidR="004D621C" w:rsidRPr="003C0D71">
        <w:rPr>
          <w:rFonts w:ascii="Times New Roman" w:eastAsia="Times New Roman" w:hAnsi="Times New Roman" w:cs="Times New Roman"/>
          <w:noProof/>
          <w:lang w:eastAsia="en-GB"/>
        </w:rPr>
        <w:t xml:space="preserve">the recommendation of the </w:t>
      </w:r>
      <w:r w:rsidR="00264CC3">
        <w:rPr>
          <w:rFonts w:ascii="Times New Roman" w:eastAsia="Times New Roman" w:hAnsi="Times New Roman" w:cs="Times New Roman"/>
          <w:noProof/>
          <w:lang w:eastAsia="en-GB"/>
        </w:rPr>
        <w:t>r</w:t>
      </w:r>
      <w:r w:rsidR="004D621C" w:rsidRPr="003C0D71">
        <w:rPr>
          <w:rFonts w:ascii="Times New Roman" w:eastAsia="Times New Roman" w:hAnsi="Times New Roman" w:cs="Times New Roman"/>
          <w:noProof/>
          <w:lang w:eastAsia="en-GB"/>
        </w:rPr>
        <w:t>eport to register information on private deals via securitisation repositories</w:t>
      </w:r>
      <w:r w:rsidR="00905C86">
        <w:rPr>
          <w:rFonts w:ascii="Times New Roman" w:eastAsia="Times New Roman" w:hAnsi="Times New Roman" w:cs="Times New Roman"/>
          <w:noProof/>
          <w:lang w:eastAsia="en-GB"/>
        </w:rPr>
        <w:t>,</w:t>
      </w:r>
      <w:r w:rsidR="004D621C" w:rsidRPr="003C0D71">
        <w:rPr>
          <w:rFonts w:ascii="Times New Roman" w:eastAsia="Times New Roman" w:hAnsi="Times New Roman" w:cs="Times New Roman"/>
          <w:noProof/>
          <w:lang w:eastAsia="en-GB"/>
        </w:rPr>
        <w:t xml:space="preserve"> for the supervisors</w:t>
      </w:r>
      <w:r w:rsidR="00905C86">
        <w:rPr>
          <w:rFonts w:ascii="Times New Roman" w:eastAsia="Times New Roman" w:hAnsi="Times New Roman" w:cs="Times New Roman"/>
          <w:noProof/>
          <w:lang w:eastAsia="en-GB"/>
        </w:rPr>
        <w:t>’ benefit,</w:t>
      </w:r>
      <w:r w:rsidR="004D621C" w:rsidRPr="003C0D71">
        <w:rPr>
          <w:rFonts w:ascii="Times New Roman" w:eastAsia="Times New Roman" w:hAnsi="Times New Roman" w:cs="Times New Roman"/>
          <w:noProof/>
          <w:lang w:eastAsia="en-GB"/>
        </w:rPr>
        <w:t xml:space="preserve"> could be a way forward in the longer term</w:t>
      </w:r>
      <w:r w:rsidR="00E85847" w:rsidRPr="003C0D71">
        <w:rPr>
          <w:rFonts w:ascii="Times New Roman" w:eastAsia="Times New Roman" w:hAnsi="Times New Roman" w:cs="Times New Roman"/>
          <w:noProof/>
          <w:lang w:eastAsia="en-GB"/>
        </w:rPr>
        <w:t>,</w:t>
      </w:r>
      <w:r w:rsidR="004D621C" w:rsidRPr="003C0D71">
        <w:rPr>
          <w:rFonts w:ascii="Times New Roman" w:eastAsia="Times New Roman" w:hAnsi="Times New Roman" w:cs="Times New Roman"/>
          <w:noProof/>
          <w:lang w:eastAsia="en-GB"/>
        </w:rPr>
        <w:t xml:space="preserve"> once the Commission </w:t>
      </w:r>
      <w:r w:rsidR="00E85847" w:rsidRPr="003C0D71">
        <w:rPr>
          <w:rFonts w:ascii="Times New Roman" w:eastAsia="Times New Roman" w:hAnsi="Times New Roman" w:cs="Times New Roman"/>
          <w:noProof/>
          <w:lang w:eastAsia="en-GB"/>
        </w:rPr>
        <w:t xml:space="preserve">decides to </w:t>
      </w:r>
      <w:r w:rsidR="00264CC3">
        <w:rPr>
          <w:rFonts w:ascii="Times New Roman" w:eastAsia="Times New Roman" w:hAnsi="Times New Roman" w:cs="Times New Roman"/>
          <w:noProof/>
          <w:lang w:eastAsia="en-GB"/>
        </w:rPr>
        <w:t xml:space="preserve">make </w:t>
      </w:r>
      <w:r w:rsidR="004D621C" w:rsidRPr="003C0D71">
        <w:rPr>
          <w:rFonts w:ascii="Times New Roman" w:eastAsia="Times New Roman" w:hAnsi="Times New Roman" w:cs="Times New Roman"/>
          <w:noProof/>
          <w:lang w:eastAsia="en-GB"/>
        </w:rPr>
        <w:t>a proposal to amend the Sec</w:t>
      </w:r>
      <w:r w:rsidR="009F6AB1" w:rsidRPr="003C0D71">
        <w:rPr>
          <w:rFonts w:ascii="Times New Roman" w:eastAsia="Times New Roman" w:hAnsi="Times New Roman" w:cs="Times New Roman"/>
          <w:noProof/>
          <w:lang w:eastAsia="en-GB"/>
        </w:rPr>
        <w:t xml:space="preserve">uritisation </w:t>
      </w:r>
      <w:r w:rsidR="004D621C" w:rsidRPr="003C0D71">
        <w:rPr>
          <w:rFonts w:ascii="Times New Roman" w:eastAsia="Times New Roman" w:hAnsi="Times New Roman" w:cs="Times New Roman"/>
          <w:noProof/>
          <w:lang w:eastAsia="en-GB"/>
        </w:rPr>
        <w:t>Reg</w:t>
      </w:r>
      <w:r w:rsidR="009F6AB1" w:rsidRPr="003C0D71">
        <w:rPr>
          <w:rFonts w:ascii="Times New Roman" w:eastAsia="Times New Roman" w:hAnsi="Times New Roman" w:cs="Times New Roman"/>
          <w:noProof/>
          <w:lang w:eastAsia="en-GB"/>
        </w:rPr>
        <w:t>ulation</w:t>
      </w:r>
      <w:r w:rsidR="004D621C" w:rsidRPr="003C0D71">
        <w:rPr>
          <w:rFonts w:ascii="Times New Roman" w:eastAsia="Times New Roman" w:hAnsi="Times New Roman" w:cs="Times New Roman"/>
          <w:noProof/>
          <w:lang w:eastAsia="en-GB"/>
        </w:rPr>
        <w:t>.</w:t>
      </w:r>
    </w:p>
    <w:p w14:paraId="6BADB609" w14:textId="77777777" w:rsidR="004D621C" w:rsidRPr="003C0D71" w:rsidRDefault="004134D0" w:rsidP="004D621C">
      <w:pPr>
        <w:pStyle w:val="Heading2"/>
        <w:rPr>
          <w:rFonts w:ascii="Times New Roman" w:hAnsi="Times New Roman" w:cs="Times New Roman"/>
          <w:noProof/>
          <w:color w:val="auto"/>
        </w:rPr>
      </w:pPr>
      <w:bookmarkStart w:id="37" w:name="_Toc104283069"/>
      <w:bookmarkStart w:id="38" w:name="_Toc104286137"/>
      <w:bookmarkStart w:id="39" w:name="_Toc104297342"/>
      <w:bookmarkStart w:id="40" w:name="_Toc115346211"/>
      <w:r w:rsidRPr="003C0D71">
        <w:rPr>
          <w:rFonts w:ascii="Times New Roman" w:hAnsi="Times New Roman" w:cs="Times New Roman"/>
          <w:noProof/>
          <w:color w:val="auto"/>
        </w:rPr>
        <w:t>6</w:t>
      </w:r>
      <w:r w:rsidR="004D621C" w:rsidRPr="003C0D71">
        <w:rPr>
          <w:rFonts w:ascii="Times New Roman" w:hAnsi="Times New Roman" w:cs="Times New Roman"/>
          <w:noProof/>
          <w:color w:val="auto"/>
        </w:rPr>
        <w:t>.3 Definition of private securitisation</w:t>
      </w:r>
      <w:bookmarkEnd w:id="37"/>
      <w:bookmarkEnd w:id="38"/>
      <w:bookmarkEnd w:id="39"/>
      <w:bookmarkEnd w:id="40"/>
      <w:r w:rsidR="004D621C" w:rsidRPr="003C0D71">
        <w:rPr>
          <w:rFonts w:ascii="Times New Roman" w:hAnsi="Times New Roman" w:cs="Times New Roman"/>
          <w:noProof/>
          <w:color w:val="auto"/>
        </w:rPr>
        <w:t xml:space="preserve"> </w:t>
      </w:r>
    </w:p>
    <w:p w14:paraId="022D72E8" w14:textId="77777777" w:rsidR="004D621C" w:rsidRPr="003C0D71" w:rsidRDefault="004D621C" w:rsidP="000D4664">
      <w:pPr>
        <w:rPr>
          <w:rFonts w:ascii="Times New Roman" w:hAnsi="Times New Roman" w:cs="Times New Roman"/>
          <w:b/>
          <w:noProof/>
          <w:sz w:val="24"/>
        </w:rPr>
      </w:pPr>
      <w:r w:rsidRPr="003C0D71">
        <w:rPr>
          <w:rFonts w:ascii="Times New Roman" w:hAnsi="Times New Roman" w:cs="Times New Roman"/>
          <w:b/>
          <w:noProof/>
          <w:sz w:val="24"/>
        </w:rPr>
        <w:t xml:space="preserve">Background and Findings </w:t>
      </w:r>
    </w:p>
    <w:p w14:paraId="249DD6AB" w14:textId="179DF511" w:rsidR="004D621C" w:rsidRPr="003C0D71" w:rsidRDefault="004D621C" w:rsidP="004D621C">
      <w:pPr>
        <w:jc w:val="both"/>
        <w:rPr>
          <w:rFonts w:ascii="Times New Roman" w:eastAsia="Times New Roman" w:hAnsi="Times New Roman" w:cs="Times New Roman"/>
          <w:noProof/>
          <w:lang w:eastAsia="en-GB"/>
        </w:rPr>
      </w:pPr>
      <w:r w:rsidRPr="003C0D71">
        <w:rPr>
          <w:rFonts w:ascii="Times New Roman" w:eastAsia="Times New Roman" w:hAnsi="Times New Roman" w:cs="Times New Roman"/>
          <w:noProof/>
          <w:lang w:eastAsia="en-GB"/>
        </w:rPr>
        <w:t xml:space="preserve">A </w:t>
      </w:r>
      <w:r w:rsidR="00E85847" w:rsidRPr="003C0D71">
        <w:rPr>
          <w:rFonts w:ascii="Times New Roman" w:eastAsia="Times New Roman" w:hAnsi="Times New Roman" w:cs="Times New Roman"/>
          <w:noProof/>
          <w:lang w:eastAsia="en-GB"/>
        </w:rPr>
        <w:t xml:space="preserve">significant </w:t>
      </w:r>
      <w:r w:rsidRPr="003C0D71">
        <w:rPr>
          <w:rFonts w:ascii="Times New Roman" w:eastAsia="Times New Roman" w:hAnsi="Times New Roman" w:cs="Times New Roman"/>
          <w:noProof/>
          <w:lang w:eastAsia="en-GB"/>
        </w:rPr>
        <w:t xml:space="preserve">majority of respondents </w:t>
      </w:r>
      <w:r w:rsidR="00E85847" w:rsidRPr="003C0D71">
        <w:rPr>
          <w:rFonts w:ascii="Times New Roman" w:eastAsia="Times New Roman" w:hAnsi="Times New Roman" w:cs="Times New Roman"/>
          <w:noProof/>
          <w:lang w:eastAsia="en-GB"/>
        </w:rPr>
        <w:t xml:space="preserve">to </w:t>
      </w:r>
      <w:r w:rsidRPr="003C0D71">
        <w:rPr>
          <w:rFonts w:ascii="Times New Roman" w:eastAsia="Times New Roman" w:hAnsi="Times New Roman" w:cs="Times New Roman"/>
          <w:noProof/>
          <w:lang w:eastAsia="en-GB"/>
        </w:rPr>
        <w:t xml:space="preserve">the consultation </w:t>
      </w:r>
      <w:r w:rsidR="00164CF6">
        <w:rPr>
          <w:rFonts w:ascii="Times New Roman" w:eastAsia="Times New Roman" w:hAnsi="Times New Roman" w:cs="Times New Roman"/>
          <w:noProof/>
          <w:lang w:eastAsia="en-GB"/>
        </w:rPr>
        <w:t>were</w:t>
      </w:r>
      <w:r w:rsidR="00164CF6" w:rsidRPr="003C0D71">
        <w:rPr>
          <w:rFonts w:ascii="Times New Roman" w:eastAsia="Times New Roman" w:hAnsi="Times New Roman" w:cs="Times New Roman"/>
          <w:noProof/>
          <w:lang w:eastAsia="en-GB"/>
        </w:rPr>
        <w:t xml:space="preserve"> </w:t>
      </w:r>
      <w:r w:rsidRPr="003C0D71">
        <w:rPr>
          <w:rFonts w:ascii="Times New Roman" w:eastAsia="Times New Roman" w:hAnsi="Times New Roman" w:cs="Times New Roman"/>
          <w:noProof/>
          <w:lang w:eastAsia="en-GB"/>
        </w:rPr>
        <w:t xml:space="preserve">in favour of amending the definition of what constitutes a private securitisation. However, a significant number of </w:t>
      </w:r>
      <w:r w:rsidR="00BB1BC0" w:rsidRPr="003C0D71">
        <w:rPr>
          <w:rFonts w:ascii="Times New Roman" w:eastAsia="Times New Roman" w:hAnsi="Times New Roman" w:cs="Times New Roman"/>
          <w:noProof/>
          <w:lang w:eastAsia="en-GB"/>
        </w:rPr>
        <w:t xml:space="preserve">these </w:t>
      </w:r>
      <w:r w:rsidRPr="003C0D71">
        <w:rPr>
          <w:rFonts w:ascii="Times New Roman" w:eastAsia="Times New Roman" w:hAnsi="Times New Roman" w:cs="Times New Roman"/>
          <w:noProof/>
          <w:lang w:eastAsia="en-GB"/>
        </w:rPr>
        <w:t>respondents advocate</w:t>
      </w:r>
      <w:r w:rsidR="00164CF6">
        <w:rPr>
          <w:rFonts w:ascii="Times New Roman" w:eastAsia="Times New Roman" w:hAnsi="Times New Roman" w:cs="Times New Roman"/>
          <w:noProof/>
          <w:lang w:eastAsia="en-GB"/>
        </w:rPr>
        <w:t>d</w:t>
      </w:r>
      <w:r w:rsidRPr="003C0D71">
        <w:rPr>
          <w:rFonts w:ascii="Times New Roman" w:eastAsia="Times New Roman" w:hAnsi="Times New Roman" w:cs="Times New Roman"/>
          <w:noProof/>
          <w:lang w:eastAsia="en-GB"/>
        </w:rPr>
        <w:t xml:space="preserve"> for a different definition, assuming that certain transactions labelled as private could be </w:t>
      </w:r>
      <w:r w:rsidR="00E85847" w:rsidRPr="003C0D71">
        <w:rPr>
          <w:rFonts w:ascii="Times New Roman" w:eastAsia="Times New Roman" w:hAnsi="Times New Roman" w:cs="Times New Roman"/>
          <w:noProof/>
          <w:lang w:eastAsia="en-GB"/>
        </w:rPr>
        <w:t xml:space="preserve">exempt </w:t>
      </w:r>
      <w:r w:rsidRPr="003C0D71">
        <w:rPr>
          <w:rFonts w:ascii="Times New Roman" w:eastAsia="Times New Roman" w:hAnsi="Times New Roman" w:cs="Times New Roman"/>
          <w:noProof/>
          <w:lang w:eastAsia="en-GB"/>
        </w:rPr>
        <w:t xml:space="preserve">from transparency requirements altogether. Similarly, the </w:t>
      </w:r>
      <w:r w:rsidR="009F6AB1" w:rsidRPr="003C0D71">
        <w:rPr>
          <w:rFonts w:ascii="Times New Roman" w:eastAsia="Times New Roman" w:hAnsi="Times New Roman" w:cs="Times New Roman"/>
          <w:noProof/>
          <w:lang w:eastAsia="en-GB"/>
        </w:rPr>
        <w:t>Joint Committee</w:t>
      </w:r>
      <w:r w:rsidRPr="003C0D71">
        <w:rPr>
          <w:rFonts w:ascii="Times New Roman" w:eastAsia="Times New Roman" w:hAnsi="Times New Roman" w:cs="Times New Roman"/>
          <w:noProof/>
          <w:lang w:eastAsia="en-GB"/>
        </w:rPr>
        <w:t xml:space="preserve"> </w:t>
      </w:r>
      <w:r w:rsidR="007F1316">
        <w:rPr>
          <w:rFonts w:ascii="Times New Roman" w:eastAsia="Times New Roman" w:hAnsi="Times New Roman" w:cs="Times New Roman"/>
          <w:noProof/>
          <w:lang w:eastAsia="en-GB"/>
        </w:rPr>
        <w:t>r</w:t>
      </w:r>
      <w:r w:rsidRPr="003C0D71">
        <w:rPr>
          <w:rFonts w:ascii="Times New Roman" w:eastAsia="Times New Roman" w:hAnsi="Times New Roman" w:cs="Times New Roman"/>
          <w:noProof/>
          <w:lang w:eastAsia="en-GB"/>
        </w:rPr>
        <w:t xml:space="preserve">eport </w:t>
      </w:r>
      <w:r w:rsidR="007F1316">
        <w:rPr>
          <w:rFonts w:ascii="Times New Roman" w:eastAsia="Times New Roman" w:hAnsi="Times New Roman" w:cs="Times New Roman"/>
          <w:noProof/>
          <w:lang w:eastAsia="en-GB"/>
        </w:rPr>
        <w:t xml:space="preserve">also </w:t>
      </w:r>
      <w:r w:rsidRPr="003C0D71">
        <w:rPr>
          <w:rFonts w:ascii="Times New Roman" w:eastAsia="Times New Roman" w:hAnsi="Times New Roman" w:cs="Times New Roman"/>
          <w:noProof/>
          <w:lang w:eastAsia="en-GB"/>
        </w:rPr>
        <w:t>favour</w:t>
      </w:r>
      <w:r w:rsidR="00903390">
        <w:rPr>
          <w:rFonts w:ascii="Times New Roman" w:eastAsia="Times New Roman" w:hAnsi="Times New Roman" w:cs="Times New Roman"/>
          <w:noProof/>
          <w:lang w:eastAsia="en-GB"/>
        </w:rPr>
        <w:t>ed</w:t>
      </w:r>
      <w:r w:rsidRPr="003C0D71">
        <w:rPr>
          <w:rFonts w:ascii="Times New Roman" w:eastAsia="Times New Roman" w:hAnsi="Times New Roman" w:cs="Times New Roman"/>
          <w:noProof/>
          <w:lang w:eastAsia="en-GB"/>
        </w:rPr>
        <w:t xml:space="preserve"> amending the definition to make it more precise and to </w:t>
      </w:r>
      <w:r w:rsidR="00E85847" w:rsidRPr="003C0D71">
        <w:rPr>
          <w:rFonts w:ascii="Times New Roman" w:eastAsia="Times New Roman" w:hAnsi="Times New Roman" w:cs="Times New Roman"/>
          <w:noProof/>
          <w:lang w:eastAsia="en-GB"/>
        </w:rPr>
        <w:t xml:space="preserve">completely </w:t>
      </w:r>
      <w:r w:rsidR="007F1316" w:rsidRPr="003C0D71">
        <w:rPr>
          <w:rFonts w:ascii="Times New Roman" w:eastAsia="Times New Roman" w:hAnsi="Times New Roman" w:cs="Times New Roman"/>
          <w:noProof/>
          <w:lang w:eastAsia="en-GB"/>
        </w:rPr>
        <w:t>exempt from transparency</w:t>
      </w:r>
      <w:r w:rsidR="007F1316">
        <w:rPr>
          <w:rFonts w:ascii="Times New Roman" w:eastAsia="Times New Roman" w:hAnsi="Times New Roman" w:cs="Times New Roman"/>
          <w:noProof/>
          <w:lang w:eastAsia="en-GB"/>
        </w:rPr>
        <w:t xml:space="preserve"> requirements</w:t>
      </w:r>
      <w:r w:rsidR="007F1316" w:rsidRPr="003C0D71">
        <w:rPr>
          <w:rFonts w:ascii="Times New Roman" w:eastAsia="Times New Roman" w:hAnsi="Times New Roman" w:cs="Times New Roman"/>
          <w:noProof/>
          <w:lang w:eastAsia="en-GB"/>
        </w:rPr>
        <w:t xml:space="preserve"> </w:t>
      </w:r>
      <w:r w:rsidRPr="003C0D71">
        <w:rPr>
          <w:rFonts w:ascii="Times New Roman" w:eastAsia="Times New Roman" w:hAnsi="Times New Roman" w:cs="Times New Roman"/>
          <w:noProof/>
          <w:lang w:eastAsia="en-GB"/>
        </w:rPr>
        <w:t xml:space="preserve">a sub-set of what </w:t>
      </w:r>
      <w:r w:rsidR="007F1316">
        <w:rPr>
          <w:rFonts w:ascii="Times New Roman" w:eastAsia="Times New Roman" w:hAnsi="Times New Roman" w:cs="Times New Roman"/>
          <w:noProof/>
          <w:lang w:eastAsia="en-GB"/>
        </w:rPr>
        <w:t xml:space="preserve">currently </w:t>
      </w:r>
      <w:r w:rsidRPr="003C0D71">
        <w:rPr>
          <w:rFonts w:ascii="Times New Roman" w:eastAsia="Times New Roman" w:hAnsi="Times New Roman" w:cs="Times New Roman"/>
          <w:noProof/>
          <w:lang w:eastAsia="en-GB"/>
        </w:rPr>
        <w:t>constitutes private transaction</w:t>
      </w:r>
      <w:r w:rsidR="00E85847" w:rsidRPr="003C0D71">
        <w:rPr>
          <w:rFonts w:ascii="Times New Roman" w:eastAsia="Times New Roman" w:hAnsi="Times New Roman" w:cs="Times New Roman"/>
          <w:noProof/>
          <w:lang w:eastAsia="en-GB"/>
        </w:rPr>
        <w:t>s</w:t>
      </w:r>
      <w:r w:rsidRPr="003C0D71">
        <w:rPr>
          <w:rFonts w:ascii="Times New Roman" w:eastAsia="Times New Roman" w:hAnsi="Times New Roman" w:cs="Times New Roman"/>
          <w:noProof/>
          <w:lang w:eastAsia="en-GB"/>
        </w:rPr>
        <w:t xml:space="preserve"> </w:t>
      </w:r>
      <w:r w:rsidR="00554198" w:rsidRPr="003C0D71">
        <w:rPr>
          <w:rFonts w:ascii="Times New Roman" w:eastAsia="Times New Roman" w:hAnsi="Times New Roman" w:cs="Times New Roman"/>
          <w:noProof/>
          <w:lang w:eastAsia="en-GB"/>
        </w:rPr>
        <w:t>(</w:t>
      </w:r>
      <w:r w:rsidRPr="003C0D71">
        <w:rPr>
          <w:rFonts w:ascii="Times New Roman" w:eastAsia="Times New Roman" w:hAnsi="Times New Roman" w:cs="Times New Roman"/>
          <w:noProof/>
          <w:lang w:eastAsia="en-GB"/>
        </w:rPr>
        <w:t>e.g. transactions that happen intra-group with no third</w:t>
      </w:r>
      <w:r w:rsidR="00001486">
        <w:rPr>
          <w:rFonts w:ascii="Times New Roman" w:eastAsia="Times New Roman" w:hAnsi="Times New Roman" w:cs="Times New Roman"/>
          <w:noProof/>
          <w:lang w:eastAsia="en-GB"/>
        </w:rPr>
        <w:t>-</w:t>
      </w:r>
      <w:r w:rsidRPr="003C0D71">
        <w:rPr>
          <w:rFonts w:ascii="Times New Roman" w:eastAsia="Times New Roman" w:hAnsi="Times New Roman" w:cs="Times New Roman"/>
          <w:noProof/>
          <w:lang w:eastAsia="en-GB"/>
        </w:rPr>
        <w:t>party investor</w:t>
      </w:r>
      <w:r w:rsidR="00CE6F51" w:rsidRPr="003C0D71">
        <w:rPr>
          <w:rFonts w:ascii="Times New Roman" w:eastAsia="Times New Roman" w:hAnsi="Times New Roman" w:cs="Times New Roman"/>
          <w:noProof/>
          <w:lang w:eastAsia="en-GB"/>
        </w:rPr>
        <w:t>).</w:t>
      </w:r>
      <w:r w:rsidRPr="003C0D71">
        <w:rPr>
          <w:rFonts w:ascii="Times New Roman" w:eastAsia="Times New Roman" w:hAnsi="Times New Roman" w:cs="Times New Roman"/>
          <w:noProof/>
          <w:lang w:eastAsia="en-GB"/>
        </w:rPr>
        <w:t xml:space="preserve"> </w:t>
      </w:r>
    </w:p>
    <w:p w14:paraId="32FE8D03" w14:textId="77777777" w:rsidR="00325EBC" w:rsidRDefault="00325EBC" w:rsidP="004D621C">
      <w:pPr>
        <w:jc w:val="both"/>
        <w:rPr>
          <w:rFonts w:ascii="Times New Roman" w:hAnsi="Times New Roman" w:cs="Times New Roman"/>
          <w:b/>
          <w:noProof/>
          <w:sz w:val="24"/>
        </w:rPr>
      </w:pPr>
    </w:p>
    <w:p w14:paraId="10A50B45" w14:textId="77777777" w:rsidR="00325EBC" w:rsidRDefault="00325EBC" w:rsidP="004D621C">
      <w:pPr>
        <w:jc w:val="both"/>
        <w:rPr>
          <w:rFonts w:ascii="Times New Roman" w:hAnsi="Times New Roman" w:cs="Times New Roman"/>
          <w:b/>
          <w:noProof/>
          <w:sz w:val="24"/>
        </w:rPr>
      </w:pPr>
    </w:p>
    <w:p w14:paraId="5641344A" w14:textId="6A747478" w:rsidR="009327AF" w:rsidRDefault="000146AB" w:rsidP="004D621C">
      <w:pPr>
        <w:jc w:val="both"/>
        <w:rPr>
          <w:rFonts w:ascii="Times New Roman" w:hAnsi="Times New Roman" w:cs="Times New Roman"/>
          <w:b/>
          <w:noProof/>
          <w:sz w:val="24"/>
        </w:rPr>
      </w:pPr>
      <w:r>
        <w:rPr>
          <w:rFonts w:ascii="Times New Roman" w:hAnsi="Times New Roman" w:cs="Times New Roman"/>
          <w:b/>
          <w:noProof/>
          <w:sz w:val="24"/>
        </w:rPr>
        <w:t>The Commission’s assessment</w:t>
      </w:r>
      <w:r w:rsidRPr="003C0D71" w:rsidDel="000146AB">
        <w:rPr>
          <w:rFonts w:ascii="Times New Roman" w:hAnsi="Times New Roman" w:cs="Times New Roman"/>
          <w:b/>
          <w:noProof/>
          <w:sz w:val="24"/>
        </w:rPr>
        <w:t xml:space="preserve"> </w:t>
      </w:r>
    </w:p>
    <w:p w14:paraId="2BDC4EAE" w14:textId="39C8FC10" w:rsidR="004D621C" w:rsidRPr="003C0D71" w:rsidRDefault="004D621C" w:rsidP="004D621C">
      <w:pPr>
        <w:jc w:val="both"/>
        <w:rPr>
          <w:rFonts w:ascii="Times New Roman" w:eastAsia="Times New Roman" w:hAnsi="Times New Roman" w:cs="Times New Roman"/>
          <w:noProof/>
          <w:lang w:eastAsia="en-GB"/>
        </w:rPr>
      </w:pPr>
      <w:r w:rsidRPr="003C0D71">
        <w:rPr>
          <w:rFonts w:ascii="Times New Roman" w:eastAsia="Times New Roman" w:hAnsi="Times New Roman" w:cs="Times New Roman"/>
          <w:noProof/>
          <w:lang w:eastAsia="en-GB"/>
        </w:rPr>
        <w:t xml:space="preserve">In the </w:t>
      </w:r>
      <w:r w:rsidR="00164CF6" w:rsidRPr="003C0D71">
        <w:rPr>
          <w:rFonts w:ascii="Times New Roman" w:eastAsia="Times New Roman" w:hAnsi="Times New Roman" w:cs="Times New Roman"/>
          <w:noProof/>
          <w:lang w:eastAsia="en-GB"/>
        </w:rPr>
        <w:t>Commission</w:t>
      </w:r>
      <w:r w:rsidR="00164CF6">
        <w:rPr>
          <w:rFonts w:ascii="Times New Roman" w:eastAsia="Times New Roman" w:hAnsi="Times New Roman" w:cs="Times New Roman"/>
          <w:noProof/>
          <w:lang w:eastAsia="en-GB"/>
        </w:rPr>
        <w:t>’s</w:t>
      </w:r>
      <w:r w:rsidR="00164CF6" w:rsidRPr="003C0D71">
        <w:rPr>
          <w:rFonts w:ascii="Times New Roman" w:eastAsia="Times New Roman" w:hAnsi="Times New Roman" w:cs="Times New Roman"/>
          <w:noProof/>
          <w:lang w:eastAsia="en-GB"/>
        </w:rPr>
        <w:t xml:space="preserve"> </w:t>
      </w:r>
      <w:r w:rsidRPr="003C0D71">
        <w:rPr>
          <w:rFonts w:ascii="Times New Roman" w:eastAsia="Times New Roman" w:hAnsi="Times New Roman" w:cs="Times New Roman"/>
          <w:noProof/>
          <w:lang w:eastAsia="en-GB"/>
        </w:rPr>
        <w:t xml:space="preserve">view, </w:t>
      </w:r>
      <w:r w:rsidR="007F1316">
        <w:rPr>
          <w:rFonts w:ascii="Times New Roman" w:eastAsia="Times New Roman" w:hAnsi="Times New Roman" w:cs="Times New Roman"/>
          <w:noProof/>
          <w:lang w:eastAsia="en-GB"/>
        </w:rPr>
        <w:t xml:space="preserve">it </w:t>
      </w:r>
      <w:r w:rsidR="007F1316" w:rsidRPr="003C0D71">
        <w:rPr>
          <w:rFonts w:ascii="Times New Roman" w:eastAsia="Times New Roman" w:hAnsi="Times New Roman" w:cs="Times New Roman"/>
          <w:noProof/>
          <w:lang w:eastAsia="en-GB"/>
        </w:rPr>
        <w:t xml:space="preserve">does not seem appropriate </w:t>
      </w:r>
      <w:r w:rsidR="007F1316">
        <w:rPr>
          <w:rFonts w:ascii="Times New Roman" w:eastAsia="Times New Roman" w:hAnsi="Times New Roman" w:cs="Times New Roman"/>
          <w:noProof/>
          <w:lang w:eastAsia="en-GB"/>
        </w:rPr>
        <w:t>to</w:t>
      </w:r>
      <w:r w:rsidRPr="003C0D71">
        <w:rPr>
          <w:rFonts w:ascii="Times New Roman" w:eastAsia="Times New Roman" w:hAnsi="Times New Roman" w:cs="Times New Roman"/>
          <w:noProof/>
          <w:lang w:eastAsia="en-GB"/>
        </w:rPr>
        <w:t xml:space="preserve"> change </w:t>
      </w:r>
      <w:r w:rsidR="007F1316">
        <w:rPr>
          <w:rFonts w:ascii="Times New Roman" w:eastAsia="Times New Roman" w:hAnsi="Times New Roman" w:cs="Times New Roman"/>
          <w:noProof/>
          <w:lang w:eastAsia="en-GB"/>
        </w:rPr>
        <w:t>the</w:t>
      </w:r>
      <w:r w:rsidR="007F1316" w:rsidRPr="003C0D71">
        <w:rPr>
          <w:rFonts w:ascii="Times New Roman" w:eastAsia="Times New Roman" w:hAnsi="Times New Roman" w:cs="Times New Roman"/>
          <w:noProof/>
          <w:lang w:eastAsia="en-GB"/>
        </w:rPr>
        <w:t xml:space="preserve"> </w:t>
      </w:r>
      <w:r w:rsidRPr="003C0D71">
        <w:rPr>
          <w:rFonts w:ascii="Times New Roman" w:eastAsia="Times New Roman" w:hAnsi="Times New Roman" w:cs="Times New Roman"/>
          <w:noProof/>
          <w:lang w:eastAsia="en-GB"/>
        </w:rPr>
        <w:t xml:space="preserve">definition of private securitisation in the </w:t>
      </w:r>
      <w:r w:rsidR="009F6AB1" w:rsidRPr="003C0D71">
        <w:rPr>
          <w:rFonts w:ascii="Times New Roman" w:eastAsia="Times New Roman" w:hAnsi="Times New Roman" w:cs="Times New Roman"/>
          <w:noProof/>
          <w:lang w:eastAsia="en-GB"/>
        </w:rPr>
        <w:t>Securitisation Regulation</w:t>
      </w:r>
      <w:r w:rsidR="007F1316">
        <w:rPr>
          <w:rFonts w:ascii="Times New Roman" w:eastAsia="Times New Roman" w:hAnsi="Times New Roman" w:cs="Times New Roman"/>
          <w:noProof/>
          <w:lang w:eastAsia="en-GB"/>
        </w:rPr>
        <w:t>.</w:t>
      </w:r>
      <w:r w:rsidRPr="003C0D71">
        <w:rPr>
          <w:rFonts w:ascii="Times New Roman" w:eastAsia="Times New Roman" w:hAnsi="Times New Roman" w:cs="Times New Roman"/>
          <w:noProof/>
          <w:lang w:eastAsia="en-GB"/>
        </w:rPr>
        <w:t xml:space="preserve"> While </w:t>
      </w:r>
      <w:r w:rsidR="00E85847" w:rsidRPr="003C0D71">
        <w:rPr>
          <w:rFonts w:ascii="Times New Roman" w:eastAsia="Times New Roman" w:hAnsi="Times New Roman" w:cs="Times New Roman"/>
          <w:noProof/>
          <w:lang w:eastAsia="en-GB"/>
        </w:rPr>
        <w:t xml:space="preserve">it would be possible to </w:t>
      </w:r>
      <w:r w:rsidR="00554198" w:rsidRPr="003C0D71">
        <w:rPr>
          <w:rFonts w:ascii="Times New Roman" w:eastAsia="Times New Roman" w:hAnsi="Times New Roman" w:cs="Times New Roman"/>
          <w:noProof/>
          <w:lang w:eastAsia="en-GB"/>
        </w:rPr>
        <w:t>make the</w:t>
      </w:r>
      <w:r w:rsidR="00E85847" w:rsidRPr="003C0D71">
        <w:rPr>
          <w:rFonts w:ascii="Times New Roman" w:eastAsia="Times New Roman" w:hAnsi="Times New Roman" w:cs="Times New Roman"/>
          <w:noProof/>
          <w:lang w:eastAsia="en-GB"/>
        </w:rPr>
        <w:t xml:space="preserve"> definition more </w:t>
      </w:r>
      <w:r w:rsidR="007F1316">
        <w:rPr>
          <w:rFonts w:ascii="Times New Roman" w:eastAsia="Times New Roman" w:hAnsi="Times New Roman" w:cs="Times New Roman"/>
          <w:noProof/>
          <w:lang w:eastAsia="en-GB"/>
        </w:rPr>
        <w:t>specific</w:t>
      </w:r>
      <w:r w:rsidRPr="003C0D71">
        <w:rPr>
          <w:rFonts w:ascii="Times New Roman" w:eastAsia="Times New Roman" w:hAnsi="Times New Roman" w:cs="Times New Roman"/>
          <w:noProof/>
          <w:lang w:eastAsia="en-GB"/>
        </w:rPr>
        <w:t>, the current definition is clear</w:t>
      </w:r>
      <w:r w:rsidR="00554198" w:rsidRPr="003C0D71">
        <w:rPr>
          <w:rFonts w:ascii="Times New Roman" w:eastAsia="Times New Roman" w:hAnsi="Times New Roman" w:cs="Times New Roman"/>
          <w:noProof/>
          <w:lang w:eastAsia="en-GB"/>
        </w:rPr>
        <w:t>-</w:t>
      </w:r>
      <w:r w:rsidRPr="003C0D71">
        <w:rPr>
          <w:rFonts w:ascii="Times New Roman" w:eastAsia="Times New Roman" w:hAnsi="Times New Roman" w:cs="Times New Roman"/>
          <w:noProof/>
          <w:lang w:eastAsia="en-GB"/>
        </w:rPr>
        <w:t>cut and working</w:t>
      </w:r>
      <w:r w:rsidR="00D1073F" w:rsidRPr="003C0D71">
        <w:rPr>
          <w:rFonts w:ascii="Times New Roman" w:eastAsia="Times New Roman" w:hAnsi="Times New Roman" w:cs="Times New Roman"/>
          <w:noProof/>
          <w:lang w:eastAsia="en-GB"/>
        </w:rPr>
        <w:t xml:space="preserve"> well</w:t>
      </w:r>
      <w:r w:rsidR="007F1316" w:rsidRPr="007F1316">
        <w:rPr>
          <w:rFonts w:ascii="Times New Roman" w:eastAsia="Times New Roman" w:hAnsi="Times New Roman" w:cs="Times New Roman"/>
          <w:noProof/>
          <w:lang w:eastAsia="en-GB"/>
        </w:rPr>
        <w:t xml:space="preserve"> </w:t>
      </w:r>
      <w:r w:rsidR="007F1316" w:rsidRPr="003C0D71">
        <w:rPr>
          <w:rFonts w:ascii="Times New Roman" w:eastAsia="Times New Roman" w:hAnsi="Times New Roman" w:cs="Times New Roman"/>
          <w:noProof/>
          <w:lang w:eastAsia="en-GB"/>
        </w:rPr>
        <w:t>overall</w:t>
      </w:r>
      <w:r w:rsidRPr="003C0D71">
        <w:rPr>
          <w:rFonts w:ascii="Times New Roman" w:eastAsia="Times New Roman" w:hAnsi="Times New Roman" w:cs="Times New Roman"/>
          <w:noProof/>
          <w:lang w:eastAsia="en-GB"/>
        </w:rPr>
        <w:t xml:space="preserve">. Supporters of a new definition acknowledge that a better definition of private securitisation might be difficult to find, which is why some are not </w:t>
      </w:r>
      <w:r w:rsidR="000A0868" w:rsidRPr="003C0D71">
        <w:rPr>
          <w:rFonts w:ascii="Times New Roman" w:eastAsia="Times New Roman" w:hAnsi="Times New Roman" w:cs="Times New Roman"/>
          <w:noProof/>
          <w:lang w:eastAsia="en-GB"/>
        </w:rPr>
        <w:t xml:space="preserve">proposing </w:t>
      </w:r>
      <w:r w:rsidRPr="003C0D71">
        <w:rPr>
          <w:rFonts w:ascii="Times New Roman" w:eastAsia="Times New Roman" w:hAnsi="Times New Roman" w:cs="Times New Roman"/>
          <w:noProof/>
          <w:lang w:eastAsia="en-GB"/>
        </w:rPr>
        <w:t xml:space="preserve">an alternative definition, </w:t>
      </w:r>
      <w:r w:rsidRPr="009327AF">
        <w:rPr>
          <w:rFonts w:ascii="Times New Roman" w:eastAsia="Times New Roman" w:hAnsi="Times New Roman" w:cs="Times New Roman"/>
          <w:noProof/>
          <w:lang w:eastAsia="en-GB"/>
        </w:rPr>
        <w:t xml:space="preserve">but </w:t>
      </w:r>
      <w:r w:rsidR="009327AF" w:rsidRPr="00C516C8">
        <w:rPr>
          <w:rFonts w:ascii="Times New Roman" w:eastAsia="Times New Roman" w:hAnsi="Times New Roman" w:cs="Times New Roman"/>
          <w:noProof/>
          <w:lang w:eastAsia="en-GB"/>
        </w:rPr>
        <w:t>propose</w:t>
      </w:r>
      <w:r w:rsidR="009327AF" w:rsidRPr="009327AF">
        <w:rPr>
          <w:rFonts w:ascii="Times New Roman" w:eastAsia="Times New Roman" w:hAnsi="Times New Roman" w:cs="Times New Roman"/>
          <w:noProof/>
          <w:lang w:eastAsia="en-GB"/>
        </w:rPr>
        <w:t xml:space="preserve"> </w:t>
      </w:r>
      <w:r w:rsidR="000A0868" w:rsidRPr="009327AF">
        <w:rPr>
          <w:rFonts w:ascii="Times New Roman" w:eastAsia="Times New Roman" w:hAnsi="Times New Roman" w:cs="Times New Roman"/>
          <w:noProof/>
          <w:lang w:eastAsia="en-GB"/>
        </w:rPr>
        <w:t>an open discussion process</w:t>
      </w:r>
      <w:r w:rsidR="007F1316" w:rsidRPr="009327AF">
        <w:rPr>
          <w:rFonts w:ascii="Times New Roman" w:eastAsia="Times New Roman" w:hAnsi="Times New Roman" w:cs="Times New Roman"/>
          <w:noProof/>
          <w:lang w:eastAsia="en-GB"/>
        </w:rPr>
        <w:t xml:space="preserve">, </w:t>
      </w:r>
      <w:r w:rsidR="009327AF" w:rsidRPr="00C516C8">
        <w:rPr>
          <w:rFonts w:ascii="Times New Roman" w:eastAsia="Times New Roman" w:hAnsi="Times New Roman" w:cs="Times New Roman"/>
          <w:noProof/>
          <w:lang w:eastAsia="en-GB"/>
        </w:rPr>
        <w:t>after</w:t>
      </w:r>
      <w:r w:rsidR="000A0868" w:rsidRPr="009327AF">
        <w:rPr>
          <w:rFonts w:ascii="Times New Roman" w:eastAsia="Times New Roman" w:hAnsi="Times New Roman" w:cs="Times New Roman"/>
          <w:noProof/>
          <w:lang w:eastAsia="en-GB"/>
        </w:rPr>
        <w:t xml:space="preserve"> </w:t>
      </w:r>
      <w:r w:rsidRPr="009327AF">
        <w:rPr>
          <w:rFonts w:ascii="Times New Roman" w:eastAsia="Times New Roman" w:hAnsi="Times New Roman" w:cs="Times New Roman"/>
          <w:noProof/>
          <w:lang w:eastAsia="en-GB"/>
        </w:rPr>
        <w:t>an impact assessment</w:t>
      </w:r>
      <w:r w:rsidR="00CE6F51" w:rsidRPr="009327AF">
        <w:rPr>
          <w:rFonts w:ascii="Times New Roman" w:eastAsia="Times New Roman" w:hAnsi="Times New Roman" w:cs="Times New Roman"/>
          <w:noProof/>
          <w:lang w:eastAsia="en-GB"/>
        </w:rPr>
        <w:t xml:space="preserve"> and </w:t>
      </w:r>
      <w:r w:rsidRPr="009327AF">
        <w:rPr>
          <w:rFonts w:ascii="Times New Roman" w:eastAsia="Times New Roman" w:hAnsi="Times New Roman" w:cs="Times New Roman"/>
          <w:noProof/>
          <w:lang w:eastAsia="en-GB"/>
        </w:rPr>
        <w:t>consultation.</w:t>
      </w:r>
      <w:r w:rsidRPr="003C0D71">
        <w:rPr>
          <w:rFonts w:ascii="Times New Roman" w:eastAsia="Times New Roman" w:hAnsi="Times New Roman" w:cs="Times New Roman"/>
          <w:noProof/>
          <w:lang w:eastAsia="en-GB"/>
        </w:rPr>
        <w:t xml:space="preserve"> </w:t>
      </w:r>
    </w:p>
    <w:p w14:paraId="3DC325E7" w14:textId="4CF4FED3" w:rsidR="004D621C" w:rsidRPr="003C0D71" w:rsidRDefault="004D621C" w:rsidP="004D621C">
      <w:pPr>
        <w:jc w:val="both"/>
        <w:rPr>
          <w:rFonts w:ascii="Times New Roman" w:eastAsia="Times New Roman" w:hAnsi="Times New Roman" w:cs="Times New Roman"/>
          <w:noProof/>
          <w:lang w:eastAsia="en-GB"/>
        </w:rPr>
      </w:pPr>
      <w:r w:rsidRPr="003C0D71">
        <w:rPr>
          <w:rFonts w:ascii="Times New Roman" w:eastAsia="Times New Roman" w:hAnsi="Times New Roman" w:cs="Times New Roman"/>
          <w:noProof/>
          <w:lang w:eastAsia="en-GB"/>
        </w:rPr>
        <w:t xml:space="preserve">The Commission notes that the calls for a different delineation of what constitutes a private securitisation are almost all linked to the concern that transparency requirements for private deals are overly prescriptive and rather </w:t>
      </w:r>
      <w:r w:rsidR="008A6AF7" w:rsidRPr="003C0D71">
        <w:rPr>
          <w:rFonts w:ascii="Times New Roman" w:eastAsia="Times New Roman" w:hAnsi="Times New Roman" w:cs="Times New Roman"/>
          <w:noProof/>
          <w:lang w:eastAsia="en-GB"/>
        </w:rPr>
        <w:t>meaning</w:t>
      </w:r>
      <w:r w:rsidRPr="003C0D71">
        <w:rPr>
          <w:rFonts w:ascii="Times New Roman" w:eastAsia="Times New Roman" w:hAnsi="Times New Roman" w:cs="Times New Roman"/>
          <w:noProof/>
          <w:lang w:eastAsia="en-GB"/>
        </w:rPr>
        <w:t>less for investors and potential investors in practice</w:t>
      </w:r>
      <w:r w:rsidR="00C66F1B">
        <w:rPr>
          <w:rFonts w:ascii="Times New Roman" w:eastAsia="Times New Roman" w:hAnsi="Times New Roman" w:cs="Times New Roman"/>
          <w:noProof/>
          <w:lang w:eastAsia="en-GB"/>
        </w:rPr>
        <w:t>.</w:t>
      </w:r>
      <w:r w:rsidRPr="003C0D71">
        <w:rPr>
          <w:rFonts w:ascii="Times New Roman" w:eastAsia="Times New Roman" w:hAnsi="Times New Roman" w:cs="Times New Roman"/>
          <w:noProof/>
          <w:lang w:eastAsia="en-GB"/>
        </w:rPr>
        <w:t xml:space="preserve"> </w:t>
      </w:r>
      <w:r w:rsidR="00C66F1B">
        <w:rPr>
          <w:rFonts w:ascii="Times New Roman" w:eastAsia="Times New Roman" w:hAnsi="Times New Roman" w:cs="Times New Roman"/>
          <w:noProof/>
          <w:lang w:eastAsia="en-GB"/>
        </w:rPr>
        <w:t>I</w:t>
      </w:r>
      <w:r w:rsidRPr="003C0D71">
        <w:rPr>
          <w:rFonts w:ascii="Times New Roman" w:eastAsia="Times New Roman" w:hAnsi="Times New Roman" w:cs="Times New Roman"/>
          <w:noProof/>
          <w:lang w:eastAsia="en-GB"/>
        </w:rPr>
        <w:t xml:space="preserve">t is argued that these investors in private deals are in a position to request and continuously receive </w:t>
      </w:r>
      <w:r w:rsidR="00D1073F" w:rsidRPr="003C0D71">
        <w:rPr>
          <w:rFonts w:ascii="Times New Roman" w:eastAsia="Times New Roman" w:hAnsi="Times New Roman" w:cs="Times New Roman"/>
          <w:noProof/>
          <w:lang w:eastAsia="en-GB"/>
        </w:rPr>
        <w:t xml:space="preserve">the </w:t>
      </w:r>
      <w:r w:rsidRPr="003C0D71">
        <w:rPr>
          <w:rFonts w:ascii="Times New Roman" w:eastAsia="Times New Roman" w:hAnsi="Times New Roman" w:cs="Times New Roman"/>
          <w:noProof/>
          <w:lang w:eastAsia="en-GB"/>
        </w:rPr>
        <w:t>tailor</w:t>
      </w:r>
      <w:r w:rsidR="00554198" w:rsidRPr="003C0D71">
        <w:rPr>
          <w:rFonts w:ascii="Times New Roman" w:eastAsia="Times New Roman" w:hAnsi="Times New Roman" w:cs="Times New Roman"/>
          <w:noProof/>
          <w:lang w:eastAsia="en-GB"/>
        </w:rPr>
        <w:t>-</w:t>
      </w:r>
      <w:r w:rsidRPr="003C0D71">
        <w:rPr>
          <w:rFonts w:ascii="Times New Roman" w:eastAsia="Times New Roman" w:hAnsi="Times New Roman" w:cs="Times New Roman"/>
          <w:noProof/>
          <w:lang w:eastAsia="en-GB"/>
        </w:rPr>
        <w:t xml:space="preserve">made information </w:t>
      </w:r>
      <w:r w:rsidR="00D1073F" w:rsidRPr="003C0D71">
        <w:rPr>
          <w:rFonts w:ascii="Times New Roman" w:eastAsia="Times New Roman" w:hAnsi="Times New Roman" w:cs="Times New Roman"/>
          <w:noProof/>
          <w:lang w:eastAsia="en-GB"/>
        </w:rPr>
        <w:t xml:space="preserve">they </w:t>
      </w:r>
      <w:r w:rsidRPr="003C0D71">
        <w:rPr>
          <w:rFonts w:ascii="Times New Roman" w:eastAsia="Times New Roman" w:hAnsi="Times New Roman" w:cs="Times New Roman"/>
          <w:noProof/>
          <w:lang w:eastAsia="en-GB"/>
        </w:rPr>
        <w:t>need from the sell</w:t>
      </w:r>
      <w:r w:rsidR="005F5D7D">
        <w:rPr>
          <w:rFonts w:ascii="Times New Roman" w:eastAsia="Times New Roman" w:hAnsi="Times New Roman" w:cs="Times New Roman"/>
          <w:noProof/>
          <w:lang w:eastAsia="en-GB"/>
        </w:rPr>
        <w:t>-</w:t>
      </w:r>
      <w:r w:rsidRPr="003C0D71">
        <w:rPr>
          <w:rFonts w:ascii="Times New Roman" w:eastAsia="Times New Roman" w:hAnsi="Times New Roman" w:cs="Times New Roman"/>
          <w:noProof/>
          <w:lang w:eastAsia="en-GB"/>
        </w:rPr>
        <w:t xml:space="preserve">side of the transaction. Thus, it seems that stakeholders calling for </w:t>
      </w:r>
      <w:r w:rsidRPr="009327AF">
        <w:rPr>
          <w:rFonts w:ascii="Times New Roman" w:eastAsia="Times New Roman" w:hAnsi="Times New Roman" w:cs="Times New Roman"/>
          <w:noProof/>
          <w:lang w:eastAsia="en-GB"/>
        </w:rPr>
        <w:t>a change</w:t>
      </w:r>
      <w:r w:rsidR="009327AF" w:rsidRPr="00C516C8">
        <w:rPr>
          <w:rFonts w:ascii="Times New Roman" w:eastAsia="Times New Roman" w:hAnsi="Times New Roman" w:cs="Times New Roman"/>
          <w:noProof/>
          <w:lang w:eastAsia="en-GB"/>
        </w:rPr>
        <w:t xml:space="preserve"> to the</w:t>
      </w:r>
      <w:r w:rsidRPr="003C0D71">
        <w:rPr>
          <w:rFonts w:ascii="Times New Roman" w:eastAsia="Times New Roman" w:hAnsi="Times New Roman" w:cs="Times New Roman"/>
          <w:noProof/>
          <w:lang w:eastAsia="en-GB"/>
        </w:rPr>
        <w:t xml:space="preserve"> definition are doing so only to ease the transparency requirements on private deals. The Commission believes that this issue can be tackled by scrutini</w:t>
      </w:r>
      <w:r w:rsidR="008A6AF7" w:rsidRPr="003C0D71">
        <w:rPr>
          <w:rFonts w:ascii="Times New Roman" w:eastAsia="Times New Roman" w:hAnsi="Times New Roman" w:cs="Times New Roman"/>
          <w:noProof/>
          <w:lang w:eastAsia="en-GB"/>
        </w:rPr>
        <w:t>s</w:t>
      </w:r>
      <w:r w:rsidRPr="003C0D71">
        <w:rPr>
          <w:rFonts w:ascii="Times New Roman" w:eastAsia="Times New Roman" w:hAnsi="Times New Roman" w:cs="Times New Roman"/>
          <w:noProof/>
          <w:lang w:eastAsia="en-GB"/>
        </w:rPr>
        <w:t xml:space="preserve">ing the existing rules and templates and assessing their usefulness (see previous </w:t>
      </w:r>
      <w:r w:rsidR="00C66F1B">
        <w:rPr>
          <w:rFonts w:ascii="Times New Roman" w:eastAsia="Times New Roman" w:hAnsi="Times New Roman" w:cs="Times New Roman"/>
          <w:noProof/>
          <w:lang w:eastAsia="en-GB"/>
        </w:rPr>
        <w:t>S</w:t>
      </w:r>
      <w:r w:rsidRPr="003C0D71">
        <w:rPr>
          <w:rFonts w:ascii="Times New Roman" w:eastAsia="Times New Roman" w:hAnsi="Times New Roman" w:cs="Times New Roman"/>
          <w:noProof/>
          <w:lang w:eastAsia="en-GB"/>
        </w:rPr>
        <w:t>ection</w:t>
      </w:r>
      <w:r w:rsidR="00136C15" w:rsidRPr="003C0D71">
        <w:rPr>
          <w:rFonts w:ascii="Times New Roman" w:eastAsia="Times New Roman" w:hAnsi="Times New Roman" w:cs="Times New Roman"/>
          <w:noProof/>
          <w:lang w:eastAsia="en-GB"/>
        </w:rPr>
        <w:t>)</w:t>
      </w:r>
      <w:r w:rsidRPr="003C0D71">
        <w:rPr>
          <w:rFonts w:ascii="Times New Roman" w:eastAsia="Times New Roman" w:hAnsi="Times New Roman" w:cs="Times New Roman"/>
          <w:noProof/>
          <w:lang w:eastAsia="en-GB"/>
        </w:rPr>
        <w:t xml:space="preserve">. </w:t>
      </w:r>
    </w:p>
    <w:p w14:paraId="0291EDB5" w14:textId="77777777" w:rsidR="001C3BBD" w:rsidRPr="003C0D71" w:rsidRDefault="2603B6C4" w:rsidP="001C3BBD">
      <w:pPr>
        <w:pStyle w:val="Heading1"/>
        <w:numPr>
          <w:ilvl w:val="0"/>
          <w:numId w:val="2"/>
        </w:numPr>
        <w:rPr>
          <w:rFonts w:ascii="Times New Roman" w:hAnsi="Times New Roman" w:cs="Times New Roman"/>
          <w:noProof/>
          <w:color w:val="auto"/>
        </w:rPr>
      </w:pPr>
      <w:bookmarkStart w:id="41" w:name="_Toc104283070"/>
      <w:bookmarkStart w:id="42" w:name="_Toc104286138"/>
      <w:bookmarkStart w:id="43" w:name="_Toc104297343"/>
      <w:bookmarkStart w:id="44" w:name="_Toc115346212"/>
      <w:r w:rsidRPr="003C0D71">
        <w:rPr>
          <w:rFonts w:ascii="Times New Roman" w:hAnsi="Times New Roman" w:cs="Times New Roman"/>
          <w:noProof/>
          <w:color w:val="auto"/>
        </w:rPr>
        <w:t>STS equivalence</w:t>
      </w:r>
      <w:bookmarkEnd w:id="41"/>
      <w:bookmarkEnd w:id="42"/>
      <w:bookmarkEnd w:id="43"/>
      <w:bookmarkEnd w:id="44"/>
      <w:r w:rsidRPr="003C0D71">
        <w:rPr>
          <w:rFonts w:ascii="Times New Roman" w:hAnsi="Times New Roman" w:cs="Times New Roman"/>
          <w:noProof/>
          <w:color w:val="auto"/>
        </w:rPr>
        <w:t xml:space="preserve"> </w:t>
      </w:r>
    </w:p>
    <w:p w14:paraId="3358E39D" w14:textId="77777777" w:rsidR="001C3BBD" w:rsidRPr="003C0D71" w:rsidRDefault="2603B6C4" w:rsidP="000D4664">
      <w:pPr>
        <w:rPr>
          <w:rFonts w:ascii="Times New Roman" w:hAnsi="Times New Roman" w:cs="Times New Roman"/>
          <w:b/>
          <w:noProof/>
          <w:sz w:val="24"/>
        </w:rPr>
      </w:pPr>
      <w:r w:rsidRPr="003C0D71">
        <w:rPr>
          <w:rFonts w:ascii="Times New Roman" w:hAnsi="Times New Roman" w:cs="Times New Roman"/>
          <w:b/>
          <w:noProof/>
          <w:sz w:val="24"/>
        </w:rPr>
        <w:t>Background and findings</w:t>
      </w:r>
    </w:p>
    <w:p w14:paraId="7420D3FA" w14:textId="524821FE" w:rsidR="001C3BBD" w:rsidRPr="00647E9A" w:rsidRDefault="2603B6C4" w:rsidP="2603B6C4">
      <w:pPr>
        <w:jc w:val="both"/>
        <w:rPr>
          <w:rFonts w:ascii="Times New Roman" w:hAnsi="Times New Roman" w:cs="Times New Roman"/>
          <w:noProof/>
        </w:rPr>
      </w:pPr>
      <w:r w:rsidRPr="00647E9A">
        <w:rPr>
          <w:rFonts w:ascii="Times New Roman" w:hAnsi="Times New Roman" w:cs="Times New Roman"/>
          <w:noProof/>
        </w:rPr>
        <w:t xml:space="preserve">Equivalence is a mechanism whereby the EU can recognise </w:t>
      </w:r>
      <w:r w:rsidR="00001486" w:rsidRPr="00647E9A">
        <w:rPr>
          <w:rFonts w:ascii="Times New Roman" w:hAnsi="Times New Roman" w:cs="Times New Roman"/>
          <w:noProof/>
        </w:rPr>
        <w:t xml:space="preserve">non-EU </w:t>
      </w:r>
      <w:r w:rsidRPr="00647E9A">
        <w:rPr>
          <w:rFonts w:ascii="Times New Roman" w:hAnsi="Times New Roman" w:cs="Times New Roman"/>
          <w:noProof/>
        </w:rPr>
        <w:t>regulatory standards in a defined area as equivalent to its own</w:t>
      </w:r>
      <w:r w:rsidR="00F6538A" w:rsidRPr="00647E9A">
        <w:rPr>
          <w:rStyle w:val="FootnoteReference"/>
          <w:rFonts w:ascii="Times New Roman" w:hAnsi="Times New Roman" w:cs="Times New Roman"/>
          <w:noProof/>
        </w:rPr>
        <w:footnoteReference w:id="25"/>
      </w:r>
      <w:r w:rsidRPr="00647E9A">
        <w:rPr>
          <w:rFonts w:ascii="Times New Roman" w:hAnsi="Times New Roman" w:cs="Times New Roman"/>
          <w:noProof/>
        </w:rPr>
        <w:t xml:space="preserve">. </w:t>
      </w:r>
      <w:r w:rsidR="00D1073F" w:rsidRPr="00647E9A">
        <w:rPr>
          <w:rFonts w:ascii="Times New Roman" w:hAnsi="Times New Roman" w:cs="Times New Roman"/>
          <w:noProof/>
        </w:rPr>
        <w:t>Granting e</w:t>
      </w:r>
      <w:r w:rsidR="00EC4C4A" w:rsidRPr="00647E9A">
        <w:rPr>
          <w:rFonts w:ascii="Times New Roman" w:hAnsi="Times New Roman" w:cs="Times New Roman"/>
          <w:noProof/>
        </w:rPr>
        <w:t xml:space="preserve">quivalence </w:t>
      </w:r>
      <w:r w:rsidR="00D1073F" w:rsidRPr="00647E9A">
        <w:rPr>
          <w:rFonts w:ascii="Times New Roman" w:hAnsi="Times New Roman" w:cs="Times New Roman"/>
          <w:noProof/>
        </w:rPr>
        <w:t xml:space="preserve">in a given sector to </w:t>
      </w:r>
      <w:r w:rsidR="00903390" w:rsidRPr="00647E9A">
        <w:rPr>
          <w:rFonts w:ascii="Times New Roman" w:hAnsi="Times New Roman" w:cs="Times New Roman"/>
          <w:noProof/>
        </w:rPr>
        <w:t>a third</w:t>
      </w:r>
      <w:r w:rsidR="00A823DC" w:rsidRPr="00647E9A">
        <w:rPr>
          <w:rFonts w:ascii="Times New Roman" w:hAnsi="Times New Roman" w:cs="Times New Roman"/>
          <w:noProof/>
        </w:rPr>
        <w:t xml:space="preserve"> </w:t>
      </w:r>
      <w:r w:rsidR="00D1073F" w:rsidRPr="00647E9A">
        <w:rPr>
          <w:rFonts w:ascii="Times New Roman" w:hAnsi="Times New Roman" w:cs="Times New Roman"/>
          <w:noProof/>
        </w:rPr>
        <w:t xml:space="preserve">country </w:t>
      </w:r>
      <w:r w:rsidR="00EC4C4A" w:rsidRPr="00647E9A">
        <w:rPr>
          <w:rFonts w:ascii="Times New Roman" w:hAnsi="Times New Roman" w:cs="Times New Roman"/>
          <w:noProof/>
        </w:rPr>
        <w:t xml:space="preserve">requires </w:t>
      </w:r>
      <w:r w:rsidR="00AD0475" w:rsidRPr="00647E9A">
        <w:rPr>
          <w:rFonts w:ascii="Times New Roman" w:hAnsi="Times New Roman" w:cs="Times New Roman"/>
          <w:noProof/>
        </w:rPr>
        <w:t xml:space="preserve">that </w:t>
      </w:r>
      <w:r w:rsidR="00EC4C4A" w:rsidRPr="00647E9A">
        <w:rPr>
          <w:rFonts w:ascii="Times New Roman" w:hAnsi="Times New Roman" w:cs="Times New Roman"/>
          <w:noProof/>
        </w:rPr>
        <w:t>rules and supervision</w:t>
      </w:r>
      <w:r w:rsidR="00AD0475" w:rsidRPr="00647E9A">
        <w:rPr>
          <w:rFonts w:ascii="Times New Roman" w:hAnsi="Times New Roman" w:cs="Times New Roman"/>
          <w:noProof/>
        </w:rPr>
        <w:t xml:space="preserve"> are equivalent to those in the EU</w:t>
      </w:r>
      <w:r w:rsidR="00EC4C4A" w:rsidRPr="00647E9A">
        <w:rPr>
          <w:rFonts w:ascii="Times New Roman" w:hAnsi="Times New Roman" w:cs="Times New Roman"/>
          <w:noProof/>
        </w:rPr>
        <w:t xml:space="preserve">. </w:t>
      </w:r>
      <w:r w:rsidRPr="00647E9A">
        <w:rPr>
          <w:rFonts w:ascii="Times New Roman" w:hAnsi="Times New Roman" w:cs="Times New Roman"/>
          <w:noProof/>
        </w:rPr>
        <w:t xml:space="preserve">This can provide for regulatory relief by removing duplicative requirements on cross-border transactions and aligning the prudential treatment of cross-border exposures with </w:t>
      </w:r>
      <w:r w:rsidR="000A0868" w:rsidRPr="00647E9A">
        <w:rPr>
          <w:rFonts w:ascii="Times New Roman" w:hAnsi="Times New Roman" w:cs="Times New Roman"/>
          <w:noProof/>
        </w:rPr>
        <w:t xml:space="preserve">the one </w:t>
      </w:r>
      <w:r w:rsidRPr="00647E9A">
        <w:rPr>
          <w:rFonts w:ascii="Times New Roman" w:hAnsi="Times New Roman" w:cs="Times New Roman"/>
          <w:noProof/>
        </w:rPr>
        <w:t xml:space="preserve">applied to domestic exposures. </w:t>
      </w:r>
    </w:p>
    <w:p w14:paraId="504361CE" w14:textId="6DDBB523" w:rsidR="0050116D" w:rsidRPr="003C0D71" w:rsidRDefault="006B1C4F" w:rsidP="2603B6C4">
      <w:pPr>
        <w:jc w:val="both"/>
        <w:rPr>
          <w:rFonts w:ascii="Times New Roman" w:hAnsi="Times New Roman" w:cs="Times New Roman"/>
          <w:noProof/>
        </w:rPr>
      </w:pPr>
      <w:r w:rsidRPr="00647E9A">
        <w:rPr>
          <w:rFonts w:ascii="Times New Roman" w:hAnsi="Times New Roman" w:cs="Times New Roman"/>
          <w:noProof/>
        </w:rPr>
        <w:t>I</w:t>
      </w:r>
      <w:r w:rsidR="00823E84" w:rsidRPr="00647E9A">
        <w:rPr>
          <w:rFonts w:ascii="Times New Roman" w:hAnsi="Times New Roman" w:cs="Times New Roman"/>
          <w:noProof/>
        </w:rPr>
        <w:t xml:space="preserve">n the </w:t>
      </w:r>
      <w:r w:rsidR="00DB73DC" w:rsidRPr="00647E9A">
        <w:rPr>
          <w:rFonts w:ascii="Times New Roman" w:hAnsi="Times New Roman" w:cs="Times New Roman"/>
          <w:noProof/>
        </w:rPr>
        <w:t>c</w:t>
      </w:r>
      <w:r w:rsidR="00823E84" w:rsidRPr="00647E9A">
        <w:rPr>
          <w:rFonts w:ascii="Times New Roman" w:hAnsi="Times New Roman" w:cs="Times New Roman"/>
          <w:noProof/>
        </w:rPr>
        <w:t xml:space="preserve">onsultation, </w:t>
      </w:r>
      <w:r w:rsidR="006B718C" w:rsidRPr="00647E9A">
        <w:rPr>
          <w:rFonts w:ascii="Times New Roman" w:hAnsi="Times New Roman" w:cs="Times New Roman"/>
          <w:noProof/>
        </w:rPr>
        <w:t>m</w:t>
      </w:r>
      <w:r w:rsidR="004C18E0" w:rsidRPr="00647E9A">
        <w:rPr>
          <w:rFonts w:ascii="Times New Roman" w:hAnsi="Times New Roman" w:cs="Times New Roman"/>
          <w:noProof/>
        </w:rPr>
        <w:t>ost</w:t>
      </w:r>
      <w:r w:rsidR="0050116D" w:rsidRPr="00647E9A">
        <w:rPr>
          <w:rFonts w:ascii="Times New Roman" w:hAnsi="Times New Roman" w:cs="Times New Roman"/>
          <w:noProof/>
        </w:rPr>
        <w:t xml:space="preserve"> market participants voiced support </w:t>
      </w:r>
      <w:r w:rsidR="003A4F2A" w:rsidRPr="00647E9A">
        <w:rPr>
          <w:rFonts w:ascii="Times New Roman" w:hAnsi="Times New Roman" w:cs="Times New Roman"/>
          <w:noProof/>
        </w:rPr>
        <w:t>for</w:t>
      </w:r>
      <w:r w:rsidR="0050116D" w:rsidRPr="00647E9A">
        <w:rPr>
          <w:rFonts w:ascii="Times New Roman" w:hAnsi="Times New Roman" w:cs="Times New Roman"/>
          <w:noProof/>
        </w:rPr>
        <w:t xml:space="preserve"> allowing non-EU entities to issue STS securitisations. Conversely, </w:t>
      </w:r>
      <w:r w:rsidR="00092394" w:rsidRPr="00647E9A">
        <w:rPr>
          <w:rFonts w:ascii="Times New Roman" w:hAnsi="Times New Roman" w:cs="Times New Roman"/>
          <w:noProof/>
        </w:rPr>
        <w:t xml:space="preserve">public authorities </w:t>
      </w:r>
      <w:r w:rsidR="00E146B6" w:rsidRPr="00647E9A">
        <w:rPr>
          <w:rFonts w:ascii="Times New Roman" w:hAnsi="Times New Roman" w:cs="Times New Roman"/>
          <w:noProof/>
        </w:rPr>
        <w:t xml:space="preserve">were </w:t>
      </w:r>
      <w:r w:rsidR="00092394" w:rsidRPr="00647E9A">
        <w:rPr>
          <w:rFonts w:ascii="Times New Roman" w:hAnsi="Times New Roman" w:cs="Times New Roman"/>
          <w:noProof/>
        </w:rPr>
        <w:t xml:space="preserve">almost unanimous </w:t>
      </w:r>
      <w:r w:rsidR="00E146B6" w:rsidRPr="00647E9A">
        <w:rPr>
          <w:rFonts w:ascii="Times New Roman" w:hAnsi="Times New Roman" w:cs="Times New Roman"/>
          <w:noProof/>
        </w:rPr>
        <w:t xml:space="preserve">in </w:t>
      </w:r>
      <w:r w:rsidR="00092394" w:rsidRPr="00647E9A">
        <w:rPr>
          <w:rFonts w:ascii="Times New Roman" w:hAnsi="Times New Roman" w:cs="Times New Roman"/>
          <w:noProof/>
        </w:rPr>
        <w:t>oppos</w:t>
      </w:r>
      <w:r w:rsidR="00E146B6" w:rsidRPr="00647E9A">
        <w:rPr>
          <w:rFonts w:ascii="Times New Roman" w:hAnsi="Times New Roman" w:cs="Times New Roman"/>
          <w:noProof/>
        </w:rPr>
        <w:t>ing</w:t>
      </w:r>
      <w:r w:rsidR="00092394" w:rsidRPr="00647E9A">
        <w:rPr>
          <w:rFonts w:ascii="Times New Roman" w:hAnsi="Times New Roman" w:cs="Times New Roman"/>
          <w:noProof/>
        </w:rPr>
        <w:t xml:space="preserve"> </w:t>
      </w:r>
      <w:r w:rsidR="00E146B6" w:rsidRPr="00647E9A">
        <w:rPr>
          <w:rFonts w:ascii="Times New Roman" w:hAnsi="Times New Roman" w:cs="Times New Roman"/>
          <w:noProof/>
        </w:rPr>
        <w:t xml:space="preserve">the </w:t>
      </w:r>
      <w:r w:rsidR="00092394" w:rsidRPr="00647E9A">
        <w:rPr>
          <w:rFonts w:ascii="Times New Roman" w:hAnsi="Times New Roman" w:cs="Times New Roman"/>
          <w:noProof/>
        </w:rPr>
        <w:t>establish</w:t>
      </w:r>
      <w:r w:rsidR="00E146B6" w:rsidRPr="00647E9A">
        <w:rPr>
          <w:rFonts w:ascii="Times New Roman" w:hAnsi="Times New Roman" w:cs="Times New Roman"/>
          <w:noProof/>
        </w:rPr>
        <w:t>ment</w:t>
      </w:r>
      <w:r w:rsidR="00092394" w:rsidRPr="00647E9A">
        <w:rPr>
          <w:rFonts w:ascii="Times New Roman" w:hAnsi="Times New Roman" w:cs="Times New Roman"/>
          <w:noProof/>
        </w:rPr>
        <w:t xml:space="preserve"> </w:t>
      </w:r>
      <w:r w:rsidR="00E146B6" w:rsidRPr="00647E9A">
        <w:rPr>
          <w:rFonts w:ascii="Times New Roman" w:hAnsi="Times New Roman" w:cs="Times New Roman"/>
          <w:noProof/>
        </w:rPr>
        <w:t xml:space="preserve">of </w:t>
      </w:r>
      <w:r w:rsidR="00092394" w:rsidRPr="00647E9A">
        <w:rPr>
          <w:rFonts w:ascii="Times New Roman" w:hAnsi="Times New Roman" w:cs="Times New Roman"/>
          <w:noProof/>
        </w:rPr>
        <w:t>an equivalence regime</w:t>
      </w:r>
      <w:r w:rsidR="00EF6B45" w:rsidRPr="00647E9A">
        <w:rPr>
          <w:rFonts w:ascii="Times New Roman" w:hAnsi="Times New Roman" w:cs="Times New Roman"/>
          <w:noProof/>
        </w:rPr>
        <w:t>.</w:t>
      </w:r>
    </w:p>
    <w:p w14:paraId="440C04BC" w14:textId="37BA9A2E" w:rsidR="001C3BBD" w:rsidRPr="003C0D71" w:rsidRDefault="000146AB" w:rsidP="000D4664">
      <w:pPr>
        <w:rPr>
          <w:rFonts w:ascii="Times New Roman" w:hAnsi="Times New Roman" w:cs="Times New Roman"/>
          <w:b/>
          <w:noProof/>
          <w:sz w:val="24"/>
        </w:rPr>
      </w:pPr>
      <w:r w:rsidRPr="000146AB">
        <w:rPr>
          <w:rFonts w:ascii="Times New Roman" w:hAnsi="Times New Roman" w:cs="Times New Roman"/>
          <w:b/>
          <w:noProof/>
          <w:sz w:val="24"/>
        </w:rPr>
        <w:t>The Commission’s assessment</w:t>
      </w:r>
    </w:p>
    <w:p w14:paraId="1C1E8587" w14:textId="36ED1C1D" w:rsidR="001C3BBD" w:rsidRPr="003C0D71" w:rsidRDefault="2603B6C4" w:rsidP="2603B6C4">
      <w:pPr>
        <w:jc w:val="both"/>
        <w:rPr>
          <w:rFonts w:ascii="Times New Roman" w:hAnsi="Times New Roman" w:cs="Times New Roman"/>
          <w:noProof/>
        </w:rPr>
      </w:pPr>
      <w:r w:rsidRPr="003C0D71">
        <w:rPr>
          <w:rFonts w:ascii="Times New Roman" w:hAnsi="Times New Roman" w:cs="Times New Roman"/>
          <w:noProof/>
        </w:rPr>
        <w:t xml:space="preserve">The EU’s STS securitisation framework is based on </w:t>
      </w:r>
      <w:r w:rsidR="0047381E" w:rsidRPr="003C0D71">
        <w:rPr>
          <w:rFonts w:ascii="Times New Roman" w:hAnsi="Times New Roman" w:cs="Times New Roman"/>
          <w:noProof/>
        </w:rPr>
        <w:t xml:space="preserve">a </w:t>
      </w:r>
      <w:r w:rsidR="0047381E" w:rsidRPr="00F01259">
        <w:rPr>
          <w:rFonts w:ascii="Times New Roman" w:hAnsi="Times New Roman" w:cs="Times New Roman"/>
          <w:noProof/>
        </w:rPr>
        <w:t>demanding</w:t>
      </w:r>
      <w:r w:rsidRPr="003C0D71">
        <w:rPr>
          <w:rFonts w:ascii="Times New Roman" w:hAnsi="Times New Roman" w:cs="Times New Roman"/>
          <w:noProof/>
        </w:rPr>
        <w:t xml:space="preserve"> set of requirements, not least in terms of information disclosure. The Commission observes that to date no securitisation regime in a third</w:t>
      </w:r>
      <w:r w:rsidR="00182FA8">
        <w:rPr>
          <w:rFonts w:ascii="Times New Roman" w:hAnsi="Times New Roman" w:cs="Times New Roman"/>
          <w:noProof/>
        </w:rPr>
        <w:t>-</w:t>
      </w:r>
      <w:r w:rsidRPr="003C0D71">
        <w:rPr>
          <w:rFonts w:ascii="Times New Roman" w:hAnsi="Times New Roman" w:cs="Times New Roman"/>
          <w:noProof/>
        </w:rPr>
        <w:t xml:space="preserve">country jurisdiction could come close to being considered equivalent to the EU’s STS framework. The UK </w:t>
      </w:r>
      <w:r w:rsidR="00EC4C4A" w:rsidRPr="003C0D71">
        <w:rPr>
          <w:rFonts w:ascii="Times New Roman" w:hAnsi="Times New Roman" w:cs="Times New Roman"/>
          <w:noProof/>
        </w:rPr>
        <w:t>is the only jurisdiction outside the EU that has a</w:t>
      </w:r>
      <w:r w:rsidR="00AF1B90">
        <w:rPr>
          <w:rFonts w:ascii="Times New Roman" w:hAnsi="Times New Roman" w:cs="Times New Roman"/>
          <w:noProof/>
        </w:rPr>
        <w:t>n</w:t>
      </w:r>
      <w:r w:rsidR="00EC4C4A" w:rsidRPr="003C0D71">
        <w:rPr>
          <w:rFonts w:ascii="Times New Roman" w:hAnsi="Times New Roman" w:cs="Times New Roman"/>
          <w:noProof/>
        </w:rPr>
        <w:t xml:space="preserve"> STS r</w:t>
      </w:r>
      <w:r w:rsidRPr="003C0D71">
        <w:rPr>
          <w:rFonts w:ascii="Times New Roman" w:hAnsi="Times New Roman" w:cs="Times New Roman"/>
          <w:noProof/>
        </w:rPr>
        <w:t xml:space="preserve">egime in place, following its </w:t>
      </w:r>
      <w:r w:rsidR="00AF1B90">
        <w:rPr>
          <w:rFonts w:ascii="Times New Roman" w:hAnsi="Times New Roman" w:cs="Times New Roman"/>
          <w:noProof/>
        </w:rPr>
        <w:t>adoption</w:t>
      </w:r>
      <w:r w:rsidRPr="003C0D71">
        <w:rPr>
          <w:rFonts w:ascii="Times New Roman" w:hAnsi="Times New Roman" w:cs="Times New Roman"/>
          <w:noProof/>
        </w:rPr>
        <w:t xml:space="preserve"> of the EU’s own STS regime after it left the </w:t>
      </w:r>
      <w:r w:rsidR="00EF6B45" w:rsidRPr="003C0D71">
        <w:rPr>
          <w:rFonts w:ascii="Times New Roman" w:hAnsi="Times New Roman" w:cs="Times New Roman"/>
          <w:noProof/>
        </w:rPr>
        <w:t>EU</w:t>
      </w:r>
      <w:r w:rsidRPr="003C0D71">
        <w:rPr>
          <w:rFonts w:ascii="Times New Roman" w:hAnsi="Times New Roman" w:cs="Times New Roman"/>
          <w:noProof/>
        </w:rPr>
        <w:t xml:space="preserve">. </w:t>
      </w:r>
    </w:p>
    <w:p w14:paraId="59F54EBA" w14:textId="2F172245" w:rsidR="00B17379" w:rsidRPr="003C0D71" w:rsidRDefault="00EC4C4A" w:rsidP="2603B6C4">
      <w:pPr>
        <w:jc w:val="both"/>
        <w:rPr>
          <w:rFonts w:ascii="Times New Roman" w:hAnsi="Times New Roman" w:cs="Times New Roman"/>
          <w:noProof/>
        </w:rPr>
      </w:pPr>
      <w:r w:rsidRPr="003C0D71">
        <w:rPr>
          <w:rFonts w:ascii="Times New Roman" w:hAnsi="Times New Roman" w:cs="Times New Roman"/>
          <w:noProof/>
        </w:rPr>
        <w:t>In light of this, t</w:t>
      </w:r>
      <w:r w:rsidR="2603B6C4" w:rsidRPr="003C0D71">
        <w:rPr>
          <w:rFonts w:ascii="Times New Roman" w:hAnsi="Times New Roman" w:cs="Times New Roman"/>
          <w:noProof/>
        </w:rPr>
        <w:t xml:space="preserve">he Commission considers </w:t>
      </w:r>
      <w:r w:rsidR="004C18E0">
        <w:rPr>
          <w:rFonts w:ascii="Times New Roman" w:hAnsi="Times New Roman" w:cs="Times New Roman"/>
          <w:noProof/>
        </w:rPr>
        <w:t xml:space="preserve">it premature to </w:t>
      </w:r>
      <w:r w:rsidR="2603B6C4" w:rsidRPr="003C0D71">
        <w:rPr>
          <w:rFonts w:ascii="Times New Roman" w:hAnsi="Times New Roman" w:cs="Times New Roman"/>
          <w:noProof/>
        </w:rPr>
        <w:t>introduc</w:t>
      </w:r>
      <w:r w:rsidR="004C18E0">
        <w:rPr>
          <w:rFonts w:ascii="Times New Roman" w:hAnsi="Times New Roman" w:cs="Times New Roman"/>
          <w:noProof/>
        </w:rPr>
        <w:t>e</w:t>
      </w:r>
      <w:r w:rsidR="2603B6C4" w:rsidRPr="003C0D71">
        <w:rPr>
          <w:rFonts w:ascii="Times New Roman" w:hAnsi="Times New Roman" w:cs="Times New Roman"/>
          <w:noProof/>
        </w:rPr>
        <w:t xml:space="preserve"> an STS equivalence regime</w:t>
      </w:r>
      <w:r w:rsidR="0083087D">
        <w:rPr>
          <w:rFonts w:ascii="Times New Roman" w:hAnsi="Times New Roman" w:cs="Times New Roman"/>
          <w:noProof/>
        </w:rPr>
        <w:t xml:space="preserve"> at this time.</w:t>
      </w:r>
      <w:r w:rsidR="2603B6C4" w:rsidRPr="003C0D71">
        <w:rPr>
          <w:rFonts w:ascii="Times New Roman" w:hAnsi="Times New Roman" w:cs="Times New Roman"/>
          <w:noProof/>
        </w:rPr>
        <w:t xml:space="preserve"> The EU STS regime is </w:t>
      </w:r>
      <w:r w:rsidR="00AF1B90" w:rsidRPr="003C0D71">
        <w:rPr>
          <w:rFonts w:ascii="Times New Roman" w:hAnsi="Times New Roman" w:cs="Times New Roman"/>
          <w:noProof/>
        </w:rPr>
        <w:t xml:space="preserve">still </w:t>
      </w:r>
      <w:r w:rsidR="2603B6C4" w:rsidRPr="003C0D71">
        <w:rPr>
          <w:rFonts w:ascii="Times New Roman" w:hAnsi="Times New Roman" w:cs="Times New Roman"/>
          <w:noProof/>
        </w:rPr>
        <w:t>evolving</w:t>
      </w:r>
      <w:r w:rsidR="0083087D">
        <w:rPr>
          <w:rFonts w:ascii="Times New Roman" w:hAnsi="Times New Roman" w:cs="Times New Roman"/>
          <w:noProof/>
        </w:rPr>
        <w:t>,</w:t>
      </w:r>
      <w:r w:rsidR="00EF6B45" w:rsidRPr="003C0D71">
        <w:rPr>
          <w:rFonts w:ascii="Times New Roman" w:hAnsi="Times New Roman" w:cs="Times New Roman"/>
          <w:noProof/>
        </w:rPr>
        <w:t xml:space="preserve"> </w:t>
      </w:r>
      <w:r w:rsidR="008148BD" w:rsidRPr="003C0D71">
        <w:rPr>
          <w:rFonts w:ascii="Times New Roman" w:hAnsi="Times New Roman" w:cs="Times New Roman"/>
          <w:noProof/>
        </w:rPr>
        <w:t>and the</w:t>
      </w:r>
      <w:r w:rsidR="2603B6C4" w:rsidRPr="003C0D71">
        <w:rPr>
          <w:rFonts w:ascii="Times New Roman" w:hAnsi="Times New Roman" w:cs="Times New Roman"/>
          <w:noProof/>
        </w:rPr>
        <w:t xml:space="preserve"> EU has recently </w:t>
      </w:r>
      <w:r w:rsidR="00805A04">
        <w:rPr>
          <w:rFonts w:ascii="Times New Roman" w:hAnsi="Times New Roman" w:cs="Times New Roman"/>
          <w:noProof/>
        </w:rPr>
        <w:t>established</w:t>
      </w:r>
      <w:r w:rsidR="00805A04" w:rsidRPr="003C0D71">
        <w:rPr>
          <w:rFonts w:ascii="Times New Roman" w:hAnsi="Times New Roman" w:cs="Times New Roman"/>
          <w:noProof/>
        </w:rPr>
        <w:t xml:space="preserve"> </w:t>
      </w:r>
      <w:r w:rsidR="2603B6C4" w:rsidRPr="003C0D71">
        <w:rPr>
          <w:rFonts w:ascii="Times New Roman" w:hAnsi="Times New Roman" w:cs="Times New Roman"/>
          <w:noProof/>
        </w:rPr>
        <w:t>a regime for STS</w:t>
      </w:r>
      <w:r w:rsidR="00621427" w:rsidRPr="003C0D71">
        <w:rPr>
          <w:rFonts w:ascii="Times New Roman" w:hAnsi="Times New Roman" w:cs="Times New Roman"/>
          <w:noProof/>
        </w:rPr>
        <w:t xml:space="preserve"> on-balance-sheet</w:t>
      </w:r>
      <w:r w:rsidR="2603B6C4" w:rsidRPr="003C0D71">
        <w:rPr>
          <w:rFonts w:ascii="Times New Roman" w:hAnsi="Times New Roman" w:cs="Times New Roman"/>
          <w:noProof/>
        </w:rPr>
        <w:t xml:space="preserve"> securitisations </w:t>
      </w:r>
      <w:r w:rsidRPr="003C0D71">
        <w:rPr>
          <w:rFonts w:ascii="Times New Roman" w:hAnsi="Times New Roman" w:cs="Times New Roman"/>
          <w:noProof/>
        </w:rPr>
        <w:t xml:space="preserve">that </w:t>
      </w:r>
      <w:r w:rsidR="2603B6C4" w:rsidRPr="003C0D71">
        <w:rPr>
          <w:rFonts w:ascii="Times New Roman" w:hAnsi="Times New Roman" w:cs="Times New Roman"/>
          <w:noProof/>
        </w:rPr>
        <w:t>does not exist in the UK.</w:t>
      </w:r>
      <w:r w:rsidR="002A178D" w:rsidRPr="003C0D71">
        <w:rPr>
          <w:rFonts w:ascii="Times New Roman" w:hAnsi="Times New Roman" w:cs="Times New Roman"/>
          <w:noProof/>
        </w:rPr>
        <w:t xml:space="preserve"> </w:t>
      </w:r>
      <w:r w:rsidR="00706712" w:rsidRPr="003C0D71">
        <w:rPr>
          <w:rFonts w:ascii="Times New Roman" w:hAnsi="Times New Roman" w:cs="Times New Roman"/>
          <w:noProof/>
        </w:rPr>
        <w:t xml:space="preserve">Moreover, </w:t>
      </w:r>
      <w:r w:rsidR="0083087D">
        <w:rPr>
          <w:rFonts w:ascii="Times New Roman" w:hAnsi="Times New Roman" w:cs="Times New Roman"/>
          <w:noProof/>
        </w:rPr>
        <w:t xml:space="preserve">it will only be feasible to </w:t>
      </w:r>
      <w:r w:rsidR="00706712" w:rsidRPr="003C0D71">
        <w:rPr>
          <w:rFonts w:ascii="Times New Roman" w:hAnsi="Times New Roman" w:cs="Times New Roman"/>
          <w:noProof/>
        </w:rPr>
        <w:t>r</w:t>
      </w:r>
      <w:r w:rsidR="2603B6C4" w:rsidRPr="003C0D71">
        <w:rPr>
          <w:rFonts w:ascii="Times New Roman" w:hAnsi="Times New Roman" w:cs="Times New Roman"/>
          <w:noProof/>
        </w:rPr>
        <w:t>eview third-country supervisory practi</w:t>
      </w:r>
      <w:r w:rsidR="007454D5">
        <w:rPr>
          <w:rFonts w:ascii="Times New Roman" w:hAnsi="Times New Roman" w:cs="Times New Roman"/>
          <w:noProof/>
        </w:rPr>
        <w:t>c</w:t>
      </w:r>
      <w:r w:rsidR="2603B6C4" w:rsidRPr="003C0D71">
        <w:rPr>
          <w:rFonts w:ascii="Times New Roman" w:hAnsi="Times New Roman" w:cs="Times New Roman"/>
          <w:noProof/>
        </w:rPr>
        <w:t>es</w:t>
      </w:r>
      <w:r w:rsidR="003F7BD4" w:rsidRPr="003C0D71">
        <w:rPr>
          <w:rFonts w:ascii="Times New Roman" w:hAnsi="Times New Roman" w:cs="Times New Roman"/>
          <w:noProof/>
        </w:rPr>
        <w:t xml:space="preserve"> </w:t>
      </w:r>
      <w:r w:rsidR="00BB11E5" w:rsidRPr="003C0D71">
        <w:rPr>
          <w:rFonts w:ascii="Times New Roman" w:hAnsi="Times New Roman" w:cs="Times New Roman"/>
          <w:noProof/>
        </w:rPr>
        <w:t>once</w:t>
      </w:r>
      <w:r w:rsidR="00136C15" w:rsidRPr="003C0D71">
        <w:rPr>
          <w:rFonts w:ascii="Times New Roman" w:hAnsi="Times New Roman" w:cs="Times New Roman"/>
          <w:noProof/>
        </w:rPr>
        <w:t xml:space="preserve"> </w:t>
      </w:r>
      <w:r w:rsidR="003F7BD4" w:rsidRPr="003C0D71">
        <w:rPr>
          <w:rFonts w:ascii="Times New Roman" w:hAnsi="Times New Roman" w:cs="Times New Roman"/>
          <w:noProof/>
        </w:rPr>
        <w:t xml:space="preserve">EU supervisory </w:t>
      </w:r>
      <w:r w:rsidR="001E204D" w:rsidRPr="003C0D71">
        <w:rPr>
          <w:rFonts w:ascii="Times New Roman" w:hAnsi="Times New Roman" w:cs="Times New Roman"/>
          <w:noProof/>
        </w:rPr>
        <w:t xml:space="preserve">practice </w:t>
      </w:r>
      <w:r w:rsidR="003F7BD4" w:rsidRPr="003C0D71">
        <w:rPr>
          <w:rFonts w:ascii="Times New Roman" w:hAnsi="Times New Roman" w:cs="Times New Roman"/>
          <w:noProof/>
        </w:rPr>
        <w:t>is</w:t>
      </w:r>
      <w:r w:rsidR="00136C15" w:rsidRPr="003C0D71">
        <w:rPr>
          <w:rFonts w:ascii="Times New Roman" w:hAnsi="Times New Roman" w:cs="Times New Roman"/>
          <w:noProof/>
        </w:rPr>
        <w:t xml:space="preserve"> </w:t>
      </w:r>
      <w:r w:rsidR="00BB11E5" w:rsidRPr="003C0D71">
        <w:rPr>
          <w:rFonts w:ascii="Times New Roman" w:hAnsi="Times New Roman" w:cs="Times New Roman"/>
          <w:noProof/>
        </w:rPr>
        <w:t>further</w:t>
      </w:r>
      <w:r w:rsidRPr="003C0D71">
        <w:rPr>
          <w:rFonts w:ascii="Times New Roman" w:hAnsi="Times New Roman" w:cs="Times New Roman"/>
          <w:noProof/>
        </w:rPr>
        <w:t xml:space="preserve"> developed and</w:t>
      </w:r>
      <w:r w:rsidR="00136C15" w:rsidRPr="003C0D71">
        <w:rPr>
          <w:rFonts w:ascii="Times New Roman" w:hAnsi="Times New Roman" w:cs="Times New Roman"/>
          <w:noProof/>
        </w:rPr>
        <w:t xml:space="preserve"> </w:t>
      </w:r>
      <w:r w:rsidRPr="003C0D71">
        <w:rPr>
          <w:rFonts w:ascii="Times New Roman" w:hAnsi="Times New Roman" w:cs="Times New Roman"/>
          <w:noProof/>
        </w:rPr>
        <w:t>become</w:t>
      </w:r>
      <w:r w:rsidR="00BB11E5" w:rsidRPr="003C0D71">
        <w:rPr>
          <w:rFonts w:ascii="Times New Roman" w:hAnsi="Times New Roman" w:cs="Times New Roman"/>
          <w:noProof/>
        </w:rPr>
        <w:t>s</w:t>
      </w:r>
      <w:r w:rsidRPr="003C0D71">
        <w:rPr>
          <w:rFonts w:ascii="Times New Roman" w:hAnsi="Times New Roman" w:cs="Times New Roman"/>
          <w:noProof/>
        </w:rPr>
        <w:t xml:space="preserve"> </w:t>
      </w:r>
      <w:r w:rsidR="00136C15" w:rsidRPr="003C0D71">
        <w:rPr>
          <w:rFonts w:ascii="Times New Roman" w:hAnsi="Times New Roman" w:cs="Times New Roman"/>
          <w:noProof/>
        </w:rPr>
        <w:t xml:space="preserve">fully </w:t>
      </w:r>
      <w:r w:rsidRPr="003C0D71">
        <w:rPr>
          <w:rFonts w:ascii="Times New Roman" w:hAnsi="Times New Roman" w:cs="Times New Roman"/>
          <w:noProof/>
        </w:rPr>
        <w:t xml:space="preserve">convergent </w:t>
      </w:r>
      <w:r w:rsidR="003F7BD4" w:rsidRPr="003C0D71">
        <w:rPr>
          <w:rFonts w:ascii="Times New Roman" w:hAnsi="Times New Roman" w:cs="Times New Roman"/>
          <w:noProof/>
        </w:rPr>
        <w:t>among EU supervisors</w:t>
      </w:r>
      <w:r w:rsidR="0047381E" w:rsidRPr="003C0D71">
        <w:rPr>
          <w:rFonts w:ascii="Times New Roman" w:hAnsi="Times New Roman" w:cs="Times New Roman"/>
          <w:noProof/>
        </w:rPr>
        <w:t>.</w:t>
      </w:r>
      <w:r w:rsidR="2603B6C4" w:rsidRPr="003C0D71">
        <w:rPr>
          <w:rFonts w:ascii="Times New Roman" w:hAnsi="Times New Roman" w:cs="Times New Roman"/>
          <w:noProof/>
        </w:rPr>
        <w:t xml:space="preserve"> </w:t>
      </w:r>
      <w:r w:rsidR="002C593B" w:rsidRPr="003C0D71">
        <w:rPr>
          <w:rFonts w:ascii="Times New Roman" w:hAnsi="Times New Roman" w:cs="Times New Roman"/>
          <w:noProof/>
        </w:rPr>
        <w:t xml:space="preserve">In this context, the peer review </w:t>
      </w:r>
      <w:r w:rsidR="0083087D">
        <w:rPr>
          <w:rFonts w:ascii="Times New Roman" w:hAnsi="Times New Roman" w:cs="Times New Roman"/>
          <w:noProof/>
        </w:rPr>
        <w:t>of</w:t>
      </w:r>
      <w:r w:rsidR="0083087D" w:rsidRPr="003C0D71">
        <w:rPr>
          <w:rFonts w:ascii="Times New Roman" w:hAnsi="Times New Roman" w:cs="Times New Roman"/>
          <w:noProof/>
        </w:rPr>
        <w:t xml:space="preserve"> </w:t>
      </w:r>
      <w:r w:rsidR="002C593B" w:rsidRPr="003C0D71">
        <w:rPr>
          <w:rFonts w:ascii="Times New Roman" w:hAnsi="Times New Roman" w:cs="Times New Roman"/>
          <w:noProof/>
        </w:rPr>
        <w:t>the implementation of STS requirements</w:t>
      </w:r>
      <w:r w:rsidR="00B02AC2" w:rsidRPr="003C0D71">
        <w:rPr>
          <w:rFonts w:ascii="Times New Roman" w:hAnsi="Times New Roman" w:cs="Times New Roman"/>
          <w:noProof/>
        </w:rPr>
        <w:t xml:space="preserve"> </w:t>
      </w:r>
      <w:r w:rsidR="0083087D">
        <w:rPr>
          <w:rFonts w:ascii="Times New Roman" w:hAnsi="Times New Roman" w:cs="Times New Roman"/>
          <w:noProof/>
        </w:rPr>
        <w:t>is crucial</w:t>
      </w:r>
      <w:r w:rsidR="00B02AC2" w:rsidRPr="003C0D71">
        <w:rPr>
          <w:rFonts w:ascii="Times New Roman" w:hAnsi="Times New Roman" w:cs="Times New Roman"/>
          <w:noProof/>
        </w:rPr>
        <w:t xml:space="preserve"> to </w:t>
      </w:r>
      <w:r w:rsidR="0083087D">
        <w:rPr>
          <w:rFonts w:ascii="Times New Roman" w:hAnsi="Times New Roman" w:cs="Times New Roman"/>
          <w:noProof/>
        </w:rPr>
        <w:t>gain</w:t>
      </w:r>
      <w:r w:rsidR="004734B9">
        <w:rPr>
          <w:rFonts w:ascii="Times New Roman" w:hAnsi="Times New Roman" w:cs="Times New Roman"/>
          <w:noProof/>
        </w:rPr>
        <w:t>ing</w:t>
      </w:r>
      <w:r w:rsidR="0083087D" w:rsidRPr="003C0D71">
        <w:rPr>
          <w:rFonts w:ascii="Times New Roman" w:hAnsi="Times New Roman" w:cs="Times New Roman"/>
          <w:noProof/>
        </w:rPr>
        <w:t xml:space="preserve"> </w:t>
      </w:r>
      <w:r w:rsidR="00B02AC2" w:rsidRPr="003C0D71">
        <w:rPr>
          <w:rFonts w:ascii="Times New Roman" w:hAnsi="Times New Roman" w:cs="Times New Roman"/>
          <w:noProof/>
        </w:rPr>
        <w:t>an overview o</w:t>
      </w:r>
      <w:r w:rsidR="0083087D">
        <w:rPr>
          <w:rFonts w:ascii="Times New Roman" w:hAnsi="Times New Roman" w:cs="Times New Roman"/>
          <w:noProof/>
        </w:rPr>
        <w:t>f</w:t>
      </w:r>
      <w:r w:rsidR="00B02AC2" w:rsidRPr="003C0D71">
        <w:rPr>
          <w:rFonts w:ascii="Times New Roman" w:hAnsi="Times New Roman" w:cs="Times New Roman"/>
          <w:noProof/>
        </w:rPr>
        <w:t xml:space="preserve"> the supervision of the STS regime in the EU. This peer review</w:t>
      </w:r>
      <w:r w:rsidR="0083087D">
        <w:rPr>
          <w:rFonts w:ascii="Times New Roman" w:hAnsi="Times New Roman" w:cs="Times New Roman"/>
          <w:noProof/>
        </w:rPr>
        <w:t>,</w:t>
      </w:r>
      <w:r w:rsidR="002C593B" w:rsidRPr="003C0D71">
        <w:rPr>
          <w:rFonts w:ascii="Times New Roman" w:hAnsi="Times New Roman" w:cs="Times New Roman"/>
          <w:noProof/>
        </w:rPr>
        <w:t xml:space="preserve"> </w:t>
      </w:r>
      <w:r w:rsidR="0083087D">
        <w:rPr>
          <w:rFonts w:ascii="Times New Roman" w:hAnsi="Times New Roman" w:cs="Times New Roman"/>
          <w:noProof/>
        </w:rPr>
        <w:t>which</w:t>
      </w:r>
      <w:r w:rsidR="0083087D" w:rsidRPr="003C0D71">
        <w:rPr>
          <w:rFonts w:ascii="Times New Roman" w:hAnsi="Times New Roman" w:cs="Times New Roman"/>
          <w:noProof/>
        </w:rPr>
        <w:t xml:space="preserve"> </w:t>
      </w:r>
      <w:r w:rsidR="002C593B" w:rsidRPr="003C0D71">
        <w:rPr>
          <w:rFonts w:ascii="Times New Roman" w:hAnsi="Times New Roman" w:cs="Times New Roman"/>
          <w:noProof/>
        </w:rPr>
        <w:t xml:space="preserve">was </w:t>
      </w:r>
      <w:r w:rsidR="00F01259">
        <w:rPr>
          <w:rFonts w:ascii="Times New Roman" w:hAnsi="Times New Roman" w:cs="Times New Roman"/>
          <w:noProof/>
        </w:rPr>
        <w:t xml:space="preserve">originally </w:t>
      </w:r>
      <w:r w:rsidR="002C593B" w:rsidRPr="003C0D71">
        <w:rPr>
          <w:rFonts w:ascii="Times New Roman" w:hAnsi="Times New Roman" w:cs="Times New Roman"/>
          <w:noProof/>
        </w:rPr>
        <w:t xml:space="preserve">supposed to be </w:t>
      </w:r>
      <w:r w:rsidR="0083087D">
        <w:rPr>
          <w:rFonts w:ascii="Times New Roman" w:hAnsi="Times New Roman" w:cs="Times New Roman"/>
          <w:noProof/>
        </w:rPr>
        <w:t>completed</w:t>
      </w:r>
      <w:r w:rsidR="0083087D" w:rsidRPr="003C0D71">
        <w:rPr>
          <w:rFonts w:ascii="Times New Roman" w:hAnsi="Times New Roman" w:cs="Times New Roman"/>
          <w:noProof/>
        </w:rPr>
        <w:t xml:space="preserve"> </w:t>
      </w:r>
      <w:r w:rsidR="002C593B" w:rsidRPr="003C0D71">
        <w:rPr>
          <w:rFonts w:ascii="Times New Roman" w:hAnsi="Times New Roman" w:cs="Times New Roman"/>
          <w:noProof/>
        </w:rPr>
        <w:t>by 1</w:t>
      </w:r>
      <w:r w:rsidR="007454D5">
        <w:rPr>
          <w:rFonts w:ascii="Times New Roman" w:hAnsi="Times New Roman" w:cs="Times New Roman"/>
          <w:noProof/>
        </w:rPr>
        <w:t> </w:t>
      </w:r>
      <w:r w:rsidR="002C593B" w:rsidRPr="003C0D71">
        <w:rPr>
          <w:rFonts w:ascii="Times New Roman" w:hAnsi="Times New Roman" w:cs="Times New Roman"/>
          <w:noProof/>
        </w:rPr>
        <w:t>January</w:t>
      </w:r>
      <w:r w:rsidR="007454D5">
        <w:rPr>
          <w:rFonts w:ascii="Times New Roman" w:hAnsi="Times New Roman" w:cs="Times New Roman"/>
          <w:noProof/>
        </w:rPr>
        <w:t> </w:t>
      </w:r>
      <w:r w:rsidR="002C593B" w:rsidRPr="003C0D71">
        <w:rPr>
          <w:rFonts w:ascii="Times New Roman" w:hAnsi="Times New Roman" w:cs="Times New Roman"/>
          <w:noProof/>
        </w:rPr>
        <w:t>2022</w:t>
      </w:r>
      <w:r w:rsidR="00EA2FAC" w:rsidRPr="003C0D71">
        <w:rPr>
          <w:rStyle w:val="FootnoteReference"/>
          <w:rFonts w:ascii="Times New Roman" w:hAnsi="Times New Roman" w:cs="Times New Roman"/>
          <w:noProof/>
        </w:rPr>
        <w:footnoteReference w:id="26"/>
      </w:r>
      <w:r w:rsidR="0083087D">
        <w:rPr>
          <w:rFonts w:ascii="Times New Roman" w:hAnsi="Times New Roman" w:cs="Times New Roman"/>
          <w:noProof/>
        </w:rPr>
        <w:t>,</w:t>
      </w:r>
      <w:r w:rsidR="00B02AC2" w:rsidRPr="003C0D71">
        <w:rPr>
          <w:rFonts w:ascii="Times New Roman" w:hAnsi="Times New Roman" w:cs="Times New Roman"/>
          <w:noProof/>
        </w:rPr>
        <w:t xml:space="preserve"> </w:t>
      </w:r>
      <w:r w:rsidR="0083087D">
        <w:rPr>
          <w:rFonts w:ascii="Times New Roman" w:hAnsi="Times New Roman" w:cs="Times New Roman"/>
          <w:noProof/>
        </w:rPr>
        <w:t>has been</w:t>
      </w:r>
      <w:r w:rsidR="00B02AC2" w:rsidRPr="003C0D71">
        <w:rPr>
          <w:rFonts w:ascii="Times New Roman" w:hAnsi="Times New Roman" w:cs="Times New Roman"/>
          <w:noProof/>
        </w:rPr>
        <w:t xml:space="preserve"> postponed to 2024</w:t>
      </w:r>
      <w:r w:rsidR="002C593B" w:rsidRPr="003C0D71">
        <w:rPr>
          <w:rFonts w:ascii="Times New Roman" w:hAnsi="Times New Roman" w:cs="Times New Roman"/>
          <w:noProof/>
        </w:rPr>
        <w:t>.</w:t>
      </w:r>
    </w:p>
    <w:p w14:paraId="32DA28BC" w14:textId="19387CD8" w:rsidR="0077092A" w:rsidRDefault="008148BD" w:rsidP="2603B6C4">
      <w:pPr>
        <w:jc w:val="both"/>
        <w:rPr>
          <w:rFonts w:ascii="Times New Roman" w:hAnsi="Times New Roman" w:cs="Times New Roman"/>
          <w:noProof/>
        </w:rPr>
      </w:pPr>
      <w:r w:rsidRPr="003C0D71">
        <w:rPr>
          <w:rFonts w:ascii="Times New Roman" w:hAnsi="Times New Roman" w:cs="Times New Roman"/>
          <w:noProof/>
        </w:rPr>
        <w:t>N</w:t>
      </w:r>
      <w:r w:rsidR="2603B6C4" w:rsidRPr="003C0D71">
        <w:rPr>
          <w:rFonts w:ascii="Times New Roman" w:hAnsi="Times New Roman" w:cs="Times New Roman"/>
          <w:noProof/>
        </w:rPr>
        <w:t>otwithstanding</w:t>
      </w:r>
      <w:r w:rsidRPr="003C0D71">
        <w:rPr>
          <w:rFonts w:ascii="Times New Roman" w:hAnsi="Times New Roman" w:cs="Times New Roman"/>
          <w:noProof/>
        </w:rPr>
        <w:t xml:space="preserve"> this</w:t>
      </w:r>
      <w:r w:rsidR="2603B6C4" w:rsidRPr="003C0D71">
        <w:rPr>
          <w:rFonts w:ascii="Times New Roman" w:hAnsi="Times New Roman" w:cs="Times New Roman"/>
          <w:noProof/>
        </w:rPr>
        <w:t xml:space="preserve">, the Commission will continue to monitor relevant regulatory developments in third-country jurisdictions </w:t>
      </w:r>
      <w:r w:rsidR="004734B9">
        <w:rPr>
          <w:rFonts w:ascii="Times New Roman" w:hAnsi="Times New Roman" w:cs="Times New Roman"/>
          <w:noProof/>
        </w:rPr>
        <w:t>that</w:t>
      </w:r>
      <w:r w:rsidR="004734B9" w:rsidRPr="003C0D71">
        <w:rPr>
          <w:rFonts w:ascii="Times New Roman" w:hAnsi="Times New Roman" w:cs="Times New Roman"/>
          <w:noProof/>
        </w:rPr>
        <w:t xml:space="preserve"> </w:t>
      </w:r>
      <w:r w:rsidR="2603B6C4" w:rsidRPr="003C0D71">
        <w:rPr>
          <w:rFonts w:ascii="Times New Roman" w:hAnsi="Times New Roman" w:cs="Times New Roman"/>
          <w:noProof/>
        </w:rPr>
        <w:t>could lead to the adoption of similar securitisation regimes</w:t>
      </w:r>
      <w:r w:rsidR="0093004C" w:rsidRPr="003C0D71">
        <w:rPr>
          <w:rFonts w:ascii="Times New Roman" w:hAnsi="Times New Roman" w:cs="Times New Roman"/>
          <w:noProof/>
        </w:rPr>
        <w:t xml:space="preserve"> in line with </w:t>
      </w:r>
      <w:r w:rsidR="2603B6C4" w:rsidRPr="003C0D71">
        <w:rPr>
          <w:rFonts w:ascii="Times New Roman" w:hAnsi="Times New Roman" w:cs="Times New Roman"/>
          <w:noProof/>
        </w:rPr>
        <w:t>the Simple, Transparent and Comparable standard developed by the Basel Committee on Banking Supervision and the International Organization of Securities Commissions</w:t>
      </w:r>
      <w:r w:rsidR="004734B9">
        <w:rPr>
          <w:rFonts w:ascii="Times New Roman" w:hAnsi="Times New Roman" w:cs="Times New Roman"/>
          <w:noProof/>
        </w:rPr>
        <w:t>,</w:t>
      </w:r>
      <w:r w:rsidR="00540E9B" w:rsidRPr="003C0D71">
        <w:rPr>
          <w:rFonts w:ascii="Times New Roman" w:hAnsi="Times New Roman" w:cs="Times New Roman"/>
          <w:noProof/>
        </w:rPr>
        <w:t xml:space="preserve"> </w:t>
      </w:r>
      <w:r w:rsidR="00EF6B45" w:rsidRPr="003C0D71">
        <w:rPr>
          <w:rFonts w:ascii="Times New Roman" w:hAnsi="Times New Roman" w:cs="Times New Roman"/>
          <w:noProof/>
        </w:rPr>
        <w:t xml:space="preserve">on </w:t>
      </w:r>
      <w:r w:rsidRPr="003C0D71">
        <w:rPr>
          <w:rFonts w:ascii="Times New Roman" w:hAnsi="Times New Roman" w:cs="Times New Roman"/>
          <w:noProof/>
        </w:rPr>
        <w:t>which the</w:t>
      </w:r>
      <w:r w:rsidR="00540E9B" w:rsidRPr="003C0D71">
        <w:rPr>
          <w:rFonts w:ascii="Times New Roman" w:hAnsi="Times New Roman" w:cs="Times New Roman"/>
          <w:noProof/>
        </w:rPr>
        <w:t xml:space="preserve"> EU STS regime is </w:t>
      </w:r>
      <w:r w:rsidR="00E17928">
        <w:rPr>
          <w:rFonts w:ascii="Times New Roman" w:hAnsi="Times New Roman" w:cs="Times New Roman"/>
          <w:noProof/>
        </w:rPr>
        <w:t>founded</w:t>
      </w:r>
      <w:r w:rsidR="2603B6C4" w:rsidRPr="003C0D71">
        <w:rPr>
          <w:rFonts w:ascii="Times New Roman" w:hAnsi="Times New Roman" w:cs="Times New Roman"/>
          <w:noProof/>
        </w:rPr>
        <w:t xml:space="preserve">. </w:t>
      </w:r>
    </w:p>
    <w:p w14:paraId="5149CD94" w14:textId="77777777" w:rsidR="00130B54" w:rsidRPr="003C0D71" w:rsidRDefault="00130B54" w:rsidP="00130B54">
      <w:pPr>
        <w:jc w:val="both"/>
        <w:rPr>
          <w:rFonts w:ascii="Times New Roman" w:hAnsi="Times New Roman" w:cs="Times New Roman"/>
          <w:noProof/>
        </w:rPr>
      </w:pPr>
      <w:r>
        <w:rPr>
          <w:rFonts w:ascii="Times New Roman" w:hAnsi="Times New Roman" w:cs="Times New Roman"/>
          <w:noProof/>
        </w:rPr>
        <w:t xml:space="preserve">Should the current situation change, the Commission might re-consider the need and appropriateness to introduce </w:t>
      </w:r>
      <w:r w:rsidRPr="003C0D71">
        <w:rPr>
          <w:rFonts w:ascii="Times New Roman" w:hAnsi="Times New Roman" w:cs="Times New Roman"/>
          <w:noProof/>
        </w:rPr>
        <w:t>an STS equivalence regime</w:t>
      </w:r>
      <w:r>
        <w:rPr>
          <w:rFonts w:ascii="Times New Roman" w:hAnsi="Times New Roman" w:cs="Times New Roman"/>
          <w:noProof/>
        </w:rPr>
        <w:t>.</w:t>
      </w:r>
    </w:p>
    <w:p w14:paraId="7659951A" w14:textId="77777777" w:rsidR="005D192F" w:rsidRPr="003C0D71" w:rsidRDefault="2603B6C4" w:rsidP="005D192F">
      <w:pPr>
        <w:pStyle w:val="Heading1"/>
        <w:numPr>
          <w:ilvl w:val="0"/>
          <w:numId w:val="2"/>
        </w:numPr>
        <w:rPr>
          <w:rFonts w:ascii="Times New Roman" w:hAnsi="Times New Roman" w:cs="Times New Roman"/>
          <w:noProof/>
          <w:color w:val="auto"/>
        </w:rPr>
      </w:pPr>
      <w:bookmarkStart w:id="45" w:name="_Toc104283071"/>
      <w:bookmarkStart w:id="46" w:name="_Toc104286139"/>
      <w:bookmarkStart w:id="47" w:name="_Toc104297344"/>
      <w:bookmarkStart w:id="48" w:name="_Toc115346213"/>
      <w:r w:rsidRPr="003C0D71">
        <w:rPr>
          <w:rFonts w:ascii="Times New Roman" w:hAnsi="Times New Roman" w:cs="Times New Roman"/>
          <w:noProof/>
          <w:color w:val="auto"/>
        </w:rPr>
        <w:t>Sustainable securitisation</w:t>
      </w:r>
      <w:bookmarkEnd w:id="45"/>
      <w:bookmarkEnd w:id="46"/>
      <w:bookmarkEnd w:id="47"/>
      <w:bookmarkEnd w:id="48"/>
    </w:p>
    <w:p w14:paraId="65B9FA5B" w14:textId="77777777" w:rsidR="00AA1401" w:rsidRPr="003C0D71" w:rsidRDefault="2603B6C4" w:rsidP="000D4664">
      <w:pPr>
        <w:rPr>
          <w:rFonts w:ascii="Times New Roman" w:hAnsi="Times New Roman" w:cs="Times New Roman"/>
          <w:b/>
          <w:noProof/>
          <w:sz w:val="24"/>
        </w:rPr>
      </w:pPr>
      <w:r w:rsidRPr="003C0D71">
        <w:rPr>
          <w:rFonts w:ascii="Times New Roman" w:hAnsi="Times New Roman" w:cs="Times New Roman"/>
          <w:b/>
          <w:noProof/>
          <w:sz w:val="24"/>
        </w:rPr>
        <w:t>Background and findings</w:t>
      </w:r>
    </w:p>
    <w:p w14:paraId="2AC67543" w14:textId="6378C906" w:rsidR="00CC215D" w:rsidRPr="003C0D71" w:rsidRDefault="2603B6C4" w:rsidP="2603B6C4">
      <w:pPr>
        <w:jc w:val="both"/>
        <w:rPr>
          <w:rFonts w:ascii="Times New Roman" w:hAnsi="Times New Roman" w:cs="Times New Roman"/>
          <w:noProof/>
        </w:rPr>
      </w:pPr>
      <w:r w:rsidRPr="003C0D71">
        <w:rPr>
          <w:rFonts w:ascii="Times New Roman" w:hAnsi="Times New Roman" w:cs="Times New Roman"/>
          <w:noProof/>
        </w:rPr>
        <w:t xml:space="preserve">The Securitisation </w:t>
      </w:r>
      <w:r w:rsidRPr="00F01259">
        <w:rPr>
          <w:rFonts w:ascii="Times New Roman" w:hAnsi="Times New Roman" w:cs="Times New Roman"/>
          <w:noProof/>
        </w:rPr>
        <w:t xml:space="preserve">Regulation </w:t>
      </w:r>
      <w:r w:rsidR="00083B45">
        <w:rPr>
          <w:rFonts w:ascii="Times New Roman" w:hAnsi="Times New Roman" w:cs="Times New Roman"/>
          <w:noProof/>
        </w:rPr>
        <w:t>imposes</w:t>
      </w:r>
      <w:r w:rsidR="00083B45" w:rsidRPr="003C0D71">
        <w:rPr>
          <w:rFonts w:ascii="Times New Roman" w:hAnsi="Times New Roman" w:cs="Times New Roman"/>
          <w:noProof/>
        </w:rPr>
        <w:t xml:space="preserve"> </w:t>
      </w:r>
      <w:r w:rsidR="00A10BBA" w:rsidRPr="003C0D71">
        <w:rPr>
          <w:rFonts w:ascii="Times New Roman" w:hAnsi="Times New Roman" w:cs="Times New Roman"/>
          <w:noProof/>
        </w:rPr>
        <w:t xml:space="preserve">only </w:t>
      </w:r>
      <w:r w:rsidRPr="003C0D71">
        <w:rPr>
          <w:rFonts w:ascii="Times New Roman" w:hAnsi="Times New Roman" w:cs="Times New Roman"/>
          <w:noProof/>
        </w:rPr>
        <w:t xml:space="preserve">a limited </w:t>
      </w:r>
      <w:r w:rsidR="00A10BBA" w:rsidRPr="003C0D71">
        <w:rPr>
          <w:rFonts w:ascii="Times New Roman" w:hAnsi="Times New Roman" w:cs="Times New Roman"/>
          <w:noProof/>
        </w:rPr>
        <w:t xml:space="preserve">obligation </w:t>
      </w:r>
      <w:r w:rsidR="00B20E2C">
        <w:rPr>
          <w:rFonts w:ascii="Times New Roman" w:hAnsi="Times New Roman" w:cs="Times New Roman"/>
          <w:noProof/>
        </w:rPr>
        <w:t>to make</w:t>
      </w:r>
      <w:r w:rsidR="00B20E2C" w:rsidRPr="003C0D71">
        <w:rPr>
          <w:rFonts w:ascii="Times New Roman" w:hAnsi="Times New Roman" w:cs="Times New Roman"/>
          <w:noProof/>
        </w:rPr>
        <w:t xml:space="preserve"> </w:t>
      </w:r>
      <w:r w:rsidRPr="003C0D71">
        <w:rPr>
          <w:rFonts w:ascii="Times New Roman" w:hAnsi="Times New Roman" w:cs="Times New Roman"/>
          <w:noProof/>
        </w:rPr>
        <w:t xml:space="preserve">sustainability disclosures. For STS securitisations, the sell-side party has to publish the available information </w:t>
      </w:r>
      <w:r w:rsidR="00E17928">
        <w:rPr>
          <w:rFonts w:ascii="Times New Roman" w:hAnsi="Times New Roman" w:cs="Times New Roman"/>
          <w:noProof/>
        </w:rPr>
        <w:t>on</w:t>
      </w:r>
      <w:r w:rsidRPr="003C0D71">
        <w:rPr>
          <w:rFonts w:ascii="Times New Roman" w:hAnsi="Times New Roman" w:cs="Times New Roman"/>
          <w:noProof/>
        </w:rPr>
        <w:t xml:space="preserve"> the environmental performance of the assets financed by residential loans or auto loans or leases. </w:t>
      </w:r>
      <w:r w:rsidR="00A8455E" w:rsidRPr="003C0D71">
        <w:rPr>
          <w:rFonts w:ascii="Times New Roman" w:hAnsi="Times New Roman" w:cs="Times New Roman"/>
          <w:noProof/>
        </w:rPr>
        <w:t>T</w:t>
      </w:r>
      <w:r w:rsidRPr="003C0D71">
        <w:rPr>
          <w:rFonts w:ascii="Times New Roman" w:hAnsi="Times New Roman" w:cs="Times New Roman"/>
          <w:noProof/>
        </w:rPr>
        <w:t xml:space="preserve">he </w:t>
      </w:r>
      <w:r w:rsidR="009F6AB1" w:rsidRPr="003C0D71">
        <w:rPr>
          <w:rFonts w:ascii="Times New Roman" w:hAnsi="Times New Roman" w:cs="Times New Roman"/>
          <w:noProof/>
        </w:rPr>
        <w:t xml:space="preserve">Capital Markets </w:t>
      </w:r>
      <w:r w:rsidR="00903390">
        <w:rPr>
          <w:rFonts w:ascii="Times New Roman" w:hAnsi="Times New Roman" w:cs="Times New Roman"/>
          <w:noProof/>
        </w:rPr>
        <w:t>R</w:t>
      </w:r>
      <w:r w:rsidR="009F6AB1" w:rsidRPr="003C0D71">
        <w:rPr>
          <w:rFonts w:ascii="Times New Roman" w:hAnsi="Times New Roman" w:cs="Times New Roman"/>
          <w:noProof/>
        </w:rPr>
        <w:t xml:space="preserve">ecovery </w:t>
      </w:r>
      <w:r w:rsidR="00903390">
        <w:rPr>
          <w:rFonts w:ascii="Times New Roman" w:hAnsi="Times New Roman" w:cs="Times New Roman"/>
          <w:noProof/>
        </w:rPr>
        <w:t>P</w:t>
      </w:r>
      <w:r w:rsidR="009F6AB1" w:rsidRPr="003C0D71">
        <w:rPr>
          <w:rFonts w:ascii="Times New Roman" w:hAnsi="Times New Roman" w:cs="Times New Roman"/>
          <w:noProof/>
        </w:rPr>
        <w:t>ackage</w:t>
      </w:r>
      <w:r w:rsidRPr="003C0D71">
        <w:rPr>
          <w:rFonts w:ascii="Times New Roman" w:hAnsi="Times New Roman" w:cs="Times New Roman"/>
          <w:noProof/>
        </w:rPr>
        <w:t xml:space="preserve"> amendments</w:t>
      </w:r>
      <w:r w:rsidR="00A8455E" w:rsidRPr="003C0D71">
        <w:rPr>
          <w:rFonts w:ascii="Times New Roman" w:hAnsi="Times New Roman" w:cs="Times New Roman"/>
          <w:noProof/>
        </w:rPr>
        <w:t xml:space="preserve"> added the option for</w:t>
      </w:r>
      <w:r w:rsidRPr="003C0D71">
        <w:rPr>
          <w:rFonts w:ascii="Times New Roman" w:hAnsi="Times New Roman" w:cs="Times New Roman"/>
          <w:noProof/>
        </w:rPr>
        <w:t xml:space="preserve"> originators to publish</w:t>
      </w:r>
      <w:r w:rsidR="00905C86" w:rsidRPr="00905C86">
        <w:rPr>
          <w:rFonts w:ascii="Times New Roman" w:hAnsi="Times New Roman" w:cs="Times New Roman"/>
          <w:noProof/>
        </w:rPr>
        <w:t xml:space="preserve"> </w:t>
      </w:r>
      <w:r w:rsidR="00905C86" w:rsidRPr="006C20A4">
        <w:rPr>
          <w:rFonts w:ascii="Times New Roman" w:hAnsi="Times New Roman" w:cs="Times New Roman"/>
          <w:noProof/>
        </w:rPr>
        <w:t>instead</w:t>
      </w:r>
      <w:r w:rsidRPr="003C0D71">
        <w:rPr>
          <w:rFonts w:ascii="Times New Roman" w:hAnsi="Times New Roman" w:cs="Times New Roman"/>
          <w:noProof/>
        </w:rPr>
        <w:t xml:space="preserve"> </w:t>
      </w:r>
      <w:r w:rsidRPr="006C20A4">
        <w:rPr>
          <w:rFonts w:ascii="Times New Roman" w:hAnsi="Times New Roman" w:cs="Times New Roman"/>
          <w:noProof/>
        </w:rPr>
        <w:t>available information on the princip</w:t>
      </w:r>
      <w:r w:rsidR="004E3428" w:rsidRPr="006C20A4">
        <w:rPr>
          <w:rFonts w:ascii="Times New Roman" w:hAnsi="Times New Roman" w:cs="Times New Roman"/>
          <w:noProof/>
        </w:rPr>
        <w:t xml:space="preserve">al </w:t>
      </w:r>
      <w:r w:rsidRPr="006C20A4">
        <w:rPr>
          <w:rFonts w:ascii="Times New Roman" w:hAnsi="Times New Roman" w:cs="Times New Roman"/>
          <w:noProof/>
        </w:rPr>
        <w:t xml:space="preserve">adverse impact </w:t>
      </w:r>
      <w:r w:rsidR="00210A89" w:rsidRPr="006C20A4">
        <w:rPr>
          <w:rFonts w:ascii="Times New Roman" w:hAnsi="Times New Roman" w:cs="Times New Roman"/>
          <w:noProof/>
        </w:rPr>
        <w:t xml:space="preserve">on sustainability factors </w:t>
      </w:r>
      <w:r w:rsidRPr="006C20A4">
        <w:rPr>
          <w:rFonts w:ascii="Times New Roman" w:hAnsi="Times New Roman" w:cs="Times New Roman"/>
          <w:noProof/>
        </w:rPr>
        <w:t>of th</w:t>
      </w:r>
      <w:r w:rsidR="00C17EB8" w:rsidRPr="006C20A4">
        <w:rPr>
          <w:rFonts w:ascii="Times New Roman" w:hAnsi="Times New Roman" w:cs="Times New Roman"/>
          <w:noProof/>
        </w:rPr>
        <w:t xml:space="preserve">e </w:t>
      </w:r>
      <w:r w:rsidRPr="006C20A4">
        <w:rPr>
          <w:rFonts w:ascii="Times New Roman" w:hAnsi="Times New Roman" w:cs="Times New Roman"/>
          <w:noProof/>
        </w:rPr>
        <w:t>assets</w:t>
      </w:r>
      <w:r w:rsidR="00AF6F0C" w:rsidRPr="006C20A4">
        <w:rPr>
          <w:rFonts w:ascii="Times New Roman" w:hAnsi="Times New Roman" w:cs="Times New Roman"/>
          <w:noProof/>
        </w:rPr>
        <w:t xml:space="preserve"> </w:t>
      </w:r>
      <w:r w:rsidR="00C17EB8" w:rsidRPr="006C20A4">
        <w:rPr>
          <w:rFonts w:ascii="Times New Roman" w:hAnsi="Times New Roman" w:cs="Times New Roman"/>
          <w:noProof/>
        </w:rPr>
        <w:t>financed by underlying exposures</w:t>
      </w:r>
      <w:r w:rsidRPr="003C0D71">
        <w:rPr>
          <w:rFonts w:ascii="Times New Roman" w:hAnsi="Times New Roman" w:cs="Times New Roman"/>
          <w:noProof/>
        </w:rPr>
        <w:t>.</w:t>
      </w:r>
    </w:p>
    <w:p w14:paraId="1A8D5D04" w14:textId="6961ABBF" w:rsidR="008461C3" w:rsidRPr="003C0D71" w:rsidRDefault="00363206" w:rsidP="2603B6C4">
      <w:pPr>
        <w:jc w:val="both"/>
        <w:rPr>
          <w:rFonts w:ascii="Times New Roman" w:hAnsi="Times New Roman" w:cs="Times New Roman"/>
          <w:noProof/>
        </w:rPr>
      </w:pPr>
      <w:r w:rsidRPr="003C0D71">
        <w:rPr>
          <w:rFonts w:ascii="Times New Roman" w:hAnsi="Times New Roman" w:cs="Times New Roman"/>
          <w:noProof/>
        </w:rPr>
        <w:t>In</w:t>
      </w:r>
      <w:r w:rsidR="00E0702E" w:rsidRPr="003C0D71">
        <w:rPr>
          <w:rFonts w:ascii="Times New Roman" w:hAnsi="Times New Roman" w:cs="Times New Roman"/>
          <w:noProof/>
        </w:rPr>
        <w:t xml:space="preserve"> addition to</w:t>
      </w:r>
      <w:r w:rsidR="008148BD" w:rsidRPr="003C0D71">
        <w:rPr>
          <w:rFonts w:ascii="Times New Roman" w:hAnsi="Times New Roman" w:cs="Times New Roman"/>
          <w:noProof/>
        </w:rPr>
        <w:t xml:space="preserve"> the mandate under </w:t>
      </w:r>
      <w:r w:rsidR="2603B6C4" w:rsidRPr="006C20A4">
        <w:rPr>
          <w:rFonts w:ascii="Times New Roman" w:hAnsi="Times New Roman" w:cs="Times New Roman"/>
          <w:noProof/>
        </w:rPr>
        <w:t>Article 46(e), Article 45a(e)</w:t>
      </w:r>
      <w:r w:rsidR="2603B6C4" w:rsidRPr="003C0D71">
        <w:rPr>
          <w:rFonts w:ascii="Times New Roman" w:hAnsi="Times New Roman" w:cs="Times New Roman"/>
          <w:noProof/>
        </w:rPr>
        <w:t xml:space="preserve"> </w:t>
      </w:r>
      <w:r w:rsidR="00E17928">
        <w:rPr>
          <w:rFonts w:ascii="Times New Roman" w:hAnsi="Times New Roman" w:cs="Times New Roman"/>
          <w:noProof/>
        </w:rPr>
        <w:t>asks</w:t>
      </w:r>
      <w:r w:rsidR="00E17928" w:rsidRPr="003C0D71">
        <w:rPr>
          <w:rFonts w:ascii="Times New Roman" w:hAnsi="Times New Roman" w:cs="Times New Roman"/>
          <w:noProof/>
        </w:rPr>
        <w:t xml:space="preserve"> </w:t>
      </w:r>
      <w:r w:rsidR="2603B6C4" w:rsidRPr="003C0D71">
        <w:rPr>
          <w:rFonts w:ascii="Times New Roman" w:hAnsi="Times New Roman" w:cs="Times New Roman"/>
          <w:noProof/>
        </w:rPr>
        <w:t>the Commission to report on the creation of a specific sustainable securitisation framework</w:t>
      </w:r>
      <w:r w:rsidR="00B20E2C">
        <w:rPr>
          <w:rFonts w:ascii="Times New Roman" w:hAnsi="Times New Roman" w:cs="Times New Roman"/>
          <w:noProof/>
        </w:rPr>
        <w:t>,</w:t>
      </w:r>
      <w:r w:rsidR="2603B6C4" w:rsidRPr="003C0D71">
        <w:rPr>
          <w:rFonts w:ascii="Times New Roman" w:hAnsi="Times New Roman" w:cs="Times New Roman"/>
          <w:noProof/>
        </w:rPr>
        <w:t xml:space="preserve"> on the basis of a report by the EBA </w:t>
      </w:r>
      <w:r w:rsidR="2603B6C4" w:rsidRPr="00C65F22">
        <w:rPr>
          <w:rFonts w:ascii="Times New Roman" w:hAnsi="Times New Roman" w:cs="Times New Roman"/>
          <w:noProof/>
        </w:rPr>
        <w:t>(</w:t>
      </w:r>
      <w:r w:rsidR="00C65F22" w:rsidRPr="00C65F22">
        <w:rPr>
          <w:rFonts w:ascii="Times New Roman" w:hAnsi="Times New Roman" w:cs="Times New Roman"/>
          <w:noProof/>
        </w:rPr>
        <w:t>‘</w:t>
      </w:r>
      <w:r w:rsidR="2603B6C4" w:rsidRPr="00647E9A">
        <w:rPr>
          <w:rFonts w:ascii="Times New Roman" w:hAnsi="Times New Roman" w:cs="Times New Roman"/>
          <w:iCs/>
          <w:noProof/>
        </w:rPr>
        <w:t>the EBA report</w:t>
      </w:r>
      <w:r w:rsidR="00C65F22" w:rsidRPr="00647E9A">
        <w:rPr>
          <w:rFonts w:ascii="Times New Roman" w:hAnsi="Times New Roman" w:cs="Times New Roman"/>
          <w:iCs/>
          <w:noProof/>
        </w:rPr>
        <w:t>’</w:t>
      </w:r>
      <w:r w:rsidR="2603B6C4" w:rsidRPr="003C0D71">
        <w:rPr>
          <w:rFonts w:ascii="Times New Roman" w:hAnsi="Times New Roman" w:cs="Times New Roman"/>
          <w:noProof/>
        </w:rPr>
        <w:t>)</w:t>
      </w:r>
      <w:r w:rsidR="00836326" w:rsidRPr="003C0D71">
        <w:rPr>
          <w:rStyle w:val="FootnoteReference"/>
          <w:rFonts w:ascii="Times New Roman" w:hAnsi="Times New Roman" w:cs="Times New Roman"/>
          <w:noProof/>
        </w:rPr>
        <w:footnoteReference w:id="27"/>
      </w:r>
      <w:r w:rsidR="2603B6C4" w:rsidRPr="003C0D71">
        <w:rPr>
          <w:rFonts w:ascii="Times New Roman" w:hAnsi="Times New Roman" w:cs="Times New Roman"/>
          <w:noProof/>
        </w:rPr>
        <w:t xml:space="preserve">. The EBA published </w:t>
      </w:r>
      <w:r w:rsidR="00A5153D" w:rsidRPr="003C0D71">
        <w:rPr>
          <w:rFonts w:ascii="Times New Roman" w:hAnsi="Times New Roman" w:cs="Times New Roman"/>
          <w:noProof/>
        </w:rPr>
        <w:t>its</w:t>
      </w:r>
      <w:r w:rsidR="00A10BBA" w:rsidRPr="003C0D71">
        <w:rPr>
          <w:rFonts w:ascii="Times New Roman" w:hAnsi="Times New Roman" w:cs="Times New Roman"/>
          <w:noProof/>
        </w:rPr>
        <w:t xml:space="preserve"> </w:t>
      </w:r>
      <w:r w:rsidR="2603B6C4" w:rsidRPr="003C0D71">
        <w:rPr>
          <w:rFonts w:ascii="Times New Roman" w:hAnsi="Times New Roman" w:cs="Times New Roman"/>
          <w:noProof/>
        </w:rPr>
        <w:t>report on 2</w:t>
      </w:r>
      <w:r w:rsidR="007454D5">
        <w:rPr>
          <w:rFonts w:ascii="Times New Roman" w:hAnsi="Times New Roman" w:cs="Times New Roman"/>
          <w:noProof/>
        </w:rPr>
        <w:t> </w:t>
      </w:r>
      <w:r w:rsidR="2603B6C4" w:rsidRPr="003C0D71">
        <w:rPr>
          <w:rFonts w:ascii="Times New Roman" w:hAnsi="Times New Roman" w:cs="Times New Roman"/>
          <w:noProof/>
        </w:rPr>
        <w:t>March</w:t>
      </w:r>
      <w:r w:rsidR="007454D5">
        <w:rPr>
          <w:rFonts w:ascii="Times New Roman" w:hAnsi="Times New Roman" w:cs="Times New Roman"/>
          <w:noProof/>
        </w:rPr>
        <w:t> </w:t>
      </w:r>
      <w:r w:rsidR="2603B6C4" w:rsidRPr="003C0D71">
        <w:rPr>
          <w:rFonts w:ascii="Times New Roman" w:hAnsi="Times New Roman" w:cs="Times New Roman"/>
          <w:noProof/>
        </w:rPr>
        <w:t>2022</w:t>
      </w:r>
      <w:r w:rsidR="00210A89">
        <w:rPr>
          <w:rStyle w:val="FootnoteReference"/>
          <w:rFonts w:ascii="Times New Roman" w:hAnsi="Times New Roman" w:cs="Times New Roman"/>
          <w:noProof/>
        </w:rPr>
        <w:footnoteReference w:id="28"/>
      </w:r>
      <w:r w:rsidR="2603B6C4" w:rsidRPr="003C0D71">
        <w:rPr>
          <w:rFonts w:ascii="Times New Roman" w:hAnsi="Times New Roman" w:cs="Times New Roman"/>
          <w:noProof/>
        </w:rPr>
        <w:t>.</w:t>
      </w:r>
    </w:p>
    <w:p w14:paraId="3C36157B" w14:textId="53A0D1CF" w:rsidR="00D54BFC" w:rsidRPr="003C0D71" w:rsidRDefault="004100C8" w:rsidP="004100C8">
      <w:pPr>
        <w:rPr>
          <w:rFonts w:ascii="Times New Roman" w:hAnsi="Times New Roman" w:cs="Times New Roman"/>
          <w:b/>
          <w:i/>
          <w:noProof/>
          <w:sz w:val="24"/>
        </w:rPr>
      </w:pPr>
      <w:r w:rsidRPr="003C0D71">
        <w:rPr>
          <w:rFonts w:ascii="Times New Roman" w:hAnsi="Times New Roman" w:cs="Times New Roman"/>
          <w:b/>
          <w:i/>
          <w:noProof/>
          <w:sz w:val="24"/>
        </w:rPr>
        <w:t>E</w:t>
      </w:r>
      <w:r w:rsidR="2603B6C4" w:rsidRPr="003C0D71">
        <w:rPr>
          <w:rFonts w:ascii="Times New Roman" w:hAnsi="Times New Roman" w:cs="Times New Roman"/>
          <w:b/>
          <w:i/>
          <w:noProof/>
          <w:sz w:val="24"/>
        </w:rPr>
        <w:t xml:space="preserve">xtending the scope of the existing disclosure requirements </w:t>
      </w:r>
      <w:r w:rsidR="00FA0049">
        <w:rPr>
          <w:rFonts w:ascii="Times New Roman" w:hAnsi="Times New Roman" w:cs="Times New Roman"/>
          <w:b/>
          <w:i/>
          <w:noProof/>
          <w:sz w:val="24"/>
        </w:rPr>
        <w:t>on</w:t>
      </w:r>
      <w:r w:rsidR="2603B6C4" w:rsidRPr="003C0D71">
        <w:rPr>
          <w:rFonts w:ascii="Times New Roman" w:hAnsi="Times New Roman" w:cs="Times New Roman"/>
          <w:b/>
          <w:i/>
          <w:noProof/>
          <w:sz w:val="24"/>
        </w:rPr>
        <w:t xml:space="preserve"> environmental sustainability </w:t>
      </w:r>
    </w:p>
    <w:p w14:paraId="01E2DDEA" w14:textId="5D354DAD" w:rsidR="00CC215D" w:rsidRPr="003C0D71" w:rsidRDefault="00A8455E" w:rsidP="2603B6C4">
      <w:pPr>
        <w:jc w:val="both"/>
        <w:rPr>
          <w:rFonts w:ascii="Times New Roman" w:hAnsi="Times New Roman" w:cs="Times New Roman"/>
          <w:noProof/>
          <w:lang w:val="en-IE"/>
        </w:rPr>
      </w:pPr>
      <w:r w:rsidRPr="003C0D71">
        <w:rPr>
          <w:rFonts w:ascii="Times New Roman" w:hAnsi="Times New Roman" w:cs="Times New Roman"/>
          <w:noProof/>
          <w:lang w:val="en-IE"/>
        </w:rPr>
        <w:t xml:space="preserve">In the </w:t>
      </w:r>
      <w:r w:rsidR="001D02F8">
        <w:rPr>
          <w:rFonts w:ascii="Times New Roman" w:hAnsi="Times New Roman" w:cs="Times New Roman"/>
          <w:noProof/>
          <w:lang w:val="en-IE"/>
        </w:rPr>
        <w:t>c</w:t>
      </w:r>
      <w:r w:rsidRPr="003C0D71">
        <w:rPr>
          <w:rFonts w:ascii="Times New Roman" w:hAnsi="Times New Roman" w:cs="Times New Roman"/>
          <w:noProof/>
          <w:lang w:val="en-IE"/>
        </w:rPr>
        <w:t xml:space="preserve">onsultation, </w:t>
      </w:r>
      <w:r w:rsidR="003A1704">
        <w:rPr>
          <w:rFonts w:ascii="Times New Roman" w:hAnsi="Times New Roman" w:cs="Times New Roman"/>
          <w:noProof/>
          <w:lang w:val="en-IE"/>
        </w:rPr>
        <w:t>most</w:t>
      </w:r>
      <w:r w:rsidRPr="003C0D71">
        <w:rPr>
          <w:rFonts w:ascii="Times New Roman" w:hAnsi="Times New Roman" w:cs="Times New Roman"/>
          <w:noProof/>
          <w:lang w:val="en-IE"/>
        </w:rPr>
        <w:t xml:space="preserve"> respondents</w:t>
      </w:r>
      <w:r w:rsidR="2603B6C4" w:rsidRPr="003C0D71">
        <w:rPr>
          <w:rFonts w:ascii="Times New Roman" w:hAnsi="Times New Roman" w:cs="Times New Roman"/>
          <w:noProof/>
          <w:lang w:val="en-IE"/>
        </w:rPr>
        <w:t xml:space="preserve"> </w:t>
      </w:r>
      <w:r w:rsidRPr="003C0D71">
        <w:rPr>
          <w:rFonts w:ascii="Times New Roman" w:hAnsi="Times New Roman" w:cs="Times New Roman"/>
          <w:noProof/>
          <w:lang w:val="en-IE"/>
        </w:rPr>
        <w:t xml:space="preserve">supported </w:t>
      </w:r>
      <w:r w:rsidR="00B20E2C" w:rsidRPr="003C0D71">
        <w:rPr>
          <w:rFonts w:ascii="Times New Roman" w:hAnsi="Times New Roman" w:cs="Times New Roman"/>
          <w:noProof/>
          <w:lang w:val="en-IE"/>
        </w:rPr>
        <w:t xml:space="preserve">in principle </w:t>
      </w:r>
      <w:r w:rsidRPr="003C0D71">
        <w:rPr>
          <w:rFonts w:ascii="Times New Roman" w:hAnsi="Times New Roman" w:cs="Times New Roman"/>
          <w:noProof/>
          <w:lang w:val="en-IE"/>
        </w:rPr>
        <w:t xml:space="preserve">the notion that </w:t>
      </w:r>
      <w:r w:rsidR="2603B6C4" w:rsidRPr="003C0D71">
        <w:rPr>
          <w:rFonts w:ascii="Times New Roman" w:hAnsi="Times New Roman" w:cs="Times New Roman"/>
          <w:noProof/>
          <w:lang w:val="en-IE"/>
        </w:rPr>
        <w:t>extending the existing disclosure requirement to other asset classes</w:t>
      </w:r>
      <w:r w:rsidR="004E3428" w:rsidRPr="003C0D71">
        <w:rPr>
          <w:rStyle w:val="FootnoteReference"/>
          <w:rFonts w:ascii="Times New Roman" w:hAnsi="Times New Roman" w:cs="Times New Roman"/>
          <w:noProof/>
          <w:lang w:val="en-IE"/>
        </w:rPr>
        <w:footnoteReference w:id="29"/>
      </w:r>
      <w:r w:rsidR="2603B6C4" w:rsidRPr="003C0D71">
        <w:rPr>
          <w:rFonts w:ascii="Times New Roman" w:hAnsi="Times New Roman" w:cs="Times New Roman"/>
          <w:noProof/>
          <w:lang w:val="en-IE"/>
        </w:rPr>
        <w:t xml:space="preserve"> may </w:t>
      </w:r>
      <w:r w:rsidR="00F976D6" w:rsidRPr="003C0D71">
        <w:rPr>
          <w:rFonts w:ascii="Times New Roman" w:hAnsi="Times New Roman" w:cs="Times New Roman"/>
          <w:noProof/>
          <w:lang w:val="en-IE"/>
        </w:rPr>
        <w:t xml:space="preserve">add value </w:t>
      </w:r>
      <w:r w:rsidR="00A10BBA" w:rsidRPr="003C0D71">
        <w:rPr>
          <w:rFonts w:ascii="Times New Roman" w:hAnsi="Times New Roman" w:cs="Times New Roman"/>
          <w:noProof/>
          <w:lang w:val="en-IE"/>
        </w:rPr>
        <w:t xml:space="preserve">for </w:t>
      </w:r>
      <w:r w:rsidR="2603B6C4" w:rsidRPr="003C0D71">
        <w:rPr>
          <w:rFonts w:ascii="Times New Roman" w:hAnsi="Times New Roman" w:cs="Times New Roman"/>
          <w:noProof/>
          <w:lang w:val="en-IE"/>
        </w:rPr>
        <w:t xml:space="preserve">investors who </w:t>
      </w:r>
      <w:r w:rsidR="003A1704">
        <w:rPr>
          <w:rFonts w:ascii="Times New Roman" w:hAnsi="Times New Roman" w:cs="Times New Roman"/>
          <w:noProof/>
          <w:lang w:val="en-IE"/>
        </w:rPr>
        <w:t xml:space="preserve">would </w:t>
      </w:r>
      <w:r w:rsidR="00F976D6" w:rsidRPr="003C0D71">
        <w:rPr>
          <w:rFonts w:ascii="Times New Roman" w:hAnsi="Times New Roman" w:cs="Times New Roman"/>
          <w:noProof/>
          <w:lang w:val="en-IE"/>
        </w:rPr>
        <w:t xml:space="preserve">appreciate </w:t>
      </w:r>
      <w:r w:rsidR="003A1704">
        <w:rPr>
          <w:rFonts w:ascii="Times New Roman" w:hAnsi="Times New Roman" w:cs="Times New Roman"/>
          <w:noProof/>
          <w:lang w:val="en-IE"/>
        </w:rPr>
        <w:t>having</w:t>
      </w:r>
      <w:r w:rsidR="00F976D6" w:rsidRPr="003C0D71">
        <w:rPr>
          <w:rFonts w:ascii="Times New Roman" w:hAnsi="Times New Roman" w:cs="Times New Roman"/>
          <w:noProof/>
          <w:lang w:val="en-IE"/>
        </w:rPr>
        <w:t xml:space="preserve"> </w:t>
      </w:r>
      <w:r w:rsidR="2603B6C4" w:rsidRPr="003C0D71">
        <w:rPr>
          <w:rFonts w:ascii="Times New Roman" w:hAnsi="Times New Roman" w:cs="Times New Roman"/>
          <w:noProof/>
          <w:lang w:val="en-IE"/>
        </w:rPr>
        <w:t xml:space="preserve">such information </w:t>
      </w:r>
      <w:r w:rsidR="00F976D6" w:rsidRPr="003C0D71">
        <w:rPr>
          <w:rFonts w:ascii="Times New Roman" w:hAnsi="Times New Roman" w:cs="Times New Roman"/>
          <w:noProof/>
          <w:lang w:val="en-IE"/>
        </w:rPr>
        <w:t xml:space="preserve">to measure their own share of </w:t>
      </w:r>
      <w:r w:rsidR="00727BF6">
        <w:rPr>
          <w:rFonts w:ascii="Times New Roman" w:hAnsi="Times New Roman" w:cs="Times New Roman"/>
          <w:noProof/>
          <w:lang w:val="en-IE"/>
        </w:rPr>
        <w:t>environmental, social and g</w:t>
      </w:r>
      <w:r w:rsidR="00727BF6" w:rsidRPr="00727BF6">
        <w:rPr>
          <w:rFonts w:ascii="Times New Roman" w:hAnsi="Times New Roman" w:cs="Times New Roman"/>
          <w:noProof/>
          <w:lang w:val="en-IE"/>
        </w:rPr>
        <w:t xml:space="preserve">overnance </w:t>
      </w:r>
      <w:r w:rsidR="00727BF6">
        <w:rPr>
          <w:rFonts w:ascii="Times New Roman" w:hAnsi="Times New Roman" w:cs="Times New Roman"/>
          <w:noProof/>
          <w:lang w:val="en-IE"/>
        </w:rPr>
        <w:t>(</w:t>
      </w:r>
      <w:r w:rsidR="00F976D6" w:rsidRPr="00727BF6">
        <w:rPr>
          <w:rFonts w:ascii="Times New Roman" w:hAnsi="Times New Roman" w:cs="Times New Roman"/>
          <w:noProof/>
          <w:lang w:val="en-IE"/>
        </w:rPr>
        <w:t>ESG</w:t>
      </w:r>
      <w:r w:rsidR="00727BF6">
        <w:rPr>
          <w:rFonts w:ascii="Times New Roman" w:hAnsi="Times New Roman" w:cs="Times New Roman"/>
          <w:noProof/>
          <w:lang w:val="en-IE"/>
        </w:rPr>
        <w:t>)</w:t>
      </w:r>
      <w:r w:rsidR="00F976D6" w:rsidRPr="003C0D71">
        <w:rPr>
          <w:rFonts w:ascii="Times New Roman" w:hAnsi="Times New Roman" w:cs="Times New Roman"/>
          <w:noProof/>
          <w:lang w:val="en-IE"/>
        </w:rPr>
        <w:t xml:space="preserve"> investment, to assess ESG-related risks, and as a comparison tool</w:t>
      </w:r>
      <w:r w:rsidR="00A10BBA" w:rsidRPr="003C0D71">
        <w:rPr>
          <w:rFonts w:ascii="Times New Roman" w:hAnsi="Times New Roman" w:cs="Times New Roman"/>
          <w:noProof/>
          <w:lang w:val="en-IE"/>
        </w:rPr>
        <w:t>. Investors</w:t>
      </w:r>
      <w:r w:rsidR="00F976D6" w:rsidRPr="003C0D71">
        <w:rPr>
          <w:rFonts w:ascii="Times New Roman" w:hAnsi="Times New Roman" w:cs="Times New Roman"/>
          <w:noProof/>
          <w:lang w:val="en-IE"/>
        </w:rPr>
        <w:t xml:space="preserve"> </w:t>
      </w:r>
      <w:r w:rsidR="2603B6C4" w:rsidRPr="003C0D71">
        <w:rPr>
          <w:rFonts w:ascii="Times New Roman" w:hAnsi="Times New Roman" w:cs="Times New Roman"/>
          <w:noProof/>
          <w:lang w:val="en-IE"/>
        </w:rPr>
        <w:t>regret</w:t>
      </w:r>
      <w:r w:rsidR="00F976D6" w:rsidRPr="003C0D71">
        <w:rPr>
          <w:rFonts w:ascii="Times New Roman" w:hAnsi="Times New Roman" w:cs="Times New Roman"/>
          <w:noProof/>
          <w:lang w:val="en-IE"/>
        </w:rPr>
        <w:t>ted</w:t>
      </w:r>
      <w:r w:rsidR="2603B6C4" w:rsidRPr="003C0D71">
        <w:rPr>
          <w:rFonts w:ascii="Times New Roman" w:hAnsi="Times New Roman" w:cs="Times New Roman"/>
          <w:noProof/>
          <w:lang w:val="en-IE"/>
        </w:rPr>
        <w:t xml:space="preserve"> that it is </w:t>
      </w:r>
      <w:r w:rsidR="00985D72">
        <w:rPr>
          <w:rFonts w:ascii="Times New Roman" w:hAnsi="Times New Roman" w:cs="Times New Roman"/>
          <w:noProof/>
          <w:lang w:val="en-IE"/>
        </w:rPr>
        <w:t>not yet</w:t>
      </w:r>
      <w:r w:rsidR="2603B6C4" w:rsidRPr="003C0D71">
        <w:rPr>
          <w:rFonts w:ascii="Times New Roman" w:hAnsi="Times New Roman" w:cs="Times New Roman"/>
          <w:noProof/>
          <w:lang w:val="en-IE"/>
        </w:rPr>
        <w:t xml:space="preserve"> available</w:t>
      </w:r>
      <w:r w:rsidR="008148BD" w:rsidRPr="003C0D71">
        <w:rPr>
          <w:rFonts w:ascii="Times New Roman" w:hAnsi="Times New Roman" w:cs="Times New Roman"/>
          <w:noProof/>
          <w:lang w:val="en-IE"/>
        </w:rPr>
        <w:t>, since</w:t>
      </w:r>
      <w:r w:rsidR="00A10BBA" w:rsidRPr="003C0D71">
        <w:rPr>
          <w:rFonts w:ascii="Times New Roman" w:hAnsi="Times New Roman" w:cs="Times New Roman"/>
          <w:noProof/>
          <w:lang w:val="en-IE"/>
        </w:rPr>
        <w:t xml:space="preserve"> </w:t>
      </w:r>
      <w:r w:rsidR="008148BD" w:rsidRPr="003C0D71">
        <w:rPr>
          <w:rFonts w:ascii="Times New Roman" w:hAnsi="Times New Roman" w:cs="Times New Roman"/>
          <w:noProof/>
          <w:lang w:val="en-IE"/>
        </w:rPr>
        <w:t>this kind</w:t>
      </w:r>
      <w:r w:rsidR="00E459BE" w:rsidRPr="003C0D71">
        <w:rPr>
          <w:rFonts w:ascii="Times New Roman" w:hAnsi="Times New Roman" w:cs="Times New Roman"/>
          <w:noProof/>
          <w:lang w:val="en-IE"/>
        </w:rPr>
        <w:t xml:space="preserve"> of information will</w:t>
      </w:r>
      <w:r w:rsidR="2603B6C4" w:rsidRPr="003C0D71">
        <w:rPr>
          <w:rFonts w:ascii="Times New Roman" w:hAnsi="Times New Roman" w:cs="Times New Roman"/>
          <w:noProof/>
          <w:lang w:val="en-IE"/>
        </w:rPr>
        <w:t xml:space="preserve"> be </w:t>
      </w:r>
      <w:r w:rsidR="009C15E5" w:rsidRPr="003C0D71">
        <w:rPr>
          <w:rFonts w:ascii="Times New Roman" w:hAnsi="Times New Roman" w:cs="Times New Roman"/>
          <w:noProof/>
          <w:lang w:val="en-IE"/>
        </w:rPr>
        <w:t xml:space="preserve">necessary </w:t>
      </w:r>
      <w:r w:rsidR="00985D72" w:rsidRPr="003C0D71">
        <w:rPr>
          <w:rFonts w:ascii="Times New Roman" w:hAnsi="Times New Roman" w:cs="Times New Roman"/>
          <w:noProof/>
          <w:lang w:val="en-IE"/>
        </w:rPr>
        <w:t xml:space="preserve">in the future </w:t>
      </w:r>
      <w:r w:rsidR="009C15E5" w:rsidRPr="003C0D71">
        <w:rPr>
          <w:rFonts w:ascii="Times New Roman" w:hAnsi="Times New Roman" w:cs="Times New Roman"/>
          <w:noProof/>
          <w:lang w:val="en-IE"/>
        </w:rPr>
        <w:t>to</w:t>
      </w:r>
      <w:r w:rsidR="2603B6C4" w:rsidRPr="003C0D71">
        <w:rPr>
          <w:rFonts w:ascii="Times New Roman" w:hAnsi="Times New Roman" w:cs="Times New Roman"/>
          <w:noProof/>
          <w:lang w:val="en-IE"/>
        </w:rPr>
        <w:t xml:space="preserve"> comply with their own disclosure requirements. </w:t>
      </w:r>
    </w:p>
    <w:p w14:paraId="7767FF65" w14:textId="42ED98D2" w:rsidR="00CC215D" w:rsidRPr="003C0D71" w:rsidRDefault="00B14603" w:rsidP="2603B6C4">
      <w:pPr>
        <w:jc w:val="both"/>
        <w:rPr>
          <w:rFonts w:ascii="Times New Roman" w:hAnsi="Times New Roman" w:cs="Times New Roman"/>
          <w:noProof/>
        </w:rPr>
      </w:pPr>
      <w:r w:rsidRPr="003C0D71">
        <w:rPr>
          <w:rFonts w:ascii="Times New Roman" w:hAnsi="Times New Roman" w:cs="Times New Roman"/>
          <w:noProof/>
        </w:rPr>
        <w:t>Nonetheless</w:t>
      </w:r>
      <w:r w:rsidR="2603B6C4" w:rsidRPr="003C0D71">
        <w:rPr>
          <w:rFonts w:ascii="Times New Roman" w:hAnsi="Times New Roman" w:cs="Times New Roman"/>
          <w:noProof/>
        </w:rPr>
        <w:t xml:space="preserve">, </w:t>
      </w:r>
      <w:r w:rsidR="00AD1123" w:rsidRPr="003C0D71">
        <w:rPr>
          <w:rFonts w:ascii="Times New Roman" w:hAnsi="Times New Roman" w:cs="Times New Roman"/>
          <w:noProof/>
        </w:rPr>
        <w:t xml:space="preserve">respondents </w:t>
      </w:r>
      <w:r w:rsidR="00985D72">
        <w:rPr>
          <w:rFonts w:ascii="Times New Roman" w:hAnsi="Times New Roman" w:cs="Times New Roman"/>
          <w:noProof/>
        </w:rPr>
        <w:t xml:space="preserve">said that </w:t>
      </w:r>
      <w:r w:rsidR="00AD1123" w:rsidRPr="003C0D71">
        <w:rPr>
          <w:rFonts w:ascii="Times New Roman" w:hAnsi="Times New Roman" w:cs="Times New Roman"/>
          <w:noProof/>
        </w:rPr>
        <w:t xml:space="preserve">the usefulness of </w:t>
      </w:r>
      <w:r w:rsidR="2603B6C4" w:rsidRPr="003C0D71">
        <w:rPr>
          <w:rFonts w:ascii="Times New Roman" w:hAnsi="Times New Roman" w:cs="Times New Roman"/>
          <w:noProof/>
        </w:rPr>
        <w:t>such an extension</w:t>
      </w:r>
      <w:r w:rsidR="00AD1123" w:rsidRPr="003C0D71">
        <w:rPr>
          <w:rFonts w:ascii="Times New Roman" w:hAnsi="Times New Roman" w:cs="Times New Roman"/>
          <w:noProof/>
        </w:rPr>
        <w:t xml:space="preserve"> of the disclosure requirements</w:t>
      </w:r>
      <w:r w:rsidR="2603B6C4" w:rsidRPr="003C0D71">
        <w:rPr>
          <w:rFonts w:ascii="Times New Roman" w:hAnsi="Times New Roman" w:cs="Times New Roman"/>
          <w:noProof/>
        </w:rPr>
        <w:t xml:space="preserve"> to other asset classes depends on whether </w:t>
      </w:r>
      <w:r w:rsidR="00985D72">
        <w:rPr>
          <w:rFonts w:ascii="Times New Roman" w:hAnsi="Times New Roman" w:cs="Times New Roman"/>
          <w:noProof/>
        </w:rPr>
        <w:t xml:space="preserve">there are </w:t>
      </w:r>
      <w:r w:rsidR="2603B6C4" w:rsidRPr="003C0D71">
        <w:rPr>
          <w:rFonts w:ascii="Times New Roman" w:hAnsi="Times New Roman" w:cs="Times New Roman"/>
          <w:noProof/>
        </w:rPr>
        <w:t xml:space="preserve">sufficiently clear </w:t>
      </w:r>
      <w:r w:rsidR="00AF6F0C" w:rsidRPr="003C0D71">
        <w:rPr>
          <w:rFonts w:ascii="Times New Roman" w:hAnsi="Times New Roman" w:cs="Times New Roman"/>
          <w:noProof/>
        </w:rPr>
        <w:t xml:space="preserve">and pertinent </w:t>
      </w:r>
      <w:r w:rsidR="2603B6C4" w:rsidRPr="003C0D71">
        <w:rPr>
          <w:rFonts w:ascii="Times New Roman" w:hAnsi="Times New Roman" w:cs="Times New Roman"/>
          <w:noProof/>
        </w:rPr>
        <w:t xml:space="preserve">parameters to assess </w:t>
      </w:r>
      <w:r w:rsidR="00AF6F0C" w:rsidRPr="003C0D71">
        <w:rPr>
          <w:rFonts w:ascii="Times New Roman" w:hAnsi="Times New Roman" w:cs="Times New Roman"/>
          <w:noProof/>
        </w:rPr>
        <w:t xml:space="preserve">the respective </w:t>
      </w:r>
      <w:r w:rsidR="2603B6C4" w:rsidRPr="003C0D71">
        <w:rPr>
          <w:rFonts w:ascii="Times New Roman" w:hAnsi="Times New Roman" w:cs="Times New Roman"/>
          <w:noProof/>
        </w:rPr>
        <w:t>environmental performance</w:t>
      </w:r>
      <w:r w:rsidR="00B20E2C">
        <w:rPr>
          <w:rFonts w:ascii="Times New Roman" w:hAnsi="Times New Roman" w:cs="Times New Roman"/>
          <w:noProof/>
        </w:rPr>
        <w:t>s</w:t>
      </w:r>
      <w:r w:rsidR="2603B6C4" w:rsidRPr="003C0D71">
        <w:rPr>
          <w:rFonts w:ascii="Times New Roman" w:hAnsi="Times New Roman" w:cs="Times New Roman"/>
          <w:noProof/>
        </w:rPr>
        <w:t xml:space="preserve">. </w:t>
      </w:r>
      <w:r w:rsidR="00E0702E" w:rsidRPr="003C0D71">
        <w:rPr>
          <w:rFonts w:ascii="Times New Roman" w:hAnsi="Times New Roman" w:cs="Times New Roman"/>
          <w:noProof/>
        </w:rPr>
        <w:t xml:space="preserve">According to most </w:t>
      </w:r>
      <w:r w:rsidR="2603B6C4" w:rsidRPr="003C0D71">
        <w:rPr>
          <w:rFonts w:ascii="Times New Roman" w:hAnsi="Times New Roman" w:cs="Times New Roman"/>
          <w:noProof/>
        </w:rPr>
        <w:t>respondents</w:t>
      </w:r>
      <w:r w:rsidR="00E0702E" w:rsidRPr="003C0D71">
        <w:rPr>
          <w:rFonts w:ascii="Times New Roman" w:hAnsi="Times New Roman" w:cs="Times New Roman"/>
          <w:noProof/>
        </w:rPr>
        <w:t>, this</w:t>
      </w:r>
      <w:r w:rsidR="2603B6C4" w:rsidRPr="003C0D71">
        <w:rPr>
          <w:rFonts w:ascii="Times New Roman" w:hAnsi="Times New Roman" w:cs="Times New Roman"/>
          <w:noProof/>
        </w:rPr>
        <w:t xml:space="preserve"> </w:t>
      </w:r>
      <w:r w:rsidR="00E0702E" w:rsidRPr="003C0D71">
        <w:rPr>
          <w:rFonts w:ascii="Times New Roman" w:hAnsi="Times New Roman" w:cs="Times New Roman"/>
          <w:noProof/>
        </w:rPr>
        <w:t xml:space="preserve">is </w:t>
      </w:r>
      <w:r w:rsidR="2603B6C4" w:rsidRPr="003C0D71">
        <w:rPr>
          <w:rFonts w:ascii="Times New Roman" w:hAnsi="Times New Roman" w:cs="Times New Roman"/>
          <w:noProof/>
        </w:rPr>
        <w:t xml:space="preserve">not </w:t>
      </w:r>
      <w:r w:rsidR="00985D72">
        <w:rPr>
          <w:rFonts w:ascii="Times New Roman" w:hAnsi="Times New Roman" w:cs="Times New Roman"/>
          <w:noProof/>
        </w:rPr>
        <w:t xml:space="preserve">yet </w:t>
      </w:r>
      <w:r w:rsidR="2603B6C4" w:rsidRPr="003C0D71">
        <w:rPr>
          <w:rFonts w:ascii="Times New Roman" w:hAnsi="Times New Roman" w:cs="Times New Roman"/>
          <w:noProof/>
        </w:rPr>
        <w:t>the case</w:t>
      </w:r>
      <w:r w:rsidR="00231BB9" w:rsidRPr="003C0D71">
        <w:rPr>
          <w:rFonts w:ascii="Times New Roman" w:hAnsi="Times New Roman" w:cs="Times New Roman"/>
          <w:noProof/>
        </w:rPr>
        <w:t xml:space="preserve"> </w:t>
      </w:r>
      <w:r w:rsidR="00985D72">
        <w:rPr>
          <w:rFonts w:ascii="Times New Roman" w:hAnsi="Times New Roman" w:cs="Times New Roman"/>
          <w:noProof/>
        </w:rPr>
        <w:t>for</w:t>
      </w:r>
      <w:r w:rsidRPr="003C0D71">
        <w:rPr>
          <w:rFonts w:ascii="Times New Roman" w:hAnsi="Times New Roman" w:cs="Times New Roman"/>
          <w:noProof/>
        </w:rPr>
        <w:t xml:space="preserve"> all asset classes</w:t>
      </w:r>
      <w:r w:rsidR="2603B6C4" w:rsidRPr="003C0D71">
        <w:rPr>
          <w:rFonts w:ascii="Times New Roman" w:hAnsi="Times New Roman" w:cs="Times New Roman"/>
          <w:noProof/>
        </w:rPr>
        <w:t>.</w:t>
      </w:r>
      <w:r w:rsidR="00836326" w:rsidRPr="003C0D71">
        <w:rPr>
          <w:rStyle w:val="FootnoteReference"/>
          <w:rFonts w:ascii="Times New Roman" w:hAnsi="Times New Roman" w:cs="Times New Roman"/>
          <w:noProof/>
        </w:rPr>
        <w:footnoteReference w:id="30"/>
      </w:r>
      <w:r w:rsidR="2603B6C4" w:rsidRPr="003C0D71">
        <w:rPr>
          <w:rFonts w:ascii="Times New Roman" w:hAnsi="Times New Roman" w:cs="Times New Roman"/>
          <w:noProof/>
        </w:rPr>
        <w:t xml:space="preserve">. </w:t>
      </w:r>
    </w:p>
    <w:p w14:paraId="6BBDB808" w14:textId="6D2A1980" w:rsidR="00CC215D" w:rsidRPr="003C0D71" w:rsidRDefault="2603B6C4" w:rsidP="2603B6C4">
      <w:pPr>
        <w:jc w:val="both"/>
        <w:rPr>
          <w:rFonts w:ascii="Times New Roman" w:hAnsi="Times New Roman" w:cs="Times New Roman"/>
          <w:noProof/>
        </w:rPr>
      </w:pPr>
      <w:r w:rsidRPr="003C0D71">
        <w:rPr>
          <w:rFonts w:ascii="Times New Roman" w:hAnsi="Times New Roman" w:cs="Times New Roman"/>
          <w:noProof/>
        </w:rPr>
        <w:t xml:space="preserve">To improve the availability of data, the EBA report </w:t>
      </w:r>
      <w:r w:rsidR="00296090">
        <w:rPr>
          <w:rFonts w:ascii="Times New Roman" w:hAnsi="Times New Roman" w:cs="Times New Roman"/>
          <w:noProof/>
        </w:rPr>
        <w:t>recommends</w:t>
      </w:r>
      <w:r w:rsidRPr="003C0D71">
        <w:rPr>
          <w:rFonts w:ascii="Times New Roman" w:hAnsi="Times New Roman" w:cs="Times New Roman"/>
          <w:noProof/>
        </w:rPr>
        <w:t xml:space="preserve"> extend</w:t>
      </w:r>
      <w:r w:rsidR="00805A04">
        <w:rPr>
          <w:rFonts w:ascii="Times New Roman" w:hAnsi="Times New Roman" w:cs="Times New Roman"/>
          <w:noProof/>
        </w:rPr>
        <w:t>ing</w:t>
      </w:r>
      <w:r w:rsidRPr="003C0D71">
        <w:rPr>
          <w:rFonts w:ascii="Times New Roman" w:hAnsi="Times New Roman" w:cs="Times New Roman"/>
          <w:noProof/>
        </w:rPr>
        <w:t xml:space="preserve"> the disclosures on principal adverse impact to securitisations other than STS</w:t>
      </w:r>
      <w:r w:rsidR="00305D24">
        <w:rPr>
          <w:rFonts w:ascii="Times New Roman" w:hAnsi="Times New Roman" w:cs="Times New Roman"/>
          <w:noProof/>
        </w:rPr>
        <w:t>,</w:t>
      </w:r>
      <w:r w:rsidRPr="003C0D71">
        <w:rPr>
          <w:rFonts w:ascii="Times New Roman" w:hAnsi="Times New Roman" w:cs="Times New Roman"/>
          <w:noProof/>
        </w:rPr>
        <w:t xml:space="preserve"> and </w:t>
      </w:r>
      <w:r w:rsidR="00296090">
        <w:rPr>
          <w:rFonts w:ascii="Times New Roman" w:hAnsi="Times New Roman" w:cs="Times New Roman"/>
          <w:noProof/>
        </w:rPr>
        <w:t>that</w:t>
      </w:r>
      <w:r w:rsidRPr="003C0D71">
        <w:rPr>
          <w:rFonts w:ascii="Times New Roman" w:hAnsi="Times New Roman" w:cs="Times New Roman"/>
          <w:noProof/>
        </w:rPr>
        <w:t xml:space="preserve"> mandatory disclosures on principal adverse impact </w:t>
      </w:r>
      <w:r w:rsidR="00296090">
        <w:rPr>
          <w:rFonts w:ascii="Times New Roman" w:hAnsi="Times New Roman" w:cs="Times New Roman"/>
          <w:noProof/>
        </w:rPr>
        <w:t xml:space="preserve">should be introduced </w:t>
      </w:r>
      <w:r w:rsidRPr="003C0D71">
        <w:rPr>
          <w:rFonts w:ascii="Times New Roman" w:hAnsi="Times New Roman" w:cs="Times New Roman"/>
          <w:noProof/>
        </w:rPr>
        <w:t xml:space="preserve">in the medium term. </w:t>
      </w:r>
    </w:p>
    <w:p w14:paraId="7DCACA00" w14:textId="77777777" w:rsidR="00325EBC" w:rsidRDefault="00325EBC" w:rsidP="004100C8">
      <w:pPr>
        <w:rPr>
          <w:rFonts w:ascii="Times New Roman" w:hAnsi="Times New Roman" w:cs="Times New Roman"/>
          <w:b/>
          <w:i/>
          <w:noProof/>
          <w:sz w:val="24"/>
        </w:rPr>
      </w:pPr>
    </w:p>
    <w:p w14:paraId="0E47D54B" w14:textId="77777777" w:rsidR="00325EBC" w:rsidRDefault="00325EBC" w:rsidP="004100C8">
      <w:pPr>
        <w:rPr>
          <w:rFonts w:ascii="Times New Roman" w:hAnsi="Times New Roman" w:cs="Times New Roman"/>
          <w:b/>
          <w:i/>
          <w:noProof/>
          <w:sz w:val="24"/>
        </w:rPr>
      </w:pPr>
    </w:p>
    <w:p w14:paraId="2B1C0CA1" w14:textId="77777777" w:rsidR="00325EBC" w:rsidRDefault="00325EBC" w:rsidP="004100C8">
      <w:pPr>
        <w:rPr>
          <w:rFonts w:ascii="Times New Roman" w:hAnsi="Times New Roman" w:cs="Times New Roman"/>
          <w:b/>
          <w:i/>
          <w:noProof/>
          <w:sz w:val="24"/>
        </w:rPr>
      </w:pPr>
    </w:p>
    <w:p w14:paraId="684A02DD" w14:textId="74CE583D" w:rsidR="00CC215D" w:rsidRPr="003C0D71" w:rsidRDefault="004100C8" w:rsidP="004100C8">
      <w:pPr>
        <w:rPr>
          <w:rFonts w:ascii="Times New Roman" w:hAnsi="Times New Roman" w:cs="Times New Roman"/>
          <w:b/>
          <w:i/>
          <w:noProof/>
          <w:sz w:val="24"/>
        </w:rPr>
      </w:pPr>
      <w:r w:rsidRPr="003C0D71">
        <w:rPr>
          <w:rFonts w:ascii="Times New Roman" w:hAnsi="Times New Roman" w:cs="Times New Roman"/>
          <w:b/>
          <w:i/>
          <w:noProof/>
          <w:sz w:val="24"/>
        </w:rPr>
        <w:t>C</w:t>
      </w:r>
      <w:r w:rsidR="2603B6C4" w:rsidRPr="003C0D71">
        <w:rPr>
          <w:rFonts w:ascii="Times New Roman" w:hAnsi="Times New Roman" w:cs="Times New Roman"/>
          <w:b/>
          <w:i/>
          <w:noProof/>
          <w:sz w:val="24"/>
        </w:rPr>
        <w:t xml:space="preserve">reating a specific sustainable securitisation framework </w:t>
      </w:r>
    </w:p>
    <w:p w14:paraId="7A5CD124" w14:textId="525BFCE9" w:rsidR="00CC215D" w:rsidRPr="003C0D71" w:rsidRDefault="73F03011" w:rsidP="2603B6C4">
      <w:pPr>
        <w:jc w:val="both"/>
        <w:rPr>
          <w:rFonts w:ascii="Times New Roman" w:hAnsi="Times New Roman" w:cs="Times New Roman"/>
          <w:noProof/>
        </w:rPr>
      </w:pPr>
      <w:r w:rsidRPr="003C0D71">
        <w:rPr>
          <w:rFonts w:ascii="Times New Roman" w:hAnsi="Times New Roman" w:cs="Times New Roman"/>
          <w:noProof/>
        </w:rPr>
        <w:t xml:space="preserve">The current proposal for </w:t>
      </w:r>
      <w:r w:rsidRPr="00DD1743">
        <w:rPr>
          <w:rFonts w:ascii="Times New Roman" w:hAnsi="Times New Roman" w:cs="Times New Roman"/>
          <w:noProof/>
        </w:rPr>
        <w:t>an EU Green Bond Standard</w:t>
      </w:r>
      <w:r w:rsidR="00363206" w:rsidRPr="003C0D71">
        <w:rPr>
          <w:rFonts w:ascii="Times New Roman" w:hAnsi="Times New Roman" w:cs="Times New Roman"/>
          <w:noProof/>
        </w:rPr>
        <w:t xml:space="preserve"> </w:t>
      </w:r>
      <w:r w:rsidR="00BD72E5" w:rsidRPr="003C0D71">
        <w:rPr>
          <w:rFonts w:ascii="Times New Roman" w:hAnsi="Times New Roman" w:cs="Times New Roman"/>
          <w:noProof/>
        </w:rPr>
        <w:t>(EuGBS)</w:t>
      </w:r>
      <w:r w:rsidRPr="003C0D71">
        <w:rPr>
          <w:rFonts w:ascii="Times New Roman" w:hAnsi="Times New Roman" w:cs="Times New Roman"/>
          <w:noProof/>
        </w:rPr>
        <w:t>, published in July 2021</w:t>
      </w:r>
      <w:r w:rsidR="00CF1532" w:rsidRPr="003C0D71">
        <w:rPr>
          <w:rFonts w:ascii="Times New Roman" w:hAnsi="Times New Roman" w:cs="Times New Roman"/>
          <w:noProof/>
        </w:rPr>
        <w:t xml:space="preserve"> and still </w:t>
      </w:r>
      <w:r w:rsidR="00296090">
        <w:rPr>
          <w:rFonts w:ascii="Times New Roman" w:hAnsi="Times New Roman" w:cs="Times New Roman"/>
          <w:noProof/>
        </w:rPr>
        <w:t>being</w:t>
      </w:r>
      <w:r w:rsidR="00296090" w:rsidRPr="003C0D71">
        <w:rPr>
          <w:rFonts w:ascii="Times New Roman" w:hAnsi="Times New Roman" w:cs="Times New Roman"/>
          <w:noProof/>
        </w:rPr>
        <w:t xml:space="preserve"> </w:t>
      </w:r>
      <w:r w:rsidR="00CF1532" w:rsidRPr="003C0D71">
        <w:rPr>
          <w:rFonts w:ascii="Times New Roman" w:hAnsi="Times New Roman" w:cs="Times New Roman"/>
          <w:noProof/>
        </w:rPr>
        <w:t>negotiat</w:t>
      </w:r>
      <w:r w:rsidR="00296090">
        <w:rPr>
          <w:rFonts w:ascii="Times New Roman" w:hAnsi="Times New Roman" w:cs="Times New Roman"/>
          <w:noProof/>
        </w:rPr>
        <w:t>ed</w:t>
      </w:r>
      <w:r w:rsidR="00437A75" w:rsidRPr="003C0D71">
        <w:rPr>
          <w:rStyle w:val="FootnoteReference"/>
          <w:rFonts w:ascii="Times New Roman" w:hAnsi="Times New Roman" w:cs="Times New Roman"/>
          <w:noProof/>
        </w:rPr>
        <w:footnoteReference w:id="31"/>
      </w:r>
      <w:r w:rsidRPr="003C0D71">
        <w:rPr>
          <w:rFonts w:ascii="Times New Roman" w:hAnsi="Times New Roman" w:cs="Times New Roman"/>
          <w:noProof/>
        </w:rPr>
        <w:t xml:space="preserve">, </w:t>
      </w:r>
      <w:r w:rsidR="00CF1532" w:rsidRPr="003C0D71">
        <w:rPr>
          <w:rFonts w:ascii="Times New Roman" w:hAnsi="Times New Roman" w:cs="Times New Roman"/>
          <w:noProof/>
        </w:rPr>
        <w:t xml:space="preserve">aims to </w:t>
      </w:r>
      <w:r w:rsidR="007454D5">
        <w:rPr>
          <w:rFonts w:ascii="Times New Roman" w:hAnsi="Times New Roman" w:cs="Times New Roman"/>
          <w:noProof/>
        </w:rPr>
        <w:t>draw up</w:t>
      </w:r>
      <w:r w:rsidR="007454D5" w:rsidRPr="003C0D71">
        <w:rPr>
          <w:rFonts w:ascii="Times New Roman" w:hAnsi="Times New Roman" w:cs="Times New Roman"/>
          <w:noProof/>
        </w:rPr>
        <w:t xml:space="preserve"> </w:t>
      </w:r>
      <w:r w:rsidRPr="003C0D71">
        <w:rPr>
          <w:rFonts w:ascii="Times New Roman" w:hAnsi="Times New Roman" w:cs="Times New Roman"/>
          <w:noProof/>
        </w:rPr>
        <w:t xml:space="preserve">a framework for </w:t>
      </w:r>
      <w:r w:rsidR="00732B67" w:rsidRPr="003C0D71">
        <w:rPr>
          <w:rFonts w:ascii="Times New Roman" w:hAnsi="Times New Roman" w:cs="Times New Roman"/>
          <w:noProof/>
        </w:rPr>
        <w:t xml:space="preserve">green </w:t>
      </w:r>
      <w:r w:rsidRPr="003C0D71">
        <w:rPr>
          <w:rFonts w:ascii="Times New Roman" w:hAnsi="Times New Roman" w:cs="Times New Roman"/>
          <w:noProof/>
        </w:rPr>
        <w:t>bonds, including those issued by a special purpose vehicle in the context of a securitisation transaction</w:t>
      </w:r>
      <w:r w:rsidR="00732B67" w:rsidRPr="003C0D71">
        <w:rPr>
          <w:rFonts w:ascii="Times New Roman" w:hAnsi="Times New Roman" w:cs="Times New Roman"/>
          <w:noProof/>
        </w:rPr>
        <w:t>. In order to get the green bond label</w:t>
      </w:r>
      <w:r w:rsidRPr="003C0D71">
        <w:rPr>
          <w:rFonts w:ascii="Times New Roman" w:hAnsi="Times New Roman" w:cs="Times New Roman"/>
          <w:noProof/>
        </w:rPr>
        <w:t xml:space="preserve"> the issuer </w:t>
      </w:r>
      <w:r w:rsidR="00732B67" w:rsidRPr="003C0D71">
        <w:rPr>
          <w:rFonts w:ascii="Times New Roman" w:hAnsi="Times New Roman" w:cs="Times New Roman"/>
          <w:noProof/>
        </w:rPr>
        <w:t xml:space="preserve">needs to commit to </w:t>
      </w:r>
      <w:r w:rsidRPr="003C0D71">
        <w:rPr>
          <w:rFonts w:ascii="Times New Roman" w:hAnsi="Times New Roman" w:cs="Times New Roman"/>
          <w:noProof/>
        </w:rPr>
        <w:t>use the proceeds from the issuance to finance</w:t>
      </w:r>
      <w:r w:rsidR="00BF18C5" w:rsidRPr="003C0D71">
        <w:rPr>
          <w:rFonts w:ascii="Times New Roman" w:hAnsi="Times New Roman" w:cs="Times New Roman"/>
          <w:noProof/>
        </w:rPr>
        <w:t>, refinance</w:t>
      </w:r>
      <w:r w:rsidRPr="003C0D71">
        <w:rPr>
          <w:rFonts w:ascii="Times New Roman" w:hAnsi="Times New Roman" w:cs="Times New Roman"/>
          <w:noProof/>
        </w:rPr>
        <w:t xml:space="preserve"> or </w:t>
      </w:r>
      <w:r w:rsidR="00354F72" w:rsidRPr="003C0D71">
        <w:rPr>
          <w:rFonts w:ascii="Times New Roman" w:hAnsi="Times New Roman" w:cs="Times New Roman"/>
          <w:noProof/>
        </w:rPr>
        <w:t>acquire assets</w:t>
      </w:r>
      <w:r w:rsidR="001E6354" w:rsidRPr="001E6354">
        <w:rPr>
          <w:rFonts w:ascii="Times New Roman" w:hAnsi="Times New Roman" w:cs="Times New Roman"/>
          <w:noProof/>
        </w:rPr>
        <w:t xml:space="preserve"> </w:t>
      </w:r>
      <w:r w:rsidR="001E6354" w:rsidRPr="003C0D71">
        <w:rPr>
          <w:rFonts w:ascii="Times New Roman" w:hAnsi="Times New Roman" w:cs="Times New Roman"/>
          <w:noProof/>
        </w:rPr>
        <w:t>aligned</w:t>
      </w:r>
      <w:r w:rsidR="001E6354">
        <w:rPr>
          <w:rFonts w:ascii="Times New Roman" w:hAnsi="Times New Roman" w:cs="Times New Roman"/>
          <w:noProof/>
        </w:rPr>
        <w:t xml:space="preserve"> with the EU taxonomy</w:t>
      </w:r>
      <w:r w:rsidRPr="003C0D71">
        <w:rPr>
          <w:rFonts w:ascii="Times New Roman" w:hAnsi="Times New Roman" w:cs="Times New Roman"/>
          <w:noProof/>
        </w:rPr>
        <w:t xml:space="preserve">. </w:t>
      </w:r>
    </w:p>
    <w:p w14:paraId="55D051C1" w14:textId="5841494B" w:rsidR="00B97F15" w:rsidRPr="003C0D71" w:rsidRDefault="001D0EC9" w:rsidP="2603B6C4">
      <w:pPr>
        <w:jc w:val="both"/>
        <w:rPr>
          <w:rFonts w:ascii="Times New Roman" w:hAnsi="Times New Roman" w:cs="Times New Roman"/>
          <w:noProof/>
          <w:lang w:val="en-IE"/>
        </w:rPr>
      </w:pPr>
      <w:r w:rsidRPr="003C0D71">
        <w:rPr>
          <w:rFonts w:ascii="Times New Roman" w:hAnsi="Times New Roman" w:cs="Times New Roman"/>
          <w:noProof/>
          <w:lang w:val="en-IE"/>
        </w:rPr>
        <w:t>The EBA report</w:t>
      </w:r>
      <w:r w:rsidR="00265216" w:rsidRPr="003C0D71">
        <w:rPr>
          <w:rFonts w:ascii="Times New Roman" w:hAnsi="Times New Roman" w:cs="Times New Roman"/>
          <w:noProof/>
          <w:lang w:val="en-IE"/>
        </w:rPr>
        <w:t xml:space="preserve"> </w:t>
      </w:r>
      <w:r w:rsidR="00CF1532" w:rsidRPr="003C0D71">
        <w:rPr>
          <w:rFonts w:ascii="Times New Roman" w:hAnsi="Times New Roman" w:cs="Times New Roman"/>
          <w:noProof/>
          <w:lang w:val="en-IE"/>
        </w:rPr>
        <w:t xml:space="preserve">does not </w:t>
      </w:r>
      <w:r w:rsidR="00265216" w:rsidRPr="003C0D71">
        <w:rPr>
          <w:rFonts w:ascii="Times New Roman" w:hAnsi="Times New Roman" w:cs="Times New Roman"/>
          <w:noProof/>
          <w:lang w:val="en-IE"/>
        </w:rPr>
        <w:t>recommend establishing a dedicated framework for green securitisation</w:t>
      </w:r>
      <w:r w:rsidR="00C845A7">
        <w:rPr>
          <w:rFonts w:ascii="Times New Roman" w:hAnsi="Times New Roman" w:cs="Times New Roman"/>
          <w:noProof/>
          <w:lang w:val="en-IE"/>
        </w:rPr>
        <w:t xml:space="preserve"> at the present time,</w:t>
      </w:r>
      <w:r w:rsidR="00B97F15" w:rsidRPr="003C0D71">
        <w:rPr>
          <w:rFonts w:ascii="Times New Roman" w:hAnsi="Times New Roman" w:cs="Times New Roman"/>
          <w:noProof/>
          <w:lang w:val="en-IE"/>
        </w:rPr>
        <w:t xml:space="preserve"> </w:t>
      </w:r>
      <w:r w:rsidR="00CF1532" w:rsidRPr="003C0D71">
        <w:rPr>
          <w:rFonts w:ascii="Times New Roman" w:hAnsi="Times New Roman" w:cs="Times New Roman"/>
          <w:noProof/>
          <w:lang w:val="en-IE"/>
        </w:rPr>
        <w:t xml:space="preserve">considering </w:t>
      </w:r>
      <w:r w:rsidR="00B97F15" w:rsidRPr="003C0D71">
        <w:rPr>
          <w:rFonts w:ascii="Times New Roman" w:hAnsi="Times New Roman" w:cs="Times New Roman"/>
          <w:noProof/>
          <w:lang w:val="en-IE"/>
        </w:rPr>
        <w:t>the</w:t>
      </w:r>
      <w:r w:rsidR="00F71A34" w:rsidRPr="003C0D71">
        <w:rPr>
          <w:rFonts w:ascii="Times New Roman" w:hAnsi="Times New Roman" w:cs="Times New Roman"/>
          <w:noProof/>
          <w:lang w:val="en-IE"/>
        </w:rPr>
        <w:t xml:space="preserve"> still rather low</w:t>
      </w:r>
      <w:r w:rsidR="00B97F15" w:rsidRPr="003C0D71">
        <w:rPr>
          <w:rFonts w:ascii="Times New Roman" w:hAnsi="Times New Roman" w:cs="Times New Roman"/>
          <w:noProof/>
          <w:lang w:val="en-IE"/>
        </w:rPr>
        <w:t xml:space="preserve"> amount of green </w:t>
      </w:r>
      <w:r w:rsidR="00363206" w:rsidRPr="003C0D71">
        <w:rPr>
          <w:rFonts w:ascii="Times New Roman" w:hAnsi="Times New Roman" w:cs="Times New Roman"/>
          <w:noProof/>
          <w:lang w:val="en-IE"/>
        </w:rPr>
        <w:t>a</w:t>
      </w:r>
      <w:r w:rsidR="00B97F15" w:rsidRPr="003C0D71">
        <w:rPr>
          <w:rFonts w:ascii="Times New Roman" w:hAnsi="Times New Roman" w:cs="Times New Roman"/>
          <w:noProof/>
          <w:lang w:val="en-IE"/>
        </w:rPr>
        <w:t>ss</w:t>
      </w:r>
      <w:r w:rsidR="00E73644" w:rsidRPr="003C0D71">
        <w:rPr>
          <w:rFonts w:ascii="Times New Roman" w:hAnsi="Times New Roman" w:cs="Times New Roman"/>
          <w:noProof/>
          <w:lang w:val="en-IE"/>
        </w:rPr>
        <w:t>ets available to be securitised</w:t>
      </w:r>
      <w:r w:rsidR="00150D08" w:rsidRPr="003C0D71">
        <w:rPr>
          <w:rStyle w:val="FootnoteReference"/>
          <w:rFonts w:ascii="Times New Roman" w:hAnsi="Times New Roman" w:cs="Times New Roman"/>
          <w:noProof/>
          <w:lang w:val="en-IE"/>
        </w:rPr>
        <w:footnoteReference w:id="32"/>
      </w:r>
      <w:r w:rsidR="00836326" w:rsidRPr="003C0D71">
        <w:rPr>
          <w:rFonts w:ascii="Times New Roman" w:hAnsi="Times New Roman" w:cs="Times New Roman"/>
          <w:noProof/>
          <w:lang w:val="en-IE"/>
        </w:rPr>
        <w:t xml:space="preserve"> and</w:t>
      </w:r>
      <w:r w:rsidR="00DD1743">
        <w:rPr>
          <w:rFonts w:ascii="Times New Roman" w:hAnsi="Times New Roman" w:cs="Times New Roman"/>
          <w:noProof/>
          <w:lang w:val="en-IE"/>
        </w:rPr>
        <w:t>,</w:t>
      </w:r>
      <w:r w:rsidR="00836326" w:rsidRPr="003C0D71">
        <w:rPr>
          <w:rFonts w:ascii="Times New Roman" w:hAnsi="Times New Roman" w:cs="Times New Roman"/>
          <w:noProof/>
          <w:lang w:val="en-IE"/>
        </w:rPr>
        <w:t xml:space="preserve"> </w:t>
      </w:r>
      <w:r w:rsidR="00296090">
        <w:rPr>
          <w:rFonts w:ascii="Times New Roman" w:hAnsi="Times New Roman" w:cs="Times New Roman"/>
          <w:noProof/>
          <w:lang w:val="en-IE"/>
        </w:rPr>
        <w:t>because</w:t>
      </w:r>
      <w:r w:rsidR="00296090" w:rsidRPr="003C0D71">
        <w:rPr>
          <w:rFonts w:ascii="Times New Roman" w:hAnsi="Times New Roman" w:cs="Times New Roman"/>
          <w:noProof/>
          <w:lang w:val="en-IE"/>
        </w:rPr>
        <w:t xml:space="preserve"> </w:t>
      </w:r>
      <w:r w:rsidR="003A3011" w:rsidRPr="003C0D71">
        <w:rPr>
          <w:rFonts w:ascii="Times New Roman" w:hAnsi="Times New Roman" w:cs="Times New Roman"/>
          <w:noProof/>
          <w:lang w:val="en-IE"/>
        </w:rPr>
        <w:t>the</w:t>
      </w:r>
      <w:r w:rsidR="00E73644" w:rsidRPr="003C0D71">
        <w:rPr>
          <w:rFonts w:ascii="Times New Roman" w:hAnsi="Times New Roman" w:cs="Times New Roman"/>
          <w:noProof/>
          <w:lang w:val="en-IE"/>
        </w:rPr>
        <w:t xml:space="preserve"> market for sustainable securitisation is still </w:t>
      </w:r>
      <w:r w:rsidR="00296090">
        <w:rPr>
          <w:rFonts w:ascii="Times New Roman" w:hAnsi="Times New Roman" w:cs="Times New Roman"/>
          <w:noProof/>
          <w:lang w:val="en-IE"/>
        </w:rPr>
        <w:t>quite new</w:t>
      </w:r>
      <w:r w:rsidR="00C845A7">
        <w:rPr>
          <w:rFonts w:ascii="Times New Roman" w:hAnsi="Times New Roman" w:cs="Times New Roman"/>
          <w:noProof/>
          <w:lang w:val="en-IE"/>
        </w:rPr>
        <w:t>.</w:t>
      </w:r>
      <w:r w:rsidR="00C845A7" w:rsidRPr="00647E9A">
        <w:rPr>
          <w:rFonts w:ascii="Times New Roman" w:hAnsi="Times New Roman" w:cs="Times New Roman"/>
          <w:noProof/>
          <w:lang w:val="en-IE"/>
        </w:rPr>
        <w:t xml:space="preserve"> The report recommends considering a dedicated framework only once the EU economy has made greater progress in the green transition.</w:t>
      </w:r>
    </w:p>
    <w:p w14:paraId="33DD46BC" w14:textId="2C321B90" w:rsidR="00C704A3" w:rsidRPr="003C0D71" w:rsidRDefault="2603B6C4" w:rsidP="2603B6C4">
      <w:pPr>
        <w:jc w:val="both"/>
        <w:rPr>
          <w:rFonts w:ascii="Times New Roman" w:hAnsi="Times New Roman" w:cs="Times New Roman"/>
          <w:noProof/>
          <w:lang w:val="bg-BG"/>
        </w:rPr>
      </w:pPr>
      <w:r w:rsidRPr="003C0D71">
        <w:rPr>
          <w:rFonts w:ascii="Times New Roman" w:hAnsi="Times New Roman" w:cs="Times New Roman"/>
          <w:noProof/>
          <w:lang w:val="en-IE"/>
        </w:rPr>
        <w:t xml:space="preserve">Instead, the EBA </w:t>
      </w:r>
      <w:r w:rsidR="00CF1532" w:rsidRPr="003C0D71">
        <w:rPr>
          <w:rFonts w:ascii="Times New Roman" w:hAnsi="Times New Roman" w:cs="Times New Roman"/>
          <w:noProof/>
          <w:lang w:val="en-IE"/>
        </w:rPr>
        <w:t xml:space="preserve">report </w:t>
      </w:r>
      <w:r w:rsidRPr="003C0D71">
        <w:rPr>
          <w:rFonts w:ascii="Times New Roman" w:hAnsi="Times New Roman" w:cs="Times New Roman"/>
          <w:noProof/>
          <w:lang w:val="en-IE"/>
        </w:rPr>
        <w:t xml:space="preserve">recommends </w:t>
      </w:r>
      <w:r w:rsidR="00296090">
        <w:rPr>
          <w:rFonts w:ascii="Times New Roman" w:hAnsi="Times New Roman" w:cs="Times New Roman"/>
          <w:noProof/>
          <w:lang w:val="en-IE"/>
        </w:rPr>
        <w:t>adjusting</w:t>
      </w:r>
      <w:r w:rsidRPr="003C0D71">
        <w:rPr>
          <w:rFonts w:ascii="Times New Roman" w:hAnsi="Times New Roman" w:cs="Times New Roman"/>
          <w:noProof/>
          <w:lang w:val="en-IE"/>
        </w:rPr>
        <w:t xml:space="preserve"> the EuGB</w:t>
      </w:r>
      <w:r w:rsidR="00BD72E5" w:rsidRPr="003C0D71">
        <w:rPr>
          <w:rFonts w:ascii="Times New Roman" w:hAnsi="Times New Roman" w:cs="Times New Roman"/>
          <w:noProof/>
          <w:lang w:val="en-IE"/>
        </w:rPr>
        <w:t>S</w:t>
      </w:r>
      <w:r w:rsidRPr="003C0D71">
        <w:rPr>
          <w:rFonts w:ascii="Times New Roman" w:hAnsi="Times New Roman" w:cs="Times New Roman"/>
          <w:noProof/>
          <w:lang w:val="en-IE"/>
        </w:rPr>
        <w:t xml:space="preserve"> standard to make it more appropriate for securitisations in the transition phase (see </w:t>
      </w:r>
      <w:r w:rsidR="00296090">
        <w:rPr>
          <w:rFonts w:ascii="Times New Roman" w:hAnsi="Times New Roman" w:cs="Times New Roman"/>
          <w:noProof/>
          <w:lang w:val="en-IE"/>
        </w:rPr>
        <w:t>b</w:t>
      </w:r>
      <w:r w:rsidRPr="003C0D71">
        <w:rPr>
          <w:rFonts w:ascii="Times New Roman" w:hAnsi="Times New Roman" w:cs="Times New Roman"/>
          <w:noProof/>
          <w:lang w:val="en-IE"/>
        </w:rPr>
        <w:t>ox</w:t>
      </w:r>
      <w:r w:rsidR="006A5785">
        <w:rPr>
          <w:rFonts w:ascii="Times New Roman" w:hAnsi="Times New Roman" w:cs="Times New Roman"/>
          <w:noProof/>
          <w:lang w:val="en-IE"/>
        </w:rPr>
        <w:t xml:space="preserve"> below</w:t>
      </w:r>
      <w:r w:rsidRPr="003C0D71">
        <w:rPr>
          <w:rFonts w:ascii="Times New Roman" w:hAnsi="Times New Roman" w:cs="Times New Roman"/>
          <w:noProof/>
          <w:lang w:val="en-IE"/>
        </w:rPr>
        <w:t>)</w:t>
      </w:r>
      <w:r w:rsidR="006A5785">
        <w:rPr>
          <w:rFonts w:ascii="Times New Roman" w:hAnsi="Times New Roman" w:cs="Times New Roman"/>
          <w:noProof/>
          <w:lang w:val="en-IE"/>
        </w:rPr>
        <w:t xml:space="preserve">. </w:t>
      </w:r>
      <w:r w:rsidRPr="003C0D71">
        <w:rPr>
          <w:rFonts w:ascii="Times New Roman" w:hAnsi="Times New Roman" w:cs="Times New Roman"/>
          <w:noProof/>
          <w:lang w:val="en-IE"/>
        </w:rPr>
        <w:t>The EBA recommend</w:t>
      </w:r>
      <w:r w:rsidR="00920D13" w:rsidRPr="003C0D71">
        <w:rPr>
          <w:rFonts w:ascii="Times New Roman" w:hAnsi="Times New Roman" w:cs="Times New Roman"/>
          <w:noProof/>
          <w:lang w:val="en-IE"/>
        </w:rPr>
        <w:t>s</w:t>
      </w:r>
      <w:r w:rsidRPr="003C0D71">
        <w:rPr>
          <w:rFonts w:ascii="Times New Roman" w:hAnsi="Times New Roman" w:cs="Times New Roman"/>
          <w:noProof/>
          <w:lang w:val="en-IE"/>
        </w:rPr>
        <w:t xml:space="preserve"> </w:t>
      </w:r>
      <w:r w:rsidR="00354F72">
        <w:rPr>
          <w:rFonts w:ascii="Times New Roman" w:hAnsi="Times New Roman" w:cs="Times New Roman"/>
          <w:noProof/>
          <w:lang w:val="en-IE"/>
        </w:rPr>
        <w:t>leaving</w:t>
      </w:r>
      <w:r w:rsidR="006A4F02">
        <w:rPr>
          <w:rFonts w:ascii="Times New Roman" w:hAnsi="Times New Roman" w:cs="Times New Roman"/>
          <w:noProof/>
          <w:lang w:val="en-IE"/>
        </w:rPr>
        <w:t xml:space="preserve"> out</w:t>
      </w:r>
      <w:r w:rsidR="006A4F02" w:rsidRPr="003C0D71">
        <w:rPr>
          <w:rFonts w:ascii="Times New Roman" w:hAnsi="Times New Roman" w:cs="Times New Roman"/>
          <w:noProof/>
          <w:lang w:val="en-IE"/>
        </w:rPr>
        <w:t xml:space="preserve"> </w:t>
      </w:r>
      <w:r w:rsidRPr="003C0D71">
        <w:rPr>
          <w:rFonts w:ascii="Times New Roman" w:hAnsi="Times New Roman" w:cs="Times New Roman"/>
          <w:noProof/>
          <w:lang w:val="en-IE"/>
        </w:rPr>
        <w:t xml:space="preserve">synthetic securitisation of the scope of a </w:t>
      </w:r>
      <w:r w:rsidR="00142271" w:rsidRPr="003C0D71">
        <w:rPr>
          <w:rFonts w:ascii="Times New Roman" w:hAnsi="Times New Roman" w:cs="Times New Roman"/>
          <w:noProof/>
          <w:lang w:val="en-IE"/>
        </w:rPr>
        <w:t xml:space="preserve">label for green </w:t>
      </w:r>
      <w:r w:rsidRPr="003C0D71">
        <w:rPr>
          <w:rFonts w:ascii="Times New Roman" w:hAnsi="Times New Roman" w:cs="Times New Roman"/>
          <w:noProof/>
          <w:lang w:val="en-IE"/>
        </w:rPr>
        <w:t>securitisation</w:t>
      </w:r>
      <w:r w:rsidR="00142271" w:rsidRPr="003C0D71">
        <w:rPr>
          <w:rFonts w:ascii="Times New Roman" w:hAnsi="Times New Roman" w:cs="Times New Roman"/>
          <w:noProof/>
          <w:lang w:val="en-IE"/>
        </w:rPr>
        <w:t xml:space="preserve"> (be it the EuGB</w:t>
      </w:r>
      <w:r w:rsidR="00631113" w:rsidRPr="003C0D71">
        <w:rPr>
          <w:rFonts w:ascii="Times New Roman" w:hAnsi="Times New Roman" w:cs="Times New Roman"/>
          <w:noProof/>
          <w:lang w:val="en-IE"/>
        </w:rPr>
        <w:t>S</w:t>
      </w:r>
      <w:r w:rsidR="00142271" w:rsidRPr="003C0D71">
        <w:rPr>
          <w:rFonts w:ascii="Times New Roman" w:hAnsi="Times New Roman" w:cs="Times New Roman"/>
          <w:noProof/>
          <w:lang w:val="en-IE"/>
        </w:rPr>
        <w:t xml:space="preserve"> label or a separate </w:t>
      </w:r>
      <w:r w:rsidR="006A5785" w:rsidRPr="003C0D71">
        <w:rPr>
          <w:rFonts w:ascii="Times New Roman" w:hAnsi="Times New Roman" w:cs="Times New Roman"/>
          <w:noProof/>
          <w:lang w:val="en-IE"/>
        </w:rPr>
        <w:t xml:space="preserve">dedicated </w:t>
      </w:r>
      <w:r w:rsidR="00142271" w:rsidRPr="003C0D71">
        <w:rPr>
          <w:rFonts w:ascii="Times New Roman" w:hAnsi="Times New Roman" w:cs="Times New Roman"/>
          <w:noProof/>
          <w:lang w:val="en-IE"/>
        </w:rPr>
        <w:t>label)</w:t>
      </w:r>
      <w:r w:rsidRPr="003C0D71">
        <w:rPr>
          <w:rFonts w:ascii="Times New Roman" w:hAnsi="Times New Roman" w:cs="Times New Roman"/>
          <w:noProof/>
          <w:lang w:val="en-IE"/>
        </w:rPr>
        <w:t xml:space="preserve"> </w:t>
      </w:r>
      <w:r w:rsidR="006A5785">
        <w:rPr>
          <w:rFonts w:ascii="Times New Roman" w:hAnsi="Times New Roman" w:cs="Times New Roman"/>
          <w:noProof/>
          <w:lang w:val="en-IE"/>
        </w:rPr>
        <w:t>because</w:t>
      </w:r>
      <w:r w:rsidR="006A5785" w:rsidRPr="003C0D71">
        <w:rPr>
          <w:rFonts w:ascii="Times New Roman" w:hAnsi="Times New Roman" w:cs="Times New Roman"/>
          <w:noProof/>
          <w:lang w:val="en-IE"/>
        </w:rPr>
        <w:t xml:space="preserve"> </w:t>
      </w:r>
      <w:r w:rsidRPr="003C0D71">
        <w:rPr>
          <w:rFonts w:ascii="Times New Roman" w:hAnsi="Times New Roman" w:cs="Times New Roman"/>
          <w:noProof/>
          <w:lang w:val="en-IE"/>
        </w:rPr>
        <w:t xml:space="preserve">there is </w:t>
      </w:r>
      <w:r w:rsidR="006A5785">
        <w:rPr>
          <w:rFonts w:ascii="Times New Roman" w:hAnsi="Times New Roman" w:cs="Times New Roman"/>
          <w:noProof/>
          <w:lang w:val="en-IE"/>
        </w:rPr>
        <w:t xml:space="preserve">as </w:t>
      </w:r>
      <w:r w:rsidR="00CF1532" w:rsidRPr="003C0D71">
        <w:rPr>
          <w:rFonts w:ascii="Times New Roman" w:hAnsi="Times New Roman" w:cs="Times New Roman"/>
          <w:noProof/>
          <w:lang w:val="en-IE"/>
        </w:rPr>
        <w:t xml:space="preserve">yet </w:t>
      </w:r>
      <w:r w:rsidRPr="003C0D71">
        <w:rPr>
          <w:rFonts w:ascii="Times New Roman" w:hAnsi="Times New Roman" w:cs="Times New Roman"/>
          <w:noProof/>
          <w:lang w:val="en-IE"/>
        </w:rPr>
        <w:t>no</w:t>
      </w:r>
      <w:r w:rsidR="00142271" w:rsidRPr="003C0D71">
        <w:rPr>
          <w:rFonts w:ascii="Times New Roman" w:hAnsi="Times New Roman" w:cs="Times New Roman"/>
          <w:noProof/>
          <w:lang w:val="en-IE"/>
        </w:rPr>
        <w:t xml:space="preserve"> generally acknowledged</w:t>
      </w:r>
      <w:r w:rsidRPr="003C0D71">
        <w:rPr>
          <w:rFonts w:ascii="Times New Roman" w:hAnsi="Times New Roman" w:cs="Times New Roman"/>
          <w:noProof/>
          <w:lang w:val="en-IE"/>
        </w:rPr>
        <w:t xml:space="preserve"> methodology </w:t>
      </w:r>
      <w:r w:rsidR="00DD1743">
        <w:rPr>
          <w:rFonts w:ascii="Times New Roman" w:hAnsi="Times New Roman" w:cs="Times New Roman"/>
          <w:noProof/>
          <w:lang w:val="en-IE"/>
        </w:rPr>
        <w:t>to</w:t>
      </w:r>
      <w:r w:rsidR="00DD1743" w:rsidRPr="003C0D71">
        <w:rPr>
          <w:rFonts w:ascii="Times New Roman" w:hAnsi="Times New Roman" w:cs="Times New Roman"/>
          <w:noProof/>
          <w:lang w:val="en-IE"/>
        </w:rPr>
        <w:t xml:space="preserve"> </w:t>
      </w:r>
      <w:r w:rsidRPr="003C0D71">
        <w:rPr>
          <w:rFonts w:ascii="Times New Roman" w:hAnsi="Times New Roman" w:cs="Times New Roman"/>
          <w:noProof/>
          <w:lang w:val="en-IE"/>
        </w:rPr>
        <w:t>measur</w:t>
      </w:r>
      <w:r w:rsidR="00DD1743">
        <w:rPr>
          <w:rFonts w:ascii="Times New Roman" w:hAnsi="Times New Roman" w:cs="Times New Roman"/>
          <w:noProof/>
          <w:lang w:val="en-IE"/>
        </w:rPr>
        <w:t>e</w:t>
      </w:r>
      <w:r w:rsidRPr="003C0D71">
        <w:rPr>
          <w:rFonts w:ascii="Times New Roman" w:hAnsi="Times New Roman" w:cs="Times New Roman"/>
          <w:noProof/>
          <w:lang w:val="en-IE"/>
        </w:rPr>
        <w:t xml:space="preserve"> the re-deployment of </w:t>
      </w:r>
      <w:r w:rsidR="005A6291" w:rsidRPr="003C0D71">
        <w:rPr>
          <w:rFonts w:ascii="Times New Roman" w:hAnsi="Times New Roman" w:cs="Times New Roman"/>
          <w:noProof/>
          <w:lang w:val="en-IE"/>
        </w:rPr>
        <w:t xml:space="preserve">the </w:t>
      </w:r>
      <w:r w:rsidRPr="003C0D71">
        <w:rPr>
          <w:rFonts w:ascii="Times New Roman" w:hAnsi="Times New Roman" w:cs="Times New Roman"/>
          <w:noProof/>
          <w:lang w:val="en-IE"/>
        </w:rPr>
        <w:t xml:space="preserve">capital </w:t>
      </w:r>
      <w:r w:rsidR="005A6291" w:rsidRPr="003C0D71">
        <w:rPr>
          <w:rFonts w:ascii="Times New Roman" w:hAnsi="Times New Roman" w:cs="Times New Roman"/>
          <w:noProof/>
          <w:lang w:val="en-IE"/>
        </w:rPr>
        <w:t xml:space="preserve">that is </w:t>
      </w:r>
      <w:r w:rsidRPr="003C0D71">
        <w:rPr>
          <w:rFonts w:ascii="Times New Roman" w:hAnsi="Times New Roman" w:cs="Times New Roman"/>
          <w:noProof/>
          <w:lang w:val="en-IE"/>
        </w:rPr>
        <w:t xml:space="preserve">freed up as a result of the transaction for green </w:t>
      </w:r>
      <w:r w:rsidR="005A6291" w:rsidRPr="003C0D71">
        <w:rPr>
          <w:rFonts w:ascii="Times New Roman" w:hAnsi="Times New Roman" w:cs="Times New Roman"/>
          <w:noProof/>
          <w:lang w:val="en-IE"/>
        </w:rPr>
        <w:t>purposes</w:t>
      </w:r>
      <w:r w:rsidRPr="003C0D71">
        <w:rPr>
          <w:rFonts w:ascii="Times New Roman" w:hAnsi="Times New Roman" w:cs="Times New Roman"/>
          <w:noProof/>
          <w:lang w:val="en-IE"/>
        </w:rPr>
        <w:t>.</w:t>
      </w:r>
    </w:p>
    <w:p w14:paraId="4AEF6A2C" w14:textId="782FA0C3" w:rsidR="00034915" w:rsidRPr="003C0D71" w:rsidRDefault="00034967" w:rsidP="00034915">
      <w:pPr>
        <w:jc w:val="both"/>
        <w:rPr>
          <w:rFonts w:ascii="Times New Roman" w:hAnsi="Times New Roman" w:cs="Times New Roman"/>
          <w:noProof/>
          <w:lang w:val="en-IE"/>
        </w:rPr>
      </w:pPr>
      <w:r w:rsidRPr="003C0D71">
        <w:rPr>
          <w:rFonts w:ascii="Times New Roman" w:hAnsi="Times New Roman" w:cs="Times New Roman"/>
          <w:noProof/>
          <w:lang w:val="en-IE"/>
        </w:rPr>
        <w:t xml:space="preserve">In the </w:t>
      </w:r>
      <w:r w:rsidR="004C18E0">
        <w:rPr>
          <w:rFonts w:ascii="Times New Roman" w:hAnsi="Times New Roman" w:cs="Times New Roman"/>
          <w:noProof/>
          <w:lang w:val="en-IE"/>
        </w:rPr>
        <w:t>c</w:t>
      </w:r>
      <w:r w:rsidRPr="003C0D71">
        <w:rPr>
          <w:rFonts w:ascii="Times New Roman" w:hAnsi="Times New Roman" w:cs="Times New Roman"/>
          <w:noProof/>
          <w:lang w:val="en-IE"/>
        </w:rPr>
        <w:t xml:space="preserve">onsultation, </w:t>
      </w:r>
      <w:r w:rsidR="004C18E0">
        <w:rPr>
          <w:rFonts w:ascii="Times New Roman" w:hAnsi="Times New Roman" w:cs="Times New Roman"/>
          <w:noProof/>
          <w:lang w:val="en-IE"/>
        </w:rPr>
        <w:t>most</w:t>
      </w:r>
      <w:r w:rsidRPr="003C0D71">
        <w:rPr>
          <w:rFonts w:ascii="Times New Roman" w:hAnsi="Times New Roman" w:cs="Times New Roman"/>
          <w:noProof/>
          <w:lang w:val="en-IE"/>
        </w:rPr>
        <w:t xml:space="preserve"> respondents warned against </w:t>
      </w:r>
      <w:r w:rsidR="006A5785">
        <w:rPr>
          <w:rFonts w:ascii="Times New Roman" w:hAnsi="Times New Roman" w:cs="Times New Roman"/>
          <w:noProof/>
          <w:lang w:val="en-IE"/>
        </w:rPr>
        <w:t xml:space="preserve">having </w:t>
      </w:r>
      <w:r w:rsidRPr="003C0D71">
        <w:rPr>
          <w:rFonts w:ascii="Times New Roman" w:hAnsi="Times New Roman" w:cs="Times New Roman"/>
          <w:noProof/>
          <w:lang w:val="en-IE"/>
        </w:rPr>
        <w:t xml:space="preserve">several </w:t>
      </w:r>
      <w:r w:rsidR="006A5785">
        <w:rPr>
          <w:rFonts w:ascii="Times New Roman" w:hAnsi="Times New Roman" w:cs="Times New Roman"/>
          <w:noProof/>
          <w:lang w:val="en-IE"/>
        </w:rPr>
        <w:t>different</w:t>
      </w:r>
      <w:r w:rsidR="006A5785" w:rsidRPr="003C0D71">
        <w:rPr>
          <w:rFonts w:ascii="Times New Roman" w:hAnsi="Times New Roman" w:cs="Times New Roman"/>
          <w:noProof/>
          <w:lang w:val="en-IE"/>
        </w:rPr>
        <w:t xml:space="preserve"> </w:t>
      </w:r>
      <w:r w:rsidRPr="003C0D71">
        <w:rPr>
          <w:rFonts w:ascii="Times New Roman" w:hAnsi="Times New Roman" w:cs="Times New Roman"/>
          <w:noProof/>
          <w:lang w:val="en-IE"/>
        </w:rPr>
        <w:t>labels for classifying green securitisation and voiced a clear preference to use the EuGB</w:t>
      </w:r>
      <w:r w:rsidR="00BD72E5" w:rsidRPr="003C0D71">
        <w:rPr>
          <w:rFonts w:ascii="Times New Roman" w:hAnsi="Times New Roman" w:cs="Times New Roman"/>
          <w:noProof/>
          <w:lang w:val="en-IE"/>
        </w:rPr>
        <w:t>S</w:t>
      </w:r>
      <w:r w:rsidRPr="003C0D71">
        <w:rPr>
          <w:rFonts w:ascii="Times New Roman" w:hAnsi="Times New Roman" w:cs="Times New Roman"/>
          <w:noProof/>
          <w:lang w:val="en-IE"/>
        </w:rPr>
        <w:t xml:space="preserve"> label for the foreseeable future</w:t>
      </w:r>
      <w:r w:rsidR="006A5785">
        <w:rPr>
          <w:rFonts w:ascii="Times New Roman" w:hAnsi="Times New Roman" w:cs="Times New Roman"/>
          <w:noProof/>
          <w:lang w:val="en-IE"/>
        </w:rPr>
        <w:t>,</w:t>
      </w:r>
      <w:r w:rsidRPr="003C0D71">
        <w:rPr>
          <w:rFonts w:ascii="Times New Roman" w:hAnsi="Times New Roman" w:cs="Times New Roman"/>
          <w:noProof/>
        </w:rPr>
        <w:t xml:space="preserve"> rather than creating a separate framework</w:t>
      </w:r>
      <w:r w:rsidRPr="003C0D71">
        <w:rPr>
          <w:rFonts w:ascii="Times New Roman" w:hAnsi="Times New Roman" w:cs="Times New Roman"/>
          <w:noProof/>
          <w:lang w:val="en-IE"/>
        </w:rPr>
        <w:t xml:space="preserve">. </w:t>
      </w:r>
      <w:r w:rsidR="00142271" w:rsidRPr="003C0D71">
        <w:rPr>
          <w:rFonts w:ascii="Times New Roman" w:hAnsi="Times New Roman" w:cs="Times New Roman"/>
          <w:noProof/>
        </w:rPr>
        <w:t>T</w:t>
      </w:r>
      <w:r w:rsidR="2603B6C4" w:rsidRPr="003C0D71">
        <w:rPr>
          <w:rFonts w:ascii="Times New Roman" w:hAnsi="Times New Roman" w:cs="Times New Roman"/>
          <w:noProof/>
        </w:rPr>
        <w:t xml:space="preserve">he feedback </w:t>
      </w:r>
      <w:r w:rsidR="006A4F02">
        <w:rPr>
          <w:rFonts w:ascii="Times New Roman" w:hAnsi="Times New Roman" w:cs="Times New Roman"/>
          <w:noProof/>
        </w:rPr>
        <w:t>shared</w:t>
      </w:r>
      <w:r w:rsidR="00A07A53" w:rsidRPr="003C0D71">
        <w:rPr>
          <w:rFonts w:ascii="Times New Roman" w:hAnsi="Times New Roman" w:cs="Times New Roman"/>
          <w:noProof/>
        </w:rPr>
        <w:t xml:space="preserve"> EBA</w:t>
      </w:r>
      <w:r w:rsidR="00BF18C5" w:rsidRPr="003C0D71">
        <w:rPr>
          <w:rFonts w:ascii="Times New Roman" w:hAnsi="Times New Roman" w:cs="Times New Roman"/>
          <w:noProof/>
        </w:rPr>
        <w:t>’s</w:t>
      </w:r>
      <w:r w:rsidR="00A07A53" w:rsidRPr="003C0D71">
        <w:rPr>
          <w:rFonts w:ascii="Times New Roman" w:hAnsi="Times New Roman" w:cs="Times New Roman"/>
          <w:noProof/>
        </w:rPr>
        <w:t xml:space="preserve"> </w:t>
      </w:r>
      <w:r w:rsidR="2603B6C4" w:rsidRPr="003C0D71">
        <w:rPr>
          <w:rFonts w:ascii="Times New Roman" w:hAnsi="Times New Roman" w:cs="Times New Roman"/>
          <w:noProof/>
        </w:rPr>
        <w:t xml:space="preserve">concerns about requiring the pool of underlying assets to be </w:t>
      </w:r>
      <w:r w:rsidR="006A5785">
        <w:rPr>
          <w:rFonts w:ascii="Times New Roman" w:hAnsi="Times New Roman" w:cs="Times New Roman"/>
          <w:noProof/>
        </w:rPr>
        <w:t>t</w:t>
      </w:r>
      <w:r w:rsidR="2603B6C4" w:rsidRPr="003C0D71">
        <w:rPr>
          <w:rFonts w:ascii="Times New Roman" w:hAnsi="Times New Roman" w:cs="Times New Roman"/>
          <w:noProof/>
        </w:rPr>
        <w:t>axonomy-aligned</w:t>
      </w:r>
      <w:r w:rsidR="00142271" w:rsidRPr="003C0D71">
        <w:rPr>
          <w:rFonts w:ascii="Times New Roman" w:hAnsi="Times New Roman" w:cs="Times New Roman"/>
          <w:noProof/>
        </w:rPr>
        <w:t>,</w:t>
      </w:r>
      <w:r w:rsidR="009C15E5" w:rsidRPr="003C0D71">
        <w:rPr>
          <w:rFonts w:ascii="Times New Roman" w:hAnsi="Times New Roman" w:cs="Times New Roman"/>
          <w:noProof/>
        </w:rPr>
        <w:t xml:space="preserve"> </w:t>
      </w:r>
      <w:r w:rsidR="00142271" w:rsidRPr="003C0D71">
        <w:rPr>
          <w:rFonts w:ascii="Times New Roman" w:hAnsi="Times New Roman" w:cs="Times New Roman"/>
          <w:noProof/>
        </w:rPr>
        <w:t>since this would</w:t>
      </w:r>
      <w:r w:rsidR="2603B6C4" w:rsidRPr="003C0D71">
        <w:rPr>
          <w:rFonts w:ascii="Times New Roman" w:hAnsi="Times New Roman" w:cs="Times New Roman"/>
          <w:noProof/>
        </w:rPr>
        <w:t xml:space="preserve"> create an </w:t>
      </w:r>
      <w:r w:rsidR="005A6291" w:rsidRPr="003C0D71">
        <w:rPr>
          <w:rFonts w:ascii="Times New Roman" w:hAnsi="Times New Roman" w:cs="Times New Roman"/>
          <w:noProof/>
        </w:rPr>
        <w:t xml:space="preserve">unequal treatment of </w:t>
      </w:r>
      <w:r w:rsidR="005A6291" w:rsidRPr="00DD1743">
        <w:rPr>
          <w:rFonts w:ascii="Times New Roman" w:hAnsi="Times New Roman" w:cs="Times New Roman"/>
          <w:noProof/>
        </w:rPr>
        <w:t xml:space="preserve">securitisation with </w:t>
      </w:r>
      <w:r w:rsidR="2603B6C4" w:rsidRPr="00DD1743">
        <w:rPr>
          <w:rFonts w:ascii="Times New Roman" w:hAnsi="Times New Roman" w:cs="Times New Roman"/>
          <w:noProof/>
        </w:rPr>
        <w:t>other</w:t>
      </w:r>
      <w:r w:rsidR="2603B6C4" w:rsidRPr="003C0D71">
        <w:rPr>
          <w:rFonts w:ascii="Times New Roman" w:hAnsi="Times New Roman" w:cs="Times New Roman"/>
          <w:noProof/>
        </w:rPr>
        <w:t xml:space="preserve"> </w:t>
      </w:r>
      <w:r w:rsidR="005A6291" w:rsidRPr="003C0D71">
        <w:rPr>
          <w:rFonts w:ascii="Times New Roman" w:hAnsi="Times New Roman" w:cs="Times New Roman"/>
          <w:noProof/>
        </w:rPr>
        <w:t xml:space="preserve">comparable </w:t>
      </w:r>
      <w:r w:rsidR="00920D13" w:rsidRPr="003C0D71">
        <w:rPr>
          <w:rFonts w:ascii="Times New Roman" w:hAnsi="Times New Roman" w:cs="Times New Roman"/>
          <w:noProof/>
        </w:rPr>
        <w:t xml:space="preserve">bank funding </w:t>
      </w:r>
      <w:r w:rsidR="2603B6C4" w:rsidRPr="003C0D71">
        <w:rPr>
          <w:rFonts w:ascii="Times New Roman" w:hAnsi="Times New Roman" w:cs="Times New Roman"/>
          <w:noProof/>
        </w:rPr>
        <w:t>instruments</w:t>
      </w:r>
      <w:r w:rsidR="00836326" w:rsidRPr="003C0D71">
        <w:rPr>
          <w:rFonts w:ascii="Times New Roman" w:hAnsi="Times New Roman" w:cs="Times New Roman"/>
          <w:noProof/>
        </w:rPr>
        <w:t>, such as covered bonds</w:t>
      </w:r>
      <w:r w:rsidR="005A6291" w:rsidRPr="003C0D71">
        <w:rPr>
          <w:rFonts w:ascii="Times New Roman" w:hAnsi="Times New Roman" w:cs="Times New Roman"/>
          <w:noProof/>
        </w:rPr>
        <w:t>. S</w:t>
      </w:r>
      <w:r w:rsidR="2603B6C4" w:rsidRPr="003C0D71">
        <w:rPr>
          <w:rFonts w:ascii="Times New Roman" w:hAnsi="Times New Roman" w:cs="Times New Roman"/>
          <w:noProof/>
        </w:rPr>
        <w:t xml:space="preserve">ecuritisation </w:t>
      </w:r>
      <w:r w:rsidR="00142271" w:rsidRPr="003C0D71">
        <w:rPr>
          <w:rFonts w:ascii="Times New Roman" w:hAnsi="Times New Roman" w:cs="Times New Roman"/>
          <w:noProof/>
        </w:rPr>
        <w:t xml:space="preserve">might then not be able to contribute </w:t>
      </w:r>
      <w:r w:rsidR="2603B6C4" w:rsidRPr="003C0D71">
        <w:rPr>
          <w:rFonts w:ascii="Times New Roman" w:hAnsi="Times New Roman" w:cs="Times New Roman"/>
          <w:noProof/>
        </w:rPr>
        <w:t>to financing</w:t>
      </w:r>
      <w:r w:rsidR="00142271" w:rsidRPr="003C0D71">
        <w:rPr>
          <w:rFonts w:ascii="Times New Roman" w:hAnsi="Times New Roman" w:cs="Times New Roman"/>
          <w:noProof/>
        </w:rPr>
        <w:t xml:space="preserve"> the transition to a green economy, </w:t>
      </w:r>
      <w:r w:rsidR="2603B6C4" w:rsidRPr="003C0D71">
        <w:rPr>
          <w:rFonts w:ascii="Times New Roman" w:hAnsi="Times New Roman" w:cs="Times New Roman"/>
          <w:noProof/>
        </w:rPr>
        <w:t>given the</w:t>
      </w:r>
      <w:r w:rsidR="00BB11E5" w:rsidRPr="003C0D71">
        <w:rPr>
          <w:rFonts w:ascii="Times New Roman" w:hAnsi="Times New Roman" w:cs="Times New Roman"/>
          <w:noProof/>
        </w:rPr>
        <w:t xml:space="preserve"> current</w:t>
      </w:r>
      <w:r w:rsidR="2603B6C4" w:rsidRPr="003C0D71">
        <w:rPr>
          <w:rFonts w:ascii="Times New Roman" w:hAnsi="Times New Roman" w:cs="Times New Roman"/>
          <w:noProof/>
        </w:rPr>
        <w:t xml:space="preserve"> </w:t>
      </w:r>
      <w:r w:rsidR="00836326" w:rsidRPr="003C0D71">
        <w:rPr>
          <w:rFonts w:ascii="Times New Roman" w:hAnsi="Times New Roman" w:cs="Times New Roman"/>
          <w:noProof/>
        </w:rPr>
        <w:t>scarceness</w:t>
      </w:r>
      <w:r w:rsidR="006A5785">
        <w:rPr>
          <w:rFonts w:ascii="Times New Roman" w:hAnsi="Times New Roman" w:cs="Times New Roman"/>
          <w:noProof/>
        </w:rPr>
        <w:t xml:space="preserve"> of</w:t>
      </w:r>
      <w:r w:rsidR="2603B6C4" w:rsidRPr="003C0D71">
        <w:rPr>
          <w:rFonts w:ascii="Times New Roman" w:hAnsi="Times New Roman" w:cs="Times New Roman"/>
          <w:noProof/>
        </w:rPr>
        <w:t xml:space="preserve"> </w:t>
      </w:r>
      <w:r w:rsidR="006A5785">
        <w:rPr>
          <w:rFonts w:ascii="Times New Roman" w:hAnsi="Times New Roman" w:cs="Times New Roman"/>
          <w:noProof/>
        </w:rPr>
        <w:t>t</w:t>
      </w:r>
      <w:r w:rsidR="00142271" w:rsidRPr="003C0D71">
        <w:rPr>
          <w:rFonts w:ascii="Times New Roman" w:hAnsi="Times New Roman" w:cs="Times New Roman"/>
          <w:noProof/>
        </w:rPr>
        <w:t>axonomy-alig</w:t>
      </w:r>
      <w:r w:rsidR="00E04D59" w:rsidRPr="003C0D71">
        <w:rPr>
          <w:rFonts w:ascii="Times New Roman" w:hAnsi="Times New Roman" w:cs="Times New Roman"/>
          <w:noProof/>
        </w:rPr>
        <w:t>n</w:t>
      </w:r>
      <w:r w:rsidR="00142271" w:rsidRPr="003C0D71">
        <w:rPr>
          <w:rFonts w:ascii="Times New Roman" w:hAnsi="Times New Roman" w:cs="Times New Roman"/>
          <w:noProof/>
        </w:rPr>
        <w:t>ed</w:t>
      </w:r>
      <w:r w:rsidR="009C15E5" w:rsidRPr="003C0D71">
        <w:rPr>
          <w:rFonts w:ascii="Times New Roman" w:hAnsi="Times New Roman" w:cs="Times New Roman"/>
          <w:noProof/>
        </w:rPr>
        <w:t xml:space="preserve"> </w:t>
      </w:r>
      <w:r w:rsidR="2603B6C4" w:rsidRPr="003C0D71">
        <w:rPr>
          <w:rFonts w:ascii="Times New Roman" w:hAnsi="Times New Roman" w:cs="Times New Roman"/>
          <w:noProof/>
        </w:rPr>
        <w:t xml:space="preserve">assets. </w:t>
      </w:r>
      <w:r w:rsidR="000A06C6">
        <w:rPr>
          <w:rFonts w:ascii="Times New Roman" w:hAnsi="Times New Roman" w:cs="Times New Roman"/>
          <w:noProof/>
          <w:lang w:val="en-IE"/>
        </w:rPr>
        <w:t>On</w:t>
      </w:r>
      <w:r w:rsidR="000A06C6" w:rsidRPr="003C0D71">
        <w:rPr>
          <w:rFonts w:ascii="Times New Roman" w:hAnsi="Times New Roman" w:cs="Times New Roman"/>
          <w:noProof/>
          <w:lang w:val="en-IE"/>
        </w:rPr>
        <w:t xml:space="preserve"> </w:t>
      </w:r>
      <w:r w:rsidR="00034915" w:rsidRPr="003C0D71">
        <w:rPr>
          <w:rFonts w:ascii="Times New Roman" w:hAnsi="Times New Roman" w:cs="Times New Roman"/>
          <w:noProof/>
          <w:lang w:val="en-IE"/>
        </w:rPr>
        <w:t xml:space="preserve">the responsible entity for reporting, many respondents </w:t>
      </w:r>
      <w:r w:rsidR="006A5785">
        <w:rPr>
          <w:rFonts w:ascii="Times New Roman" w:hAnsi="Times New Roman" w:cs="Times New Roman"/>
          <w:noProof/>
          <w:lang w:val="en-IE"/>
        </w:rPr>
        <w:t>preferred</w:t>
      </w:r>
      <w:r w:rsidR="00034915" w:rsidRPr="003C0D71">
        <w:rPr>
          <w:rFonts w:ascii="Times New Roman" w:hAnsi="Times New Roman" w:cs="Times New Roman"/>
          <w:noProof/>
          <w:lang w:val="en-IE"/>
        </w:rPr>
        <w:t xml:space="preserve"> originators rather than issuers as it would be unpractical </w:t>
      </w:r>
      <w:r w:rsidR="005A6291" w:rsidRPr="003C0D71">
        <w:rPr>
          <w:rFonts w:ascii="Times New Roman" w:hAnsi="Times New Roman" w:cs="Times New Roman"/>
          <w:noProof/>
          <w:lang w:val="en-IE"/>
        </w:rPr>
        <w:t xml:space="preserve">to mandate </w:t>
      </w:r>
      <w:r w:rsidR="00034915" w:rsidRPr="003C0D71">
        <w:rPr>
          <w:rFonts w:ascii="Times New Roman" w:hAnsi="Times New Roman" w:cs="Times New Roman"/>
          <w:noProof/>
          <w:lang w:val="en-IE"/>
        </w:rPr>
        <w:t xml:space="preserve">issuers </w:t>
      </w:r>
      <w:r w:rsidR="005A6291" w:rsidRPr="003C0D71">
        <w:rPr>
          <w:rFonts w:ascii="Times New Roman" w:hAnsi="Times New Roman" w:cs="Times New Roman"/>
          <w:noProof/>
          <w:lang w:val="en-IE"/>
        </w:rPr>
        <w:t>who</w:t>
      </w:r>
      <w:r w:rsidR="00034915" w:rsidRPr="003C0D71">
        <w:rPr>
          <w:rFonts w:ascii="Times New Roman" w:hAnsi="Times New Roman" w:cs="Times New Roman"/>
          <w:noProof/>
          <w:lang w:val="en-IE"/>
        </w:rPr>
        <w:t xml:space="preserve"> do not control the assets. </w:t>
      </w:r>
    </w:p>
    <w:p w14:paraId="5DC8E596" w14:textId="4BAE5BD7" w:rsidR="008E37D1" w:rsidRPr="003C0D71" w:rsidRDefault="000A06C6" w:rsidP="00034915">
      <w:pPr>
        <w:jc w:val="both"/>
        <w:rPr>
          <w:rFonts w:ascii="Times New Roman" w:hAnsi="Times New Roman" w:cs="Times New Roman"/>
          <w:noProof/>
        </w:rPr>
      </w:pPr>
      <w:r>
        <w:rPr>
          <w:rFonts w:ascii="Times New Roman" w:hAnsi="Times New Roman" w:cs="Times New Roman"/>
          <w:noProof/>
          <w:lang w:val="en-IE"/>
        </w:rPr>
        <w:t>On</w:t>
      </w:r>
      <w:r w:rsidRPr="003C0D71">
        <w:rPr>
          <w:rFonts w:ascii="Times New Roman" w:hAnsi="Times New Roman" w:cs="Times New Roman"/>
          <w:noProof/>
          <w:lang w:val="en-IE"/>
        </w:rPr>
        <w:t xml:space="preserve"> </w:t>
      </w:r>
      <w:r w:rsidR="00FA6F67">
        <w:rPr>
          <w:rFonts w:ascii="Times New Roman" w:hAnsi="Times New Roman" w:cs="Times New Roman"/>
          <w:noProof/>
          <w:lang w:val="en-IE"/>
        </w:rPr>
        <w:t xml:space="preserve">the </w:t>
      </w:r>
      <w:r w:rsidR="00034915" w:rsidRPr="003C0D71">
        <w:rPr>
          <w:rFonts w:ascii="Times New Roman" w:hAnsi="Times New Roman" w:cs="Times New Roman"/>
          <w:noProof/>
          <w:lang w:val="en-IE"/>
        </w:rPr>
        <w:t>disclosures required to qualify as sustainable, it is argued that an overly descriptive regime would be counterproductive given the wide range of activities related to exposures</w:t>
      </w:r>
      <w:r w:rsidR="005959F9" w:rsidRPr="003C0D71">
        <w:rPr>
          <w:rFonts w:ascii="Times New Roman" w:hAnsi="Times New Roman" w:cs="Times New Roman"/>
          <w:noProof/>
          <w:lang w:val="en-IE"/>
        </w:rPr>
        <w:t xml:space="preserve"> underlying securitisation transactions</w:t>
      </w:r>
      <w:r w:rsidR="00E04D59" w:rsidRPr="003C0D71">
        <w:rPr>
          <w:rFonts w:ascii="Times New Roman" w:hAnsi="Times New Roman" w:cs="Times New Roman"/>
          <w:noProof/>
          <w:lang w:val="en-IE"/>
        </w:rPr>
        <w:t>.</w:t>
      </w:r>
    </w:p>
    <w:tbl>
      <w:tblPr>
        <w:tblStyle w:val="TableGrid"/>
        <w:tblW w:w="0" w:type="auto"/>
        <w:shd w:val="clear" w:color="auto" w:fill="F2F2F2" w:themeFill="background1" w:themeFillShade="F2"/>
        <w:tblLook w:val="04A0" w:firstRow="1" w:lastRow="0" w:firstColumn="1" w:lastColumn="0" w:noHBand="0" w:noVBand="1"/>
      </w:tblPr>
      <w:tblGrid>
        <w:gridCol w:w="9242"/>
      </w:tblGrid>
      <w:tr w:rsidR="003C0D71" w:rsidRPr="003C0D71" w14:paraId="1428CAB2" w14:textId="77777777" w:rsidTr="2603B6C4">
        <w:tc>
          <w:tcPr>
            <w:tcW w:w="9242" w:type="dxa"/>
            <w:shd w:val="clear" w:color="auto" w:fill="F2F2F2" w:themeFill="background1" w:themeFillShade="F2"/>
          </w:tcPr>
          <w:p w14:paraId="7F1C8FE4" w14:textId="7B0629A2" w:rsidR="00265216" w:rsidRPr="003C0D71" w:rsidRDefault="2603B6C4" w:rsidP="2603B6C4">
            <w:pPr>
              <w:spacing w:after="120"/>
              <w:jc w:val="both"/>
              <w:rPr>
                <w:rFonts w:ascii="Times New Roman" w:hAnsi="Times New Roman" w:cs="Times New Roman"/>
                <w:b/>
                <w:bCs/>
                <w:noProof/>
                <w:lang w:val="en-IE"/>
              </w:rPr>
            </w:pPr>
            <w:r w:rsidRPr="003C0D71">
              <w:rPr>
                <w:rFonts w:ascii="Times New Roman" w:hAnsi="Times New Roman" w:cs="Times New Roman"/>
                <w:b/>
                <w:bCs/>
                <w:noProof/>
                <w:lang w:val="en-IE"/>
              </w:rPr>
              <w:t>The EBA report recommendation on adjusting the EU Green Bond Standard</w:t>
            </w:r>
            <w:r w:rsidR="00A5153D" w:rsidRPr="003C0D71">
              <w:rPr>
                <w:rFonts w:ascii="Times New Roman" w:hAnsi="Times New Roman" w:cs="Times New Roman"/>
                <w:b/>
                <w:bCs/>
                <w:noProof/>
                <w:lang w:val="en-IE"/>
              </w:rPr>
              <w:t xml:space="preserve"> (EuGBS)</w:t>
            </w:r>
          </w:p>
          <w:p w14:paraId="05C92D52" w14:textId="29936599" w:rsidR="00B22AB2" w:rsidRPr="003C0D71" w:rsidRDefault="2603B6C4" w:rsidP="2603B6C4">
            <w:pPr>
              <w:jc w:val="both"/>
              <w:rPr>
                <w:rFonts w:ascii="Times New Roman" w:hAnsi="Times New Roman" w:cs="Times New Roman"/>
                <w:noProof/>
                <w:lang w:val="en-IE"/>
              </w:rPr>
            </w:pPr>
            <w:r w:rsidRPr="003C0D71">
              <w:rPr>
                <w:rFonts w:ascii="Times New Roman" w:hAnsi="Times New Roman" w:cs="Times New Roman"/>
                <w:noProof/>
                <w:lang w:val="en-IE"/>
              </w:rPr>
              <w:t>The E</w:t>
            </w:r>
            <w:r w:rsidR="00A848DD" w:rsidRPr="003C0D71">
              <w:rPr>
                <w:rFonts w:ascii="Times New Roman" w:hAnsi="Times New Roman" w:cs="Times New Roman"/>
                <w:noProof/>
                <w:lang w:val="en-IE"/>
              </w:rPr>
              <w:t>u</w:t>
            </w:r>
            <w:r w:rsidRPr="003C0D71">
              <w:rPr>
                <w:rFonts w:ascii="Times New Roman" w:hAnsi="Times New Roman" w:cs="Times New Roman"/>
                <w:noProof/>
                <w:lang w:val="en-IE"/>
              </w:rPr>
              <w:t xml:space="preserve">GBS proposal establishes a </w:t>
            </w:r>
            <w:r w:rsidR="00A5153D" w:rsidRPr="003C0D71">
              <w:rPr>
                <w:rFonts w:ascii="Times New Roman" w:hAnsi="Times New Roman" w:cs="Times New Roman"/>
                <w:noProof/>
                <w:lang w:val="en-IE"/>
              </w:rPr>
              <w:t xml:space="preserve">voluntary standard </w:t>
            </w:r>
            <w:r w:rsidR="00C65F22">
              <w:rPr>
                <w:rFonts w:ascii="Times New Roman" w:hAnsi="Times New Roman" w:cs="Times New Roman"/>
                <w:noProof/>
                <w:lang w:val="en-IE"/>
              </w:rPr>
              <w:t xml:space="preserve">for </w:t>
            </w:r>
            <w:r w:rsidR="00A5153D" w:rsidRPr="003C0D71">
              <w:rPr>
                <w:rFonts w:ascii="Times New Roman" w:hAnsi="Times New Roman" w:cs="Times New Roman"/>
                <w:noProof/>
                <w:lang w:val="en-IE"/>
              </w:rPr>
              <w:t xml:space="preserve">financing sustainable investment and </w:t>
            </w:r>
            <w:r w:rsidR="005959F9" w:rsidRPr="003C0D71">
              <w:rPr>
                <w:rFonts w:ascii="Times New Roman" w:hAnsi="Times New Roman" w:cs="Times New Roman"/>
                <w:noProof/>
                <w:lang w:val="en-IE"/>
              </w:rPr>
              <w:t>allows</w:t>
            </w:r>
            <w:r w:rsidRPr="003C0D71">
              <w:rPr>
                <w:rFonts w:ascii="Times New Roman" w:hAnsi="Times New Roman" w:cs="Times New Roman"/>
                <w:noProof/>
                <w:lang w:val="en-IE"/>
              </w:rPr>
              <w:t xml:space="preserve"> the issuer of a bond </w:t>
            </w:r>
            <w:r w:rsidR="005959F9" w:rsidRPr="003C0D71">
              <w:rPr>
                <w:rFonts w:ascii="Times New Roman" w:hAnsi="Times New Roman" w:cs="Times New Roman"/>
                <w:noProof/>
                <w:lang w:val="en-IE"/>
              </w:rPr>
              <w:t xml:space="preserve">to use the </w:t>
            </w:r>
            <w:r w:rsidR="00FA6F67">
              <w:rPr>
                <w:rFonts w:ascii="Times New Roman" w:hAnsi="Times New Roman" w:cs="Times New Roman"/>
                <w:noProof/>
                <w:lang w:val="en-IE"/>
              </w:rPr>
              <w:t>green bond</w:t>
            </w:r>
            <w:r w:rsidR="00FA6F67" w:rsidRPr="003C0D71">
              <w:rPr>
                <w:rFonts w:ascii="Times New Roman" w:hAnsi="Times New Roman" w:cs="Times New Roman"/>
                <w:noProof/>
                <w:lang w:val="en-IE"/>
              </w:rPr>
              <w:t xml:space="preserve"> </w:t>
            </w:r>
            <w:r w:rsidRPr="003C0D71">
              <w:rPr>
                <w:rFonts w:ascii="Times New Roman" w:hAnsi="Times New Roman" w:cs="Times New Roman"/>
                <w:noProof/>
                <w:lang w:val="en-IE"/>
              </w:rPr>
              <w:t>label as long as the</w:t>
            </w:r>
            <w:r w:rsidR="00394F92" w:rsidRPr="003C0D71">
              <w:rPr>
                <w:rFonts w:ascii="Times New Roman" w:hAnsi="Times New Roman" w:cs="Times New Roman"/>
                <w:noProof/>
                <w:lang w:val="en-IE"/>
              </w:rPr>
              <w:t xml:space="preserve"> full</w:t>
            </w:r>
            <w:r w:rsidRPr="003C0D71">
              <w:rPr>
                <w:rFonts w:ascii="Times New Roman" w:hAnsi="Times New Roman" w:cs="Times New Roman"/>
                <w:noProof/>
                <w:lang w:val="en-IE"/>
              </w:rPr>
              <w:t xml:space="preserve"> proceeds from the bond </w:t>
            </w:r>
            <w:r w:rsidR="005959F9" w:rsidRPr="003C0D71">
              <w:rPr>
                <w:rFonts w:ascii="Times New Roman" w:hAnsi="Times New Roman" w:cs="Times New Roman"/>
                <w:noProof/>
                <w:lang w:val="en-IE"/>
              </w:rPr>
              <w:t>issuance are used for purposes</w:t>
            </w:r>
            <w:r w:rsidRPr="003C0D71">
              <w:rPr>
                <w:rFonts w:ascii="Times New Roman" w:hAnsi="Times New Roman" w:cs="Times New Roman"/>
                <w:noProof/>
                <w:lang w:val="en-IE"/>
              </w:rPr>
              <w:t xml:space="preserve"> that are fully </w:t>
            </w:r>
            <w:r w:rsidR="00FA6F67">
              <w:rPr>
                <w:rFonts w:ascii="Times New Roman" w:hAnsi="Times New Roman" w:cs="Times New Roman"/>
                <w:noProof/>
                <w:lang w:val="en-IE"/>
              </w:rPr>
              <w:t>aligned with the t</w:t>
            </w:r>
            <w:r w:rsidRPr="003C0D71">
              <w:rPr>
                <w:rFonts w:ascii="Times New Roman" w:hAnsi="Times New Roman" w:cs="Times New Roman"/>
                <w:noProof/>
                <w:lang w:val="en-IE"/>
              </w:rPr>
              <w:t xml:space="preserve">axonomy. </w:t>
            </w:r>
            <w:r w:rsidR="00FA6F67">
              <w:rPr>
                <w:rFonts w:ascii="Times New Roman" w:hAnsi="Times New Roman" w:cs="Times New Roman"/>
                <w:noProof/>
                <w:lang w:val="en-IE"/>
              </w:rPr>
              <w:t>T</w:t>
            </w:r>
            <w:r w:rsidRPr="003C0D71">
              <w:rPr>
                <w:rFonts w:ascii="Times New Roman" w:hAnsi="Times New Roman" w:cs="Times New Roman"/>
                <w:noProof/>
                <w:lang w:val="en-IE"/>
              </w:rPr>
              <w:t xml:space="preserve">his means that the underlying exposures of the securitisation </w:t>
            </w:r>
            <w:r w:rsidR="00281A59" w:rsidRPr="003C0D71">
              <w:rPr>
                <w:rFonts w:ascii="Times New Roman" w:hAnsi="Times New Roman" w:cs="Times New Roman"/>
                <w:noProof/>
                <w:lang w:val="en-IE"/>
              </w:rPr>
              <w:t xml:space="preserve">held by the SSPE </w:t>
            </w:r>
            <w:r w:rsidRPr="003C0D71">
              <w:rPr>
                <w:rFonts w:ascii="Times New Roman" w:hAnsi="Times New Roman" w:cs="Times New Roman"/>
                <w:noProof/>
                <w:lang w:val="en-IE"/>
              </w:rPr>
              <w:t xml:space="preserve">would need to be aligned with the </w:t>
            </w:r>
            <w:r w:rsidR="00FA6F67">
              <w:rPr>
                <w:rFonts w:ascii="Times New Roman" w:hAnsi="Times New Roman" w:cs="Times New Roman"/>
                <w:noProof/>
                <w:lang w:val="en-IE"/>
              </w:rPr>
              <w:t>t</w:t>
            </w:r>
            <w:r w:rsidRPr="003C0D71">
              <w:rPr>
                <w:rFonts w:ascii="Times New Roman" w:hAnsi="Times New Roman" w:cs="Times New Roman"/>
                <w:noProof/>
                <w:lang w:val="en-IE"/>
              </w:rPr>
              <w:t>axonomy.</w:t>
            </w:r>
          </w:p>
          <w:p w14:paraId="11DC5046" w14:textId="77777777" w:rsidR="003A7447" w:rsidRPr="003C0D71" w:rsidRDefault="003A7447" w:rsidP="00265216">
            <w:pPr>
              <w:jc w:val="both"/>
              <w:rPr>
                <w:rFonts w:ascii="Times New Roman" w:hAnsi="Times New Roman" w:cs="Times New Roman"/>
                <w:noProof/>
                <w:lang w:val="en-IE"/>
              </w:rPr>
            </w:pPr>
          </w:p>
          <w:p w14:paraId="4C004AB8" w14:textId="3D4B15C0" w:rsidR="003A7447" w:rsidRPr="003C0D71" w:rsidRDefault="2603B6C4" w:rsidP="2603B6C4">
            <w:pPr>
              <w:jc w:val="both"/>
              <w:rPr>
                <w:rFonts w:ascii="Times New Roman" w:hAnsi="Times New Roman" w:cs="Times New Roman"/>
                <w:noProof/>
                <w:lang w:val="en-IE"/>
              </w:rPr>
            </w:pPr>
            <w:r w:rsidRPr="003C0D71">
              <w:rPr>
                <w:rFonts w:ascii="Times New Roman" w:hAnsi="Times New Roman" w:cs="Times New Roman"/>
                <w:noProof/>
                <w:lang w:val="en-IE"/>
              </w:rPr>
              <w:t xml:space="preserve">The EBA report warns that this approach puts securitisations (and other financial instruments issued by a special purpose vehicle) on a different footing </w:t>
            </w:r>
            <w:r w:rsidR="008141A1">
              <w:rPr>
                <w:rFonts w:ascii="Times New Roman" w:hAnsi="Times New Roman" w:cs="Times New Roman"/>
                <w:noProof/>
                <w:lang w:val="en-IE"/>
              </w:rPr>
              <w:t>from</w:t>
            </w:r>
            <w:r w:rsidRPr="003C0D71">
              <w:rPr>
                <w:rFonts w:ascii="Times New Roman" w:hAnsi="Times New Roman" w:cs="Times New Roman"/>
                <w:noProof/>
                <w:lang w:val="en-IE"/>
              </w:rPr>
              <w:t xml:space="preserve"> securities that are not issued by a special </w:t>
            </w:r>
            <w:r w:rsidR="00281A59" w:rsidRPr="003C0D71">
              <w:rPr>
                <w:rFonts w:ascii="Times New Roman" w:hAnsi="Times New Roman" w:cs="Times New Roman"/>
                <w:noProof/>
                <w:lang w:val="en-IE"/>
              </w:rPr>
              <w:t xml:space="preserve">purpose </w:t>
            </w:r>
            <w:r w:rsidRPr="003C0D71">
              <w:rPr>
                <w:rFonts w:ascii="Times New Roman" w:hAnsi="Times New Roman" w:cs="Times New Roman"/>
                <w:noProof/>
                <w:lang w:val="en-IE"/>
              </w:rPr>
              <w:t xml:space="preserve">vehicle. </w:t>
            </w:r>
            <w:r w:rsidR="00281A59" w:rsidRPr="003C0D71">
              <w:rPr>
                <w:rFonts w:ascii="Times New Roman" w:hAnsi="Times New Roman" w:cs="Times New Roman"/>
                <w:noProof/>
                <w:lang w:val="en-IE"/>
              </w:rPr>
              <w:t>The EBA draws attention to the fact that</w:t>
            </w:r>
            <w:r w:rsidR="004351AF" w:rsidRPr="003C0D71">
              <w:rPr>
                <w:rFonts w:ascii="Times New Roman" w:hAnsi="Times New Roman" w:cs="Times New Roman"/>
                <w:noProof/>
                <w:lang w:val="en-IE"/>
              </w:rPr>
              <w:t xml:space="preserve"> </w:t>
            </w:r>
            <w:r w:rsidR="00281A59" w:rsidRPr="003C0D71">
              <w:rPr>
                <w:rFonts w:ascii="Times New Roman" w:hAnsi="Times New Roman" w:cs="Times New Roman"/>
                <w:noProof/>
                <w:lang w:val="en-IE"/>
              </w:rPr>
              <w:t>th</w:t>
            </w:r>
            <w:r w:rsidR="004351AF" w:rsidRPr="003C0D71">
              <w:rPr>
                <w:rFonts w:ascii="Times New Roman" w:hAnsi="Times New Roman" w:cs="Times New Roman"/>
                <w:noProof/>
                <w:lang w:val="en-IE"/>
              </w:rPr>
              <w:t>e</w:t>
            </w:r>
            <w:r w:rsidRPr="003C0D71">
              <w:rPr>
                <w:rFonts w:ascii="Times New Roman" w:hAnsi="Times New Roman" w:cs="Times New Roman"/>
                <w:noProof/>
                <w:lang w:val="en-IE"/>
              </w:rPr>
              <w:t xml:space="preserve"> current approach would require EuGB</w:t>
            </w:r>
            <w:r w:rsidR="00A5153D" w:rsidRPr="003C0D71">
              <w:rPr>
                <w:rFonts w:ascii="Times New Roman" w:hAnsi="Times New Roman" w:cs="Times New Roman"/>
                <w:noProof/>
                <w:lang w:val="en-IE"/>
              </w:rPr>
              <w:t>S</w:t>
            </w:r>
            <w:r w:rsidR="00FA6F67">
              <w:rPr>
                <w:rFonts w:ascii="Times New Roman" w:hAnsi="Times New Roman" w:cs="Times New Roman"/>
                <w:noProof/>
                <w:lang w:val="en-IE"/>
              </w:rPr>
              <w:t>-</w:t>
            </w:r>
            <w:r w:rsidR="00281A59" w:rsidRPr="003C0D71">
              <w:rPr>
                <w:rFonts w:ascii="Times New Roman" w:hAnsi="Times New Roman" w:cs="Times New Roman"/>
                <w:noProof/>
                <w:lang w:val="en-IE"/>
              </w:rPr>
              <w:t>com</w:t>
            </w:r>
            <w:r w:rsidR="004351AF" w:rsidRPr="003C0D71">
              <w:rPr>
                <w:rFonts w:ascii="Times New Roman" w:hAnsi="Times New Roman" w:cs="Times New Roman"/>
                <w:noProof/>
                <w:lang w:val="en-IE"/>
              </w:rPr>
              <w:t>p</w:t>
            </w:r>
            <w:r w:rsidR="00281A59" w:rsidRPr="003C0D71">
              <w:rPr>
                <w:rFonts w:ascii="Times New Roman" w:hAnsi="Times New Roman" w:cs="Times New Roman"/>
                <w:noProof/>
                <w:lang w:val="en-IE"/>
              </w:rPr>
              <w:t>liant</w:t>
            </w:r>
            <w:r w:rsidRPr="003C0D71">
              <w:rPr>
                <w:rFonts w:ascii="Times New Roman" w:hAnsi="Times New Roman" w:cs="Times New Roman"/>
                <w:noProof/>
                <w:lang w:val="en-IE"/>
              </w:rPr>
              <w:t xml:space="preserve"> securitisations to be backed by </w:t>
            </w:r>
            <w:r w:rsidR="00FA6F67">
              <w:rPr>
                <w:rFonts w:ascii="Times New Roman" w:hAnsi="Times New Roman" w:cs="Times New Roman"/>
                <w:noProof/>
                <w:lang w:val="en-IE"/>
              </w:rPr>
              <w:t>t</w:t>
            </w:r>
            <w:r w:rsidRPr="003C0D71">
              <w:rPr>
                <w:rFonts w:ascii="Times New Roman" w:hAnsi="Times New Roman" w:cs="Times New Roman"/>
                <w:noProof/>
                <w:lang w:val="en-IE"/>
              </w:rPr>
              <w:t>axonomy-aligned assets</w:t>
            </w:r>
            <w:r w:rsidR="00FA6F67">
              <w:rPr>
                <w:rFonts w:ascii="Times New Roman" w:hAnsi="Times New Roman" w:cs="Times New Roman"/>
                <w:noProof/>
                <w:lang w:val="en-IE"/>
              </w:rPr>
              <w:t>.</w:t>
            </w:r>
            <w:r w:rsidRPr="003C0D71">
              <w:rPr>
                <w:rFonts w:ascii="Times New Roman" w:hAnsi="Times New Roman" w:cs="Times New Roman"/>
                <w:noProof/>
                <w:lang w:val="en-IE"/>
              </w:rPr>
              <w:t xml:space="preserve"> </w:t>
            </w:r>
            <w:r w:rsidR="00FA6F67">
              <w:rPr>
                <w:rFonts w:ascii="Times New Roman" w:hAnsi="Times New Roman" w:cs="Times New Roman"/>
                <w:noProof/>
                <w:lang w:val="en-IE"/>
              </w:rPr>
              <w:t xml:space="preserve">However, it </w:t>
            </w:r>
            <w:r w:rsidRPr="003C0D71">
              <w:rPr>
                <w:rFonts w:ascii="Times New Roman" w:hAnsi="Times New Roman" w:cs="Times New Roman"/>
                <w:noProof/>
                <w:lang w:val="en-IE"/>
              </w:rPr>
              <w:t xml:space="preserve">would not prevent the originator, </w:t>
            </w:r>
            <w:r w:rsidR="004351AF" w:rsidRPr="003C0D71">
              <w:rPr>
                <w:rFonts w:ascii="Times New Roman" w:hAnsi="Times New Roman" w:cs="Times New Roman"/>
                <w:noProof/>
                <w:lang w:val="en-IE"/>
              </w:rPr>
              <w:t xml:space="preserve">as </w:t>
            </w:r>
            <w:r w:rsidRPr="003C0D71">
              <w:rPr>
                <w:rFonts w:ascii="Times New Roman" w:hAnsi="Times New Roman" w:cs="Times New Roman"/>
                <w:noProof/>
                <w:lang w:val="en-IE"/>
              </w:rPr>
              <w:t xml:space="preserve">the ultimate </w:t>
            </w:r>
            <w:r w:rsidR="00281A59" w:rsidRPr="003C0D71">
              <w:rPr>
                <w:rFonts w:ascii="Times New Roman" w:hAnsi="Times New Roman" w:cs="Times New Roman"/>
                <w:noProof/>
                <w:lang w:val="en-IE"/>
              </w:rPr>
              <w:t xml:space="preserve">beneficiary </w:t>
            </w:r>
            <w:r w:rsidRPr="003C0D71">
              <w:rPr>
                <w:rFonts w:ascii="Times New Roman" w:hAnsi="Times New Roman" w:cs="Times New Roman"/>
                <w:noProof/>
                <w:lang w:val="en-IE"/>
              </w:rPr>
              <w:t xml:space="preserve">of the proceeds from the </w:t>
            </w:r>
            <w:r w:rsidR="00281A59" w:rsidRPr="003C0D71">
              <w:rPr>
                <w:rFonts w:ascii="Times New Roman" w:hAnsi="Times New Roman" w:cs="Times New Roman"/>
                <w:noProof/>
                <w:lang w:val="en-IE"/>
              </w:rPr>
              <w:t xml:space="preserve">securitisation </w:t>
            </w:r>
            <w:r w:rsidRPr="003C0D71">
              <w:rPr>
                <w:rFonts w:ascii="Times New Roman" w:hAnsi="Times New Roman" w:cs="Times New Roman"/>
                <w:noProof/>
                <w:lang w:val="en-IE"/>
              </w:rPr>
              <w:t>bond</w:t>
            </w:r>
            <w:r w:rsidR="00281A59" w:rsidRPr="003C0D71">
              <w:rPr>
                <w:rFonts w:ascii="Times New Roman" w:hAnsi="Times New Roman" w:cs="Times New Roman"/>
                <w:noProof/>
                <w:lang w:val="en-IE"/>
              </w:rPr>
              <w:t xml:space="preserve"> issuance</w:t>
            </w:r>
            <w:r w:rsidRPr="003C0D71">
              <w:rPr>
                <w:rFonts w:ascii="Times New Roman" w:hAnsi="Times New Roman" w:cs="Times New Roman"/>
                <w:noProof/>
                <w:lang w:val="en-IE"/>
              </w:rPr>
              <w:t xml:space="preserve">, </w:t>
            </w:r>
            <w:r w:rsidR="00FA6F67">
              <w:rPr>
                <w:rFonts w:ascii="Times New Roman" w:hAnsi="Times New Roman" w:cs="Times New Roman"/>
                <w:noProof/>
                <w:lang w:val="en-IE"/>
              </w:rPr>
              <w:t>from</w:t>
            </w:r>
            <w:r w:rsidR="00FA6F67" w:rsidRPr="003C0D71">
              <w:rPr>
                <w:rFonts w:ascii="Times New Roman" w:hAnsi="Times New Roman" w:cs="Times New Roman"/>
                <w:noProof/>
                <w:lang w:val="en-IE"/>
              </w:rPr>
              <w:t xml:space="preserve"> </w:t>
            </w:r>
            <w:r w:rsidR="00FA6F67">
              <w:rPr>
                <w:rFonts w:ascii="Times New Roman" w:hAnsi="Times New Roman" w:cs="Times New Roman"/>
                <w:noProof/>
                <w:lang w:val="en-IE"/>
              </w:rPr>
              <w:t>using</w:t>
            </w:r>
            <w:r w:rsidR="00FA6F67" w:rsidRPr="003C0D71">
              <w:rPr>
                <w:rFonts w:ascii="Times New Roman" w:hAnsi="Times New Roman" w:cs="Times New Roman"/>
                <w:noProof/>
                <w:lang w:val="en-IE"/>
              </w:rPr>
              <w:t xml:space="preserve"> </w:t>
            </w:r>
            <w:r w:rsidR="00281A59" w:rsidRPr="003C0D71">
              <w:rPr>
                <w:rFonts w:ascii="Times New Roman" w:hAnsi="Times New Roman" w:cs="Times New Roman"/>
                <w:noProof/>
                <w:lang w:val="en-IE"/>
              </w:rPr>
              <w:t xml:space="preserve">the proceeds for </w:t>
            </w:r>
            <w:r w:rsidRPr="003C0D71">
              <w:rPr>
                <w:rFonts w:ascii="Times New Roman" w:hAnsi="Times New Roman" w:cs="Times New Roman"/>
                <w:noProof/>
                <w:lang w:val="en-IE"/>
              </w:rPr>
              <w:t xml:space="preserve">non-green </w:t>
            </w:r>
            <w:r w:rsidR="00281A59" w:rsidRPr="003C0D71">
              <w:rPr>
                <w:rFonts w:ascii="Times New Roman" w:hAnsi="Times New Roman" w:cs="Times New Roman"/>
                <w:noProof/>
                <w:lang w:val="en-IE"/>
              </w:rPr>
              <w:t>purposes</w:t>
            </w:r>
            <w:r w:rsidRPr="003C0D71">
              <w:rPr>
                <w:rFonts w:ascii="Times New Roman" w:hAnsi="Times New Roman" w:cs="Times New Roman"/>
                <w:noProof/>
                <w:lang w:val="en-IE"/>
              </w:rPr>
              <w:t xml:space="preserve">. </w:t>
            </w:r>
            <w:r w:rsidR="00664673" w:rsidRPr="003C0D71">
              <w:rPr>
                <w:rFonts w:ascii="Times New Roman" w:hAnsi="Times New Roman" w:cs="Times New Roman"/>
                <w:noProof/>
                <w:lang w:val="en-IE"/>
              </w:rPr>
              <w:t xml:space="preserve">The </w:t>
            </w:r>
            <w:r w:rsidR="00A91B83" w:rsidRPr="003C0D71">
              <w:rPr>
                <w:rFonts w:ascii="Times New Roman" w:hAnsi="Times New Roman" w:cs="Times New Roman"/>
                <w:noProof/>
                <w:lang w:val="en-IE"/>
              </w:rPr>
              <w:t xml:space="preserve">EBA </w:t>
            </w:r>
            <w:r w:rsidR="00281A59" w:rsidRPr="003C0D71">
              <w:rPr>
                <w:rFonts w:ascii="Times New Roman" w:hAnsi="Times New Roman" w:cs="Times New Roman"/>
                <w:noProof/>
                <w:lang w:val="en-IE"/>
              </w:rPr>
              <w:t xml:space="preserve">considered </w:t>
            </w:r>
            <w:r w:rsidR="004351AF" w:rsidRPr="003C0D71">
              <w:rPr>
                <w:rFonts w:ascii="Times New Roman" w:hAnsi="Times New Roman" w:cs="Times New Roman"/>
                <w:noProof/>
                <w:lang w:val="en-IE"/>
              </w:rPr>
              <w:t xml:space="preserve">this approach </w:t>
            </w:r>
            <w:r w:rsidR="00FA6F67">
              <w:rPr>
                <w:rFonts w:ascii="Times New Roman" w:hAnsi="Times New Roman" w:cs="Times New Roman"/>
                <w:noProof/>
                <w:lang w:val="en-IE"/>
              </w:rPr>
              <w:t>to be</w:t>
            </w:r>
            <w:r w:rsidR="00394F92" w:rsidRPr="003C0D71">
              <w:rPr>
                <w:rFonts w:ascii="Times New Roman" w:hAnsi="Times New Roman" w:cs="Times New Roman"/>
                <w:noProof/>
                <w:lang w:val="en-IE"/>
              </w:rPr>
              <w:t xml:space="preserve"> </w:t>
            </w:r>
            <w:r w:rsidRPr="003C0D71">
              <w:rPr>
                <w:rFonts w:ascii="Times New Roman" w:hAnsi="Times New Roman" w:cs="Times New Roman"/>
                <w:noProof/>
                <w:lang w:val="en-IE"/>
              </w:rPr>
              <w:t xml:space="preserve">inconsistent with the policy intention to </w:t>
            </w:r>
            <w:r w:rsidR="00281A59" w:rsidRPr="003C0D71">
              <w:rPr>
                <w:rFonts w:ascii="Times New Roman" w:hAnsi="Times New Roman" w:cs="Times New Roman"/>
                <w:noProof/>
                <w:lang w:val="en-IE"/>
              </w:rPr>
              <w:t xml:space="preserve">channel new funding into </w:t>
            </w:r>
            <w:r w:rsidRPr="003C0D71">
              <w:rPr>
                <w:rFonts w:ascii="Times New Roman" w:hAnsi="Times New Roman" w:cs="Times New Roman"/>
                <w:noProof/>
                <w:lang w:val="en-IE"/>
              </w:rPr>
              <w:t>financ</w:t>
            </w:r>
            <w:r w:rsidR="00281A59" w:rsidRPr="003C0D71">
              <w:rPr>
                <w:rFonts w:ascii="Times New Roman" w:hAnsi="Times New Roman" w:cs="Times New Roman"/>
                <w:noProof/>
                <w:lang w:val="en-IE"/>
              </w:rPr>
              <w:t>ing the</w:t>
            </w:r>
            <w:r w:rsidRPr="003C0D71">
              <w:rPr>
                <w:rFonts w:ascii="Times New Roman" w:hAnsi="Times New Roman" w:cs="Times New Roman"/>
                <w:noProof/>
                <w:lang w:val="en-IE"/>
              </w:rPr>
              <w:t xml:space="preserve"> transition towards a green and sustainable EU economy. </w:t>
            </w:r>
            <w:r w:rsidR="00805A04">
              <w:rPr>
                <w:rFonts w:ascii="Times New Roman" w:hAnsi="Times New Roman" w:cs="Times New Roman"/>
                <w:noProof/>
                <w:lang w:val="en-IE"/>
              </w:rPr>
              <w:t>Because</w:t>
            </w:r>
            <w:r w:rsidRPr="003C0D71">
              <w:rPr>
                <w:rFonts w:ascii="Times New Roman" w:hAnsi="Times New Roman" w:cs="Times New Roman"/>
                <w:noProof/>
                <w:lang w:val="en-IE"/>
              </w:rPr>
              <w:t xml:space="preserve"> of the current scarcity of </w:t>
            </w:r>
            <w:r w:rsidR="00FA6F67">
              <w:rPr>
                <w:rFonts w:ascii="Times New Roman" w:hAnsi="Times New Roman" w:cs="Times New Roman"/>
                <w:noProof/>
                <w:lang w:val="en-IE"/>
              </w:rPr>
              <w:t>t</w:t>
            </w:r>
            <w:r w:rsidRPr="003C0D71">
              <w:rPr>
                <w:rFonts w:ascii="Times New Roman" w:hAnsi="Times New Roman" w:cs="Times New Roman"/>
                <w:noProof/>
                <w:lang w:val="en-IE"/>
              </w:rPr>
              <w:t xml:space="preserve">axonomy-aligned assets available </w:t>
            </w:r>
            <w:r w:rsidR="00FA6F67">
              <w:rPr>
                <w:rFonts w:ascii="Times New Roman" w:hAnsi="Times New Roman" w:cs="Times New Roman"/>
                <w:noProof/>
                <w:lang w:val="en-IE"/>
              </w:rPr>
              <w:t>for</w:t>
            </w:r>
            <w:r w:rsidR="00FA6F67" w:rsidRPr="003C0D71">
              <w:rPr>
                <w:rFonts w:ascii="Times New Roman" w:hAnsi="Times New Roman" w:cs="Times New Roman"/>
                <w:noProof/>
                <w:lang w:val="en-IE"/>
              </w:rPr>
              <w:t xml:space="preserve"> </w:t>
            </w:r>
            <w:r w:rsidRPr="003C0D71">
              <w:rPr>
                <w:rFonts w:ascii="Times New Roman" w:hAnsi="Times New Roman" w:cs="Times New Roman"/>
                <w:noProof/>
                <w:lang w:val="en-IE"/>
              </w:rPr>
              <w:t>securitis</w:t>
            </w:r>
            <w:r w:rsidR="00FA6F67">
              <w:rPr>
                <w:rFonts w:ascii="Times New Roman" w:hAnsi="Times New Roman" w:cs="Times New Roman"/>
                <w:noProof/>
                <w:lang w:val="en-IE"/>
              </w:rPr>
              <w:t>ation</w:t>
            </w:r>
            <w:r w:rsidRPr="003C0D71">
              <w:rPr>
                <w:rFonts w:ascii="Times New Roman" w:hAnsi="Times New Roman" w:cs="Times New Roman"/>
                <w:noProof/>
                <w:lang w:val="en-IE"/>
              </w:rPr>
              <w:t>, th</w:t>
            </w:r>
            <w:r w:rsidR="00394F92" w:rsidRPr="003C0D71">
              <w:rPr>
                <w:rFonts w:ascii="Times New Roman" w:hAnsi="Times New Roman" w:cs="Times New Roman"/>
                <w:noProof/>
                <w:lang w:val="en-IE"/>
              </w:rPr>
              <w:t>e EBA</w:t>
            </w:r>
            <w:r w:rsidR="00AF3DF3" w:rsidRPr="003C0D71">
              <w:rPr>
                <w:rFonts w:ascii="Times New Roman" w:hAnsi="Times New Roman" w:cs="Times New Roman"/>
                <w:noProof/>
                <w:lang w:val="en-IE"/>
              </w:rPr>
              <w:t xml:space="preserve">’s </w:t>
            </w:r>
            <w:r w:rsidR="00394F92" w:rsidRPr="003C0D71">
              <w:rPr>
                <w:rFonts w:ascii="Times New Roman" w:hAnsi="Times New Roman" w:cs="Times New Roman"/>
                <w:noProof/>
                <w:lang w:val="en-IE"/>
              </w:rPr>
              <w:t>view</w:t>
            </w:r>
            <w:r w:rsidR="00AF3DF3" w:rsidRPr="003C0D71">
              <w:rPr>
                <w:rFonts w:ascii="Times New Roman" w:hAnsi="Times New Roman" w:cs="Times New Roman"/>
                <w:noProof/>
                <w:lang w:val="en-IE"/>
              </w:rPr>
              <w:t xml:space="preserve"> was</w:t>
            </w:r>
            <w:r w:rsidR="00394F92" w:rsidRPr="003C0D71">
              <w:rPr>
                <w:rFonts w:ascii="Times New Roman" w:hAnsi="Times New Roman" w:cs="Times New Roman"/>
                <w:noProof/>
                <w:lang w:val="en-IE"/>
              </w:rPr>
              <w:t xml:space="preserve"> that th</w:t>
            </w:r>
            <w:r w:rsidRPr="003C0D71">
              <w:rPr>
                <w:rFonts w:ascii="Times New Roman" w:hAnsi="Times New Roman" w:cs="Times New Roman"/>
                <w:noProof/>
                <w:lang w:val="en-IE"/>
              </w:rPr>
              <w:t xml:space="preserve">is would also limit </w:t>
            </w:r>
            <w:r w:rsidR="00FA6F67" w:rsidRPr="003C0D71">
              <w:rPr>
                <w:rFonts w:ascii="Times New Roman" w:hAnsi="Times New Roman" w:cs="Times New Roman"/>
                <w:noProof/>
                <w:lang w:val="en-IE"/>
              </w:rPr>
              <w:t xml:space="preserve">significantly </w:t>
            </w:r>
            <w:r w:rsidRPr="003C0D71">
              <w:rPr>
                <w:rFonts w:ascii="Times New Roman" w:hAnsi="Times New Roman" w:cs="Times New Roman"/>
                <w:noProof/>
                <w:lang w:val="en-IE"/>
              </w:rPr>
              <w:t>the potential for an EuGB</w:t>
            </w:r>
            <w:r w:rsidR="00725357" w:rsidRPr="003C0D71">
              <w:rPr>
                <w:rFonts w:ascii="Times New Roman" w:hAnsi="Times New Roman" w:cs="Times New Roman"/>
                <w:noProof/>
                <w:lang w:val="en-IE"/>
              </w:rPr>
              <w:t>S</w:t>
            </w:r>
            <w:r w:rsidRPr="003C0D71">
              <w:rPr>
                <w:rFonts w:ascii="Times New Roman" w:hAnsi="Times New Roman" w:cs="Times New Roman"/>
                <w:noProof/>
                <w:lang w:val="en-IE"/>
              </w:rPr>
              <w:t xml:space="preserve"> securitisation market. Moreover, the EBA report points out that</w:t>
            </w:r>
            <w:r w:rsidR="00281A59" w:rsidRPr="003C0D71">
              <w:rPr>
                <w:rFonts w:ascii="Times New Roman" w:hAnsi="Times New Roman" w:cs="Times New Roman"/>
                <w:noProof/>
                <w:lang w:val="en-IE"/>
              </w:rPr>
              <w:t xml:space="preserve"> </w:t>
            </w:r>
            <w:r w:rsidR="00664673" w:rsidRPr="003C0D71">
              <w:rPr>
                <w:rFonts w:ascii="Times New Roman" w:hAnsi="Times New Roman" w:cs="Times New Roman"/>
                <w:noProof/>
                <w:lang w:val="en-IE"/>
              </w:rPr>
              <w:t>SSPE</w:t>
            </w:r>
            <w:r w:rsidR="008141A1">
              <w:rPr>
                <w:rFonts w:ascii="Times New Roman" w:hAnsi="Times New Roman" w:cs="Times New Roman"/>
                <w:noProof/>
                <w:lang w:val="en-IE"/>
              </w:rPr>
              <w:t>s</w:t>
            </w:r>
            <w:r w:rsidRPr="003C0D71">
              <w:rPr>
                <w:rFonts w:ascii="Times New Roman" w:hAnsi="Times New Roman" w:cs="Times New Roman"/>
                <w:noProof/>
                <w:lang w:val="en-IE"/>
              </w:rPr>
              <w:t xml:space="preserve"> are of limited economic substance and therefore</w:t>
            </w:r>
            <w:r w:rsidR="008141A1" w:rsidRPr="003C0D71">
              <w:rPr>
                <w:rFonts w:ascii="Times New Roman" w:hAnsi="Times New Roman" w:cs="Times New Roman"/>
                <w:noProof/>
                <w:lang w:val="en-IE"/>
              </w:rPr>
              <w:t xml:space="preserve"> </w:t>
            </w:r>
            <w:r w:rsidR="008141A1">
              <w:rPr>
                <w:rFonts w:ascii="Times New Roman" w:hAnsi="Times New Roman" w:cs="Times New Roman"/>
                <w:noProof/>
                <w:lang w:val="en-IE"/>
              </w:rPr>
              <w:t xml:space="preserve">an </w:t>
            </w:r>
            <w:r w:rsidR="008141A1" w:rsidRPr="003C0D71">
              <w:rPr>
                <w:rFonts w:ascii="Times New Roman" w:hAnsi="Times New Roman" w:cs="Times New Roman"/>
                <w:noProof/>
                <w:lang w:val="en-IE"/>
              </w:rPr>
              <w:t>EuGBS securitisation market</w:t>
            </w:r>
            <w:r w:rsidRPr="003C0D71">
              <w:rPr>
                <w:rFonts w:ascii="Times New Roman" w:hAnsi="Times New Roman" w:cs="Times New Roman"/>
                <w:noProof/>
                <w:lang w:val="en-IE"/>
              </w:rPr>
              <w:t xml:space="preserve"> would be impractical </w:t>
            </w:r>
            <w:r w:rsidR="00394F92" w:rsidRPr="003C0D71">
              <w:rPr>
                <w:rFonts w:ascii="Times New Roman" w:hAnsi="Times New Roman" w:cs="Times New Roman"/>
                <w:noProof/>
                <w:lang w:val="en-IE"/>
              </w:rPr>
              <w:t xml:space="preserve">even </w:t>
            </w:r>
            <w:r w:rsidRPr="003C0D71">
              <w:rPr>
                <w:rFonts w:ascii="Times New Roman" w:hAnsi="Times New Roman" w:cs="Times New Roman"/>
                <w:noProof/>
                <w:lang w:val="en-IE"/>
              </w:rPr>
              <w:t xml:space="preserve">if </w:t>
            </w:r>
            <w:r w:rsidR="008141A1">
              <w:rPr>
                <w:rFonts w:ascii="Times New Roman" w:hAnsi="Times New Roman" w:cs="Times New Roman"/>
                <w:noProof/>
                <w:lang w:val="en-IE"/>
              </w:rPr>
              <w:t>SSPEs</w:t>
            </w:r>
            <w:r w:rsidR="008141A1" w:rsidRPr="003C0D71">
              <w:rPr>
                <w:rFonts w:ascii="Times New Roman" w:hAnsi="Times New Roman" w:cs="Times New Roman"/>
                <w:noProof/>
                <w:lang w:val="en-IE"/>
              </w:rPr>
              <w:t xml:space="preserve"> </w:t>
            </w:r>
            <w:r w:rsidRPr="003C0D71">
              <w:rPr>
                <w:rFonts w:ascii="Times New Roman" w:hAnsi="Times New Roman" w:cs="Times New Roman"/>
                <w:noProof/>
                <w:lang w:val="en-IE"/>
              </w:rPr>
              <w:t>are the sole entities to bear legal responsibility.</w:t>
            </w:r>
          </w:p>
          <w:p w14:paraId="423F6503" w14:textId="77777777" w:rsidR="003A7447" w:rsidRPr="003C0D71" w:rsidRDefault="003A7447" w:rsidP="00265216">
            <w:pPr>
              <w:jc w:val="both"/>
              <w:rPr>
                <w:rFonts w:ascii="Times New Roman" w:hAnsi="Times New Roman" w:cs="Times New Roman"/>
                <w:noProof/>
                <w:lang w:val="en-IE"/>
              </w:rPr>
            </w:pPr>
          </w:p>
          <w:p w14:paraId="1512FAB6" w14:textId="6ECCD954" w:rsidR="00610938" w:rsidRPr="003C0D71" w:rsidRDefault="2603B6C4" w:rsidP="00FC32BB">
            <w:pPr>
              <w:jc w:val="both"/>
              <w:rPr>
                <w:rFonts w:ascii="Times New Roman" w:hAnsi="Times New Roman" w:cs="Times New Roman"/>
                <w:noProof/>
                <w:lang w:val="en-IE"/>
              </w:rPr>
            </w:pPr>
            <w:r w:rsidRPr="003C0D71">
              <w:rPr>
                <w:rFonts w:ascii="Times New Roman" w:hAnsi="Times New Roman" w:cs="Times New Roman"/>
                <w:noProof/>
                <w:lang w:val="en-IE"/>
              </w:rPr>
              <w:t>The EBA report thus recommends that the EuGB</w:t>
            </w:r>
            <w:r w:rsidR="00631113" w:rsidRPr="003C0D71">
              <w:rPr>
                <w:rFonts w:ascii="Times New Roman" w:hAnsi="Times New Roman" w:cs="Times New Roman"/>
                <w:noProof/>
                <w:lang w:val="en-IE"/>
              </w:rPr>
              <w:t>S</w:t>
            </w:r>
            <w:r w:rsidRPr="003C0D71">
              <w:rPr>
                <w:rFonts w:ascii="Times New Roman" w:hAnsi="Times New Roman" w:cs="Times New Roman"/>
                <w:noProof/>
                <w:lang w:val="en-IE"/>
              </w:rPr>
              <w:t xml:space="preserve"> requirements should apply to the originator of a securitisation, not to the </w:t>
            </w:r>
            <w:r w:rsidR="00664673" w:rsidRPr="003C0D71">
              <w:rPr>
                <w:rFonts w:ascii="Times New Roman" w:hAnsi="Times New Roman" w:cs="Times New Roman"/>
                <w:noProof/>
                <w:lang w:val="en-IE"/>
              </w:rPr>
              <w:t>SSPE</w:t>
            </w:r>
            <w:r w:rsidRPr="003C0D71">
              <w:rPr>
                <w:rFonts w:ascii="Times New Roman" w:hAnsi="Times New Roman" w:cs="Times New Roman"/>
                <w:noProof/>
                <w:lang w:val="en-IE"/>
              </w:rPr>
              <w:t xml:space="preserve">. The EBA acknowledges that </w:t>
            </w:r>
            <w:r w:rsidR="00EA4BAD" w:rsidRPr="003C0D71">
              <w:rPr>
                <w:rFonts w:ascii="Times New Roman" w:hAnsi="Times New Roman" w:cs="Times New Roman"/>
                <w:noProof/>
                <w:lang w:val="en-IE"/>
              </w:rPr>
              <w:t xml:space="preserve">applying </w:t>
            </w:r>
            <w:r w:rsidR="008141A1" w:rsidRPr="003C0D71">
              <w:rPr>
                <w:rFonts w:ascii="Times New Roman" w:hAnsi="Times New Roman" w:cs="Times New Roman"/>
                <w:noProof/>
                <w:lang w:val="en-IE"/>
              </w:rPr>
              <w:t xml:space="preserve">requirements </w:t>
            </w:r>
            <w:r w:rsidR="008141A1">
              <w:rPr>
                <w:rFonts w:ascii="Times New Roman" w:hAnsi="Times New Roman" w:cs="Times New Roman"/>
                <w:noProof/>
                <w:lang w:val="en-IE"/>
              </w:rPr>
              <w:t xml:space="preserve">on </w:t>
            </w:r>
            <w:r w:rsidR="00EA4BAD" w:rsidRPr="003C0D71">
              <w:rPr>
                <w:rFonts w:ascii="Times New Roman" w:hAnsi="Times New Roman" w:cs="Times New Roman"/>
                <w:noProof/>
                <w:lang w:val="en-IE"/>
              </w:rPr>
              <w:t>the use of proceeds at the originator level, instead of at the SSPE level, does not appear to be an obvious path for securitisation given its asset-backed nature</w:t>
            </w:r>
            <w:r w:rsidR="00FC32BB">
              <w:rPr>
                <w:rFonts w:ascii="Times New Roman" w:hAnsi="Times New Roman" w:cs="Times New Roman"/>
                <w:noProof/>
                <w:lang w:val="en-IE"/>
              </w:rPr>
              <w:t xml:space="preserve"> does not benefit from a dual recourse</w:t>
            </w:r>
            <w:r w:rsidR="008141A1">
              <w:rPr>
                <w:rFonts w:ascii="Times New Roman" w:hAnsi="Times New Roman" w:cs="Times New Roman"/>
                <w:noProof/>
                <w:lang w:val="en-IE"/>
              </w:rPr>
              <w:t>. This</w:t>
            </w:r>
            <w:r w:rsidR="00EA4BAD" w:rsidRPr="003C0D71">
              <w:rPr>
                <w:rFonts w:ascii="Times New Roman" w:hAnsi="Times New Roman" w:cs="Times New Roman"/>
                <w:noProof/>
                <w:lang w:val="en-IE"/>
              </w:rPr>
              <w:t xml:space="preserve"> </w:t>
            </w:r>
            <w:r w:rsidRPr="003C0D71">
              <w:rPr>
                <w:rFonts w:ascii="Times New Roman" w:hAnsi="Times New Roman" w:cs="Times New Roman"/>
                <w:noProof/>
                <w:lang w:val="en-IE"/>
              </w:rPr>
              <w:t xml:space="preserve">could </w:t>
            </w:r>
            <w:r w:rsidR="008141A1">
              <w:rPr>
                <w:rFonts w:ascii="Times New Roman" w:hAnsi="Times New Roman" w:cs="Times New Roman"/>
                <w:noProof/>
                <w:lang w:val="en-IE"/>
              </w:rPr>
              <w:t xml:space="preserve">also </w:t>
            </w:r>
            <w:r w:rsidRPr="003C0D71">
              <w:rPr>
                <w:rFonts w:ascii="Times New Roman" w:hAnsi="Times New Roman" w:cs="Times New Roman"/>
                <w:noProof/>
                <w:lang w:val="en-IE"/>
              </w:rPr>
              <w:t>result in EuGB</w:t>
            </w:r>
            <w:r w:rsidR="00631113" w:rsidRPr="003C0D71">
              <w:rPr>
                <w:rFonts w:ascii="Times New Roman" w:hAnsi="Times New Roman" w:cs="Times New Roman"/>
                <w:noProof/>
                <w:lang w:val="en-IE"/>
              </w:rPr>
              <w:t>S</w:t>
            </w:r>
            <w:r w:rsidRPr="003C0D71">
              <w:rPr>
                <w:rFonts w:ascii="Times New Roman" w:hAnsi="Times New Roman" w:cs="Times New Roman"/>
                <w:noProof/>
                <w:lang w:val="en-IE"/>
              </w:rPr>
              <w:t xml:space="preserve"> securitisations with underlying assets that are </w:t>
            </w:r>
            <w:r w:rsidR="00394F92" w:rsidRPr="003C0D71">
              <w:rPr>
                <w:rFonts w:ascii="Times New Roman" w:hAnsi="Times New Roman" w:cs="Times New Roman"/>
                <w:noProof/>
                <w:lang w:val="en-IE"/>
              </w:rPr>
              <w:t>‘</w:t>
            </w:r>
            <w:r w:rsidRPr="003C0D71">
              <w:rPr>
                <w:rFonts w:ascii="Times New Roman" w:hAnsi="Times New Roman" w:cs="Times New Roman"/>
                <w:noProof/>
                <w:lang w:val="en-IE"/>
              </w:rPr>
              <w:t>non-green</w:t>
            </w:r>
            <w:r w:rsidR="00394F92" w:rsidRPr="003C0D71">
              <w:rPr>
                <w:rFonts w:ascii="Times New Roman" w:hAnsi="Times New Roman" w:cs="Times New Roman"/>
                <w:noProof/>
                <w:lang w:val="en-IE"/>
              </w:rPr>
              <w:t>’</w:t>
            </w:r>
            <w:r w:rsidR="00EA4BAD" w:rsidRPr="003C0D71">
              <w:rPr>
                <w:rFonts w:ascii="Times New Roman" w:hAnsi="Times New Roman" w:cs="Times New Roman"/>
                <w:noProof/>
                <w:lang w:val="en-IE"/>
              </w:rPr>
              <w:t>. However, the EBA see this as being the most efficient and pragmatic approach during a transition phase and</w:t>
            </w:r>
            <w:r w:rsidR="000053AA" w:rsidRPr="003C0D71">
              <w:rPr>
                <w:rFonts w:ascii="Times New Roman" w:hAnsi="Times New Roman" w:cs="Times New Roman"/>
                <w:noProof/>
                <w:lang w:val="en-IE"/>
              </w:rPr>
              <w:t xml:space="preserve"> as a way to ensure an equal treatment of securitisation with other types of asset-backed securities.</w:t>
            </w:r>
            <w:r w:rsidR="00EA4BAD" w:rsidRPr="003C0D71">
              <w:rPr>
                <w:rFonts w:ascii="Times New Roman" w:hAnsi="Times New Roman" w:cs="Times New Roman"/>
                <w:noProof/>
                <w:lang w:val="en-IE"/>
              </w:rPr>
              <w:t xml:space="preserve"> </w:t>
            </w:r>
            <w:r w:rsidR="000053AA" w:rsidRPr="003C0D71">
              <w:rPr>
                <w:rFonts w:ascii="Times New Roman" w:hAnsi="Times New Roman" w:cs="Times New Roman"/>
                <w:noProof/>
                <w:lang w:val="en-IE"/>
              </w:rPr>
              <w:t>T</w:t>
            </w:r>
            <w:r w:rsidR="00EA4BAD" w:rsidRPr="003C0D71">
              <w:rPr>
                <w:rFonts w:ascii="Times New Roman" w:hAnsi="Times New Roman" w:cs="Times New Roman"/>
                <w:noProof/>
                <w:lang w:val="en-IE"/>
              </w:rPr>
              <w:t xml:space="preserve">he EBA </w:t>
            </w:r>
            <w:r w:rsidRPr="003C0D71">
              <w:rPr>
                <w:rFonts w:ascii="Times New Roman" w:hAnsi="Times New Roman" w:cs="Times New Roman"/>
                <w:noProof/>
                <w:lang w:val="en-IE"/>
              </w:rPr>
              <w:t xml:space="preserve">recommends that shifting the </w:t>
            </w:r>
            <w:r w:rsidR="00EA4BAD" w:rsidRPr="003C0D71">
              <w:rPr>
                <w:rFonts w:ascii="Times New Roman" w:hAnsi="Times New Roman" w:cs="Times New Roman"/>
                <w:noProof/>
                <w:lang w:val="en-IE"/>
              </w:rPr>
              <w:t xml:space="preserve">EuGBS </w:t>
            </w:r>
            <w:r w:rsidRPr="003C0D71">
              <w:rPr>
                <w:rFonts w:ascii="Times New Roman" w:hAnsi="Times New Roman" w:cs="Times New Roman"/>
                <w:noProof/>
                <w:lang w:val="en-IE"/>
              </w:rPr>
              <w:t xml:space="preserve">requirements </w:t>
            </w:r>
            <w:r w:rsidR="001E61D6" w:rsidRPr="003C0D71">
              <w:rPr>
                <w:rFonts w:ascii="Times New Roman" w:hAnsi="Times New Roman" w:cs="Times New Roman"/>
                <w:noProof/>
                <w:lang w:val="en-IE"/>
              </w:rPr>
              <w:t xml:space="preserve">to the originator </w:t>
            </w:r>
            <w:r w:rsidR="008141A1">
              <w:rPr>
                <w:rFonts w:ascii="Times New Roman" w:hAnsi="Times New Roman" w:cs="Times New Roman"/>
                <w:noProof/>
                <w:lang w:val="en-IE"/>
              </w:rPr>
              <w:t xml:space="preserve">should </w:t>
            </w:r>
            <w:r w:rsidRPr="003C0D71">
              <w:rPr>
                <w:rFonts w:ascii="Times New Roman" w:hAnsi="Times New Roman" w:cs="Times New Roman"/>
                <w:noProof/>
                <w:lang w:val="en-IE"/>
              </w:rPr>
              <w:t xml:space="preserve">be </w:t>
            </w:r>
            <w:r w:rsidR="008141A1">
              <w:rPr>
                <w:rFonts w:ascii="Times New Roman" w:hAnsi="Times New Roman" w:cs="Times New Roman"/>
                <w:noProof/>
                <w:lang w:val="en-IE"/>
              </w:rPr>
              <w:t>accompanied by</w:t>
            </w:r>
            <w:r w:rsidRPr="003C0D71">
              <w:rPr>
                <w:rFonts w:ascii="Times New Roman" w:hAnsi="Times New Roman" w:cs="Times New Roman"/>
                <w:noProof/>
                <w:lang w:val="en-IE"/>
              </w:rPr>
              <w:t xml:space="preserve"> </w:t>
            </w:r>
            <w:r w:rsidR="001E61D6" w:rsidRPr="003C0D71">
              <w:rPr>
                <w:rFonts w:ascii="Times New Roman" w:hAnsi="Times New Roman" w:cs="Times New Roman"/>
                <w:noProof/>
                <w:lang w:val="en-IE"/>
              </w:rPr>
              <w:t xml:space="preserve">additional </w:t>
            </w:r>
            <w:r w:rsidRPr="003C0D71">
              <w:rPr>
                <w:rFonts w:ascii="Times New Roman" w:hAnsi="Times New Roman" w:cs="Times New Roman"/>
                <w:noProof/>
                <w:lang w:val="en-IE"/>
              </w:rPr>
              <w:t xml:space="preserve">transparency </w:t>
            </w:r>
            <w:r w:rsidR="008141A1">
              <w:rPr>
                <w:rFonts w:ascii="Times New Roman" w:hAnsi="Times New Roman" w:cs="Times New Roman"/>
                <w:noProof/>
                <w:lang w:val="en-IE"/>
              </w:rPr>
              <w:t xml:space="preserve">measures </w:t>
            </w:r>
            <w:r w:rsidRPr="003C0D71">
              <w:rPr>
                <w:rFonts w:ascii="Times New Roman" w:hAnsi="Times New Roman" w:cs="Times New Roman"/>
                <w:noProof/>
                <w:lang w:val="en-IE"/>
              </w:rPr>
              <w:t xml:space="preserve">to inform </w:t>
            </w:r>
            <w:r w:rsidR="001E61D6" w:rsidRPr="003C0D71">
              <w:rPr>
                <w:rFonts w:ascii="Times New Roman" w:hAnsi="Times New Roman" w:cs="Times New Roman"/>
                <w:noProof/>
                <w:lang w:val="en-IE"/>
              </w:rPr>
              <w:t>investors</w:t>
            </w:r>
            <w:r w:rsidR="00664673" w:rsidRPr="003C0D71">
              <w:rPr>
                <w:rFonts w:ascii="Times New Roman" w:hAnsi="Times New Roman" w:cs="Times New Roman"/>
                <w:noProof/>
                <w:lang w:val="en-IE"/>
              </w:rPr>
              <w:t xml:space="preserve"> to what extent </w:t>
            </w:r>
            <w:r w:rsidR="00F45D85" w:rsidRPr="003C0D71">
              <w:rPr>
                <w:rFonts w:ascii="Times New Roman" w:hAnsi="Times New Roman" w:cs="Times New Roman"/>
                <w:noProof/>
                <w:lang w:val="en-IE"/>
              </w:rPr>
              <w:t>the asset</w:t>
            </w:r>
            <w:r w:rsidRPr="003C0D71">
              <w:rPr>
                <w:rFonts w:ascii="Times New Roman" w:hAnsi="Times New Roman" w:cs="Times New Roman"/>
                <w:noProof/>
                <w:lang w:val="en-IE"/>
              </w:rPr>
              <w:t xml:space="preserve"> pool </w:t>
            </w:r>
            <w:r w:rsidR="001E61D6" w:rsidRPr="003C0D71">
              <w:rPr>
                <w:rFonts w:ascii="Times New Roman" w:hAnsi="Times New Roman" w:cs="Times New Roman"/>
                <w:noProof/>
                <w:lang w:val="en-IE"/>
              </w:rPr>
              <w:t xml:space="preserve">is </w:t>
            </w:r>
            <w:r w:rsidR="008141A1">
              <w:rPr>
                <w:rFonts w:ascii="Times New Roman" w:hAnsi="Times New Roman" w:cs="Times New Roman"/>
                <w:noProof/>
                <w:lang w:val="en-IE"/>
              </w:rPr>
              <w:t>t</w:t>
            </w:r>
            <w:r w:rsidR="001E61D6" w:rsidRPr="003C0D71">
              <w:rPr>
                <w:rFonts w:ascii="Times New Roman" w:hAnsi="Times New Roman" w:cs="Times New Roman"/>
                <w:noProof/>
                <w:lang w:val="en-IE"/>
              </w:rPr>
              <w:t>axonomy-aligned</w:t>
            </w:r>
            <w:r w:rsidR="008141A1">
              <w:rPr>
                <w:rFonts w:ascii="Times New Roman" w:hAnsi="Times New Roman" w:cs="Times New Roman"/>
                <w:noProof/>
                <w:lang w:val="en-IE"/>
              </w:rPr>
              <w:t>. This approach should be complemented by</w:t>
            </w:r>
            <w:r w:rsidR="001E61D6" w:rsidRPr="003C0D71">
              <w:rPr>
                <w:rFonts w:ascii="Times New Roman" w:hAnsi="Times New Roman" w:cs="Times New Roman"/>
                <w:noProof/>
                <w:lang w:val="en-IE"/>
              </w:rPr>
              <w:t xml:space="preserve"> </w:t>
            </w:r>
            <w:r w:rsidR="000A4BE5" w:rsidRPr="003C0D71">
              <w:rPr>
                <w:rFonts w:ascii="Times New Roman" w:hAnsi="Times New Roman" w:cs="Times New Roman"/>
                <w:noProof/>
                <w:lang w:val="en-IE"/>
              </w:rPr>
              <w:t>safeguards to avoid</w:t>
            </w:r>
            <w:r w:rsidRPr="003C0D71">
              <w:rPr>
                <w:rFonts w:ascii="Times New Roman" w:hAnsi="Times New Roman" w:cs="Times New Roman"/>
                <w:noProof/>
                <w:lang w:val="en-IE"/>
              </w:rPr>
              <w:t xml:space="preserve"> </w:t>
            </w:r>
            <w:r w:rsidR="00FF67AB" w:rsidRPr="003C0D71">
              <w:rPr>
                <w:rFonts w:ascii="Times New Roman" w:hAnsi="Times New Roman" w:cs="Times New Roman"/>
                <w:noProof/>
                <w:lang w:val="en-IE"/>
              </w:rPr>
              <w:t xml:space="preserve">the </w:t>
            </w:r>
            <w:r w:rsidRPr="003C0D71">
              <w:rPr>
                <w:rFonts w:ascii="Times New Roman" w:hAnsi="Times New Roman" w:cs="Times New Roman"/>
                <w:noProof/>
                <w:lang w:val="en-IE"/>
              </w:rPr>
              <w:t>selection of assets to be securitised by the originator</w:t>
            </w:r>
            <w:r w:rsidR="000A4BE5" w:rsidRPr="003C0D71">
              <w:rPr>
                <w:rFonts w:ascii="Times New Roman" w:hAnsi="Times New Roman" w:cs="Times New Roman"/>
                <w:noProof/>
                <w:lang w:val="en-IE"/>
              </w:rPr>
              <w:t xml:space="preserve"> in a way</w:t>
            </w:r>
            <w:r w:rsidRPr="003C0D71">
              <w:rPr>
                <w:rFonts w:ascii="Times New Roman" w:hAnsi="Times New Roman" w:cs="Times New Roman"/>
                <w:noProof/>
                <w:lang w:val="en-IE"/>
              </w:rPr>
              <w:t xml:space="preserve"> </w:t>
            </w:r>
            <w:r w:rsidR="008141A1">
              <w:rPr>
                <w:rFonts w:ascii="Times New Roman" w:hAnsi="Times New Roman" w:cs="Times New Roman"/>
                <w:noProof/>
                <w:lang w:val="en-IE"/>
              </w:rPr>
              <w:t>that</w:t>
            </w:r>
            <w:r w:rsidR="008141A1" w:rsidRPr="003C0D71">
              <w:rPr>
                <w:rFonts w:ascii="Times New Roman" w:hAnsi="Times New Roman" w:cs="Times New Roman"/>
                <w:noProof/>
                <w:lang w:val="en-IE"/>
              </w:rPr>
              <w:t xml:space="preserve"> </w:t>
            </w:r>
            <w:r w:rsidRPr="003C0D71">
              <w:rPr>
                <w:rFonts w:ascii="Times New Roman" w:hAnsi="Times New Roman" w:cs="Times New Roman"/>
                <w:noProof/>
                <w:lang w:val="en-IE"/>
              </w:rPr>
              <w:t>could be seen as greenwashing.</w:t>
            </w:r>
          </w:p>
        </w:tc>
      </w:tr>
    </w:tbl>
    <w:p w14:paraId="7BF4D970" w14:textId="77777777" w:rsidR="009C15E5" w:rsidRPr="003C0D71" w:rsidRDefault="009C15E5" w:rsidP="00B33592">
      <w:pPr>
        <w:spacing w:after="0"/>
        <w:jc w:val="both"/>
        <w:rPr>
          <w:rFonts w:ascii="Times New Roman" w:hAnsi="Times New Roman" w:cs="Times New Roman"/>
          <w:noProof/>
        </w:rPr>
      </w:pPr>
    </w:p>
    <w:p w14:paraId="7B46A887" w14:textId="48DB9807" w:rsidR="00D44008" w:rsidRPr="003C0D71" w:rsidRDefault="00421C74" w:rsidP="2603B6C4">
      <w:pPr>
        <w:jc w:val="both"/>
        <w:rPr>
          <w:rFonts w:ascii="Times New Roman" w:hAnsi="Times New Roman" w:cs="Times New Roman"/>
          <w:noProof/>
        </w:rPr>
      </w:pPr>
      <w:r w:rsidRPr="003C0D71">
        <w:rPr>
          <w:rFonts w:ascii="Times New Roman" w:hAnsi="Times New Roman" w:cs="Times New Roman"/>
          <w:noProof/>
        </w:rPr>
        <w:t xml:space="preserve">Furthermore, </w:t>
      </w:r>
      <w:r w:rsidR="008E582D">
        <w:rPr>
          <w:rFonts w:ascii="Times New Roman" w:hAnsi="Times New Roman" w:cs="Times New Roman"/>
          <w:noProof/>
        </w:rPr>
        <w:t>on</w:t>
      </w:r>
      <w:r w:rsidR="2603B6C4" w:rsidRPr="003C0D71">
        <w:rPr>
          <w:rFonts w:ascii="Times New Roman" w:hAnsi="Times New Roman" w:cs="Times New Roman"/>
          <w:noProof/>
        </w:rPr>
        <w:t xml:space="preserve"> disclosure for sustainable securitisations, </w:t>
      </w:r>
      <w:r w:rsidR="00805715" w:rsidRPr="003C0D71">
        <w:rPr>
          <w:rFonts w:ascii="Times New Roman" w:hAnsi="Times New Roman" w:cs="Times New Roman"/>
          <w:noProof/>
        </w:rPr>
        <w:t>in accordance with Article 45</w:t>
      </w:r>
      <w:r w:rsidR="008E582D">
        <w:rPr>
          <w:rFonts w:ascii="Times New Roman" w:hAnsi="Times New Roman" w:cs="Times New Roman"/>
          <w:noProof/>
        </w:rPr>
        <w:t>(</w:t>
      </w:r>
      <w:r w:rsidR="00805715" w:rsidRPr="003C0D71">
        <w:rPr>
          <w:rFonts w:ascii="Times New Roman" w:hAnsi="Times New Roman" w:cs="Times New Roman"/>
          <w:noProof/>
        </w:rPr>
        <w:t>a</w:t>
      </w:r>
      <w:r w:rsidR="008E582D">
        <w:rPr>
          <w:rFonts w:ascii="Times New Roman" w:hAnsi="Times New Roman" w:cs="Times New Roman"/>
          <w:noProof/>
        </w:rPr>
        <w:t>)</w:t>
      </w:r>
      <w:r w:rsidR="00805715" w:rsidRPr="003C0D71">
        <w:rPr>
          <w:rFonts w:ascii="Times New Roman" w:hAnsi="Times New Roman" w:cs="Times New Roman"/>
          <w:noProof/>
        </w:rPr>
        <w:t xml:space="preserve"> </w:t>
      </w:r>
      <w:r w:rsidR="008E582D">
        <w:rPr>
          <w:rFonts w:ascii="Times New Roman" w:hAnsi="Times New Roman" w:cs="Times New Roman"/>
          <w:noProof/>
        </w:rPr>
        <w:t xml:space="preserve">of the </w:t>
      </w:r>
      <w:r w:rsidR="00805715" w:rsidRPr="003C0D71">
        <w:rPr>
          <w:rFonts w:ascii="Times New Roman" w:hAnsi="Times New Roman" w:cs="Times New Roman"/>
          <w:noProof/>
        </w:rPr>
        <w:t xml:space="preserve">Securitisation Regulation, the EBA report </w:t>
      </w:r>
      <w:r w:rsidRPr="003C0D71">
        <w:rPr>
          <w:rFonts w:ascii="Times New Roman" w:hAnsi="Times New Roman" w:cs="Times New Roman"/>
          <w:noProof/>
        </w:rPr>
        <w:t>i</w:t>
      </w:r>
      <w:r w:rsidR="00805715" w:rsidRPr="003C0D71">
        <w:rPr>
          <w:rFonts w:ascii="Times New Roman" w:hAnsi="Times New Roman" w:cs="Times New Roman"/>
          <w:noProof/>
        </w:rPr>
        <w:t>nvestigate</w:t>
      </w:r>
      <w:r w:rsidRPr="003C0D71">
        <w:rPr>
          <w:rFonts w:ascii="Times New Roman" w:hAnsi="Times New Roman" w:cs="Times New Roman"/>
          <w:noProof/>
        </w:rPr>
        <w:t>d</w:t>
      </w:r>
      <w:r w:rsidR="00805715" w:rsidRPr="003C0D71">
        <w:rPr>
          <w:rFonts w:ascii="Times New Roman" w:hAnsi="Times New Roman" w:cs="Times New Roman"/>
          <w:noProof/>
        </w:rPr>
        <w:t xml:space="preserve"> how to integrate sustainability-related disclosure into the Securitisation Regulation, drawing upon the </w:t>
      </w:r>
      <w:r w:rsidR="00664673" w:rsidRPr="003C0D71">
        <w:rPr>
          <w:rFonts w:ascii="Times New Roman" w:hAnsi="Times New Roman" w:cs="Times New Roman"/>
          <w:noProof/>
        </w:rPr>
        <w:t>Sustainable Finance Disclosure Regulation</w:t>
      </w:r>
      <w:r w:rsidR="00664673" w:rsidRPr="003C0D71">
        <w:rPr>
          <w:rStyle w:val="FootnoteReference"/>
          <w:rFonts w:ascii="Times New Roman" w:hAnsi="Times New Roman" w:cs="Times New Roman"/>
          <w:noProof/>
        </w:rPr>
        <w:footnoteReference w:id="33"/>
      </w:r>
      <w:r w:rsidR="00664673" w:rsidRPr="003C0D71">
        <w:rPr>
          <w:rFonts w:ascii="Times New Roman" w:hAnsi="Times New Roman" w:cs="Times New Roman"/>
          <w:noProof/>
        </w:rPr>
        <w:t xml:space="preserve"> (</w:t>
      </w:r>
      <w:r w:rsidR="00805715" w:rsidRPr="003C0D71">
        <w:rPr>
          <w:rFonts w:ascii="Times New Roman" w:hAnsi="Times New Roman" w:cs="Times New Roman"/>
          <w:noProof/>
        </w:rPr>
        <w:t>SFDR</w:t>
      </w:r>
      <w:r w:rsidR="00664673" w:rsidRPr="003C0D71">
        <w:rPr>
          <w:rFonts w:ascii="Times New Roman" w:hAnsi="Times New Roman" w:cs="Times New Roman"/>
          <w:noProof/>
        </w:rPr>
        <w:t>)</w:t>
      </w:r>
      <w:r w:rsidR="00805715" w:rsidRPr="003C0D71">
        <w:rPr>
          <w:rFonts w:ascii="Times New Roman" w:hAnsi="Times New Roman" w:cs="Times New Roman"/>
          <w:noProof/>
        </w:rPr>
        <w:t>. The SFDR lays down sustainability disclosure obligations for financial market participants and financial advis</w:t>
      </w:r>
      <w:r w:rsidR="00D80814">
        <w:rPr>
          <w:rFonts w:ascii="Times New Roman" w:hAnsi="Times New Roman" w:cs="Times New Roman"/>
          <w:noProof/>
        </w:rPr>
        <w:t>e</w:t>
      </w:r>
      <w:r w:rsidR="00805715" w:rsidRPr="003C0D71">
        <w:rPr>
          <w:rFonts w:ascii="Times New Roman" w:hAnsi="Times New Roman" w:cs="Times New Roman"/>
          <w:noProof/>
        </w:rPr>
        <w:t xml:space="preserve">rs vis-à-vis end-investors. The </w:t>
      </w:r>
      <w:r w:rsidR="2603B6C4" w:rsidRPr="003C0D71">
        <w:rPr>
          <w:rFonts w:ascii="Times New Roman" w:hAnsi="Times New Roman" w:cs="Times New Roman"/>
          <w:noProof/>
        </w:rPr>
        <w:t xml:space="preserve">EBA report </w:t>
      </w:r>
      <w:r w:rsidR="00727BF6">
        <w:rPr>
          <w:rFonts w:ascii="Times New Roman" w:hAnsi="Times New Roman" w:cs="Times New Roman"/>
          <w:noProof/>
        </w:rPr>
        <w:t>notes</w:t>
      </w:r>
      <w:r w:rsidR="00727BF6" w:rsidRPr="003C0D71">
        <w:rPr>
          <w:rFonts w:ascii="Times New Roman" w:hAnsi="Times New Roman" w:cs="Times New Roman"/>
          <w:noProof/>
        </w:rPr>
        <w:t xml:space="preserve"> </w:t>
      </w:r>
      <w:r w:rsidR="2603B6C4" w:rsidRPr="003C0D71">
        <w:rPr>
          <w:rFonts w:ascii="Times New Roman" w:hAnsi="Times New Roman" w:cs="Times New Roman"/>
          <w:noProof/>
        </w:rPr>
        <w:t xml:space="preserve">that while investors </w:t>
      </w:r>
      <w:r w:rsidR="00727BF6">
        <w:rPr>
          <w:rFonts w:ascii="Times New Roman" w:hAnsi="Times New Roman" w:cs="Times New Roman"/>
          <w:noProof/>
        </w:rPr>
        <w:t>who</w:t>
      </w:r>
      <w:r w:rsidR="00727BF6" w:rsidRPr="003C0D71">
        <w:rPr>
          <w:rFonts w:ascii="Times New Roman" w:hAnsi="Times New Roman" w:cs="Times New Roman"/>
          <w:noProof/>
        </w:rPr>
        <w:t xml:space="preserve"> </w:t>
      </w:r>
      <w:r w:rsidR="2603B6C4" w:rsidRPr="003C0D71">
        <w:rPr>
          <w:rFonts w:ascii="Times New Roman" w:hAnsi="Times New Roman" w:cs="Times New Roman"/>
          <w:noProof/>
        </w:rPr>
        <w:t xml:space="preserve">are active in the securitisation market </w:t>
      </w:r>
      <w:r w:rsidR="00805715" w:rsidRPr="003C0D71">
        <w:rPr>
          <w:rFonts w:ascii="Times New Roman" w:hAnsi="Times New Roman" w:cs="Times New Roman"/>
          <w:noProof/>
        </w:rPr>
        <w:t xml:space="preserve">are covered by the SFDR regime, securitisation products fall outside the scope of the SFDR because </w:t>
      </w:r>
      <w:r w:rsidR="00664673" w:rsidRPr="003C0D71">
        <w:rPr>
          <w:rFonts w:ascii="Times New Roman" w:hAnsi="Times New Roman" w:cs="Times New Roman"/>
          <w:noProof/>
        </w:rPr>
        <w:t>they</w:t>
      </w:r>
      <w:r w:rsidR="00805715" w:rsidRPr="003C0D71">
        <w:rPr>
          <w:rFonts w:ascii="Times New Roman" w:hAnsi="Times New Roman" w:cs="Times New Roman"/>
          <w:noProof/>
        </w:rPr>
        <w:t xml:space="preserve"> are not </w:t>
      </w:r>
      <w:r w:rsidR="003A3011" w:rsidRPr="003C0D71">
        <w:rPr>
          <w:rFonts w:ascii="Times New Roman" w:hAnsi="Times New Roman" w:cs="Times New Roman"/>
          <w:noProof/>
        </w:rPr>
        <w:t>considered financial</w:t>
      </w:r>
      <w:r w:rsidR="00805715" w:rsidRPr="003C0D71">
        <w:rPr>
          <w:rFonts w:ascii="Times New Roman" w:hAnsi="Times New Roman" w:cs="Times New Roman"/>
          <w:noProof/>
        </w:rPr>
        <w:t xml:space="preserve"> products within the meaning of Article 2 </w:t>
      </w:r>
      <w:r w:rsidR="003A3011" w:rsidRPr="003C0D71">
        <w:rPr>
          <w:rFonts w:ascii="Times New Roman" w:hAnsi="Times New Roman" w:cs="Times New Roman"/>
          <w:noProof/>
        </w:rPr>
        <w:t xml:space="preserve">of the </w:t>
      </w:r>
      <w:r w:rsidR="00805715" w:rsidRPr="003C0D71">
        <w:rPr>
          <w:rFonts w:ascii="Times New Roman" w:hAnsi="Times New Roman" w:cs="Times New Roman"/>
          <w:noProof/>
        </w:rPr>
        <w:t xml:space="preserve">SFDR. </w:t>
      </w:r>
      <w:r w:rsidR="2603B6C4" w:rsidRPr="003C0D71">
        <w:rPr>
          <w:rFonts w:ascii="Times New Roman" w:hAnsi="Times New Roman" w:cs="Times New Roman"/>
          <w:noProof/>
        </w:rPr>
        <w:t>As a result, investors may not be able to include securitisation exposures in their ESG investment strategies.</w:t>
      </w:r>
    </w:p>
    <w:p w14:paraId="60BC3335" w14:textId="41948339" w:rsidR="00C704A3" w:rsidRPr="003C0D71" w:rsidRDefault="00421C74" w:rsidP="2603B6C4">
      <w:pPr>
        <w:jc w:val="both"/>
        <w:rPr>
          <w:rFonts w:ascii="Times New Roman" w:hAnsi="Times New Roman" w:cs="Times New Roman"/>
          <w:noProof/>
        </w:rPr>
      </w:pPr>
      <w:r w:rsidRPr="003C0D71">
        <w:rPr>
          <w:rFonts w:ascii="Times New Roman" w:hAnsi="Times New Roman" w:cs="Times New Roman"/>
          <w:noProof/>
        </w:rPr>
        <w:t xml:space="preserve">The </w:t>
      </w:r>
      <w:r w:rsidR="2603B6C4" w:rsidRPr="003C0D71">
        <w:rPr>
          <w:rFonts w:ascii="Times New Roman" w:hAnsi="Times New Roman" w:cs="Times New Roman"/>
          <w:noProof/>
        </w:rPr>
        <w:t xml:space="preserve">Joint Committee of the ESAs </w:t>
      </w:r>
      <w:r w:rsidR="2603B6C4" w:rsidRPr="003C0D71" w:rsidDel="00805715">
        <w:rPr>
          <w:rFonts w:ascii="Times New Roman" w:hAnsi="Times New Roman" w:cs="Times New Roman"/>
          <w:noProof/>
        </w:rPr>
        <w:t xml:space="preserve">is tasked </w:t>
      </w:r>
      <w:r w:rsidR="00727BF6">
        <w:rPr>
          <w:rFonts w:ascii="Times New Roman" w:hAnsi="Times New Roman" w:cs="Times New Roman"/>
          <w:noProof/>
        </w:rPr>
        <w:t>with</w:t>
      </w:r>
      <w:r w:rsidR="00727BF6" w:rsidRPr="003C0D71">
        <w:rPr>
          <w:rFonts w:ascii="Times New Roman" w:hAnsi="Times New Roman" w:cs="Times New Roman"/>
          <w:noProof/>
        </w:rPr>
        <w:t xml:space="preserve"> </w:t>
      </w:r>
      <w:r w:rsidR="2603B6C4" w:rsidRPr="003C0D71">
        <w:rPr>
          <w:rFonts w:ascii="Times New Roman" w:hAnsi="Times New Roman" w:cs="Times New Roman"/>
          <w:noProof/>
        </w:rPr>
        <w:t>develop</w:t>
      </w:r>
      <w:r w:rsidR="00727BF6">
        <w:rPr>
          <w:rFonts w:ascii="Times New Roman" w:hAnsi="Times New Roman" w:cs="Times New Roman"/>
          <w:noProof/>
        </w:rPr>
        <w:t>ing</w:t>
      </w:r>
      <w:r w:rsidR="2603B6C4" w:rsidRPr="003C0D71">
        <w:rPr>
          <w:rFonts w:ascii="Times New Roman" w:hAnsi="Times New Roman" w:cs="Times New Roman"/>
          <w:noProof/>
        </w:rPr>
        <w:t xml:space="preserve"> regulatory technical standards </w:t>
      </w:r>
      <w:r w:rsidR="00727BF6">
        <w:rPr>
          <w:rFonts w:ascii="Times New Roman" w:hAnsi="Times New Roman" w:cs="Times New Roman"/>
          <w:noProof/>
        </w:rPr>
        <w:t xml:space="preserve">that </w:t>
      </w:r>
      <w:r w:rsidR="2603B6C4" w:rsidRPr="003C0D71">
        <w:rPr>
          <w:rFonts w:ascii="Times New Roman" w:hAnsi="Times New Roman" w:cs="Times New Roman"/>
          <w:noProof/>
        </w:rPr>
        <w:t xml:space="preserve">specify the information </w:t>
      </w:r>
      <w:r w:rsidR="00727BF6">
        <w:rPr>
          <w:rFonts w:ascii="Times New Roman" w:hAnsi="Times New Roman" w:cs="Times New Roman"/>
          <w:noProof/>
        </w:rPr>
        <w:t xml:space="preserve">to be provided </w:t>
      </w:r>
      <w:r w:rsidR="2603B6C4" w:rsidRPr="003C0D71">
        <w:rPr>
          <w:rFonts w:ascii="Times New Roman" w:hAnsi="Times New Roman" w:cs="Times New Roman"/>
          <w:noProof/>
        </w:rPr>
        <w:t>on the principal adverse impact</w:t>
      </w:r>
      <w:r w:rsidR="00727BF6">
        <w:rPr>
          <w:rFonts w:ascii="Times New Roman" w:hAnsi="Times New Roman" w:cs="Times New Roman"/>
          <w:noProof/>
        </w:rPr>
        <w:t>s</w:t>
      </w:r>
      <w:r w:rsidR="2603B6C4" w:rsidRPr="003C0D71">
        <w:rPr>
          <w:rFonts w:ascii="Times New Roman" w:hAnsi="Times New Roman" w:cs="Times New Roman"/>
          <w:noProof/>
        </w:rPr>
        <w:t xml:space="preserve"> of certain types of underlying assets in STS transactions</w:t>
      </w:r>
      <w:r w:rsidR="00BC17AF" w:rsidRPr="003C0D71">
        <w:rPr>
          <w:rStyle w:val="FootnoteReference"/>
          <w:rFonts w:ascii="Times New Roman" w:hAnsi="Times New Roman" w:cs="Times New Roman"/>
          <w:noProof/>
        </w:rPr>
        <w:footnoteReference w:id="34"/>
      </w:r>
      <w:r w:rsidR="2603B6C4" w:rsidRPr="003C0D71">
        <w:rPr>
          <w:rFonts w:ascii="Times New Roman" w:hAnsi="Times New Roman" w:cs="Times New Roman"/>
          <w:noProof/>
        </w:rPr>
        <w:t>. While this would address the information demands of investors focused on ESG-linked products, the EBA recommends that the scope of the princip</w:t>
      </w:r>
      <w:r w:rsidR="004E3428" w:rsidRPr="003C0D71">
        <w:rPr>
          <w:rFonts w:ascii="Times New Roman" w:hAnsi="Times New Roman" w:cs="Times New Roman"/>
          <w:noProof/>
        </w:rPr>
        <w:t>a</w:t>
      </w:r>
      <w:r w:rsidR="2603B6C4" w:rsidRPr="003C0D71">
        <w:rPr>
          <w:rFonts w:ascii="Times New Roman" w:hAnsi="Times New Roman" w:cs="Times New Roman"/>
          <w:noProof/>
        </w:rPr>
        <w:t>l adverse impact disclosure</w:t>
      </w:r>
      <w:r w:rsidRPr="003C0D71">
        <w:rPr>
          <w:rFonts w:ascii="Times New Roman" w:hAnsi="Times New Roman" w:cs="Times New Roman"/>
          <w:noProof/>
        </w:rPr>
        <w:t xml:space="preserve"> should </w:t>
      </w:r>
      <w:r w:rsidR="2603B6C4" w:rsidRPr="003C0D71">
        <w:rPr>
          <w:rFonts w:ascii="Times New Roman" w:hAnsi="Times New Roman" w:cs="Times New Roman"/>
          <w:noProof/>
        </w:rPr>
        <w:t>be extended</w:t>
      </w:r>
      <w:r w:rsidR="00727BF6">
        <w:rPr>
          <w:rFonts w:ascii="Times New Roman" w:hAnsi="Times New Roman" w:cs="Times New Roman"/>
          <w:noProof/>
        </w:rPr>
        <w:t>: (i)</w:t>
      </w:r>
      <w:r w:rsidR="2603B6C4" w:rsidRPr="003C0D71">
        <w:rPr>
          <w:rFonts w:ascii="Times New Roman" w:hAnsi="Times New Roman" w:cs="Times New Roman"/>
          <w:noProof/>
        </w:rPr>
        <w:t xml:space="preserve"> in the </w:t>
      </w:r>
      <w:r w:rsidR="00727BF6">
        <w:rPr>
          <w:rFonts w:ascii="Times New Roman" w:hAnsi="Times New Roman" w:cs="Times New Roman"/>
          <w:noProof/>
        </w:rPr>
        <w:t>short</w:t>
      </w:r>
      <w:r w:rsidR="00727BF6" w:rsidRPr="003C0D71">
        <w:rPr>
          <w:rFonts w:ascii="Times New Roman" w:hAnsi="Times New Roman" w:cs="Times New Roman"/>
          <w:noProof/>
        </w:rPr>
        <w:t xml:space="preserve"> </w:t>
      </w:r>
      <w:r w:rsidR="2603B6C4" w:rsidRPr="003C0D71">
        <w:rPr>
          <w:rFonts w:ascii="Times New Roman" w:hAnsi="Times New Roman" w:cs="Times New Roman"/>
          <w:noProof/>
        </w:rPr>
        <w:t>term</w:t>
      </w:r>
      <w:r w:rsidR="00727BF6">
        <w:rPr>
          <w:rFonts w:ascii="Times New Roman" w:hAnsi="Times New Roman" w:cs="Times New Roman"/>
          <w:noProof/>
        </w:rPr>
        <w:t>,</w:t>
      </w:r>
      <w:r w:rsidRPr="003C0D71">
        <w:rPr>
          <w:rFonts w:ascii="Times New Roman" w:hAnsi="Times New Roman" w:cs="Times New Roman"/>
          <w:noProof/>
        </w:rPr>
        <w:t xml:space="preserve"> to</w:t>
      </w:r>
      <w:r w:rsidR="2603B6C4" w:rsidRPr="003C0D71">
        <w:rPr>
          <w:rFonts w:ascii="Times New Roman" w:hAnsi="Times New Roman" w:cs="Times New Roman"/>
          <w:noProof/>
        </w:rPr>
        <w:t xml:space="preserve"> non-STS securitisations backed by the same asset types as those in the </w:t>
      </w:r>
      <w:r w:rsidRPr="003C0D71">
        <w:rPr>
          <w:rFonts w:ascii="Times New Roman" w:hAnsi="Times New Roman" w:cs="Times New Roman"/>
          <w:noProof/>
        </w:rPr>
        <w:t xml:space="preserve">existing </w:t>
      </w:r>
      <w:r w:rsidR="2603B6C4" w:rsidRPr="003C0D71">
        <w:rPr>
          <w:rFonts w:ascii="Times New Roman" w:hAnsi="Times New Roman" w:cs="Times New Roman"/>
          <w:noProof/>
        </w:rPr>
        <w:t xml:space="preserve">STS </w:t>
      </w:r>
      <w:r w:rsidRPr="003C0D71">
        <w:rPr>
          <w:rFonts w:ascii="Times New Roman" w:hAnsi="Times New Roman" w:cs="Times New Roman"/>
          <w:noProof/>
        </w:rPr>
        <w:t xml:space="preserve">disclosure </w:t>
      </w:r>
      <w:r w:rsidR="2603B6C4" w:rsidRPr="003C0D71">
        <w:rPr>
          <w:rFonts w:ascii="Times New Roman" w:hAnsi="Times New Roman" w:cs="Times New Roman"/>
          <w:noProof/>
        </w:rPr>
        <w:t xml:space="preserve">requirement; </w:t>
      </w:r>
      <w:r w:rsidRPr="003C0D71">
        <w:rPr>
          <w:rFonts w:ascii="Times New Roman" w:hAnsi="Times New Roman" w:cs="Times New Roman"/>
          <w:noProof/>
        </w:rPr>
        <w:t xml:space="preserve">and </w:t>
      </w:r>
      <w:r w:rsidR="00727BF6">
        <w:rPr>
          <w:rFonts w:ascii="Times New Roman" w:hAnsi="Times New Roman" w:cs="Times New Roman"/>
          <w:noProof/>
        </w:rPr>
        <w:t xml:space="preserve">(ii) </w:t>
      </w:r>
      <w:r w:rsidR="2603B6C4" w:rsidRPr="003C0D71">
        <w:rPr>
          <w:rFonts w:ascii="Times New Roman" w:hAnsi="Times New Roman" w:cs="Times New Roman"/>
          <w:noProof/>
        </w:rPr>
        <w:t xml:space="preserve">in the medium term, </w:t>
      </w:r>
      <w:r w:rsidR="005A0B72" w:rsidRPr="003C0D71">
        <w:rPr>
          <w:rFonts w:ascii="Times New Roman" w:hAnsi="Times New Roman" w:cs="Times New Roman"/>
          <w:noProof/>
        </w:rPr>
        <w:t xml:space="preserve">to </w:t>
      </w:r>
      <w:r w:rsidR="2603B6C4" w:rsidRPr="003C0D71">
        <w:rPr>
          <w:rFonts w:ascii="Times New Roman" w:hAnsi="Times New Roman" w:cs="Times New Roman"/>
          <w:noProof/>
        </w:rPr>
        <w:t xml:space="preserve">all securitisations. </w:t>
      </w:r>
    </w:p>
    <w:p w14:paraId="2F057550" w14:textId="4791B0E9" w:rsidR="00AA1401" w:rsidRPr="003C0D71" w:rsidRDefault="000146AB" w:rsidP="000D4664">
      <w:pPr>
        <w:rPr>
          <w:rFonts w:ascii="Times New Roman" w:hAnsi="Times New Roman" w:cs="Times New Roman"/>
          <w:b/>
          <w:noProof/>
          <w:sz w:val="24"/>
        </w:rPr>
      </w:pPr>
      <w:r>
        <w:rPr>
          <w:rFonts w:ascii="Times New Roman" w:hAnsi="Times New Roman" w:cs="Times New Roman"/>
          <w:b/>
          <w:noProof/>
          <w:sz w:val="24"/>
        </w:rPr>
        <w:t>The Commission’s assessment</w:t>
      </w:r>
    </w:p>
    <w:p w14:paraId="7F72379B" w14:textId="5B10CC3E" w:rsidR="00BD72E5" w:rsidRPr="003C0D71" w:rsidRDefault="00BD72E5" w:rsidP="00E14EB1">
      <w:pPr>
        <w:jc w:val="both"/>
        <w:rPr>
          <w:rFonts w:ascii="Times New Roman" w:hAnsi="Times New Roman" w:cs="Times New Roman"/>
          <w:noProof/>
        </w:rPr>
      </w:pPr>
      <w:r w:rsidRPr="003C0D71">
        <w:rPr>
          <w:rFonts w:ascii="Times New Roman" w:hAnsi="Times New Roman" w:cs="Times New Roman"/>
          <w:noProof/>
        </w:rPr>
        <w:t xml:space="preserve">The Commission </w:t>
      </w:r>
      <w:r w:rsidR="00727BF6">
        <w:rPr>
          <w:rFonts w:ascii="Times New Roman" w:hAnsi="Times New Roman" w:cs="Times New Roman"/>
          <w:noProof/>
        </w:rPr>
        <w:t>welcomes</w:t>
      </w:r>
      <w:r w:rsidR="00727BF6" w:rsidRPr="003C0D71">
        <w:rPr>
          <w:rFonts w:ascii="Times New Roman" w:hAnsi="Times New Roman" w:cs="Times New Roman"/>
          <w:noProof/>
        </w:rPr>
        <w:t xml:space="preserve"> </w:t>
      </w:r>
      <w:r w:rsidRPr="003C0D71">
        <w:rPr>
          <w:rFonts w:ascii="Times New Roman" w:hAnsi="Times New Roman" w:cs="Times New Roman"/>
          <w:noProof/>
        </w:rPr>
        <w:t xml:space="preserve">the extensive </w:t>
      </w:r>
      <w:r w:rsidR="00AA22B6" w:rsidRPr="003C0D71">
        <w:rPr>
          <w:rFonts w:ascii="Times New Roman" w:hAnsi="Times New Roman" w:cs="Times New Roman"/>
          <w:noProof/>
        </w:rPr>
        <w:t xml:space="preserve">and well-founded EBA </w:t>
      </w:r>
      <w:r w:rsidRPr="003C0D71">
        <w:rPr>
          <w:rFonts w:ascii="Times New Roman" w:hAnsi="Times New Roman" w:cs="Times New Roman"/>
          <w:noProof/>
        </w:rPr>
        <w:t>report</w:t>
      </w:r>
      <w:r w:rsidR="00AA22B6" w:rsidRPr="003C0D71">
        <w:rPr>
          <w:rFonts w:ascii="Times New Roman" w:hAnsi="Times New Roman" w:cs="Times New Roman"/>
          <w:noProof/>
        </w:rPr>
        <w:t xml:space="preserve"> as</w:t>
      </w:r>
      <w:r w:rsidRPr="003C0D71">
        <w:rPr>
          <w:rFonts w:ascii="Times New Roman" w:hAnsi="Times New Roman" w:cs="Times New Roman"/>
          <w:noProof/>
        </w:rPr>
        <w:t xml:space="preserve"> a</w:t>
      </w:r>
      <w:r w:rsidR="00AA22B6" w:rsidRPr="003C0D71">
        <w:rPr>
          <w:rFonts w:ascii="Times New Roman" w:hAnsi="Times New Roman" w:cs="Times New Roman"/>
          <w:noProof/>
        </w:rPr>
        <w:t>n important contribution</w:t>
      </w:r>
      <w:r w:rsidRPr="003C0D71">
        <w:rPr>
          <w:rFonts w:ascii="Times New Roman" w:hAnsi="Times New Roman" w:cs="Times New Roman"/>
          <w:noProof/>
        </w:rPr>
        <w:t xml:space="preserve"> </w:t>
      </w:r>
      <w:r w:rsidR="00C65F22">
        <w:rPr>
          <w:rFonts w:ascii="Times New Roman" w:hAnsi="Times New Roman" w:cs="Times New Roman"/>
          <w:noProof/>
        </w:rPr>
        <w:t>to</w:t>
      </w:r>
      <w:r w:rsidR="00C65F22" w:rsidRPr="003C0D71">
        <w:rPr>
          <w:rFonts w:ascii="Times New Roman" w:hAnsi="Times New Roman" w:cs="Times New Roman"/>
          <w:noProof/>
        </w:rPr>
        <w:t xml:space="preserve"> </w:t>
      </w:r>
      <w:r w:rsidR="00AA22B6" w:rsidRPr="003C0D71">
        <w:rPr>
          <w:rFonts w:ascii="Times New Roman" w:hAnsi="Times New Roman" w:cs="Times New Roman"/>
          <w:noProof/>
        </w:rPr>
        <w:t>developing</w:t>
      </w:r>
      <w:r w:rsidRPr="003C0D71">
        <w:rPr>
          <w:rFonts w:ascii="Times New Roman" w:hAnsi="Times New Roman" w:cs="Times New Roman"/>
          <w:noProof/>
        </w:rPr>
        <w:t xml:space="preserve"> a framework for sustainable securitisation. The Commission agrees with</w:t>
      </w:r>
      <w:r w:rsidR="00AA22B6" w:rsidRPr="003C0D71">
        <w:rPr>
          <w:rFonts w:ascii="Times New Roman" w:hAnsi="Times New Roman" w:cs="Times New Roman"/>
          <w:noProof/>
        </w:rPr>
        <w:t xml:space="preserve"> the</w:t>
      </w:r>
      <w:r w:rsidRPr="003C0D71">
        <w:rPr>
          <w:rFonts w:ascii="Times New Roman" w:hAnsi="Times New Roman" w:cs="Times New Roman"/>
          <w:noProof/>
        </w:rPr>
        <w:t xml:space="preserve"> EBA that</w:t>
      </w:r>
      <w:r w:rsidR="008E6F19">
        <w:rPr>
          <w:rFonts w:ascii="Times New Roman" w:hAnsi="Times New Roman" w:cs="Times New Roman"/>
          <w:noProof/>
        </w:rPr>
        <w:t>,</w:t>
      </w:r>
      <w:r w:rsidR="00AA22B6" w:rsidRPr="003C0D71">
        <w:rPr>
          <w:rFonts w:ascii="Times New Roman" w:hAnsi="Times New Roman" w:cs="Times New Roman"/>
          <w:noProof/>
        </w:rPr>
        <w:t xml:space="preserve"> </w:t>
      </w:r>
      <w:r w:rsidR="009F1671" w:rsidRPr="003C0D71">
        <w:rPr>
          <w:rFonts w:ascii="Times New Roman" w:hAnsi="Times New Roman" w:cs="Times New Roman"/>
          <w:noProof/>
        </w:rPr>
        <w:t xml:space="preserve">at least </w:t>
      </w:r>
      <w:r w:rsidR="008E6F19">
        <w:rPr>
          <w:rFonts w:ascii="Times New Roman" w:hAnsi="Times New Roman" w:cs="Times New Roman"/>
          <w:noProof/>
        </w:rPr>
        <w:t>in</w:t>
      </w:r>
      <w:r w:rsidR="008E6F19" w:rsidRPr="003C0D71">
        <w:rPr>
          <w:rFonts w:ascii="Times New Roman" w:hAnsi="Times New Roman" w:cs="Times New Roman"/>
          <w:noProof/>
        </w:rPr>
        <w:t xml:space="preserve"> </w:t>
      </w:r>
      <w:r w:rsidR="00AA22B6" w:rsidRPr="00DF65F3">
        <w:rPr>
          <w:rFonts w:ascii="Times New Roman" w:hAnsi="Times New Roman" w:cs="Times New Roman"/>
          <w:noProof/>
        </w:rPr>
        <w:t xml:space="preserve">the </w:t>
      </w:r>
      <w:r w:rsidR="009F1671" w:rsidRPr="00DF65F3">
        <w:rPr>
          <w:rFonts w:ascii="Times New Roman" w:hAnsi="Times New Roman" w:cs="Times New Roman"/>
          <w:noProof/>
        </w:rPr>
        <w:t>short and medium term</w:t>
      </w:r>
      <w:r w:rsidR="008E6F19">
        <w:rPr>
          <w:rFonts w:ascii="Times New Roman" w:hAnsi="Times New Roman" w:cs="Times New Roman"/>
          <w:noProof/>
        </w:rPr>
        <w:t>,</w:t>
      </w:r>
      <w:r w:rsidR="009F1671" w:rsidRPr="003C0D71">
        <w:rPr>
          <w:rFonts w:ascii="Times New Roman" w:hAnsi="Times New Roman" w:cs="Times New Roman"/>
          <w:noProof/>
        </w:rPr>
        <w:t xml:space="preserve"> </w:t>
      </w:r>
      <w:r w:rsidR="00AA22B6" w:rsidRPr="003C0D71">
        <w:rPr>
          <w:rFonts w:ascii="Times New Roman" w:hAnsi="Times New Roman" w:cs="Times New Roman"/>
          <w:noProof/>
        </w:rPr>
        <w:t>there is no case for creating a dedicated sustainability label for sec</w:t>
      </w:r>
      <w:r w:rsidR="009F1671" w:rsidRPr="003C0D71">
        <w:rPr>
          <w:rFonts w:ascii="Times New Roman" w:hAnsi="Times New Roman" w:cs="Times New Roman"/>
          <w:noProof/>
        </w:rPr>
        <w:t>ur</w:t>
      </w:r>
      <w:r w:rsidR="00AA22B6" w:rsidRPr="003C0D71">
        <w:rPr>
          <w:rFonts w:ascii="Times New Roman" w:hAnsi="Times New Roman" w:cs="Times New Roman"/>
          <w:noProof/>
        </w:rPr>
        <w:t>itisations</w:t>
      </w:r>
      <w:r w:rsidRPr="003C0D71">
        <w:rPr>
          <w:rFonts w:ascii="Times New Roman" w:hAnsi="Times New Roman" w:cs="Times New Roman"/>
          <w:noProof/>
        </w:rPr>
        <w:t xml:space="preserve">, </w:t>
      </w:r>
      <w:r w:rsidR="009F1671" w:rsidRPr="003C0D71">
        <w:rPr>
          <w:rFonts w:ascii="Times New Roman" w:hAnsi="Times New Roman" w:cs="Times New Roman"/>
          <w:noProof/>
        </w:rPr>
        <w:t xml:space="preserve">considering </w:t>
      </w:r>
      <w:r w:rsidRPr="003C0D71">
        <w:rPr>
          <w:rFonts w:ascii="Times New Roman" w:hAnsi="Times New Roman" w:cs="Times New Roman"/>
          <w:noProof/>
        </w:rPr>
        <w:t xml:space="preserve">in particular the </w:t>
      </w:r>
      <w:r w:rsidRPr="003C0D71">
        <w:rPr>
          <w:rFonts w:ascii="Times New Roman" w:hAnsi="Times New Roman" w:cs="Times New Roman"/>
          <w:noProof/>
          <w:lang w:val="en-IE"/>
        </w:rPr>
        <w:t>low amount of green assets available to be securitised</w:t>
      </w:r>
      <w:r w:rsidR="00A848DD" w:rsidRPr="003C0D71">
        <w:rPr>
          <w:rFonts w:ascii="Times New Roman" w:hAnsi="Times New Roman" w:cs="Times New Roman"/>
          <w:noProof/>
        </w:rPr>
        <w:t xml:space="preserve">. </w:t>
      </w:r>
      <w:r w:rsidRPr="003C0D71">
        <w:rPr>
          <w:rFonts w:ascii="Times New Roman" w:hAnsi="Times New Roman" w:cs="Times New Roman"/>
          <w:noProof/>
        </w:rPr>
        <w:t>In light of this, t</w:t>
      </w:r>
      <w:r w:rsidR="00A848DD" w:rsidRPr="003C0D71">
        <w:rPr>
          <w:rFonts w:ascii="Times New Roman" w:hAnsi="Times New Roman" w:cs="Times New Roman"/>
          <w:noProof/>
        </w:rPr>
        <w:t>he Commission</w:t>
      </w:r>
      <w:r w:rsidR="2603B6C4" w:rsidRPr="003C0D71">
        <w:rPr>
          <w:rFonts w:ascii="Times New Roman" w:hAnsi="Times New Roman" w:cs="Times New Roman"/>
          <w:noProof/>
        </w:rPr>
        <w:t xml:space="preserve"> invite</w:t>
      </w:r>
      <w:r w:rsidR="00A848DD" w:rsidRPr="003C0D71">
        <w:rPr>
          <w:rFonts w:ascii="Times New Roman" w:hAnsi="Times New Roman" w:cs="Times New Roman"/>
          <w:noProof/>
        </w:rPr>
        <w:t>s the European Parliament</w:t>
      </w:r>
      <w:r w:rsidR="2603B6C4" w:rsidRPr="003C0D71">
        <w:rPr>
          <w:rFonts w:ascii="Times New Roman" w:hAnsi="Times New Roman" w:cs="Times New Roman"/>
          <w:noProof/>
        </w:rPr>
        <w:t xml:space="preserve"> and </w:t>
      </w:r>
      <w:r w:rsidR="00A848DD" w:rsidRPr="003C0D71">
        <w:rPr>
          <w:rFonts w:ascii="Times New Roman" w:hAnsi="Times New Roman" w:cs="Times New Roman"/>
          <w:noProof/>
        </w:rPr>
        <w:t>the</w:t>
      </w:r>
      <w:r w:rsidR="2603B6C4" w:rsidRPr="003C0D71">
        <w:rPr>
          <w:rFonts w:ascii="Times New Roman" w:hAnsi="Times New Roman" w:cs="Times New Roman"/>
          <w:noProof/>
        </w:rPr>
        <w:t xml:space="preserve"> Council to</w:t>
      </w:r>
      <w:r w:rsidR="00561744" w:rsidRPr="003C0D71">
        <w:rPr>
          <w:rFonts w:ascii="Times New Roman" w:hAnsi="Times New Roman" w:cs="Times New Roman"/>
          <w:noProof/>
        </w:rPr>
        <w:t xml:space="preserve"> take into </w:t>
      </w:r>
      <w:r w:rsidR="2603B6C4" w:rsidRPr="003C0D71">
        <w:rPr>
          <w:rFonts w:ascii="Times New Roman" w:hAnsi="Times New Roman" w:cs="Times New Roman"/>
          <w:noProof/>
        </w:rPr>
        <w:t>consider</w:t>
      </w:r>
      <w:r w:rsidR="00561744" w:rsidRPr="003C0D71">
        <w:rPr>
          <w:rFonts w:ascii="Times New Roman" w:hAnsi="Times New Roman" w:cs="Times New Roman"/>
          <w:noProof/>
        </w:rPr>
        <w:t>ation</w:t>
      </w:r>
      <w:r w:rsidR="2603B6C4" w:rsidRPr="003C0D71">
        <w:rPr>
          <w:rFonts w:ascii="Times New Roman" w:hAnsi="Times New Roman" w:cs="Times New Roman"/>
          <w:noProof/>
        </w:rPr>
        <w:t xml:space="preserve"> </w:t>
      </w:r>
      <w:r w:rsidR="00BD2880" w:rsidRPr="003C0D71">
        <w:rPr>
          <w:rFonts w:ascii="Times New Roman" w:hAnsi="Times New Roman" w:cs="Times New Roman"/>
          <w:noProof/>
        </w:rPr>
        <w:t xml:space="preserve">the </w:t>
      </w:r>
      <w:r w:rsidR="2603B6C4" w:rsidRPr="003C0D71">
        <w:rPr>
          <w:rFonts w:ascii="Times New Roman" w:hAnsi="Times New Roman" w:cs="Times New Roman"/>
          <w:noProof/>
        </w:rPr>
        <w:t>EBA recommendation</w:t>
      </w:r>
      <w:r w:rsidR="00A848DD" w:rsidRPr="003C0D71">
        <w:rPr>
          <w:rFonts w:ascii="Times New Roman" w:hAnsi="Times New Roman" w:cs="Times New Roman"/>
          <w:noProof/>
        </w:rPr>
        <w:t xml:space="preserve"> </w:t>
      </w:r>
      <w:r w:rsidR="00034A80" w:rsidRPr="003C0D71">
        <w:rPr>
          <w:rFonts w:ascii="Times New Roman" w:hAnsi="Times New Roman" w:cs="Times New Roman"/>
          <w:noProof/>
        </w:rPr>
        <w:t>in</w:t>
      </w:r>
      <w:r w:rsidR="00A848DD" w:rsidRPr="003C0D71">
        <w:rPr>
          <w:rFonts w:ascii="Times New Roman" w:hAnsi="Times New Roman" w:cs="Times New Roman"/>
          <w:noProof/>
        </w:rPr>
        <w:t xml:space="preserve"> the context of the </w:t>
      </w:r>
      <w:r w:rsidR="003404A2">
        <w:rPr>
          <w:rFonts w:ascii="Times New Roman" w:hAnsi="Times New Roman" w:cs="Times New Roman"/>
          <w:noProof/>
        </w:rPr>
        <w:t>ongoing</w:t>
      </w:r>
      <w:r w:rsidR="003404A2" w:rsidRPr="003C0D71">
        <w:rPr>
          <w:rFonts w:ascii="Times New Roman" w:hAnsi="Times New Roman" w:cs="Times New Roman"/>
          <w:noProof/>
        </w:rPr>
        <w:t xml:space="preserve"> </w:t>
      </w:r>
      <w:r w:rsidR="00A848DD" w:rsidRPr="003C0D71">
        <w:rPr>
          <w:rFonts w:ascii="Times New Roman" w:hAnsi="Times New Roman" w:cs="Times New Roman"/>
          <w:noProof/>
        </w:rPr>
        <w:t xml:space="preserve">negotiations </w:t>
      </w:r>
      <w:r w:rsidR="008E6F19">
        <w:rPr>
          <w:rFonts w:ascii="Times New Roman" w:hAnsi="Times New Roman" w:cs="Times New Roman"/>
          <w:noProof/>
        </w:rPr>
        <w:t>on</w:t>
      </w:r>
      <w:r w:rsidR="008E6F19" w:rsidRPr="003C0D71">
        <w:rPr>
          <w:rFonts w:ascii="Times New Roman" w:hAnsi="Times New Roman" w:cs="Times New Roman"/>
          <w:noProof/>
        </w:rPr>
        <w:t xml:space="preserve"> </w:t>
      </w:r>
      <w:r w:rsidR="00A848DD" w:rsidRPr="003C0D71">
        <w:rPr>
          <w:rFonts w:ascii="Times New Roman" w:hAnsi="Times New Roman" w:cs="Times New Roman"/>
          <w:noProof/>
        </w:rPr>
        <w:t>the EuGB</w:t>
      </w:r>
      <w:r w:rsidR="00631113" w:rsidRPr="003C0D71">
        <w:rPr>
          <w:rFonts w:ascii="Times New Roman" w:hAnsi="Times New Roman" w:cs="Times New Roman"/>
          <w:noProof/>
        </w:rPr>
        <w:t>S</w:t>
      </w:r>
      <w:r w:rsidR="008E6F19">
        <w:rPr>
          <w:rFonts w:ascii="Times New Roman" w:hAnsi="Times New Roman" w:cs="Times New Roman"/>
          <w:noProof/>
        </w:rPr>
        <w:t>,</w:t>
      </w:r>
      <w:r w:rsidR="00BB11E5" w:rsidRPr="003C0D71">
        <w:rPr>
          <w:rFonts w:ascii="Times New Roman" w:hAnsi="Times New Roman" w:cs="Times New Roman"/>
          <w:noProof/>
          <w:lang w:val="en-US"/>
        </w:rPr>
        <w:t xml:space="preserve"> and </w:t>
      </w:r>
      <w:r w:rsidR="00BB11E5" w:rsidRPr="003C0D71">
        <w:rPr>
          <w:rFonts w:ascii="Times New Roman" w:hAnsi="Times New Roman" w:cs="Times New Roman"/>
          <w:noProof/>
        </w:rPr>
        <w:t xml:space="preserve">stands ready to </w:t>
      </w:r>
      <w:r w:rsidR="008E6F19" w:rsidRPr="00972364">
        <w:rPr>
          <w:rFonts w:ascii="Times New Roman" w:hAnsi="Times New Roman" w:cs="Times New Roman"/>
          <w:noProof/>
        </w:rPr>
        <w:t>assist with</w:t>
      </w:r>
      <w:r w:rsidR="008E6F19" w:rsidRPr="003C0D71">
        <w:rPr>
          <w:rFonts w:ascii="Times New Roman" w:hAnsi="Times New Roman" w:cs="Times New Roman"/>
          <w:noProof/>
        </w:rPr>
        <w:t xml:space="preserve"> </w:t>
      </w:r>
      <w:r w:rsidR="00BB11E5" w:rsidRPr="003C0D71">
        <w:rPr>
          <w:rFonts w:ascii="Times New Roman" w:hAnsi="Times New Roman" w:cs="Times New Roman"/>
          <w:noProof/>
        </w:rPr>
        <w:t>the work on specifying the details of securitisation within the EuGBS framework.</w:t>
      </w:r>
    </w:p>
    <w:p w14:paraId="5BCC2254" w14:textId="0AB700D7" w:rsidR="005A612D" w:rsidRPr="003C0D71" w:rsidRDefault="008E582D" w:rsidP="00E14EB1">
      <w:pPr>
        <w:jc w:val="both"/>
        <w:rPr>
          <w:rFonts w:ascii="Times New Roman" w:hAnsi="Times New Roman" w:cs="Times New Roman"/>
          <w:noProof/>
        </w:rPr>
      </w:pPr>
      <w:r>
        <w:rPr>
          <w:rFonts w:ascii="Times New Roman" w:hAnsi="Times New Roman" w:cs="Times New Roman"/>
          <w:noProof/>
        </w:rPr>
        <w:t>On</w:t>
      </w:r>
      <w:r w:rsidR="00034A80" w:rsidRPr="003C0D71">
        <w:rPr>
          <w:rFonts w:ascii="Times New Roman" w:hAnsi="Times New Roman" w:cs="Times New Roman"/>
          <w:noProof/>
        </w:rPr>
        <w:t xml:space="preserve"> </w:t>
      </w:r>
      <w:r w:rsidR="003A3011" w:rsidRPr="003C0D71">
        <w:rPr>
          <w:rFonts w:ascii="Times New Roman" w:hAnsi="Times New Roman" w:cs="Times New Roman"/>
          <w:noProof/>
        </w:rPr>
        <w:t>the disclosure</w:t>
      </w:r>
      <w:r w:rsidR="2603B6C4" w:rsidRPr="003C0D71">
        <w:rPr>
          <w:rFonts w:ascii="Times New Roman" w:hAnsi="Times New Roman" w:cs="Times New Roman"/>
          <w:noProof/>
        </w:rPr>
        <w:t xml:space="preserve"> of sustainability-related information</w:t>
      </w:r>
      <w:r w:rsidR="00A848DD" w:rsidRPr="003C0D71">
        <w:rPr>
          <w:rFonts w:ascii="Times New Roman" w:hAnsi="Times New Roman" w:cs="Times New Roman"/>
          <w:noProof/>
        </w:rPr>
        <w:t xml:space="preserve">, </w:t>
      </w:r>
      <w:r w:rsidR="00034A80" w:rsidRPr="003C0D71">
        <w:rPr>
          <w:rFonts w:ascii="Times New Roman" w:hAnsi="Times New Roman" w:cs="Times New Roman"/>
          <w:noProof/>
        </w:rPr>
        <w:t>t</w:t>
      </w:r>
      <w:r w:rsidR="00A848DD" w:rsidRPr="003C0D71">
        <w:rPr>
          <w:rFonts w:ascii="Times New Roman" w:hAnsi="Times New Roman" w:cs="Times New Roman"/>
          <w:noProof/>
        </w:rPr>
        <w:t xml:space="preserve">he Commission </w:t>
      </w:r>
      <w:r w:rsidR="2603B6C4" w:rsidRPr="003C0D71">
        <w:rPr>
          <w:rFonts w:ascii="Times New Roman" w:hAnsi="Times New Roman" w:cs="Times New Roman"/>
          <w:noProof/>
        </w:rPr>
        <w:t>recogni</w:t>
      </w:r>
      <w:r w:rsidR="00A848DD" w:rsidRPr="003C0D71">
        <w:rPr>
          <w:rFonts w:ascii="Times New Roman" w:hAnsi="Times New Roman" w:cs="Times New Roman"/>
          <w:noProof/>
        </w:rPr>
        <w:t>s</w:t>
      </w:r>
      <w:r w:rsidR="2603B6C4" w:rsidRPr="003C0D71">
        <w:rPr>
          <w:rFonts w:ascii="Times New Roman" w:hAnsi="Times New Roman" w:cs="Times New Roman"/>
          <w:noProof/>
        </w:rPr>
        <w:t>e</w:t>
      </w:r>
      <w:r w:rsidR="00A848DD" w:rsidRPr="003C0D71">
        <w:rPr>
          <w:rFonts w:ascii="Times New Roman" w:hAnsi="Times New Roman" w:cs="Times New Roman"/>
          <w:noProof/>
        </w:rPr>
        <w:t>s</w:t>
      </w:r>
      <w:r w:rsidR="2603B6C4" w:rsidRPr="003C0D71">
        <w:rPr>
          <w:rFonts w:ascii="Times New Roman" w:hAnsi="Times New Roman" w:cs="Times New Roman"/>
          <w:noProof/>
        </w:rPr>
        <w:t xml:space="preserve"> the need to develop </w:t>
      </w:r>
      <w:r w:rsidR="00A848DD" w:rsidRPr="003C0D71">
        <w:rPr>
          <w:rFonts w:ascii="Times New Roman" w:hAnsi="Times New Roman" w:cs="Times New Roman"/>
          <w:noProof/>
        </w:rPr>
        <w:t>princip</w:t>
      </w:r>
      <w:r w:rsidR="004E3428" w:rsidRPr="003C0D71">
        <w:rPr>
          <w:rFonts w:ascii="Times New Roman" w:hAnsi="Times New Roman" w:cs="Times New Roman"/>
          <w:noProof/>
        </w:rPr>
        <w:t>a</w:t>
      </w:r>
      <w:r w:rsidR="00A848DD" w:rsidRPr="003C0D71">
        <w:rPr>
          <w:rFonts w:ascii="Times New Roman" w:hAnsi="Times New Roman" w:cs="Times New Roman"/>
          <w:noProof/>
        </w:rPr>
        <w:t>l adverse impact</w:t>
      </w:r>
      <w:r w:rsidR="2603B6C4" w:rsidRPr="003C0D71">
        <w:rPr>
          <w:rFonts w:ascii="Times New Roman" w:hAnsi="Times New Roman" w:cs="Times New Roman"/>
          <w:noProof/>
        </w:rPr>
        <w:t xml:space="preserve"> disclosures</w:t>
      </w:r>
      <w:r w:rsidR="00A848DD" w:rsidRPr="003C0D71">
        <w:rPr>
          <w:rFonts w:ascii="Times New Roman" w:hAnsi="Times New Roman" w:cs="Times New Roman"/>
          <w:noProof/>
        </w:rPr>
        <w:t xml:space="preserve"> and </w:t>
      </w:r>
      <w:r w:rsidR="003404A2">
        <w:rPr>
          <w:rFonts w:ascii="Times New Roman" w:hAnsi="Times New Roman" w:cs="Times New Roman"/>
          <w:noProof/>
        </w:rPr>
        <w:t>considers</w:t>
      </w:r>
      <w:r w:rsidR="003404A2" w:rsidRPr="003C0D71">
        <w:rPr>
          <w:rFonts w:ascii="Times New Roman" w:hAnsi="Times New Roman" w:cs="Times New Roman"/>
          <w:noProof/>
        </w:rPr>
        <w:t xml:space="preserve"> </w:t>
      </w:r>
      <w:r w:rsidR="00A848DD" w:rsidRPr="003C0D71">
        <w:rPr>
          <w:rFonts w:ascii="Times New Roman" w:hAnsi="Times New Roman" w:cs="Times New Roman"/>
          <w:noProof/>
        </w:rPr>
        <w:t xml:space="preserve">that the </w:t>
      </w:r>
      <w:r w:rsidR="00C25A34">
        <w:rPr>
          <w:rFonts w:ascii="Times New Roman" w:hAnsi="Times New Roman" w:cs="Times New Roman"/>
          <w:noProof/>
        </w:rPr>
        <w:t xml:space="preserve">scope of the </w:t>
      </w:r>
      <w:r w:rsidR="2603B6C4" w:rsidRPr="003C0D71">
        <w:rPr>
          <w:rFonts w:ascii="Times New Roman" w:hAnsi="Times New Roman" w:cs="Times New Roman"/>
          <w:noProof/>
        </w:rPr>
        <w:t xml:space="preserve">upcoming </w:t>
      </w:r>
      <w:r w:rsidR="00A848DD" w:rsidRPr="003C0D71">
        <w:rPr>
          <w:rFonts w:ascii="Times New Roman" w:hAnsi="Times New Roman" w:cs="Times New Roman"/>
          <w:noProof/>
        </w:rPr>
        <w:t xml:space="preserve">Regulatory Technical Standard </w:t>
      </w:r>
      <w:r w:rsidR="00C25A34">
        <w:rPr>
          <w:rFonts w:ascii="Times New Roman" w:hAnsi="Times New Roman" w:cs="Times New Roman"/>
          <w:noProof/>
        </w:rPr>
        <w:t>from</w:t>
      </w:r>
      <w:r w:rsidR="00C25A34" w:rsidRPr="003C0D71">
        <w:rPr>
          <w:rFonts w:ascii="Times New Roman" w:hAnsi="Times New Roman" w:cs="Times New Roman"/>
          <w:noProof/>
        </w:rPr>
        <w:t xml:space="preserve"> </w:t>
      </w:r>
      <w:r w:rsidR="2603B6C4" w:rsidRPr="003C0D71">
        <w:rPr>
          <w:rFonts w:ascii="Times New Roman" w:hAnsi="Times New Roman" w:cs="Times New Roman"/>
          <w:noProof/>
        </w:rPr>
        <w:t>the Joint Committee should be as wide as possible.</w:t>
      </w:r>
    </w:p>
    <w:p w14:paraId="62024397" w14:textId="29A7F459" w:rsidR="005D192F" w:rsidRPr="003C0D71" w:rsidRDefault="2603B6C4" w:rsidP="005D192F">
      <w:pPr>
        <w:pStyle w:val="Heading1"/>
        <w:numPr>
          <w:ilvl w:val="0"/>
          <w:numId w:val="2"/>
        </w:numPr>
        <w:rPr>
          <w:rFonts w:ascii="Times New Roman" w:hAnsi="Times New Roman" w:cs="Times New Roman"/>
          <w:noProof/>
          <w:color w:val="auto"/>
        </w:rPr>
      </w:pPr>
      <w:bookmarkStart w:id="49" w:name="_Toc104283072"/>
      <w:bookmarkStart w:id="50" w:name="_Toc104286140"/>
      <w:bookmarkStart w:id="51" w:name="_Toc104297345"/>
      <w:bookmarkStart w:id="52" w:name="_Toc115346214"/>
      <w:r w:rsidRPr="003C0D71">
        <w:rPr>
          <w:rFonts w:ascii="Times New Roman" w:hAnsi="Times New Roman" w:cs="Times New Roman"/>
          <w:noProof/>
          <w:color w:val="auto"/>
        </w:rPr>
        <w:t>Third</w:t>
      </w:r>
      <w:r w:rsidR="00001486">
        <w:rPr>
          <w:rFonts w:ascii="Times New Roman" w:hAnsi="Times New Roman" w:cs="Times New Roman"/>
          <w:noProof/>
          <w:color w:val="auto"/>
        </w:rPr>
        <w:t>-</w:t>
      </w:r>
      <w:r w:rsidRPr="003C0D71">
        <w:rPr>
          <w:rFonts w:ascii="Times New Roman" w:hAnsi="Times New Roman" w:cs="Times New Roman"/>
          <w:noProof/>
          <w:color w:val="auto"/>
        </w:rPr>
        <w:t>party verification of STS criteria</w:t>
      </w:r>
      <w:bookmarkEnd w:id="49"/>
      <w:bookmarkEnd w:id="50"/>
      <w:bookmarkEnd w:id="51"/>
      <w:bookmarkEnd w:id="52"/>
    </w:p>
    <w:p w14:paraId="0BE7D525" w14:textId="77777777" w:rsidR="00D57961" w:rsidRPr="003C0D71" w:rsidRDefault="2603B6C4" w:rsidP="000D4664">
      <w:pPr>
        <w:rPr>
          <w:rFonts w:ascii="Times New Roman" w:hAnsi="Times New Roman" w:cs="Times New Roman"/>
          <w:b/>
          <w:noProof/>
          <w:sz w:val="24"/>
        </w:rPr>
      </w:pPr>
      <w:r w:rsidRPr="003C0D71">
        <w:rPr>
          <w:rFonts w:ascii="Times New Roman" w:hAnsi="Times New Roman" w:cs="Times New Roman"/>
          <w:b/>
          <w:noProof/>
          <w:sz w:val="24"/>
        </w:rPr>
        <w:t>Background and findings</w:t>
      </w:r>
    </w:p>
    <w:p w14:paraId="57E8A563" w14:textId="35EFB469" w:rsidR="005666C6" w:rsidRPr="003C0D71" w:rsidRDefault="2603B6C4" w:rsidP="2603B6C4">
      <w:pPr>
        <w:jc w:val="both"/>
        <w:rPr>
          <w:rFonts w:ascii="Times New Roman" w:hAnsi="Times New Roman" w:cs="Times New Roman"/>
          <w:noProof/>
        </w:rPr>
      </w:pPr>
      <w:r w:rsidRPr="003C0D71">
        <w:rPr>
          <w:rFonts w:ascii="Times New Roman" w:hAnsi="Times New Roman" w:cs="Times New Roman"/>
          <w:noProof/>
        </w:rPr>
        <w:t xml:space="preserve">The </w:t>
      </w:r>
      <w:r w:rsidR="00DC59ED" w:rsidRPr="003C0D71">
        <w:rPr>
          <w:rFonts w:ascii="Times New Roman" w:hAnsi="Times New Roman" w:cs="Times New Roman"/>
          <w:noProof/>
        </w:rPr>
        <w:t>Securitisation Regulation</w:t>
      </w:r>
      <w:r w:rsidRPr="003C0D71">
        <w:rPr>
          <w:rFonts w:ascii="Times New Roman" w:hAnsi="Times New Roman" w:cs="Times New Roman"/>
          <w:noProof/>
        </w:rPr>
        <w:t xml:space="preserve"> </w:t>
      </w:r>
      <w:r w:rsidR="00805A04">
        <w:rPr>
          <w:rFonts w:ascii="Times New Roman" w:hAnsi="Times New Roman" w:cs="Times New Roman"/>
          <w:noProof/>
        </w:rPr>
        <w:t>established</w:t>
      </w:r>
      <w:r w:rsidR="00805A04" w:rsidRPr="003C0D71">
        <w:rPr>
          <w:rFonts w:ascii="Times New Roman" w:hAnsi="Times New Roman" w:cs="Times New Roman"/>
          <w:noProof/>
        </w:rPr>
        <w:t xml:space="preserve"> </w:t>
      </w:r>
      <w:r w:rsidRPr="003C0D71">
        <w:rPr>
          <w:rFonts w:ascii="Times New Roman" w:hAnsi="Times New Roman" w:cs="Times New Roman"/>
          <w:noProof/>
        </w:rPr>
        <w:t xml:space="preserve">a system of third-party verification </w:t>
      </w:r>
      <w:r w:rsidR="00DC59ED" w:rsidRPr="003C0D71">
        <w:rPr>
          <w:rFonts w:ascii="Times New Roman" w:hAnsi="Times New Roman" w:cs="Times New Roman"/>
          <w:noProof/>
        </w:rPr>
        <w:t xml:space="preserve">entities </w:t>
      </w:r>
      <w:r w:rsidRPr="003C0D71">
        <w:rPr>
          <w:rFonts w:ascii="Times New Roman" w:hAnsi="Times New Roman" w:cs="Times New Roman"/>
          <w:noProof/>
        </w:rPr>
        <w:t xml:space="preserve">to assist both issuers and investors, on a voluntary basis, in assessing the compliance of a transaction with the STS criteria. However, the involvement of such </w:t>
      </w:r>
      <w:r w:rsidR="00DC59ED" w:rsidRPr="003C0D71">
        <w:rPr>
          <w:rFonts w:ascii="Times New Roman" w:hAnsi="Times New Roman" w:cs="Times New Roman"/>
          <w:noProof/>
        </w:rPr>
        <w:t xml:space="preserve">verifiers </w:t>
      </w:r>
      <w:r w:rsidRPr="003C0D71">
        <w:rPr>
          <w:rFonts w:ascii="Times New Roman" w:hAnsi="Times New Roman" w:cs="Times New Roman"/>
          <w:noProof/>
        </w:rPr>
        <w:t xml:space="preserve">does not remove the legal responsibility from originators, sponsors and institutional investors </w:t>
      </w:r>
      <w:r w:rsidR="00C25A34">
        <w:rPr>
          <w:rFonts w:ascii="Times New Roman" w:hAnsi="Times New Roman" w:cs="Times New Roman"/>
          <w:noProof/>
        </w:rPr>
        <w:t>to treat</w:t>
      </w:r>
      <w:r w:rsidRPr="003C0D71">
        <w:rPr>
          <w:rFonts w:ascii="Times New Roman" w:hAnsi="Times New Roman" w:cs="Times New Roman"/>
          <w:noProof/>
        </w:rPr>
        <w:t xml:space="preserve"> a securitisation transaction as STS. These </w:t>
      </w:r>
      <w:r w:rsidR="00E66A39" w:rsidRPr="003C0D71">
        <w:rPr>
          <w:rFonts w:ascii="Times New Roman" w:hAnsi="Times New Roman" w:cs="Times New Roman"/>
          <w:noProof/>
        </w:rPr>
        <w:t xml:space="preserve">third-party verification </w:t>
      </w:r>
      <w:r w:rsidR="00DC59ED" w:rsidRPr="003C0D71">
        <w:rPr>
          <w:rFonts w:ascii="Times New Roman" w:hAnsi="Times New Roman" w:cs="Times New Roman"/>
          <w:noProof/>
        </w:rPr>
        <w:t xml:space="preserve">entities </w:t>
      </w:r>
      <w:r w:rsidRPr="003C0D71">
        <w:rPr>
          <w:rFonts w:ascii="Times New Roman" w:hAnsi="Times New Roman" w:cs="Times New Roman"/>
          <w:noProof/>
        </w:rPr>
        <w:t xml:space="preserve">are authorised by ESMA and supervised by the respective national competent authority </w:t>
      </w:r>
      <w:r w:rsidR="0059643E" w:rsidRPr="003C0D71">
        <w:rPr>
          <w:rFonts w:ascii="Times New Roman" w:hAnsi="Times New Roman" w:cs="Times New Roman"/>
          <w:noProof/>
        </w:rPr>
        <w:t>of</w:t>
      </w:r>
      <w:r w:rsidRPr="003C0D71">
        <w:rPr>
          <w:rFonts w:ascii="Times New Roman" w:hAnsi="Times New Roman" w:cs="Times New Roman"/>
          <w:noProof/>
        </w:rPr>
        <w:t xml:space="preserve"> the Member State in which they are incorporated. ESMA has authorised two third-party verifiers so far. </w:t>
      </w:r>
      <w:r w:rsidR="00DC59ED" w:rsidRPr="003C0D71">
        <w:rPr>
          <w:rFonts w:ascii="Times New Roman" w:hAnsi="Times New Roman" w:cs="Times New Roman"/>
          <w:noProof/>
        </w:rPr>
        <w:t xml:space="preserve">To date, </w:t>
      </w:r>
      <w:r w:rsidR="004C18E0">
        <w:rPr>
          <w:rFonts w:ascii="Times New Roman" w:hAnsi="Times New Roman" w:cs="Times New Roman"/>
          <w:noProof/>
        </w:rPr>
        <w:t>most</w:t>
      </w:r>
      <w:r w:rsidRPr="003C0D71">
        <w:rPr>
          <w:rFonts w:ascii="Times New Roman" w:hAnsi="Times New Roman" w:cs="Times New Roman"/>
          <w:noProof/>
        </w:rPr>
        <w:t xml:space="preserve"> STS </w:t>
      </w:r>
      <w:r w:rsidR="00DC59ED" w:rsidRPr="003C0D71">
        <w:rPr>
          <w:rFonts w:ascii="Times New Roman" w:hAnsi="Times New Roman" w:cs="Times New Roman"/>
          <w:noProof/>
        </w:rPr>
        <w:t>transactions ha</w:t>
      </w:r>
      <w:r w:rsidR="004C18E0">
        <w:rPr>
          <w:rFonts w:ascii="Times New Roman" w:hAnsi="Times New Roman" w:cs="Times New Roman"/>
          <w:noProof/>
        </w:rPr>
        <w:t>ve</w:t>
      </w:r>
      <w:r w:rsidR="00DC59ED" w:rsidRPr="003C0D71">
        <w:rPr>
          <w:rFonts w:ascii="Times New Roman" w:hAnsi="Times New Roman" w:cs="Times New Roman"/>
          <w:noProof/>
        </w:rPr>
        <w:t xml:space="preserve"> </w:t>
      </w:r>
      <w:r w:rsidRPr="003C0D71">
        <w:rPr>
          <w:rFonts w:ascii="Times New Roman" w:hAnsi="Times New Roman" w:cs="Times New Roman"/>
          <w:noProof/>
        </w:rPr>
        <w:t>use</w:t>
      </w:r>
      <w:r w:rsidR="00DC59ED" w:rsidRPr="003C0D71">
        <w:rPr>
          <w:rFonts w:ascii="Times New Roman" w:hAnsi="Times New Roman" w:cs="Times New Roman"/>
          <w:noProof/>
        </w:rPr>
        <w:t>d the services of</w:t>
      </w:r>
      <w:r w:rsidRPr="003C0D71">
        <w:rPr>
          <w:rFonts w:ascii="Times New Roman" w:hAnsi="Times New Roman" w:cs="Times New Roman"/>
          <w:noProof/>
        </w:rPr>
        <w:t xml:space="preserve"> one of the two third-party verifiers.</w:t>
      </w:r>
    </w:p>
    <w:p w14:paraId="131DA29B" w14:textId="65E7789A" w:rsidR="006D3080" w:rsidRPr="003C0D71" w:rsidRDefault="2603B6C4" w:rsidP="2603B6C4">
      <w:pPr>
        <w:jc w:val="both"/>
        <w:rPr>
          <w:rFonts w:ascii="Times New Roman" w:hAnsi="Times New Roman" w:cs="Times New Roman"/>
          <w:noProof/>
        </w:rPr>
      </w:pPr>
      <w:r w:rsidRPr="003C0D71">
        <w:rPr>
          <w:rFonts w:ascii="Times New Roman" w:hAnsi="Times New Roman" w:cs="Times New Roman"/>
          <w:noProof/>
        </w:rPr>
        <w:t xml:space="preserve">The Joint Committee </w:t>
      </w:r>
      <w:r w:rsidR="00E75D3C">
        <w:rPr>
          <w:rFonts w:ascii="Times New Roman" w:hAnsi="Times New Roman" w:cs="Times New Roman"/>
          <w:noProof/>
        </w:rPr>
        <w:t>r</w:t>
      </w:r>
      <w:r w:rsidRPr="003C0D71">
        <w:rPr>
          <w:rFonts w:ascii="Times New Roman" w:hAnsi="Times New Roman" w:cs="Times New Roman"/>
          <w:noProof/>
        </w:rPr>
        <w:t xml:space="preserve">eport analysed the role of third-party verification </w:t>
      </w:r>
      <w:r w:rsidR="00DC59ED" w:rsidRPr="003C0D71">
        <w:rPr>
          <w:rFonts w:ascii="Times New Roman" w:hAnsi="Times New Roman" w:cs="Times New Roman"/>
          <w:noProof/>
        </w:rPr>
        <w:t xml:space="preserve">entities in </w:t>
      </w:r>
      <w:r w:rsidRPr="003C0D71">
        <w:rPr>
          <w:rFonts w:ascii="Times New Roman" w:hAnsi="Times New Roman" w:cs="Times New Roman"/>
          <w:noProof/>
        </w:rPr>
        <w:t xml:space="preserve">the STS market. </w:t>
      </w:r>
      <w:r w:rsidR="00980823" w:rsidRPr="003C0D71">
        <w:rPr>
          <w:rFonts w:ascii="Times New Roman" w:hAnsi="Times New Roman" w:cs="Times New Roman"/>
          <w:noProof/>
        </w:rPr>
        <w:t>It</w:t>
      </w:r>
      <w:r w:rsidRPr="003C0D71">
        <w:rPr>
          <w:rFonts w:ascii="Times New Roman" w:hAnsi="Times New Roman" w:cs="Times New Roman"/>
          <w:noProof/>
        </w:rPr>
        <w:t xml:space="preserve"> note</w:t>
      </w:r>
      <w:r w:rsidR="00354F72">
        <w:rPr>
          <w:rFonts w:ascii="Times New Roman" w:hAnsi="Times New Roman" w:cs="Times New Roman"/>
          <w:noProof/>
        </w:rPr>
        <w:t>d</w:t>
      </w:r>
      <w:r w:rsidRPr="003C0D71">
        <w:rPr>
          <w:rFonts w:ascii="Times New Roman" w:hAnsi="Times New Roman" w:cs="Times New Roman"/>
          <w:noProof/>
        </w:rPr>
        <w:t xml:space="preserve"> that the market finds these entities helpful, in particular for less experienced </w:t>
      </w:r>
      <w:r w:rsidR="00E66A39" w:rsidRPr="003C0D71">
        <w:rPr>
          <w:rFonts w:ascii="Times New Roman" w:hAnsi="Times New Roman" w:cs="Times New Roman"/>
          <w:noProof/>
        </w:rPr>
        <w:t>market participants</w:t>
      </w:r>
      <w:r w:rsidRPr="003C0D71">
        <w:rPr>
          <w:rFonts w:ascii="Times New Roman" w:hAnsi="Times New Roman" w:cs="Times New Roman"/>
          <w:noProof/>
        </w:rPr>
        <w:t xml:space="preserve">, </w:t>
      </w:r>
      <w:r w:rsidR="00E66A39" w:rsidRPr="003C0D71">
        <w:rPr>
          <w:rFonts w:ascii="Times New Roman" w:hAnsi="Times New Roman" w:cs="Times New Roman"/>
          <w:noProof/>
        </w:rPr>
        <w:t xml:space="preserve">not least </w:t>
      </w:r>
      <w:r w:rsidR="00E75D3C">
        <w:rPr>
          <w:rFonts w:ascii="Times New Roman" w:hAnsi="Times New Roman" w:cs="Times New Roman"/>
          <w:noProof/>
        </w:rPr>
        <w:t>in providing</w:t>
      </w:r>
      <w:r w:rsidR="00E66A39" w:rsidRPr="003C0D71">
        <w:rPr>
          <w:rFonts w:ascii="Times New Roman" w:hAnsi="Times New Roman" w:cs="Times New Roman"/>
          <w:noProof/>
        </w:rPr>
        <w:t xml:space="preserve"> reassurance </w:t>
      </w:r>
      <w:r w:rsidRPr="003C0D71">
        <w:rPr>
          <w:rFonts w:ascii="Times New Roman" w:hAnsi="Times New Roman" w:cs="Times New Roman"/>
          <w:noProof/>
        </w:rPr>
        <w:t xml:space="preserve">in view of the financial sanctions </w:t>
      </w:r>
      <w:r w:rsidR="00E75D3C" w:rsidRPr="00911145">
        <w:rPr>
          <w:rFonts w:ascii="Times New Roman" w:hAnsi="Times New Roman" w:cs="Times New Roman"/>
          <w:noProof/>
        </w:rPr>
        <w:t>imposed for</w:t>
      </w:r>
      <w:r w:rsidRPr="00911145">
        <w:rPr>
          <w:rFonts w:ascii="Times New Roman" w:hAnsi="Times New Roman" w:cs="Times New Roman"/>
          <w:noProof/>
        </w:rPr>
        <w:t xml:space="preserve"> erroneous</w:t>
      </w:r>
      <w:r w:rsidRPr="003C0D71">
        <w:rPr>
          <w:rFonts w:ascii="Times New Roman" w:hAnsi="Times New Roman" w:cs="Times New Roman"/>
          <w:noProof/>
        </w:rPr>
        <w:t xml:space="preserve"> information in an STS notification. The Joint Committee </w:t>
      </w:r>
      <w:r w:rsidR="00980823" w:rsidRPr="003C0D71">
        <w:rPr>
          <w:rFonts w:ascii="Times New Roman" w:hAnsi="Times New Roman" w:cs="Times New Roman"/>
          <w:noProof/>
        </w:rPr>
        <w:t xml:space="preserve">stated </w:t>
      </w:r>
      <w:r w:rsidRPr="003C0D71">
        <w:rPr>
          <w:rFonts w:ascii="Times New Roman" w:hAnsi="Times New Roman" w:cs="Times New Roman"/>
          <w:noProof/>
        </w:rPr>
        <w:t xml:space="preserve">that the interactions between third-party verifiers and national competent authorities have </w:t>
      </w:r>
      <w:r w:rsidR="00E75D3C" w:rsidRPr="003C0D71">
        <w:rPr>
          <w:rFonts w:ascii="Times New Roman" w:hAnsi="Times New Roman" w:cs="Times New Roman"/>
          <w:noProof/>
        </w:rPr>
        <w:t xml:space="preserve">so far </w:t>
      </w:r>
      <w:r w:rsidRPr="003C0D71">
        <w:rPr>
          <w:rFonts w:ascii="Times New Roman" w:hAnsi="Times New Roman" w:cs="Times New Roman"/>
          <w:noProof/>
        </w:rPr>
        <w:t>been limited</w:t>
      </w:r>
      <w:r w:rsidR="00C74829" w:rsidRPr="003C0D71">
        <w:rPr>
          <w:rFonts w:ascii="Times New Roman" w:hAnsi="Times New Roman" w:cs="Times New Roman"/>
          <w:noProof/>
        </w:rPr>
        <w:t>. G</w:t>
      </w:r>
      <w:r w:rsidRPr="003C0D71">
        <w:rPr>
          <w:rFonts w:ascii="Times New Roman" w:hAnsi="Times New Roman" w:cs="Times New Roman"/>
          <w:noProof/>
        </w:rPr>
        <w:t>iven the apparent importance</w:t>
      </w:r>
      <w:r w:rsidR="00C74829" w:rsidRPr="003C0D71">
        <w:rPr>
          <w:rFonts w:ascii="Times New Roman" w:hAnsi="Times New Roman" w:cs="Times New Roman"/>
          <w:noProof/>
        </w:rPr>
        <w:t xml:space="preserve"> of the verifiers </w:t>
      </w:r>
      <w:r w:rsidRPr="003C0D71">
        <w:rPr>
          <w:rFonts w:ascii="Times New Roman" w:hAnsi="Times New Roman" w:cs="Times New Roman"/>
          <w:noProof/>
        </w:rPr>
        <w:t>for the STS market</w:t>
      </w:r>
      <w:r w:rsidR="00C74829" w:rsidRPr="003C0D71">
        <w:rPr>
          <w:rFonts w:ascii="Times New Roman" w:hAnsi="Times New Roman" w:cs="Times New Roman"/>
          <w:noProof/>
        </w:rPr>
        <w:t xml:space="preserve"> and concentration on very few</w:t>
      </w:r>
      <w:r w:rsidR="00C769E0" w:rsidRPr="003C0D71">
        <w:rPr>
          <w:rFonts w:ascii="Times New Roman" w:hAnsi="Times New Roman" w:cs="Times New Roman"/>
          <w:noProof/>
        </w:rPr>
        <w:t xml:space="preserve"> </w:t>
      </w:r>
      <w:r w:rsidR="00C74829" w:rsidRPr="003C0D71">
        <w:rPr>
          <w:rFonts w:ascii="Times New Roman" w:hAnsi="Times New Roman" w:cs="Times New Roman"/>
          <w:noProof/>
        </w:rPr>
        <w:t>entities</w:t>
      </w:r>
      <w:r w:rsidRPr="003C0D71">
        <w:rPr>
          <w:rFonts w:ascii="Times New Roman" w:hAnsi="Times New Roman" w:cs="Times New Roman"/>
          <w:noProof/>
        </w:rPr>
        <w:t xml:space="preserve">, </w:t>
      </w:r>
      <w:r w:rsidR="00C74829" w:rsidRPr="003C0D71">
        <w:rPr>
          <w:rFonts w:ascii="Times New Roman" w:hAnsi="Times New Roman" w:cs="Times New Roman"/>
          <w:noProof/>
        </w:rPr>
        <w:t xml:space="preserve">this </w:t>
      </w:r>
      <w:r w:rsidR="00980823" w:rsidRPr="003C0D71">
        <w:rPr>
          <w:rFonts w:ascii="Times New Roman" w:hAnsi="Times New Roman" w:cs="Times New Roman"/>
          <w:noProof/>
        </w:rPr>
        <w:t xml:space="preserve">might </w:t>
      </w:r>
      <w:r w:rsidRPr="003C0D71">
        <w:rPr>
          <w:rFonts w:ascii="Times New Roman" w:hAnsi="Times New Roman" w:cs="Times New Roman"/>
          <w:noProof/>
        </w:rPr>
        <w:t xml:space="preserve">lead to potential divergence </w:t>
      </w:r>
      <w:r w:rsidR="00E75D3C" w:rsidRPr="003C0D71">
        <w:rPr>
          <w:rFonts w:ascii="Times New Roman" w:hAnsi="Times New Roman" w:cs="Times New Roman"/>
          <w:noProof/>
        </w:rPr>
        <w:t xml:space="preserve">between supervisors and verifiers </w:t>
      </w:r>
      <w:r w:rsidRPr="003C0D71">
        <w:rPr>
          <w:rFonts w:ascii="Times New Roman" w:hAnsi="Times New Roman" w:cs="Times New Roman"/>
          <w:noProof/>
        </w:rPr>
        <w:t xml:space="preserve">in </w:t>
      </w:r>
      <w:r w:rsidR="00E75D3C">
        <w:rPr>
          <w:rFonts w:ascii="Times New Roman" w:hAnsi="Times New Roman" w:cs="Times New Roman"/>
          <w:noProof/>
        </w:rPr>
        <w:t xml:space="preserve">their </w:t>
      </w:r>
      <w:r w:rsidRPr="003C0D71">
        <w:rPr>
          <w:rFonts w:ascii="Times New Roman" w:hAnsi="Times New Roman" w:cs="Times New Roman"/>
          <w:noProof/>
        </w:rPr>
        <w:t xml:space="preserve">interpretation of the STS criteria. Moreover, </w:t>
      </w:r>
      <w:r w:rsidR="00DC09BF" w:rsidRPr="003C0D71">
        <w:rPr>
          <w:rFonts w:ascii="Times New Roman" w:hAnsi="Times New Roman" w:cs="Times New Roman"/>
          <w:noProof/>
        </w:rPr>
        <w:t xml:space="preserve">the Joint Committee </w:t>
      </w:r>
      <w:r w:rsidR="00824DF8" w:rsidRPr="003C0D71">
        <w:rPr>
          <w:rFonts w:ascii="Times New Roman" w:hAnsi="Times New Roman" w:cs="Times New Roman"/>
          <w:noProof/>
        </w:rPr>
        <w:t>R</w:t>
      </w:r>
      <w:r w:rsidR="00DC09BF" w:rsidRPr="003C0D71">
        <w:rPr>
          <w:rFonts w:ascii="Times New Roman" w:hAnsi="Times New Roman" w:cs="Times New Roman"/>
          <w:noProof/>
        </w:rPr>
        <w:t>eport noted that there was</w:t>
      </w:r>
      <w:r w:rsidRPr="003C0D71">
        <w:rPr>
          <w:rFonts w:ascii="Times New Roman" w:hAnsi="Times New Roman" w:cs="Times New Roman"/>
          <w:noProof/>
        </w:rPr>
        <w:t xml:space="preserve"> no common approach so far to the supervision of the STS verifiers.</w:t>
      </w:r>
    </w:p>
    <w:p w14:paraId="72F3CD67" w14:textId="61F2EF28" w:rsidR="002A1356" w:rsidRPr="003C0D71" w:rsidRDefault="000146AB" w:rsidP="000D4664">
      <w:pPr>
        <w:rPr>
          <w:rFonts w:ascii="Times New Roman" w:hAnsi="Times New Roman" w:cs="Times New Roman"/>
          <w:b/>
          <w:noProof/>
          <w:sz w:val="24"/>
        </w:rPr>
      </w:pPr>
      <w:r>
        <w:rPr>
          <w:rFonts w:ascii="Times New Roman" w:hAnsi="Times New Roman" w:cs="Times New Roman"/>
          <w:b/>
          <w:noProof/>
          <w:sz w:val="24"/>
        </w:rPr>
        <w:t>The Commission’s assessment</w:t>
      </w:r>
    </w:p>
    <w:p w14:paraId="0E1BD1FF" w14:textId="5278D30F" w:rsidR="00FA78CC" w:rsidRPr="003C0D71" w:rsidRDefault="00FA78CC" w:rsidP="00FA78CC">
      <w:pPr>
        <w:jc w:val="both"/>
        <w:rPr>
          <w:rFonts w:ascii="Times New Roman" w:hAnsi="Times New Roman" w:cs="Times New Roman"/>
          <w:noProof/>
        </w:rPr>
      </w:pPr>
      <w:r w:rsidRPr="003C0D71">
        <w:rPr>
          <w:rFonts w:ascii="Times New Roman" w:hAnsi="Times New Roman" w:cs="Times New Roman"/>
          <w:noProof/>
        </w:rPr>
        <w:t xml:space="preserve">The third-party verification regime appears to function as intended and the Commission sees no need to revise the provisions governing this regime. As flagged by the Joint Committee </w:t>
      </w:r>
      <w:r w:rsidR="00824DF8" w:rsidRPr="003C0D71">
        <w:rPr>
          <w:rFonts w:ascii="Times New Roman" w:hAnsi="Times New Roman" w:cs="Times New Roman"/>
          <w:noProof/>
        </w:rPr>
        <w:t>R</w:t>
      </w:r>
      <w:r w:rsidRPr="003C0D71">
        <w:rPr>
          <w:rFonts w:ascii="Times New Roman" w:hAnsi="Times New Roman" w:cs="Times New Roman"/>
          <w:noProof/>
        </w:rPr>
        <w:t xml:space="preserve">eport, dialogue </w:t>
      </w:r>
      <w:r w:rsidR="00C82639" w:rsidRPr="003C0D71">
        <w:rPr>
          <w:rFonts w:ascii="Times New Roman" w:hAnsi="Times New Roman" w:cs="Times New Roman"/>
          <w:noProof/>
        </w:rPr>
        <w:t xml:space="preserve">should take place </w:t>
      </w:r>
      <w:r w:rsidRPr="003C0D71">
        <w:rPr>
          <w:rFonts w:ascii="Times New Roman" w:hAnsi="Times New Roman" w:cs="Times New Roman"/>
          <w:noProof/>
        </w:rPr>
        <w:t xml:space="preserve">at </w:t>
      </w:r>
      <w:r w:rsidR="00C82639">
        <w:rPr>
          <w:rFonts w:ascii="Times New Roman" w:hAnsi="Times New Roman" w:cs="Times New Roman"/>
          <w:noProof/>
        </w:rPr>
        <w:t xml:space="preserve">an </w:t>
      </w:r>
      <w:r w:rsidRPr="003C0D71">
        <w:rPr>
          <w:rFonts w:ascii="Times New Roman" w:hAnsi="Times New Roman" w:cs="Times New Roman"/>
          <w:noProof/>
        </w:rPr>
        <w:t>appropriate frequency between the national competent authorities and the third</w:t>
      </w:r>
      <w:r w:rsidR="00001486">
        <w:rPr>
          <w:rFonts w:ascii="Times New Roman" w:hAnsi="Times New Roman" w:cs="Times New Roman"/>
          <w:noProof/>
        </w:rPr>
        <w:t>-</w:t>
      </w:r>
      <w:r w:rsidRPr="003C0D71">
        <w:rPr>
          <w:rFonts w:ascii="Times New Roman" w:hAnsi="Times New Roman" w:cs="Times New Roman"/>
          <w:noProof/>
        </w:rPr>
        <w:t xml:space="preserve">party verification firms to </w:t>
      </w:r>
      <w:r w:rsidR="00DC09BF" w:rsidRPr="003C0D71">
        <w:rPr>
          <w:rFonts w:ascii="Times New Roman" w:hAnsi="Times New Roman" w:cs="Times New Roman"/>
          <w:noProof/>
        </w:rPr>
        <w:t>avoid in</w:t>
      </w:r>
      <w:r w:rsidRPr="003C0D71">
        <w:rPr>
          <w:rFonts w:ascii="Times New Roman" w:hAnsi="Times New Roman" w:cs="Times New Roman"/>
          <w:noProof/>
        </w:rPr>
        <w:t>consistent interpretation</w:t>
      </w:r>
      <w:r w:rsidR="00C82639">
        <w:rPr>
          <w:rFonts w:ascii="Times New Roman" w:hAnsi="Times New Roman" w:cs="Times New Roman"/>
          <w:noProof/>
        </w:rPr>
        <w:t>s</w:t>
      </w:r>
      <w:r w:rsidRPr="003C0D71">
        <w:rPr>
          <w:rFonts w:ascii="Times New Roman" w:hAnsi="Times New Roman" w:cs="Times New Roman"/>
          <w:noProof/>
        </w:rPr>
        <w:t xml:space="preserve"> of the STS criteria</w:t>
      </w:r>
      <w:r w:rsidR="00DC09BF" w:rsidRPr="003C0D71">
        <w:rPr>
          <w:rFonts w:ascii="Times New Roman" w:hAnsi="Times New Roman" w:cs="Times New Roman"/>
          <w:noProof/>
        </w:rPr>
        <w:t xml:space="preserve"> to the detriment of issuers and investors</w:t>
      </w:r>
      <w:r w:rsidRPr="003C0D71">
        <w:rPr>
          <w:rFonts w:ascii="Times New Roman" w:hAnsi="Times New Roman" w:cs="Times New Roman"/>
          <w:noProof/>
        </w:rPr>
        <w:t xml:space="preserve">. </w:t>
      </w:r>
    </w:p>
    <w:p w14:paraId="5C53D490" w14:textId="7C0A936B" w:rsidR="009F3791" w:rsidRPr="003C0D71" w:rsidRDefault="009F3791" w:rsidP="009F3791">
      <w:pPr>
        <w:jc w:val="both"/>
        <w:rPr>
          <w:rFonts w:ascii="Times New Roman" w:hAnsi="Times New Roman" w:cs="Times New Roman"/>
          <w:noProof/>
        </w:rPr>
      </w:pPr>
      <w:r w:rsidRPr="003C0D71">
        <w:rPr>
          <w:rFonts w:ascii="Times New Roman" w:hAnsi="Times New Roman" w:cs="Times New Roman"/>
          <w:noProof/>
        </w:rPr>
        <w:t xml:space="preserve">As regards competition, the Joint Committee </w:t>
      </w:r>
      <w:r w:rsidR="00C82639">
        <w:rPr>
          <w:rFonts w:ascii="Times New Roman" w:hAnsi="Times New Roman" w:cs="Times New Roman"/>
          <w:noProof/>
        </w:rPr>
        <w:t>r</w:t>
      </w:r>
      <w:r w:rsidRPr="003C0D71">
        <w:rPr>
          <w:rFonts w:ascii="Times New Roman" w:hAnsi="Times New Roman" w:cs="Times New Roman"/>
          <w:noProof/>
        </w:rPr>
        <w:t>eport did not indicat</w:t>
      </w:r>
      <w:r w:rsidR="000F0689">
        <w:rPr>
          <w:rFonts w:ascii="Times New Roman" w:hAnsi="Times New Roman" w:cs="Times New Roman"/>
          <w:noProof/>
        </w:rPr>
        <w:t>e</w:t>
      </w:r>
      <w:r w:rsidRPr="003C0D71">
        <w:rPr>
          <w:rFonts w:ascii="Times New Roman" w:hAnsi="Times New Roman" w:cs="Times New Roman"/>
          <w:noProof/>
        </w:rPr>
        <w:t xml:space="preserve"> that the </w:t>
      </w:r>
      <w:r w:rsidR="00DC09BF" w:rsidRPr="003C0D71">
        <w:rPr>
          <w:rFonts w:ascii="Times New Roman" w:hAnsi="Times New Roman" w:cs="Times New Roman"/>
          <w:noProof/>
        </w:rPr>
        <w:t xml:space="preserve">small </w:t>
      </w:r>
      <w:r w:rsidRPr="003C0D71">
        <w:rPr>
          <w:rFonts w:ascii="Times New Roman" w:hAnsi="Times New Roman" w:cs="Times New Roman"/>
          <w:noProof/>
        </w:rPr>
        <w:t>number of authorised third</w:t>
      </w:r>
      <w:r w:rsidR="00001486">
        <w:rPr>
          <w:rFonts w:ascii="Times New Roman" w:hAnsi="Times New Roman" w:cs="Times New Roman"/>
          <w:noProof/>
        </w:rPr>
        <w:t>-</w:t>
      </w:r>
      <w:r w:rsidRPr="003C0D71">
        <w:rPr>
          <w:rFonts w:ascii="Times New Roman" w:hAnsi="Times New Roman" w:cs="Times New Roman"/>
          <w:noProof/>
        </w:rPr>
        <w:t xml:space="preserve">party verifiers is the result of a regulatory barrier to entry into the market or </w:t>
      </w:r>
      <w:r w:rsidR="000F0689">
        <w:rPr>
          <w:rFonts w:ascii="Times New Roman" w:hAnsi="Times New Roman" w:cs="Times New Roman"/>
          <w:noProof/>
        </w:rPr>
        <w:t xml:space="preserve">of </w:t>
      </w:r>
      <w:r w:rsidR="000F0689" w:rsidRPr="003C0D71">
        <w:rPr>
          <w:rFonts w:ascii="Times New Roman" w:hAnsi="Times New Roman" w:cs="Times New Roman"/>
          <w:noProof/>
        </w:rPr>
        <w:t xml:space="preserve">insufficient </w:t>
      </w:r>
      <w:r w:rsidRPr="003C0D71">
        <w:rPr>
          <w:rFonts w:ascii="Times New Roman" w:hAnsi="Times New Roman" w:cs="Times New Roman"/>
          <w:noProof/>
        </w:rPr>
        <w:t xml:space="preserve">competition. Therefore, the Commission </w:t>
      </w:r>
      <w:r w:rsidR="00C82639" w:rsidRPr="003C0D71">
        <w:rPr>
          <w:rFonts w:ascii="Times New Roman" w:hAnsi="Times New Roman" w:cs="Times New Roman"/>
          <w:noProof/>
        </w:rPr>
        <w:t xml:space="preserve">currently </w:t>
      </w:r>
      <w:r w:rsidR="00DC09BF" w:rsidRPr="003C0D71">
        <w:rPr>
          <w:rFonts w:ascii="Times New Roman" w:hAnsi="Times New Roman" w:cs="Times New Roman"/>
          <w:noProof/>
        </w:rPr>
        <w:t>sees no need to intervene.</w:t>
      </w:r>
    </w:p>
    <w:p w14:paraId="170E899B" w14:textId="77777777" w:rsidR="005D192F" w:rsidRPr="003C0D71" w:rsidRDefault="2603B6C4" w:rsidP="005D192F">
      <w:pPr>
        <w:pStyle w:val="Heading1"/>
        <w:numPr>
          <w:ilvl w:val="0"/>
          <w:numId w:val="2"/>
        </w:numPr>
        <w:rPr>
          <w:rFonts w:ascii="Times New Roman" w:hAnsi="Times New Roman" w:cs="Times New Roman"/>
          <w:noProof/>
          <w:color w:val="auto"/>
        </w:rPr>
      </w:pPr>
      <w:bookmarkStart w:id="53" w:name="_Toc104283073"/>
      <w:bookmarkStart w:id="54" w:name="_Toc104286141"/>
      <w:bookmarkStart w:id="55" w:name="_Toc104297346"/>
      <w:bookmarkStart w:id="56" w:name="_Toc115346215"/>
      <w:r w:rsidRPr="003C0D71">
        <w:rPr>
          <w:rFonts w:ascii="Times New Roman" w:hAnsi="Times New Roman" w:cs="Times New Roman"/>
          <w:noProof/>
          <w:color w:val="auto"/>
        </w:rPr>
        <w:t>Securitisation special purpose entities</w:t>
      </w:r>
      <w:r w:rsidR="00664673" w:rsidRPr="003C0D71">
        <w:rPr>
          <w:rFonts w:ascii="Times New Roman" w:hAnsi="Times New Roman" w:cs="Times New Roman"/>
          <w:noProof/>
          <w:color w:val="auto"/>
        </w:rPr>
        <w:t xml:space="preserve"> (SSPEs)</w:t>
      </w:r>
      <w:bookmarkEnd w:id="53"/>
      <w:bookmarkEnd w:id="54"/>
      <w:bookmarkEnd w:id="55"/>
      <w:bookmarkEnd w:id="56"/>
    </w:p>
    <w:p w14:paraId="23C1CB5D" w14:textId="77777777" w:rsidR="73F03011" w:rsidRPr="003C0D71" w:rsidRDefault="2603B6C4" w:rsidP="000D4664">
      <w:pPr>
        <w:rPr>
          <w:rFonts w:ascii="Times New Roman" w:hAnsi="Times New Roman" w:cs="Times New Roman"/>
          <w:b/>
          <w:noProof/>
          <w:sz w:val="24"/>
        </w:rPr>
      </w:pPr>
      <w:r w:rsidRPr="003C0D71">
        <w:rPr>
          <w:rFonts w:ascii="Times New Roman" w:hAnsi="Times New Roman" w:cs="Times New Roman"/>
          <w:b/>
          <w:noProof/>
          <w:sz w:val="24"/>
        </w:rPr>
        <w:t>Background and findings</w:t>
      </w:r>
    </w:p>
    <w:p w14:paraId="5CA37045" w14:textId="6CFDDD83" w:rsidR="73F03011" w:rsidRPr="003C0D71" w:rsidRDefault="00AD264D" w:rsidP="2603B6C4">
      <w:pPr>
        <w:jc w:val="both"/>
        <w:rPr>
          <w:rFonts w:ascii="Times New Roman" w:hAnsi="Times New Roman" w:cs="Times New Roman"/>
          <w:noProof/>
        </w:rPr>
      </w:pPr>
      <w:r>
        <w:rPr>
          <w:rFonts w:ascii="Times New Roman" w:eastAsia="Calibri" w:hAnsi="Times New Roman" w:cs="Times New Roman"/>
          <w:noProof/>
        </w:rPr>
        <w:t>As regards</w:t>
      </w:r>
      <w:r w:rsidR="000B2AC8" w:rsidRPr="003C0D71">
        <w:rPr>
          <w:rFonts w:ascii="Times New Roman" w:eastAsia="Calibri" w:hAnsi="Times New Roman" w:cs="Times New Roman"/>
          <w:noProof/>
        </w:rPr>
        <w:t xml:space="preserve"> true-sale securitisations</w:t>
      </w:r>
      <w:r w:rsidR="0059643E" w:rsidRPr="003C0D71">
        <w:rPr>
          <w:rFonts w:ascii="Times New Roman" w:eastAsia="Calibri" w:hAnsi="Times New Roman" w:cs="Times New Roman"/>
          <w:noProof/>
        </w:rPr>
        <w:t>,</w:t>
      </w:r>
      <w:r w:rsidR="000B2AC8" w:rsidRPr="003C0D71">
        <w:rPr>
          <w:rFonts w:ascii="Times New Roman" w:eastAsia="Calibri" w:hAnsi="Times New Roman" w:cs="Times New Roman"/>
          <w:noProof/>
        </w:rPr>
        <w:t xml:space="preserve"> </w:t>
      </w:r>
      <w:r w:rsidR="2603B6C4" w:rsidRPr="003C0D71">
        <w:rPr>
          <w:rFonts w:ascii="Times New Roman" w:eastAsia="Calibri" w:hAnsi="Times New Roman" w:cs="Times New Roman"/>
          <w:noProof/>
        </w:rPr>
        <w:t>SSPE</w:t>
      </w:r>
      <w:r w:rsidR="00A848DD" w:rsidRPr="003C0D71">
        <w:rPr>
          <w:rFonts w:ascii="Times New Roman" w:eastAsia="Calibri" w:hAnsi="Times New Roman" w:cs="Times New Roman"/>
          <w:noProof/>
        </w:rPr>
        <w:t>s</w:t>
      </w:r>
      <w:r w:rsidR="2603B6C4" w:rsidRPr="003C0D71">
        <w:rPr>
          <w:rFonts w:ascii="Times New Roman" w:eastAsia="Calibri" w:hAnsi="Times New Roman" w:cs="Times New Roman"/>
          <w:noProof/>
        </w:rPr>
        <w:t xml:space="preserve"> are </w:t>
      </w:r>
      <w:r w:rsidR="000B2AC8" w:rsidRPr="003C0D71">
        <w:rPr>
          <w:rFonts w:ascii="Times New Roman" w:eastAsia="Calibri" w:hAnsi="Times New Roman" w:cs="Times New Roman"/>
          <w:noProof/>
        </w:rPr>
        <w:t xml:space="preserve">a key tool </w:t>
      </w:r>
      <w:r w:rsidR="006F6701" w:rsidRPr="003C0D71">
        <w:rPr>
          <w:rFonts w:ascii="Times New Roman" w:eastAsia="Calibri" w:hAnsi="Times New Roman" w:cs="Times New Roman"/>
          <w:noProof/>
        </w:rPr>
        <w:t>to</w:t>
      </w:r>
      <w:r w:rsidR="000B2AC8" w:rsidRPr="003C0D71">
        <w:rPr>
          <w:rFonts w:ascii="Times New Roman" w:eastAsia="Calibri" w:hAnsi="Times New Roman" w:cs="Times New Roman"/>
          <w:noProof/>
        </w:rPr>
        <w:t xml:space="preserve"> </w:t>
      </w:r>
      <w:r w:rsidR="006F6701" w:rsidRPr="003C0D71">
        <w:rPr>
          <w:rFonts w:ascii="Times New Roman" w:eastAsia="Calibri" w:hAnsi="Times New Roman" w:cs="Times New Roman"/>
          <w:noProof/>
        </w:rPr>
        <w:t xml:space="preserve">manage the transactions and to </w:t>
      </w:r>
      <w:r w:rsidR="000B2AC8" w:rsidRPr="003C0D71">
        <w:rPr>
          <w:rFonts w:ascii="Times New Roman" w:eastAsia="Calibri" w:hAnsi="Times New Roman" w:cs="Times New Roman"/>
          <w:noProof/>
        </w:rPr>
        <w:t xml:space="preserve">reap the desired </w:t>
      </w:r>
      <w:r w:rsidR="006F6701" w:rsidRPr="003C0D71">
        <w:rPr>
          <w:rFonts w:ascii="Times New Roman" w:eastAsia="Calibri" w:hAnsi="Times New Roman" w:cs="Times New Roman"/>
          <w:noProof/>
        </w:rPr>
        <w:t>effects, particularly capital relief for the originating banks:</w:t>
      </w:r>
      <w:r w:rsidR="00DC09BF" w:rsidRPr="003C0D71">
        <w:rPr>
          <w:rFonts w:ascii="Times New Roman" w:eastAsia="Calibri" w:hAnsi="Times New Roman" w:cs="Times New Roman"/>
          <w:noProof/>
        </w:rPr>
        <w:t xml:space="preserve"> </w:t>
      </w:r>
      <w:r w:rsidR="00C82639">
        <w:rPr>
          <w:rFonts w:ascii="Times New Roman" w:eastAsia="Calibri" w:hAnsi="Times New Roman" w:cs="Times New Roman"/>
          <w:noProof/>
        </w:rPr>
        <w:t>t</w:t>
      </w:r>
      <w:r w:rsidR="00A4506D" w:rsidRPr="003C0D71">
        <w:rPr>
          <w:rFonts w:ascii="Times New Roman" w:eastAsia="Calibri" w:hAnsi="Times New Roman" w:cs="Times New Roman"/>
          <w:noProof/>
        </w:rPr>
        <w:t>he SSPE</w:t>
      </w:r>
      <w:r w:rsidR="2603B6C4" w:rsidRPr="003C0D71">
        <w:rPr>
          <w:rFonts w:ascii="Times New Roman" w:eastAsia="Calibri" w:hAnsi="Times New Roman" w:cs="Times New Roman"/>
          <w:noProof/>
        </w:rPr>
        <w:t xml:space="preserve"> </w:t>
      </w:r>
      <w:r w:rsidR="00A4506D" w:rsidRPr="003C0D71">
        <w:rPr>
          <w:rFonts w:ascii="Times New Roman" w:eastAsia="Calibri" w:hAnsi="Times New Roman" w:cs="Times New Roman"/>
          <w:noProof/>
        </w:rPr>
        <w:t xml:space="preserve">segregates the assets from the originator and </w:t>
      </w:r>
      <w:r w:rsidR="000B2AC8" w:rsidRPr="003C0D71">
        <w:rPr>
          <w:rFonts w:ascii="Times New Roman" w:eastAsia="Calibri" w:hAnsi="Times New Roman" w:cs="Times New Roman"/>
          <w:noProof/>
        </w:rPr>
        <w:t>shield</w:t>
      </w:r>
      <w:r w:rsidR="006F6701" w:rsidRPr="003C0D71">
        <w:rPr>
          <w:rFonts w:ascii="Times New Roman" w:eastAsia="Calibri" w:hAnsi="Times New Roman" w:cs="Times New Roman"/>
          <w:noProof/>
        </w:rPr>
        <w:t>s</w:t>
      </w:r>
      <w:r w:rsidR="00A4506D" w:rsidRPr="003C0D71">
        <w:rPr>
          <w:rFonts w:ascii="Times New Roman" w:eastAsia="Calibri" w:hAnsi="Times New Roman" w:cs="Times New Roman"/>
          <w:noProof/>
        </w:rPr>
        <w:t xml:space="preserve"> the originator from the risk of the assets. </w:t>
      </w:r>
      <w:r w:rsidR="2603B6C4" w:rsidRPr="003C0D71">
        <w:rPr>
          <w:rFonts w:ascii="Times New Roman" w:eastAsia="Calibri" w:hAnsi="Times New Roman" w:cs="Times New Roman"/>
          <w:noProof/>
        </w:rPr>
        <w:t>The activities of the SSPE are limited to attain</w:t>
      </w:r>
      <w:r w:rsidR="00C82639">
        <w:rPr>
          <w:rFonts w:ascii="Times New Roman" w:eastAsia="Calibri" w:hAnsi="Times New Roman" w:cs="Times New Roman"/>
          <w:noProof/>
        </w:rPr>
        <w:t>ing</w:t>
      </w:r>
      <w:r w:rsidR="2603B6C4" w:rsidRPr="003C0D71">
        <w:rPr>
          <w:rFonts w:ascii="Times New Roman" w:eastAsia="Calibri" w:hAnsi="Times New Roman" w:cs="Times New Roman"/>
          <w:noProof/>
        </w:rPr>
        <w:t xml:space="preserve"> these objectives. </w:t>
      </w:r>
      <w:r w:rsidR="00A848DD" w:rsidRPr="003C0D71">
        <w:rPr>
          <w:rFonts w:ascii="Times New Roman" w:eastAsia="Calibri" w:hAnsi="Times New Roman" w:cs="Times New Roman"/>
          <w:noProof/>
        </w:rPr>
        <w:t xml:space="preserve">The </w:t>
      </w:r>
      <w:r w:rsidR="00A848DD" w:rsidRPr="003C0D71">
        <w:rPr>
          <w:rFonts w:ascii="Times New Roman" w:hAnsi="Times New Roman" w:cs="Times New Roman"/>
          <w:noProof/>
        </w:rPr>
        <w:t xml:space="preserve">Securitisation Regulation </w:t>
      </w:r>
      <w:r w:rsidR="2603B6C4" w:rsidRPr="003C0D71">
        <w:rPr>
          <w:rFonts w:ascii="Times New Roman" w:eastAsia="Calibri" w:hAnsi="Times New Roman" w:cs="Times New Roman"/>
          <w:noProof/>
        </w:rPr>
        <w:t>contains a full set of requirements applicable to SSPEs.</w:t>
      </w:r>
      <w:r w:rsidR="00E2595B" w:rsidRPr="003C0D71">
        <w:rPr>
          <w:rFonts w:ascii="Times New Roman" w:eastAsia="Calibri" w:hAnsi="Times New Roman" w:cs="Times New Roman"/>
          <w:noProof/>
        </w:rPr>
        <w:t xml:space="preserve"> </w:t>
      </w:r>
    </w:p>
    <w:p w14:paraId="0516FDD5" w14:textId="2CB58A1E" w:rsidR="73F03011" w:rsidRPr="003C0D71" w:rsidDel="006F6701" w:rsidRDefault="2603B6C4" w:rsidP="2603B6C4">
      <w:pPr>
        <w:jc w:val="both"/>
        <w:rPr>
          <w:rFonts w:ascii="Times New Roman" w:hAnsi="Times New Roman" w:cs="Times New Roman"/>
          <w:noProof/>
        </w:rPr>
      </w:pPr>
      <w:r w:rsidRPr="003C0D71" w:rsidDel="006F6701">
        <w:rPr>
          <w:rFonts w:ascii="Times New Roman" w:eastAsia="Calibri" w:hAnsi="Times New Roman" w:cs="Times New Roman"/>
          <w:noProof/>
        </w:rPr>
        <w:t>In light of th</w:t>
      </w:r>
      <w:r w:rsidR="008C3413" w:rsidRPr="003C0D71">
        <w:rPr>
          <w:rFonts w:ascii="Times New Roman" w:eastAsia="Calibri" w:hAnsi="Times New Roman" w:cs="Times New Roman"/>
          <w:noProof/>
        </w:rPr>
        <w:t>e mandate under Article 46(h)</w:t>
      </w:r>
      <w:r w:rsidRPr="003C0D71" w:rsidDel="006F6701">
        <w:rPr>
          <w:rFonts w:ascii="Times New Roman" w:eastAsia="Calibri" w:hAnsi="Times New Roman" w:cs="Times New Roman"/>
          <w:noProof/>
        </w:rPr>
        <w:t xml:space="preserve">, </w:t>
      </w:r>
      <w:r w:rsidR="008837DC" w:rsidRPr="003C0D71" w:rsidDel="006F6701">
        <w:rPr>
          <w:rFonts w:ascii="Times New Roman" w:eastAsia="Calibri" w:hAnsi="Times New Roman" w:cs="Times New Roman"/>
          <w:noProof/>
        </w:rPr>
        <w:t xml:space="preserve">the Commission enquired </w:t>
      </w:r>
      <w:r w:rsidRPr="003C0D71" w:rsidDel="006F6701">
        <w:rPr>
          <w:rFonts w:ascii="Times New Roman" w:eastAsia="Calibri" w:hAnsi="Times New Roman" w:cs="Times New Roman"/>
          <w:noProof/>
        </w:rPr>
        <w:t xml:space="preserve">in the </w:t>
      </w:r>
      <w:r w:rsidR="002952F9" w:rsidRPr="003C0D71">
        <w:rPr>
          <w:rFonts w:ascii="Times New Roman" w:eastAsia="Calibri" w:hAnsi="Times New Roman" w:cs="Times New Roman"/>
          <w:noProof/>
        </w:rPr>
        <w:t>c</w:t>
      </w:r>
      <w:r w:rsidRPr="003C0D71" w:rsidDel="006F6701">
        <w:rPr>
          <w:rFonts w:ascii="Times New Roman" w:eastAsia="Calibri" w:hAnsi="Times New Roman" w:cs="Times New Roman"/>
          <w:noProof/>
        </w:rPr>
        <w:t xml:space="preserve">onsultation </w:t>
      </w:r>
      <w:r w:rsidR="008837DC" w:rsidRPr="003C0D71">
        <w:rPr>
          <w:rFonts w:ascii="Times New Roman" w:eastAsia="Calibri" w:hAnsi="Times New Roman" w:cs="Times New Roman"/>
          <w:noProof/>
        </w:rPr>
        <w:t>whether</w:t>
      </w:r>
      <w:r w:rsidR="008837DC" w:rsidRPr="003C0D71" w:rsidDel="00DB2B1C">
        <w:rPr>
          <w:rFonts w:ascii="Times New Roman" w:eastAsia="Calibri" w:hAnsi="Times New Roman" w:cs="Times New Roman"/>
          <w:noProof/>
        </w:rPr>
        <w:t xml:space="preserve"> </w:t>
      </w:r>
      <w:r w:rsidRPr="003C0D71" w:rsidDel="00DB2B1C">
        <w:rPr>
          <w:rFonts w:ascii="Times New Roman" w:eastAsia="Calibri" w:hAnsi="Times New Roman" w:cs="Times New Roman"/>
          <w:noProof/>
        </w:rPr>
        <w:t>a system of</w:t>
      </w:r>
      <w:r w:rsidRPr="003C0D71" w:rsidDel="006F6701">
        <w:rPr>
          <w:rFonts w:ascii="Times New Roman" w:eastAsia="Calibri" w:hAnsi="Times New Roman" w:cs="Times New Roman"/>
          <w:noProof/>
        </w:rPr>
        <w:t xml:space="preserve"> limited-</w:t>
      </w:r>
      <w:r w:rsidR="00EC14A6">
        <w:rPr>
          <w:rFonts w:ascii="Times New Roman" w:eastAsia="Calibri" w:hAnsi="Times New Roman" w:cs="Times New Roman"/>
          <w:noProof/>
        </w:rPr>
        <w:t xml:space="preserve"> </w:t>
      </w:r>
      <w:r w:rsidRPr="003C0D71" w:rsidDel="006F6701">
        <w:rPr>
          <w:rFonts w:ascii="Times New Roman" w:eastAsia="Calibri" w:hAnsi="Times New Roman" w:cs="Times New Roman"/>
          <w:noProof/>
        </w:rPr>
        <w:t>licen</w:t>
      </w:r>
      <w:r w:rsidR="00D80814">
        <w:rPr>
          <w:rFonts w:ascii="Times New Roman" w:eastAsia="Calibri" w:hAnsi="Times New Roman" w:cs="Times New Roman"/>
          <w:noProof/>
        </w:rPr>
        <w:t>c</w:t>
      </w:r>
      <w:r w:rsidRPr="003C0D71" w:rsidDel="006F6701">
        <w:rPr>
          <w:rFonts w:ascii="Times New Roman" w:eastAsia="Calibri" w:hAnsi="Times New Roman" w:cs="Times New Roman"/>
          <w:noProof/>
        </w:rPr>
        <w:t>e</w:t>
      </w:r>
      <w:r w:rsidRPr="003C0D71">
        <w:rPr>
          <w:rFonts w:ascii="Times New Roman" w:eastAsia="Calibri" w:hAnsi="Times New Roman" w:cs="Times New Roman"/>
          <w:noProof/>
        </w:rPr>
        <w:t>d</w:t>
      </w:r>
      <w:r w:rsidR="00BE4D79" w:rsidRPr="003C0D71">
        <w:rPr>
          <w:rFonts w:ascii="Times New Roman" w:eastAsia="Calibri" w:hAnsi="Times New Roman" w:cs="Times New Roman"/>
          <w:noProof/>
        </w:rPr>
        <w:t>-</w:t>
      </w:r>
      <w:r w:rsidRPr="003C0D71" w:rsidDel="006F6701">
        <w:rPr>
          <w:rFonts w:ascii="Times New Roman" w:eastAsia="Calibri" w:hAnsi="Times New Roman" w:cs="Times New Roman"/>
          <w:noProof/>
        </w:rPr>
        <w:t xml:space="preserve"> banks </w:t>
      </w:r>
      <w:r w:rsidRPr="003C0D71" w:rsidDel="00DB2B1C">
        <w:rPr>
          <w:rFonts w:ascii="Times New Roman" w:eastAsia="Calibri" w:hAnsi="Times New Roman" w:cs="Times New Roman"/>
          <w:noProof/>
        </w:rPr>
        <w:t xml:space="preserve">to </w:t>
      </w:r>
      <w:r w:rsidRPr="003C0D71" w:rsidDel="006F6701">
        <w:rPr>
          <w:rFonts w:ascii="Times New Roman" w:eastAsia="Calibri" w:hAnsi="Times New Roman" w:cs="Times New Roman"/>
          <w:noProof/>
        </w:rPr>
        <w:t xml:space="preserve">perform the functions of SSPEs would </w:t>
      </w:r>
      <w:r w:rsidR="008837DC" w:rsidRPr="003C0D71">
        <w:rPr>
          <w:rFonts w:ascii="Times New Roman" w:eastAsia="Calibri" w:hAnsi="Times New Roman" w:cs="Times New Roman"/>
          <w:noProof/>
        </w:rPr>
        <w:t>add</w:t>
      </w:r>
      <w:r w:rsidRPr="003C0D71" w:rsidDel="006F6701">
        <w:rPr>
          <w:rFonts w:ascii="Times New Roman" w:eastAsia="Calibri" w:hAnsi="Times New Roman" w:cs="Times New Roman"/>
          <w:noProof/>
        </w:rPr>
        <w:t xml:space="preserve"> value to the securitisation framework.</w:t>
      </w:r>
    </w:p>
    <w:p w14:paraId="5E148408" w14:textId="03D2E56F" w:rsidR="73F03011" w:rsidRPr="003C0D71" w:rsidRDefault="2603B6C4" w:rsidP="2603B6C4">
      <w:pPr>
        <w:jc w:val="both"/>
        <w:rPr>
          <w:rFonts w:ascii="Times New Roman" w:hAnsi="Times New Roman" w:cs="Times New Roman"/>
          <w:noProof/>
        </w:rPr>
      </w:pPr>
      <w:r w:rsidRPr="003C0D71">
        <w:rPr>
          <w:rFonts w:ascii="Times New Roman" w:eastAsia="Calibri" w:hAnsi="Times New Roman" w:cs="Times New Roman"/>
          <w:noProof/>
        </w:rPr>
        <w:t>An overwhelming majority of respondents</w:t>
      </w:r>
      <w:r w:rsidR="006F6701" w:rsidRPr="003C0D71">
        <w:rPr>
          <w:rFonts w:ascii="Times New Roman" w:eastAsia="Calibri" w:hAnsi="Times New Roman" w:cs="Times New Roman"/>
          <w:noProof/>
        </w:rPr>
        <w:t>,</w:t>
      </w:r>
      <w:r w:rsidRPr="003C0D71">
        <w:rPr>
          <w:rFonts w:ascii="Times New Roman" w:eastAsia="Calibri" w:hAnsi="Times New Roman" w:cs="Times New Roman"/>
          <w:noProof/>
        </w:rPr>
        <w:t xml:space="preserve"> both from industry and from public authorities</w:t>
      </w:r>
      <w:r w:rsidR="006F6701" w:rsidRPr="003C0D71">
        <w:rPr>
          <w:rFonts w:ascii="Times New Roman" w:eastAsia="Calibri" w:hAnsi="Times New Roman" w:cs="Times New Roman"/>
          <w:noProof/>
        </w:rPr>
        <w:t>,</w:t>
      </w:r>
      <w:r w:rsidRPr="003C0D71">
        <w:rPr>
          <w:rFonts w:ascii="Times New Roman" w:eastAsia="Calibri" w:hAnsi="Times New Roman" w:cs="Times New Roman"/>
          <w:noProof/>
        </w:rPr>
        <w:t xml:space="preserve"> warned against the introduction of such a system and the impact it could have on the market. Many highlighted </w:t>
      </w:r>
      <w:r w:rsidR="006F6701" w:rsidRPr="003C0D71">
        <w:rPr>
          <w:rFonts w:ascii="Times New Roman" w:eastAsia="Calibri" w:hAnsi="Times New Roman" w:cs="Times New Roman"/>
          <w:noProof/>
        </w:rPr>
        <w:t xml:space="preserve">that </w:t>
      </w:r>
      <w:r w:rsidRPr="00354F72">
        <w:rPr>
          <w:rFonts w:ascii="Times New Roman" w:eastAsia="Calibri" w:hAnsi="Times New Roman" w:cs="Times New Roman"/>
          <w:noProof/>
        </w:rPr>
        <w:t xml:space="preserve">SSPEs are already subject to authorisation and supervision by the </w:t>
      </w:r>
      <w:r w:rsidR="007322D8" w:rsidRPr="00354F72">
        <w:rPr>
          <w:rFonts w:ascii="Times New Roman" w:eastAsia="Calibri" w:hAnsi="Times New Roman" w:cs="Times New Roman"/>
          <w:noProof/>
        </w:rPr>
        <w:t xml:space="preserve">relevant </w:t>
      </w:r>
      <w:r w:rsidR="00BE4D79" w:rsidRPr="00354F72">
        <w:rPr>
          <w:rFonts w:ascii="Times New Roman" w:eastAsia="Calibri" w:hAnsi="Times New Roman" w:cs="Times New Roman"/>
          <w:noProof/>
        </w:rPr>
        <w:t>c</w:t>
      </w:r>
      <w:r w:rsidRPr="00354F72">
        <w:rPr>
          <w:rFonts w:ascii="Times New Roman" w:eastAsia="Calibri" w:hAnsi="Times New Roman" w:cs="Times New Roman"/>
          <w:noProof/>
        </w:rPr>
        <w:t xml:space="preserve">ompetent </w:t>
      </w:r>
      <w:r w:rsidR="007322D8" w:rsidRPr="00354F72">
        <w:rPr>
          <w:rFonts w:ascii="Times New Roman" w:eastAsia="Calibri" w:hAnsi="Times New Roman" w:cs="Times New Roman"/>
          <w:noProof/>
        </w:rPr>
        <w:t>a</w:t>
      </w:r>
      <w:r w:rsidRPr="00354F72">
        <w:rPr>
          <w:rFonts w:ascii="Times New Roman" w:eastAsia="Calibri" w:hAnsi="Times New Roman" w:cs="Times New Roman"/>
          <w:noProof/>
        </w:rPr>
        <w:t>uthority, which allow</w:t>
      </w:r>
      <w:r w:rsidR="00354F72">
        <w:rPr>
          <w:rFonts w:ascii="Times New Roman" w:eastAsia="Calibri" w:hAnsi="Times New Roman" w:cs="Times New Roman"/>
          <w:noProof/>
        </w:rPr>
        <w:t>s</w:t>
      </w:r>
      <w:r w:rsidRPr="00354F72">
        <w:rPr>
          <w:rFonts w:ascii="Times New Roman" w:eastAsia="Calibri" w:hAnsi="Times New Roman" w:cs="Times New Roman"/>
          <w:noProof/>
        </w:rPr>
        <w:t xml:space="preserve"> for their</w:t>
      </w:r>
      <w:r w:rsidRPr="003C0D71">
        <w:rPr>
          <w:rFonts w:ascii="Times New Roman" w:eastAsia="Calibri" w:hAnsi="Times New Roman" w:cs="Times New Roman"/>
          <w:noProof/>
        </w:rPr>
        <w:t xml:space="preserve"> adequate supervision and the proper monitoring of risks.</w:t>
      </w:r>
      <w:r w:rsidRPr="003C0D71">
        <w:rPr>
          <w:rFonts w:ascii="Times New Roman" w:eastAsia="Calibri" w:hAnsi="Times New Roman" w:cs="Times New Roman"/>
          <w:b/>
          <w:bCs/>
          <w:noProof/>
          <w:sz w:val="28"/>
          <w:szCs w:val="28"/>
        </w:rPr>
        <w:t xml:space="preserve"> </w:t>
      </w:r>
    </w:p>
    <w:p w14:paraId="541A14D3" w14:textId="4CB883F4" w:rsidR="73F03011" w:rsidRDefault="2603B6C4" w:rsidP="002952F9">
      <w:pPr>
        <w:jc w:val="both"/>
        <w:rPr>
          <w:rFonts w:ascii="Times New Roman" w:eastAsia="Calibri" w:hAnsi="Times New Roman" w:cs="Times New Roman"/>
          <w:noProof/>
        </w:rPr>
      </w:pPr>
      <w:r w:rsidRPr="003C0D71">
        <w:rPr>
          <w:rFonts w:ascii="Times New Roman" w:eastAsia="Calibri" w:hAnsi="Times New Roman" w:cs="Times New Roman"/>
          <w:noProof/>
        </w:rPr>
        <w:t>A system of limited</w:t>
      </w:r>
      <w:r w:rsidR="00D80814">
        <w:rPr>
          <w:rFonts w:ascii="Times New Roman" w:eastAsia="Calibri" w:hAnsi="Times New Roman" w:cs="Times New Roman"/>
          <w:noProof/>
        </w:rPr>
        <w:t>-</w:t>
      </w:r>
      <w:r w:rsidRPr="003C0D71">
        <w:rPr>
          <w:rFonts w:ascii="Times New Roman" w:eastAsia="Calibri" w:hAnsi="Times New Roman" w:cs="Times New Roman"/>
          <w:noProof/>
        </w:rPr>
        <w:t>licen</w:t>
      </w:r>
      <w:r w:rsidR="00D80814">
        <w:rPr>
          <w:rFonts w:ascii="Times New Roman" w:eastAsia="Calibri" w:hAnsi="Times New Roman" w:cs="Times New Roman"/>
          <w:noProof/>
        </w:rPr>
        <w:t>c</w:t>
      </w:r>
      <w:r w:rsidRPr="003C0D71">
        <w:rPr>
          <w:rFonts w:ascii="Times New Roman" w:eastAsia="Calibri" w:hAnsi="Times New Roman" w:cs="Times New Roman"/>
          <w:noProof/>
        </w:rPr>
        <w:t>e</w:t>
      </w:r>
      <w:r w:rsidR="00D80814">
        <w:rPr>
          <w:rFonts w:ascii="Times New Roman" w:eastAsia="Calibri" w:hAnsi="Times New Roman" w:cs="Times New Roman"/>
          <w:noProof/>
        </w:rPr>
        <w:t xml:space="preserve"> </w:t>
      </w:r>
      <w:r w:rsidRPr="003C0D71">
        <w:rPr>
          <w:rFonts w:ascii="Times New Roman" w:eastAsia="Calibri" w:hAnsi="Times New Roman" w:cs="Times New Roman"/>
          <w:noProof/>
        </w:rPr>
        <w:t xml:space="preserve">banks </w:t>
      </w:r>
      <w:r w:rsidR="00465D44">
        <w:rPr>
          <w:rFonts w:ascii="Times New Roman" w:eastAsia="Calibri" w:hAnsi="Times New Roman" w:cs="Times New Roman"/>
          <w:noProof/>
        </w:rPr>
        <w:t>was</w:t>
      </w:r>
      <w:r w:rsidR="00465D44" w:rsidRPr="003C0D71">
        <w:rPr>
          <w:rFonts w:ascii="Times New Roman" w:eastAsia="Calibri" w:hAnsi="Times New Roman" w:cs="Times New Roman"/>
          <w:noProof/>
        </w:rPr>
        <w:t xml:space="preserve"> </w:t>
      </w:r>
      <w:r w:rsidR="00BE4D79" w:rsidRPr="003C0D71">
        <w:rPr>
          <w:rFonts w:ascii="Times New Roman" w:eastAsia="Calibri" w:hAnsi="Times New Roman" w:cs="Times New Roman"/>
          <w:noProof/>
        </w:rPr>
        <w:t>seen as</w:t>
      </w:r>
      <w:r w:rsidRPr="003C0D71">
        <w:rPr>
          <w:rFonts w:ascii="Times New Roman" w:eastAsia="Calibri" w:hAnsi="Times New Roman" w:cs="Times New Roman"/>
          <w:noProof/>
        </w:rPr>
        <w:t xml:space="preserve"> detrimental to the independence of SSPEs as such, with </w:t>
      </w:r>
      <w:r w:rsidRPr="00911145">
        <w:rPr>
          <w:rFonts w:ascii="Times New Roman" w:eastAsia="Calibri" w:hAnsi="Times New Roman" w:cs="Times New Roman"/>
          <w:noProof/>
        </w:rPr>
        <w:t>eventually</w:t>
      </w:r>
      <w:r w:rsidRPr="003C0D71">
        <w:rPr>
          <w:rFonts w:ascii="Times New Roman" w:eastAsia="Calibri" w:hAnsi="Times New Roman" w:cs="Times New Roman"/>
          <w:noProof/>
        </w:rPr>
        <w:t xml:space="preserve"> more actors managing the securitisation funds in a separate entity that belong</w:t>
      </w:r>
      <w:r w:rsidR="00C82639">
        <w:rPr>
          <w:rFonts w:ascii="Times New Roman" w:eastAsia="Calibri" w:hAnsi="Times New Roman" w:cs="Times New Roman"/>
          <w:noProof/>
        </w:rPr>
        <w:t>s</w:t>
      </w:r>
      <w:r w:rsidRPr="003C0D71">
        <w:rPr>
          <w:rFonts w:ascii="Times New Roman" w:eastAsia="Calibri" w:hAnsi="Times New Roman" w:cs="Times New Roman"/>
          <w:noProof/>
        </w:rPr>
        <w:t xml:space="preserve"> to the same consolidated group</w:t>
      </w:r>
      <w:r w:rsidR="00C82639">
        <w:rPr>
          <w:rFonts w:ascii="Times New Roman" w:eastAsia="Calibri" w:hAnsi="Times New Roman" w:cs="Times New Roman"/>
          <w:noProof/>
        </w:rPr>
        <w:t>.</w:t>
      </w:r>
      <w:r w:rsidRPr="003C0D71">
        <w:rPr>
          <w:rFonts w:ascii="Times New Roman" w:eastAsia="Calibri" w:hAnsi="Times New Roman" w:cs="Times New Roman"/>
          <w:noProof/>
        </w:rPr>
        <w:t xml:space="preserve"> </w:t>
      </w:r>
      <w:r w:rsidR="00C82639">
        <w:rPr>
          <w:rFonts w:ascii="Times New Roman" w:eastAsia="Calibri" w:hAnsi="Times New Roman" w:cs="Times New Roman"/>
          <w:noProof/>
        </w:rPr>
        <w:t>Instead,</w:t>
      </w:r>
      <w:r w:rsidR="00C82639" w:rsidRPr="003C0D71">
        <w:rPr>
          <w:rFonts w:ascii="Times New Roman" w:eastAsia="Calibri" w:hAnsi="Times New Roman" w:cs="Times New Roman"/>
          <w:noProof/>
        </w:rPr>
        <w:t xml:space="preserve"> </w:t>
      </w:r>
      <w:r w:rsidRPr="003C0D71">
        <w:rPr>
          <w:rFonts w:ascii="Times New Roman" w:eastAsia="Calibri" w:hAnsi="Times New Roman" w:cs="Times New Roman"/>
          <w:noProof/>
        </w:rPr>
        <w:t xml:space="preserve">the priority should be to ensure independence </w:t>
      </w:r>
      <w:r w:rsidRPr="00911145">
        <w:rPr>
          <w:rFonts w:ascii="Times New Roman" w:eastAsia="Calibri" w:hAnsi="Times New Roman" w:cs="Times New Roman"/>
          <w:noProof/>
        </w:rPr>
        <w:t>in control, management</w:t>
      </w:r>
      <w:r w:rsidRPr="003C0D71">
        <w:rPr>
          <w:rFonts w:ascii="Times New Roman" w:eastAsia="Calibri" w:hAnsi="Times New Roman" w:cs="Times New Roman"/>
          <w:noProof/>
        </w:rPr>
        <w:t xml:space="preserve"> and reporting of the securitisation transaction </w:t>
      </w:r>
      <w:r w:rsidRPr="00911145">
        <w:rPr>
          <w:rFonts w:ascii="Times New Roman" w:eastAsia="Calibri" w:hAnsi="Times New Roman" w:cs="Times New Roman"/>
          <w:noProof/>
        </w:rPr>
        <w:t>vis-à-vis</w:t>
      </w:r>
      <w:r w:rsidRPr="003C0D71">
        <w:rPr>
          <w:rFonts w:ascii="Times New Roman" w:eastAsia="Calibri" w:hAnsi="Times New Roman" w:cs="Times New Roman"/>
          <w:noProof/>
        </w:rPr>
        <w:t xml:space="preserve"> initiators, sponsors and investors.</w:t>
      </w:r>
      <w:r w:rsidR="002952F9" w:rsidRPr="003C0D71">
        <w:rPr>
          <w:rFonts w:ascii="Times New Roman" w:eastAsia="Calibri" w:hAnsi="Times New Roman" w:cs="Times New Roman"/>
          <w:noProof/>
        </w:rPr>
        <w:t xml:space="preserve"> </w:t>
      </w:r>
      <w:r w:rsidR="00A91181" w:rsidRPr="003C0D71">
        <w:rPr>
          <w:rFonts w:ascii="Times New Roman" w:eastAsia="Calibri" w:hAnsi="Times New Roman" w:cs="Times New Roman"/>
          <w:noProof/>
        </w:rPr>
        <w:t>In addition, r</w:t>
      </w:r>
      <w:r w:rsidRPr="003C0D71">
        <w:rPr>
          <w:rFonts w:ascii="Times New Roman" w:eastAsia="Calibri" w:hAnsi="Times New Roman" w:cs="Times New Roman"/>
          <w:noProof/>
        </w:rPr>
        <w:t xml:space="preserve">espondents </w:t>
      </w:r>
      <w:r w:rsidR="00465D44">
        <w:rPr>
          <w:rFonts w:ascii="Times New Roman" w:eastAsia="Calibri" w:hAnsi="Times New Roman" w:cs="Times New Roman"/>
          <w:noProof/>
        </w:rPr>
        <w:t>noted</w:t>
      </w:r>
      <w:r w:rsidR="00465D44" w:rsidRPr="003C0D71">
        <w:rPr>
          <w:rFonts w:ascii="Times New Roman" w:eastAsia="Calibri" w:hAnsi="Times New Roman" w:cs="Times New Roman"/>
          <w:noProof/>
        </w:rPr>
        <w:t xml:space="preserve"> </w:t>
      </w:r>
      <w:r w:rsidRPr="003C0D71">
        <w:rPr>
          <w:rFonts w:ascii="Times New Roman" w:eastAsia="Calibri" w:hAnsi="Times New Roman" w:cs="Times New Roman"/>
          <w:noProof/>
        </w:rPr>
        <w:t>potential risks arising from a system of limited</w:t>
      </w:r>
      <w:r w:rsidR="007454D5">
        <w:rPr>
          <w:rFonts w:ascii="Times New Roman" w:eastAsia="Calibri" w:hAnsi="Times New Roman" w:cs="Times New Roman"/>
          <w:noProof/>
        </w:rPr>
        <w:t>-</w:t>
      </w:r>
      <w:r w:rsidRPr="003C0D71">
        <w:rPr>
          <w:rFonts w:ascii="Times New Roman" w:eastAsia="Calibri" w:hAnsi="Times New Roman" w:cs="Times New Roman"/>
          <w:noProof/>
        </w:rPr>
        <w:t>licen</w:t>
      </w:r>
      <w:r w:rsidR="007454D5">
        <w:rPr>
          <w:rFonts w:ascii="Times New Roman" w:eastAsia="Calibri" w:hAnsi="Times New Roman" w:cs="Times New Roman"/>
          <w:noProof/>
        </w:rPr>
        <w:t>ce</w:t>
      </w:r>
      <w:r w:rsidR="008837DC" w:rsidRPr="003C0D71">
        <w:rPr>
          <w:rFonts w:ascii="Times New Roman" w:eastAsia="Calibri" w:hAnsi="Times New Roman" w:cs="Times New Roman"/>
          <w:noProof/>
        </w:rPr>
        <w:t xml:space="preserve"> </w:t>
      </w:r>
      <w:r w:rsidRPr="003C0D71">
        <w:rPr>
          <w:rFonts w:ascii="Times New Roman" w:eastAsia="Calibri" w:hAnsi="Times New Roman" w:cs="Times New Roman"/>
          <w:noProof/>
        </w:rPr>
        <w:t xml:space="preserve">banks. They cautioned that this would lead to a higher concentration of risks. </w:t>
      </w:r>
      <w:r w:rsidR="00465D44">
        <w:rPr>
          <w:rFonts w:ascii="Times New Roman" w:eastAsia="Calibri" w:hAnsi="Times New Roman" w:cs="Times New Roman"/>
          <w:noProof/>
        </w:rPr>
        <w:t>T</w:t>
      </w:r>
      <w:r w:rsidRPr="003C0D71">
        <w:rPr>
          <w:rFonts w:ascii="Times New Roman" w:eastAsia="Calibri" w:hAnsi="Times New Roman" w:cs="Times New Roman"/>
          <w:noProof/>
        </w:rPr>
        <w:t>hese dynamics would go against the very logic of risk diversification and reduction that underpin the securitisation market.</w:t>
      </w:r>
    </w:p>
    <w:p w14:paraId="079DCE67" w14:textId="0DC689C9" w:rsidR="73F03011" w:rsidRPr="003C0D71" w:rsidRDefault="000146AB" w:rsidP="000D4664">
      <w:pPr>
        <w:rPr>
          <w:rFonts w:ascii="Times New Roman" w:hAnsi="Times New Roman" w:cs="Times New Roman"/>
          <w:b/>
          <w:noProof/>
          <w:sz w:val="24"/>
        </w:rPr>
      </w:pPr>
      <w:r>
        <w:rPr>
          <w:rFonts w:ascii="Times New Roman" w:hAnsi="Times New Roman" w:cs="Times New Roman"/>
          <w:b/>
          <w:noProof/>
          <w:sz w:val="24"/>
        </w:rPr>
        <w:t>The Commission’s assessment</w:t>
      </w:r>
    </w:p>
    <w:p w14:paraId="4C040089" w14:textId="035DB4DD" w:rsidR="73F03011" w:rsidRPr="003C0D71" w:rsidRDefault="00325A76" w:rsidP="009800AD">
      <w:pPr>
        <w:jc w:val="both"/>
        <w:rPr>
          <w:rFonts w:ascii="Times New Roman" w:eastAsia="Calibri" w:hAnsi="Times New Roman" w:cs="Times New Roman"/>
          <w:noProof/>
        </w:rPr>
      </w:pPr>
      <w:r w:rsidRPr="003C0D71">
        <w:rPr>
          <w:rFonts w:ascii="Times New Roman" w:eastAsia="Calibri" w:hAnsi="Times New Roman" w:cs="Times New Roman"/>
          <w:noProof/>
        </w:rPr>
        <w:t xml:space="preserve">The </w:t>
      </w:r>
      <w:r w:rsidR="2603B6C4" w:rsidRPr="003C0D71">
        <w:rPr>
          <w:rFonts w:ascii="Times New Roman" w:eastAsia="Calibri" w:hAnsi="Times New Roman" w:cs="Times New Roman"/>
          <w:noProof/>
        </w:rPr>
        <w:t xml:space="preserve">Commission </w:t>
      </w:r>
      <w:r w:rsidR="00465D44">
        <w:rPr>
          <w:rFonts w:ascii="Times New Roman" w:eastAsia="Calibri" w:hAnsi="Times New Roman" w:cs="Times New Roman"/>
          <w:noProof/>
        </w:rPr>
        <w:t>considers that the</w:t>
      </w:r>
      <w:r w:rsidR="00BD4356" w:rsidRPr="003C0D71">
        <w:rPr>
          <w:rFonts w:ascii="Times New Roman" w:eastAsia="Calibri" w:hAnsi="Times New Roman" w:cs="Times New Roman"/>
          <w:noProof/>
        </w:rPr>
        <w:t xml:space="preserve"> current framework is working in a</w:t>
      </w:r>
      <w:r w:rsidR="008A6AF7" w:rsidRPr="003C0D71">
        <w:rPr>
          <w:rFonts w:ascii="Times New Roman" w:eastAsia="Calibri" w:hAnsi="Times New Roman" w:cs="Times New Roman"/>
          <w:noProof/>
        </w:rPr>
        <w:t>n a</w:t>
      </w:r>
      <w:r w:rsidR="00BD4356" w:rsidRPr="003C0D71">
        <w:rPr>
          <w:rFonts w:ascii="Times New Roman" w:eastAsia="Calibri" w:hAnsi="Times New Roman" w:cs="Times New Roman"/>
          <w:noProof/>
        </w:rPr>
        <w:t xml:space="preserve">dequate manner </w:t>
      </w:r>
      <w:r w:rsidR="00465D44">
        <w:rPr>
          <w:rFonts w:ascii="Times New Roman" w:eastAsia="Calibri" w:hAnsi="Times New Roman" w:cs="Times New Roman"/>
          <w:noProof/>
        </w:rPr>
        <w:t>as</w:t>
      </w:r>
      <w:r w:rsidR="00465D44" w:rsidRPr="003C0D71">
        <w:rPr>
          <w:rFonts w:ascii="Times New Roman" w:eastAsia="Calibri" w:hAnsi="Times New Roman" w:cs="Times New Roman"/>
          <w:noProof/>
        </w:rPr>
        <w:t xml:space="preserve"> </w:t>
      </w:r>
      <w:r w:rsidR="00BD4356" w:rsidRPr="003C0D71">
        <w:rPr>
          <w:rFonts w:ascii="Times New Roman" w:eastAsia="Calibri" w:hAnsi="Times New Roman" w:cs="Times New Roman"/>
          <w:noProof/>
        </w:rPr>
        <w:t xml:space="preserve">no shortcomings or issues to address </w:t>
      </w:r>
      <w:r w:rsidR="009800AD" w:rsidRPr="006177AD">
        <w:rPr>
          <w:rFonts w:ascii="Times New Roman" w:eastAsia="Calibri" w:hAnsi="Times New Roman" w:cs="Times New Roman"/>
          <w:noProof/>
        </w:rPr>
        <w:t>with regard to</w:t>
      </w:r>
      <w:r w:rsidR="009800AD" w:rsidRPr="003C0D71">
        <w:rPr>
          <w:rFonts w:ascii="Times New Roman" w:eastAsia="Calibri" w:hAnsi="Times New Roman" w:cs="Times New Roman"/>
          <w:noProof/>
        </w:rPr>
        <w:t xml:space="preserve"> </w:t>
      </w:r>
      <w:r w:rsidR="007322D8" w:rsidRPr="003C0D71">
        <w:rPr>
          <w:rFonts w:ascii="Times New Roman" w:eastAsia="Calibri" w:hAnsi="Times New Roman" w:cs="Times New Roman"/>
          <w:noProof/>
        </w:rPr>
        <w:t>SSPEs</w:t>
      </w:r>
      <w:r w:rsidR="00BD4356" w:rsidRPr="003C0D71">
        <w:rPr>
          <w:rFonts w:ascii="Times New Roman" w:eastAsia="Calibri" w:hAnsi="Times New Roman" w:cs="Times New Roman"/>
          <w:noProof/>
        </w:rPr>
        <w:t xml:space="preserve"> have been identified. In light of this, there is no need to complement the framework by establishing a system of limited</w:t>
      </w:r>
      <w:r w:rsidR="007454D5">
        <w:rPr>
          <w:rFonts w:ascii="Times New Roman" w:eastAsia="Calibri" w:hAnsi="Times New Roman" w:cs="Times New Roman"/>
          <w:noProof/>
        </w:rPr>
        <w:t>-</w:t>
      </w:r>
      <w:r w:rsidR="00BD4356" w:rsidRPr="003C0D71">
        <w:rPr>
          <w:rFonts w:ascii="Times New Roman" w:eastAsia="Calibri" w:hAnsi="Times New Roman" w:cs="Times New Roman"/>
          <w:noProof/>
        </w:rPr>
        <w:t>licen</w:t>
      </w:r>
      <w:r w:rsidR="007454D5">
        <w:rPr>
          <w:rFonts w:ascii="Times New Roman" w:eastAsia="Calibri" w:hAnsi="Times New Roman" w:cs="Times New Roman"/>
          <w:noProof/>
        </w:rPr>
        <w:t>ce</w:t>
      </w:r>
      <w:r w:rsidR="008C1DC4">
        <w:rPr>
          <w:rFonts w:ascii="Times New Roman" w:eastAsia="Calibri" w:hAnsi="Times New Roman" w:cs="Times New Roman"/>
          <w:noProof/>
        </w:rPr>
        <w:t>d</w:t>
      </w:r>
      <w:r w:rsidR="008837DC" w:rsidRPr="003C0D71">
        <w:rPr>
          <w:rFonts w:ascii="Times New Roman" w:eastAsia="Calibri" w:hAnsi="Times New Roman" w:cs="Times New Roman"/>
          <w:noProof/>
        </w:rPr>
        <w:t xml:space="preserve"> </w:t>
      </w:r>
      <w:r w:rsidR="00BD4356" w:rsidRPr="003C0D71">
        <w:rPr>
          <w:rFonts w:ascii="Times New Roman" w:eastAsia="Calibri" w:hAnsi="Times New Roman" w:cs="Times New Roman"/>
          <w:noProof/>
        </w:rPr>
        <w:t xml:space="preserve">banks </w:t>
      </w:r>
      <w:r w:rsidR="00151702">
        <w:rPr>
          <w:rFonts w:ascii="Times New Roman" w:eastAsia="Calibri" w:hAnsi="Times New Roman" w:cs="Times New Roman"/>
          <w:noProof/>
        </w:rPr>
        <w:t>that</w:t>
      </w:r>
      <w:r w:rsidR="00151702" w:rsidRPr="003C0D71">
        <w:rPr>
          <w:rFonts w:ascii="Times New Roman" w:eastAsia="Calibri" w:hAnsi="Times New Roman" w:cs="Times New Roman"/>
          <w:noProof/>
        </w:rPr>
        <w:t xml:space="preserve"> </w:t>
      </w:r>
      <w:r w:rsidR="00151702">
        <w:rPr>
          <w:rFonts w:ascii="Times New Roman" w:eastAsia="Calibri" w:hAnsi="Times New Roman" w:cs="Times New Roman"/>
          <w:noProof/>
        </w:rPr>
        <w:t>would</w:t>
      </w:r>
      <w:r w:rsidR="00151702" w:rsidRPr="003C0D71">
        <w:rPr>
          <w:rFonts w:ascii="Times New Roman" w:eastAsia="Calibri" w:hAnsi="Times New Roman" w:cs="Times New Roman"/>
          <w:noProof/>
        </w:rPr>
        <w:t xml:space="preserve"> </w:t>
      </w:r>
      <w:r w:rsidR="00BD4356" w:rsidRPr="003C0D71">
        <w:rPr>
          <w:rFonts w:ascii="Times New Roman" w:eastAsia="Calibri" w:hAnsi="Times New Roman" w:cs="Times New Roman"/>
          <w:noProof/>
        </w:rPr>
        <w:t>perform the functions of SSPEs and hav</w:t>
      </w:r>
      <w:r w:rsidR="008837DC" w:rsidRPr="003C0D71">
        <w:rPr>
          <w:rFonts w:ascii="Times New Roman" w:eastAsia="Calibri" w:hAnsi="Times New Roman" w:cs="Times New Roman"/>
          <w:noProof/>
        </w:rPr>
        <w:t>e</w:t>
      </w:r>
      <w:r w:rsidR="00BD4356" w:rsidRPr="003C0D71">
        <w:rPr>
          <w:rFonts w:ascii="Times New Roman" w:eastAsia="Calibri" w:hAnsi="Times New Roman" w:cs="Times New Roman"/>
          <w:noProof/>
        </w:rPr>
        <w:t xml:space="preserve"> the exclusive right to purchase exposures from originators and sell claims backed by the purchased exposures to investors</w:t>
      </w:r>
      <w:r w:rsidR="2603B6C4" w:rsidRPr="003C0D71">
        <w:rPr>
          <w:rFonts w:ascii="Times New Roman" w:eastAsia="Calibri" w:hAnsi="Times New Roman" w:cs="Times New Roman"/>
          <w:noProof/>
        </w:rPr>
        <w:t xml:space="preserve">. </w:t>
      </w:r>
    </w:p>
    <w:p w14:paraId="50956DAC" w14:textId="77777777" w:rsidR="009E344D" w:rsidRPr="003C0D71" w:rsidRDefault="00664673" w:rsidP="00354F72">
      <w:pPr>
        <w:pStyle w:val="ListParagraph"/>
        <w:keepNext/>
        <w:keepLines/>
        <w:numPr>
          <w:ilvl w:val="0"/>
          <w:numId w:val="33"/>
        </w:numPr>
        <w:spacing w:before="240"/>
        <w:outlineLvl w:val="0"/>
        <w:rPr>
          <w:rFonts w:ascii="Times New Roman" w:eastAsia="Times New Roman" w:hAnsi="Times New Roman" w:cs="Times New Roman"/>
          <w:noProof/>
          <w:sz w:val="32"/>
          <w:szCs w:val="32"/>
        </w:rPr>
      </w:pPr>
      <w:r w:rsidRPr="003C0D71">
        <w:rPr>
          <w:rFonts w:ascii="Times New Roman" w:eastAsia="Times New Roman" w:hAnsi="Times New Roman" w:cs="Times New Roman"/>
          <w:noProof/>
          <w:sz w:val="32"/>
          <w:szCs w:val="32"/>
        </w:rPr>
        <w:t xml:space="preserve">  </w:t>
      </w:r>
      <w:bookmarkStart w:id="57" w:name="_Toc104283074"/>
      <w:bookmarkStart w:id="58" w:name="_Toc104286142"/>
      <w:bookmarkStart w:id="59" w:name="_Toc104297347"/>
      <w:bookmarkStart w:id="60" w:name="_Toc115346216"/>
      <w:r w:rsidR="009E344D" w:rsidRPr="003C0D71">
        <w:rPr>
          <w:rFonts w:ascii="Times New Roman" w:eastAsia="Times New Roman" w:hAnsi="Times New Roman" w:cs="Times New Roman"/>
          <w:noProof/>
          <w:sz w:val="32"/>
          <w:szCs w:val="32"/>
        </w:rPr>
        <w:t>Jurisdictional scope</w:t>
      </w:r>
      <w:bookmarkEnd w:id="57"/>
      <w:bookmarkEnd w:id="58"/>
      <w:bookmarkEnd w:id="59"/>
      <w:bookmarkEnd w:id="60"/>
    </w:p>
    <w:p w14:paraId="0F9D3A87" w14:textId="4E0826AE" w:rsidR="009E344D" w:rsidRPr="003C0D71" w:rsidRDefault="009E344D" w:rsidP="009E344D">
      <w:pPr>
        <w:jc w:val="both"/>
        <w:rPr>
          <w:rFonts w:ascii="Times New Roman" w:eastAsia="Calibri" w:hAnsi="Times New Roman" w:cs="Times New Roman"/>
          <w:noProof/>
        </w:rPr>
      </w:pPr>
      <w:r w:rsidRPr="003C0D71">
        <w:rPr>
          <w:rFonts w:ascii="Times New Roman" w:eastAsia="Calibri" w:hAnsi="Times New Roman" w:cs="Times New Roman"/>
          <w:noProof/>
        </w:rPr>
        <w:t xml:space="preserve">The Securitisation Regulation is </w:t>
      </w:r>
      <w:r w:rsidR="008837DC" w:rsidRPr="003C0D71">
        <w:rPr>
          <w:rFonts w:ascii="Times New Roman" w:eastAsia="Calibri" w:hAnsi="Times New Roman" w:cs="Times New Roman"/>
          <w:noProof/>
        </w:rPr>
        <w:t xml:space="preserve">predominantly </w:t>
      </w:r>
      <w:r w:rsidRPr="003C0D71">
        <w:rPr>
          <w:rFonts w:ascii="Times New Roman" w:eastAsia="Calibri" w:hAnsi="Times New Roman" w:cs="Times New Roman"/>
          <w:noProof/>
        </w:rPr>
        <w:t xml:space="preserve">an activity-based regulation, not a </w:t>
      </w:r>
      <w:r w:rsidR="008837DC" w:rsidRPr="003C0D71">
        <w:rPr>
          <w:rFonts w:ascii="Times New Roman" w:eastAsia="Calibri" w:hAnsi="Times New Roman" w:cs="Times New Roman"/>
          <w:noProof/>
        </w:rPr>
        <w:t xml:space="preserve">pure </w:t>
      </w:r>
      <w:r w:rsidRPr="003C0D71">
        <w:rPr>
          <w:rFonts w:ascii="Times New Roman" w:eastAsia="Calibri" w:hAnsi="Times New Roman" w:cs="Times New Roman"/>
          <w:noProof/>
        </w:rPr>
        <w:t xml:space="preserve">product regulation. It mainly imposes obligations on </w:t>
      </w:r>
      <w:r w:rsidRPr="006177AD">
        <w:rPr>
          <w:rFonts w:ascii="Times New Roman" w:eastAsia="Calibri" w:hAnsi="Times New Roman" w:cs="Times New Roman"/>
          <w:noProof/>
        </w:rPr>
        <w:t>the sell</w:t>
      </w:r>
      <w:r w:rsidR="005F5D7D">
        <w:rPr>
          <w:rFonts w:ascii="Times New Roman" w:eastAsia="Calibri" w:hAnsi="Times New Roman" w:cs="Times New Roman"/>
          <w:noProof/>
        </w:rPr>
        <w:t>-</w:t>
      </w:r>
      <w:r w:rsidRPr="006177AD">
        <w:rPr>
          <w:rFonts w:ascii="Times New Roman" w:eastAsia="Calibri" w:hAnsi="Times New Roman" w:cs="Times New Roman"/>
          <w:noProof/>
        </w:rPr>
        <w:t>side</w:t>
      </w:r>
      <w:r w:rsidRPr="003C0D71">
        <w:rPr>
          <w:rFonts w:ascii="Times New Roman" w:eastAsia="Calibri" w:hAnsi="Times New Roman" w:cs="Times New Roman"/>
          <w:noProof/>
        </w:rPr>
        <w:t xml:space="preserve"> (originator, original lender, sponsor and SSPE) and the buy</w:t>
      </w:r>
      <w:r w:rsidR="005F5D7D">
        <w:rPr>
          <w:rFonts w:ascii="Times New Roman" w:eastAsia="Calibri" w:hAnsi="Times New Roman" w:cs="Times New Roman"/>
          <w:noProof/>
        </w:rPr>
        <w:t>-</w:t>
      </w:r>
      <w:r w:rsidRPr="003C0D71">
        <w:rPr>
          <w:rFonts w:ascii="Times New Roman" w:eastAsia="Calibri" w:hAnsi="Times New Roman" w:cs="Times New Roman"/>
          <w:noProof/>
        </w:rPr>
        <w:t>side (</w:t>
      </w:r>
      <w:r w:rsidR="00130B54">
        <w:rPr>
          <w:rFonts w:ascii="Times New Roman" w:eastAsia="Calibri" w:hAnsi="Times New Roman" w:cs="Times New Roman"/>
          <w:noProof/>
        </w:rPr>
        <w:t xml:space="preserve">institutional </w:t>
      </w:r>
      <w:r w:rsidRPr="003C0D71">
        <w:rPr>
          <w:rFonts w:ascii="Times New Roman" w:eastAsia="Calibri" w:hAnsi="Times New Roman" w:cs="Times New Roman"/>
          <w:noProof/>
        </w:rPr>
        <w:t xml:space="preserve">investor) involved in securitisation. </w:t>
      </w:r>
      <w:r w:rsidR="006009D6" w:rsidRPr="003C0D71">
        <w:rPr>
          <w:rFonts w:ascii="Times New Roman" w:eastAsia="Calibri" w:hAnsi="Times New Roman" w:cs="Times New Roman"/>
          <w:noProof/>
        </w:rPr>
        <w:t>T</w:t>
      </w:r>
      <w:r w:rsidRPr="003C0D71">
        <w:rPr>
          <w:rFonts w:ascii="Times New Roman" w:eastAsia="Calibri" w:hAnsi="Times New Roman" w:cs="Times New Roman"/>
          <w:noProof/>
        </w:rPr>
        <w:t xml:space="preserve">he Securitisation Regulation does not </w:t>
      </w:r>
      <w:r w:rsidR="006009D6" w:rsidRPr="003C0D71">
        <w:rPr>
          <w:rFonts w:ascii="Times New Roman" w:eastAsia="Calibri" w:hAnsi="Times New Roman" w:cs="Times New Roman"/>
          <w:noProof/>
        </w:rPr>
        <w:t xml:space="preserve">distinguish </w:t>
      </w:r>
      <w:r w:rsidRPr="003C0D71">
        <w:rPr>
          <w:rFonts w:ascii="Times New Roman" w:eastAsia="Calibri" w:hAnsi="Times New Roman" w:cs="Times New Roman"/>
          <w:noProof/>
        </w:rPr>
        <w:t>EU securitisation</w:t>
      </w:r>
      <w:r w:rsidR="006009D6" w:rsidRPr="003C0D71">
        <w:rPr>
          <w:rFonts w:ascii="Times New Roman" w:eastAsia="Calibri" w:hAnsi="Times New Roman" w:cs="Times New Roman"/>
          <w:noProof/>
        </w:rPr>
        <w:t>s</w:t>
      </w:r>
      <w:r w:rsidRPr="003C0D71">
        <w:rPr>
          <w:rFonts w:ascii="Times New Roman" w:eastAsia="Calibri" w:hAnsi="Times New Roman" w:cs="Times New Roman"/>
          <w:noProof/>
        </w:rPr>
        <w:t xml:space="preserve"> </w:t>
      </w:r>
      <w:r w:rsidR="006009D6" w:rsidRPr="003C0D71">
        <w:rPr>
          <w:rFonts w:ascii="Times New Roman" w:eastAsia="Calibri" w:hAnsi="Times New Roman" w:cs="Times New Roman"/>
          <w:noProof/>
        </w:rPr>
        <w:t>from securitisations</w:t>
      </w:r>
      <w:r w:rsidRPr="003C0D71">
        <w:rPr>
          <w:rFonts w:ascii="Times New Roman" w:eastAsia="Calibri" w:hAnsi="Times New Roman" w:cs="Times New Roman"/>
          <w:noProof/>
        </w:rPr>
        <w:t xml:space="preserve"> in </w:t>
      </w:r>
      <w:r w:rsidR="006009D6" w:rsidRPr="003C0D71">
        <w:rPr>
          <w:rFonts w:ascii="Times New Roman" w:eastAsia="Calibri" w:hAnsi="Times New Roman" w:cs="Times New Roman"/>
          <w:noProof/>
        </w:rPr>
        <w:t xml:space="preserve">which one of the parties is established in </w:t>
      </w:r>
      <w:r w:rsidRPr="003C0D71">
        <w:rPr>
          <w:rFonts w:ascii="Times New Roman" w:eastAsia="Calibri" w:hAnsi="Times New Roman" w:cs="Times New Roman"/>
          <w:noProof/>
        </w:rPr>
        <w:t xml:space="preserve">a </w:t>
      </w:r>
      <w:r w:rsidR="008C4E2E" w:rsidRPr="003C0D71">
        <w:rPr>
          <w:rFonts w:ascii="Times New Roman" w:eastAsia="Calibri" w:hAnsi="Times New Roman" w:cs="Times New Roman"/>
          <w:noProof/>
        </w:rPr>
        <w:t>thi</w:t>
      </w:r>
      <w:r w:rsidRPr="003C0D71">
        <w:rPr>
          <w:rFonts w:ascii="Times New Roman" w:eastAsia="Calibri" w:hAnsi="Times New Roman" w:cs="Times New Roman"/>
          <w:noProof/>
        </w:rPr>
        <w:t xml:space="preserve">rd country. </w:t>
      </w:r>
      <w:r w:rsidR="006009D6" w:rsidRPr="003C0D71">
        <w:rPr>
          <w:rFonts w:ascii="Times New Roman" w:eastAsia="Calibri" w:hAnsi="Times New Roman" w:cs="Times New Roman"/>
          <w:noProof/>
        </w:rPr>
        <w:t xml:space="preserve">However, the fact that </w:t>
      </w:r>
      <w:r w:rsidR="0035544E" w:rsidRPr="003C0D71">
        <w:rPr>
          <w:rFonts w:ascii="Times New Roman" w:eastAsia="Calibri" w:hAnsi="Times New Roman" w:cs="Times New Roman"/>
          <w:noProof/>
        </w:rPr>
        <w:t>one or more parties</w:t>
      </w:r>
      <w:r w:rsidR="006009D6" w:rsidRPr="003C0D71">
        <w:rPr>
          <w:rFonts w:ascii="Times New Roman" w:eastAsia="Calibri" w:hAnsi="Times New Roman" w:cs="Times New Roman"/>
          <w:noProof/>
        </w:rPr>
        <w:t xml:space="preserve"> to a transaction </w:t>
      </w:r>
      <w:r w:rsidR="0035544E" w:rsidRPr="003C0D71">
        <w:rPr>
          <w:rFonts w:ascii="Times New Roman" w:eastAsia="Calibri" w:hAnsi="Times New Roman" w:cs="Times New Roman"/>
          <w:noProof/>
        </w:rPr>
        <w:t xml:space="preserve">are </w:t>
      </w:r>
      <w:r w:rsidR="006009D6" w:rsidRPr="003C0D71">
        <w:rPr>
          <w:rFonts w:ascii="Times New Roman" w:eastAsia="Calibri" w:hAnsi="Times New Roman" w:cs="Times New Roman"/>
          <w:noProof/>
        </w:rPr>
        <w:t xml:space="preserve">established in a third </w:t>
      </w:r>
      <w:r w:rsidR="00182FA8">
        <w:rPr>
          <w:rFonts w:ascii="Times New Roman" w:eastAsia="Calibri" w:hAnsi="Times New Roman" w:cs="Times New Roman"/>
          <w:noProof/>
        </w:rPr>
        <w:t>-</w:t>
      </w:r>
      <w:r w:rsidR="00001486" w:rsidRPr="003C0D71">
        <w:rPr>
          <w:rFonts w:ascii="Times New Roman" w:eastAsia="Calibri" w:hAnsi="Times New Roman" w:cs="Times New Roman"/>
          <w:noProof/>
        </w:rPr>
        <w:t xml:space="preserve"> </w:t>
      </w:r>
      <w:r w:rsidR="006009D6" w:rsidRPr="003C0D71">
        <w:rPr>
          <w:rFonts w:ascii="Times New Roman" w:eastAsia="Calibri" w:hAnsi="Times New Roman" w:cs="Times New Roman"/>
          <w:noProof/>
        </w:rPr>
        <w:t>country can</w:t>
      </w:r>
      <w:r w:rsidRPr="003C0D71">
        <w:rPr>
          <w:rFonts w:ascii="Times New Roman" w:eastAsia="Calibri" w:hAnsi="Times New Roman" w:cs="Times New Roman"/>
          <w:noProof/>
        </w:rPr>
        <w:t xml:space="preserve"> raise question</w:t>
      </w:r>
      <w:r w:rsidR="006009D6" w:rsidRPr="003C0D71">
        <w:rPr>
          <w:rFonts w:ascii="Times New Roman" w:eastAsia="Calibri" w:hAnsi="Times New Roman" w:cs="Times New Roman"/>
          <w:noProof/>
        </w:rPr>
        <w:t>s</w:t>
      </w:r>
      <w:r w:rsidRPr="003C0D71">
        <w:rPr>
          <w:rFonts w:ascii="Times New Roman" w:eastAsia="Calibri" w:hAnsi="Times New Roman" w:cs="Times New Roman"/>
          <w:noProof/>
        </w:rPr>
        <w:t xml:space="preserve"> about how the </w:t>
      </w:r>
      <w:r w:rsidR="0035544E" w:rsidRPr="003C0D71">
        <w:rPr>
          <w:rFonts w:ascii="Times New Roman" w:eastAsia="Calibri" w:hAnsi="Times New Roman" w:cs="Times New Roman"/>
          <w:noProof/>
        </w:rPr>
        <w:t xml:space="preserve">requirements </w:t>
      </w:r>
      <w:r w:rsidR="00546B3E" w:rsidRPr="003C0D71">
        <w:rPr>
          <w:rFonts w:ascii="Times New Roman" w:eastAsia="Calibri" w:hAnsi="Times New Roman" w:cs="Times New Roman"/>
          <w:noProof/>
        </w:rPr>
        <w:t xml:space="preserve">of the EU regime </w:t>
      </w:r>
      <w:r w:rsidR="0035544E" w:rsidRPr="003C0D71">
        <w:rPr>
          <w:rFonts w:ascii="Times New Roman" w:eastAsia="Calibri" w:hAnsi="Times New Roman" w:cs="Times New Roman"/>
          <w:noProof/>
        </w:rPr>
        <w:t xml:space="preserve">shall be fulfilled </w:t>
      </w:r>
      <w:r w:rsidR="00151702" w:rsidRPr="003C0D71">
        <w:rPr>
          <w:rFonts w:ascii="Times New Roman" w:eastAsia="Calibri" w:hAnsi="Times New Roman" w:cs="Times New Roman"/>
          <w:noProof/>
        </w:rPr>
        <w:t xml:space="preserve">in practice </w:t>
      </w:r>
      <w:r w:rsidR="0035544E" w:rsidRPr="003C0D71">
        <w:rPr>
          <w:rFonts w:ascii="Times New Roman" w:eastAsia="Calibri" w:hAnsi="Times New Roman" w:cs="Times New Roman"/>
          <w:noProof/>
        </w:rPr>
        <w:t xml:space="preserve">by the </w:t>
      </w:r>
      <w:r w:rsidR="00151702">
        <w:rPr>
          <w:rFonts w:ascii="Times New Roman" w:eastAsia="Calibri" w:hAnsi="Times New Roman" w:cs="Times New Roman"/>
          <w:noProof/>
        </w:rPr>
        <w:t>EU</w:t>
      </w:r>
      <w:r w:rsidR="00151702" w:rsidRPr="003C0D71">
        <w:rPr>
          <w:rFonts w:ascii="Times New Roman" w:eastAsia="Calibri" w:hAnsi="Times New Roman" w:cs="Times New Roman"/>
          <w:noProof/>
        </w:rPr>
        <w:t xml:space="preserve"> </w:t>
      </w:r>
      <w:r w:rsidR="0035544E" w:rsidRPr="003C0D71">
        <w:rPr>
          <w:rFonts w:ascii="Times New Roman" w:eastAsia="Calibri" w:hAnsi="Times New Roman" w:cs="Times New Roman"/>
          <w:noProof/>
        </w:rPr>
        <w:t>parties to the transaction.</w:t>
      </w:r>
      <w:r w:rsidRPr="003C0D71">
        <w:rPr>
          <w:rFonts w:ascii="Times New Roman" w:eastAsia="Calibri" w:hAnsi="Times New Roman" w:cs="Times New Roman"/>
          <w:noProof/>
        </w:rPr>
        <w:t xml:space="preserve"> </w:t>
      </w:r>
    </w:p>
    <w:p w14:paraId="1DDAF4C2" w14:textId="01942E75" w:rsidR="009E344D" w:rsidRPr="003C0D71" w:rsidRDefault="009E344D" w:rsidP="009E344D">
      <w:pPr>
        <w:jc w:val="both"/>
        <w:rPr>
          <w:rFonts w:ascii="Times New Roman" w:eastAsia="Calibri" w:hAnsi="Times New Roman" w:cs="Times New Roman"/>
          <w:noProof/>
        </w:rPr>
      </w:pPr>
      <w:r w:rsidRPr="003C0D71">
        <w:rPr>
          <w:rFonts w:ascii="Times New Roman" w:eastAsia="Calibri" w:hAnsi="Times New Roman" w:cs="Times New Roman"/>
          <w:noProof/>
        </w:rPr>
        <w:t>The J</w:t>
      </w:r>
      <w:r w:rsidR="007322D8" w:rsidRPr="003C0D71">
        <w:rPr>
          <w:rFonts w:ascii="Times New Roman" w:eastAsia="Calibri" w:hAnsi="Times New Roman" w:cs="Times New Roman"/>
          <w:noProof/>
        </w:rPr>
        <w:t xml:space="preserve">oint </w:t>
      </w:r>
      <w:r w:rsidRPr="003C0D71">
        <w:rPr>
          <w:rFonts w:ascii="Times New Roman" w:eastAsia="Calibri" w:hAnsi="Times New Roman" w:cs="Times New Roman"/>
          <w:noProof/>
        </w:rPr>
        <w:t>C</w:t>
      </w:r>
      <w:r w:rsidR="007322D8" w:rsidRPr="003C0D71">
        <w:rPr>
          <w:rFonts w:ascii="Times New Roman" w:eastAsia="Calibri" w:hAnsi="Times New Roman" w:cs="Times New Roman"/>
          <w:noProof/>
        </w:rPr>
        <w:t>ommittee</w:t>
      </w:r>
      <w:r w:rsidRPr="003C0D71">
        <w:rPr>
          <w:rFonts w:ascii="Times New Roman" w:eastAsia="Calibri" w:hAnsi="Times New Roman" w:cs="Times New Roman"/>
          <w:noProof/>
        </w:rPr>
        <w:t xml:space="preserve"> </w:t>
      </w:r>
      <w:r w:rsidR="00151702">
        <w:rPr>
          <w:rFonts w:ascii="Times New Roman" w:eastAsia="Calibri" w:hAnsi="Times New Roman" w:cs="Times New Roman"/>
          <w:noProof/>
        </w:rPr>
        <w:t>o</w:t>
      </w:r>
      <w:r w:rsidRPr="003C0D71">
        <w:rPr>
          <w:rFonts w:ascii="Times New Roman" w:eastAsia="Calibri" w:hAnsi="Times New Roman" w:cs="Times New Roman"/>
          <w:noProof/>
        </w:rPr>
        <w:t>pinion note</w:t>
      </w:r>
      <w:r w:rsidR="007C01AE">
        <w:rPr>
          <w:rFonts w:ascii="Times New Roman" w:eastAsia="Calibri" w:hAnsi="Times New Roman" w:cs="Times New Roman"/>
          <w:noProof/>
        </w:rPr>
        <w:t>d</w:t>
      </w:r>
      <w:r w:rsidRPr="003C0D71">
        <w:rPr>
          <w:rFonts w:ascii="Times New Roman" w:eastAsia="Calibri" w:hAnsi="Times New Roman" w:cs="Times New Roman"/>
          <w:noProof/>
        </w:rPr>
        <w:t xml:space="preserve"> difficulties related to the jurisdictional scope of the Securitisation Regulation. A big majority of respondents </w:t>
      </w:r>
      <w:r w:rsidR="00151702">
        <w:rPr>
          <w:rFonts w:ascii="Times New Roman" w:eastAsia="Calibri" w:hAnsi="Times New Roman" w:cs="Times New Roman"/>
          <w:noProof/>
        </w:rPr>
        <w:t>to</w:t>
      </w:r>
      <w:r w:rsidR="00151702" w:rsidRPr="003C0D71">
        <w:rPr>
          <w:rFonts w:ascii="Times New Roman" w:eastAsia="Calibri" w:hAnsi="Times New Roman" w:cs="Times New Roman"/>
          <w:noProof/>
        </w:rPr>
        <w:t xml:space="preserve"> </w:t>
      </w:r>
      <w:r w:rsidRPr="003C0D71">
        <w:rPr>
          <w:rFonts w:ascii="Times New Roman" w:eastAsia="Calibri" w:hAnsi="Times New Roman" w:cs="Times New Roman"/>
          <w:noProof/>
        </w:rPr>
        <w:t>the consultation confirm</w:t>
      </w:r>
      <w:r w:rsidR="00151702">
        <w:rPr>
          <w:rFonts w:ascii="Times New Roman" w:eastAsia="Calibri" w:hAnsi="Times New Roman" w:cs="Times New Roman"/>
          <w:noProof/>
        </w:rPr>
        <w:t>ed</w:t>
      </w:r>
      <w:r w:rsidRPr="003C0D71">
        <w:rPr>
          <w:rFonts w:ascii="Times New Roman" w:eastAsia="Calibri" w:hAnsi="Times New Roman" w:cs="Times New Roman"/>
          <w:noProof/>
        </w:rPr>
        <w:t xml:space="preserve"> that finding. </w:t>
      </w:r>
    </w:p>
    <w:p w14:paraId="73EC744A" w14:textId="77777777" w:rsidR="009E344D" w:rsidRPr="003C0D71" w:rsidRDefault="009E344D" w:rsidP="009E344D">
      <w:pPr>
        <w:jc w:val="both"/>
        <w:rPr>
          <w:rFonts w:ascii="Times New Roman" w:eastAsia="Calibri" w:hAnsi="Times New Roman" w:cs="Times New Roman"/>
          <w:noProof/>
        </w:rPr>
      </w:pPr>
      <w:r w:rsidRPr="003C0D71">
        <w:rPr>
          <w:rFonts w:ascii="Times New Roman" w:eastAsia="Calibri" w:hAnsi="Times New Roman" w:cs="Times New Roman"/>
          <w:noProof/>
        </w:rPr>
        <w:t>The Commission takes note of the reported difficulties and will use the following subsections of this report to provide some interpretative guidance</w:t>
      </w:r>
      <w:r w:rsidR="00151702">
        <w:rPr>
          <w:rFonts w:ascii="Times New Roman" w:eastAsia="Calibri" w:hAnsi="Times New Roman" w:cs="Times New Roman"/>
          <w:noProof/>
        </w:rPr>
        <w:t xml:space="preserve"> on this issue,</w:t>
      </w:r>
      <w:r w:rsidRPr="003C0D71">
        <w:rPr>
          <w:rFonts w:ascii="Times New Roman" w:eastAsia="Calibri" w:hAnsi="Times New Roman" w:cs="Times New Roman"/>
          <w:noProof/>
        </w:rPr>
        <w:t xml:space="preserve"> as requested by the </w:t>
      </w:r>
      <w:r w:rsidR="007322D8" w:rsidRPr="003C0D71">
        <w:rPr>
          <w:rFonts w:ascii="Times New Roman" w:eastAsia="Calibri" w:hAnsi="Times New Roman" w:cs="Times New Roman"/>
          <w:noProof/>
        </w:rPr>
        <w:t>Joint Committee</w:t>
      </w:r>
      <w:r w:rsidRPr="003C0D71">
        <w:rPr>
          <w:rFonts w:ascii="Times New Roman" w:eastAsia="Calibri" w:hAnsi="Times New Roman" w:cs="Times New Roman"/>
          <w:noProof/>
        </w:rPr>
        <w:t xml:space="preserve"> and stakeholders</w:t>
      </w:r>
      <w:r w:rsidR="007322D8" w:rsidRPr="003C0D71">
        <w:rPr>
          <w:rFonts w:ascii="Times New Roman" w:eastAsia="Calibri" w:hAnsi="Times New Roman" w:cs="Times New Roman"/>
          <w:noProof/>
        </w:rPr>
        <w:t>.</w:t>
      </w:r>
      <w:r w:rsidRPr="003C0D71">
        <w:rPr>
          <w:rFonts w:ascii="Times New Roman" w:eastAsia="Calibri" w:hAnsi="Times New Roman" w:cs="Times New Roman"/>
          <w:noProof/>
        </w:rPr>
        <w:t xml:space="preserve"> </w:t>
      </w:r>
    </w:p>
    <w:p w14:paraId="51363577" w14:textId="3D681E52" w:rsidR="009E344D" w:rsidRPr="003C0D71" w:rsidRDefault="009E344D" w:rsidP="000D4664">
      <w:pPr>
        <w:pStyle w:val="Heading2"/>
        <w:rPr>
          <w:rFonts w:ascii="Times New Roman" w:eastAsia="Times New Roman" w:hAnsi="Times New Roman" w:cs="Times New Roman"/>
          <w:noProof/>
          <w:color w:val="auto"/>
          <w:sz w:val="32"/>
          <w:szCs w:val="32"/>
        </w:rPr>
      </w:pPr>
      <w:bookmarkStart w:id="61" w:name="_Toc104283076"/>
      <w:bookmarkStart w:id="62" w:name="_Toc104286144"/>
      <w:bookmarkStart w:id="63" w:name="_Toc104297348"/>
      <w:bookmarkStart w:id="64" w:name="_Toc115346217"/>
      <w:r w:rsidRPr="003C0D71">
        <w:rPr>
          <w:rFonts w:ascii="Times New Roman" w:hAnsi="Times New Roman" w:cs="Times New Roman"/>
          <w:noProof/>
          <w:color w:val="auto"/>
        </w:rPr>
        <w:t>11.</w:t>
      </w:r>
      <w:r w:rsidR="008F6FAB" w:rsidRPr="006177AD">
        <w:rPr>
          <w:rFonts w:ascii="Times New Roman" w:hAnsi="Times New Roman" w:cs="Times New Roman"/>
          <w:noProof/>
          <w:color w:val="auto"/>
        </w:rPr>
        <w:t xml:space="preserve">1 </w:t>
      </w:r>
      <w:r w:rsidRPr="006177AD">
        <w:rPr>
          <w:rFonts w:ascii="Times New Roman" w:hAnsi="Times New Roman" w:cs="Times New Roman"/>
          <w:noProof/>
          <w:color w:val="auto"/>
        </w:rPr>
        <w:t>Sell</w:t>
      </w:r>
      <w:r w:rsidR="005F5D7D">
        <w:rPr>
          <w:rFonts w:ascii="Times New Roman" w:hAnsi="Times New Roman" w:cs="Times New Roman"/>
          <w:noProof/>
          <w:color w:val="auto"/>
        </w:rPr>
        <w:t>-</w:t>
      </w:r>
      <w:r w:rsidRPr="006177AD">
        <w:rPr>
          <w:rFonts w:ascii="Times New Roman" w:hAnsi="Times New Roman" w:cs="Times New Roman"/>
          <w:noProof/>
          <w:color w:val="auto"/>
        </w:rPr>
        <w:t>side</w:t>
      </w:r>
      <w:r w:rsidRPr="003C0D71">
        <w:rPr>
          <w:rFonts w:ascii="Times New Roman" w:hAnsi="Times New Roman" w:cs="Times New Roman"/>
          <w:noProof/>
          <w:color w:val="auto"/>
        </w:rPr>
        <w:t xml:space="preserve"> obligations</w:t>
      </w:r>
      <w:bookmarkEnd w:id="61"/>
      <w:bookmarkEnd w:id="62"/>
      <w:bookmarkEnd w:id="63"/>
      <w:bookmarkEnd w:id="64"/>
    </w:p>
    <w:p w14:paraId="27ADF65E" w14:textId="77777777" w:rsidR="009E344D" w:rsidRPr="003C0D71" w:rsidRDefault="009E344D" w:rsidP="000D4664">
      <w:pPr>
        <w:rPr>
          <w:rFonts w:ascii="Times New Roman" w:hAnsi="Times New Roman" w:cs="Times New Roman"/>
          <w:b/>
          <w:noProof/>
          <w:sz w:val="24"/>
        </w:rPr>
      </w:pPr>
      <w:r w:rsidRPr="003C0D71">
        <w:rPr>
          <w:rFonts w:ascii="Times New Roman" w:hAnsi="Times New Roman" w:cs="Times New Roman"/>
          <w:b/>
          <w:noProof/>
          <w:sz w:val="24"/>
        </w:rPr>
        <w:t>Background and findings</w:t>
      </w:r>
    </w:p>
    <w:p w14:paraId="57D12959" w14:textId="3C4E7F32" w:rsidR="00A70EA8" w:rsidRPr="003C0D71" w:rsidRDefault="00A70EA8" w:rsidP="00A70EA8">
      <w:pPr>
        <w:jc w:val="both"/>
        <w:rPr>
          <w:rFonts w:ascii="Times New Roman" w:eastAsia="Calibri" w:hAnsi="Times New Roman" w:cs="Times New Roman"/>
          <w:noProof/>
        </w:rPr>
      </w:pPr>
      <w:r w:rsidRPr="003C0D71">
        <w:rPr>
          <w:rFonts w:ascii="Times New Roman" w:eastAsia="Calibri" w:hAnsi="Times New Roman" w:cs="Times New Roman"/>
          <w:noProof/>
        </w:rPr>
        <w:t xml:space="preserve">Articles 6, 7 and 9 of the Securitisation Regulation </w:t>
      </w:r>
      <w:r w:rsidR="00151702">
        <w:rPr>
          <w:rFonts w:ascii="Times New Roman" w:eastAsia="Calibri" w:hAnsi="Times New Roman" w:cs="Times New Roman"/>
          <w:noProof/>
        </w:rPr>
        <w:t>create</w:t>
      </w:r>
      <w:r w:rsidRPr="003C0D71">
        <w:rPr>
          <w:rFonts w:ascii="Times New Roman" w:eastAsia="Calibri" w:hAnsi="Times New Roman" w:cs="Times New Roman"/>
          <w:noProof/>
        </w:rPr>
        <w:t xml:space="preserve"> certain fundamental obligations that, as a lesson from the great financial crisis, all parties to securitisations </w:t>
      </w:r>
      <w:r w:rsidR="00151702">
        <w:rPr>
          <w:rFonts w:ascii="Times New Roman" w:eastAsia="Calibri" w:hAnsi="Times New Roman" w:cs="Times New Roman"/>
          <w:noProof/>
        </w:rPr>
        <w:t>must</w:t>
      </w:r>
      <w:r w:rsidRPr="003C0D71">
        <w:rPr>
          <w:rFonts w:ascii="Times New Roman" w:eastAsia="Calibri" w:hAnsi="Times New Roman" w:cs="Times New Roman"/>
          <w:noProof/>
        </w:rPr>
        <w:t xml:space="preserve"> comply with</w:t>
      </w:r>
      <w:r w:rsidR="00151702">
        <w:rPr>
          <w:rFonts w:ascii="Times New Roman" w:eastAsia="Calibri" w:hAnsi="Times New Roman" w:cs="Times New Roman"/>
          <w:noProof/>
        </w:rPr>
        <w:t>.</w:t>
      </w:r>
      <w:r w:rsidRPr="003C0D71">
        <w:rPr>
          <w:rFonts w:ascii="Times New Roman" w:eastAsia="Calibri" w:hAnsi="Times New Roman" w:cs="Times New Roman"/>
          <w:noProof/>
        </w:rPr>
        <w:t xml:space="preserve"> </w:t>
      </w:r>
      <w:r w:rsidR="00151702">
        <w:rPr>
          <w:rFonts w:ascii="Times New Roman" w:eastAsia="Calibri" w:hAnsi="Times New Roman" w:cs="Times New Roman"/>
          <w:noProof/>
        </w:rPr>
        <w:t>T</w:t>
      </w:r>
      <w:r w:rsidRPr="003C0D71">
        <w:rPr>
          <w:rFonts w:ascii="Times New Roman" w:eastAsia="Calibri" w:hAnsi="Times New Roman" w:cs="Times New Roman"/>
          <w:noProof/>
        </w:rPr>
        <w:t xml:space="preserve">he provisions </w:t>
      </w:r>
      <w:r w:rsidR="00151702">
        <w:rPr>
          <w:rFonts w:ascii="Times New Roman" w:eastAsia="Calibri" w:hAnsi="Times New Roman" w:cs="Times New Roman"/>
          <w:noProof/>
        </w:rPr>
        <w:t xml:space="preserve">in question </w:t>
      </w:r>
      <w:r w:rsidRPr="003C0D71">
        <w:rPr>
          <w:rFonts w:ascii="Times New Roman" w:eastAsia="Calibri" w:hAnsi="Times New Roman" w:cs="Times New Roman"/>
          <w:noProof/>
        </w:rPr>
        <w:t>do not consider whether the obliged party is inside or outside the EU:</w:t>
      </w:r>
    </w:p>
    <w:p w14:paraId="0E2C13D3" w14:textId="77777777" w:rsidR="00A70EA8" w:rsidRPr="003C0D71" w:rsidRDefault="00A70EA8" w:rsidP="00A70EA8">
      <w:pPr>
        <w:numPr>
          <w:ilvl w:val="0"/>
          <w:numId w:val="21"/>
        </w:numPr>
        <w:contextualSpacing/>
        <w:jc w:val="both"/>
        <w:rPr>
          <w:rFonts w:ascii="Times New Roman" w:eastAsia="Calibri" w:hAnsi="Times New Roman" w:cs="Times New Roman"/>
          <w:noProof/>
        </w:rPr>
      </w:pPr>
      <w:r w:rsidRPr="003C0D71">
        <w:rPr>
          <w:rFonts w:ascii="Times New Roman" w:eastAsia="Calibri" w:hAnsi="Times New Roman" w:cs="Times New Roman"/>
          <w:noProof/>
        </w:rPr>
        <w:t>Article 6 obliges the originator, sponsor or the original lender to retain part of the risk of the transaction (</w:t>
      </w:r>
      <w:r w:rsidR="006177AD">
        <w:rPr>
          <w:rFonts w:ascii="Times New Roman" w:eastAsia="Calibri" w:hAnsi="Times New Roman" w:cs="Times New Roman"/>
          <w:noProof/>
        </w:rPr>
        <w:t xml:space="preserve">a </w:t>
      </w:r>
      <w:r w:rsidRPr="003C0D71">
        <w:rPr>
          <w:rFonts w:ascii="Times New Roman" w:eastAsia="Calibri" w:hAnsi="Times New Roman" w:cs="Times New Roman"/>
          <w:noProof/>
        </w:rPr>
        <w:t xml:space="preserve">net economic interest of </w:t>
      </w:r>
      <w:r w:rsidRPr="00151702">
        <w:rPr>
          <w:rFonts w:ascii="Times New Roman" w:eastAsia="Calibri" w:hAnsi="Times New Roman" w:cs="Times New Roman"/>
          <w:noProof/>
        </w:rPr>
        <w:t>not less than</w:t>
      </w:r>
      <w:r w:rsidRPr="003C0D71">
        <w:rPr>
          <w:rFonts w:ascii="Times New Roman" w:eastAsia="Calibri" w:hAnsi="Times New Roman" w:cs="Times New Roman"/>
          <w:noProof/>
        </w:rPr>
        <w:t xml:space="preserve"> 5%); </w:t>
      </w:r>
    </w:p>
    <w:p w14:paraId="4C014CFC" w14:textId="77777777" w:rsidR="00A70EA8" w:rsidRPr="003C0D71" w:rsidRDefault="00A70EA8" w:rsidP="00A70EA8">
      <w:pPr>
        <w:numPr>
          <w:ilvl w:val="0"/>
          <w:numId w:val="21"/>
        </w:numPr>
        <w:contextualSpacing/>
        <w:jc w:val="both"/>
        <w:rPr>
          <w:rFonts w:ascii="Times New Roman" w:eastAsia="Calibri" w:hAnsi="Times New Roman" w:cs="Times New Roman"/>
          <w:noProof/>
        </w:rPr>
      </w:pPr>
      <w:r w:rsidRPr="003C0D71">
        <w:rPr>
          <w:rFonts w:ascii="Times New Roman" w:eastAsia="Calibri" w:hAnsi="Times New Roman" w:cs="Times New Roman"/>
          <w:noProof/>
        </w:rPr>
        <w:t>Article 7 obliges the originator, the sponsor and the SSPE to provide the listed information to the investor, the competent authorities and, upon request, to the potential investors;</w:t>
      </w:r>
    </w:p>
    <w:p w14:paraId="68F33663" w14:textId="42AEABB2" w:rsidR="00A70EA8" w:rsidRPr="003C0D71" w:rsidRDefault="00A70EA8" w:rsidP="00A70EA8">
      <w:pPr>
        <w:numPr>
          <w:ilvl w:val="0"/>
          <w:numId w:val="21"/>
        </w:numPr>
        <w:contextualSpacing/>
        <w:jc w:val="both"/>
        <w:rPr>
          <w:rFonts w:ascii="Times New Roman" w:eastAsia="Calibri" w:hAnsi="Times New Roman" w:cs="Times New Roman"/>
          <w:noProof/>
        </w:rPr>
      </w:pPr>
      <w:r w:rsidRPr="003C0D71">
        <w:rPr>
          <w:rFonts w:ascii="Times New Roman" w:eastAsia="Calibri" w:hAnsi="Times New Roman" w:cs="Times New Roman"/>
          <w:noProof/>
        </w:rPr>
        <w:t xml:space="preserve">In order to render the </w:t>
      </w:r>
      <w:r w:rsidRPr="006177AD">
        <w:rPr>
          <w:rFonts w:ascii="Times New Roman" w:eastAsia="Calibri" w:hAnsi="Times New Roman" w:cs="Times New Roman"/>
          <w:noProof/>
        </w:rPr>
        <w:t>problematic ‘originate-</w:t>
      </w:r>
      <w:r w:rsidRPr="00972364">
        <w:rPr>
          <w:rFonts w:ascii="Times New Roman" w:eastAsia="Calibri" w:hAnsi="Times New Roman" w:cs="Times New Roman"/>
          <w:noProof/>
        </w:rPr>
        <w:t>to</w:t>
      </w:r>
      <w:r w:rsidR="006177AD" w:rsidRPr="00972364">
        <w:rPr>
          <w:rFonts w:ascii="Times New Roman" w:eastAsia="Calibri" w:hAnsi="Times New Roman" w:cs="Times New Roman"/>
          <w:noProof/>
        </w:rPr>
        <w:t>-</w:t>
      </w:r>
      <w:r w:rsidRPr="00972364">
        <w:rPr>
          <w:rFonts w:ascii="Times New Roman" w:eastAsia="Calibri" w:hAnsi="Times New Roman" w:cs="Times New Roman"/>
          <w:noProof/>
        </w:rPr>
        <w:t>distribute</w:t>
      </w:r>
      <w:r w:rsidRPr="006177AD">
        <w:rPr>
          <w:rFonts w:ascii="Times New Roman" w:eastAsia="Calibri" w:hAnsi="Times New Roman" w:cs="Times New Roman"/>
          <w:noProof/>
        </w:rPr>
        <w:t xml:space="preserve"> model’</w:t>
      </w:r>
      <w:r w:rsidRPr="003C0D71">
        <w:rPr>
          <w:rFonts w:ascii="Times New Roman" w:eastAsia="Calibri" w:hAnsi="Times New Roman" w:cs="Times New Roman"/>
          <w:noProof/>
        </w:rPr>
        <w:t xml:space="preserve"> impossible in the future, Article 9 obliges originators, sponsors and original lenders to apply </w:t>
      </w:r>
      <w:r w:rsidR="00151702">
        <w:rPr>
          <w:rFonts w:ascii="Times New Roman" w:eastAsia="Calibri" w:hAnsi="Times New Roman" w:cs="Times New Roman"/>
          <w:noProof/>
        </w:rPr>
        <w:t xml:space="preserve">to </w:t>
      </w:r>
      <w:r w:rsidRPr="003C0D71">
        <w:rPr>
          <w:rFonts w:ascii="Times New Roman" w:eastAsia="Calibri" w:hAnsi="Times New Roman" w:cs="Times New Roman"/>
          <w:noProof/>
        </w:rPr>
        <w:t>securitised exposures the same sound credit</w:t>
      </w:r>
      <w:r w:rsidR="00BC13DA">
        <w:rPr>
          <w:rFonts w:ascii="Times New Roman" w:eastAsia="Calibri" w:hAnsi="Times New Roman" w:cs="Times New Roman"/>
          <w:noProof/>
        </w:rPr>
        <w:t>-</w:t>
      </w:r>
      <w:r w:rsidRPr="003C0D71">
        <w:rPr>
          <w:rFonts w:ascii="Times New Roman" w:eastAsia="Calibri" w:hAnsi="Times New Roman" w:cs="Times New Roman"/>
          <w:noProof/>
        </w:rPr>
        <w:t>granting criteria that they apply to non-securitised exposures.</w:t>
      </w:r>
    </w:p>
    <w:p w14:paraId="557A61CF" w14:textId="77777777" w:rsidR="00A70EA8" w:rsidRPr="003C0D71" w:rsidRDefault="00A70EA8" w:rsidP="00A70EA8">
      <w:pPr>
        <w:ind w:left="720"/>
        <w:contextualSpacing/>
        <w:jc w:val="both"/>
        <w:rPr>
          <w:rFonts w:ascii="Times New Roman" w:eastAsia="Calibri" w:hAnsi="Times New Roman" w:cs="Times New Roman"/>
          <w:noProof/>
        </w:rPr>
      </w:pPr>
    </w:p>
    <w:p w14:paraId="530726FA" w14:textId="4DB4E3C3" w:rsidR="00A70EA8" w:rsidRPr="003C0D71" w:rsidRDefault="00A70EA8" w:rsidP="00A70EA8">
      <w:pPr>
        <w:jc w:val="both"/>
        <w:rPr>
          <w:rFonts w:ascii="Times New Roman" w:eastAsia="Calibri" w:hAnsi="Times New Roman" w:cs="Times New Roman"/>
          <w:noProof/>
        </w:rPr>
      </w:pPr>
      <w:r w:rsidRPr="003C0D71">
        <w:rPr>
          <w:rFonts w:ascii="Times New Roman" w:eastAsia="Calibri" w:hAnsi="Times New Roman" w:cs="Times New Roman"/>
          <w:noProof/>
        </w:rPr>
        <w:t xml:space="preserve">The Joint Committee </w:t>
      </w:r>
      <w:r w:rsidR="00151702">
        <w:rPr>
          <w:rFonts w:ascii="Times New Roman" w:eastAsia="Calibri" w:hAnsi="Times New Roman" w:cs="Times New Roman"/>
          <w:noProof/>
        </w:rPr>
        <w:t>o</w:t>
      </w:r>
      <w:r w:rsidRPr="003C0D71">
        <w:rPr>
          <w:rFonts w:ascii="Times New Roman" w:eastAsia="Calibri" w:hAnsi="Times New Roman" w:cs="Times New Roman"/>
          <w:noProof/>
        </w:rPr>
        <w:t>pinion raise</w:t>
      </w:r>
      <w:r w:rsidR="007C01AE">
        <w:rPr>
          <w:rFonts w:ascii="Times New Roman" w:eastAsia="Calibri" w:hAnsi="Times New Roman" w:cs="Times New Roman"/>
          <w:noProof/>
        </w:rPr>
        <w:t>d</w:t>
      </w:r>
      <w:r w:rsidRPr="003C0D71">
        <w:rPr>
          <w:rFonts w:ascii="Times New Roman" w:eastAsia="Calibri" w:hAnsi="Times New Roman" w:cs="Times New Roman"/>
          <w:noProof/>
        </w:rPr>
        <w:t xml:space="preserve"> the concern that in a transaction involving sell</w:t>
      </w:r>
      <w:r w:rsidR="005F5D7D">
        <w:rPr>
          <w:rFonts w:ascii="Times New Roman" w:eastAsia="Calibri" w:hAnsi="Times New Roman" w:cs="Times New Roman"/>
          <w:noProof/>
        </w:rPr>
        <w:t>-</w:t>
      </w:r>
      <w:r w:rsidRPr="003C0D71">
        <w:rPr>
          <w:rFonts w:ascii="Times New Roman" w:eastAsia="Calibri" w:hAnsi="Times New Roman" w:cs="Times New Roman"/>
          <w:noProof/>
        </w:rPr>
        <w:t>side parties located inside and outside the EU</w:t>
      </w:r>
      <w:r w:rsidR="006177AD">
        <w:rPr>
          <w:rFonts w:ascii="Times New Roman" w:eastAsia="Calibri" w:hAnsi="Times New Roman" w:cs="Times New Roman"/>
          <w:noProof/>
        </w:rPr>
        <w:t>,</w:t>
      </w:r>
      <w:r w:rsidRPr="003C0D71">
        <w:rPr>
          <w:rFonts w:ascii="Times New Roman" w:eastAsia="Calibri" w:hAnsi="Times New Roman" w:cs="Times New Roman"/>
          <w:noProof/>
        </w:rPr>
        <w:t xml:space="preserve"> sell</w:t>
      </w:r>
      <w:r w:rsidR="005F5D7D">
        <w:rPr>
          <w:rFonts w:ascii="Times New Roman" w:eastAsia="Calibri" w:hAnsi="Times New Roman" w:cs="Times New Roman"/>
          <w:noProof/>
        </w:rPr>
        <w:t>-</w:t>
      </w:r>
      <w:r w:rsidRPr="003C0D71">
        <w:rPr>
          <w:rFonts w:ascii="Times New Roman" w:eastAsia="Calibri" w:hAnsi="Times New Roman" w:cs="Times New Roman"/>
          <w:noProof/>
        </w:rPr>
        <w:t xml:space="preserve">side entities might escape these fundamental obligations, since EU supervisors cannot hold parties located in third countries accountable in case of a breach of these obligations. Therefore, the Joint Committee </w:t>
      </w:r>
      <w:r w:rsidR="007C01AE">
        <w:rPr>
          <w:rFonts w:ascii="Times New Roman" w:eastAsia="Calibri" w:hAnsi="Times New Roman" w:cs="Times New Roman"/>
          <w:noProof/>
        </w:rPr>
        <w:t>was</w:t>
      </w:r>
      <w:r w:rsidR="00412782" w:rsidRPr="003C0D71">
        <w:rPr>
          <w:rFonts w:ascii="Times New Roman" w:eastAsia="Calibri" w:hAnsi="Times New Roman" w:cs="Times New Roman"/>
          <w:noProof/>
        </w:rPr>
        <w:t xml:space="preserve"> of the view that the provisions should be interpreted</w:t>
      </w:r>
      <w:r w:rsidRPr="003C0D71">
        <w:rPr>
          <w:rFonts w:ascii="Times New Roman" w:eastAsia="Calibri" w:hAnsi="Times New Roman" w:cs="Times New Roman"/>
          <w:noProof/>
        </w:rPr>
        <w:t xml:space="preserve"> in a way so that</w:t>
      </w:r>
      <w:r w:rsidR="00151702">
        <w:rPr>
          <w:rFonts w:ascii="Times New Roman" w:eastAsia="Calibri" w:hAnsi="Times New Roman" w:cs="Times New Roman"/>
          <w:noProof/>
        </w:rPr>
        <w:t>:</w:t>
      </w:r>
      <w:r w:rsidRPr="003C0D71">
        <w:rPr>
          <w:rFonts w:ascii="Times New Roman" w:eastAsia="Calibri" w:hAnsi="Times New Roman" w:cs="Times New Roman"/>
          <w:noProof/>
        </w:rPr>
        <w:t xml:space="preserve"> </w:t>
      </w:r>
    </w:p>
    <w:p w14:paraId="546F2A6C" w14:textId="77777777" w:rsidR="00A70EA8" w:rsidRPr="003C0D71" w:rsidRDefault="00A70EA8" w:rsidP="00A70EA8">
      <w:pPr>
        <w:numPr>
          <w:ilvl w:val="0"/>
          <w:numId w:val="31"/>
        </w:numPr>
        <w:contextualSpacing/>
        <w:jc w:val="both"/>
        <w:rPr>
          <w:rFonts w:ascii="Times New Roman" w:eastAsia="Calibri" w:hAnsi="Times New Roman" w:cs="Times New Roman"/>
          <w:noProof/>
        </w:rPr>
      </w:pPr>
      <w:r w:rsidRPr="003C0D71">
        <w:rPr>
          <w:rFonts w:ascii="Times New Roman" w:eastAsia="Calibri" w:hAnsi="Times New Roman" w:cs="Times New Roman"/>
          <w:noProof/>
        </w:rPr>
        <w:t>only an EU-based entity should be able to retain risk;</w:t>
      </w:r>
    </w:p>
    <w:p w14:paraId="47BB56C3" w14:textId="78F0A4C4" w:rsidR="00A70EA8" w:rsidRPr="003C0D71" w:rsidRDefault="00A70EA8" w:rsidP="00A70EA8">
      <w:pPr>
        <w:numPr>
          <w:ilvl w:val="0"/>
          <w:numId w:val="31"/>
        </w:numPr>
        <w:contextualSpacing/>
        <w:jc w:val="both"/>
        <w:rPr>
          <w:rFonts w:ascii="Times New Roman" w:eastAsia="Calibri" w:hAnsi="Times New Roman" w:cs="Times New Roman"/>
          <w:noProof/>
        </w:rPr>
      </w:pPr>
      <w:r w:rsidRPr="003C0D71">
        <w:rPr>
          <w:rFonts w:ascii="Times New Roman" w:eastAsia="Calibri" w:hAnsi="Times New Roman" w:cs="Times New Roman"/>
          <w:noProof/>
        </w:rPr>
        <w:t xml:space="preserve">the parties should be obliged to </w:t>
      </w:r>
      <w:r w:rsidRPr="006177AD">
        <w:rPr>
          <w:rFonts w:ascii="Times New Roman" w:eastAsia="Calibri" w:hAnsi="Times New Roman" w:cs="Times New Roman"/>
          <w:noProof/>
        </w:rPr>
        <w:t>choose</w:t>
      </w:r>
      <w:r w:rsidRPr="003C0D71">
        <w:rPr>
          <w:rFonts w:ascii="Times New Roman" w:eastAsia="Calibri" w:hAnsi="Times New Roman" w:cs="Times New Roman"/>
          <w:noProof/>
        </w:rPr>
        <w:t xml:space="preserve"> the EU</w:t>
      </w:r>
      <w:r w:rsidR="00151702">
        <w:rPr>
          <w:rFonts w:ascii="Times New Roman" w:eastAsia="Calibri" w:hAnsi="Times New Roman" w:cs="Times New Roman"/>
          <w:noProof/>
        </w:rPr>
        <w:t>-based</w:t>
      </w:r>
      <w:r w:rsidRPr="003C0D71">
        <w:rPr>
          <w:rFonts w:ascii="Times New Roman" w:eastAsia="Calibri" w:hAnsi="Times New Roman" w:cs="Times New Roman"/>
          <w:noProof/>
        </w:rPr>
        <w:t xml:space="preserve"> entity as </w:t>
      </w:r>
      <w:r w:rsidR="00151702">
        <w:rPr>
          <w:rFonts w:ascii="Times New Roman" w:eastAsia="Calibri" w:hAnsi="Times New Roman" w:cs="Times New Roman"/>
          <w:noProof/>
        </w:rPr>
        <w:t xml:space="preserve">the </w:t>
      </w:r>
      <w:r w:rsidRPr="003C0D71">
        <w:rPr>
          <w:rFonts w:ascii="Times New Roman" w:eastAsia="Calibri" w:hAnsi="Times New Roman" w:cs="Times New Roman"/>
          <w:noProof/>
        </w:rPr>
        <w:t>designated reporting entity;</w:t>
      </w:r>
    </w:p>
    <w:p w14:paraId="78FC5565" w14:textId="3EE1A00B" w:rsidR="00A70EA8" w:rsidRDefault="00A70EA8" w:rsidP="00A70EA8">
      <w:pPr>
        <w:numPr>
          <w:ilvl w:val="0"/>
          <w:numId w:val="31"/>
        </w:numPr>
        <w:contextualSpacing/>
        <w:jc w:val="both"/>
        <w:rPr>
          <w:rFonts w:ascii="Times New Roman" w:eastAsia="Calibri" w:hAnsi="Times New Roman" w:cs="Times New Roman"/>
          <w:noProof/>
        </w:rPr>
      </w:pPr>
      <w:r w:rsidRPr="003C0D71">
        <w:rPr>
          <w:rFonts w:ascii="Times New Roman" w:eastAsia="Calibri" w:hAnsi="Times New Roman" w:cs="Times New Roman"/>
          <w:noProof/>
        </w:rPr>
        <w:t>an EU-based entity should be responsible for ensuring that the same sound and well-defined criteria for credit</w:t>
      </w:r>
      <w:r w:rsidR="00BC13DA">
        <w:rPr>
          <w:rFonts w:ascii="Times New Roman" w:eastAsia="Calibri" w:hAnsi="Times New Roman" w:cs="Times New Roman"/>
          <w:noProof/>
        </w:rPr>
        <w:t>-</w:t>
      </w:r>
      <w:r w:rsidRPr="003C0D71">
        <w:rPr>
          <w:rFonts w:ascii="Times New Roman" w:eastAsia="Calibri" w:hAnsi="Times New Roman" w:cs="Times New Roman"/>
          <w:noProof/>
        </w:rPr>
        <w:t xml:space="preserve">granting apply to </w:t>
      </w:r>
      <w:r w:rsidR="00C678DE">
        <w:rPr>
          <w:rFonts w:ascii="Times New Roman" w:eastAsia="Calibri" w:hAnsi="Times New Roman" w:cs="Times New Roman"/>
          <w:noProof/>
        </w:rPr>
        <w:t xml:space="preserve">both </w:t>
      </w:r>
      <w:r w:rsidRPr="003C0D71">
        <w:rPr>
          <w:rFonts w:ascii="Times New Roman" w:eastAsia="Calibri" w:hAnsi="Times New Roman" w:cs="Times New Roman"/>
          <w:noProof/>
        </w:rPr>
        <w:t xml:space="preserve">securitised </w:t>
      </w:r>
      <w:r w:rsidR="00C678DE">
        <w:rPr>
          <w:rFonts w:ascii="Times New Roman" w:eastAsia="Calibri" w:hAnsi="Times New Roman" w:cs="Times New Roman"/>
          <w:noProof/>
        </w:rPr>
        <w:t>and</w:t>
      </w:r>
      <w:r w:rsidRPr="003C0D71">
        <w:rPr>
          <w:rFonts w:ascii="Times New Roman" w:eastAsia="Calibri" w:hAnsi="Times New Roman" w:cs="Times New Roman"/>
          <w:noProof/>
        </w:rPr>
        <w:t xml:space="preserve"> non-securitised exposures</w:t>
      </w:r>
      <w:r w:rsidR="00C678DE">
        <w:rPr>
          <w:rFonts w:ascii="Times New Roman" w:eastAsia="Calibri" w:hAnsi="Times New Roman" w:cs="Times New Roman"/>
          <w:noProof/>
        </w:rPr>
        <w:t>,</w:t>
      </w:r>
      <w:r w:rsidRPr="003C0D71">
        <w:rPr>
          <w:rFonts w:ascii="Times New Roman" w:eastAsia="Calibri" w:hAnsi="Times New Roman" w:cs="Times New Roman"/>
          <w:noProof/>
        </w:rPr>
        <w:t xml:space="preserve"> and that the securitised exposures are subject to the same processes </w:t>
      </w:r>
      <w:r w:rsidR="00C678DE">
        <w:rPr>
          <w:rFonts w:ascii="Times New Roman" w:eastAsia="Calibri" w:hAnsi="Times New Roman" w:cs="Times New Roman"/>
          <w:noProof/>
        </w:rPr>
        <w:t xml:space="preserve">as non-securitised ones </w:t>
      </w:r>
      <w:r w:rsidRPr="003C0D71">
        <w:rPr>
          <w:rFonts w:ascii="Times New Roman" w:eastAsia="Calibri" w:hAnsi="Times New Roman" w:cs="Times New Roman"/>
          <w:noProof/>
        </w:rPr>
        <w:t xml:space="preserve">for approving and renewing credit. </w:t>
      </w:r>
    </w:p>
    <w:p w14:paraId="03650CBD" w14:textId="77777777" w:rsidR="000A06C6" w:rsidRPr="003C0D71" w:rsidRDefault="000A06C6" w:rsidP="006177AD">
      <w:pPr>
        <w:contextualSpacing/>
        <w:jc w:val="both"/>
        <w:rPr>
          <w:rFonts w:ascii="Times New Roman" w:eastAsia="Calibri" w:hAnsi="Times New Roman" w:cs="Times New Roman"/>
          <w:noProof/>
        </w:rPr>
      </w:pPr>
    </w:p>
    <w:p w14:paraId="3DD9C519" w14:textId="666B263F" w:rsidR="007C01AE" w:rsidRDefault="00412782" w:rsidP="00A70EA8">
      <w:pPr>
        <w:contextualSpacing/>
        <w:jc w:val="both"/>
        <w:rPr>
          <w:rFonts w:ascii="Times New Roman" w:eastAsia="Calibri" w:hAnsi="Times New Roman" w:cs="Times New Roman"/>
          <w:noProof/>
        </w:rPr>
      </w:pPr>
      <w:r w:rsidRPr="003C0D71">
        <w:rPr>
          <w:rFonts w:ascii="Times New Roman" w:eastAsia="Calibri" w:hAnsi="Times New Roman" w:cs="Times New Roman"/>
          <w:noProof/>
        </w:rPr>
        <w:t>The Joint Committee suggest</w:t>
      </w:r>
      <w:r w:rsidR="007C01AE">
        <w:rPr>
          <w:rFonts w:ascii="Times New Roman" w:eastAsia="Calibri" w:hAnsi="Times New Roman" w:cs="Times New Roman"/>
          <w:noProof/>
        </w:rPr>
        <w:t>ed</w:t>
      </w:r>
      <w:r w:rsidRPr="003C0D71">
        <w:rPr>
          <w:rFonts w:ascii="Times New Roman" w:eastAsia="Calibri" w:hAnsi="Times New Roman" w:cs="Times New Roman"/>
          <w:noProof/>
        </w:rPr>
        <w:t xml:space="preserve"> </w:t>
      </w:r>
      <w:r w:rsidR="00C678DE">
        <w:rPr>
          <w:rFonts w:ascii="Times New Roman" w:eastAsia="Calibri" w:hAnsi="Times New Roman" w:cs="Times New Roman"/>
          <w:noProof/>
        </w:rPr>
        <w:t>that</w:t>
      </w:r>
      <w:r w:rsidRPr="003C0D71">
        <w:rPr>
          <w:rFonts w:ascii="Times New Roman" w:eastAsia="Calibri" w:hAnsi="Times New Roman" w:cs="Times New Roman"/>
          <w:noProof/>
        </w:rPr>
        <w:t xml:space="preserve"> these provisions </w:t>
      </w:r>
      <w:r w:rsidR="00C678DE">
        <w:rPr>
          <w:rFonts w:ascii="Times New Roman" w:eastAsia="Calibri" w:hAnsi="Times New Roman" w:cs="Times New Roman"/>
          <w:noProof/>
        </w:rPr>
        <w:t xml:space="preserve">should be clarified </w:t>
      </w:r>
      <w:r w:rsidR="002E5705" w:rsidRPr="003C0D71">
        <w:rPr>
          <w:rFonts w:ascii="Times New Roman" w:eastAsia="Calibri" w:hAnsi="Times New Roman" w:cs="Times New Roman"/>
          <w:noProof/>
        </w:rPr>
        <w:t>accordingly</w:t>
      </w:r>
      <w:r w:rsidRPr="003C0D71">
        <w:rPr>
          <w:rFonts w:ascii="Times New Roman" w:eastAsia="Calibri" w:hAnsi="Times New Roman" w:cs="Times New Roman"/>
          <w:noProof/>
        </w:rPr>
        <w:t>.</w:t>
      </w:r>
    </w:p>
    <w:p w14:paraId="37A73ABE" w14:textId="77777777" w:rsidR="007C01AE" w:rsidRDefault="007C01AE" w:rsidP="00A70EA8">
      <w:pPr>
        <w:contextualSpacing/>
        <w:jc w:val="both"/>
        <w:rPr>
          <w:rFonts w:ascii="Times New Roman" w:eastAsia="Calibri" w:hAnsi="Times New Roman" w:cs="Times New Roman"/>
          <w:noProof/>
        </w:rPr>
      </w:pPr>
    </w:p>
    <w:p w14:paraId="376398E4" w14:textId="25856E88" w:rsidR="00A70EA8" w:rsidRDefault="00A70EA8" w:rsidP="00A70EA8">
      <w:pPr>
        <w:contextualSpacing/>
        <w:jc w:val="both"/>
        <w:rPr>
          <w:rFonts w:ascii="Times New Roman" w:eastAsia="Calibri" w:hAnsi="Times New Roman" w:cs="Times New Roman"/>
          <w:noProof/>
        </w:rPr>
      </w:pPr>
      <w:r w:rsidRPr="003C0D71">
        <w:rPr>
          <w:rFonts w:ascii="Times New Roman" w:eastAsia="Calibri" w:hAnsi="Times New Roman" w:cs="Times New Roman"/>
          <w:noProof/>
        </w:rPr>
        <w:t>Moreover, the Joint Committee identifie</w:t>
      </w:r>
      <w:r w:rsidR="00C678DE">
        <w:rPr>
          <w:rFonts w:ascii="Times New Roman" w:eastAsia="Calibri" w:hAnsi="Times New Roman" w:cs="Times New Roman"/>
          <w:noProof/>
        </w:rPr>
        <w:t>d</w:t>
      </w:r>
      <w:r w:rsidRPr="003C0D71">
        <w:rPr>
          <w:rFonts w:ascii="Times New Roman" w:eastAsia="Calibri" w:hAnsi="Times New Roman" w:cs="Times New Roman"/>
          <w:noProof/>
        </w:rPr>
        <w:t xml:space="preserve"> an inconsistency between Article 5(1)(b) and Article 9 of the Securitisation Regulation, however without </w:t>
      </w:r>
      <w:r w:rsidR="00951EB8">
        <w:rPr>
          <w:rFonts w:ascii="Times New Roman" w:eastAsia="Calibri" w:hAnsi="Times New Roman" w:cs="Times New Roman"/>
          <w:noProof/>
        </w:rPr>
        <w:t xml:space="preserve">making a </w:t>
      </w:r>
      <w:r w:rsidRPr="003C0D71">
        <w:rPr>
          <w:rFonts w:ascii="Times New Roman" w:eastAsia="Calibri" w:hAnsi="Times New Roman" w:cs="Times New Roman"/>
          <w:noProof/>
        </w:rPr>
        <w:t xml:space="preserve">clear recommendation </w:t>
      </w:r>
      <w:r w:rsidR="007E3418">
        <w:rPr>
          <w:rFonts w:ascii="Times New Roman" w:eastAsia="Calibri" w:hAnsi="Times New Roman" w:cs="Times New Roman"/>
          <w:noProof/>
        </w:rPr>
        <w:t xml:space="preserve">on </w:t>
      </w:r>
      <w:r w:rsidRPr="003C0D71">
        <w:rPr>
          <w:rFonts w:ascii="Times New Roman" w:eastAsia="Calibri" w:hAnsi="Times New Roman" w:cs="Times New Roman"/>
          <w:noProof/>
        </w:rPr>
        <w:t xml:space="preserve">how to solve it: </w:t>
      </w:r>
      <w:r w:rsidR="00951EB8">
        <w:rPr>
          <w:rFonts w:ascii="Times New Roman" w:eastAsia="Calibri" w:hAnsi="Times New Roman" w:cs="Times New Roman"/>
          <w:noProof/>
        </w:rPr>
        <w:t>Article 9</w:t>
      </w:r>
      <w:r w:rsidRPr="003C0D71">
        <w:rPr>
          <w:rFonts w:ascii="Times New Roman" w:eastAsia="Calibri" w:hAnsi="Times New Roman" w:cs="Times New Roman"/>
          <w:noProof/>
        </w:rPr>
        <w:t xml:space="preserve"> </w:t>
      </w:r>
      <w:r w:rsidR="00951EB8">
        <w:rPr>
          <w:rFonts w:ascii="Times New Roman" w:eastAsia="Calibri" w:hAnsi="Times New Roman" w:cs="Times New Roman"/>
          <w:noProof/>
        </w:rPr>
        <w:t xml:space="preserve">obliges also the sponsor to </w:t>
      </w:r>
      <w:r w:rsidRPr="003C0D71">
        <w:rPr>
          <w:rFonts w:ascii="Times New Roman" w:eastAsia="Calibri" w:hAnsi="Times New Roman" w:cs="Times New Roman"/>
          <w:noProof/>
        </w:rPr>
        <w:t>ensur</w:t>
      </w:r>
      <w:r w:rsidR="00951EB8">
        <w:rPr>
          <w:rFonts w:ascii="Times New Roman" w:eastAsia="Calibri" w:hAnsi="Times New Roman" w:cs="Times New Roman"/>
          <w:noProof/>
        </w:rPr>
        <w:t>e</w:t>
      </w:r>
      <w:r w:rsidRPr="003C0D71">
        <w:rPr>
          <w:rFonts w:ascii="Times New Roman" w:eastAsia="Calibri" w:hAnsi="Times New Roman" w:cs="Times New Roman"/>
          <w:noProof/>
        </w:rPr>
        <w:t xml:space="preserve"> sound credit</w:t>
      </w:r>
      <w:r w:rsidR="00BC13DA">
        <w:rPr>
          <w:rFonts w:ascii="Times New Roman" w:eastAsia="Calibri" w:hAnsi="Times New Roman" w:cs="Times New Roman"/>
          <w:noProof/>
        </w:rPr>
        <w:t>-</w:t>
      </w:r>
      <w:r w:rsidRPr="003C0D71">
        <w:rPr>
          <w:rFonts w:ascii="Times New Roman" w:eastAsia="Calibri" w:hAnsi="Times New Roman" w:cs="Times New Roman"/>
          <w:noProof/>
        </w:rPr>
        <w:t xml:space="preserve">granting, while the corresponding due diligence obligation in </w:t>
      </w:r>
      <w:r w:rsidR="00951EB8" w:rsidRPr="003C0D71">
        <w:rPr>
          <w:rFonts w:ascii="Times New Roman" w:eastAsia="Calibri" w:hAnsi="Times New Roman" w:cs="Times New Roman"/>
          <w:noProof/>
        </w:rPr>
        <w:t xml:space="preserve">Article 5(1)(b) </w:t>
      </w:r>
      <w:r w:rsidRPr="003C0D71">
        <w:rPr>
          <w:rFonts w:ascii="Times New Roman" w:eastAsia="Calibri" w:hAnsi="Times New Roman" w:cs="Times New Roman"/>
          <w:noProof/>
        </w:rPr>
        <w:t>does not mention the sponsor.</w:t>
      </w:r>
    </w:p>
    <w:p w14:paraId="0AEE1347" w14:textId="77777777" w:rsidR="007C01AE" w:rsidRPr="003C0D71" w:rsidRDefault="007C01AE" w:rsidP="00A70EA8">
      <w:pPr>
        <w:contextualSpacing/>
        <w:jc w:val="both"/>
        <w:rPr>
          <w:rFonts w:ascii="Times New Roman" w:eastAsia="Calibri" w:hAnsi="Times New Roman" w:cs="Times New Roman"/>
          <w:noProof/>
        </w:rPr>
      </w:pPr>
    </w:p>
    <w:p w14:paraId="02ED3567" w14:textId="2DFF098A" w:rsidR="00A70EA8" w:rsidRPr="003C0D71" w:rsidRDefault="00A70EA8" w:rsidP="00A70EA8">
      <w:pPr>
        <w:jc w:val="both"/>
        <w:rPr>
          <w:rFonts w:ascii="Times New Roman" w:eastAsia="Calibri" w:hAnsi="Times New Roman" w:cs="Times New Roman"/>
          <w:noProof/>
        </w:rPr>
      </w:pPr>
      <w:r w:rsidRPr="003C0D71">
        <w:rPr>
          <w:rFonts w:ascii="Times New Roman" w:eastAsia="Calibri" w:hAnsi="Times New Roman" w:cs="Times New Roman"/>
          <w:noProof/>
        </w:rPr>
        <w:t xml:space="preserve">Respondents to the consultation reacted as follows to the Joint Committee suggestions: </w:t>
      </w:r>
    </w:p>
    <w:p w14:paraId="61266A56" w14:textId="59A10946" w:rsidR="00A70EA8" w:rsidRPr="009751B2" w:rsidRDefault="00A70EA8" w:rsidP="00A70EA8">
      <w:pPr>
        <w:numPr>
          <w:ilvl w:val="0"/>
          <w:numId w:val="32"/>
        </w:numPr>
        <w:contextualSpacing/>
        <w:jc w:val="both"/>
        <w:rPr>
          <w:rFonts w:ascii="Times New Roman" w:eastAsia="Calibri" w:hAnsi="Times New Roman" w:cs="Times New Roman"/>
          <w:noProof/>
        </w:rPr>
      </w:pPr>
      <w:r w:rsidRPr="003C0D71">
        <w:rPr>
          <w:rFonts w:ascii="Times New Roman" w:eastAsia="Calibri" w:hAnsi="Times New Roman" w:cs="Times New Roman"/>
          <w:noProof/>
        </w:rPr>
        <w:t xml:space="preserve">Market participants argued </w:t>
      </w:r>
      <w:r w:rsidRPr="009751B2">
        <w:rPr>
          <w:rFonts w:ascii="Times New Roman" w:eastAsia="Calibri" w:hAnsi="Times New Roman" w:cs="Times New Roman"/>
          <w:noProof/>
        </w:rPr>
        <w:t xml:space="preserve">against </w:t>
      </w:r>
      <w:r w:rsidR="00951EB8" w:rsidRPr="009751B2">
        <w:rPr>
          <w:rFonts w:ascii="Times New Roman" w:eastAsia="Calibri" w:hAnsi="Times New Roman" w:cs="Times New Roman"/>
          <w:noProof/>
        </w:rPr>
        <w:t>restricting</w:t>
      </w:r>
      <w:r w:rsidRPr="009751B2">
        <w:rPr>
          <w:rFonts w:ascii="Times New Roman" w:eastAsia="Calibri" w:hAnsi="Times New Roman" w:cs="Times New Roman"/>
          <w:noProof/>
        </w:rPr>
        <w:t xml:space="preserve"> risk retention </w:t>
      </w:r>
      <w:r w:rsidR="00951EB8" w:rsidRPr="009751B2">
        <w:rPr>
          <w:rFonts w:ascii="Times New Roman" w:eastAsia="Calibri" w:hAnsi="Times New Roman" w:cs="Times New Roman"/>
          <w:noProof/>
        </w:rPr>
        <w:t xml:space="preserve">only </w:t>
      </w:r>
      <w:r w:rsidRPr="009751B2">
        <w:rPr>
          <w:rFonts w:ascii="Times New Roman" w:eastAsia="Calibri" w:hAnsi="Times New Roman" w:cs="Times New Roman"/>
          <w:noProof/>
        </w:rPr>
        <w:t>to EU</w:t>
      </w:r>
      <w:r w:rsidR="00BC13DA" w:rsidRPr="009751B2">
        <w:rPr>
          <w:rFonts w:ascii="Times New Roman" w:eastAsia="Calibri" w:hAnsi="Times New Roman" w:cs="Times New Roman"/>
          <w:noProof/>
        </w:rPr>
        <w:t>-</w:t>
      </w:r>
      <w:r w:rsidRPr="009751B2">
        <w:rPr>
          <w:rFonts w:ascii="Times New Roman" w:eastAsia="Calibri" w:hAnsi="Times New Roman" w:cs="Times New Roman"/>
          <w:noProof/>
        </w:rPr>
        <w:t>based entities</w:t>
      </w:r>
      <w:r w:rsidR="00951EB8" w:rsidRPr="009751B2">
        <w:rPr>
          <w:rFonts w:ascii="Times New Roman" w:eastAsia="Calibri" w:hAnsi="Times New Roman" w:cs="Times New Roman"/>
          <w:noProof/>
        </w:rPr>
        <w:t>.</w:t>
      </w:r>
      <w:r w:rsidRPr="009751B2">
        <w:rPr>
          <w:rFonts w:ascii="Times New Roman" w:eastAsia="Calibri" w:hAnsi="Times New Roman" w:cs="Times New Roman"/>
          <w:noProof/>
        </w:rPr>
        <w:t xml:space="preserve"> Risk retainers should be the entities with actual and sufficient control over and interest in the securitised portfolio; jurisdiction should not play a role.</w:t>
      </w:r>
    </w:p>
    <w:p w14:paraId="19CA4EBF" w14:textId="6A664349" w:rsidR="00A70EA8" w:rsidRPr="00647E9A" w:rsidRDefault="00A70EA8" w:rsidP="00A70EA8">
      <w:pPr>
        <w:numPr>
          <w:ilvl w:val="0"/>
          <w:numId w:val="32"/>
        </w:numPr>
        <w:contextualSpacing/>
        <w:jc w:val="both"/>
        <w:rPr>
          <w:rFonts w:ascii="Times New Roman" w:eastAsia="Calibri" w:hAnsi="Times New Roman" w:cs="Times New Roman"/>
          <w:noProof/>
        </w:rPr>
      </w:pPr>
      <w:r w:rsidRPr="009751B2">
        <w:rPr>
          <w:rFonts w:ascii="Times New Roman" w:eastAsia="Calibri" w:hAnsi="Times New Roman" w:cs="Times New Roman"/>
          <w:noProof/>
        </w:rPr>
        <w:t xml:space="preserve">Also </w:t>
      </w:r>
      <w:r w:rsidR="008E582D" w:rsidRPr="009751B2">
        <w:rPr>
          <w:rFonts w:ascii="Times New Roman" w:eastAsia="Calibri" w:hAnsi="Times New Roman" w:cs="Times New Roman"/>
          <w:noProof/>
        </w:rPr>
        <w:t>on</w:t>
      </w:r>
      <w:r w:rsidRPr="009751B2">
        <w:rPr>
          <w:rFonts w:ascii="Times New Roman" w:eastAsia="Calibri" w:hAnsi="Times New Roman" w:cs="Times New Roman"/>
          <w:noProof/>
        </w:rPr>
        <w:t xml:space="preserve"> the transparency requirements of Article 7 of the Securitisation Regulation, a broad majority, mainly of industry representatives, objected to imposing </w:t>
      </w:r>
      <w:r w:rsidR="007E3418" w:rsidRPr="009751B2">
        <w:rPr>
          <w:rFonts w:ascii="Times New Roman" w:eastAsia="Calibri" w:hAnsi="Times New Roman" w:cs="Times New Roman"/>
          <w:noProof/>
        </w:rPr>
        <w:t xml:space="preserve">on the EU-based entity </w:t>
      </w:r>
      <w:r w:rsidRPr="009751B2">
        <w:rPr>
          <w:rFonts w:ascii="Times New Roman" w:eastAsia="Calibri" w:hAnsi="Times New Roman" w:cs="Times New Roman"/>
          <w:noProof/>
        </w:rPr>
        <w:t>the obligation to disclose, stressing that the most appropriate reporting entity may not</w:t>
      </w:r>
      <w:r w:rsidRPr="003C0D71">
        <w:rPr>
          <w:rFonts w:ascii="Times New Roman" w:eastAsia="Calibri" w:hAnsi="Times New Roman" w:cs="Times New Roman"/>
          <w:noProof/>
        </w:rPr>
        <w:t xml:space="preserve"> be located in the EU. Most supervisors that responded were more in favour of the suggestion of the Joint </w:t>
      </w:r>
      <w:r w:rsidRPr="009751B2">
        <w:rPr>
          <w:rFonts w:ascii="Times New Roman" w:eastAsia="Calibri" w:hAnsi="Times New Roman" w:cs="Times New Roman"/>
          <w:noProof/>
        </w:rPr>
        <w:t>Committee. However, it is noted that only a handful of supervisors responded</w:t>
      </w:r>
      <w:r w:rsidRPr="00647E9A">
        <w:rPr>
          <w:rFonts w:ascii="Times New Roman" w:eastAsia="Calibri" w:hAnsi="Times New Roman" w:cs="Times New Roman"/>
          <w:noProof/>
        </w:rPr>
        <w:t xml:space="preserve">. </w:t>
      </w:r>
    </w:p>
    <w:p w14:paraId="013BB647" w14:textId="7114C116" w:rsidR="00A70EA8" w:rsidRDefault="00A70EA8" w:rsidP="00A70EA8">
      <w:pPr>
        <w:numPr>
          <w:ilvl w:val="0"/>
          <w:numId w:val="32"/>
        </w:numPr>
        <w:contextualSpacing/>
        <w:jc w:val="both"/>
        <w:rPr>
          <w:rFonts w:ascii="Times New Roman" w:eastAsia="Calibri" w:hAnsi="Times New Roman" w:cs="Times New Roman"/>
          <w:noProof/>
        </w:rPr>
      </w:pPr>
      <w:r w:rsidRPr="009751B2">
        <w:rPr>
          <w:rFonts w:ascii="Times New Roman" w:eastAsia="Calibri" w:hAnsi="Times New Roman" w:cs="Times New Roman"/>
          <w:noProof/>
        </w:rPr>
        <w:t xml:space="preserve">Views were also split </w:t>
      </w:r>
      <w:r w:rsidR="00951EB8" w:rsidRPr="009751B2">
        <w:rPr>
          <w:rFonts w:ascii="Times New Roman" w:eastAsia="Calibri" w:hAnsi="Times New Roman" w:cs="Times New Roman"/>
          <w:noProof/>
        </w:rPr>
        <w:t xml:space="preserve">on </w:t>
      </w:r>
      <w:r w:rsidRPr="009751B2">
        <w:rPr>
          <w:rFonts w:ascii="Times New Roman" w:eastAsia="Calibri" w:hAnsi="Times New Roman" w:cs="Times New Roman"/>
          <w:noProof/>
        </w:rPr>
        <w:t>whether the verification of the credit</w:t>
      </w:r>
      <w:r w:rsidR="00BC13DA" w:rsidRPr="009751B2">
        <w:rPr>
          <w:rFonts w:ascii="Times New Roman" w:eastAsia="Calibri" w:hAnsi="Times New Roman" w:cs="Times New Roman"/>
          <w:noProof/>
        </w:rPr>
        <w:t>-</w:t>
      </w:r>
      <w:r w:rsidRPr="009751B2">
        <w:rPr>
          <w:rFonts w:ascii="Times New Roman" w:eastAsia="Calibri" w:hAnsi="Times New Roman" w:cs="Times New Roman"/>
          <w:noProof/>
        </w:rPr>
        <w:t>granting standards according</w:t>
      </w:r>
      <w:r w:rsidRPr="003C0D71">
        <w:rPr>
          <w:rFonts w:ascii="Times New Roman" w:eastAsia="Calibri" w:hAnsi="Times New Roman" w:cs="Times New Roman"/>
          <w:noProof/>
        </w:rPr>
        <w:t xml:space="preserve"> to Article 9 of the Securitisation Regulation </w:t>
      </w:r>
      <w:r w:rsidRPr="007E3418">
        <w:rPr>
          <w:rFonts w:ascii="Times New Roman" w:eastAsia="Calibri" w:hAnsi="Times New Roman" w:cs="Times New Roman"/>
          <w:noProof/>
        </w:rPr>
        <w:t>should mandatorily be</w:t>
      </w:r>
      <w:r w:rsidRPr="003C0D71">
        <w:rPr>
          <w:rFonts w:ascii="Times New Roman" w:eastAsia="Calibri" w:hAnsi="Times New Roman" w:cs="Times New Roman"/>
          <w:noProof/>
        </w:rPr>
        <w:t xml:space="preserve"> performed by the EU</w:t>
      </w:r>
      <w:r w:rsidR="007A0137">
        <w:rPr>
          <w:rFonts w:ascii="Times New Roman" w:eastAsia="Calibri" w:hAnsi="Times New Roman" w:cs="Times New Roman"/>
          <w:noProof/>
        </w:rPr>
        <w:t>-based entity</w:t>
      </w:r>
      <w:r w:rsidRPr="003C0D71">
        <w:rPr>
          <w:rFonts w:ascii="Times New Roman" w:eastAsia="Calibri" w:hAnsi="Times New Roman" w:cs="Times New Roman"/>
          <w:noProof/>
        </w:rPr>
        <w:t xml:space="preserve">. Three quarters of respondents (comprising most of the industry respondents) argued against removing these responsibilities from the appropriate entity to one </w:t>
      </w:r>
      <w:r w:rsidR="00A6598B">
        <w:rPr>
          <w:rFonts w:ascii="Times New Roman" w:eastAsia="Calibri" w:hAnsi="Times New Roman" w:cs="Times New Roman"/>
          <w:noProof/>
        </w:rPr>
        <w:t>that</w:t>
      </w:r>
      <w:r w:rsidR="00A6598B" w:rsidRPr="003C0D71">
        <w:rPr>
          <w:rFonts w:ascii="Times New Roman" w:eastAsia="Calibri" w:hAnsi="Times New Roman" w:cs="Times New Roman"/>
          <w:noProof/>
        </w:rPr>
        <w:t xml:space="preserve"> </w:t>
      </w:r>
      <w:r w:rsidRPr="003C0D71">
        <w:rPr>
          <w:rFonts w:ascii="Times New Roman" w:eastAsia="Calibri" w:hAnsi="Times New Roman" w:cs="Times New Roman"/>
          <w:noProof/>
        </w:rPr>
        <w:t>is located in the EU.</w:t>
      </w:r>
    </w:p>
    <w:p w14:paraId="6ACC80CE" w14:textId="77777777" w:rsidR="00A6598B" w:rsidRPr="003C0D71" w:rsidRDefault="00A6598B" w:rsidP="00A6598B">
      <w:pPr>
        <w:ind w:left="720"/>
        <w:contextualSpacing/>
        <w:jc w:val="both"/>
        <w:rPr>
          <w:rFonts w:ascii="Times New Roman" w:eastAsia="Calibri" w:hAnsi="Times New Roman" w:cs="Times New Roman"/>
          <w:noProof/>
        </w:rPr>
      </w:pPr>
    </w:p>
    <w:p w14:paraId="427655D3" w14:textId="33588256" w:rsidR="00A70EA8" w:rsidRPr="003C0D71" w:rsidRDefault="00A6598B" w:rsidP="00A70EA8">
      <w:pPr>
        <w:jc w:val="both"/>
        <w:rPr>
          <w:rFonts w:ascii="Times New Roman" w:eastAsia="Calibri" w:hAnsi="Times New Roman" w:cs="Times New Roman"/>
          <w:noProof/>
        </w:rPr>
      </w:pPr>
      <w:r>
        <w:rPr>
          <w:rFonts w:ascii="Times New Roman" w:eastAsia="Calibri" w:hAnsi="Times New Roman" w:cs="Times New Roman"/>
          <w:noProof/>
        </w:rPr>
        <w:t>Lastly</w:t>
      </w:r>
      <w:r w:rsidR="00A70EA8" w:rsidRPr="003C0D71">
        <w:rPr>
          <w:rFonts w:ascii="Times New Roman" w:eastAsia="Calibri" w:hAnsi="Times New Roman" w:cs="Times New Roman"/>
          <w:noProof/>
        </w:rPr>
        <w:t xml:space="preserve">, the </w:t>
      </w:r>
      <w:r>
        <w:rPr>
          <w:rFonts w:ascii="Times New Roman" w:eastAsia="Calibri" w:hAnsi="Times New Roman" w:cs="Times New Roman"/>
          <w:noProof/>
        </w:rPr>
        <w:t>c</w:t>
      </w:r>
      <w:r w:rsidR="00A70EA8" w:rsidRPr="003C0D71">
        <w:rPr>
          <w:rFonts w:ascii="Times New Roman" w:eastAsia="Calibri" w:hAnsi="Times New Roman" w:cs="Times New Roman"/>
          <w:noProof/>
        </w:rPr>
        <w:t xml:space="preserve">onsultation suggested a broad consensus among respondents that the </w:t>
      </w:r>
      <w:r w:rsidR="007E3418" w:rsidRPr="003C0D71">
        <w:rPr>
          <w:rFonts w:ascii="Times New Roman" w:eastAsia="Calibri" w:hAnsi="Times New Roman" w:cs="Times New Roman"/>
          <w:noProof/>
        </w:rPr>
        <w:t xml:space="preserve">inconsistency </w:t>
      </w:r>
      <w:r w:rsidR="00A70EA8" w:rsidRPr="003C0D71">
        <w:rPr>
          <w:rFonts w:ascii="Times New Roman" w:eastAsia="Calibri" w:hAnsi="Times New Roman" w:cs="Times New Roman"/>
          <w:noProof/>
        </w:rPr>
        <w:t xml:space="preserve">identified between Article 5(1)(b) and Article 9 of the Securitisation Regulation should be resolved. </w:t>
      </w:r>
    </w:p>
    <w:p w14:paraId="50C74FC0" w14:textId="6999CD33" w:rsidR="009E344D" w:rsidRPr="003C0D71" w:rsidRDefault="000146AB" w:rsidP="000D4664">
      <w:pPr>
        <w:rPr>
          <w:rFonts w:ascii="Times New Roman" w:hAnsi="Times New Roman" w:cs="Times New Roman"/>
          <w:b/>
          <w:noProof/>
          <w:sz w:val="24"/>
        </w:rPr>
      </w:pPr>
      <w:r>
        <w:rPr>
          <w:rFonts w:ascii="Times New Roman" w:hAnsi="Times New Roman" w:cs="Times New Roman"/>
          <w:b/>
          <w:noProof/>
          <w:sz w:val="24"/>
        </w:rPr>
        <w:t>The Commission’s assessment</w:t>
      </w:r>
    </w:p>
    <w:p w14:paraId="094B5943" w14:textId="50924997" w:rsidR="00A70EA8" w:rsidRPr="003C0D71" w:rsidRDefault="00A70EA8" w:rsidP="00A70EA8">
      <w:pPr>
        <w:jc w:val="both"/>
        <w:rPr>
          <w:rFonts w:ascii="Times New Roman" w:eastAsia="Calibri" w:hAnsi="Times New Roman" w:cs="Times New Roman"/>
          <w:noProof/>
        </w:rPr>
      </w:pPr>
      <w:r w:rsidRPr="003C0D71">
        <w:rPr>
          <w:rFonts w:ascii="Times New Roman" w:eastAsia="Calibri" w:hAnsi="Times New Roman" w:cs="Times New Roman"/>
          <w:noProof/>
        </w:rPr>
        <w:t>The Commission notes that the interpretation of Articles 6, 7 and 9 of the Securitisation Regulation suggested by the Joint Committee is not supported by the legal text. The Commission deem</w:t>
      </w:r>
      <w:r w:rsidR="00412782" w:rsidRPr="003C0D71">
        <w:rPr>
          <w:rFonts w:ascii="Times New Roman" w:eastAsia="Calibri" w:hAnsi="Times New Roman" w:cs="Times New Roman"/>
          <w:noProof/>
        </w:rPr>
        <w:t>s</w:t>
      </w:r>
      <w:r w:rsidRPr="003C0D71">
        <w:rPr>
          <w:rFonts w:ascii="Times New Roman" w:eastAsia="Calibri" w:hAnsi="Times New Roman" w:cs="Times New Roman"/>
          <w:noProof/>
        </w:rPr>
        <w:t xml:space="preserve"> such </w:t>
      </w:r>
      <w:r w:rsidR="00A6598B">
        <w:rPr>
          <w:rFonts w:ascii="Times New Roman" w:eastAsia="Calibri" w:hAnsi="Times New Roman" w:cs="Times New Roman"/>
          <w:noProof/>
        </w:rPr>
        <w:t xml:space="preserve">a </w:t>
      </w:r>
      <w:r w:rsidR="002E5705" w:rsidRPr="003C0D71">
        <w:rPr>
          <w:rFonts w:ascii="Times New Roman" w:eastAsia="Calibri" w:hAnsi="Times New Roman" w:cs="Times New Roman"/>
          <w:noProof/>
        </w:rPr>
        <w:t>narrow</w:t>
      </w:r>
      <w:r w:rsidRPr="003C0D71">
        <w:rPr>
          <w:rFonts w:ascii="Times New Roman" w:eastAsia="Calibri" w:hAnsi="Times New Roman" w:cs="Times New Roman"/>
          <w:noProof/>
        </w:rPr>
        <w:t xml:space="preserve"> interpretation </w:t>
      </w:r>
      <w:r w:rsidR="00412782" w:rsidRPr="003C0D71">
        <w:rPr>
          <w:rFonts w:ascii="Times New Roman" w:eastAsia="Calibri" w:hAnsi="Times New Roman" w:cs="Times New Roman"/>
          <w:noProof/>
        </w:rPr>
        <w:t xml:space="preserve">not </w:t>
      </w:r>
      <w:r w:rsidRPr="003C0D71">
        <w:rPr>
          <w:rFonts w:ascii="Times New Roman" w:eastAsia="Calibri" w:hAnsi="Times New Roman" w:cs="Times New Roman"/>
          <w:noProof/>
        </w:rPr>
        <w:t>imperative</w:t>
      </w:r>
      <w:r w:rsidR="00C61BFB" w:rsidRPr="003C0D71">
        <w:rPr>
          <w:rFonts w:ascii="Times New Roman" w:eastAsia="Calibri" w:hAnsi="Times New Roman" w:cs="Times New Roman"/>
          <w:noProof/>
        </w:rPr>
        <w:t>,</w:t>
      </w:r>
      <w:r w:rsidR="00412782" w:rsidRPr="003C0D71">
        <w:rPr>
          <w:rFonts w:ascii="Times New Roman" w:eastAsia="Calibri" w:hAnsi="Times New Roman" w:cs="Times New Roman"/>
          <w:noProof/>
        </w:rPr>
        <w:t xml:space="preserve"> either</w:t>
      </w:r>
      <w:r w:rsidR="00C61BFB" w:rsidRPr="003C0D71">
        <w:rPr>
          <w:rFonts w:ascii="Times New Roman" w:eastAsia="Calibri" w:hAnsi="Times New Roman" w:cs="Times New Roman"/>
          <w:noProof/>
        </w:rPr>
        <w:t>,</w:t>
      </w:r>
      <w:r w:rsidRPr="003C0D71">
        <w:rPr>
          <w:rFonts w:ascii="Times New Roman" w:eastAsia="Calibri" w:hAnsi="Times New Roman" w:cs="Times New Roman"/>
          <w:noProof/>
        </w:rPr>
        <w:t xml:space="preserve"> in order to achieve the legislative intent of the </w:t>
      </w:r>
      <w:r w:rsidRPr="007E3418">
        <w:rPr>
          <w:rFonts w:ascii="Times New Roman" w:eastAsia="Calibri" w:hAnsi="Times New Roman" w:cs="Times New Roman"/>
          <w:noProof/>
        </w:rPr>
        <w:t>provisions</w:t>
      </w:r>
      <w:r w:rsidRPr="003C0D71">
        <w:rPr>
          <w:rFonts w:ascii="Times New Roman" w:eastAsia="Calibri" w:hAnsi="Times New Roman" w:cs="Times New Roman"/>
          <w:noProof/>
        </w:rPr>
        <w:t xml:space="preserve"> of Articles 6, 7 and 9, namely to ensure that all securitisations with participating EU parties comply with certain structural and quality requirements</w:t>
      </w:r>
      <w:r w:rsidR="00412782" w:rsidRPr="003C0D71">
        <w:rPr>
          <w:rFonts w:ascii="Times New Roman" w:eastAsia="Calibri" w:hAnsi="Times New Roman" w:cs="Times New Roman"/>
          <w:noProof/>
        </w:rPr>
        <w:t xml:space="preserve">. </w:t>
      </w:r>
      <w:r w:rsidR="00465D44" w:rsidRPr="00647E9A">
        <w:rPr>
          <w:rFonts w:ascii="Times New Roman" w:eastAsia="Calibri" w:hAnsi="Times New Roman" w:cs="Times New Roman"/>
          <w:noProof/>
        </w:rPr>
        <w:t>While i</w:t>
      </w:r>
      <w:r w:rsidR="00412782" w:rsidRPr="00647E9A">
        <w:rPr>
          <w:rFonts w:ascii="Times New Roman" w:eastAsia="Calibri" w:hAnsi="Times New Roman" w:cs="Times New Roman"/>
          <w:noProof/>
        </w:rPr>
        <w:t>t</w:t>
      </w:r>
      <w:r w:rsidR="00FE6FF7" w:rsidRPr="00647E9A">
        <w:rPr>
          <w:rFonts w:ascii="Times New Roman" w:eastAsia="Calibri" w:hAnsi="Times New Roman" w:cs="Times New Roman"/>
          <w:noProof/>
        </w:rPr>
        <w:t xml:space="preserve"> is certainly most desirable to have these requirements enforced directly by EU supervisors, it</w:t>
      </w:r>
      <w:r w:rsidR="00412782" w:rsidRPr="00647E9A">
        <w:rPr>
          <w:rFonts w:ascii="Times New Roman" w:eastAsia="Calibri" w:hAnsi="Times New Roman" w:cs="Times New Roman"/>
          <w:noProof/>
        </w:rPr>
        <w:t xml:space="preserve"> </w:t>
      </w:r>
      <w:r w:rsidR="00A6598B" w:rsidRPr="00647E9A">
        <w:rPr>
          <w:rFonts w:ascii="Times New Roman" w:eastAsia="Calibri" w:hAnsi="Times New Roman" w:cs="Times New Roman"/>
          <w:noProof/>
        </w:rPr>
        <w:t>should be recalled</w:t>
      </w:r>
      <w:r w:rsidR="00412782" w:rsidRPr="00647E9A">
        <w:rPr>
          <w:rFonts w:ascii="Times New Roman" w:eastAsia="Calibri" w:hAnsi="Times New Roman" w:cs="Times New Roman"/>
          <w:noProof/>
        </w:rPr>
        <w:t xml:space="preserve"> that this </w:t>
      </w:r>
      <w:r w:rsidR="00A6598B" w:rsidRPr="00647E9A">
        <w:rPr>
          <w:rFonts w:ascii="Times New Roman" w:eastAsia="Calibri" w:hAnsi="Times New Roman" w:cs="Times New Roman"/>
          <w:noProof/>
        </w:rPr>
        <w:t xml:space="preserve">aim </w:t>
      </w:r>
      <w:r w:rsidR="00412782" w:rsidRPr="00647E9A">
        <w:rPr>
          <w:rFonts w:ascii="Times New Roman" w:eastAsia="Calibri" w:hAnsi="Times New Roman" w:cs="Times New Roman"/>
          <w:noProof/>
        </w:rPr>
        <w:t xml:space="preserve">is </w:t>
      </w:r>
      <w:r w:rsidR="00C61BFB" w:rsidRPr="00647E9A">
        <w:rPr>
          <w:rFonts w:ascii="Times New Roman" w:eastAsia="Calibri" w:hAnsi="Times New Roman" w:cs="Times New Roman"/>
          <w:noProof/>
        </w:rPr>
        <w:t>also</w:t>
      </w:r>
      <w:r w:rsidR="00C61BFB" w:rsidRPr="003C0D71">
        <w:rPr>
          <w:rFonts w:ascii="Times New Roman" w:eastAsia="Calibri" w:hAnsi="Times New Roman" w:cs="Times New Roman"/>
          <w:noProof/>
        </w:rPr>
        <w:t xml:space="preserve"> </w:t>
      </w:r>
      <w:r w:rsidR="00412782" w:rsidRPr="003C0D71">
        <w:rPr>
          <w:rFonts w:ascii="Times New Roman" w:eastAsia="Calibri" w:hAnsi="Times New Roman" w:cs="Times New Roman"/>
          <w:noProof/>
        </w:rPr>
        <w:t xml:space="preserve">met </w:t>
      </w:r>
      <w:r w:rsidR="00A6598B" w:rsidRPr="003C0D71">
        <w:rPr>
          <w:rFonts w:ascii="Times New Roman" w:eastAsia="Calibri" w:hAnsi="Times New Roman" w:cs="Times New Roman"/>
          <w:noProof/>
        </w:rPr>
        <w:t xml:space="preserve">effectively </w:t>
      </w:r>
      <w:r w:rsidR="00412782" w:rsidRPr="003C0D71">
        <w:rPr>
          <w:rFonts w:ascii="Times New Roman" w:eastAsia="Calibri" w:hAnsi="Times New Roman" w:cs="Times New Roman"/>
          <w:noProof/>
        </w:rPr>
        <w:t xml:space="preserve">through the </w:t>
      </w:r>
      <w:r w:rsidR="00130B54">
        <w:rPr>
          <w:rFonts w:ascii="Times New Roman" w:eastAsia="Calibri" w:hAnsi="Times New Roman" w:cs="Times New Roman"/>
          <w:noProof/>
        </w:rPr>
        <w:t xml:space="preserve">institutional </w:t>
      </w:r>
      <w:r w:rsidR="00412782" w:rsidRPr="003C0D71">
        <w:rPr>
          <w:rFonts w:ascii="Times New Roman" w:eastAsia="Calibri" w:hAnsi="Times New Roman" w:cs="Times New Roman"/>
          <w:noProof/>
        </w:rPr>
        <w:t xml:space="preserve">investor’s due diligence obligations imposed by Article 5 of the </w:t>
      </w:r>
      <w:r w:rsidR="00443B8F">
        <w:rPr>
          <w:rFonts w:ascii="Times New Roman" w:eastAsia="Calibri" w:hAnsi="Times New Roman" w:cs="Times New Roman"/>
          <w:noProof/>
        </w:rPr>
        <w:t>S</w:t>
      </w:r>
      <w:r w:rsidR="00412782" w:rsidRPr="003C0D71">
        <w:rPr>
          <w:rFonts w:ascii="Times New Roman" w:eastAsia="Calibri" w:hAnsi="Times New Roman" w:cs="Times New Roman"/>
          <w:noProof/>
        </w:rPr>
        <w:t>ecuritisation Regulation</w:t>
      </w:r>
      <w:r w:rsidR="00A6598B">
        <w:rPr>
          <w:rFonts w:ascii="Times New Roman" w:eastAsia="Calibri" w:hAnsi="Times New Roman" w:cs="Times New Roman"/>
          <w:noProof/>
        </w:rPr>
        <w:t>.</w:t>
      </w:r>
      <w:r w:rsidR="00412782" w:rsidRPr="003C0D71">
        <w:rPr>
          <w:rFonts w:ascii="Times New Roman" w:eastAsia="Calibri" w:hAnsi="Times New Roman" w:cs="Times New Roman"/>
          <w:noProof/>
        </w:rPr>
        <w:t xml:space="preserve"> </w:t>
      </w:r>
      <w:r w:rsidR="00A6598B">
        <w:rPr>
          <w:rFonts w:ascii="Times New Roman" w:eastAsia="Calibri" w:hAnsi="Times New Roman" w:cs="Times New Roman"/>
          <w:noProof/>
        </w:rPr>
        <w:t xml:space="preserve">According to these obligations, </w:t>
      </w:r>
      <w:r w:rsidR="00130B54">
        <w:rPr>
          <w:rFonts w:ascii="Times New Roman" w:eastAsia="Calibri" w:hAnsi="Times New Roman" w:cs="Times New Roman"/>
          <w:noProof/>
        </w:rPr>
        <w:t xml:space="preserve">institutional </w:t>
      </w:r>
      <w:r w:rsidR="00A6598B">
        <w:rPr>
          <w:rFonts w:ascii="Times New Roman" w:eastAsia="Calibri" w:hAnsi="Times New Roman" w:cs="Times New Roman"/>
          <w:noProof/>
        </w:rPr>
        <w:t>i</w:t>
      </w:r>
      <w:r w:rsidR="00412782" w:rsidRPr="003C0D71">
        <w:rPr>
          <w:rFonts w:ascii="Times New Roman" w:eastAsia="Calibri" w:hAnsi="Times New Roman" w:cs="Times New Roman"/>
          <w:noProof/>
        </w:rPr>
        <w:t xml:space="preserve">nvestors </w:t>
      </w:r>
      <w:r w:rsidR="00435A82" w:rsidRPr="003C0D71">
        <w:rPr>
          <w:rFonts w:ascii="Times New Roman" w:eastAsia="Calibri" w:hAnsi="Times New Roman" w:cs="Times New Roman"/>
          <w:noProof/>
        </w:rPr>
        <w:t>must verify that the sel</w:t>
      </w:r>
      <w:r w:rsidR="00C61BFB" w:rsidRPr="003C0D71">
        <w:rPr>
          <w:rFonts w:ascii="Times New Roman" w:eastAsia="Calibri" w:hAnsi="Times New Roman" w:cs="Times New Roman"/>
          <w:noProof/>
        </w:rPr>
        <w:t>l</w:t>
      </w:r>
      <w:r w:rsidR="005F5D7D">
        <w:rPr>
          <w:rFonts w:ascii="Times New Roman" w:eastAsia="Calibri" w:hAnsi="Times New Roman" w:cs="Times New Roman"/>
          <w:noProof/>
        </w:rPr>
        <w:t>-</w:t>
      </w:r>
      <w:r w:rsidR="00435A82" w:rsidRPr="003C0D71">
        <w:rPr>
          <w:rFonts w:ascii="Times New Roman" w:eastAsia="Calibri" w:hAnsi="Times New Roman" w:cs="Times New Roman"/>
          <w:noProof/>
        </w:rPr>
        <w:t xml:space="preserve">side parties of the transaction, irrespective of their location, comply with </w:t>
      </w:r>
      <w:r w:rsidR="00C61BFB" w:rsidRPr="003C0D71">
        <w:rPr>
          <w:rFonts w:ascii="Times New Roman" w:eastAsia="Calibri" w:hAnsi="Times New Roman" w:cs="Times New Roman"/>
          <w:noProof/>
        </w:rPr>
        <w:t>the</w:t>
      </w:r>
      <w:r w:rsidR="00435A82" w:rsidRPr="003C0D71">
        <w:rPr>
          <w:rFonts w:ascii="Times New Roman" w:eastAsia="Calibri" w:hAnsi="Times New Roman" w:cs="Times New Roman"/>
          <w:noProof/>
        </w:rPr>
        <w:t xml:space="preserve"> respective obligations under this regulation before investing in th</w:t>
      </w:r>
      <w:r w:rsidR="00C61BFB" w:rsidRPr="003C0D71">
        <w:rPr>
          <w:rFonts w:ascii="Times New Roman" w:eastAsia="Calibri" w:hAnsi="Times New Roman" w:cs="Times New Roman"/>
          <w:noProof/>
        </w:rPr>
        <w:t>is</w:t>
      </w:r>
      <w:r w:rsidR="00435A82" w:rsidRPr="003C0D71">
        <w:rPr>
          <w:rFonts w:ascii="Times New Roman" w:eastAsia="Calibri" w:hAnsi="Times New Roman" w:cs="Times New Roman"/>
          <w:noProof/>
        </w:rPr>
        <w:t xml:space="preserve"> securitisation</w:t>
      </w:r>
      <w:r w:rsidR="00A6598B">
        <w:rPr>
          <w:rFonts w:ascii="Times New Roman" w:eastAsia="Calibri" w:hAnsi="Times New Roman" w:cs="Times New Roman"/>
          <w:noProof/>
        </w:rPr>
        <w:t>.</w:t>
      </w:r>
      <w:r w:rsidR="00435A82" w:rsidRPr="003C0D71">
        <w:rPr>
          <w:rFonts w:ascii="Times New Roman" w:eastAsia="Calibri" w:hAnsi="Times New Roman" w:cs="Times New Roman"/>
          <w:noProof/>
        </w:rPr>
        <w:t xml:space="preserve"> EU </w:t>
      </w:r>
      <w:r w:rsidR="00130B54">
        <w:rPr>
          <w:rFonts w:ascii="Times New Roman" w:eastAsia="Calibri" w:hAnsi="Times New Roman" w:cs="Times New Roman"/>
          <w:noProof/>
        </w:rPr>
        <w:t xml:space="preserve">institutional </w:t>
      </w:r>
      <w:r w:rsidR="00435A82" w:rsidRPr="003C0D71">
        <w:rPr>
          <w:rFonts w:ascii="Times New Roman" w:eastAsia="Calibri" w:hAnsi="Times New Roman" w:cs="Times New Roman"/>
          <w:noProof/>
        </w:rPr>
        <w:t>investors may not invest in securitisations if the sell</w:t>
      </w:r>
      <w:r w:rsidR="005F5D7D">
        <w:rPr>
          <w:rFonts w:ascii="Times New Roman" w:eastAsia="Calibri" w:hAnsi="Times New Roman" w:cs="Times New Roman"/>
          <w:noProof/>
        </w:rPr>
        <w:t>-</w:t>
      </w:r>
      <w:r w:rsidR="00435A82" w:rsidRPr="003C0D71">
        <w:rPr>
          <w:rFonts w:ascii="Times New Roman" w:eastAsia="Calibri" w:hAnsi="Times New Roman" w:cs="Times New Roman"/>
          <w:noProof/>
        </w:rPr>
        <w:t xml:space="preserve">side entities are found to be not </w:t>
      </w:r>
      <w:r w:rsidR="00A6598B">
        <w:rPr>
          <w:rFonts w:ascii="Times New Roman" w:eastAsia="Calibri" w:hAnsi="Times New Roman" w:cs="Times New Roman"/>
          <w:noProof/>
        </w:rPr>
        <w:t xml:space="preserve">in </w:t>
      </w:r>
      <w:r w:rsidR="00435A82" w:rsidRPr="003C0D71">
        <w:rPr>
          <w:rFonts w:ascii="Times New Roman" w:eastAsia="Calibri" w:hAnsi="Times New Roman" w:cs="Times New Roman"/>
          <w:noProof/>
        </w:rPr>
        <w:t>complian</w:t>
      </w:r>
      <w:r w:rsidR="00A6598B">
        <w:rPr>
          <w:rFonts w:ascii="Times New Roman" w:eastAsia="Calibri" w:hAnsi="Times New Roman" w:cs="Times New Roman"/>
          <w:noProof/>
        </w:rPr>
        <w:t>ce</w:t>
      </w:r>
      <w:r w:rsidR="00435A82" w:rsidRPr="003C0D71">
        <w:rPr>
          <w:rFonts w:ascii="Times New Roman" w:eastAsia="Calibri" w:hAnsi="Times New Roman" w:cs="Times New Roman"/>
          <w:noProof/>
        </w:rPr>
        <w:t xml:space="preserve"> with these obligations. In </w:t>
      </w:r>
      <w:r w:rsidR="00C61BFB" w:rsidRPr="003C0D71">
        <w:rPr>
          <w:rFonts w:ascii="Times New Roman" w:eastAsia="Calibri" w:hAnsi="Times New Roman" w:cs="Times New Roman"/>
          <w:noProof/>
        </w:rPr>
        <w:t xml:space="preserve">more </w:t>
      </w:r>
      <w:r w:rsidR="00435A82" w:rsidRPr="003C0D71">
        <w:rPr>
          <w:rFonts w:ascii="Times New Roman" w:eastAsia="Calibri" w:hAnsi="Times New Roman" w:cs="Times New Roman"/>
          <w:noProof/>
        </w:rPr>
        <w:t xml:space="preserve">detail: </w:t>
      </w:r>
    </w:p>
    <w:p w14:paraId="2AAC1105" w14:textId="472D94E6" w:rsidR="00A70EA8" w:rsidRPr="003C0D71" w:rsidRDefault="00A70EA8" w:rsidP="00C16759">
      <w:pPr>
        <w:pStyle w:val="ListParagraph"/>
        <w:numPr>
          <w:ilvl w:val="0"/>
          <w:numId w:val="36"/>
        </w:numPr>
        <w:jc w:val="both"/>
        <w:rPr>
          <w:rFonts w:ascii="Times New Roman" w:eastAsia="Calibri" w:hAnsi="Times New Roman" w:cs="Times New Roman"/>
          <w:noProof/>
        </w:rPr>
      </w:pPr>
      <w:r w:rsidRPr="003C0D71">
        <w:rPr>
          <w:rFonts w:ascii="Times New Roman" w:eastAsia="Calibri" w:hAnsi="Times New Roman" w:cs="Times New Roman"/>
          <w:noProof/>
        </w:rPr>
        <w:t xml:space="preserve">The main purpose of the risk retention requirement of Article 6 of the Securitisation Regulation is the alignment of interests between the issuer and the investor of a securitisation. Hence, </w:t>
      </w:r>
      <w:r w:rsidR="00FA4E41">
        <w:rPr>
          <w:rFonts w:ascii="Times New Roman" w:eastAsia="Calibri" w:hAnsi="Times New Roman" w:cs="Times New Roman"/>
          <w:noProof/>
        </w:rPr>
        <w:t>the</w:t>
      </w:r>
      <w:r w:rsidRPr="003C0D71">
        <w:rPr>
          <w:rFonts w:ascii="Times New Roman" w:eastAsia="Calibri" w:hAnsi="Times New Roman" w:cs="Times New Roman"/>
          <w:noProof/>
        </w:rPr>
        <w:t xml:space="preserve"> provision </w:t>
      </w:r>
      <w:r w:rsidR="00FA4E41">
        <w:rPr>
          <w:rFonts w:ascii="Times New Roman" w:eastAsia="Calibri" w:hAnsi="Times New Roman" w:cs="Times New Roman"/>
          <w:noProof/>
        </w:rPr>
        <w:t xml:space="preserve">is </w:t>
      </w:r>
      <w:r w:rsidRPr="003C0D71">
        <w:rPr>
          <w:rFonts w:ascii="Times New Roman" w:eastAsia="Calibri" w:hAnsi="Times New Roman" w:cs="Times New Roman"/>
          <w:noProof/>
        </w:rPr>
        <w:t xml:space="preserve">in the interest of the investor. The narrow interpretation of Article 6 suggested by the Joint Committee is therefore not deemed necessary, since the investor verification duty </w:t>
      </w:r>
      <w:r w:rsidR="007E75A1">
        <w:rPr>
          <w:rFonts w:ascii="Times New Roman" w:eastAsia="Calibri" w:hAnsi="Times New Roman" w:cs="Times New Roman"/>
          <w:noProof/>
        </w:rPr>
        <w:t>under</w:t>
      </w:r>
      <w:r w:rsidR="007E75A1" w:rsidRPr="003C0D71">
        <w:rPr>
          <w:rFonts w:ascii="Times New Roman" w:eastAsia="Calibri" w:hAnsi="Times New Roman" w:cs="Times New Roman"/>
          <w:noProof/>
        </w:rPr>
        <w:t xml:space="preserve"> </w:t>
      </w:r>
      <w:r w:rsidRPr="003C0D71">
        <w:rPr>
          <w:rFonts w:ascii="Times New Roman" w:eastAsia="Calibri" w:hAnsi="Times New Roman" w:cs="Times New Roman"/>
          <w:noProof/>
        </w:rPr>
        <w:t>Article 5 effectively ensures that risk retention is complied with for all securitisations that are bought by EU investors. If the purpose of risk retention provision can be achieved this way, the more intrusive interpretation of the Joint Committee</w:t>
      </w:r>
      <w:r w:rsidR="007E75A1">
        <w:rPr>
          <w:rFonts w:ascii="Times New Roman" w:eastAsia="Calibri" w:hAnsi="Times New Roman" w:cs="Times New Roman"/>
          <w:noProof/>
        </w:rPr>
        <w:t>,</w:t>
      </w:r>
      <w:r w:rsidRPr="003C0D71">
        <w:rPr>
          <w:rFonts w:ascii="Times New Roman" w:eastAsia="Calibri" w:hAnsi="Times New Roman" w:cs="Times New Roman"/>
          <w:noProof/>
        </w:rPr>
        <w:t xml:space="preserve"> or a</w:t>
      </w:r>
      <w:r w:rsidR="00FA4E41">
        <w:rPr>
          <w:rFonts w:ascii="Times New Roman" w:eastAsia="Calibri" w:hAnsi="Times New Roman" w:cs="Times New Roman"/>
          <w:noProof/>
        </w:rPr>
        <w:t>n</w:t>
      </w:r>
      <w:r w:rsidRPr="003C0D71">
        <w:rPr>
          <w:rFonts w:ascii="Times New Roman" w:eastAsia="Calibri" w:hAnsi="Times New Roman" w:cs="Times New Roman"/>
          <w:noProof/>
        </w:rPr>
        <w:t xml:space="preserve"> amendment of the Securitisation Regulation </w:t>
      </w:r>
      <w:r w:rsidR="00FA4E41">
        <w:rPr>
          <w:rFonts w:ascii="Times New Roman" w:eastAsia="Calibri" w:hAnsi="Times New Roman" w:cs="Times New Roman"/>
          <w:noProof/>
        </w:rPr>
        <w:t>in this respect</w:t>
      </w:r>
      <w:r w:rsidR="007E75A1">
        <w:rPr>
          <w:rFonts w:ascii="Times New Roman" w:eastAsia="Calibri" w:hAnsi="Times New Roman" w:cs="Times New Roman"/>
          <w:noProof/>
        </w:rPr>
        <w:t>,</w:t>
      </w:r>
      <w:r w:rsidR="00FA4E41">
        <w:rPr>
          <w:rFonts w:ascii="Times New Roman" w:eastAsia="Calibri" w:hAnsi="Times New Roman" w:cs="Times New Roman"/>
          <w:noProof/>
        </w:rPr>
        <w:t xml:space="preserve"> </w:t>
      </w:r>
      <w:r w:rsidRPr="003C0D71">
        <w:rPr>
          <w:rFonts w:ascii="Times New Roman" w:eastAsia="Calibri" w:hAnsi="Times New Roman" w:cs="Times New Roman"/>
          <w:noProof/>
        </w:rPr>
        <w:t xml:space="preserve">seems unnecessary. </w:t>
      </w:r>
    </w:p>
    <w:p w14:paraId="2615B0B4" w14:textId="08AEE296" w:rsidR="00A70EA8" w:rsidRPr="003C0D71" w:rsidRDefault="00325A76" w:rsidP="00C16759">
      <w:pPr>
        <w:pStyle w:val="ListParagraph"/>
        <w:numPr>
          <w:ilvl w:val="0"/>
          <w:numId w:val="36"/>
        </w:numPr>
        <w:jc w:val="both"/>
        <w:rPr>
          <w:rFonts w:ascii="Times New Roman" w:eastAsia="Calibri" w:hAnsi="Times New Roman" w:cs="Times New Roman"/>
          <w:noProof/>
        </w:rPr>
      </w:pPr>
      <w:r w:rsidRPr="0067716E">
        <w:rPr>
          <w:rFonts w:ascii="Times New Roman" w:eastAsia="Calibri" w:hAnsi="Times New Roman" w:cs="Times New Roman"/>
          <w:noProof/>
        </w:rPr>
        <w:t>T</w:t>
      </w:r>
      <w:r w:rsidR="00A70EA8" w:rsidRPr="0067716E">
        <w:rPr>
          <w:rFonts w:ascii="Times New Roman" w:eastAsia="Calibri" w:hAnsi="Times New Roman" w:cs="Times New Roman"/>
          <w:noProof/>
        </w:rPr>
        <w:t>he obligations of</w:t>
      </w:r>
      <w:r w:rsidR="00A70EA8" w:rsidRPr="003C0D71">
        <w:rPr>
          <w:rFonts w:ascii="Times New Roman" w:eastAsia="Calibri" w:hAnsi="Times New Roman" w:cs="Times New Roman"/>
          <w:noProof/>
        </w:rPr>
        <w:t xml:space="preserve"> Article 7 of the Securitisation Regulation are joint obligations for which every entity, </w:t>
      </w:r>
      <w:r w:rsidR="0067716E">
        <w:rPr>
          <w:rFonts w:ascii="Times New Roman" w:eastAsia="Calibri" w:hAnsi="Times New Roman" w:cs="Times New Roman"/>
          <w:noProof/>
        </w:rPr>
        <w:t>whether</w:t>
      </w:r>
      <w:r w:rsidR="00A70EA8" w:rsidRPr="003C0D71">
        <w:rPr>
          <w:rFonts w:ascii="Times New Roman" w:eastAsia="Calibri" w:hAnsi="Times New Roman" w:cs="Times New Roman"/>
          <w:noProof/>
        </w:rPr>
        <w:t xml:space="preserve"> the originator, sponsor </w:t>
      </w:r>
      <w:r w:rsidR="0067716E">
        <w:rPr>
          <w:rFonts w:ascii="Times New Roman" w:eastAsia="Calibri" w:hAnsi="Times New Roman" w:cs="Times New Roman"/>
          <w:noProof/>
        </w:rPr>
        <w:t>or</w:t>
      </w:r>
      <w:r w:rsidR="0067716E" w:rsidRPr="003C0D71">
        <w:rPr>
          <w:rFonts w:ascii="Times New Roman" w:eastAsia="Calibri" w:hAnsi="Times New Roman" w:cs="Times New Roman"/>
          <w:noProof/>
        </w:rPr>
        <w:t xml:space="preserve"> </w:t>
      </w:r>
      <w:r w:rsidR="00A70EA8" w:rsidRPr="003C0D71">
        <w:rPr>
          <w:rFonts w:ascii="Times New Roman" w:eastAsia="Calibri" w:hAnsi="Times New Roman" w:cs="Times New Roman"/>
          <w:noProof/>
        </w:rPr>
        <w:t>SSPE of the securitisation is fully liable. Hence, if only one of those sell</w:t>
      </w:r>
      <w:r w:rsidR="00095A51">
        <w:rPr>
          <w:rFonts w:ascii="Times New Roman" w:eastAsia="Calibri" w:hAnsi="Times New Roman" w:cs="Times New Roman"/>
          <w:noProof/>
        </w:rPr>
        <w:t>-</w:t>
      </w:r>
      <w:r w:rsidR="00A70EA8" w:rsidRPr="003C0D71">
        <w:rPr>
          <w:rFonts w:ascii="Times New Roman" w:eastAsia="Calibri" w:hAnsi="Times New Roman" w:cs="Times New Roman"/>
          <w:noProof/>
        </w:rPr>
        <w:t xml:space="preserve">side entities is located in the EU, it is under the legal obligation to disclose all </w:t>
      </w:r>
      <w:r w:rsidR="0067716E">
        <w:rPr>
          <w:rFonts w:ascii="Times New Roman" w:eastAsia="Calibri" w:hAnsi="Times New Roman" w:cs="Times New Roman"/>
          <w:noProof/>
        </w:rPr>
        <w:t xml:space="preserve">the </w:t>
      </w:r>
      <w:r w:rsidR="00A70EA8" w:rsidRPr="003C0D71">
        <w:rPr>
          <w:rFonts w:ascii="Times New Roman" w:eastAsia="Calibri" w:hAnsi="Times New Roman" w:cs="Times New Roman"/>
          <w:noProof/>
        </w:rPr>
        <w:t xml:space="preserve">information requested by Article 7, even if it is not the entity designated to fulfil the disclosure requirements. This obligation can be enforced against the EU sell-side entities, even if the designated reporting entity is established outside the </w:t>
      </w:r>
      <w:r w:rsidR="00C65F22">
        <w:rPr>
          <w:rFonts w:ascii="Times New Roman" w:eastAsia="Calibri" w:hAnsi="Times New Roman" w:cs="Times New Roman"/>
          <w:noProof/>
        </w:rPr>
        <w:t>EU</w:t>
      </w:r>
      <w:r w:rsidR="00A70EA8" w:rsidRPr="003C0D71">
        <w:rPr>
          <w:rFonts w:ascii="Times New Roman" w:eastAsia="Calibri" w:hAnsi="Times New Roman" w:cs="Times New Roman"/>
          <w:noProof/>
        </w:rPr>
        <w:t>.</w:t>
      </w:r>
    </w:p>
    <w:p w14:paraId="2928B299" w14:textId="2F108DAC" w:rsidR="00A70EA8" w:rsidRPr="003C0D71" w:rsidRDefault="0067716E" w:rsidP="00C16759">
      <w:pPr>
        <w:pStyle w:val="ListParagraph"/>
        <w:numPr>
          <w:ilvl w:val="0"/>
          <w:numId w:val="36"/>
        </w:numPr>
        <w:jc w:val="both"/>
        <w:rPr>
          <w:rFonts w:ascii="Times New Roman" w:eastAsia="Calibri" w:hAnsi="Times New Roman" w:cs="Times New Roman"/>
          <w:noProof/>
        </w:rPr>
      </w:pPr>
      <w:r>
        <w:rPr>
          <w:rFonts w:ascii="Times New Roman" w:eastAsia="Calibri" w:hAnsi="Times New Roman" w:cs="Times New Roman"/>
          <w:noProof/>
        </w:rPr>
        <w:t>T</w:t>
      </w:r>
      <w:r w:rsidR="00A70EA8" w:rsidRPr="003C0D71">
        <w:rPr>
          <w:rFonts w:ascii="Times New Roman" w:eastAsia="Calibri" w:hAnsi="Times New Roman" w:cs="Times New Roman"/>
          <w:noProof/>
        </w:rPr>
        <w:t xml:space="preserve">he Commission considers that </w:t>
      </w:r>
      <w:r>
        <w:rPr>
          <w:rFonts w:ascii="Times New Roman" w:eastAsia="Calibri" w:hAnsi="Times New Roman" w:cs="Times New Roman"/>
          <w:noProof/>
        </w:rPr>
        <w:t>the</w:t>
      </w:r>
      <w:r w:rsidRPr="003C0D71">
        <w:rPr>
          <w:rFonts w:ascii="Times New Roman" w:eastAsia="Calibri" w:hAnsi="Times New Roman" w:cs="Times New Roman"/>
          <w:noProof/>
        </w:rPr>
        <w:t xml:space="preserve"> </w:t>
      </w:r>
      <w:r w:rsidR="00A70EA8" w:rsidRPr="003C0D71">
        <w:rPr>
          <w:rFonts w:ascii="Times New Roman" w:eastAsia="Calibri" w:hAnsi="Times New Roman" w:cs="Times New Roman"/>
          <w:noProof/>
        </w:rPr>
        <w:t xml:space="preserve">obligation </w:t>
      </w:r>
      <w:r>
        <w:rPr>
          <w:rFonts w:ascii="Times New Roman" w:eastAsia="Calibri" w:hAnsi="Times New Roman" w:cs="Times New Roman"/>
          <w:noProof/>
        </w:rPr>
        <w:t xml:space="preserve">under </w:t>
      </w:r>
      <w:r w:rsidRPr="003C0D71">
        <w:rPr>
          <w:rFonts w:ascii="Times New Roman" w:eastAsia="Calibri" w:hAnsi="Times New Roman" w:cs="Times New Roman"/>
          <w:noProof/>
        </w:rPr>
        <w:t xml:space="preserve">Article 9 of the Securitisation Regulation </w:t>
      </w:r>
      <w:r w:rsidR="00A70EA8" w:rsidRPr="003C0D71">
        <w:rPr>
          <w:rFonts w:ascii="Times New Roman" w:eastAsia="Calibri" w:hAnsi="Times New Roman" w:cs="Times New Roman"/>
          <w:noProof/>
        </w:rPr>
        <w:t xml:space="preserve">can only </w:t>
      </w:r>
      <w:r w:rsidRPr="003C0D71">
        <w:rPr>
          <w:rFonts w:ascii="Times New Roman" w:eastAsia="Calibri" w:hAnsi="Times New Roman" w:cs="Times New Roman"/>
          <w:noProof/>
        </w:rPr>
        <w:t xml:space="preserve">be </w:t>
      </w:r>
      <w:r w:rsidR="00A70EA8" w:rsidRPr="003C0D71">
        <w:rPr>
          <w:rFonts w:ascii="Times New Roman" w:eastAsia="Calibri" w:hAnsi="Times New Roman" w:cs="Times New Roman"/>
          <w:noProof/>
        </w:rPr>
        <w:t xml:space="preserve">meaningfully met by the credit-granting entity in the process, regardless of </w:t>
      </w:r>
      <w:r>
        <w:rPr>
          <w:rFonts w:ascii="Times New Roman" w:eastAsia="Calibri" w:hAnsi="Times New Roman" w:cs="Times New Roman"/>
          <w:noProof/>
        </w:rPr>
        <w:t>whether or not it is located in the EU</w:t>
      </w:r>
      <w:r w:rsidR="00A70EA8" w:rsidRPr="003C0D71">
        <w:rPr>
          <w:rFonts w:ascii="Times New Roman" w:eastAsia="Calibri" w:hAnsi="Times New Roman" w:cs="Times New Roman"/>
          <w:noProof/>
        </w:rPr>
        <w:t xml:space="preserve">. The Commission agrees that the obligation </w:t>
      </w:r>
      <w:r w:rsidR="00A70EA8" w:rsidRPr="007E75A1">
        <w:rPr>
          <w:rFonts w:ascii="Times New Roman" w:eastAsia="Calibri" w:hAnsi="Times New Roman" w:cs="Times New Roman"/>
          <w:noProof/>
        </w:rPr>
        <w:t>should ideally be supervised and enforced against an EU entity</w:t>
      </w:r>
      <w:r w:rsidR="00A70EA8" w:rsidRPr="003C0D71">
        <w:rPr>
          <w:rFonts w:ascii="Times New Roman" w:eastAsia="Calibri" w:hAnsi="Times New Roman" w:cs="Times New Roman"/>
          <w:noProof/>
        </w:rPr>
        <w:t xml:space="preserve"> and notes that EU investors must be</w:t>
      </w:r>
      <w:r w:rsidR="007E75A1">
        <w:rPr>
          <w:rFonts w:ascii="Times New Roman" w:eastAsia="Calibri" w:hAnsi="Times New Roman" w:cs="Times New Roman"/>
          <w:noProof/>
        </w:rPr>
        <w:t xml:space="preserve"> made</w:t>
      </w:r>
      <w:r w:rsidR="00A70EA8" w:rsidRPr="003C0D71">
        <w:rPr>
          <w:rFonts w:ascii="Times New Roman" w:eastAsia="Calibri" w:hAnsi="Times New Roman" w:cs="Times New Roman"/>
          <w:noProof/>
        </w:rPr>
        <w:t xml:space="preserve"> aware </w:t>
      </w:r>
      <w:r w:rsidR="00C61BFB" w:rsidRPr="003C0D71">
        <w:rPr>
          <w:rFonts w:ascii="Times New Roman" w:eastAsia="Calibri" w:hAnsi="Times New Roman" w:cs="Times New Roman"/>
          <w:noProof/>
        </w:rPr>
        <w:t xml:space="preserve">that this might not be the case in every possible </w:t>
      </w:r>
      <w:r>
        <w:rPr>
          <w:rFonts w:ascii="Times New Roman" w:eastAsia="Calibri" w:hAnsi="Times New Roman" w:cs="Times New Roman"/>
          <w:noProof/>
        </w:rPr>
        <w:t>configuration.</w:t>
      </w:r>
      <w:r w:rsidR="00A70EA8" w:rsidRPr="003C0D71">
        <w:rPr>
          <w:rFonts w:ascii="Times New Roman" w:eastAsia="Calibri" w:hAnsi="Times New Roman" w:cs="Times New Roman"/>
          <w:noProof/>
        </w:rPr>
        <w:t xml:space="preserve"> </w:t>
      </w:r>
      <w:r w:rsidR="00435A82" w:rsidRPr="003C0D71">
        <w:rPr>
          <w:rFonts w:ascii="Times New Roman" w:eastAsia="Calibri" w:hAnsi="Times New Roman" w:cs="Times New Roman"/>
          <w:noProof/>
        </w:rPr>
        <w:t xml:space="preserve">The EU-based investor </w:t>
      </w:r>
      <w:r w:rsidR="008C1DC4">
        <w:rPr>
          <w:rFonts w:ascii="Times New Roman" w:eastAsia="Calibri" w:hAnsi="Times New Roman" w:cs="Times New Roman"/>
          <w:noProof/>
        </w:rPr>
        <w:t>is</w:t>
      </w:r>
      <w:r w:rsidR="008C1DC4" w:rsidRPr="003C0D71">
        <w:rPr>
          <w:rFonts w:ascii="Times New Roman" w:eastAsia="Calibri" w:hAnsi="Times New Roman" w:cs="Times New Roman"/>
          <w:noProof/>
        </w:rPr>
        <w:t xml:space="preserve"> </w:t>
      </w:r>
      <w:r w:rsidR="00435A82" w:rsidRPr="003C0D71">
        <w:rPr>
          <w:rFonts w:ascii="Times New Roman" w:eastAsia="Calibri" w:hAnsi="Times New Roman" w:cs="Times New Roman"/>
          <w:noProof/>
        </w:rPr>
        <w:t xml:space="preserve">only </w:t>
      </w:r>
      <w:r w:rsidR="00EC14A6">
        <w:rPr>
          <w:rFonts w:ascii="Times New Roman" w:eastAsia="Calibri" w:hAnsi="Times New Roman" w:cs="Times New Roman"/>
          <w:noProof/>
        </w:rPr>
        <w:t xml:space="preserve">allowed </w:t>
      </w:r>
      <w:r w:rsidR="008C1DC4">
        <w:rPr>
          <w:rFonts w:ascii="Times New Roman" w:eastAsia="Calibri" w:hAnsi="Times New Roman" w:cs="Times New Roman"/>
          <w:noProof/>
        </w:rPr>
        <w:t xml:space="preserve">to </w:t>
      </w:r>
      <w:r w:rsidR="00435A82" w:rsidRPr="003C0D71">
        <w:rPr>
          <w:rFonts w:ascii="Times New Roman" w:eastAsia="Calibri" w:hAnsi="Times New Roman" w:cs="Times New Roman"/>
          <w:noProof/>
        </w:rPr>
        <w:t xml:space="preserve">invest in transactions </w:t>
      </w:r>
      <w:r w:rsidR="002A21DE" w:rsidRPr="003C0D71">
        <w:rPr>
          <w:rFonts w:ascii="Times New Roman" w:eastAsia="Calibri" w:hAnsi="Times New Roman" w:cs="Times New Roman"/>
          <w:noProof/>
        </w:rPr>
        <w:t xml:space="preserve">for </w:t>
      </w:r>
      <w:r>
        <w:rPr>
          <w:rFonts w:ascii="Times New Roman" w:eastAsia="Calibri" w:hAnsi="Times New Roman" w:cs="Times New Roman"/>
          <w:noProof/>
        </w:rPr>
        <w:t>which</w:t>
      </w:r>
      <w:r w:rsidRPr="003C0D71">
        <w:rPr>
          <w:rFonts w:ascii="Times New Roman" w:eastAsia="Calibri" w:hAnsi="Times New Roman" w:cs="Times New Roman"/>
          <w:noProof/>
        </w:rPr>
        <w:t xml:space="preserve"> </w:t>
      </w:r>
      <w:r w:rsidR="002A21DE" w:rsidRPr="003C0D71">
        <w:rPr>
          <w:rFonts w:ascii="Times New Roman" w:eastAsia="Calibri" w:hAnsi="Times New Roman" w:cs="Times New Roman"/>
          <w:noProof/>
        </w:rPr>
        <w:t xml:space="preserve">it can be verified that </w:t>
      </w:r>
      <w:r>
        <w:rPr>
          <w:rFonts w:ascii="Times New Roman" w:eastAsia="Calibri" w:hAnsi="Times New Roman" w:cs="Times New Roman"/>
          <w:noProof/>
        </w:rPr>
        <w:t xml:space="preserve">they comply with </w:t>
      </w:r>
      <w:r w:rsidR="002A21DE" w:rsidRPr="003C0D71">
        <w:rPr>
          <w:rFonts w:ascii="Times New Roman" w:eastAsia="Calibri" w:hAnsi="Times New Roman" w:cs="Times New Roman"/>
          <w:noProof/>
        </w:rPr>
        <w:t>the</w:t>
      </w:r>
      <w:r w:rsidR="00C61BFB" w:rsidRPr="003C0D71">
        <w:rPr>
          <w:rFonts w:ascii="Times New Roman" w:eastAsia="Calibri" w:hAnsi="Times New Roman" w:cs="Times New Roman"/>
          <w:noProof/>
        </w:rPr>
        <w:t xml:space="preserve"> obligations of Article 9</w:t>
      </w:r>
      <w:r>
        <w:rPr>
          <w:rFonts w:ascii="Times New Roman" w:eastAsia="Calibri" w:hAnsi="Times New Roman" w:cs="Times New Roman"/>
          <w:noProof/>
        </w:rPr>
        <w:t>.</w:t>
      </w:r>
      <w:r w:rsidR="00C61BFB" w:rsidRPr="003C0D71">
        <w:rPr>
          <w:rFonts w:ascii="Times New Roman" w:eastAsia="Calibri" w:hAnsi="Times New Roman" w:cs="Times New Roman"/>
          <w:noProof/>
        </w:rPr>
        <w:t xml:space="preserve"> </w:t>
      </w:r>
      <w:r w:rsidR="00A70EA8" w:rsidRPr="003C0D71">
        <w:rPr>
          <w:rFonts w:ascii="Times New Roman" w:eastAsia="Calibri" w:hAnsi="Times New Roman" w:cs="Times New Roman"/>
          <w:noProof/>
        </w:rPr>
        <w:t xml:space="preserve"> </w:t>
      </w:r>
    </w:p>
    <w:p w14:paraId="19585CD2" w14:textId="2465A599" w:rsidR="009E344D" w:rsidRPr="003C0D71" w:rsidRDefault="00A63DF3" w:rsidP="009E344D">
      <w:pPr>
        <w:jc w:val="both"/>
        <w:rPr>
          <w:rFonts w:ascii="Times New Roman" w:eastAsia="Calibri" w:hAnsi="Times New Roman" w:cs="Times New Roman"/>
          <w:noProof/>
        </w:rPr>
      </w:pPr>
      <w:r>
        <w:rPr>
          <w:rFonts w:ascii="Times New Roman" w:eastAsia="Calibri" w:hAnsi="Times New Roman" w:cs="Times New Roman"/>
          <w:noProof/>
        </w:rPr>
        <w:t>Lastly</w:t>
      </w:r>
      <w:r w:rsidR="00A70EA8" w:rsidRPr="003C0D71">
        <w:rPr>
          <w:rFonts w:ascii="Times New Roman" w:eastAsia="Calibri" w:hAnsi="Times New Roman" w:cs="Times New Roman"/>
          <w:noProof/>
        </w:rPr>
        <w:t xml:space="preserve">, the Commission notes the inconsistency between Article 5(1)(b) and Article 9 and intends to </w:t>
      </w:r>
      <w:r>
        <w:rPr>
          <w:rFonts w:ascii="Times New Roman" w:eastAsia="Calibri" w:hAnsi="Times New Roman" w:cs="Times New Roman"/>
          <w:noProof/>
        </w:rPr>
        <w:t>re</w:t>
      </w:r>
      <w:r w:rsidR="00A70EA8" w:rsidRPr="003C0D71">
        <w:rPr>
          <w:rFonts w:ascii="Times New Roman" w:eastAsia="Calibri" w:hAnsi="Times New Roman" w:cs="Times New Roman"/>
          <w:noProof/>
        </w:rPr>
        <w:t>solve this matter in the next revision of the Securitisation Regulation. The Commission notes that this inconsistency does not have any harmful effect in practice</w:t>
      </w:r>
      <w:r>
        <w:rPr>
          <w:rFonts w:ascii="Times New Roman" w:eastAsia="Calibri" w:hAnsi="Times New Roman" w:cs="Times New Roman"/>
          <w:noProof/>
        </w:rPr>
        <w:t>.</w:t>
      </w:r>
      <w:r w:rsidR="00A70EA8" w:rsidRPr="003C0D71">
        <w:rPr>
          <w:rFonts w:ascii="Times New Roman" w:eastAsia="Calibri" w:hAnsi="Times New Roman" w:cs="Times New Roman"/>
          <w:noProof/>
        </w:rPr>
        <w:t xml:space="preserve"> </w:t>
      </w:r>
      <w:r>
        <w:rPr>
          <w:rFonts w:ascii="Times New Roman" w:eastAsia="Calibri" w:hAnsi="Times New Roman" w:cs="Times New Roman"/>
          <w:noProof/>
        </w:rPr>
        <w:t>I</w:t>
      </w:r>
      <w:r w:rsidR="00A70EA8" w:rsidRPr="003C0D71">
        <w:rPr>
          <w:rFonts w:ascii="Times New Roman" w:eastAsia="Calibri" w:hAnsi="Times New Roman" w:cs="Times New Roman"/>
          <w:noProof/>
        </w:rPr>
        <w:t xml:space="preserve">f it is true that the sponsor </w:t>
      </w:r>
      <w:r w:rsidR="00F92012" w:rsidRPr="003C0D71">
        <w:rPr>
          <w:rFonts w:ascii="Times New Roman" w:eastAsia="Calibri" w:hAnsi="Times New Roman" w:cs="Times New Roman"/>
          <w:noProof/>
        </w:rPr>
        <w:t xml:space="preserve">(as defined by the Securitisation Regulation) </w:t>
      </w:r>
      <w:r w:rsidR="00A70EA8" w:rsidRPr="003C0D71">
        <w:rPr>
          <w:rFonts w:ascii="Times New Roman" w:eastAsia="Calibri" w:hAnsi="Times New Roman" w:cs="Times New Roman"/>
          <w:noProof/>
        </w:rPr>
        <w:t>does not apply any credit</w:t>
      </w:r>
      <w:r w:rsidR="00BC13DA">
        <w:rPr>
          <w:rFonts w:ascii="Times New Roman" w:eastAsia="Calibri" w:hAnsi="Times New Roman" w:cs="Times New Roman"/>
          <w:noProof/>
        </w:rPr>
        <w:t>-</w:t>
      </w:r>
      <w:r w:rsidR="00A70EA8" w:rsidRPr="003C0D71">
        <w:rPr>
          <w:rFonts w:ascii="Times New Roman" w:eastAsia="Calibri" w:hAnsi="Times New Roman" w:cs="Times New Roman"/>
          <w:noProof/>
        </w:rPr>
        <w:t xml:space="preserve">granting standards since it does not grant credit on its own account, Article 9(1) cannot in practice impose a valid </w:t>
      </w:r>
      <w:r w:rsidR="00435A82" w:rsidRPr="003C0D71">
        <w:rPr>
          <w:rFonts w:ascii="Times New Roman" w:eastAsia="Calibri" w:hAnsi="Times New Roman" w:cs="Times New Roman"/>
          <w:noProof/>
        </w:rPr>
        <w:t xml:space="preserve">direct </w:t>
      </w:r>
      <w:r w:rsidR="00A70EA8" w:rsidRPr="003C0D71">
        <w:rPr>
          <w:rFonts w:ascii="Times New Roman" w:eastAsia="Calibri" w:hAnsi="Times New Roman" w:cs="Times New Roman"/>
          <w:noProof/>
        </w:rPr>
        <w:t xml:space="preserve">obligation on the sponsor. </w:t>
      </w:r>
    </w:p>
    <w:p w14:paraId="6DED9178" w14:textId="77777777" w:rsidR="009E344D" w:rsidRPr="003C0D71" w:rsidRDefault="009E344D" w:rsidP="000D4664">
      <w:pPr>
        <w:pStyle w:val="Heading2"/>
        <w:rPr>
          <w:rFonts w:ascii="Times New Roman" w:hAnsi="Times New Roman" w:cs="Times New Roman"/>
          <w:noProof/>
          <w:color w:val="auto"/>
        </w:rPr>
      </w:pPr>
      <w:bookmarkStart w:id="65" w:name="_Toc104283077"/>
      <w:bookmarkStart w:id="66" w:name="_Toc104286145"/>
      <w:bookmarkStart w:id="67" w:name="_Toc104297349"/>
      <w:bookmarkStart w:id="68" w:name="_Toc115346218"/>
      <w:r w:rsidRPr="003C0D71">
        <w:rPr>
          <w:rFonts w:ascii="Times New Roman" w:hAnsi="Times New Roman" w:cs="Times New Roman"/>
          <w:noProof/>
          <w:color w:val="auto"/>
        </w:rPr>
        <w:t>11.</w:t>
      </w:r>
      <w:r w:rsidR="008F6FAB" w:rsidRPr="003C0D71">
        <w:rPr>
          <w:rFonts w:ascii="Times New Roman" w:hAnsi="Times New Roman" w:cs="Times New Roman"/>
          <w:noProof/>
          <w:color w:val="auto"/>
        </w:rPr>
        <w:t>2</w:t>
      </w:r>
      <w:r w:rsidRPr="003C0D71">
        <w:rPr>
          <w:rFonts w:ascii="Times New Roman" w:hAnsi="Times New Roman" w:cs="Times New Roman"/>
          <w:noProof/>
          <w:color w:val="auto"/>
        </w:rPr>
        <w:t xml:space="preserve"> Buy-side obligations</w:t>
      </w:r>
      <w:r w:rsidR="008F6FAB" w:rsidRPr="003C0D71">
        <w:rPr>
          <w:rFonts w:ascii="Times New Roman" w:hAnsi="Times New Roman" w:cs="Times New Roman"/>
          <w:noProof/>
          <w:color w:val="auto"/>
        </w:rPr>
        <w:t xml:space="preserve"> – availability of disclosures</w:t>
      </w:r>
      <w:bookmarkEnd w:id="65"/>
      <w:bookmarkEnd w:id="66"/>
      <w:bookmarkEnd w:id="67"/>
      <w:bookmarkEnd w:id="68"/>
    </w:p>
    <w:p w14:paraId="4DF296BD" w14:textId="77777777" w:rsidR="009E344D" w:rsidRPr="003C0D71" w:rsidRDefault="009E344D" w:rsidP="000D4664">
      <w:pPr>
        <w:rPr>
          <w:rFonts w:ascii="Times New Roman" w:hAnsi="Times New Roman" w:cs="Times New Roman"/>
          <w:b/>
          <w:noProof/>
          <w:sz w:val="24"/>
        </w:rPr>
      </w:pPr>
      <w:r w:rsidRPr="003C0D71">
        <w:rPr>
          <w:rFonts w:ascii="Times New Roman" w:hAnsi="Times New Roman" w:cs="Times New Roman"/>
          <w:b/>
          <w:noProof/>
          <w:sz w:val="24"/>
        </w:rPr>
        <w:t>Background and findings</w:t>
      </w:r>
    </w:p>
    <w:p w14:paraId="6E8DAB19" w14:textId="075B4D7B" w:rsidR="00A70EA8" w:rsidRPr="003C0D71" w:rsidRDefault="00A70EA8" w:rsidP="00A70EA8">
      <w:pPr>
        <w:jc w:val="both"/>
        <w:rPr>
          <w:rFonts w:ascii="Times New Roman" w:eastAsia="Calibri" w:hAnsi="Times New Roman" w:cs="Times New Roman"/>
          <w:noProof/>
        </w:rPr>
      </w:pPr>
      <w:r w:rsidRPr="003C0D71">
        <w:rPr>
          <w:rFonts w:ascii="Times New Roman" w:eastAsia="Calibri" w:hAnsi="Times New Roman" w:cs="Times New Roman"/>
          <w:noProof/>
        </w:rPr>
        <w:t xml:space="preserve">According to Article 5(1)(e) of the Securitisation Regulation, before investing in a securitisation, institutional investors have to verify that the information required by Article 7 of the </w:t>
      </w:r>
      <w:r w:rsidR="00B5111C">
        <w:rPr>
          <w:rFonts w:ascii="Times New Roman" w:eastAsia="Calibri" w:hAnsi="Times New Roman" w:cs="Times New Roman"/>
          <w:noProof/>
        </w:rPr>
        <w:t xml:space="preserve">same </w:t>
      </w:r>
      <w:r w:rsidR="00A63DF3">
        <w:rPr>
          <w:rFonts w:ascii="Times New Roman" w:eastAsia="Calibri" w:hAnsi="Times New Roman" w:cs="Times New Roman"/>
          <w:noProof/>
        </w:rPr>
        <w:t>r</w:t>
      </w:r>
      <w:r w:rsidRPr="003C0D71">
        <w:rPr>
          <w:rFonts w:ascii="Times New Roman" w:eastAsia="Calibri" w:hAnsi="Times New Roman" w:cs="Times New Roman"/>
          <w:noProof/>
        </w:rPr>
        <w:t xml:space="preserve">egulation has been made available </w:t>
      </w:r>
      <w:r w:rsidR="00AD264D">
        <w:rPr>
          <w:rFonts w:ascii="Times New Roman" w:eastAsia="Calibri" w:hAnsi="Times New Roman" w:cs="Times New Roman"/>
          <w:noProof/>
        </w:rPr>
        <w:t>according to</w:t>
      </w:r>
      <w:r w:rsidRPr="003C0D71">
        <w:rPr>
          <w:rFonts w:ascii="Times New Roman" w:eastAsia="Calibri" w:hAnsi="Times New Roman" w:cs="Times New Roman"/>
          <w:noProof/>
        </w:rPr>
        <w:t xml:space="preserve"> the frequency and modalities provided for. For investments in third</w:t>
      </w:r>
      <w:r w:rsidR="00182FA8">
        <w:rPr>
          <w:rFonts w:ascii="Times New Roman" w:eastAsia="Calibri" w:hAnsi="Times New Roman" w:cs="Times New Roman"/>
          <w:noProof/>
        </w:rPr>
        <w:t>-</w:t>
      </w:r>
      <w:r w:rsidRPr="003C0D71">
        <w:rPr>
          <w:rFonts w:ascii="Times New Roman" w:eastAsia="Calibri" w:hAnsi="Times New Roman" w:cs="Times New Roman"/>
          <w:noProof/>
        </w:rPr>
        <w:t xml:space="preserve">country securitisations where none of the sell-side parties is located in the EU, this raises the question as to whether these investments are only admissible if the information listed in Article 7 is provided through ESMA templates and, in </w:t>
      </w:r>
      <w:r w:rsidR="00AD264D">
        <w:rPr>
          <w:rFonts w:ascii="Times New Roman" w:eastAsia="Calibri" w:hAnsi="Times New Roman" w:cs="Times New Roman"/>
          <w:noProof/>
        </w:rPr>
        <w:t xml:space="preserve">the </w:t>
      </w:r>
      <w:r w:rsidRPr="003C0D71">
        <w:rPr>
          <w:rFonts w:ascii="Times New Roman" w:eastAsia="Calibri" w:hAnsi="Times New Roman" w:cs="Times New Roman"/>
          <w:noProof/>
        </w:rPr>
        <w:t>case of pub</w:t>
      </w:r>
      <w:r w:rsidR="007454D5">
        <w:rPr>
          <w:rFonts w:ascii="Times New Roman" w:eastAsia="Calibri" w:hAnsi="Times New Roman" w:cs="Times New Roman"/>
          <w:noProof/>
        </w:rPr>
        <w:t>lic</w:t>
      </w:r>
      <w:r w:rsidRPr="003C0D71">
        <w:rPr>
          <w:rFonts w:ascii="Times New Roman" w:eastAsia="Calibri" w:hAnsi="Times New Roman" w:cs="Times New Roman"/>
          <w:noProof/>
        </w:rPr>
        <w:t xml:space="preserve"> securitisations, a securitisation repository. Furthermore, th</w:t>
      </w:r>
      <w:r w:rsidR="00A63DF3">
        <w:rPr>
          <w:rFonts w:ascii="Times New Roman" w:eastAsia="Calibri" w:hAnsi="Times New Roman" w:cs="Times New Roman"/>
          <w:noProof/>
        </w:rPr>
        <w:t>is</w:t>
      </w:r>
      <w:r w:rsidRPr="003C0D71">
        <w:rPr>
          <w:rFonts w:ascii="Times New Roman" w:eastAsia="Calibri" w:hAnsi="Times New Roman" w:cs="Times New Roman"/>
          <w:noProof/>
        </w:rPr>
        <w:t xml:space="preserve"> </w:t>
      </w:r>
      <w:r w:rsidR="00A63DF3">
        <w:rPr>
          <w:rFonts w:ascii="Times New Roman" w:eastAsia="Calibri" w:hAnsi="Times New Roman" w:cs="Times New Roman"/>
          <w:noProof/>
        </w:rPr>
        <w:t xml:space="preserve">raises the </w:t>
      </w:r>
      <w:r w:rsidRPr="003C0D71">
        <w:rPr>
          <w:rFonts w:ascii="Times New Roman" w:eastAsia="Calibri" w:hAnsi="Times New Roman" w:cs="Times New Roman"/>
          <w:noProof/>
        </w:rPr>
        <w:t>question as to whether it has to be verified that the information provided fully matches the requirements specified by the ESMA regulatory technical standard on disclosure</w:t>
      </w:r>
      <w:r w:rsidRPr="003C0D71">
        <w:rPr>
          <w:rStyle w:val="FootnoteReference"/>
          <w:rFonts w:ascii="Times New Roman" w:eastAsia="Calibri" w:hAnsi="Times New Roman" w:cs="Times New Roman"/>
          <w:noProof/>
        </w:rPr>
        <w:footnoteReference w:id="35"/>
      </w:r>
      <w:r w:rsidRPr="003C0D71">
        <w:rPr>
          <w:rFonts w:ascii="Times New Roman" w:eastAsia="Calibri" w:hAnsi="Times New Roman" w:cs="Times New Roman"/>
          <w:noProof/>
        </w:rPr>
        <w:t xml:space="preserve"> and</w:t>
      </w:r>
      <w:r w:rsidR="00A63DF3">
        <w:rPr>
          <w:rFonts w:ascii="Times New Roman" w:eastAsia="Calibri" w:hAnsi="Times New Roman" w:cs="Times New Roman"/>
          <w:noProof/>
        </w:rPr>
        <w:t>,</w:t>
      </w:r>
      <w:r w:rsidRPr="003C0D71">
        <w:rPr>
          <w:rFonts w:ascii="Times New Roman" w:eastAsia="Calibri" w:hAnsi="Times New Roman" w:cs="Times New Roman"/>
          <w:noProof/>
        </w:rPr>
        <w:t xml:space="preserve"> in particular</w:t>
      </w:r>
      <w:r w:rsidR="00A63DF3">
        <w:rPr>
          <w:rFonts w:ascii="Times New Roman" w:eastAsia="Calibri" w:hAnsi="Times New Roman" w:cs="Times New Roman"/>
          <w:noProof/>
        </w:rPr>
        <w:t>,</w:t>
      </w:r>
      <w:r w:rsidRPr="003C0D71">
        <w:rPr>
          <w:rFonts w:ascii="Times New Roman" w:eastAsia="Calibri" w:hAnsi="Times New Roman" w:cs="Times New Roman"/>
          <w:noProof/>
        </w:rPr>
        <w:t xml:space="preserve"> whether loan-by-loan data </w:t>
      </w:r>
      <w:r w:rsidR="00D80814">
        <w:rPr>
          <w:rFonts w:ascii="Times New Roman" w:eastAsia="Calibri" w:hAnsi="Times New Roman" w:cs="Times New Roman"/>
          <w:noProof/>
        </w:rPr>
        <w:t>are</w:t>
      </w:r>
      <w:r w:rsidRPr="003C0D71">
        <w:rPr>
          <w:rFonts w:ascii="Times New Roman" w:eastAsia="Calibri" w:hAnsi="Times New Roman" w:cs="Times New Roman"/>
          <w:noProof/>
        </w:rPr>
        <w:t xml:space="preserve"> made available for all exposures underlying the securitisation. </w:t>
      </w:r>
      <w:r w:rsidR="00A63DF3">
        <w:rPr>
          <w:rFonts w:ascii="Times New Roman" w:eastAsia="Calibri" w:hAnsi="Times New Roman" w:cs="Times New Roman"/>
          <w:noProof/>
        </w:rPr>
        <w:t>This</w:t>
      </w:r>
      <w:r w:rsidRPr="003C0D71">
        <w:rPr>
          <w:rFonts w:ascii="Times New Roman" w:eastAsia="Calibri" w:hAnsi="Times New Roman" w:cs="Times New Roman"/>
          <w:noProof/>
        </w:rPr>
        <w:t xml:space="preserve"> interpretation of Article 5(1)(e) would prevent EU </w:t>
      </w:r>
      <w:r w:rsidR="00130B54">
        <w:rPr>
          <w:rFonts w:ascii="Times New Roman" w:eastAsia="Calibri" w:hAnsi="Times New Roman" w:cs="Times New Roman"/>
          <w:noProof/>
        </w:rPr>
        <w:t xml:space="preserve">institutional </w:t>
      </w:r>
      <w:r w:rsidRPr="003C0D71">
        <w:rPr>
          <w:rFonts w:ascii="Times New Roman" w:eastAsia="Calibri" w:hAnsi="Times New Roman" w:cs="Times New Roman"/>
          <w:noProof/>
        </w:rPr>
        <w:t>investors from investing in third</w:t>
      </w:r>
      <w:r w:rsidR="00182FA8">
        <w:rPr>
          <w:rFonts w:ascii="Times New Roman" w:eastAsia="Calibri" w:hAnsi="Times New Roman" w:cs="Times New Roman"/>
          <w:noProof/>
        </w:rPr>
        <w:t>-</w:t>
      </w:r>
      <w:r w:rsidRPr="003C0D71">
        <w:rPr>
          <w:rFonts w:ascii="Times New Roman" w:eastAsia="Calibri" w:hAnsi="Times New Roman" w:cs="Times New Roman"/>
          <w:noProof/>
        </w:rPr>
        <w:t xml:space="preserve">country securitisations </w:t>
      </w:r>
      <w:r w:rsidR="00D816FB">
        <w:rPr>
          <w:rFonts w:ascii="Times New Roman" w:eastAsia="Calibri" w:hAnsi="Times New Roman" w:cs="Times New Roman"/>
          <w:noProof/>
        </w:rPr>
        <w:t>that</w:t>
      </w:r>
      <w:r w:rsidR="00D816FB" w:rsidRPr="003C0D71">
        <w:rPr>
          <w:rFonts w:ascii="Times New Roman" w:eastAsia="Calibri" w:hAnsi="Times New Roman" w:cs="Times New Roman"/>
          <w:noProof/>
        </w:rPr>
        <w:t xml:space="preserve"> </w:t>
      </w:r>
      <w:r w:rsidRPr="003C0D71">
        <w:rPr>
          <w:rFonts w:ascii="Times New Roman" w:eastAsia="Calibri" w:hAnsi="Times New Roman" w:cs="Times New Roman"/>
          <w:noProof/>
        </w:rPr>
        <w:t xml:space="preserve">do not fulfil these conditions. The submissions of the Joint Committee and the feedback to the </w:t>
      </w:r>
      <w:r w:rsidR="00443B8F">
        <w:rPr>
          <w:rFonts w:ascii="Times New Roman" w:eastAsia="Calibri" w:hAnsi="Times New Roman" w:cs="Times New Roman"/>
          <w:noProof/>
        </w:rPr>
        <w:t>c</w:t>
      </w:r>
      <w:r w:rsidRPr="003C0D71">
        <w:rPr>
          <w:rFonts w:ascii="Times New Roman" w:eastAsia="Calibri" w:hAnsi="Times New Roman" w:cs="Times New Roman"/>
          <w:noProof/>
        </w:rPr>
        <w:t>onsultation clearly indicate that the requirement</w:t>
      </w:r>
      <w:r w:rsidR="006A2157">
        <w:rPr>
          <w:rFonts w:ascii="Times New Roman" w:eastAsia="Calibri" w:hAnsi="Times New Roman" w:cs="Times New Roman"/>
          <w:noProof/>
        </w:rPr>
        <w:t>s</w:t>
      </w:r>
      <w:r w:rsidRPr="003C0D71">
        <w:rPr>
          <w:rFonts w:ascii="Times New Roman" w:eastAsia="Calibri" w:hAnsi="Times New Roman" w:cs="Times New Roman"/>
          <w:noProof/>
        </w:rPr>
        <w:t xml:space="preserve"> of Article 5(1)(e) </w:t>
      </w:r>
      <w:r w:rsidR="00D816FB">
        <w:rPr>
          <w:rFonts w:ascii="Times New Roman" w:eastAsia="Calibri" w:hAnsi="Times New Roman" w:cs="Times New Roman"/>
          <w:noProof/>
        </w:rPr>
        <w:t>are</w:t>
      </w:r>
      <w:r w:rsidR="00D816FB" w:rsidRPr="003C0D71">
        <w:rPr>
          <w:rFonts w:ascii="Times New Roman" w:eastAsia="Calibri" w:hAnsi="Times New Roman" w:cs="Times New Roman"/>
          <w:noProof/>
        </w:rPr>
        <w:t xml:space="preserve"> </w:t>
      </w:r>
      <w:r w:rsidRPr="003C0D71">
        <w:rPr>
          <w:rFonts w:ascii="Times New Roman" w:eastAsia="Calibri" w:hAnsi="Times New Roman" w:cs="Times New Roman"/>
          <w:noProof/>
        </w:rPr>
        <w:t xml:space="preserve">currently interpreted and applied differently by market participants. </w:t>
      </w:r>
    </w:p>
    <w:p w14:paraId="4BE9C123" w14:textId="7E2F4A45" w:rsidR="00A70EA8" w:rsidRPr="003C0D71" w:rsidRDefault="00A70EA8" w:rsidP="00A70EA8">
      <w:pPr>
        <w:jc w:val="both"/>
        <w:rPr>
          <w:rFonts w:ascii="Times New Roman" w:eastAsia="Calibri" w:hAnsi="Times New Roman" w:cs="Times New Roman"/>
          <w:noProof/>
        </w:rPr>
      </w:pPr>
      <w:r w:rsidRPr="003C0D71">
        <w:rPr>
          <w:rFonts w:ascii="Times New Roman" w:eastAsia="Calibri" w:hAnsi="Times New Roman" w:cs="Times New Roman"/>
          <w:noProof/>
        </w:rPr>
        <w:t xml:space="preserve">The Joint Committee </w:t>
      </w:r>
      <w:r w:rsidR="00A63DF3">
        <w:rPr>
          <w:rFonts w:ascii="Times New Roman" w:eastAsia="Calibri" w:hAnsi="Times New Roman" w:cs="Times New Roman"/>
          <w:noProof/>
        </w:rPr>
        <w:t>o</w:t>
      </w:r>
      <w:r w:rsidRPr="003C0D71">
        <w:rPr>
          <w:rFonts w:ascii="Times New Roman" w:eastAsia="Calibri" w:hAnsi="Times New Roman" w:cs="Times New Roman"/>
          <w:noProof/>
        </w:rPr>
        <w:t>pinion argue</w:t>
      </w:r>
      <w:r w:rsidR="007C01AE">
        <w:rPr>
          <w:rFonts w:ascii="Times New Roman" w:eastAsia="Calibri" w:hAnsi="Times New Roman" w:cs="Times New Roman"/>
          <w:noProof/>
        </w:rPr>
        <w:t>d</w:t>
      </w:r>
      <w:r w:rsidRPr="003C0D71">
        <w:rPr>
          <w:rFonts w:ascii="Times New Roman" w:eastAsia="Calibri" w:hAnsi="Times New Roman" w:cs="Times New Roman"/>
          <w:noProof/>
        </w:rPr>
        <w:t xml:space="preserve"> for more flexibility, so that the verification can be presumed </w:t>
      </w:r>
      <w:r w:rsidR="00A63DF3">
        <w:rPr>
          <w:rFonts w:ascii="Times New Roman" w:eastAsia="Calibri" w:hAnsi="Times New Roman" w:cs="Times New Roman"/>
          <w:noProof/>
        </w:rPr>
        <w:t>to be completed</w:t>
      </w:r>
      <w:r w:rsidRPr="003C0D71">
        <w:rPr>
          <w:rFonts w:ascii="Times New Roman" w:eastAsia="Calibri" w:hAnsi="Times New Roman" w:cs="Times New Roman"/>
          <w:noProof/>
        </w:rPr>
        <w:t xml:space="preserve"> in </w:t>
      </w:r>
      <w:r w:rsidR="00AD264D">
        <w:rPr>
          <w:rFonts w:ascii="Times New Roman" w:eastAsia="Calibri" w:hAnsi="Times New Roman" w:cs="Times New Roman"/>
          <w:noProof/>
        </w:rPr>
        <w:t xml:space="preserve">the </w:t>
      </w:r>
      <w:r w:rsidRPr="003C0D71">
        <w:rPr>
          <w:rFonts w:ascii="Times New Roman" w:eastAsia="Calibri" w:hAnsi="Times New Roman" w:cs="Times New Roman"/>
          <w:noProof/>
        </w:rPr>
        <w:t>case of a third</w:t>
      </w:r>
      <w:r w:rsidR="00182FA8">
        <w:rPr>
          <w:rFonts w:ascii="Times New Roman" w:eastAsia="Calibri" w:hAnsi="Times New Roman" w:cs="Times New Roman"/>
          <w:noProof/>
        </w:rPr>
        <w:t>-</w:t>
      </w:r>
      <w:r w:rsidRPr="003C0D71">
        <w:rPr>
          <w:rFonts w:ascii="Times New Roman" w:eastAsia="Calibri" w:hAnsi="Times New Roman" w:cs="Times New Roman"/>
          <w:noProof/>
        </w:rPr>
        <w:t xml:space="preserve">country securitisation, even if not all EU transparency requirements are fulfilled in </w:t>
      </w:r>
      <w:r w:rsidR="00805A04">
        <w:rPr>
          <w:rFonts w:ascii="Times New Roman" w:eastAsia="Calibri" w:hAnsi="Times New Roman" w:cs="Times New Roman"/>
          <w:noProof/>
        </w:rPr>
        <w:t>every</w:t>
      </w:r>
      <w:r w:rsidR="00805A04" w:rsidRPr="003C0D71">
        <w:rPr>
          <w:rFonts w:ascii="Times New Roman" w:eastAsia="Calibri" w:hAnsi="Times New Roman" w:cs="Times New Roman"/>
          <w:noProof/>
        </w:rPr>
        <w:t xml:space="preserve"> </w:t>
      </w:r>
      <w:r w:rsidRPr="003C0D71">
        <w:rPr>
          <w:rFonts w:ascii="Times New Roman" w:eastAsia="Calibri" w:hAnsi="Times New Roman" w:cs="Times New Roman"/>
          <w:noProof/>
        </w:rPr>
        <w:t>detail. To this end, the Joint Committee suggest</w:t>
      </w:r>
      <w:r w:rsidR="007C01AE">
        <w:rPr>
          <w:rFonts w:ascii="Times New Roman" w:eastAsia="Calibri" w:hAnsi="Times New Roman" w:cs="Times New Roman"/>
          <w:noProof/>
        </w:rPr>
        <w:t>ed</w:t>
      </w:r>
      <w:r w:rsidRPr="003C0D71">
        <w:rPr>
          <w:rFonts w:ascii="Times New Roman" w:eastAsia="Calibri" w:hAnsi="Times New Roman" w:cs="Times New Roman"/>
          <w:noProof/>
        </w:rPr>
        <w:t xml:space="preserve"> </w:t>
      </w:r>
      <w:r w:rsidR="00805A04">
        <w:rPr>
          <w:rFonts w:ascii="Times New Roman" w:eastAsia="Calibri" w:hAnsi="Times New Roman" w:cs="Times New Roman"/>
          <w:noProof/>
        </w:rPr>
        <w:t>setting up</w:t>
      </w:r>
      <w:r w:rsidRPr="003C0D71">
        <w:rPr>
          <w:rFonts w:ascii="Times New Roman" w:eastAsia="Calibri" w:hAnsi="Times New Roman" w:cs="Times New Roman"/>
          <w:noProof/>
        </w:rPr>
        <w:t xml:space="preserve"> a </w:t>
      </w:r>
      <w:r w:rsidRPr="006E2552">
        <w:rPr>
          <w:rFonts w:ascii="Times New Roman" w:eastAsia="Calibri" w:hAnsi="Times New Roman" w:cs="Times New Roman"/>
          <w:noProof/>
        </w:rPr>
        <w:t>‘third</w:t>
      </w:r>
      <w:r w:rsidR="00182FA8" w:rsidRPr="006E2552">
        <w:rPr>
          <w:rFonts w:ascii="Times New Roman" w:eastAsia="Calibri" w:hAnsi="Times New Roman" w:cs="Times New Roman"/>
          <w:noProof/>
        </w:rPr>
        <w:t>-</w:t>
      </w:r>
      <w:r w:rsidRPr="006E2552">
        <w:rPr>
          <w:rFonts w:ascii="Times New Roman" w:eastAsia="Calibri" w:hAnsi="Times New Roman" w:cs="Times New Roman"/>
          <w:noProof/>
        </w:rPr>
        <w:t>country equivalence regime for transparency requirements</w:t>
      </w:r>
      <w:r w:rsidR="00A823DC" w:rsidRPr="006E2552">
        <w:rPr>
          <w:rFonts w:ascii="Times New Roman" w:eastAsia="Calibri" w:hAnsi="Times New Roman" w:cs="Times New Roman"/>
          <w:noProof/>
        </w:rPr>
        <w:t>’</w:t>
      </w:r>
      <w:r w:rsidRPr="006E2552">
        <w:rPr>
          <w:rFonts w:ascii="Times New Roman" w:eastAsia="Calibri" w:hAnsi="Times New Roman" w:cs="Times New Roman"/>
          <w:noProof/>
        </w:rPr>
        <w:t xml:space="preserve"> in relation to third</w:t>
      </w:r>
      <w:r w:rsidR="00182FA8" w:rsidRPr="006E2552">
        <w:rPr>
          <w:rFonts w:ascii="Times New Roman" w:eastAsia="Calibri" w:hAnsi="Times New Roman" w:cs="Times New Roman"/>
          <w:noProof/>
        </w:rPr>
        <w:t>-</w:t>
      </w:r>
      <w:r w:rsidRPr="006E2552">
        <w:rPr>
          <w:rFonts w:ascii="Times New Roman" w:eastAsia="Calibri" w:hAnsi="Times New Roman" w:cs="Times New Roman"/>
          <w:noProof/>
        </w:rPr>
        <w:t>country securitisations</w:t>
      </w:r>
      <w:r w:rsidR="006A2157">
        <w:rPr>
          <w:rFonts w:ascii="Times New Roman" w:eastAsia="Calibri" w:hAnsi="Times New Roman" w:cs="Times New Roman"/>
          <w:noProof/>
        </w:rPr>
        <w:t>. This</w:t>
      </w:r>
      <w:r w:rsidRPr="003C0D71">
        <w:rPr>
          <w:rFonts w:ascii="Times New Roman" w:eastAsia="Calibri" w:hAnsi="Times New Roman" w:cs="Times New Roman"/>
          <w:noProof/>
        </w:rPr>
        <w:t xml:space="preserve"> would </w:t>
      </w:r>
      <w:r w:rsidR="00001486">
        <w:rPr>
          <w:rFonts w:ascii="Times New Roman" w:eastAsia="Calibri" w:hAnsi="Times New Roman" w:cs="Times New Roman"/>
          <w:noProof/>
        </w:rPr>
        <w:t>make it possible</w:t>
      </w:r>
      <w:r w:rsidR="00001486" w:rsidRPr="003C0D71">
        <w:rPr>
          <w:rFonts w:ascii="Times New Roman" w:eastAsia="Calibri" w:hAnsi="Times New Roman" w:cs="Times New Roman"/>
          <w:noProof/>
        </w:rPr>
        <w:t xml:space="preserve"> </w:t>
      </w:r>
      <w:r w:rsidRPr="003C0D71">
        <w:rPr>
          <w:rFonts w:ascii="Times New Roman" w:eastAsia="Calibri" w:hAnsi="Times New Roman" w:cs="Times New Roman"/>
          <w:noProof/>
        </w:rPr>
        <w:t>to verify the compliance of third</w:t>
      </w:r>
      <w:r w:rsidR="00182FA8">
        <w:rPr>
          <w:rFonts w:ascii="Times New Roman" w:eastAsia="Calibri" w:hAnsi="Times New Roman" w:cs="Times New Roman"/>
          <w:noProof/>
        </w:rPr>
        <w:t>-</w:t>
      </w:r>
      <w:r w:rsidRPr="003C0D71">
        <w:rPr>
          <w:rFonts w:ascii="Times New Roman" w:eastAsia="Calibri" w:hAnsi="Times New Roman" w:cs="Times New Roman"/>
          <w:noProof/>
        </w:rPr>
        <w:t>country securitisations with the transparency required by Article 7 if one of the third-country sell-side parties has provided information on the securitisation in accordance with the</w:t>
      </w:r>
      <w:r w:rsidR="006A2157">
        <w:rPr>
          <w:rFonts w:ascii="Times New Roman" w:eastAsia="Calibri" w:hAnsi="Times New Roman" w:cs="Times New Roman"/>
          <w:noProof/>
        </w:rPr>
        <w:t>ir country’s</w:t>
      </w:r>
      <w:r w:rsidRPr="003C0D71">
        <w:rPr>
          <w:rFonts w:ascii="Times New Roman" w:eastAsia="Calibri" w:hAnsi="Times New Roman" w:cs="Times New Roman"/>
          <w:noProof/>
        </w:rPr>
        <w:t xml:space="preserve"> requirements governing the securitisation</w:t>
      </w:r>
      <w:r w:rsidR="006A2157">
        <w:rPr>
          <w:rFonts w:ascii="Times New Roman" w:eastAsia="Calibri" w:hAnsi="Times New Roman" w:cs="Times New Roman"/>
          <w:noProof/>
        </w:rPr>
        <w:t>,</w:t>
      </w:r>
      <w:r w:rsidRPr="003C0D71">
        <w:rPr>
          <w:rFonts w:ascii="Times New Roman" w:eastAsia="Calibri" w:hAnsi="Times New Roman" w:cs="Times New Roman"/>
          <w:noProof/>
        </w:rPr>
        <w:t xml:space="preserve"> and if </w:t>
      </w:r>
      <w:r w:rsidR="006A2157">
        <w:rPr>
          <w:rFonts w:ascii="Times New Roman" w:eastAsia="Calibri" w:hAnsi="Times New Roman" w:cs="Times New Roman"/>
          <w:noProof/>
        </w:rPr>
        <w:t xml:space="preserve">this </w:t>
      </w:r>
      <w:r w:rsidRPr="003C0D71">
        <w:rPr>
          <w:rFonts w:ascii="Times New Roman" w:eastAsia="Calibri" w:hAnsi="Times New Roman" w:cs="Times New Roman"/>
          <w:noProof/>
        </w:rPr>
        <w:t>country</w:t>
      </w:r>
      <w:r w:rsidR="006A2157">
        <w:rPr>
          <w:rFonts w:ascii="Times New Roman" w:eastAsia="Calibri" w:hAnsi="Times New Roman" w:cs="Times New Roman"/>
          <w:noProof/>
        </w:rPr>
        <w:t>’s</w:t>
      </w:r>
      <w:r w:rsidRPr="003C0D71">
        <w:rPr>
          <w:rFonts w:ascii="Times New Roman" w:eastAsia="Calibri" w:hAnsi="Times New Roman" w:cs="Times New Roman"/>
          <w:noProof/>
        </w:rPr>
        <w:t xml:space="preserve"> transparency regime has been declared equivalent to the EU transparency rules. </w:t>
      </w:r>
    </w:p>
    <w:p w14:paraId="61A33AA6" w14:textId="39BD117F" w:rsidR="00A70EA8" w:rsidRPr="003C0D71" w:rsidRDefault="00A70EA8" w:rsidP="00A70EA8">
      <w:pPr>
        <w:jc w:val="both"/>
        <w:rPr>
          <w:rFonts w:ascii="Times New Roman" w:eastAsia="Calibri" w:hAnsi="Times New Roman" w:cs="Times New Roman"/>
          <w:noProof/>
        </w:rPr>
      </w:pPr>
      <w:r w:rsidRPr="003C0D71">
        <w:rPr>
          <w:rFonts w:ascii="Times New Roman" w:eastAsia="Calibri" w:hAnsi="Times New Roman" w:cs="Times New Roman"/>
          <w:noProof/>
        </w:rPr>
        <w:t>In the consultation, an overwhelming majority of industry stakeholders joined the call for more flexibility</w:t>
      </w:r>
      <w:r w:rsidR="00F247D6">
        <w:rPr>
          <w:rFonts w:ascii="Times New Roman" w:eastAsia="Calibri" w:hAnsi="Times New Roman" w:cs="Times New Roman"/>
          <w:noProof/>
        </w:rPr>
        <w:t>. They</w:t>
      </w:r>
      <w:r w:rsidRPr="003C0D71">
        <w:rPr>
          <w:rFonts w:ascii="Times New Roman" w:eastAsia="Calibri" w:hAnsi="Times New Roman" w:cs="Times New Roman"/>
          <w:noProof/>
        </w:rPr>
        <w:t xml:space="preserve"> argued that a legal interpretation of Article 5(1)(e) </w:t>
      </w:r>
      <w:r w:rsidRPr="003C0D71">
        <w:rPr>
          <w:rFonts w:ascii="Times New Roman" w:eastAsia="Calibri" w:hAnsi="Times New Roman" w:cs="Times New Roman"/>
          <w:noProof/>
          <w:lang w:val="en-IE"/>
        </w:rPr>
        <w:t>that require</w:t>
      </w:r>
      <w:r w:rsidRPr="003C0D71">
        <w:rPr>
          <w:rFonts w:ascii="Times New Roman" w:eastAsia="Calibri" w:hAnsi="Times New Roman" w:cs="Times New Roman"/>
          <w:noProof/>
          <w:u w:val="single"/>
          <w:lang w:val="en-IE"/>
        </w:rPr>
        <w:t>s</w:t>
      </w:r>
      <w:r w:rsidRPr="003C0D71">
        <w:rPr>
          <w:rFonts w:ascii="Times New Roman" w:eastAsia="Calibri" w:hAnsi="Times New Roman" w:cs="Times New Roman"/>
          <w:noProof/>
          <w:lang w:val="en-IE"/>
        </w:rPr>
        <w:t xml:space="preserve"> </w:t>
      </w:r>
      <w:r w:rsidR="004D4F33">
        <w:rPr>
          <w:rFonts w:ascii="Times New Roman" w:eastAsia="Calibri" w:hAnsi="Times New Roman" w:cs="Times New Roman"/>
          <w:noProof/>
          <w:lang w:val="en-IE"/>
        </w:rPr>
        <w:t xml:space="preserve">institutional </w:t>
      </w:r>
      <w:r w:rsidRPr="003C0D71">
        <w:rPr>
          <w:rFonts w:ascii="Times New Roman" w:eastAsia="Calibri" w:hAnsi="Times New Roman" w:cs="Times New Roman"/>
          <w:noProof/>
          <w:lang w:val="en-IE"/>
        </w:rPr>
        <w:t>investors in third</w:t>
      </w:r>
      <w:r w:rsidR="00182FA8">
        <w:rPr>
          <w:rFonts w:ascii="Times New Roman" w:eastAsia="Calibri" w:hAnsi="Times New Roman" w:cs="Times New Roman"/>
          <w:noProof/>
          <w:lang w:val="en-IE"/>
        </w:rPr>
        <w:t>-</w:t>
      </w:r>
      <w:r w:rsidRPr="003C0D71">
        <w:rPr>
          <w:rFonts w:ascii="Times New Roman" w:eastAsia="Calibri" w:hAnsi="Times New Roman" w:cs="Times New Roman"/>
          <w:noProof/>
          <w:lang w:val="en-IE"/>
        </w:rPr>
        <w:t xml:space="preserve">country securitisations to verify that they have received all </w:t>
      </w:r>
      <w:r w:rsidR="00F247D6">
        <w:rPr>
          <w:rFonts w:ascii="Times New Roman" w:eastAsia="Calibri" w:hAnsi="Times New Roman" w:cs="Times New Roman"/>
          <w:noProof/>
          <w:lang w:val="en-IE"/>
        </w:rPr>
        <w:t xml:space="preserve">the </w:t>
      </w:r>
      <w:r w:rsidRPr="003C0D71">
        <w:rPr>
          <w:rFonts w:ascii="Times New Roman" w:eastAsia="Calibri" w:hAnsi="Times New Roman" w:cs="Times New Roman"/>
          <w:noProof/>
          <w:lang w:val="en-IE"/>
        </w:rPr>
        <w:t>information in accordance with Article</w:t>
      </w:r>
      <w:r w:rsidR="00D816FB">
        <w:rPr>
          <w:rFonts w:ascii="Times New Roman" w:eastAsia="Calibri" w:hAnsi="Times New Roman" w:cs="Times New Roman"/>
          <w:noProof/>
          <w:lang w:val="en-IE"/>
        </w:rPr>
        <w:t> </w:t>
      </w:r>
      <w:r w:rsidRPr="003C0D71">
        <w:rPr>
          <w:rFonts w:ascii="Times New Roman" w:eastAsia="Calibri" w:hAnsi="Times New Roman" w:cs="Times New Roman"/>
          <w:noProof/>
          <w:lang w:val="en-IE"/>
        </w:rPr>
        <w:t xml:space="preserve">7 </w:t>
      </w:r>
      <w:r w:rsidR="00F247D6">
        <w:rPr>
          <w:rFonts w:ascii="Times New Roman" w:eastAsia="Calibri" w:hAnsi="Times New Roman" w:cs="Times New Roman"/>
          <w:noProof/>
          <w:lang w:val="en-IE"/>
        </w:rPr>
        <w:t>creates</w:t>
      </w:r>
      <w:r w:rsidRPr="003C0D71">
        <w:rPr>
          <w:rFonts w:ascii="Times New Roman" w:eastAsia="Calibri" w:hAnsi="Times New Roman" w:cs="Times New Roman"/>
          <w:noProof/>
          <w:lang w:val="en-IE"/>
        </w:rPr>
        <w:t xml:space="preserve"> a competitive disadvantage for EU </w:t>
      </w:r>
      <w:r w:rsidR="004D4F33">
        <w:rPr>
          <w:rFonts w:ascii="Times New Roman" w:eastAsia="Calibri" w:hAnsi="Times New Roman" w:cs="Times New Roman"/>
          <w:noProof/>
          <w:lang w:val="en-IE"/>
        </w:rPr>
        <w:t xml:space="preserve">institutional </w:t>
      </w:r>
      <w:r w:rsidRPr="003C0D71">
        <w:rPr>
          <w:rFonts w:ascii="Times New Roman" w:eastAsia="Calibri" w:hAnsi="Times New Roman" w:cs="Times New Roman"/>
          <w:noProof/>
          <w:lang w:val="en-IE"/>
        </w:rPr>
        <w:t>investors</w:t>
      </w:r>
      <w:r w:rsidRPr="003C0D71">
        <w:rPr>
          <w:rFonts w:ascii="Times New Roman" w:eastAsia="Calibri" w:hAnsi="Times New Roman" w:cs="Times New Roman"/>
          <w:noProof/>
        </w:rPr>
        <w:t xml:space="preserve">. Very few respondents supported the idea of </w:t>
      </w:r>
      <w:r w:rsidR="00805A04">
        <w:rPr>
          <w:rFonts w:ascii="Times New Roman" w:eastAsia="Calibri" w:hAnsi="Times New Roman" w:cs="Times New Roman"/>
          <w:noProof/>
        </w:rPr>
        <w:t>setting up</w:t>
      </w:r>
      <w:r w:rsidR="00805A04" w:rsidRPr="003C0D71">
        <w:rPr>
          <w:rFonts w:ascii="Times New Roman" w:eastAsia="Calibri" w:hAnsi="Times New Roman" w:cs="Times New Roman"/>
          <w:noProof/>
        </w:rPr>
        <w:t xml:space="preserve"> </w:t>
      </w:r>
      <w:r w:rsidRPr="003C0D71">
        <w:rPr>
          <w:rFonts w:ascii="Times New Roman" w:eastAsia="Calibri" w:hAnsi="Times New Roman" w:cs="Times New Roman"/>
          <w:noProof/>
        </w:rPr>
        <w:t xml:space="preserve">an equivalence regime as suggested by the Joint Committee </w:t>
      </w:r>
      <w:r w:rsidR="00F247D6">
        <w:rPr>
          <w:rFonts w:ascii="Times New Roman" w:eastAsia="Calibri" w:hAnsi="Times New Roman" w:cs="Times New Roman"/>
          <w:noProof/>
        </w:rPr>
        <w:t>o</w:t>
      </w:r>
      <w:r w:rsidRPr="003C0D71">
        <w:rPr>
          <w:rFonts w:ascii="Times New Roman" w:eastAsia="Calibri" w:hAnsi="Times New Roman" w:cs="Times New Roman"/>
          <w:noProof/>
        </w:rPr>
        <w:t xml:space="preserve">pinion. </w:t>
      </w:r>
      <w:r w:rsidR="00F247D6">
        <w:rPr>
          <w:rFonts w:ascii="Times New Roman" w:eastAsia="Calibri" w:hAnsi="Times New Roman" w:cs="Times New Roman"/>
          <w:noProof/>
        </w:rPr>
        <w:t>Some</w:t>
      </w:r>
      <w:r w:rsidRPr="003C0D71">
        <w:rPr>
          <w:rFonts w:ascii="Times New Roman" w:eastAsia="Calibri" w:hAnsi="Times New Roman" w:cs="Times New Roman"/>
          <w:noProof/>
        </w:rPr>
        <w:t xml:space="preserve"> other respondents outside </w:t>
      </w:r>
      <w:r w:rsidR="00AD264D">
        <w:rPr>
          <w:rFonts w:ascii="Times New Roman" w:eastAsia="Calibri" w:hAnsi="Times New Roman" w:cs="Times New Roman"/>
          <w:noProof/>
        </w:rPr>
        <w:t xml:space="preserve">the </w:t>
      </w:r>
      <w:r w:rsidRPr="003C0D71">
        <w:rPr>
          <w:rFonts w:ascii="Times New Roman" w:eastAsia="Calibri" w:hAnsi="Times New Roman" w:cs="Times New Roman"/>
          <w:noProof/>
        </w:rPr>
        <w:t xml:space="preserve">industry </w:t>
      </w:r>
      <w:r w:rsidR="00AD264D">
        <w:rPr>
          <w:rFonts w:ascii="Times New Roman" w:eastAsia="Calibri" w:hAnsi="Times New Roman" w:cs="Times New Roman"/>
          <w:noProof/>
        </w:rPr>
        <w:t>were</w:t>
      </w:r>
      <w:r w:rsidR="00AD264D" w:rsidRPr="003C0D71">
        <w:rPr>
          <w:rFonts w:ascii="Times New Roman" w:eastAsia="Calibri" w:hAnsi="Times New Roman" w:cs="Times New Roman"/>
          <w:noProof/>
        </w:rPr>
        <w:t xml:space="preserve"> </w:t>
      </w:r>
      <w:r w:rsidRPr="003C0D71">
        <w:rPr>
          <w:rFonts w:ascii="Times New Roman" w:eastAsia="Calibri" w:hAnsi="Times New Roman" w:cs="Times New Roman"/>
          <w:noProof/>
        </w:rPr>
        <w:t xml:space="preserve">against </w:t>
      </w:r>
      <w:r w:rsidR="00AD264D">
        <w:rPr>
          <w:rFonts w:ascii="Times New Roman" w:eastAsia="Calibri" w:hAnsi="Times New Roman" w:cs="Times New Roman"/>
          <w:noProof/>
        </w:rPr>
        <w:t>greater</w:t>
      </w:r>
      <w:r w:rsidR="00AD264D" w:rsidRPr="003C0D71">
        <w:rPr>
          <w:rFonts w:ascii="Times New Roman" w:eastAsia="Calibri" w:hAnsi="Times New Roman" w:cs="Times New Roman"/>
          <w:noProof/>
        </w:rPr>
        <w:t xml:space="preserve"> </w:t>
      </w:r>
      <w:r w:rsidRPr="003C0D71">
        <w:rPr>
          <w:rFonts w:ascii="Times New Roman" w:eastAsia="Calibri" w:hAnsi="Times New Roman" w:cs="Times New Roman"/>
          <w:noProof/>
        </w:rPr>
        <w:t>flexibility in the case of investments in third-country securitisations, but recommended simplifying the information requirements in general.</w:t>
      </w:r>
    </w:p>
    <w:p w14:paraId="4E0DD177" w14:textId="2554FF18" w:rsidR="009E344D" w:rsidRPr="003C0D71" w:rsidRDefault="000146AB" w:rsidP="000D4664">
      <w:pPr>
        <w:rPr>
          <w:rFonts w:ascii="Times New Roman" w:hAnsi="Times New Roman" w:cs="Times New Roman"/>
          <w:b/>
          <w:noProof/>
          <w:sz w:val="24"/>
        </w:rPr>
      </w:pPr>
      <w:r>
        <w:rPr>
          <w:rFonts w:ascii="Times New Roman" w:hAnsi="Times New Roman" w:cs="Times New Roman"/>
          <w:b/>
          <w:noProof/>
          <w:sz w:val="24"/>
        </w:rPr>
        <w:t>The Commission’s assessment</w:t>
      </w:r>
    </w:p>
    <w:p w14:paraId="03298FEF" w14:textId="647D5A44" w:rsidR="00A70EA8" w:rsidRPr="003C0D71" w:rsidRDefault="00A70EA8" w:rsidP="00A70EA8">
      <w:pPr>
        <w:jc w:val="both"/>
        <w:rPr>
          <w:rFonts w:ascii="Times New Roman" w:eastAsia="Calibri" w:hAnsi="Times New Roman" w:cs="Times New Roman"/>
          <w:noProof/>
        </w:rPr>
      </w:pPr>
      <w:bookmarkStart w:id="69" w:name="_Toc104283078"/>
      <w:bookmarkStart w:id="70" w:name="_Toc104286146"/>
      <w:bookmarkStart w:id="71" w:name="_Toc104297350"/>
      <w:r w:rsidRPr="003C0D71">
        <w:rPr>
          <w:rFonts w:ascii="Times New Roman" w:eastAsia="Calibri" w:hAnsi="Times New Roman" w:cs="Times New Roman"/>
          <w:noProof/>
        </w:rPr>
        <w:t xml:space="preserve">The Commission acknowledges that </w:t>
      </w:r>
      <w:r w:rsidR="00C82CA7" w:rsidRPr="003C0D71">
        <w:rPr>
          <w:rFonts w:ascii="Times New Roman" w:eastAsia="Calibri" w:hAnsi="Times New Roman" w:cs="Times New Roman"/>
          <w:noProof/>
        </w:rPr>
        <w:t xml:space="preserve">Article 5(1)(e) </w:t>
      </w:r>
      <w:r w:rsidRPr="003C0D71">
        <w:rPr>
          <w:rFonts w:ascii="Times New Roman" w:eastAsia="Calibri" w:hAnsi="Times New Roman" w:cs="Times New Roman"/>
          <w:noProof/>
        </w:rPr>
        <w:t>gives rise to questions of legal interpretation and takes note of the different interpretations of this matter</w:t>
      </w:r>
      <w:r w:rsidR="00C82CA7">
        <w:rPr>
          <w:rFonts w:ascii="Times New Roman" w:eastAsia="Calibri" w:hAnsi="Times New Roman" w:cs="Times New Roman"/>
          <w:noProof/>
        </w:rPr>
        <w:t>.</w:t>
      </w:r>
      <w:r w:rsidRPr="003C0D71">
        <w:rPr>
          <w:rFonts w:ascii="Times New Roman" w:eastAsia="Calibri" w:hAnsi="Times New Roman" w:cs="Times New Roman"/>
          <w:noProof/>
        </w:rPr>
        <w:t xml:space="preserve"> </w:t>
      </w:r>
      <w:r w:rsidR="00C82CA7">
        <w:rPr>
          <w:rFonts w:ascii="Times New Roman" w:eastAsia="Calibri" w:hAnsi="Times New Roman" w:cs="Times New Roman"/>
          <w:noProof/>
        </w:rPr>
        <w:t>However, the Commission</w:t>
      </w:r>
      <w:r w:rsidRPr="003C0D71">
        <w:rPr>
          <w:rFonts w:ascii="Times New Roman" w:eastAsia="Calibri" w:hAnsi="Times New Roman" w:cs="Times New Roman"/>
          <w:noProof/>
        </w:rPr>
        <w:t xml:space="preserve"> is of the view that the legislative intent of the verification obligation </w:t>
      </w:r>
      <w:r w:rsidR="00B5111C">
        <w:rPr>
          <w:rFonts w:ascii="Times New Roman" w:eastAsia="Calibri" w:hAnsi="Times New Roman" w:cs="Times New Roman"/>
          <w:noProof/>
        </w:rPr>
        <w:t>under</w:t>
      </w:r>
      <w:r w:rsidR="00B5111C" w:rsidRPr="003C0D71">
        <w:rPr>
          <w:rFonts w:ascii="Times New Roman" w:eastAsia="Calibri" w:hAnsi="Times New Roman" w:cs="Times New Roman"/>
          <w:noProof/>
        </w:rPr>
        <w:t xml:space="preserve"> </w:t>
      </w:r>
      <w:r w:rsidRPr="003C0D71">
        <w:rPr>
          <w:rFonts w:ascii="Times New Roman" w:eastAsia="Calibri" w:hAnsi="Times New Roman" w:cs="Times New Roman"/>
          <w:noProof/>
        </w:rPr>
        <w:t>Article 5(1)(e) of the Securitisation Regulation is key to the interpretation of this provision</w:t>
      </w:r>
      <w:r w:rsidR="00B5111C">
        <w:rPr>
          <w:rFonts w:ascii="Times New Roman" w:eastAsia="Calibri" w:hAnsi="Times New Roman" w:cs="Times New Roman"/>
          <w:noProof/>
        </w:rPr>
        <w:t>.</w:t>
      </w:r>
      <w:r w:rsidRPr="003C0D71">
        <w:rPr>
          <w:rFonts w:ascii="Times New Roman" w:eastAsia="Calibri" w:hAnsi="Times New Roman" w:cs="Times New Roman"/>
          <w:noProof/>
        </w:rPr>
        <w:t xml:space="preserve"> </w:t>
      </w:r>
      <w:r w:rsidR="00B5111C">
        <w:rPr>
          <w:rFonts w:ascii="Times New Roman" w:eastAsia="Calibri" w:hAnsi="Times New Roman" w:cs="Times New Roman"/>
          <w:noProof/>
        </w:rPr>
        <w:t>With the</w:t>
      </w:r>
      <w:r w:rsidRPr="003C0D71">
        <w:rPr>
          <w:rFonts w:ascii="Times New Roman" w:eastAsia="Calibri" w:hAnsi="Times New Roman" w:cs="Times New Roman"/>
          <w:noProof/>
        </w:rPr>
        <w:t xml:space="preserve"> experience </w:t>
      </w:r>
      <w:r w:rsidR="00B5111C">
        <w:rPr>
          <w:rFonts w:ascii="Times New Roman" w:eastAsia="Calibri" w:hAnsi="Times New Roman" w:cs="Times New Roman"/>
          <w:noProof/>
        </w:rPr>
        <w:t xml:space="preserve">gained </w:t>
      </w:r>
      <w:r w:rsidRPr="003C0D71">
        <w:rPr>
          <w:rFonts w:ascii="Times New Roman" w:eastAsia="Calibri" w:hAnsi="Times New Roman" w:cs="Times New Roman"/>
          <w:noProof/>
        </w:rPr>
        <w:t>from the great financial crisis, the EU legislator</w:t>
      </w:r>
      <w:r w:rsidR="000A06C6">
        <w:rPr>
          <w:rFonts w:ascii="Times New Roman" w:eastAsia="Calibri" w:hAnsi="Times New Roman" w:cs="Times New Roman"/>
          <w:noProof/>
        </w:rPr>
        <w:t>s</w:t>
      </w:r>
      <w:r w:rsidRPr="003C0D71">
        <w:rPr>
          <w:rFonts w:ascii="Times New Roman" w:eastAsia="Calibri" w:hAnsi="Times New Roman" w:cs="Times New Roman"/>
          <w:noProof/>
        </w:rPr>
        <w:t xml:space="preserve"> wanted to ensure that </w:t>
      </w:r>
      <w:r w:rsidR="00B5111C" w:rsidRPr="003C0D71">
        <w:rPr>
          <w:rFonts w:ascii="Times New Roman" w:eastAsia="Calibri" w:hAnsi="Times New Roman" w:cs="Times New Roman"/>
          <w:noProof/>
        </w:rPr>
        <w:t xml:space="preserve">in the future </w:t>
      </w:r>
      <w:r w:rsidRPr="003C0D71">
        <w:rPr>
          <w:rFonts w:ascii="Times New Roman" w:eastAsia="Calibri" w:hAnsi="Times New Roman" w:cs="Times New Roman"/>
          <w:noProof/>
        </w:rPr>
        <w:t>EU</w:t>
      </w:r>
      <w:r w:rsidR="004D4F33">
        <w:rPr>
          <w:rFonts w:ascii="Times New Roman" w:eastAsia="Calibri" w:hAnsi="Times New Roman" w:cs="Times New Roman"/>
          <w:noProof/>
        </w:rPr>
        <w:t xml:space="preserve"> institutional</w:t>
      </w:r>
      <w:r w:rsidRPr="003C0D71">
        <w:rPr>
          <w:rFonts w:ascii="Times New Roman" w:eastAsia="Calibri" w:hAnsi="Times New Roman" w:cs="Times New Roman"/>
          <w:noProof/>
        </w:rPr>
        <w:t xml:space="preserve"> investors in securitisations will perform proper due diligence before any investment</w:t>
      </w:r>
      <w:r w:rsidR="00D816FB">
        <w:rPr>
          <w:rFonts w:ascii="Times New Roman" w:eastAsia="Calibri" w:hAnsi="Times New Roman" w:cs="Times New Roman"/>
          <w:noProof/>
        </w:rPr>
        <w:t>,</w:t>
      </w:r>
      <w:r w:rsidRPr="003C0D71">
        <w:rPr>
          <w:rFonts w:ascii="Times New Roman" w:eastAsia="Calibri" w:hAnsi="Times New Roman" w:cs="Times New Roman"/>
          <w:noProof/>
        </w:rPr>
        <w:t xml:space="preserve"> and that they have all the information necessary at their disposal. The </w:t>
      </w:r>
      <w:r w:rsidR="00B5111C">
        <w:rPr>
          <w:rFonts w:ascii="Times New Roman" w:eastAsia="Calibri" w:hAnsi="Times New Roman" w:cs="Times New Roman"/>
          <w:noProof/>
        </w:rPr>
        <w:t>co-</w:t>
      </w:r>
      <w:r w:rsidRPr="003C0D71">
        <w:rPr>
          <w:rFonts w:ascii="Times New Roman" w:eastAsia="Calibri" w:hAnsi="Times New Roman" w:cs="Times New Roman"/>
          <w:noProof/>
        </w:rPr>
        <w:t>legislator</w:t>
      </w:r>
      <w:r w:rsidR="000A06C6">
        <w:rPr>
          <w:rFonts w:ascii="Times New Roman" w:eastAsia="Calibri" w:hAnsi="Times New Roman" w:cs="Times New Roman"/>
          <w:noProof/>
        </w:rPr>
        <w:t>s</w:t>
      </w:r>
      <w:r w:rsidR="00503D36">
        <w:rPr>
          <w:rFonts w:ascii="Times New Roman" w:eastAsia="Calibri" w:hAnsi="Times New Roman" w:cs="Times New Roman"/>
          <w:noProof/>
        </w:rPr>
        <w:t xml:space="preserve"> specified</w:t>
      </w:r>
      <w:r w:rsidRPr="003C0D71">
        <w:rPr>
          <w:rFonts w:ascii="Times New Roman" w:eastAsia="Calibri" w:hAnsi="Times New Roman" w:cs="Times New Roman"/>
          <w:noProof/>
        </w:rPr>
        <w:t xml:space="preserve"> the information that must be disclosed to investors in Article 7. Thus, differentiating the scope of information to be provided, depending on whether the securitisation is issued by EU entities or by </w:t>
      </w:r>
      <w:r w:rsidR="00B5111C">
        <w:rPr>
          <w:rFonts w:ascii="Times New Roman" w:eastAsia="Calibri" w:hAnsi="Times New Roman" w:cs="Times New Roman"/>
          <w:noProof/>
        </w:rPr>
        <w:t>entities based in</w:t>
      </w:r>
      <w:r w:rsidR="006E262E">
        <w:rPr>
          <w:rFonts w:ascii="Times New Roman" w:eastAsia="Calibri" w:hAnsi="Times New Roman" w:cs="Times New Roman"/>
          <w:noProof/>
        </w:rPr>
        <w:t xml:space="preserve"> </w:t>
      </w:r>
      <w:r w:rsidRPr="003C0D71">
        <w:rPr>
          <w:rFonts w:ascii="Times New Roman" w:eastAsia="Calibri" w:hAnsi="Times New Roman" w:cs="Times New Roman"/>
          <w:noProof/>
        </w:rPr>
        <w:t>third</w:t>
      </w:r>
      <w:r w:rsidR="00182FA8">
        <w:rPr>
          <w:rFonts w:ascii="Times New Roman" w:eastAsia="Calibri" w:hAnsi="Times New Roman" w:cs="Times New Roman"/>
          <w:noProof/>
        </w:rPr>
        <w:t>-</w:t>
      </w:r>
      <w:r w:rsidRPr="003C0D71">
        <w:rPr>
          <w:rFonts w:ascii="Times New Roman" w:eastAsia="Calibri" w:hAnsi="Times New Roman" w:cs="Times New Roman"/>
          <w:noProof/>
        </w:rPr>
        <w:t>countr</w:t>
      </w:r>
      <w:r w:rsidR="00B5111C">
        <w:rPr>
          <w:rFonts w:ascii="Times New Roman" w:eastAsia="Calibri" w:hAnsi="Times New Roman" w:cs="Times New Roman"/>
          <w:noProof/>
        </w:rPr>
        <w:t>ies</w:t>
      </w:r>
      <w:r w:rsidRPr="003C0D71">
        <w:rPr>
          <w:rFonts w:ascii="Times New Roman" w:eastAsia="Calibri" w:hAnsi="Times New Roman" w:cs="Times New Roman"/>
          <w:noProof/>
        </w:rPr>
        <w:t>, is not in line with the legislative intent, since it does not matter for the proper performance of the EU</w:t>
      </w:r>
      <w:r w:rsidR="00BC13DA">
        <w:rPr>
          <w:rFonts w:ascii="Times New Roman" w:eastAsia="Calibri" w:hAnsi="Times New Roman" w:cs="Times New Roman"/>
          <w:noProof/>
        </w:rPr>
        <w:t>-</w:t>
      </w:r>
      <w:r w:rsidRPr="003C0D71">
        <w:rPr>
          <w:rFonts w:ascii="Times New Roman" w:eastAsia="Calibri" w:hAnsi="Times New Roman" w:cs="Times New Roman"/>
          <w:noProof/>
        </w:rPr>
        <w:t xml:space="preserve">based </w:t>
      </w:r>
      <w:r w:rsidR="004D4F33">
        <w:rPr>
          <w:rFonts w:ascii="Times New Roman" w:eastAsia="Calibri" w:hAnsi="Times New Roman" w:cs="Times New Roman"/>
          <w:noProof/>
        </w:rPr>
        <w:t xml:space="preserve">institutional </w:t>
      </w:r>
      <w:r w:rsidRPr="003C0D71">
        <w:rPr>
          <w:rFonts w:ascii="Times New Roman" w:eastAsia="Calibri" w:hAnsi="Times New Roman" w:cs="Times New Roman"/>
          <w:noProof/>
        </w:rPr>
        <w:t>investors’ due diligence whether a securitisation originated in</w:t>
      </w:r>
      <w:r w:rsidR="00B5111C">
        <w:rPr>
          <w:rFonts w:ascii="Times New Roman" w:eastAsia="Calibri" w:hAnsi="Times New Roman" w:cs="Times New Roman"/>
          <w:noProof/>
        </w:rPr>
        <w:t>side or outside</w:t>
      </w:r>
      <w:r w:rsidRPr="003C0D71">
        <w:rPr>
          <w:rFonts w:ascii="Times New Roman" w:eastAsia="Calibri" w:hAnsi="Times New Roman" w:cs="Times New Roman"/>
          <w:noProof/>
        </w:rPr>
        <w:t xml:space="preserve"> the EU. Therefore, </w:t>
      </w:r>
      <w:r w:rsidR="00503D36">
        <w:rPr>
          <w:rFonts w:ascii="Times New Roman" w:eastAsia="Calibri" w:hAnsi="Times New Roman" w:cs="Times New Roman"/>
          <w:noProof/>
        </w:rPr>
        <w:t>without</w:t>
      </w:r>
      <w:r w:rsidR="00503D36" w:rsidRPr="003C0D71">
        <w:rPr>
          <w:rFonts w:ascii="Times New Roman" w:eastAsia="Calibri" w:hAnsi="Times New Roman" w:cs="Times New Roman"/>
          <w:noProof/>
        </w:rPr>
        <w:t xml:space="preserve"> </w:t>
      </w:r>
      <w:r w:rsidRPr="003C0D71">
        <w:rPr>
          <w:rFonts w:ascii="Times New Roman" w:eastAsia="Calibri" w:hAnsi="Times New Roman" w:cs="Times New Roman"/>
          <w:noProof/>
        </w:rPr>
        <w:t>an amendment of the legal provision, it is no</w:t>
      </w:r>
      <w:r w:rsidR="00503D36">
        <w:rPr>
          <w:rFonts w:ascii="Times New Roman" w:eastAsia="Calibri" w:hAnsi="Times New Roman" w:cs="Times New Roman"/>
          <w:noProof/>
        </w:rPr>
        <w:t>t</w:t>
      </w:r>
      <w:r w:rsidRPr="003C0D71">
        <w:rPr>
          <w:rFonts w:ascii="Times New Roman" w:eastAsia="Calibri" w:hAnsi="Times New Roman" w:cs="Times New Roman"/>
          <w:noProof/>
        </w:rPr>
        <w:t xml:space="preserve"> appropriate to interpret Article 5(1)(e) in a way that would </w:t>
      </w:r>
      <w:r w:rsidR="00503D36">
        <w:rPr>
          <w:rFonts w:ascii="Times New Roman" w:eastAsia="Calibri" w:hAnsi="Times New Roman" w:cs="Times New Roman"/>
          <w:noProof/>
        </w:rPr>
        <w:t>leave</w:t>
      </w:r>
      <w:r w:rsidR="00503D36" w:rsidRPr="003C0D71">
        <w:rPr>
          <w:rFonts w:ascii="Times New Roman" w:eastAsia="Calibri" w:hAnsi="Times New Roman" w:cs="Times New Roman"/>
          <w:noProof/>
        </w:rPr>
        <w:t xml:space="preserve"> </w:t>
      </w:r>
      <w:r w:rsidRPr="003C0D71">
        <w:rPr>
          <w:rFonts w:ascii="Times New Roman" w:eastAsia="Calibri" w:hAnsi="Times New Roman" w:cs="Times New Roman"/>
          <w:noProof/>
        </w:rPr>
        <w:t xml:space="preserve">it to the discretion of the </w:t>
      </w:r>
      <w:r w:rsidR="004D4F33">
        <w:rPr>
          <w:rFonts w:ascii="Times New Roman" w:eastAsia="Calibri" w:hAnsi="Times New Roman" w:cs="Times New Roman"/>
          <w:noProof/>
        </w:rPr>
        <w:t xml:space="preserve">institutional </w:t>
      </w:r>
      <w:r w:rsidRPr="003C0D71">
        <w:rPr>
          <w:rFonts w:ascii="Times New Roman" w:eastAsia="Calibri" w:hAnsi="Times New Roman" w:cs="Times New Roman"/>
          <w:noProof/>
        </w:rPr>
        <w:t xml:space="preserve">investors </w:t>
      </w:r>
      <w:r w:rsidR="00503D36">
        <w:rPr>
          <w:rFonts w:ascii="Times New Roman" w:eastAsia="Calibri" w:hAnsi="Times New Roman" w:cs="Times New Roman"/>
          <w:noProof/>
        </w:rPr>
        <w:t xml:space="preserve">to </w:t>
      </w:r>
      <w:r w:rsidR="00503D36" w:rsidRPr="006E262E">
        <w:rPr>
          <w:rFonts w:ascii="Times New Roman" w:eastAsia="Calibri" w:hAnsi="Times New Roman" w:cs="Times New Roman"/>
          <w:noProof/>
        </w:rPr>
        <w:t>decide</w:t>
      </w:r>
      <w:r w:rsidR="00503D36">
        <w:rPr>
          <w:rFonts w:ascii="Times New Roman" w:eastAsia="Calibri" w:hAnsi="Times New Roman" w:cs="Times New Roman"/>
          <w:noProof/>
        </w:rPr>
        <w:t xml:space="preserve"> whether or not they</w:t>
      </w:r>
      <w:r w:rsidRPr="003C0D71">
        <w:rPr>
          <w:rFonts w:ascii="Times New Roman" w:eastAsia="Calibri" w:hAnsi="Times New Roman" w:cs="Times New Roman"/>
          <w:noProof/>
        </w:rPr>
        <w:t xml:space="preserve"> have received materially comparable information. </w:t>
      </w:r>
    </w:p>
    <w:p w14:paraId="6C838529" w14:textId="6217ED3B" w:rsidR="00A70EA8" w:rsidRPr="003C0D71" w:rsidRDefault="00A70EA8" w:rsidP="00A70EA8">
      <w:pPr>
        <w:jc w:val="both"/>
        <w:rPr>
          <w:rFonts w:ascii="Times New Roman" w:eastAsia="Calibri" w:hAnsi="Times New Roman" w:cs="Times New Roman"/>
          <w:noProof/>
        </w:rPr>
      </w:pPr>
      <w:r w:rsidRPr="003C0D71">
        <w:rPr>
          <w:rFonts w:ascii="Times New Roman" w:eastAsia="Calibri" w:hAnsi="Times New Roman" w:cs="Times New Roman"/>
          <w:noProof/>
        </w:rPr>
        <w:t xml:space="preserve">Notwithstanding the above, the Commission is aware that the current </w:t>
      </w:r>
      <w:r w:rsidR="00503D36">
        <w:rPr>
          <w:rFonts w:ascii="Times New Roman" w:eastAsia="Calibri" w:hAnsi="Times New Roman" w:cs="Times New Roman"/>
          <w:noProof/>
        </w:rPr>
        <w:t xml:space="preserve">text of </w:t>
      </w:r>
      <w:r w:rsidRPr="003C0D71">
        <w:rPr>
          <w:rFonts w:ascii="Times New Roman" w:eastAsia="Calibri" w:hAnsi="Times New Roman" w:cs="Times New Roman"/>
          <w:noProof/>
        </w:rPr>
        <w:t>Article 5(1)(e)</w:t>
      </w:r>
      <w:r w:rsidR="00503D36">
        <w:rPr>
          <w:rFonts w:ascii="Times New Roman" w:eastAsia="Calibri" w:hAnsi="Times New Roman" w:cs="Times New Roman"/>
          <w:noProof/>
        </w:rPr>
        <w:t>,</w:t>
      </w:r>
      <w:r w:rsidRPr="003C0D71">
        <w:rPr>
          <w:rFonts w:ascii="Times New Roman" w:eastAsia="Calibri" w:hAnsi="Times New Roman" w:cs="Times New Roman"/>
          <w:noProof/>
        </w:rPr>
        <w:t xml:space="preserve"> in conjunction with the rules </w:t>
      </w:r>
      <w:r w:rsidR="00503D36">
        <w:rPr>
          <w:rFonts w:ascii="Times New Roman" w:eastAsia="Calibri" w:hAnsi="Times New Roman" w:cs="Times New Roman"/>
          <w:noProof/>
        </w:rPr>
        <w:t>laid down by</w:t>
      </w:r>
      <w:r w:rsidRPr="003C0D71">
        <w:rPr>
          <w:rFonts w:ascii="Times New Roman" w:eastAsia="Calibri" w:hAnsi="Times New Roman" w:cs="Times New Roman"/>
          <w:noProof/>
        </w:rPr>
        <w:t xml:space="preserve"> Article 7 (and, in turn, in conjunction with the respective technical standard) de facto excludes EU </w:t>
      </w:r>
      <w:r w:rsidR="004D4F33">
        <w:rPr>
          <w:rFonts w:ascii="Times New Roman" w:eastAsia="Calibri" w:hAnsi="Times New Roman" w:cs="Times New Roman"/>
          <w:noProof/>
        </w:rPr>
        <w:t xml:space="preserve">institutional </w:t>
      </w:r>
      <w:r w:rsidRPr="003C0D71">
        <w:rPr>
          <w:rFonts w:ascii="Times New Roman" w:eastAsia="Calibri" w:hAnsi="Times New Roman" w:cs="Times New Roman"/>
          <w:noProof/>
        </w:rPr>
        <w:t>investors from investing in certain third</w:t>
      </w:r>
      <w:r w:rsidR="00182FA8">
        <w:rPr>
          <w:rFonts w:ascii="Times New Roman" w:eastAsia="Calibri" w:hAnsi="Times New Roman" w:cs="Times New Roman"/>
          <w:noProof/>
        </w:rPr>
        <w:t>-</w:t>
      </w:r>
      <w:r w:rsidRPr="003C0D71">
        <w:rPr>
          <w:rFonts w:ascii="Times New Roman" w:eastAsia="Calibri" w:hAnsi="Times New Roman" w:cs="Times New Roman"/>
          <w:noProof/>
        </w:rPr>
        <w:t>country securitisations</w:t>
      </w:r>
      <w:r w:rsidR="00503D36">
        <w:rPr>
          <w:rFonts w:ascii="Times New Roman" w:eastAsia="Calibri" w:hAnsi="Times New Roman" w:cs="Times New Roman"/>
          <w:noProof/>
        </w:rPr>
        <w:t>. This is</w:t>
      </w:r>
      <w:r w:rsidRPr="003C0D71">
        <w:rPr>
          <w:rFonts w:ascii="Times New Roman" w:eastAsia="Calibri" w:hAnsi="Times New Roman" w:cs="Times New Roman"/>
          <w:noProof/>
        </w:rPr>
        <w:t xml:space="preserve"> not because these transactions would be unable to materially comply with the EU regulatory framework, but simply because the third</w:t>
      </w:r>
      <w:r w:rsidR="00182FA8">
        <w:rPr>
          <w:rFonts w:ascii="Times New Roman" w:eastAsia="Calibri" w:hAnsi="Times New Roman" w:cs="Times New Roman"/>
          <w:noProof/>
        </w:rPr>
        <w:t>-</w:t>
      </w:r>
      <w:r w:rsidRPr="003C0D71">
        <w:rPr>
          <w:rFonts w:ascii="Times New Roman" w:eastAsia="Calibri" w:hAnsi="Times New Roman" w:cs="Times New Roman"/>
          <w:noProof/>
        </w:rPr>
        <w:t>country sell</w:t>
      </w:r>
      <w:r w:rsidR="005F5D7D">
        <w:rPr>
          <w:rFonts w:ascii="Times New Roman" w:eastAsia="Calibri" w:hAnsi="Times New Roman" w:cs="Times New Roman"/>
          <w:noProof/>
        </w:rPr>
        <w:t>-</w:t>
      </w:r>
      <w:r w:rsidRPr="003C0D71">
        <w:rPr>
          <w:rFonts w:ascii="Times New Roman" w:eastAsia="Calibri" w:hAnsi="Times New Roman" w:cs="Times New Roman"/>
          <w:noProof/>
        </w:rPr>
        <w:t xml:space="preserve">side parties might not be interested </w:t>
      </w:r>
      <w:r w:rsidR="00503D36">
        <w:rPr>
          <w:rFonts w:ascii="Times New Roman" w:eastAsia="Calibri" w:hAnsi="Times New Roman" w:cs="Times New Roman"/>
          <w:noProof/>
        </w:rPr>
        <w:t>in</w:t>
      </w:r>
      <w:r w:rsidR="00503D36" w:rsidRPr="003C0D71">
        <w:rPr>
          <w:rFonts w:ascii="Times New Roman" w:eastAsia="Calibri" w:hAnsi="Times New Roman" w:cs="Times New Roman"/>
          <w:noProof/>
        </w:rPr>
        <w:t xml:space="preserve"> </w:t>
      </w:r>
      <w:r w:rsidRPr="003C0D71">
        <w:rPr>
          <w:rFonts w:ascii="Times New Roman" w:eastAsia="Calibri" w:hAnsi="Times New Roman" w:cs="Times New Roman"/>
          <w:noProof/>
        </w:rPr>
        <w:t>provid</w:t>
      </w:r>
      <w:r w:rsidR="00503D36">
        <w:rPr>
          <w:rFonts w:ascii="Times New Roman" w:eastAsia="Calibri" w:hAnsi="Times New Roman" w:cs="Times New Roman"/>
          <w:noProof/>
        </w:rPr>
        <w:t>ing</w:t>
      </w:r>
      <w:r w:rsidRPr="003C0D71">
        <w:rPr>
          <w:rFonts w:ascii="Times New Roman" w:eastAsia="Calibri" w:hAnsi="Times New Roman" w:cs="Times New Roman"/>
          <w:noProof/>
        </w:rPr>
        <w:t xml:space="preserve"> the necessary information according to the </w:t>
      </w:r>
      <w:r w:rsidR="000A06C6">
        <w:rPr>
          <w:rFonts w:ascii="Times New Roman" w:eastAsia="Calibri" w:hAnsi="Times New Roman" w:cs="Times New Roman"/>
          <w:noProof/>
        </w:rPr>
        <w:t>procedures</w:t>
      </w:r>
      <w:r w:rsidR="000A06C6" w:rsidRPr="003C0D71">
        <w:rPr>
          <w:rFonts w:ascii="Times New Roman" w:eastAsia="Calibri" w:hAnsi="Times New Roman" w:cs="Times New Roman"/>
          <w:noProof/>
        </w:rPr>
        <w:t xml:space="preserve"> </w:t>
      </w:r>
      <w:r w:rsidRPr="003C0D71">
        <w:rPr>
          <w:rFonts w:ascii="Times New Roman" w:eastAsia="Calibri" w:hAnsi="Times New Roman" w:cs="Times New Roman"/>
          <w:noProof/>
        </w:rPr>
        <w:t>set out in Article 7</w:t>
      </w:r>
      <w:r w:rsidR="00503D36">
        <w:rPr>
          <w:rFonts w:ascii="Times New Roman" w:eastAsia="Calibri" w:hAnsi="Times New Roman" w:cs="Times New Roman"/>
          <w:noProof/>
        </w:rPr>
        <w:t>.</w:t>
      </w:r>
      <w:r w:rsidRPr="003C0D71">
        <w:rPr>
          <w:rFonts w:ascii="Times New Roman" w:eastAsia="Calibri" w:hAnsi="Times New Roman" w:cs="Times New Roman"/>
          <w:noProof/>
        </w:rPr>
        <w:t xml:space="preserve"> While the issue might deserve thorough consideration in the context of a future amendment of the Securitisation Regulation, the Commission believes that the envisaged measures to amend the technical standards </w:t>
      </w:r>
      <w:r w:rsidR="007454D5">
        <w:rPr>
          <w:rFonts w:ascii="Times New Roman" w:eastAsia="Calibri" w:hAnsi="Times New Roman" w:cs="Times New Roman"/>
          <w:noProof/>
        </w:rPr>
        <w:t>that set out</w:t>
      </w:r>
      <w:r w:rsidR="007454D5" w:rsidRPr="003C0D71">
        <w:rPr>
          <w:rFonts w:ascii="Times New Roman" w:eastAsia="Calibri" w:hAnsi="Times New Roman" w:cs="Times New Roman"/>
          <w:noProof/>
        </w:rPr>
        <w:t xml:space="preserve"> </w:t>
      </w:r>
      <w:r w:rsidRPr="003C0D71">
        <w:rPr>
          <w:rFonts w:ascii="Times New Roman" w:eastAsia="Calibri" w:hAnsi="Times New Roman" w:cs="Times New Roman"/>
          <w:noProof/>
        </w:rPr>
        <w:t xml:space="preserve">the transparency requirements of Article 7 (see </w:t>
      </w:r>
      <w:r w:rsidR="00503D36">
        <w:rPr>
          <w:rFonts w:ascii="Times New Roman" w:eastAsia="Calibri" w:hAnsi="Times New Roman" w:cs="Times New Roman"/>
          <w:noProof/>
        </w:rPr>
        <w:t>S</w:t>
      </w:r>
      <w:r w:rsidRPr="003C0D71">
        <w:rPr>
          <w:rFonts w:ascii="Times New Roman" w:eastAsia="Calibri" w:hAnsi="Times New Roman" w:cs="Times New Roman"/>
          <w:noProof/>
        </w:rPr>
        <w:t>ection</w:t>
      </w:r>
      <w:r w:rsidR="00E82C06" w:rsidRPr="003C0D71">
        <w:rPr>
          <w:rFonts w:ascii="Times New Roman" w:eastAsia="Calibri" w:hAnsi="Times New Roman" w:cs="Times New Roman"/>
          <w:noProof/>
        </w:rPr>
        <w:t>s</w:t>
      </w:r>
      <w:r w:rsidRPr="003C0D71">
        <w:rPr>
          <w:rFonts w:ascii="Times New Roman" w:eastAsia="Calibri" w:hAnsi="Times New Roman" w:cs="Times New Roman"/>
          <w:noProof/>
        </w:rPr>
        <w:t xml:space="preserve"> 5</w:t>
      </w:r>
      <w:r w:rsidR="00E82C06" w:rsidRPr="003C0D71">
        <w:rPr>
          <w:rFonts w:ascii="Times New Roman" w:eastAsia="Calibri" w:hAnsi="Times New Roman" w:cs="Times New Roman"/>
          <w:noProof/>
        </w:rPr>
        <w:t xml:space="preserve"> and 6</w:t>
      </w:r>
      <w:r w:rsidRPr="003C0D71">
        <w:rPr>
          <w:rFonts w:ascii="Times New Roman" w:eastAsia="Calibri" w:hAnsi="Times New Roman" w:cs="Times New Roman"/>
          <w:noProof/>
        </w:rPr>
        <w:t xml:space="preserve">) might </w:t>
      </w:r>
      <w:r w:rsidR="00503D36">
        <w:rPr>
          <w:rFonts w:ascii="Times New Roman" w:eastAsia="Calibri" w:hAnsi="Times New Roman" w:cs="Times New Roman"/>
          <w:noProof/>
        </w:rPr>
        <w:t>help</w:t>
      </w:r>
      <w:r w:rsidRPr="003C0D71">
        <w:rPr>
          <w:rFonts w:ascii="Times New Roman" w:eastAsia="Calibri" w:hAnsi="Times New Roman" w:cs="Times New Roman"/>
          <w:noProof/>
        </w:rPr>
        <w:t xml:space="preserve"> reduce the competitive disadvantage for EU </w:t>
      </w:r>
      <w:r w:rsidR="004D4F33">
        <w:rPr>
          <w:rFonts w:ascii="Times New Roman" w:eastAsia="Calibri" w:hAnsi="Times New Roman" w:cs="Times New Roman"/>
          <w:noProof/>
        </w:rPr>
        <w:t xml:space="preserve">institutional </w:t>
      </w:r>
      <w:r w:rsidRPr="003C0D71">
        <w:rPr>
          <w:rFonts w:ascii="Times New Roman" w:eastAsia="Calibri" w:hAnsi="Times New Roman" w:cs="Times New Roman"/>
          <w:noProof/>
        </w:rPr>
        <w:t>investors</w:t>
      </w:r>
      <w:r w:rsidR="00503D36">
        <w:rPr>
          <w:rFonts w:ascii="Times New Roman" w:eastAsia="Calibri" w:hAnsi="Times New Roman" w:cs="Times New Roman"/>
          <w:noProof/>
        </w:rPr>
        <w:t>. This is because</w:t>
      </w:r>
      <w:r w:rsidR="004E6870" w:rsidRPr="003C0D71">
        <w:rPr>
          <w:rFonts w:ascii="Times New Roman" w:eastAsia="Calibri" w:hAnsi="Times New Roman" w:cs="Times New Roman"/>
          <w:noProof/>
        </w:rPr>
        <w:t xml:space="preserve"> </w:t>
      </w:r>
      <w:r w:rsidR="00D86346" w:rsidRPr="003C0D71">
        <w:rPr>
          <w:rFonts w:ascii="Times New Roman" w:eastAsia="Calibri" w:hAnsi="Times New Roman" w:cs="Times New Roman"/>
          <w:noProof/>
        </w:rPr>
        <w:t>this</w:t>
      </w:r>
      <w:r w:rsidR="004E6870" w:rsidRPr="003C0D71">
        <w:rPr>
          <w:rFonts w:ascii="Times New Roman" w:eastAsia="Calibri" w:hAnsi="Times New Roman" w:cs="Times New Roman"/>
          <w:noProof/>
        </w:rPr>
        <w:t xml:space="preserve"> will make it easier </w:t>
      </w:r>
      <w:r w:rsidR="00D86346" w:rsidRPr="003C0D71">
        <w:rPr>
          <w:rFonts w:ascii="Times New Roman" w:eastAsia="Calibri" w:hAnsi="Times New Roman" w:cs="Times New Roman"/>
          <w:noProof/>
        </w:rPr>
        <w:t xml:space="preserve">also </w:t>
      </w:r>
      <w:r w:rsidR="004E6870" w:rsidRPr="003C0D71">
        <w:rPr>
          <w:rFonts w:ascii="Times New Roman" w:eastAsia="Calibri" w:hAnsi="Times New Roman" w:cs="Times New Roman"/>
          <w:noProof/>
        </w:rPr>
        <w:t xml:space="preserve">for </w:t>
      </w:r>
      <w:r w:rsidR="00851BE2" w:rsidRPr="003C0D71">
        <w:rPr>
          <w:rFonts w:ascii="Times New Roman" w:eastAsia="Calibri" w:hAnsi="Times New Roman" w:cs="Times New Roman"/>
          <w:noProof/>
        </w:rPr>
        <w:t>sell</w:t>
      </w:r>
      <w:r w:rsidR="005F5D7D">
        <w:rPr>
          <w:rFonts w:ascii="Times New Roman" w:eastAsia="Calibri" w:hAnsi="Times New Roman" w:cs="Times New Roman"/>
          <w:noProof/>
        </w:rPr>
        <w:t>-</w:t>
      </w:r>
      <w:r w:rsidR="00851BE2" w:rsidRPr="003C0D71">
        <w:rPr>
          <w:rFonts w:ascii="Times New Roman" w:eastAsia="Calibri" w:hAnsi="Times New Roman" w:cs="Times New Roman"/>
          <w:noProof/>
        </w:rPr>
        <w:t xml:space="preserve">side parties </w:t>
      </w:r>
      <w:r w:rsidR="00851BE2">
        <w:rPr>
          <w:rFonts w:ascii="Times New Roman" w:eastAsia="Calibri" w:hAnsi="Times New Roman" w:cs="Times New Roman"/>
          <w:noProof/>
        </w:rPr>
        <w:t xml:space="preserve">from </w:t>
      </w:r>
      <w:r w:rsidR="004E6870" w:rsidRPr="003C0D71">
        <w:rPr>
          <w:rFonts w:ascii="Times New Roman" w:eastAsia="Calibri" w:hAnsi="Times New Roman" w:cs="Times New Roman"/>
          <w:noProof/>
        </w:rPr>
        <w:t>third</w:t>
      </w:r>
      <w:r w:rsidR="00182FA8">
        <w:rPr>
          <w:rFonts w:ascii="Times New Roman" w:eastAsia="Calibri" w:hAnsi="Times New Roman" w:cs="Times New Roman"/>
          <w:noProof/>
        </w:rPr>
        <w:t>-</w:t>
      </w:r>
      <w:r w:rsidR="004E6870" w:rsidRPr="003C0D71">
        <w:rPr>
          <w:rFonts w:ascii="Times New Roman" w:eastAsia="Calibri" w:hAnsi="Times New Roman" w:cs="Times New Roman"/>
          <w:noProof/>
        </w:rPr>
        <w:t>countr</w:t>
      </w:r>
      <w:r w:rsidR="00851BE2">
        <w:rPr>
          <w:rFonts w:ascii="Times New Roman" w:eastAsia="Calibri" w:hAnsi="Times New Roman" w:cs="Times New Roman"/>
          <w:noProof/>
        </w:rPr>
        <w:t>ies</w:t>
      </w:r>
      <w:r w:rsidR="004E6870" w:rsidRPr="003C0D71">
        <w:rPr>
          <w:rFonts w:ascii="Times New Roman" w:eastAsia="Calibri" w:hAnsi="Times New Roman" w:cs="Times New Roman"/>
          <w:noProof/>
        </w:rPr>
        <w:t xml:space="preserve"> to provide the required information</w:t>
      </w:r>
      <w:r w:rsidRPr="003C0D71">
        <w:rPr>
          <w:rFonts w:ascii="Times New Roman" w:eastAsia="Calibri" w:hAnsi="Times New Roman" w:cs="Times New Roman"/>
          <w:noProof/>
        </w:rPr>
        <w:t>.</w:t>
      </w:r>
    </w:p>
    <w:p w14:paraId="0C985EBA" w14:textId="238CC584" w:rsidR="008F6FAB" w:rsidRPr="003C0D71" w:rsidRDefault="008F6FAB" w:rsidP="000D4664">
      <w:pPr>
        <w:pStyle w:val="Heading2"/>
        <w:rPr>
          <w:rFonts w:ascii="Times New Roman" w:hAnsi="Times New Roman" w:cs="Times New Roman"/>
          <w:noProof/>
          <w:color w:val="auto"/>
        </w:rPr>
      </w:pPr>
      <w:bookmarkStart w:id="72" w:name="_Toc115346219"/>
      <w:r w:rsidRPr="003C0D71">
        <w:rPr>
          <w:rFonts w:ascii="Times New Roman" w:hAnsi="Times New Roman" w:cs="Times New Roman"/>
          <w:noProof/>
          <w:color w:val="auto"/>
        </w:rPr>
        <w:t>11.</w:t>
      </w:r>
      <w:r w:rsidR="00C612CF">
        <w:rPr>
          <w:rFonts w:ascii="Times New Roman" w:hAnsi="Times New Roman" w:cs="Times New Roman"/>
          <w:noProof/>
          <w:color w:val="auto"/>
        </w:rPr>
        <w:t>3</w:t>
      </w:r>
      <w:r w:rsidRPr="003C0D71">
        <w:rPr>
          <w:rFonts w:ascii="Times New Roman" w:hAnsi="Times New Roman" w:cs="Times New Roman"/>
          <w:noProof/>
          <w:color w:val="auto"/>
        </w:rPr>
        <w:t xml:space="preserve"> Buy-side obligations – AIFM investors</w:t>
      </w:r>
      <w:bookmarkEnd w:id="69"/>
      <w:bookmarkEnd w:id="70"/>
      <w:bookmarkEnd w:id="71"/>
      <w:bookmarkEnd w:id="72"/>
    </w:p>
    <w:p w14:paraId="4C76AE1B" w14:textId="77777777" w:rsidR="009E344D" w:rsidRPr="003C0D71" w:rsidRDefault="009E344D" w:rsidP="000D4664">
      <w:pPr>
        <w:rPr>
          <w:rFonts w:ascii="Times New Roman" w:hAnsi="Times New Roman" w:cs="Times New Roman"/>
          <w:b/>
          <w:noProof/>
          <w:sz w:val="24"/>
        </w:rPr>
      </w:pPr>
      <w:r w:rsidRPr="003C0D71">
        <w:rPr>
          <w:rFonts w:ascii="Times New Roman" w:hAnsi="Times New Roman" w:cs="Times New Roman"/>
          <w:b/>
          <w:noProof/>
          <w:sz w:val="24"/>
        </w:rPr>
        <w:t>Background and findings</w:t>
      </w:r>
    </w:p>
    <w:p w14:paraId="000225EB" w14:textId="07835E50" w:rsidR="00A70EA8" w:rsidRPr="003C0D71" w:rsidRDefault="00A70EA8" w:rsidP="00A70EA8">
      <w:pPr>
        <w:jc w:val="both"/>
        <w:rPr>
          <w:rFonts w:ascii="Times New Roman" w:eastAsia="Calibri" w:hAnsi="Times New Roman" w:cs="Times New Roman"/>
          <w:noProof/>
        </w:rPr>
      </w:pPr>
      <w:r w:rsidRPr="003C0D71">
        <w:rPr>
          <w:rFonts w:ascii="Times New Roman" w:eastAsia="Calibri" w:hAnsi="Times New Roman" w:cs="Times New Roman"/>
          <w:noProof/>
        </w:rPr>
        <w:t xml:space="preserve">The Joint Committee </w:t>
      </w:r>
      <w:r w:rsidR="00342131">
        <w:rPr>
          <w:rFonts w:ascii="Times New Roman" w:eastAsia="Calibri" w:hAnsi="Times New Roman" w:cs="Times New Roman"/>
          <w:noProof/>
        </w:rPr>
        <w:t>o</w:t>
      </w:r>
      <w:r w:rsidRPr="003C0D71">
        <w:rPr>
          <w:rFonts w:ascii="Times New Roman" w:eastAsia="Calibri" w:hAnsi="Times New Roman" w:cs="Times New Roman"/>
          <w:noProof/>
        </w:rPr>
        <w:t>pinion point</w:t>
      </w:r>
      <w:r w:rsidR="007C01AE">
        <w:rPr>
          <w:rFonts w:ascii="Times New Roman" w:eastAsia="Calibri" w:hAnsi="Times New Roman" w:cs="Times New Roman"/>
          <w:noProof/>
        </w:rPr>
        <w:t>ed</w:t>
      </w:r>
      <w:r w:rsidRPr="003C0D71">
        <w:rPr>
          <w:rFonts w:ascii="Times New Roman" w:eastAsia="Calibri" w:hAnsi="Times New Roman" w:cs="Times New Roman"/>
          <w:noProof/>
        </w:rPr>
        <w:t xml:space="preserve"> to a need for certain legal clarifications </w:t>
      </w:r>
      <w:r w:rsidR="00342131">
        <w:rPr>
          <w:rFonts w:ascii="Times New Roman" w:eastAsia="Calibri" w:hAnsi="Times New Roman" w:cs="Times New Roman"/>
          <w:noProof/>
        </w:rPr>
        <w:t>on</w:t>
      </w:r>
      <w:r w:rsidRPr="003C0D71">
        <w:rPr>
          <w:rFonts w:ascii="Times New Roman" w:eastAsia="Calibri" w:hAnsi="Times New Roman" w:cs="Times New Roman"/>
          <w:noProof/>
        </w:rPr>
        <w:t xml:space="preserve"> alternative investment fund managers (AIFMs) acting as </w:t>
      </w:r>
      <w:r w:rsidR="004D4F33">
        <w:rPr>
          <w:rFonts w:ascii="Times New Roman" w:eastAsia="Calibri" w:hAnsi="Times New Roman" w:cs="Times New Roman"/>
          <w:noProof/>
        </w:rPr>
        <w:t xml:space="preserve">institutional </w:t>
      </w:r>
      <w:r w:rsidRPr="003C0D71">
        <w:rPr>
          <w:rFonts w:ascii="Times New Roman" w:eastAsia="Calibri" w:hAnsi="Times New Roman" w:cs="Times New Roman"/>
          <w:noProof/>
        </w:rPr>
        <w:t>investors in securitisations</w:t>
      </w:r>
      <w:r w:rsidR="00342131">
        <w:rPr>
          <w:rFonts w:ascii="Times New Roman" w:eastAsia="Calibri" w:hAnsi="Times New Roman" w:cs="Times New Roman"/>
          <w:noProof/>
        </w:rPr>
        <w:t>.</w:t>
      </w:r>
      <w:r w:rsidRPr="003C0D71">
        <w:rPr>
          <w:rFonts w:ascii="Times New Roman" w:eastAsia="Calibri" w:hAnsi="Times New Roman" w:cs="Times New Roman"/>
          <w:noProof/>
        </w:rPr>
        <w:t xml:space="preserve"> First, it was unclear whether a non-EU AIFM that manages or markets </w:t>
      </w:r>
      <w:r w:rsidR="00342131">
        <w:rPr>
          <w:rFonts w:ascii="Times New Roman" w:eastAsia="Calibri" w:hAnsi="Times New Roman" w:cs="Times New Roman"/>
          <w:noProof/>
        </w:rPr>
        <w:t>alternative investment funds (</w:t>
      </w:r>
      <w:r w:rsidRPr="00342131">
        <w:rPr>
          <w:rFonts w:ascii="Times New Roman" w:eastAsia="Calibri" w:hAnsi="Times New Roman" w:cs="Times New Roman"/>
          <w:noProof/>
        </w:rPr>
        <w:t>AIFs</w:t>
      </w:r>
      <w:r w:rsidR="00342131">
        <w:rPr>
          <w:rFonts w:ascii="Times New Roman" w:eastAsia="Calibri" w:hAnsi="Times New Roman" w:cs="Times New Roman"/>
          <w:noProof/>
        </w:rPr>
        <w:t>)</w:t>
      </w:r>
      <w:r w:rsidRPr="003C0D71">
        <w:rPr>
          <w:rFonts w:ascii="Times New Roman" w:eastAsia="Calibri" w:hAnsi="Times New Roman" w:cs="Times New Roman"/>
          <w:noProof/>
        </w:rPr>
        <w:t xml:space="preserve"> in the EU would be covered by the scope of the Securitisation Regulation’s definition of an institutional investor, even if the marketing in the EU </w:t>
      </w:r>
      <w:r w:rsidR="00F1581F">
        <w:rPr>
          <w:rFonts w:ascii="Times New Roman" w:eastAsia="Calibri" w:hAnsi="Times New Roman" w:cs="Times New Roman"/>
          <w:noProof/>
        </w:rPr>
        <w:t xml:space="preserve">only </w:t>
      </w:r>
      <w:r w:rsidRPr="003C0D71">
        <w:rPr>
          <w:rFonts w:ascii="Times New Roman" w:eastAsia="Calibri" w:hAnsi="Times New Roman" w:cs="Times New Roman"/>
          <w:noProof/>
        </w:rPr>
        <w:t xml:space="preserve">takes place on a private placement basis. Second, it was unclear whether the definition of the institutional investor (who is subject to the extensive due diligence requirements) also encompasses </w:t>
      </w:r>
      <w:r w:rsidR="000A06C6">
        <w:rPr>
          <w:rFonts w:ascii="Times New Roman" w:eastAsia="Calibri" w:hAnsi="Times New Roman" w:cs="Times New Roman"/>
          <w:noProof/>
        </w:rPr>
        <w:t>‘</w:t>
      </w:r>
      <w:r w:rsidRPr="003C0D71">
        <w:rPr>
          <w:rFonts w:ascii="Times New Roman" w:eastAsia="Calibri" w:hAnsi="Times New Roman" w:cs="Times New Roman"/>
          <w:noProof/>
        </w:rPr>
        <w:t>sub-threshold</w:t>
      </w:r>
      <w:r w:rsidR="00F1581F">
        <w:rPr>
          <w:rFonts w:ascii="Times New Roman" w:eastAsia="Calibri" w:hAnsi="Times New Roman" w:cs="Times New Roman"/>
          <w:noProof/>
        </w:rPr>
        <w:t>’</w:t>
      </w:r>
      <w:r w:rsidRPr="003C0D71">
        <w:rPr>
          <w:rFonts w:ascii="Times New Roman" w:eastAsia="Calibri" w:hAnsi="Times New Roman" w:cs="Times New Roman"/>
          <w:noProof/>
        </w:rPr>
        <w:t xml:space="preserve"> AIFMs</w:t>
      </w:r>
      <w:r w:rsidRPr="003C0D71">
        <w:rPr>
          <w:rStyle w:val="FootnoteReference"/>
          <w:rFonts w:ascii="Times New Roman" w:eastAsia="Calibri" w:hAnsi="Times New Roman" w:cs="Times New Roman"/>
          <w:noProof/>
        </w:rPr>
        <w:footnoteReference w:id="36"/>
      </w:r>
      <w:r w:rsidRPr="003C0D71">
        <w:rPr>
          <w:rFonts w:ascii="Times New Roman" w:eastAsia="Calibri" w:hAnsi="Times New Roman" w:cs="Times New Roman"/>
          <w:noProof/>
        </w:rPr>
        <w:t>.</w:t>
      </w:r>
    </w:p>
    <w:p w14:paraId="6D754F42" w14:textId="43ED0D4B" w:rsidR="00A70EA8" w:rsidRPr="003C0D71" w:rsidRDefault="00A70EA8" w:rsidP="00A70EA8">
      <w:pPr>
        <w:jc w:val="both"/>
        <w:rPr>
          <w:rFonts w:ascii="Times New Roman" w:eastAsia="Calibri" w:hAnsi="Times New Roman" w:cs="Times New Roman"/>
          <w:noProof/>
        </w:rPr>
      </w:pPr>
      <w:r w:rsidRPr="003C0D71">
        <w:rPr>
          <w:rFonts w:ascii="Times New Roman" w:eastAsia="Calibri" w:hAnsi="Times New Roman" w:cs="Times New Roman"/>
          <w:noProof/>
        </w:rPr>
        <w:t xml:space="preserve">The </w:t>
      </w:r>
      <w:r w:rsidR="00443B8F">
        <w:rPr>
          <w:rFonts w:ascii="Times New Roman" w:eastAsia="Calibri" w:hAnsi="Times New Roman" w:cs="Times New Roman"/>
          <w:noProof/>
        </w:rPr>
        <w:t>c</w:t>
      </w:r>
      <w:r w:rsidRPr="003C0D71">
        <w:rPr>
          <w:rFonts w:ascii="Times New Roman" w:eastAsia="Calibri" w:hAnsi="Times New Roman" w:cs="Times New Roman"/>
          <w:noProof/>
        </w:rPr>
        <w:t>onsultation indicate</w:t>
      </w:r>
      <w:r w:rsidR="00F1581F">
        <w:rPr>
          <w:rFonts w:ascii="Times New Roman" w:eastAsia="Calibri" w:hAnsi="Times New Roman" w:cs="Times New Roman"/>
          <w:noProof/>
        </w:rPr>
        <w:t>d</w:t>
      </w:r>
      <w:r w:rsidRPr="003C0D71">
        <w:rPr>
          <w:rFonts w:ascii="Times New Roman" w:eastAsia="Calibri" w:hAnsi="Times New Roman" w:cs="Times New Roman"/>
          <w:noProof/>
        </w:rPr>
        <w:t xml:space="preserve"> a clear majority in favour of clarifications, however with opposing views </w:t>
      </w:r>
      <w:r w:rsidR="00F1581F">
        <w:rPr>
          <w:rFonts w:ascii="Times New Roman" w:eastAsia="Calibri" w:hAnsi="Times New Roman" w:cs="Times New Roman"/>
          <w:noProof/>
        </w:rPr>
        <w:t xml:space="preserve">on </w:t>
      </w:r>
      <w:r w:rsidRPr="003C0D71">
        <w:rPr>
          <w:rFonts w:ascii="Times New Roman" w:eastAsia="Calibri" w:hAnsi="Times New Roman" w:cs="Times New Roman"/>
          <w:noProof/>
        </w:rPr>
        <w:t xml:space="preserve">how the clarifications should </w:t>
      </w:r>
      <w:r w:rsidR="00797FF6">
        <w:rPr>
          <w:rFonts w:ascii="Times New Roman" w:eastAsia="Calibri" w:hAnsi="Times New Roman" w:cs="Times New Roman"/>
          <w:noProof/>
        </w:rPr>
        <w:t>be drafted</w:t>
      </w:r>
      <w:r w:rsidRPr="003C0D71">
        <w:rPr>
          <w:rFonts w:ascii="Times New Roman" w:eastAsia="Calibri" w:hAnsi="Times New Roman" w:cs="Times New Roman"/>
          <w:noProof/>
        </w:rPr>
        <w:t>. Those in favour of including both sub-threshold AIFMs and third</w:t>
      </w:r>
      <w:r w:rsidR="00A823DC">
        <w:rPr>
          <w:rFonts w:ascii="Times New Roman" w:eastAsia="Calibri" w:hAnsi="Times New Roman" w:cs="Times New Roman"/>
          <w:noProof/>
        </w:rPr>
        <w:t>-</w:t>
      </w:r>
      <w:r w:rsidRPr="003C0D71">
        <w:rPr>
          <w:rFonts w:ascii="Times New Roman" w:eastAsia="Calibri" w:hAnsi="Times New Roman" w:cs="Times New Roman"/>
          <w:noProof/>
        </w:rPr>
        <w:t xml:space="preserve">country AIFMs that market and manage AIFs in the EU stress the need to have a level playing field for all AIFMs active in the securitisation market. </w:t>
      </w:r>
    </w:p>
    <w:p w14:paraId="486E7B3B" w14:textId="1FC774B3" w:rsidR="00A70EA8" w:rsidRPr="003C0D71" w:rsidRDefault="00A70EA8" w:rsidP="00A70EA8">
      <w:pPr>
        <w:jc w:val="both"/>
        <w:rPr>
          <w:rFonts w:ascii="Times New Roman" w:eastAsia="Calibri" w:hAnsi="Times New Roman" w:cs="Times New Roman"/>
          <w:noProof/>
        </w:rPr>
      </w:pPr>
      <w:r w:rsidRPr="003C0D71">
        <w:rPr>
          <w:rFonts w:ascii="Times New Roman" w:eastAsia="Calibri" w:hAnsi="Times New Roman" w:cs="Times New Roman"/>
          <w:noProof/>
        </w:rPr>
        <w:t>On the other hand, some respondents question</w:t>
      </w:r>
      <w:r w:rsidR="007C01AE">
        <w:rPr>
          <w:rFonts w:ascii="Times New Roman" w:eastAsia="Calibri" w:hAnsi="Times New Roman" w:cs="Times New Roman"/>
          <w:noProof/>
        </w:rPr>
        <w:t>ed</w:t>
      </w:r>
      <w:r w:rsidRPr="003C0D71">
        <w:rPr>
          <w:rFonts w:ascii="Times New Roman" w:eastAsia="Calibri" w:hAnsi="Times New Roman" w:cs="Times New Roman"/>
          <w:noProof/>
        </w:rPr>
        <w:t xml:space="preserve"> whether the inclusion of sub-threshold AIFMs would be proportionate. Respondents </w:t>
      </w:r>
      <w:r w:rsidR="00F1581F">
        <w:rPr>
          <w:rFonts w:ascii="Times New Roman" w:eastAsia="Calibri" w:hAnsi="Times New Roman" w:cs="Times New Roman"/>
          <w:noProof/>
        </w:rPr>
        <w:t xml:space="preserve">who </w:t>
      </w:r>
      <w:r w:rsidRPr="003C0D71">
        <w:rPr>
          <w:rFonts w:ascii="Times New Roman" w:eastAsia="Calibri" w:hAnsi="Times New Roman" w:cs="Times New Roman"/>
          <w:noProof/>
        </w:rPr>
        <w:t>argu</w:t>
      </w:r>
      <w:r w:rsidR="00F1581F">
        <w:rPr>
          <w:rFonts w:ascii="Times New Roman" w:eastAsia="Calibri" w:hAnsi="Times New Roman" w:cs="Times New Roman"/>
          <w:noProof/>
        </w:rPr>
        <w:t>ed</w:t>
      </w:r>
      <w:r w:rsidRPr="003C0D71">
        <w:rPr>
          <w:rFonts w:ascii="Times New Roman" w:eastAsia="Calibri" w:hAnsi="Times New Roman" w:cs="Times New Roman"/>
          <w:noProof/>
        </w:rPr>
        <w:t xml:space="preserve"> against the application of EU due diligence requirements to third</w:t>
      </w:r>
      <w:r w:rsidR="00182FA8">
        <w:rPr>
          <w:rFonts w:ascii="Times New Roman" w:eastAsia="Calibri" w:hAnsi="Times New Roman" w:cs="Times New Roman"/>
          <w:noProof/>
        </w:rPr>
        <w:t>-</w:t>
      </w:r>
      <w:r w:rsidRPr="003C0D71">
        <w:rPr>
          <w:rFonts w:ascii="Times New Roman" w:eastAsia="Calibri" w:hAnsi="Times New Roman" w:cs="Times New Roman"/>
          <w:noProof/>
        </w:rPr>
        <w:t>country AIFMs managing or marketing funds in the EU stressed that such interpretation would render the Securitisation Regulation extraterritorial</w:t>
      </w:r>
      <w:r w:rsidR="00F1581F">
        <w:rPr>
          <w:rFonts w:ascii="Times New Roman" w:eastAsia="Calibri" w:hAnsi="Times New Roman" w:cs="Times New Roman"/>
          <w:noProof/>
        </w:rPr>
        <w:t>. They also suggested that this</w:t>
      </w:r>
      <w:r w:rsidRPr="003C0D71">
        <w:rPr>
          <w:rFonts w:ascii="Times New Roman" w:eastAsia="Calibri" w:hAnsi="Times New Roman" w:cs="Times New Roman"/>
          <w:noProof/>
        </w:rPr>
        <w:t xml:space="preserve"> would create an unjustified difference between funds and other products for which the due diligence requirements are regulated by the home regulator of the </w:t>
      </w:r>
      <w:r w:rsidR="004D4F33">
        <w:rPr>
          <w:rFonts w:ascii="Times New Roman" w:eastAsia="Calibri" w:hAnsi="Times New Roman" w:cs="Times New Roman"/>
          <w:noProof/>
        </w:rPr>
        <w:t xml:space="preserve">institutional </w:t>
      </w:r>
      <w:r w:rsidRPr="003C0D71">
        <w:rPr>
          <w:rFonts w:ascii="Times New Roman" w:eastAsia="Calibri" w:hAnsi="Times New Roman" w:cs="Times New Roman"/>
          <w:noProof/>
        </w:rPr>
        <w:t xml:space="preserve">investor. </w:t>
      </w:r>
      <w:r w:rsidR="007402C6">
        <w:rPr>
          <w:rFonts w:ascii="Times New Roman" w:eastAsia="Calibri" w:hAnsi="Times New Roman" w:cs="Times New Roman"/>
          <w:noProof/>
        </w:rPr>
        <w:t>Lastly</w:t>
      </w:r>
      <w:r w:rsidRPr="003C0D71">
        <w:rPr>
          <w:rFonts w:ascii="Times New Roman" w:eastAsia="Calibri" w:hAnsi="Times New Roman" w:cs="Times New Roman"/>
          <w:noProof/>
        </w:rPr>
        <w:t xml:space="preserve">, it was noted by a number of respondents that the legal text as it stands was unclear whether a requirement for </w:t>
      </w:r>
      <w:r w:rsidR="007402C6">
        <w:rPr>
          <w:rFonts w:ascii="Times New Roman" w:eastAsia="Calibri" w:hAnsi="Times New Roman" w:cs="Times New Roman"/>
          <w:noProof/>
        </w:rPr>
        <w:t xml:space="preserve">an </w:t>
      </w:r>
      <w:r w:rsidRPr="003C0D71">
        <w:rPr>
          <w:rFonts w:ascii="Times New Roman" w:eastAsia="Calibri" w:hAnsi="Times New Roman" w:cs="Times New Roman"/>
          <w:noProof/>
        </w:rPr>
        <w:t xml:space="preserve">AIFM </w:t>
      </w:r>
      <w:r w:rsidR="007402C6">
        <w:rPr>
          <w:rFonts w:ascii="Times New Roman" w:eastAsia="Calibri" w:hAnsi="Times New Roman" w:cs="Times New Roman"/>
          <w:noProof/>
        </w:rPr>
        <w:t>in a non-EU</w:t>
      </w:r>
      <w:r w:rsidR="007402C6" w:rsidRPr="003C0D71">
        <w:rPr>
          <w:rFonts w:ascii="Times New Roman" w:eastAsia="Calibri" w:hAnsi="Times New Roman" w:cs="Times New Roman"/>
          <w:noProof/>
        </w:rPr>
        <w:t xml:space="preserve"> country </w:t>
      </w:r>
      <w:r w:rsidRPr="003C0D71">
        <w:rPr>
          <w:rFonts w:ascii="Times New Roman" w:eastAsia="Calibri" w:hAnsi="Times New Roman" w:cs="Times New Roman"/>
          <w:noProof/>
        </w:rPr>
        <w:t xml:space="preserve">to apply the EU due diligence rules would be limited to the funds managed and marketed in the EU or, once the AIFM manages or markets one fund in the EU, </w:t>
      </w:r>
      <w:r w:rsidR="007402C6">
        <w:rPr>
          <w:rFonts w:ascii="Times New Roman" w:eastAsia="Calibri" w:hAnsi="Times New Roman" w:cs="Times New Roman"/>
          <w:noProof/>
        </w:rPr>
        <w:t>this obligation extends</w:t>
      </w:r>
      <w:r w:rsidR="007402C6" w:rsidRPr="003C0D71">
        <w:rPr>
          <w:rFonts w:ascii="Times New Roman" w:eastAsia="Calibri" w:hAnsi="Times New Roman" w:cs="Times New Roman"/>
          <w:noProof/>
        </w:rPr>
        <w:t xml:space="preserve"> </w:t>
      </w:r>
      <w:r w:rsidRPr="003C0D71">
        <w:rPr>
          <w:rFonts w:ascii="Times New Roman" w:eastAsia="Calibri" w:hAnsi="Times New Roman" w:cs="Times New Roman"/>
          <w:noProof/>
        </w:rPr>
        <w:t>to all the funds marketed or managed by this third</w:t>
      </w:r>
      <w:r w:rsidR="00A823DC">
        <w:rPr>
          <w:rFonts w:ascii="Times New Roman" w:eastAsia="Calibri" w:hAnsi="Times New Roman" w:cs="Times New Roman"/>
          <w:noProof/>
        </w:rPr>
        <w:t>-</w:t>
      </w:r>
      <w:r w:rsidRPr="003C0D71">
        <w:rPr>
          <w:rFonts w:ascii="Times New Roman" w:eastAsia="Calibri" w:hAnsi="Times New Roman" w:cs="Times New Roman"/>
          <w:noProof/>
        </w:rPr>
        <w:t xml:space="preserve">country AIFM. </w:t>
      </w:r>
    </w:p>
    <w:p w14:paraId="517A6F8F" w14:textId="4EB5097E" w:rsidR="009E344D" w:rsidRPr="003C0D71" w:rsidRDefault="000146AB" w:rsidP="000D4664">
      <w:pPr>
        <w:rPr>
          <w:rFonts w:ascii="Times New Roman" w:hAnsi="Times New Roman" w:cs="Times New Roman"/>
          <w:b/>
          <w:noProof/>
          <w:sz w:val="24"/>
        </w:rPr>
      </w:pPr>
      <w:r>
        <w:rPr>
          <w:rFonts w:ascii="Times New Roman" w:hAnsi="Times New Roman" w:cs="Times New Roman"/>
          <w:b/>
          <w:noProof/>
          <w:sz w:val="24"/>
        </w:rPr>
        <w:t>The Commission’s assessment</w:t>
      </w:r>
    </w:p>
    <w:p w14:paraId="611694B8" w14:textId="747D3911" w:rsidR="00A70EA8" w:rsidRPr="003C0D71" w:rsidRDefault="00A70EA8" w:rsidP="00A70EA8">
      <w:pPr>
        <w:jc w:val="both"/>
        <w:rPr>
          <w:rFonts w:ascii="Times New Roman" w:eastAsia="Calibri" w:hAnsi="Times New Roman" w:cs="Times New Roman"/>
          <w:noProof/>
        </w:rPr>
      </w:pPr>
      <w:bookmarkStart w:id="73" w:name="_Toc104283079"/>
      <w:bookmarkStart w:id="74" w:name="_Toc104286147"/>
      <w:bookmarkStart w:id="75" w:name="_Toc104297351"/>
      <w:r w:rsidRPr="003C0D71">
        <w:rPr>
          <w:rFonts w:ascii="Times New Roman" w:eastAsia="Calibri" w:hAnsi="Times New Roman" w:cs="Times New Roman"/>
          <w:noProof/>
        </w:rPr>
        <w:t xml:space="preserve">The Commission notes that Article 2(12), i.e. the provision </w:t>
      </w:r>
      <w:r w:rsidR="007454D5">
        <w:rPr>
          <w:rFonts w:ascii="Times New Roman" w:eastAsia="Calibri" w:hAnsi="Times New Roman" w:cs="Times New Roman"/>
          <w:noProof/>
        </w:rPr>
        <w:t xml:space="preserve">that </w:t>
      </w:r>
      <w:r w:rsidRPr="003C0D71">
        <w:rPr>
          <w:rFonts w:ascii="Times New Roman" w:eastAsia="Calibri" w:hAnsi="Times New Roman" w:cs="Times New Roman"/>
          <w:noProof/>
        </w:rPr>
        <w:t>defin</w:t>
      </w:r>
      <w:r w:rsidR="007454D5">
        <w:rPr>
          <w:rFonts w:ascii="Times New Roman" w:eastAsia="Calibri" w:hAnsi="Times New Roman" w:cs="Times New Roman"/>
          <w:noProof/>
        </w:rPr>
        <w:t>es</w:t>
      </w:r>
      <w:r w:rsidRPr="003C0D71">
        <w:rPr>
          <w:rFonts w:ascii="Times New Roman" w:eastAsia="Calibri" w:hAnsi="Times New Roman" w:cs="Times New Roman"/>
          <w:noProof/>
        </w:rPr>
        <w:t xml:space="preserve"> institutional investors for the purposes of the Securitisation Regulation, refers in </w:t>
      </w:r>
      <w:r w:rsidR="00A57179" w:rsidRPr="008E035F">
        <w:rPr>
          <w:rFonts w:ascii="Times New Roman" w:eastAsia="Calibri" w:hAnsi="Times New Roman" w:cs="Times New Roman"/>
          <w:noProof/>
        </w:rPr>
        <w:t>paragraph</w:t>
      </w:r>
      <w:r w:rsidRPr="008E035F">
        <w:rPr>
          <w:rFonts w:ascii="Times New Roman" w:eastAsia="Calibri" w:hAnsi="Times New Roman" w:cs="Times New Roman"/>
          <w:noProof/>
        </w:rPr>
        <w:t xml:space="preserve"> (d)</w:t>
      </w:r>
      <w:r w:rsidRPr="003C0D71">
        <w:rPr>
          <w:rFonts w:ascii="Times New Roman" w:eastAsia="Calibri" w:hAnsi="Times New Roman" w:cs="Times New Roman"/>
          <w:noProof/>
        </w:rPr>
        <w:t xml:space="preserve"> specifically to the provision in the </w:t>
      </w:r>
      <w:r w:rsidR="001A3569" w:rsidRPr="003C0D71">
        <w:rPr>
          <w:rFonts w:ascii="Times New Roman" w:hAnsi="Times New Roman" w:cs="Times New Roman"/>
          <w:noProof/>
        </w:rPr>
        <w:t xml:space="preserve">Alternative Investment Fund Managers </w:t>
      </w:r>
      <w:r w:rsidR="00A11F61">
        <w:rPr>
          <w:rFonts w:ascii="Times New Roman" w:hAnsi="Times New Roman" w:cs="Times New Roman"/>
          <w:noProof/>
        </w:rPr>
        <w:t>(AIFM) d</w:t>
      </w:r>
      <w:r w:rsidR="001A3569" w:rsidRPr="003C0D71">
        <w:rPr>
          <w:rFonts w:ascii="Times New Roman" w:hAnsi="Times New Roman" w:cs="Times New Roman"/>
          <w:noProof/>
        </w:rPr>
        <w:t>irective</w:t>
      </w:r>
      <w:r w:rsidR="008E035F">
        <w:rPr>
          <w:rFonts w:ascii="Times New Roman" w:eastAsia="Calibri" w:hAnsi="Times New Roman" w:cs="Times New Roman"/>
          <w:noProof/>
        </w:rPr>
        <w:t xml:space="preserve"> </w:t>
      </w:r>
      <w:r w:rsidR="00A57179">
        <w:rPr>
          <w:rFonts w:ascii="Times New Roman" w:eastAsia="Calibri" w:hAnsi="Times New Roman" w:cs="Times New Roman"/>
          <w:noProof/>
        </w:rPr>
        <w:t>that defines</w:t>
      </w:r>
      <w:r w:rsidR="00A57179" w:rsidRPr="003C0D71">
        <w:rPr>
          <w:rFonts w:ascii="Times New Roman" w:eastAsia="Calibri" w:hAnsi="Times New Roman" w:cs="Times New Roman"/>
          <w:noProof/>
        </w:rPr>
        <w:t xml:space="preserve"> </w:t>
      </w:r>
      <w:r w:rsidRPr="003C0D71">
        <w:rPr>
          <w:rFonts w:ascii="Times New Roman" w:eastAsia="Calibri" w:hAnsi="Times New Roman" w:cs="Times New Roman"/>
          <w:noProof/>
        </w:rPr>
        <w:t>an AIFM without differentiating</w:t>
      </w:r>
      <w:r w:rsidR="000E5AC5">
        <w:rPr>
          <w:rFonts w:ascii="Times New Roman" w:eastAsia="Calibri" w:hAnsi="Times New Roman" w:cs="Times New Roman"/>
          <w:noProof/>
        </w:rPr>
        <w:t xml:space="preserve"> between</w:t>
      </w:r>
      <w:r w:rsidRPr="003C0D71">
        <w:rPr>
          <w:rFonts w:ascii="Times New Roman" w:eastAsia="Calibri" w:hAnsi="Times New Roman" w:cs="Times New Roman"/>
          <w:noProof/>
        </w:rPr>
        <w:t xml:space="preserve"> entities above or below the above-mentioned threshold. </w:t>
      </w:r>
      <w:r w:rsidR="00A57179">
        <w:rPr>
          <w:rFonts w:ascii="Times New Roman" w:eastAsia="Calibri" w:hAnsi="Times New Roman" w:cs="Times New Roman"/>
          <w:noProof/>
        </w:rPr>
        <w:t>T</w:t>
      </w:r>
      <w:r w:rsidRPr="003C0D71">
        <w:rPr>
          <w:rFonts w:ascii="Times New Roman" w:eastAsia="Calibri" w:hAnsi="Times New Roman" w:cs="Times New Roman"/>
          <w:noProof/>
        </w:rPr>
        <w:t xml:space="preserve">he legal wording </w:t>
      </w:r>
      <w:r w:rsidR="00A57179">
        <w:rPr>
          <w:rFonts w:ascii="Times New Roman" w:eastAsia="Calibri" w:hAnsi="Times New Roman" w:cs="Times New Roman"/>
          <w:noProof/>
        </w:rPr>
        <w:t xml:space="preserve">therefore </w:t>
      </w:r>
      <w:r w:rsidRPr="003C0D71">
        <w:rPr>
          <w:rFonts w:ascii="Times New Roman" w:eastAsia="Calibri" w:hAnsi="Times New Roman" w:cs="Times New Roman"/>
          <w:noProof/>
        </w:rPr>
        <w:t xml:space="preserve">clearly requires that sub-threshold AIFMs </w:t>
      </w:r>
      <w:r w:rsidR="00A57179" w:rsidRPr="003C0D71">
        <w:rPr>
          <w:rFonts w:ascii="Times New Roman" w:eastAsia="Calibri" w:hAnsi="Times New Roman" w:cs="Times New Roman"/>
          <w:noProof/>
        </w:rPr>
        <w:t xml:space="preserve">also </w:t>
      </w:r>
      <w:r w:rsidRPr="003C0D71">
        <w:rPr>
          <w:rFonts w:ascii="Times New Roman" w:eastAsia="Calibri" w:hAnsi="Times New Roman" w:cs="Times New Roman"/>
          <w:noProof/>
        </w:rPr>
        <w:t>have to be considered institutional investors within the meaning of the Securitisation Regulation. This interpretation is also supported by the legislative intent of the due diligence requirements of Article 5</w:t>
      </w:r>
      <w:r w:rsidR="008E035F">
        <w:rPr>
          <w:rFonts w:ascii="Times New Roman" w:eastAsia="Calibri" w:hAnsi="Times New Roman" w:cs="Times New Roman"/>
          <w:noProof/>
        </w:rPr>
        <w:t>,</w:t>
      </w:r>
      <w:r w:rsidR="00A57179">
        <w:rPr>
          <w:rFonts w:ascii="Times New Roman" w:eastAsia="Calibri" w:hAnsi="Times New Roman" w:cs="Times New Roman"/>
          <w:noProof/>
        </w:rPr>
        <w:t xml:space="preserve"> which is </w:t>
      </w:r>
      <w:r w:rsidRPr="003C0D71">
        <w:rPr>
          <w:rFonts w:ascii="Times New Roman" w:eastAsia="Calibri" w:hAnsi="Times New Roman" w:cs="Times New Roman"/>
          <w:noProof/>
        </w:rPr>
        <w:t xml:space="preserve">to </w:t>
      </w:r>
      <w:r w:rsidR="00A57179">
        <w:rPr>
          <w:rFonts w:ascii="Times New Roman" w:eastAsia="Calibri" w:hAnsi="Times New Roman" w:cs="Times New Roman"/>
          <w:noProof/>
        </w:rPr>
        <w:t>protect</w:t>
      </w:r>
      <w:r w:rsidRPr="003C0D71">
        <w:rPr>
          <w:rFonts w:ascii="Times New Roman" w:eastAsia="Calibri" w:hAnsi="Times New Roman" w:cs="Times New Roman"/>
          <w:noProof/>
        </w:rPr>
        <w:t xml:space="preserve"> EU investors </w:t>
      </w:r>
      <w:r w:rsidR="00A57179">
        <w:rPr>
          <w:rFonts w:ascii="Times New Roman" w:eastAsia="Calibri" w:hAnsi="Times New Roman" w:cs="Times New Roman"/>
          <w:noProof/>
        </w:rPr>
        <w:t>from exposure in the future</w:t>
      </w:r>
      <w:r w:rsidRPr="003C0D71">
        <w:rPr>
          <w:rFonts w:ascii="Times New Roman" w:eastAsia="Calibri" w:hAnsi="Times New Roman" w:cs="Times New Roman"/>
          <w:noProof/>
        </w:rPr>
        <w:t xml:space="preserve"> to securitisation investments without prior due diligence and a proper understanding of the acquired product. </w:t>
      </w:r>
    </w:p>
    <w:p w14:paraId="3A543388" w14:textId="01ECC4C1" w:rsidR="00A70EA8" w:rsidRPr="003C0D71" w:rsidRDefault="00A70EA8" w:rsidP="00A70EA8">
      <w:pPr>
        <w:jc w:val="both"/>
        <w:rPr>
          <w:rFonts w:ascii="Times New Roman" w:eastAsia="Calibri" w:hAnsi="Times New Roman" w:cs="Times New Roman"/>
          <w:noProof/>
        </w:rPr>
      </w:pPr>
      <w:r w:rsidRPr="003C0D71">
        <w:rPr>
          <w:rFonts w:ascii="Times New Roman" w:eastAsia="Calibri" w:hAnsi="Times New Roman" w:cs="Times New Roman"/>
          <w:noProof/>
        </w:rPr>
        <w:t xml:space="preserve">The legislative intent </w:t>
      </w:r>
      <w:r w:rsidR="00A57179">
        <w:rPr>
          <w:rFonts w:ascii="Times New Roman" w:eastAsia="Calibri" w:hAnsi="Times New Roman" w:cs="Times New Roman"/>
          <w:noProof/>
        </w:rPr>
        <w:t xml:space="preserve">also </w:t>
      </w:r>
      <w:r w:rsidRPr="003C0D71">
        <w:rPr>
          <w:rFonts w:ascii="Times New Roman" w:eastAsia="Calibri" w:hAnsi="Times New Roman" w:cs="Times New Roman"/>
          <w:noProof/>
        </w:rPr>
        <w:t>provides strong arguments for the Commission’s interpretation that third country AIFMs that market and manage funds in the EU have to comply with the due diligence requirements of the Securitisation Regulation for all of their securitisation investments</w:t>
      </w:r>
      <w:r w:rsidR="00A57179">
        <w:rPr>
          <w:rFonts w:ascii="Times New Roman" w:eastAsia="Calibri" w:hAnsi="Times New Roman" w:cs="Times New Roman"/>
          <w:noProof/>
        </w:rPr>
        <w:t>.</w:t>
      </w:r>
      <w:r w:rsidRPr="003C0D71">
        <w:rPr>
          <w:rFonts w:ascii="Times New Roman" w:eastAsia="Calibri" w:hAnsi="Times New Roman" w:cs="Times New Roman"/>
          <w:noProof/>
        </w:rPr>
        <w:t xml:space="preserve"> </w:t>
      </w:r>
      <w:r w:rsidR="00A57179">
        <w:rPr>
          <w:rFonts w:ascii="Times New Roman" w:eastAsia="Calibri" w:hAnsi="Times New Roman" w:cs="Times New Roman"/>
          <w:noProof/>
        </w:rPr>
        <w:t>I</w:t>
      </w:r>
      <w:r w:rsidRPr="003C0D71">
        <w:rPr>
          <w:rFonts w:ascii="Times New Roman" w:eastAsia="Calibri" w:hAnsi="Times New Roman" w:cs="Times New Roman"/>
          <w:noProof/>
        </w:rPr>
        <w:t>f third</w:t>
      </w:r>
      <w:r w:rsidR="00A823DC">
        <w:rPr>
          <w:rFonts w:ascii="Times New Roman" w:eastAsia="Calibri" w:hAnsi="Times New Roman" w:cs="Times New Roman"/>
          <w:noProof/>
        </w:rPr>
        <w:t>-</w:t>
      </w:r>
      <w:r w:rsidRPr="003C0D71">
        <w:rPr>
          <w:rFonts w:ascii="Times New Roman" w:eastAsia="Calibri" w:hAnsi="Times New Roman" w:cs="Times New Roman"/>
          <w:noProof/>
        </w:rPr>
        <w:t>country AIFMs marketing funds in the EU were considered exempt from the due diligence rules, this could undermine the comprehensive investor protection that the legislator</w:t>
      </w:r>
      <w:r w:rsidR="000A06C6">
        <w:rPr>
          <w:rFonts w:ascii="Times New Roman" w:eastAsia="Calibri" w:hAnsi="Times New Roman" w:cs="Times New Roman"/>
          <w:noProof/>
        </w:rPr>
        <w:t>s</w:t>
      </w:r>
      <w:r w:rsidRPr="003C0D71">
        <w:rPr>
          <w:rFonts w:ascii="Times New Roman" w:eastAsia="Calibri" w:hAnsi="Times New Roman" w:cs="Times New Roman"/>
          <w:noProof/>
        </w:rPr>
        <w:t xml:space="preserve"> intended. </w:t>
      </w:r>
      <w:r w:rsidR="00797FF6">
        <w:rPr>
          <w:rFonts w:ascii="Times New Roman" w:eastAsia="Calibri" w:hAnsi="Times New Roman" w:cs="Times New Roman"/>
          <w:noProof/>
        </w:rPr>
        <w:t xml:space="preserve">This interpretation does not </w:t>
      </w:r>
      <w:r w:rsidR="0052650D">
        <w:rPr>
          <w:rFonts w:ascii="Times New Roman" w:eastAsia="Calibri" w:hAnsi="Times New Roman" w:cs="Times New Roman"/>
          <w:noProof/>
        </w:rPr>
        <w:t>render</w:t>
      </w:r>
      <w:r w:rsidR="00797FF6">
        <w:rPr>
          <w:rFonts w:ascii="Times New Roman" w:eastAsia="Calibri" w:hAnsi="Times New Roman" w:cs="Times New Roman"/>
          <w:noProof/>
        </w:rPr>
        <w:t xml:space="preserve"> these rules</w:t>
      </w:r>
      <w:r w:rsidRPr="003C0D71">
        <w:rPr>
          <w:rFonts w:ascii="Times New Roman" w:eastAsia="Calibri" w:hAnsi="Times New Roman" w:cs="Times New Roman"/>
          <w:noProof/>
        </w:rPr>
        <w:t xml:space="preserve"> </w:t>
      </w:r>
      <w:r w:rsidR="008B4931">
        <w:rPr>
          <w:rFonts w:ascii="Times New Roman" w:eastAsia="Calibri" w:hAnsi="Times New Roman" w:cs="Times New Roman"/>
          <w:noProof/>
        </w:rPr>
        <w:t>‘</w:t>
      </w:r>
      <w:r w:rsidRPr="003C0D71">
        <w:rPr>
          <w:rFonts w:ascii="Times New Roman" w:eastAsia="Calibri" w:hAnsi="Times New Roman" w:cs="Times New Roman"/>
          <w:noProof/>
        </w:rPr>
        <w:t>extraterritorial</w:t>
      </w:r>
      <w:r w:rsidR="008B4931">
        <w:rPr>
          <w:rFonts w:ascii="Times New Roman" w:eastAsia="Calibri" w:hAnsi="Times New Roman" w:cs="Times New Roman"/>
          <w:noProof/>
        </w:rPr>
        <w:t>’</w:t>
      </w:r>
      <w:r w:rsidRPr="003C0D71">
        <w:rPr>
          <w:rFonts w:ascii="Times New Roman" w:eastAsia="Calibri" w:hAnsi="Times New Roman" w:cs="Times New Roman"/>
          <w:noProof/>
        </w:rPr>
        <w:t xml:space="preserve">, since </w:t>
      </w:r>
      <w:r w:rsidR="008B4931">
        <w:rPr>
          <w:rFonts w:ascii="Times New Roman" w:eastAsia="Calibri" w:hAnsi="Times New Roman" w:cs="Times New Roman"/>
          <w:noProof/>
        </w:rPr>
        <w:t>they</w:t>
      </w:r>
      <w:r w:rsidR="008B4931" w:rsidRPr="003C0D71">
        <w:rPr>
          <w:rFonts w:ascii="Times New Roman" w:eastAsia="Calibri" w:hAnsi="Times New Roman" w:cs="Times New Roman"/>
          <w:noProof/>
        </w:rPr>
        <w:t xml:space="preserve"> </w:t>
      </w:r>
      <w:r w:rsidRPr="003C0D71">
        <w:rPr>
          <w:rFonts w:ascii="Times New Roman" w:eastAsia="Calibri" w:hAnsi="Times New Roman" w:cs="Times New Roman"/>
          <w:noProof/>
        </w:rPr>
        <w:t>regulate an activity – the managing or marketing of a fund in the EU – that takes place inside the EU. Considering the legislative intent, it furthermore becomes clear that the broad wording of Article 2(12)(d) of the Securitisation Regulation should apply only to the funds that the third</w:t>
      </w:r>
      <w:r w:rsidR="00A823DC">
        <w:rPr>
          <w:rFonts w:ascii="Times New Roman" w:eastAsia="Calibri" w:hAnsi="Times New Roman" w:cs="Times New Roman"/>
          <w:noProof/>
        </w:rPr>
        <w:t>-</w:t>
      </w:r>
      <w:r w:rsidRPr="003C0D71">
        <w:rPr>
          <w:rFonts w:ascii="Times New Roman" w:eastAsia="Calibri" w:hAnsi="Times New Roman" w:cs="Times New Roman"/>
          <w:noProof/>
        </w:rPr>
        <w:t xml:space="preserve">country AIFM markets and manages in the EU, but should not be construed as </w:t>
      </w:r>
      <w:r w:rsidR="008B4931" w:rsidRPr="003C0D71">
        <w:rPr>
          <w:rFonts w:ascii="Times New Roman" w:eastAsia="Calibri" w:hAnsi="Times New Roman" w:cs="Times New Roman"/>
          <w:noProof/>
        </w:rPr>
        <w:t xml:space="preserve">also </w:t>
      </w:r>
      <w:r w:rsidRPr="003C0D71">
        <w:rPr>
          <w:rFonts w:ascii="Times New Roman" w:eastAsia="Calibri" w:hAnsi="Times New Roman" w:cs="Times New Roman"/>
          <w:noProof/>
        </w:rPr>
        <w:t xml:space="preserve">covering </w:t>
      </w:r>
      <w:r w:rsidR="00FA441C">
        <w:rPr>
          <w:rFonts w:ascii="Times New Roman" w:eastAsia="Calibri" w:hAnsi="Times New Roman" w:cs="Times New Roman"/>
          <w:noProof/>
        </w:rPr>
        <w:t xml:space="preserve">the </w:t>
      </w:r>
      <w:r w:rsidRPr="003C0D71">
        <w:rPr>
          <w:rFonts w:ascii="Times New Roman" w:eastAsia="Calibri" w:hAnsi="Times New Roman" w:cs="Times New Roman"/>
          <w:noProof/>
        </w:rPr>
        <w:t xml:space="preserve">management and marketing activities of this </w:t>
      </w:r>
      <w:r w:rsidR="00FA441C">
        <w:rPr>
          <w:rFonts w:ascii="Times New Roman" w:eastAsia="Calibri" w:hAnsi="Times New Roman" w:cs="Times New Roman"/>
          <w:noProof/>
        </w:rPr>
        <w:t>same</w:t>
      </w:r>
      <w:r w:rsidR="00FA441C" w:rsidRPr="003C0D71">
        <w:rPr>
          <w:rFonts w:ascii="Times New Roman" w:eastAsia="Calibri" w:hAnsi="Times New Roman" w:cs="Times New Roman"/>
          <w:noProof/>
        </w:rPr>
        <w:t xml:space="preserve"> </w:t>
      </w:r>
      <w:r w:rsidRPr="003C0D71">
        <w:rPr>
          <w:rFonts w:ascii="Times New Roman" w:eastAsia="Calibri" w:hAnsi="Times New Roman" w:cs="Times New Roman"/>
          <w:noProof/>
        </w:rPr>
        <w:t xml:space="preserve">AIFM that </w:t>
      </w:r>
      <w:r w:rsidR="008E035F">
        <w:rPr>
          <w:rFonts w:ascii="Times New Roman" w:eastAsia="Calibri" w:hAnsi="Times New Roman" w:cs="Times New Roman"/>
          <w:noProof/>
        </w:rPr>
        <w:t>has</w:t>
      </w:r>
      <w:r w:rsidR="008E035F" w:rsidRPr="003C0D71">
        <w:rPr>
          <w:rFonts w:ascii="Times New Roman" w:eastAsia="Calibri" w:hAnsi="Times New Roman" w:cs="Times New Roman"/>
          <w:noProof/>
        </w:rPr>
        <w:t xml:space="preserve"> </w:t>
      </w:r>
      <w:r w:rsidRPr="003C0D71">
        <w:rPr>
          <w:rFonts w:ascii="Times New Roman" w:eastAsia="Calibri" w:hAnsi="Times New Roman" w:cs="Times New Roman"/>
          <w:noProof/>
        </w:rPr>
        <w:t xml:space="preserve">no link to the EU. The Commission will consider </w:t>
      </w:r>
      <w:r w:rsidR="00A23D4F" w:rsidRPr="003C0D71">
        <w:rPr>
          <w:rFonts w:ascii="Times New Roman" w:eastAsia="Calibri" w:hAnsi="Times New Roman" w:cs="Times New Roman"/>
          <w:noProof/>
        </w:rPr>
        <w:t>amend</w:t>
      </w:r>
      <w:r w:rsidR="00FA441C">
        <w:rPr>
          <w:rFonts w:ascii="Times New Roman" w:eastAsia="Calibri" w:hAnsi="Times New Roman" w:cs="Times New Roman"/>
          <w:noProof/>
        </w:rPr>
        <w:t>ing</w:t>
      </w:r>
      <w:r w:rsidR="00A23D4F" w:rsidRPr="003C0D71">
        <w:rPr>
          <w:rFonts w:ascii="Times New Roman" w:eastAsia="Calibri" w:hAnsi="Times New Roman" w:cs="Times New Roman"/>
          <w:noProof/>
        </w:rPr>
        <w:t xml:space="preserve"> </w:t>
      </w:r>
      <w:r w:rsidRPr="003C0D71">
        <w:rPr>
          <w:rFonts w:ascii="Times New Roman" w:eastAsia="Calibri" w:hAnsi="Times New Roman" w:cs="Times New Roman"/>
          <w:noProof/>
        </w:rPr>
        <w:t xml:space="preserve">the wording of Article 2(12)(d) to </w:t>
      </w:r>
      <w:r w:rsidR="00FA441C">
        <w:rPr>
          <w:rFonts w:ascii="Times New Roman" w:eastAsia="Calibri" w:hAnsi="Times New Roman" w:cs="Times New Roman"/>
          <w:noProof/>
        </w:rPr>
        <w:t xml:space="preserve">specifically </w:t>
      </w:r>
      <w:r w:rsidRPr="003C0D71">
        <w:rPr>
          <w:rFonts w:ascii="Times New Roman" w:eastAsia="Calibri" w:hAnsi="Times New Roman" w:cs="Times New Roman"/>
          <w:noProof/>
        </w:rPr>
        <w:t xml:space="preserve">remove any kind of legal uncertainty in a future proposal to amend the Securitisation Regulation. </w:t>
      </w:r>
    </w:p>
    <w:p w14:paraId="4B49B655" w14:textId="77777777" w:rsidR="002064A8" w:rsidRPr="003C0D71" w:rsidRDefault="002064A8" w:rsidP="00A70EA8">
      <w:pPr>
        <w:jc w:val="both"/>
        <w:rPr>
          <w:rFonts w:ascii="Times New Roman" w:eastAsia="Calibri" w:hAnsi="Times New Roman" w:cs="Times New Roman"/>
          <w:noProof/>
        </w:rPr>
      </w:pPr>
    </w:p>
    <w:p w14:paraId="65E4B11F" w14:textId="77777777" w:rsidR="00DE73BB" w:rsidRPr="003C0D71" w:rsidRDefault="009E344D" w:rsidP="004100C8">
      <w:pPr>
        <w:pStyle w:val="Heading1"/>
        <w:rPr>
          <w:rStyle w:val="Heading1Char"/>
          <w:rFonts w:ascii="Times New Roman" w:hAnsi="Times New Roman" w:cs="Times New Roman"/>
          <w:noProof/>
          <w:color w:val="auto"/>
        </w:rPr>
      </w:pPr>
      <w:bookmarkStart w:id="76" w:name="_Toc115346220"/>
      <w:r w:rsidRPr="003C0D71">
        <w:rPr>
          <w:rStyle w:val="Heading1Char"/>
          <w:rFonts w:ascii="Times New Roman" w:hAnsi="Times New Roman" w:cs="Times New Roman"/>
          <w:noProof/>
          <w:color w:val="auto"/>
        </w:rPr>
        <w:t xml:space="preserve">12. </w:t>
      </w:r>
      <w:r w:rsidR="2603B6C4" w:rsidRPr="003C0D71">
        <w:rPr>
          <w:rFonts w:ascii="Times New Roman" w:hAnsi="Times New Roman" w:cs="Times New Roman"/>
          <w:noProof/>
          <w:color w:val="auto"/>
        </w:rPr>
        <w:t>Supervision</w:t>
      </w:r>
      <w:r w:rsidR="2603B6C4" w:rsidRPr="003C0D71">
        <w:rPr>
          <w:rStyle w:val="Heading1Char"/>
          <w:rFonts w:ascii="Times New Roman" w:hAnsi="Times New Roman" w:cs="Times New Roman"/>
          <w:noProof/>
          <w:color w:val="auto"/>
        </w:rPr>
        <w:t xml:space="preserve"> </w:t>
      </w:r>
      <w:r w:rsidR="2603B6C4" w:rsidRPr="003C0D71">
        <w:rPr>
          <w:rFonts w:ascii="Times New Roman" w:hAnsi="Times New Roman" w:cs="Times New Roman"/>
          <w:noProof/>
          <w:color w:val="auto"/>
        </w:rPr>
        <w:t>of</w:t>
      </w:r>
      <w:r w:rsidR="2603B6C4" w:rsidRPr="003C0D71">
        <w:rPr>
          <w:rStyle w:val="Heading1Char"/>
          <w:rFonts w:ascii="Times New Roman" w:hAnsi="Times New Roman" w:cs="Times New Roman"/>
          <w:noProof/>
          <w:color w:val="auto"/>
        </w:rPr>
        <w:t xml:space="preserve"> securitisation</w:t>
      </w:r>
      <w:bookmarkEnd w:id="73"/>
      <w:bookmarkEnd w:id="74"/>
      <w:bookmarkEnd w:id="75"/>
      <w:bookmarkEnd w:id="76"/>
    </w:p>
    <w:p w14:paraId="116BCEBA" w14:textId="77777777" w:rsidR="00DE73BB" w:rsidRPr="003C0D71" w:rsidRDefault="2603B6C4" w:rsidP="000D4664">
      <w:pPr>
        <w:rPr>
          <w:rFonts w:ascii="Times New Roman" w:hAnsi="Times New Roman" w:cs="Times New Roman"/>
          <w:b/>
          <w:noProof/>
          <w:sz w:val="24"/>
        </w:rPr>
      </w:pPr>
      <w:r w:rsidRPr="003C0D71">
        <w:rPr>
          <w:rFonts w:ascii="Times New Roman" w:hAnsi="Times New Roman" w:cs="Times New Roman"/>
          <w:b/>
          <w:noProof/>
          <w:sz w:val="24"/>
        </w:rPr>
        <w:t>Background and findings</w:t>
      </w:r>
    </w:p>
    <w:p w14:paraId="6FE66E97" w14:textId="66616CBC" w:rsidR="00DE73BB" w:rsidRPr="003C0D71" w:rsidRDefault="00BD4356" w:rsidP="00DE73BB">
      <w:pPr>
        <w:jc w:val="both"/>
        <w:rPr>
          <w:rFonts w:ascii="Times New Roman" w:eastAsia="Times New Roman" w:hAnsi="Times New Roman" w:cs="Times New Roman"/>
          <w:noProof/>
        </w:rPr>
      </w:pPr>
      <w:r w:rsidRPr="003C0D71">
        <w:rPr>
          <w:rFonts w:ascii="Times New Roman" w:eastAsia="Times New Roman" w:hAnsi="Times New Roman" w:cs="Times New Roman"/>
          <w:noProof/>
        </w:rPr>
        <w:t xml:space="preserve">The Joint Committee </w:t>
      </w:r>
      <w:r w:rsidR="00FA441C">
        <w:rPr>
          <w:rFonts w:ascii="Times New Roman" w:eastAsia="Times New Roman" w:hAnsi="Times New Roman" w:cs="Times New Roman"/>
          <w:noProof/>
        </w:rPr>
        <w:t>r</w:t>
      </w:r>
      <w:r w:rsidRPr="003C0D71">
        <w:rPr>
          <w:rFonts w:ascii="Times New Roman" w:eastAsia="Times New Roman" w:hAnsi="Times New Roman" w:cs="Times New Roman"/>
          <w:noProof/>
        </w:rPr>
        <w:t xml:space="preserve">eport </w:t>
      </w:r>
      <w:r w:rsidR="00D21F8E" w:rsidRPr="003C0D71">
        <w:rPr>
          <w:rFonts w:ascii="Times New Roman" w:eastAsia="Times New Roman" w:hAnsi="Times New Roman" w:cs="Times New Roman"/>
          <w:noProof/>
        </w:rPr>
        <w:t>focuse</w:t>
      </w:r>
      <w:r w:rsidR="007C01AE">
        <w:rPr>
          <w:rFonts w:ascii="Times New Roman" w:eastAsia="Times New Roman" w:hAnsi="Times New Roman" w:cs="Times New Roman"/>
          <w:noProof/>
        </w:rPr>
        <w:t>d</w:t>
      </w:r>
      <w:r w:rsidR="00D21F8E" w:rsidRPr="003C0D71">
        <w:rPr>
          <w:rFonts w:ascii="Times New Roman" w:eastAsia="Times New Roman" w:hAnsi="Times New Roman" w:cs="Times New Roman"/>
          <w:noProof/>
        </w:rPr>
        <w:t xml:space="preserve"> on</w:t>
      </w:r>
      <w:r w:rsidR="007C01AE">
        <w:rPr>
          <w:rFonts w:ascii="Times New Roman" w:eastAsia="Times New Roman" w:hAnsi="Times New Roman" w:cs="Times New Roman"/>
          <w:noProof/>
        </w:rPr>
        <w:t xml:space="preserve"> the supervision of </w:t>
      </w:r>
      <w:r w:rsidR="00D21F8E" w:rsidRPr="003C0D71">
        <w:rPr>
          <w:rFonts w:ascii="Times New Roman" w:eastAsia="Times New Roman" w:hAnsi="Times New Roman" w:cs="Times New Roman"/>
          <w:noProof/>
        </w:rPr>
        <w:t>due diligence, risk retention, transparency, private securitisation</w:t>
      </w:r>
      <w:r w:rsidR="00554198" w:rsidRPr="003C0D71">
        <w:rPr>
          <w:rFonts w:ascii="Times New Roman" w:eastAsia="Times New Roman" w:hAnsi="Times New Roman" w:cs="Times New Roman"/>
          <w:noProof/>
        </w:rPr>
        <w:t>s</w:t>
      </w:r>
      <w:r w:rsidR="00D21F8E" w:rsidRPr="003C0D71">
        <w:rPr>
          <w:rFonts w:ascii="Times New Roman" w:eastAsia="Times New Roman" w:hAnsi="Times New Roman" w:cs="Times New Roman"/>
          <w:noProof/>
        </w:rPr>
        <w:t xml:space="preserve"> and STS requirements.</w:t>
      </w:r>
      <w:r w:rsidR="00D21F8E" w:rsidRPr="003C0D71" w:rsidDel="00D21F8E">
        <w:rPr>
          <w:rFonts w:ascii="Times New Roman" w:eastAsia="Times New Roman" w:hAnsi="Times New Roman" w:cs="Times New Roman"/>
          <w:noProof/>
        </w:rPr>
        <w:t xml:space="preserve"> </w:t>
      </w:r>
      <w:r w:rsidR="00BE7676">
        <w:rPr>
          <w:rFonts w:ascii="Times New Roman" w:eastAsia="Times New Roman" w:hAnsi="Times New Roman" w:cs="Times New Roman"/>
          <w:noProof/>
        </w:rPr>
        <w:t xml:space="preserve">While </w:t>
      </w:r>
      <w:r w:rsidR="007C01AE" w:rsidRPr="003C0D71">
        <w:rPr>
          <w:rFonts w:ascii="Times New Roman" w:eastAsia="Times New Roman" w:hAnsi="Times New Roman" w:cs="Times New Roman"/>
          <w:noProof/>
        </w:rPr>
        <w:t>noti</w:t>
      </w:r>
      <w:r w:rsidR="007C01AE">
        <w:rPr>
          <w:rFonts w:ascii="Times New Roman" w:eastAsia="Times New Roman" w:hAnsi="Times New Roman" w:cs="Times New Roman"/>
          <w:noProof/>
        </w:rPr>
        <w:t>ng</w:t>
      </w:r>
      <w:r w:rsidRPr="003C0D71">
        <w:rPr>
          <w:rFonts w:ascii="Times New Roman" w:eastAsia="Times New Roman" w:hAnsi="Times New Roman" w:cs="Times New Roman"/>
          <w:noProof/>
        </w:rPr>
        <w:t xml:space="preserve"> some possible </w:t>
      </w:r>
      <w:r w:rsidR="00706712" w:rsidRPr="003C0D71">
        <w:rPr>
          <w:rFonts w:ascii="Times New Roman" w:eastAsia="Times New Roman" w:hAnsi="Times New Roman" w:cs="Times New Roman"/>
          <w:noProof/>
        </w:rPr>
        <w:t xml:space="preserve">issues </w:t>
      </w:r>
      <w:r w:rsidRPr="003C0D71">
        <w:rPr>
          <w:rFonts w:ascii="Times New Roman" w:eastAsia="Times New Roman" w:hAnsi="Times New Roman" w:cs="Times New Roman"/>
          <w:noProof/>
        </w:rPr>
        <w:t>in the supervision of the market</w:t>
      </w:r>
      <w:r w:rsidR="00BE7676">
        <w:rPr>
          <w:rFonts w:ascii="Times New Roman" w:eastAsia="Times New Roman" w:hAnsi="Times New Roman" w:cs="Times New Roman"/>
          <w:noProof/>
        </w:rPr>
        <w:t xml:space="preserve">, </w:t>
      </w:r>
      <w:r w:rsidR="00D21F8E" w:rsidRPr="003C0D71">
        <w:rPr>
          <w:rFonts w:ascii="Times New Roman" w:eastAsia="Times New Roman" w:hAnsi="Times New Roman" w:cs="Times New Roman"/>
          <w:noProof/>
        </w:rPr>
        <w:t>it</w:t>
      </w:r>
      <w:r w:rsidRPr="003C0D71">
        <w:rPr>
          <w:rFonts w:ascii="Times New Roman" w:eastAsia="Times New Roman" w:hAnsi="Times New Roman" w:cs="Times New Roman"/>
          <w:noProof/>
        </w:rPr>
        <w:t xml:space="preserve"> </w:t>
      </w:r>
      <w:r w:rsidR="00FF0B83">
        <w:rPr>
          <w:rFonts w:ascii="Times New Roman" w:eastAsia="Times New Roman" w:hAnsi="Times New Roman" w:cs="Times New Roman"/>
          <w:noProof/>
        </w:rPr>
        <w:t>d</w:t>
      </w:r>
      <w:r w:rsidR="007C01AE">
        <w:rPr>
          <w:rFonts w:ascii="Times New Roman" w:eastAsia="Times New Roman" w:hAnsi="Times New Roman" w:cs="Times New Roman"/>
          <w:noProof/>
        </w:rPr>
        <w:t>id</w:t>
      </w:r>
      <w:r w:rsidR="00FF0B83" w:rsidRPr="003C0D71">
        <w:rPr>
          <w:rFonts w:ascii="Times New Roman" w:eastAsia="Times New Roman" w:hAnsi="Times New Roman" w:cs="Times New Roman"/>
          <w:noProof/>
        </w:rPr>
        <w:t xml:space="preserve"> </w:t>
      </w:r>
      <w:r w:rsidRPr="003C0D71">
        <w:rPr>
          <w:rFonts w:ascii="Times New Roman" w:eastAsia="Times New Roman" w:hAnsi="Times New Roman" w:cs="Times New Roman"/>
          <w:noProof/>
        </w:rPr>
        <w:t>not call for legislative changes</w:t>
      </w:r>
      <w:r w:rsidR="00826183" w:rsidRPr="003C0D71">
        <w:rPr>
          <w:rFonts w:ascii="Times New Roman" w:eastAsia="Times New Roman" w:hAnsi="Times New Roman" w:cs="Times New Roman"/>
          <w:noProof/>
        </w:rPr>
        <w:t xml:space="preserve">, but </w:t>
      </w:r>
      <w:r w:rsidRPr="003C0D71">
        <w:rPr>
          <w:rFonts w:ascii="Times New Roman" w:eastAsia="Times New Roman" w:hAnsi="Times New Roman" w:cs="Times New Roman"/>
          <w:noProof/>
        </w:rPr>
        <w:t xml:space="preserve">recommended </w:t>
      </w:r>
      <w:r w:rsidR="008E035F">
        <w:rPr>
          <w:rFonts w:ascii="Times New Roman" w:eastAsia="Times New Roman" w:hAnsi="Times New Roman" w:cs="Times New Roman"/>
          <w:noProof/>
        </w:rPr>
        <w:t>providing</w:t>
      </w:r>
      <w:r w:rsidRPr="003C0D71">
        <w:rPr>
          <w:rFonts w:ascii="Times New Roman" w:eastAsia="Times New Roman" w:hAnsi="Times New Roman" w:cs="Times New Roman"/>
          <w:noProof/>
        </w:rPr>
        <w:t xml:space="preserve"> further guidance and clarity to supervisory authorities to ensure </w:t>
      </w:r>
      <w:r w:rsidR="008E035F">
        <w:rPr>
          <w:rFonts w:ascii="Times New Roman" w:eastAsia="Times New Roman" w:hAnsi="Times New Roman" w:cs="Times New Roman"/>
          <w:noProof/>
        </w:rPr>
        <w:t xml:space="preserve">the </w:t>
      </w:r>
      <w:r w:rsidRPr="003C0D71">
        <w:rPr>
          <w:rFonts w:ascii="Times New Roman" w:eastAsia="Times New Roman" w:hAnsi="Times New Roman" w:cs="Times New Roman"/>
          <w:noProof/>
        </w:rPr>
        <w:t xml:space="preserve">efficient and consistent implementation of the </w:t>
      </w:r>
      <w:r w:rsidR="00826183" w:rsidRPr="003C0D71">
        <w:rPr>
          <w:rFonts w:ascii="Times New Roman" w:eastAsia="Times New Roman" w:hAnsi="Times New Roman" w:cs="Times New Roman"/>
          <w:noProof/>
        </w:rPr>
        <w:t>Securitisation Regulation</w:t>
      </w:r>
      <w:r w:rsidRPr="003C0D71">
        <w:rPr>
          <w:rFonts w:ascii="Times New Roman" w:eastAsia="Times New Roman" w:hAnsi="Times New Roman" w:cs="Times New Roman"/>
          <w:noProof/>
        </w:rPr>
        <w:t xml:space="preserve">. </w:t>
      </w:r>
      <w:r w:rsidR="00CC2096" w:rsidRPr="003C0D71">
        <w:rPr>
          <w:rFonts w:ascii="Times New Roman" w:eastAsia="Times New Roman" w:hAnsi="Times New Roman" w:cs="Times New Roman"/>
          <w:noProof/>
        </w:rPr>
        <w:t xml:space="preserve">Additionally, the Joint Committee </w:t>
      </w:r>
      <w:r w:rsidR="00FA441C">
        <w:rPr>
          <w:rFonts w:ascii="Times New Roman" w:eastAsia="Times New Roman" w:hAnsi="Times New Roman" w:cs="Times New Roman"/>
          <w:noProof/>
        </w:rPr>
        <w:t>r</w:t>
      </w:r>
      <w:r w:rsidR="00CC2096" w:rsidRPr="003C0D71">
        <w:rPr>
          <w:rFonts w:ascii="Times New Roman" w:eastAsia="Times New Roman" w:hAnsi="Times New Roman" w:cs="Times New Roman"/>
          <w:noProof/>
        </w:rPr>
        <w:t xml:space="preserve">eport </w:t>
      </w:r>
      <w:r w:rsidR="00FF0B83">
        <w:rPr>
          <w:rFonts w:ascii="Times New Roman" w:eastAsia="Times New Roman" w:hAnsi="Times New Roman" w:cs="Times New Roman"/>
          <w:noProof/>
        </w:rPr>
        <w:t>ma</w:t>
      </w:r>
      <w:r w:rsidR="007C01AE">
        <w:rPr>
          <w:rFonts w:ascii="Times New Roman" w:eastAsia="Times New Roman" w:hAnsi="Times New Roman" w:cs="Times New Roman"/>
          <w:noProof/>
        </w:rPr>
        <w:t>de</w:t>
      </w:r>
      <w:r w:rsidR="00FF0B83" w:rsidRPr="003C0D71">
        <w:rPr>
          <w:rFonts w:ascii="Times New Roman" w:eastAsia="Times New Roman" w:hAnsi="Times New Roman" w:cs="Times New Roman"/>
          <w:noProof/>
        </w:rPr>
        <w:t xml:space="preserve"> </w:t>
      </w:r>
      <w:r w:rsidR="00CC2096" w:rsidRPr="003C0D71">
        <w:rPr>
          <w:rFonts w:ascii="Times New Roman" w:eastAsia="Times New Roman" w:hAnsi="Times New Roman" w:cs="Times New Roman"/>
          <w:noProof/>
        </w:rPr>
        <w:t xml:space="preserve">the case that it is difficult for supervisors to access the information </w:t>
      </w:r>
      <w:r w:rsidR="000A06C6">
        <w:rPr>
          <w:rFonts w:ascii="Times New Roman" w:eastAsia="Times New Roman" w:hAnsi="Times New Roman" w:cs="Times New Roman"/>
          <w:noProof/>
        </w:rPr>
        <w:t>on</w:t>
      </w:r>
      <w:r w:rsidR="00CC2096" w:rsidRPr="003C0D71">
        <w:rPr>
          <w:rFonts w:ascii="Times New Roman" w:eastAsia="Times New Roman" w:hAnsi="Times New Roman" w:cs="Times New Roman"/>
          <w:noProof/>
        </w:rPr>
        <w:t xml:space="preserve"> a private securitisation, since it is not made available via a securitisation repository. </w:t>
      </w:r>
    </w:p>
    <w:p w14:paraId="49997F34" w14:textId="74BB6A6B" w:rsidR="00BD4356" w:rsidRPr="003C0D71" w:rsidRDefault="00BE7676" w:rsidP="00987443">
      <w:pPr>
        <w:jc w:val="both"/>
        <w:rPr>
          <w:rFonts w:ascii="Times New Roman" w:eastAsia="Times New Roman" w:hAnsi="Times New Roman" w:cs="Times New Roman"/>
          <w:noProof/>
        </w:rPr>
      </w:pPr>
      <w:r>
        <w:rPr>
          <w:rFonts w:ascii="Times New Roman" w:eastAsia="Times New Roman" w:hAnsi="Times New Roman" w:cs="Times New Roman"/>
          <w:noProof/>
        </w:rPr>
        <w:t>In the consultation, m</w:t>
      </w:r>
      <w:r w:rsidR="00BD4356" w:rsidRPr="003C0D71">
        <w:rPr>
          <w:rFonts w:ascii="Times New Roman" w:eastAsia="Times New Roman" w:hAnsi="Times New Roman" w:cs="Times New Roman"/>
          <w:noProof/>
        </w:rPr>
        <w:t xml:space="preserve">arket participants reported differences in </w:t>
      </w:r>
      <w:r w:rsidR="00FA441C">
        <w:rPr>
          <w:rFonts w:ascii="Times New Roman" w:eastAsia="Times New Roman" w:hAnsi="Times New Roman" w:cs="Times New Roman"/>
          <w:noProof/>
        </w:rPr>
        <w:t xml:space="preserve">the </w:t>
      </w:r>
      <w:r w:rsidR="00BD4356" w:rsidRPr="003C0D71">
        <w:rPr>
          <w:rFonts w:ascii="Times New Roman" w:eastAsia="Times New Roman" w:hAnsi="Times New Roman" w:cs="Times New Roman"/>
          <w:noProof/>
        </w:rPr>
        <w:t xml:space="preserve">supervisory approaches </w:t>
      </w:r>
      <w:r w:rsidR="00FA441C">
        <w:rPr>
          <w:rFonts w:ascii="Times New Roman" w:eastAsia="Times New Roman" w:hAnsi="Times New Roman" w:cs="Times New Roman"/>
          <w:noProof/>
        </w:rPr>
        <w:t>of</w:t>
      </w:r>
      <w:r w:rsidR="008E035F">
        <w:rPr>
          <w:rFonts w:ascii="Times New Roman" w:eastAsia="Times New Roman" w:hAnsi="Times New Roman" w:cs="Times New Roman"/>
          <w:noProof/>
        </w:rPr>
        <w:t xml:space="preserve"> </w:t>
      </w:r>
      <w:r w:rsidR="00E411FB" w:rsidRPr="003C0D71">
        <w:rPr>
          <w:rFonts w:ascii="Times New Roman" w:eastAsia="Times New Roman" w:hAnsi="Times New Roman" w:cs="Times New Roman"/>
          <w:noProof/>
        </w:rPr>
        <w:t xml:space="preserve">Member States </w:t>
      </w:r>
      <w:r w:rsidR="00BD4356" w:rsidRPr="003C0D71">
        <w:rPr>
          <w:rFonts w:ascii="Times New Roman" w:eastAsia="Times New Roman" w:hAnsi="Times New Roman" w:cs="Times New Roman"/>
          <w:noProof/>
        </w:rPr>
        <w:t xml:space="preserve">and stressed </w:t>
      </w:r>
      <w:r w:rsidR="00D23921" w:rsidRPr="003C0D71">
        <w:rPr>
          <w:rFonts w:ascii="Times New Roman" w:eastAsia="Times New Roman" w:hAnsi="Times New Roman" w:cs="Times New Roman"/>
          <w:noProof/>
        </w:rPr>
        <w:t xml:space="preserve">that </w:t>
      </w:r>
      <w:r w:rsidR="00BD4356" w:rsidRPr="003C0D71">
        <w:rPr>
          <w:rFonts w:ascii="Times New Roman" w:eastAsia="Times New Roman" w:hAnsi="Times New Roman" w:cs="Times New Roman"/>
          <w:noProof/>
        </w:rPr>
        <w:t xml:space="preserve">this could create uncertainty. Competent </w:t>
      </w:r>
      <w:r w:rsidR="00D74AF3" w:rsidRPr="003C0D71">
        <w:rPr>
          <w:rFonts w:ascii="Times New Roman" w:eastAsia="Times New Roman" w:hAnsi="Times New Roman" w:cs="Times New Roman"/>
          <w:noProof/>
        </w:rPr>
        <w:t>a</w:t>
      </w:r>
      <w:r w:rsidR="00BD4356" w:rsidRPr="003C0D71">
        <w:rPr>
          <w:rFonts w:ascii="Times New Roman" w:eastAsia="Times New Roman" w:hAnsi="Times New Roman" w:cs="Times New Roman"/>
          <w:noProof/>
        </w:rPr>
        <w:t xml:space="preserve">uthorities were </w:t>
      </w:r>
      <w:r>
        <w:rPr>
          <w:rFonts w:ascii="Times New Roman" w:eastAsia="Times New Roman" w:hAnsi="Times New Roman" w:cs="Times New Roman"/>
          <w:noProof/>
        </w:rPr>
        <w:t>mentioned</w:t>
      </w:r>
      <w:r w:rsidRPr="003C0D71">
        <w:rPr>
          <w:rFonts w:ascii="Times New Roman" w:eastAsia="Times New Roman" w:hAnsi="Times New Roman" w:cs="Times New Roman"/>
          <w:noProof/>
        </w:rPr>
        <w:t xml:space="preserve"> </w:t>
      </w:r>
      <w:r w:rsidR="00BD4356" w:rsidRPr="003C0D71">
        <w:rPr>
          <w:rFonts w:ascii="Times New Roman" w:eastAsia="Times New Roman" w:hAnsi="Times New Roman" w:cs="Times New Roman"/>
          <w:noProof/>
        </w:rPr>
        <w:t>to have differen</w:t>
      </w:r>
      <w:r w:rsidR="00FA441C">
        <w:rPr>
          <w:rFonts w:ascii="Times New Roman" w:eastAsia="Times New Roman" w:hAnsi="Times New Roman" w:cs="Times New Roman"/>
          <w:noProof/>
        </w:rPr>
        <w:t>t</w:t>
      </w:r>
      <w:r w:rsidR="00BD4356" w:rsidRPr="003C0D71">
        <w:rPr>
          <w:rFonts w:ascii="Times New Roman" w:eastAsia="Times New Roman" w:hAnsi="Times New Roman" w:cs="Times New Roman"/>
          <w:noProof/>
        </w:rPr>
        <w:t xml:space="preserve"> interpretation</w:t>
      </w:r>
      <w:r w:rsidR="00FA441C">
        <w:rPr>
          <w:rFonts w:ascii="Times New Roman" w:eastAsia="Times New Roman" w:hAnsi="Times New Roman" w:cs="Times New Roman"/>
          <w:noProof/>
        </w:rPr>
        <w:t>s</w:t>
      </w:r>
      <w:r w:rsidR="00BD4356" w:rsidRPr="003C0D71">
        <w:rPr>
          <w:rFonts w:ascii="Times New Roman" w:eastAsia="Times New Roman" w:hAnsi="Times New Roman" w:cs="Times New Roman"/>
          <w:noProof/>
        </w:rPr>
        <w:t xml:space="preserve"> of the Sec</w:t>
      </w:r>
      <w:r w:rsidR="00826183" w:rsidRPr="003C0D71">
        <w:rPr>
          <w:rFonts w:ascii="Times New Roman" w:eastAsia="Times New Roman" w:hAnsi="Times New Roman" w:cs="Times New Roman"/>
          <w:noProof/>
        </w:rPr>
        <w:t xml:space="preserve">uritisation </w:t>
      </w:r>
      <w:r w:rsidR="00BD4356" w:rsidRPr="003C0D71">
        <w:rPr>
          <w:rFonts w:ascii="Times New Roman" w:eastAsia="Times New Roman" w:hAnsi="Times New Roman" w:cs="Times New Roman"/>
          <w:noProof/>
        </w:rPr>
        <w:t>Reg</w:t>
      </w:r>
      <w:r w:rsidR="00826183" w:rsidRPr="003C0D71">
        <w:rPr>
          <w:rFonts w:ascii="Times New Roman" w:eastAsia="Times New Roman" w:hAnsi="Times New Roman" w:cs="Times New Roman"/>
          <w:noProof/>
        </w:rPr>
        <w:t>ulation</w:t>
      </w:r>
      <w:r w:rsidR="00BD4356" w:rsidRPr="003C0D71">
        <w:rPr>
          <w:rFonts w:ascii="Times New Roman" w:eastAsia="Times New Roman" w:hAnsi="Times New Roman" w:cs="Times New Roman"/>
          <w:noProof/>
        </w:rPr>
        <w:t xml:space="preserve"> and varying degree</w:t>
      </w:r>
      <w:r w:rsidR="00FA441C">
        <w:rPr>
          <w:rFonts w:ascii="Times New Roman" w:eastAsia="Times New Roman" w:hAnsi="Times New Roman" w:cs="Times New Roman"/>
          <w:noProof/>
        </w:rPr>
        <w:t>s</w:t>
      </w:r>
      <w:r w:rsidR="00BD4356" w:rsidRPr="003C0D71">
        <w:rPr>
          <w:rFonts w:ascii="Times New Roman" w:eastAsia="Times New Roman" w:hAnsi="Times New Roman" w:cs="Times New Roman"/>
          <w:noProof/>
        </w:rPr>
        <w:t xml:space="preserve"> of involvement in the supervisory process. </w:t>
      </w:r>
    </w:p>
    <w:p w14:paraId="20B1D7EB" w14:textId="284A4BF5" w:rsidR="3246A694" w:rsidRPr="003C0D71" w:rsidRDefault="2603B6C4" w:rsidP="00987443">
      <w:pPr>
        <w:jc w:val="both"/>
        <w:rPr>
          <w:noProof/>
        </w:rPr>
      </w:pPr>
      <w:r w:rsidRPr="00647E9A">
        <w:rPr>
          <w:rFonts w:ascii="Times New Roman" w:eastAsia="Times New Roman" w:hAnsi="Times New Roman" w:cs="Times New Roman"/>
          <w:noProof/>
        </w:rPr>
        <w:t>Overall</w:t>
      </w:r>
      <w:r w:rsidR="00EE5635" w:rsidRPr="00647E9A">
        <w:rPr>
          <w:rFonts w:ascii="Times New Roman" w:eastAsia="Times New Roman" w:hAnsi="Times New Roman" w:cs="Times New Roman"/>
          <w:noProof/>
        </w:rPr>
        <w:t>,</w:t>
      </w:r>
      <w:r w:rsidRPr="00647E9A">
        <w:rPr>
          <w:rFonts w:ascii="Times New Roman" w:eastAsia="Times New Roman" w:hAnsi="Times New Roman" w:cs="Times New Roman"/>
          <w:noProof/>
        </w:rPr>
        <w:t xml:space="preserve"> stakeholders called for consistency, more coordination </w:t>
      </w:r>
      <w:r w:rsidR="00FA441C" w:rsidRPr="00647E9A">
        <w:rPr>
          <w:rFonts w:ascii="Times New Roman" w:eastAsia="Times New Roman" w:hAnsi="Times New Roman" w:cs="Times New Roman"/>
          <w:noProof/>
        </w:rPr>
        <w:t xml:space="preserve">between </w:t>
      </w:r>
      <w:r w:rsidR="00A610C4" w:rsidRPr="00647E9A">
        <w:rPr>
          <w:rFonts w:ascii="Times New Roman" w:eastAsia="Times New Roman" w:hAnsi="Times New Roman" w:cs="Times New Roman"/>
          <w:noProof/>
        </w:rPr>
        <w:t xml:space="preserve">supervisors </w:t>
      </w:r>
      <w:r w:rsidR="00FA441C" w:rsidRPr="00647E9A">
        <w:rPr>
          <w:rFonts w:ascii="Times New Roman" w:eastAsia="Times New Roman" w:hAnsi="Times New Roman" w:cs="Times New Roman"/>
          <w:noProof/>
        </w:rPr>
        <w:t>(</w:t>
      </w:r>
      <w:r w:rsidRPr="00647E9A">
        <w:rPr>
          <w:rFonts w:ascii="Times New Roman" w:eastAsia="Times New Roman" w:hAnsi="Times New Roman" w:cs="Times New Roman"/>
          <w:noProof/>
        </w:rPr>
        <w:t xml:space="preserve">given that </w:t>
      </w:r>
      <w:r w:rsidR="00D74AF3" w:rsidRPr="00647E9A">
        <w:rPr>
          <w:rFonts w:ascii="Times New Roman" w:eastAsia="Times New Roman" w:hAnsi="Times New Roman" w:cs="Times New Roman"/>
          <w:noProof/>
        </w:rPr>
        <w:t xml:space="preserve">several </w:t>
      </w:r>
      <w:r w:rsidR="00EE5635" w:rsidRPr="00647E9A">
        <w:rPr>
          <w:rFonts w:ascii="Times New Roman" w:eastAsia="Times New Roman" w:hAnsi="Times New Roman" w:cs="Times New Roman"/>
          <w:noProof/>
        </w:rPr>
        <w:t>c</w:t>
      </w:r>
      <w:r w:rsidRPr="00647E9A">
        <w:rPr>
          <w:rFonts w:ascii="Times New Roman" w:eastAsia="Times New Roman" w:hAnsi="Times New Roman" w:cs="Times New Roman"/>
          <w:noProof/>
        </w:rPr>
        <w:t xml:space="preserve">ompetent </w:t>
      </w:r>
      <w:r w:rsidR="00EE5635" w:rsidRPr="00647E9A">
        <w:rPr>
          <w:rFonts w:ascii="Times New Roman" w:eastAsia="Times New Roman" w:hAnsi="Times New Roman" w:cs="Times New Roman"/>
          <w:noProof/>
        </w:rPr>
        <w:t>a</w:t>
      </w:r>
      <w:r w:rsidRPr="00647E9A">
        <w:rPr>
          <w:rFonts w:ascii="Times New Roman" w:eastAsia="Times New Roman" w:hAnsi="Times New Roman" w:cs="Times New Roman"/>
          <w:noProof/>
        </w:rPr>
        <w:t xml:space="preserve">uthorities </w:t>
      </w:r>
      <w:r w:rsidR="00D74AF3" w:rsidRPr="00647E9A">
        <w:rPr>
          <w:rFonts w:ascii="Times New Roman" w:eastAsia="Times New Roman" w:hAnsi="Times New Roman" w:cs="Times New Roman"/>
          <w:noProof/>
        </w:rPr>
        <w:t xml:space="preserve">are </w:t>
      </w:r>
      <w:r w:rsidR="00FA441C" w:rsidRPr="00647E9A">
        <w:rPr>
          <w:rFonts w:ascii="Times New Roman" w:eastAsia="Times New Roman" w:hAnsi="Times New Roman" w:cs="Times New Roman"/>
          <w:noProof/>
        </w:rPr>
        <w:t xml:space="preserve">often </w:t>
      </w:r>
      <w:r w:rsidRPr="00647E9A">
        <w:rPr>
          <w:rFonts w:ascii="Times New Roman" w:eastAsia="Times New Roman" w:hAnsi="Times New Roman" w:cs="Times New Roman"/>
          <w:noProof/>
        </w:rPr>
        <w:t xml:space="preserve">involved </w:t>
      </w:r>
      <w:r w:rsidR="00D74AF3" w:rsidRPr="00647E9A">
        <w:rPr>
          <w:rFonts w:ascii="Times New Roman" w:eastAsia="Times New Roman" w:hAnsi="Times New Roman" w:cs="Times New Roman"/>
          <w:noProof/>
        </w:rPr>
        <w:t>in the supervision of one transaction</w:t>
      </w:r>
      <w:r w:rsidR="00FA441C" w:rsidRPr="00647E9A">
        <w:rPr>
          <w:rFonts w:ascii="Times New Roman" w:eastAsia="Times New Roman" w:hAnsi="Times New Roman" w:cs="Times New Roman"/>
          <w:noProof/>
        </w:rPr>
        <w:t>)</w:t>
      </w:r>
      <w:r w:rsidR="00D74AF3" w:rsidRPr="00647E9A">
        <w:rPr>
          <w:rFonts w:ascii="Times New Roman" w:eastAsia="Times New Roman" w:hAnsi="Times New Roman" w:cs="Times New Roman"/>
          <w:noProof/>
        </w:rPr>
        <w:t xml:space="preserve"> </w:t>
      </w:r>
      <w:r w:rsidRPr="00647E9A">
        <w:rPr>
          <w:rFonts w:ascii="Times New Roman" w:eastAsia="Times New Roman" w:hAnsi="Times New Roman" w:cs="Times New Roman"/>
          <w:noProof/>
        </w:rPr>
        <w:t>and a proportionate approach to avoid</w:t>
      </w:r>
      <w:r w:rsidR="00FA441C" w:rsidRPr="00647E9A">
        <w:rPr>
          <w:rFonts w:ascii="Times New Roman" w:eastAsia="Times New Roman" w:hAnsi="Times New Roman" w:cs="Times New Roman"/>
          <w:noProof/>
        </w:rPr>
        <w:t>ing</w:t>
      </w:r>
      <w:r w:rsidRPr="00647E9A">
        <w:rPr>
          <w:rFonts w:ascii="Times New Roman" w:eastAsia="Times New Roman" w:hAnsi="Times New Roman" w:cs="Times New Roman"/>
          <w:noProof/>
        </w:rPr>
        <w:t xml:space="preserve"> </w:t>
      </w:r>
      <w:r w:rsidR="00FA441C" w:rsidRPr="00647E9A">
        <w:rPr>
          <w:rFonts w:ascii="Times New Roman" w:eastAsia="Times New Roman" w:hAnsi="Times New Roman" w:cs="Times New Roman"/>
          <w:noProof/>
        </w:rPr>
        <w:t xml:space="preserve">divergent </w:t>
      </w:r>
      <w:r w:rsidRPr="00647E9A">
        <w:rPr>
          <w:rFonts w:ascii="Times New Roman" w:eastAsia="Times New Roman" w:hAnsi="Times New Roman" w:cs="Times New Roman"/>
          <w:noProof/>
        </w:rPr>
        <w:t xml:space="preserve">practices. They stressed that no additional requirements are needed, not even </w:t>
      </w:r>
      <w:r w:rsidR="002F1C37" w:rsidRPr="00647E9A">
        <w:rPr>
          <w:rFonts w:ascii="Times New Roman" w:eastAsia="Times New Roman" w:hAnsi="Times New Roman" w:cs="Times New Roman"/>
          <w:noProof/>
        </w:rPr>
        <w:t>via</w:t>
      </w:r>
      <w:r w:rsidR="00BD4356" w:rsidRPr="00647E9A">
        <w:rPr>
          <w:rFonts w:ascii="Times New Roman" w:eastAsia="Times New Roman" w:hAnsi="Times New Roman" w:cs="Times New Roman"/>
          <w:noProof/>
        </w:rPr>
        <w:t xml:space="preserve"> </w:t>
      </w:r>
      <w:r w:rsidR="002F1C37" w:rsidRPr="00647E9A">
        <w:rPr>
          <w:rFonts w:ascii="Times New Roman" w:eastAsia="Times New Roman" w:hAnsi="Times New Roman" w:cs="Times New Roman"/>
          <w:noProof/>
        </w:rPr>
        <w:t xml:space="preserve">regulatory </w:t>
      </w:r>
      <w:r w:rsidR="00BD4356" w:rsidRPr="00647E9A">
        <w:rPr>
          <w:rFonts w:ascii="Times New Roman" w:eastAsia="Times New Roman" w:hAnsi="Times New Roman" w:cs="Times New Roman"/>
          <w:noProof/>
        </w:rPr>
        <w:t>technical standards</w:t>
      </w:r>
      <w:r w:rsidR="00BE7676" w:rsidRPr="00647E9A">
        <w:rPr>
          <w:rFonts w:ascii="Times New Roman" w:eastAsia="Times New Roman" w:hAnsi="Times New Roman" w:cs="Times New Roman"/>
          <w:noProof/>
        </w:rPr>
        <w:t>,</w:t>
      </w:r>
      <w:r w:rsidRPr="00647E9A">
        <w:rPr>
          <w:rFonts w:ascii="Times New Roman" w:eastAsia="Times New Roman" w:hAnsi="Times New Roman" w:cs="Times New Roman"/>
          <w:noProof/>
        </w:rPr>
        <w:t xml:space="preserve"> favour</w:t>
      </w:r>
      <w:r w:rsidR="00BE7676" w:rsidRPr="00647E9A">
        <w:rPr>
          <w:rFonts w:ascii="Times New Roman" w:eastAsia="Times New Roman" w:hAnsi="Times New Roman" w:cs="Times New Roman"/>
          <w:noProof/>
        </w:rPr>
        <w:t>ing</w:t>
      </w:r>
      <w:r w:rsidRPr="00647E9A">
        <w:rPr>
          <w:rFonts w:ascii="Times New Roman" w:eastAsia="Times New Roman" w:hAnsi="Times New Roman" w:cs="Times New Roman"/>
          <w:noProof/>
        </w:rPr>
        <w:t xml:space="preserve"> supervisory guidance from </w:t>
      </w:r>
      <w:r w:rsidR="00EE5635" w:rsidRPr="00647E9A">
        <w:rPr>
          <w:rFonts w:ascii="Times New Roman" w:eastAsia="Times New Roman" w:hAnsi="Times New Roman" w:cs="Times New Roman"/>
          <w:noProof/>
        </w:rPr>
        <w:t xml:space="preserve">the ESAs </w:t>
      </w:r>
      <w:r w:rsidRPr="00647E9A">
        <w:rPr>
          <w:rFonts w:ascii="Times New Roman" w:eastAsia="Times New Roman" w:hAnsi="Times New Roman" w:cs="Times New Roman"/>
          <w:noProof/>
        </w:rPr>
        <w:t>Joint Committee</w:t>
      </w:r>
      <w:r w:rsidR="00BE7676" w:rsidRPr="00647E9A">
        <w:rPr>
          <w:rFonts w:ascii="Times New Roman" w:eastAsia="Times New Roman" w:hAnsi="Times New Roman" w:cs="Times New Roman"/>
          <w:noProof/>
        </w:rPr>
        <w:t xml:space="preserve"> instead</w:t>
      </w:r>
      <w:r w:rsidRPr="00647E9A">
        <w:rPr>
          <w:noProof/>
        </w:rPr>
        <w:t>.</w:t>
      </w:r>
    </w:p>
    <w:p w14:paraId="61B506AB" w14:textId="006D568E" w:rsidR="00BD4356" w:rsidRPr="003C0D71" w:rsidRDefault="00721A1A" w:rsidP="00987443">
      <w:pPr>
        <w:jc w:val="both"/>
        <w:rPr>
          <w:rFonts w:ascii="Times New Roman" w:eastAsia="Times New Roman" w:hAnsi="Times New Roman" w:cs="Times New Roman"/>
          <w:noProof/>
        </w:rPr>
      </w:pPr>
      <w:r>
        <w:rPr>
          <w:rFonts w:ascii="Times New Roman" w:eastAsia="Times New Roman" w:hAnsi="Times New Roman" w:cs="Times New Roman"/>
          <w:noProof/>
        </w:rPr>
        <w:t>Lastly</w:t>
      </w:r>
      <w:r w:rsidR="00B06CA7" w:rsidRPr="003C0D71">
        <w:rPr>
          <w:rFonts w:ascii="Times New Roman" w:eastAsia="Times New Roman" w:hAnsi="Times New Roman" w:cs="Times New Roman"/>
          <w:noProof/>
        </w:rPr>
        <w:t>, a</w:t>
      </w:r>
      <w:r w:rsidR="00BD4356" w:rsidRPr="003C0D71">
        <w:rPr>
          <w:rFonts w:ascii="Times New Roman" w:eastAsia="Times New Roman" w:hAnsi="Times New Roman" w:cs="Times New Roman"/>
          <w:noProof/>
        </w:rPr>
        <w:t xml:space="preserve"> few competent authorities made the case for </w:t>
      </w:r>
      <w:r w:rsidR="00805A04">
        <w:rPr>
          <w:rFonts w:ascii="Times New Roman" w:eastAsia="Times New Roman" w:hAnsi="Times New Roman" w:cs="Times New Roman"/>
          <w:noProof/>
        </w:rPr>
        <w:t>having a</w:t>
      </w:r>
      <w:r w:rsidR="00BD4356" w:rsidRPr="003C0D71">
        <w:rPr>
          <w:rFonts w:ascii="Times New Roman" w:eastAsia="Times New Roman" w:hAnsi="Times New Roman" w:cs="Times New Roman"/>
          <w:noProof/>
        </w:rPr>
        <w:t xml:space="preserve"> lead supervisor</w:t>
      </w:r>
      <w:r>
        <w:rPr>
          <w:rFonts w:ascii="Times New Roman" w:eastAsia="Times New Roman" w:hAnsi="Times New Roman" w:cs="Times New Roman"/>
          <w:noProof/>
        </w:rPr>
        <w:t>,</w:t>
      </w:r>
      <w:r w:rsidR="00BD4356" w:rsidRPr="003C0D71">
        <w:rPr>
          <w:rFonts w:ascii="Times New Roman" w:eastAsia="Times New Roman" w:hAnsi="Times New Roman" w:cs="Times New Roman"/>
          <w:noProof/>
        </w:rPr>
        <w:t xml:space="preserve"> </w:t>
      </w:r>
      <w:r w:rsidR="000F73FB">
        <w:rPr>
          <w:rFonts w:ascii="Times New Roman" w:eastAsia="Times New Roman" w:hAnsi="Times New Roman" w:cs="Times New Roman"/>
          <w:noProof/>
        </w:rPr>
        <w:t>selected</w:t>
      </w:r>
      <w:r w:rsidR="000F73FB" w:rsidRPr="003C0D71">
        <w:rPr>
          <w:rFonts w:ascii="Times New Roman" w:eastAsia="Times New Roman" w:hAnsi="Times New Roman" w:cs="Times New Roman"/>
          <w:noProof/>
        </w:rPr>
        <w:t xml:space="preserve"> </w:t>
      </w:r>
      <w:r w:rsidR="000F73FB">
        <w:rPr>
          <w:rFonts w:ascii="Times New Roman" w:eastAsia="Times New Roman" w:hAnsi="Times New Roman" w:cs="Times New Roman"/>
          <w:noProof/>
        </w:rPr>
        <w:t xml:space="preserve">from </w:t>
      </w:r>
      <w:r w:rsidR="00BD4356" w:rsidRPr="003C0D71">
        <w:rPr>
          <w:rFonts w:ascii="Times New Roman" w:eastAsia="Times New Roman" w:hAnsi="Times New Roman" w:cs="Times New Roman"/>
          <w:noProof/>
        </w:rPr>
        <w:t xml:space="preserve">among </w:t>
      </w:r>
      <w:r>
        <w:rPr>
          <w:rFonts w:ascii="Times New Roman" w:eastAsia="Times New Roman" w:hAnsi="Times New Roman" w:cs="Times New Roman"/>
          <w:noProof/>
        </w:rPr>
        <w:t xml:space="preserve">the </w:t>
      </w:r>
      <w:r w:rsidR="00BD4356" w:rsidRPr="003C0D71">
        <w:rPr>
          <w:rFonts w:ascii="Times New Roman" w:eastAsia="Times New Roman" w:hAnsi="Times New Roman" w:cs="Times New Roman"/>
          <w:noProof/>
        </w:rPr>
        <w:t xml:space="preserve">competent authorities involved in a securitisation. In their view, the lead supervisor would coordinate the sharing of information between supervisors, particularly in a context where different supervisors are involved in checking compliance with the different requirements of the </w:t>
      </w:r>
      <w:r w:rsidR="00D74AF3" w:rsidRPr="003C0D71">
        <w:rPr>
          <w:rFonts w:ascii="Times New Roman" w:eastAsia="Times New Roman" w:hAnsi="Times New Roman" w:cs="Times New Roman"/>
          <w:noProof/>
        </w:rPr>
        <w:t>Securitisation Regulation</w:t>
      </w:r>
      <w:r w:rsidR="00BD4356" w:rsidRPr="003C0D71">
        <w:rPr>
          <w:rFonts w:ascii="Times New Roman" w:eastAsia="Times New Roman" w:hAnsi="Times New Roman" w:cs="Times New Roman"/>
          <w:noProof/>
        </w:rPr>
        <w:t>.</w:t>
      </w:r>
    </w:p>
    <w:p w14:paraId="78CDC614" w14:textId="6F008D50" w:rsidR="00BD4356" w:rsidRPr="003C0D71" w:rsidRDefault="000146AB" w:rsidP="000D4664">
      <w:pPr>
        <w:rPr>
          <w:rFonts w:ascii="Times New Roman" w:hAnsi="Times New Roman" w:cs="Times New Roman"/>
          <w:b/>
          <w:noProof/>
          <w:sz w:val="24"/>
        </w:rPr>
      </w:pPr>
      <w:r>
        <w:rPr>
          <w:rFonts w:ascii="Times New Roman" w:hAnsi="Times New Roman" w:cs="Times New Roman"/>
          <w:b/>
          <w:noProof/>
          <w:sz w:val="24"/>
        </w:rPr>
        <w:t>The Commission’s assessment</w:t>
      </w:r>
    </w:p>
    <w:p w14:paraId="0934E60E" w14:textId="45F3CD17" w:rsidR="00BD4356" w:rsidRPr="003C0D71" w:rsidRDefault="00647E9A" w:rsidP="00E14EB1">
      <w:pPr>
        <w:jc w:val="both"/>
        <w:rPr>
          <w:rFonts w:ascii="Times New Roman" w:eastAsia="Times New Roman" w:hAnsi="Times New Roman" w:cs="Times New Roman"/>
          <w:noProof/>
        </w:rPr>
      </w:pPr>
      <w:r w:rsidRPr="00647E9A">
        <w:rPr>
          <w:rFonts w:ascii="Times New Roman" w:eastAsia="Times New Roman" w:hAnsi="Times New Roman" w:cs="Times New Roman"/>
          <w:noProof/>
        </w:rPr>
        <w:t>The Commission acknowledges that competent authorities might need more time to gain sufficient experience</w:t>
      </w:r>
      <w:r>
        <w:rPr>
          <w:rFonts w:ascii="Times New Roman" w:eastAsia="Times New Roman" w:hAnsi="Times New Roman" w:cs="Times New Roman"/>
          <w:noProof/>
        </w:rPr>
        <w:t>,</w:t>
      </w:r>
      <w:r w:rsidRPr="003C0D71">
        <w:rPr>
          <w:rFonts w:ascii="Times New Roman" w:eastAsia="Times New Roman" w:hAnsi="Times New Roman" w:cs="Times New Roman"/>
          <w:noProof/>
        </w:rPr>
        <w:t xml:space="preserve"> due </w:t>
      </w:r>
      <w:r>
        <w:rPr>
          <w:rFonts w:ascii="Times New Roman" w:eastAsia="Times New Roman" w:hAnsi="Times New Roman" w:cs="Times New Roman"/>
          <w:noProof/>
        </w:rPr>
        <w:t xml:space="preserve">in part </w:t>
      </w:r>
      <w:r w:rsidRPr="003C0D71">
        <w:rPr>
          <w:rFonts w:ascii="Times New Roman" w:eastAsia="Times New Roman" w:hAnsi="Times New Roman" w:cs="Times New Roman"/>
          <w:noProof/>
        </w:rPr>
        <w:t xml:space="preserve">to the late adoption of some regulatory technical standards. </w:t>
      </w:r>
      <w:r>
        <w:rPr>
          <w:rFonts w:ascii="Times New Roman" w:eastAsia="Times New Roman" w:hAnsi="Times New Roman" w:cs="Times New Roman"/>
          <w:noProof/>
        </w:rPr>
        <w:t>That said, to date n</w:t>
      </w:r>
      <w:r w:rsidR="00BD4356" w:rsidRPr="003C0D71">
        <w:rPr>
          <w:rFonts w:ascii="Times New Roman" w:eastAsia="Times New Roman" w:hAnsi="Times New Roman" w:cs="Times New Roman"/>
          <w:noProof/>
        </w:rPr>
        <w:t>o major shortcomings in supervision have been reported</w:t>
      </w:r>
      <w:r w:rsidR="00B06CA7" w:rsidRPr="003C0D71">
        <w:rPr>
          <w:rFonts w:ascii="Times New Roman" w:eastAsia="Times New Roman" w:hAnsi="Times New Roman" w:cs="Times New Roman"/>
          <w:noProof/>
        </w:rPr>
        <w:t xml:space="preserve">, in particular </w:t>
      </w:r>
      <w:r w:rsidR="00D74AF3" w:rsidRPr="003C0D71">
        <w:rPr>
          <w:rFonts w:ascii="Times New Roman" w:eastAsia="Times New Roman" w:hAnsi="Times New Roman" w:cs="Times New Roman"/>
          <w:noProof/>
        </w:rPr>
        <w:t>no</w:t>
      </w:r>
      <w:r w:rsidR="00BD4356" w:rsidRPr="003C0D71">
        <w:rPr>
          <w:rFonts w:ascii="Times New Roman" w:eastAsia="Times New Roman" w:hAnsi="Times New Roman" w:cs="Times New Roman"/>
          <w:noProof/>
        </w:rPr>
        <w:t xml:space="preserve"> issues requiring changes in legislation. The Commission sees this as an indication of the</w:t>
      </w:r>
      <w:r w:rsidR="00D74AF3" w:rsidRPr="003C0D71">
        <w:rPr>
          <w:rFonts w:ascii="Times New Roman" w:eastAsia="Times New Roman" w:hAnsi="Times New Roman" w:cs="Times New Roman"/>
          <w:noProof/>
        </w:rPr>
        <w:t xml:space="preserve"> overall </w:t>
      </w:r>
      <w:r w:rsidR="00D74AF3" w:rsidRPr="008E035F">
        <w:rPr>
          <w:rFonts w:ascii="Times New Roman" w:eastAsia="Times New Roman" w:hAnsi="Times New Roman" w:cs="Times New Roman"/>
          <w:noProof/>
        </w:rPr>
        <w:t>appropriateness</w:t>
      </w:r>
      <w:r w:rsidR="00BD4356" w:rsidRPr="008E035F">
        <w:rPr>
          <w:rFonts w:ascii="Times New Roman" w:eastAsia="Times New Roman" w:hAnsi="Times New Roman" w:cs="Times New Roman"/>
          <w:noProof/>
        </w:rPr>
        <w:t xml:space="preserve"> of the supervisory framework. </w:t>
      </w:r>
    </w:p>
    <w:p w14:paraId="0301A4EC" w14:textId="6C814186" w:rsidR="00BD4356" w:rsidRPr="003C0D71" w:rsidRDefault="00BD4356" w:rsidP="00E14EB1">
      <w:pPr>
        <w:jc w:val="both"/>
        <w:rPr>
          <w:rFonts w:ascii="Times New Roman" w:eastAsia="Times New Roman" w:hAnsi="Times New Roman" w:cs="Times New Roman"/>
          <w:noProof/>
        </w:rPr>
      </w:pPr>
      <w:r w:rsidRPr="003C0D71">
        <w:rPr>
          <w:rFonts w:ascii="Times New Roman" w:eastAsia="Times New Roman" w:hAnsi="Times New Roman" w:cs="Times New Roman"/>
          <w:noProof/>
        </w:rPr>
        <w:t xml:space="preserve">However, at this stage </w:t>
      </w:r>
      <w:r w:rsidR="000F73FB">
        <w:rPr>
          <w:rFonts w:ascii="Times New Roman" w:eastAsia="Times New Roman" w:hAnsi="Times New Roman" w:cs="Times New Roman"/>
          <w:noProof/>
        </w:rPr>
        <w:t>a</w:t>
      </w:r>
      <w:r w:rsidRPr="003C0D71">
        <w:rPr>
          <w:rFonts w:ascii="Times New Roman" w:eastAsia="Times New Roman" w:hAnsi="Times New Roman" w:cs="Times New Roman"/>
          <w:noProof/>
        </w:rPr>
        <w:t xml:space="preserve"> few issues </w:t>
      </w:r>
      <w:r w:rsidR="000F73FB">
        <w:rPr>
          <w:rFonts w:ascii="Times New Roman" w:eastAsia="Times New Roman" w:hAnsi="Times New Roman" w:cs="Times New Roman"/>
          <w:noProof/>
        </w:rPr>
        <w:t xml:space="preserve">have been </w:t>
      </w:r>
      <w:r w:rsidR="00647E9A">
        <w:rPr>
          <w:rFonts w:ascii="Times New Roman" w:eastAsia="Times New Roman" w:hAnsi="Times New Roman" w:cs="Times New Roman"/>
          <w:noProof/>
        </w:rPr>
        <w:t>flagged</w:t>
      </w:r>
      <w:r w:rsidR="00647E9A" w:rsidRPr="003C0D71">
        <w:rPr>
          <w:rFonts w:ascii="Times New Roman" w:eastAsia="Times New Roman" w:hAnsi="Times New Roman" w:cs="Times New Roman"/>
          <w:noProof/>
        </w:rPr>
        <w:t xml:space="preserve"> </w:t>
      </w:r>
      <w:r w:rsidRPr="003C0D71">
        <w:rPr>
          <w:rFonts w:ascii="Times New Roman" w:eastAsia="Times New Roman" w:hAnsi="Times New Roman" w:cs="Times New Roman"/>
          <w:noProof/>
        </w:rPr>
        <w:t xml:space="preserve">where </w:t>
      </w:r>
      <w:r w:rsidR="000F73FB">
        <w:rPr>
          <w:rFonts w:ascii="Times New Roman" w:eastAsia="Times New Roman" w:hAnsi="Times New Roman" w:cs="Times New Roman"/>
          <w:noProof/>
        </w:rPr>
        <w:t>greater</w:t>
      </w:r>
      <w:r w:rsidR="000F73FB" w:rsidRPr="003C0D71">
        <w:rPr>
          <w:rFonts w:ascii="Times New Roman" w:eastAsia="Times New Roman" w:hAnsi="Times New Roman" w:cs="Times New Roman"/>
          <w:noProof/>
        </w:rPr>
        <w:t xml:space="preserve"> </w:t>
      </w:r>
      <w:r w:rsidRPr="003C0D71">
        <w:rPr>
          <w:rFonts w:ascii="Times New Roman" w:eastAsia="Times New Roman" w:hAnsi="Times New Roman" w:cs="Times New Roman"/>
          <w:noProof/>
        </w:rPr>
        <w:t xml:space="preserve">convergence and enhanced coordination </w:t>
      </w:r>
      <w:r w:rsidR="000F73FB">
        <w:rPr>
          <w:rFonts w:ascii="Times New Roman" w:eastAsia="Times New Roman" w:hAnsi="Times New Roman" w:cs="Times New Roman"/>
          <w:noProof/>
        </w:rPr>
        <w:t>between</w:t>
      </w:r>
      <w:r w:rsidR="000F73FB" w:rsidRPr="003C0D71">
        <w:rPr>
          <w:rFonts w:ascii="Times New Roman" w:eastAsia="Times New Roman" w:hAnsi="Times New Roman" w:cs="Times New Roman"/>
          <w:noProof/>
        </w:rPr>
        <w:t xml:space="preserve"> </w:t>
      </w:r>
      <w:r w:rsidRPr="003C0D71">
        <w:rPr>
          <w:rFonts w:ascii="Times New Roman" w:eastAsia="Times New Roman" w:hAnsi="Times New Roman" w:cs="Times New Roman"/>
          <w:noProof/>
        </w:rPr>
        <w:t xml:space="preserve">supervisors </w:t>
      </w:r>
      <w:r w:rsidR="00D74AF3" w:rsidRPr="003C0D71">
        <w:rPr>
          <w:rFonts w:ascii="Times New Roman" w:eastAsia="Times New Roman" w:hAnsi="Times New Roman" w:cs="Times New Roman"/>
          <w:noProof/>
        </w:rPr>
        <w:t>would be beneficial</w:t>
      </w:r>
      <w:r w:rsidRPr="003C0D71">
        <w:rPr>
          <w:rFonts w:ascii="Times New Roman" w:eastAsia="Times New Roman" w:hAnsi="Times New Roman" w:cs="Times New Roman"/>
          <w:noProof/>
        </w:rPr>
        <w:t>. The Commission consider</w:t>
      </w:r>
      <w:r w:rsidR="00D74AF3" w:rsidRPr="003C0D71">
        <w:rPr>
          <w:rFonts w:ascii="Times New Roman" w:eastAsia="Times New Roman" w:hAnsi="Times New Roman" w:cs="Times New Roman"/>
          <w:noProof/>
        </w:rPr>
        <w:t>s</w:t>
      </w:r>
      <w:r w:rsidRPr="003C0D71">
        <w:rPr>
          <w:rFonts w:ascii="Times New Roman" w:eastAsia="Times New Roman" w:hAnsi="Times New Roman" w:cs="Times New Roman"/>
          <w:noProof/>
        </w:rPr>
        <w:t xml:space="preserve"> that diverging supervisory practices and </w:t>
      </w:r>
      <w:r w:rsidR="00F4079A">
        <w:rPr>
          <w:rFonts w:ascii="Times New Roman" w:eastAsia="Times New Roman" w:hAnsi="Times New Roman" w:cs="Times New Roman"/>
          <w:noProof/>
        </w:rPr>
        <w:t xml:space="preserve">ensuing legal </w:t>
      </w:r>
      <w:r w:rsidRPr="003C0D71">
        <w:rPr>
          <w:rFonts w:ascii="Times New Roman" w:eastAsia="Times New Roman" w:hAnsi="Times New Roman" w:cs="Times New Roman"/>
          <w:noProof/>
        </w:rPr>
        <w:t>uncertainty</w:t>
      </w:r>
      <w:r w:rsidR="00D74AF3" w:rsidRPr="003C0D71">
        <w:rPr>
          <w:rFonts w:ascii="Times New Roman" w:eastAsia="Times New Roman" w:hAnsi="Times New Roman" w:cs="Times New Roman"/>
          <w:noProof/>
        </w:rPr>
        <w:t xml:space="preserve"> have the potential to</w:t>
      </w:r>
      <w:r w:rsidRPr="003C0D71">
        <w:rPr>
          <w:rFonts w:ascii="Times New Roman" w:eastAsia="Times New Roman" w:hAnsi="Times New Roman" w:cs="Times New Roman"/>
          <w:noProof/>
        </w:rPr>
        <w:t xml:space="preserve"> create an </w:t>
      </w:r>
      <w:r w:rsidRPr="008E035F">
        <w:rPr>
          <w:rFonts w:ascii="Times New Roman" w:eastAsia="Times New Roman" w:hAnsi="Times New Roman" w:cs="Times New Roman"/>
          <w:noProof/>
        </w:rPr>
        <w:t>unlevel</w:t>
      </w:r>
      <w:r w:rsidRPr="003C0D71">
        <w:rPr>
          <w:rFonts w:ascii="Times New Roman" w:eastAsia="Times New Roman" w:hAnsi="Times New Roman" w:cs="Times New Roman"/>
          <w:noProof/>
        </w:rPr>
        <w:t xml:space="preserve"> playing f</w:t>
      </w:r>
      <w:r w:rsidR="00D74AF3" w:rsidRPr="003C0D71">
        <w:rPr>
          <w:rFonts w:ascii="Times New Roman" w:eastAsia="Times New Roman" w:hAnsi="Times New Roman" w:cs="Times New Roman"/>
          <w:noProof/>
        </w:rPr>
        <w:t>i</w:t>
      </w:r>
      <w:r w:rsidRPr="003C0D71">
        <w:rPr>
          <w:rFonts w:ascii="Times New Roman" w:eastAsia="Times New Roman" w:hAnsi="Times New Roman" w:cs="Times New Roman"/>
          <w:noProof/>
        </w:rPr>
        <w:t>e</w:t>
      </w:r>
      <w:r w:rsidR="00C74CC5" w:rsidRPr="003C0D71">
        <w:rPr>
          <w:rFonts w:ascii="Times New Roman" w:eastAsia="Times New Roman" w:hAnsi="Times New Roman" w:cs="Times New Roman"/>
          <w:noProof/>
        </w:rPr>
        <w:t>l</w:t>
      </w:r>
      <w:r w:rsidRPr="003C0D71">
        <w:rPr>
          <w:rFonts w:ascii="Times New Roman" w:eastAsia="Times New Roman" w:hAnsi="Times New Roman" w:cs="Times New Roman"/>
          <w:noProof/>
        </w:rPr>
        <w:t xml:space="preserve">d and are harmful to the growth of the securitisation market. </w:t>
      </w:r>
      <w:r w:rsidR="00F4079A">
        <w:rPr>
          <w:rFonts w:ascii="Times New Roman" w:eastAsia="Times New Roman" w:hAnsi="Times New Roman" w:cs="Times New Roman"/>
          <w:noProof/>
        </w:rPr>
        <w:t>G</w:t>
      </w:r>
      <w:r w:rsidRPr="003C0D71">
        <w:rPr>
          <w:rFonts w:ascii="Times New Roman" w:eastAsia="Times New Roman" w:hAnsi="Times New Roman" w:cs="Times New Roman"/>
          <w:noProof/>
        </w:rPr>
        <w:t xml:space="preserve">uidance should be provided </w:t>
      </w:r>
      <w:r w:rsidR="00F229C1" w:rsidRPr="003C0D71">
        <w:rPr>
          <w:rFonts w:ascii="Times New Roman" w:eastAsia="Times New Roman" w:hAnsi="Times New Roman" w:cs="Times New Roman"/>
          <w:noProof/>
        </w:rPr>
        <w:t xml:space="preserve">to </w:t>
      </w:r>
      <w:r w:rsidR="00C75810" w:rsidRPr="003C0D71">
        <w:rPr>
          <w:rFonts w:ascii="Times New Roman" w:eastAsia="Times New Roman" w:hAnsi="Times New Roman" w:cs="Times New Roman"/>
          <w:noProof/>
        </w:rPr>
        <w:t>prevent differences in the interpretation of the Securitisation Regulation and in the involvement of competent authorities in the supervisory process</w:t>
      </w:r>
      <w:r w:rsidR="00D21F8E" w:rsidRPr="003C0D71">
        <w:rPr>
          <w:rFonts w:ascii="Times New Roman" w:eastAsia="Times New Roman" w:hAnsi="Times New Roman" w:cs="Times New Roman"/>
          <w:noProof/>
        </w:rPr>
        <w:t>. In particular</w:t>
      </w:r>
      <w:r w:rsidR="00A23D4F" w:rsidRPr="003C0D71">
        <w:rPr>
          <w:rFonts w:ascii="Times New Roman" w:eastAsia="Times New Roman" w:hAnsi="Times New Roman" w:cs="Times New Roman"/>
          <w:noProof/>
        </w:rPr>
        <w:t>,</w:t>
      </w:r>
      <w:r w:rsidR="00D21F8E" w:rsidRPr="003C0D71">
        <w:rPr>
          <w:rFonts w:ascii="Times New Roman" w:eastAsia="Times New Roman" w:hAnsi="Times New Roman" w:cs="Times New Roman"/>
          <w:noProof/>
        </w:rPr>
        <w:t xml:space="preserve"> a </w:t>
      </w:r>
      <w:r w:rsidR="000F73FB">
        <w:rPr>
          <w:rFonts w:ascii="Times New Roman" w:eastAsia="Times New Roman" w:hAnsi="Times New Roman" w:cs="Times New Roman"/>
          <w:noProof/>
        </w:rPr>
        <w:t>more</w:t>
      </w:r>
      <w:r w:rsidR="000F73FB" w:rsidRPr="003C0D71">
        <w:rPr>
          <w:rFonts w:ascii="Times New Roman" w:eastAsia="Times New Roman" w:hAnsi="Times New Roman" w:cs="Times New Roman"/>
          <w:noProof/>
        </w:rPr>
        <w:t xml:space="preserve"> </w:t>
      </w:r>
      <w:r w:rsidR="00D21F8E" w:rsidRPr="003C0D71">
        <w:rPr>
          <w:rFonts w:ascii="Times New Roman" w:eastAsia="Times New Roman" w:hAnsi="Times New Roman" w:cs="Times New Roman"/>
          <w:noProof/>
        </w:rPr>
        <w:t xml:space="preserve">harmonised approach </w:t>
      </w:r>
      <w:r w:rsidR="000F73FB">
        <w:rPr>
          <w:rFonts w:ascii="Times New Roman" w:eastAsia="Times New Roman" w:hAnsi="Times New Roman" w:cs="Times New Roman"/>
          <w:noProof/>
        </w:rPr>
        <w:t>between</w:t>
      </w:r>
      <w:r w:rsidR="00D21F8E" w:rsidRPr="003C0D71">
        <w:rPr>
          <w:rFonts w:ascii="Times New Roman" w:eastAsia="Times New Roman" w:hAnsi="Times New Roman" w:cs="Times New Roman"/>
          <w:noProof/>
        </w:rPr>
        <w:t xml:space="preserve"> competent authorities </w:t>
      </w:r>
      <w:r w:rsidR="000F73FB">
        <w:rPr>
          <w:rFonts w:ascii="Times New Roman" w:eastAsia="Times New Roman" w:hAnsi="Times New Roman" w:cs="Times New Roman"/>
          <w:noProof/>
        </w:rPr>
        <w:t>to</w:t>
      </w:r>
      <w:r w:rsidR="000F73FB" w:rsidRPr="003C0D71">
        <w:rPr>
          <w:rFonts w:ascii="Times New Roman" w:eastAsia="Times New Roman" w:hAnsi="Times New Roman" w:cs="Times New Roman"/>
          <w:noProof/>
        </w:rPr>
        <w:t xml:space="preserve"> </w:t>
      </w:r>
      <w:r w:rsidR="00D21F8E" w:rsidRPr="003C0D71">
        <w:rPr>
          <w:rFonts w:ascii="Times New Roman" w:eastAsia="Times New Roman" w:hAnsi="Times New Roman" w:cs="Times New Roman"/>
          <w:noProof/>
        </w:rPr>
        <w:t>monitoring compliance of the STS requirements should be ensured.</w:t>
      </w:r>
      <w:r w:rsidR="00C75810" w:rsidRPr="003C0D71">
        <w:rPr>
          <w:rFonts w:ascii="Times New Roman" w:eastAsia="Times New Roman" w:hAnsi="Times New Roman" w:cs="Times New Roman"/>
          <w:noProof/>
        </w:rPr>
        <w:t xml:space="preserve"> </w:t>
      </w:r>
      <w:r w:rsidRPr="003C0D71">
        <w:rPr>
          <w:rFonts w:ascii="Times New Roman" w:eastAsia="Times New Roman" w:hAnsi="Times New Roman" w:cs="Times New Roman"/>
          <w:noProof/>
        </w:rPr>
        <w:t xml:space="preserve">Such guidance could be provided by the Joint Committee to </w:t>
      </w:r>
      <w:r w:rsidR="000F73FB" w:rsidRPr="003C0D71">
        <w:rPr>
          <w:rFonts w:ascii="Times New Roman" w:eastAsia="Times New Roman" w:hAnsi="Times New Roman" w:cs="Times New Roman"/>
          <w:noProof/>
        </w:rPr>
        <w:t xml:space="preserve">further </w:t>
      </w:r>
      <w:r w:rsidRPr="003C0D71">
        <w:rPr>
          <w:rFonts w:ascii="Times New Roman" w:eastAsia="Times New Roman" w:hAnsi="Times New Roman" w:cs="Times New Roman"/>
          <w:noProof/>
        </w:rPr>
        <w:t xml:space="preserve">develop </w:t>
      </w:r>
      <w:r w:rsidR="00D74AF3" w:rsidRPr="003C0D71">
        <w:rPr>
          <w:rFonts w:ascii="Times New Roman" w:eastAsia="Times New Roman" w:hAnsi="Times New Roman" w:cs="Times New Roman"/>
          <w:noProof/>
        </w:rPr>
        <w:t>a</w:t>
      </w:r>
      <w:r w:rsidRPr="003C0D71">
        <w:rPr>
          <w:rFonts w:ascii="Times New Roman" w:eastAsia="Times New Roman" w:hAnsi="Times New Roman" w:cs="Times New Roman"/>
          <w:noProof/>
        </w:rPr>
        <w:t xml:space="preserve"> common understanding</w:t>
      </w:r>
      <w:r w:rsidR="00D74AF3" w:rsidRPr="003C0D71">
        <w:rPr>
          <w:rFonts w:ascii="Times New Roman" w:eastAsia="Times New Roman" w:hAnsi="Times New Roman" w:cs="Times New Roman"/>
          <w:noProof/>
        </w:rPr>
        <w:t xml:space="preserve"> of the rules,</w:t>
      </w:r>
      <w:r w:rsidRPr="003C0D71">
        <w:rPr>
          <w:rFonts w:ascii="Times New Roman" w:eastAsia="Times New Roman" w:hAnsi="Times New Roman" w:cs="Times New Roman"/>
          <w:noProof/>
        </w:rPr>
        <w:t xml:space="preserve"> best practices and </w:t>
      </w:r>
      <w:r w:rsidR="00D74AF3" w:rsidRPr="003C0D71">
        <w:rPr>
          <w:rFonts w:ascii="Times New Roman" w:eastAsia="Times New Roman" w:hAnsi="Times New Roman" w:cs="Times New Roman"/>
          <w:noProof/>
        </w:rPr>
        <w:t xml:space="preserve">the </w:t>
      </w:r>
      <w:r w:rsidRPr="003C0D71">
        <w:rPr>
          <w:rFonts w:ascii="Times New Roman" w:eastAsia="Times New Roman" w:hAnsi="Times New Roman" w:cs="Times New Roman"/>
          <w:noProof/>
        </w:rPr>
        <w:t>supervisory tools to ensure a common supervisory approach at EU level.</w:t>
      </w:r>
    </w:p>
    <w:p w14:paraId="71209ADE" w14:textId="429565F4" w:rsidR="00970C63" w:rsidRPr="003C0D71" w:rsidRDefault="00BD4356" w:rsidP="00E14EB1">
      <w:pPr>
        <w:jc w:val="both"/>
        <w:rPr>
          <w:rFonts w:ascii="Times New Roman" w:eastAsia="Times New Roman" w:hAnsi="Times New Roman" w:cs="Times New Roman"/>
          <w:noProof/>
        </w:rPr>
      </w:pPr>
      <w:r w:rsidRPr="003C0D71">
        <w:rPr>
          <w:rFonts w:ascii="Times New Roman" w:eastAsia="Times New Roman" w:hAnsi="Times New Roman" w:cs="Times New Roman"/>
          <w:noProof/>
        </w:rPr>
        <w:t xml:space="preserve">The Commission is aware that the securitisation market is not equally developed across the EU and </w:t>
      </w:r>
      <w:r w:rsidR="000F73FB">
        <w:rPr>
          <w:rFonts w:ascii="Times New Roman" w:eastAsia="Times New Roman" w:hAnsi="Times New Roman" w:cs="Times New Roman"/>
          <w:noProof/>
        </w:rPr>
        <w:t xml:space="preserve">that </w:t>
      </w:r>
      <w:r w:rsidRPr="003C0D71">
        <w:rPr>
          <w:rFonts w:ascii="Times New Roman" w:eastAsia="Times New Roman" w:hAnsi="Times New Roman" w:cs="Times New Roman"/>
          <w:noProof/>
        </w:rPr>
        <w:t xml:space="preserve">this has an impact on the degree of experience </w:t>
      </w:r>
      <w:r w:rsidR="000F73FB">
        <w:rPr>
          <w:rFonts w:ascii="Times New Roman" w:eastAsia="Times New Roman" w:hAnsi="Times New Roman" w:cs="Times New Roman"/>
          <w:noProof/>
        </w:rPr>
        <w:t xml:space="preserve">of the </w:t>
      </w:r>
      <w:r w:rsidR="00D74AF3" w:rsidRPr="003C0D71">
        <w:rPr>
          <w:rFonts w:ascii="Times New Roman" w:eastAsia="Times New Roman" w:hAnsi="Times New Roman" w:cs="Times New Roman"/>
          <w:noProof/>
        </w:rPr>
        <w:t xml:space="preserve">different </w:t>
      </w:r>
      <w:r w:rsidRPr="003C0D71">
        <w:rPr>
          <w:rFonts w:ascii="Times New Roman" w:eastAsia="Times New Roman" w:hAnsi="Times New Roman" w:cs="Times New Roman"/>
          <w:noProof/>
        </w:rPr>
        <w:t xml:space="preserve">supervisors. </w:t>
      </w:r>
      <w:r w:rsidR="00970C63" w:rsidRPr="003C0D71">
        <w:rPr>
          <w:rFonts w:ascii="Times New Roman" w:eastAsia="Times New Roman" w:hAnsi="Times New Roman" w:cs="Times New Roman"/>
          <w:noProof/>
        </w:rPr>
        <w:t>Hence</w:t>
      </w:r>
      <w:r w:rsidRPr="003C0D71">
        <w:rPr>
          <w:rFonts w:ascii="Times New Roman" w:eastAsia="Times New Roman" w:hAnsi="Times New Roman" w:cs="Times New Roman"/>
          <w:noProof/>
        </w:rPr>
        <w:t xml:space="preserve">, the Commission agrees with the recommendation in the Joint Committee </w:t>
      </w:r>
      <w:r w:rsidR="00CC322D">
        <w:rPr>
          <w:rFonts w:ascii="Times New Roman" w:eastAsia="Times New Roman" w:hAnsi="Times New Roman" w:cs="Times New Roman"/>
          <w:noProof/>
        </w:rPr>
        <w:t>r</w:t>
      </w:r>
      <w:r w:rsidRPr="003C0D71">
        <w:rPr>
          <w:rFonts w:ascii="Times New Roman" w:eastAsia="Times New Roman" w:hAnsi="Times New Roman" w:cs="Times New Roman"/>
          <w:noProof/>
        </w:rPr>
        <w:t xml:space="preserve">eport to develop a common EU </w:t>
      </w:r>
      <w:r w:rsidR="00CC322D">
        <w:rPr>
          <w:rFonts w:ascii="Times New Roman" w:eastAsia="Times New Roman" w:hAnsi="Times New Roman" w:cs="Times New Roman"/>
          <w:noProof/>
        </w:rPr>
        <w:t xml:space="preserve">guide on </w:t>
      </w:r>
      <w:r w:rsidRPr="003C0D71">
        <w:rPr>
          <w:rFonts w:ascii="Times New Roman" w:eastAsia="Times New Roman" w:hAnsi="Times New Roman" w:cs="Times New Roman"/>
          <w:noProof/>
        </w:rPr>
        <w:t xml:space="preserve">best practices for national supervisors. </w:t>
      </w:r>
    </w:p>
    <w:p w14:paraId="0AE22C24" w14:textId="4CC6A3E5" w:rsidR="00BD4356" w:rsidRPr="003C0D71" w:rsidRDefault="00970C63" w:rsidP="00E14EB1">
      <w:pPr>
        <w:jc w:val="both"/>
        <w:rPr>
          <w:rFonts w:ascii="Times New Roman" w:eastAsia="Times New Roman" w:hAnsi="Times New Roman" w:cs="Times New Roman"/>
          <w:noProof/>
        </w:rPr>
      </w:pPr>
      <w:r w:rsidRPr="003C0D71">
        <w:rPr>
          <w:rFonts w:ascii="Times New Roman" w:eastAsia="Times New Roman" w:hAnsi="Times New Roman" w:cs="Times New Roman"/>
          <w:noProof/>
        </w:rPr>
        <w:t>P</w:t>
      </w:r>
      <w:r w:rsidR="00706712" w:rsidRPr="003C0D71">
        <w:rPr>
          <w:rFonts w:ascii="Times New Roman" w:eastAsia="Times New Roman" w:hAnsi="Times New Roman" w:cs="Times New Roman"/>
          <w:noProof/>
        </w:rPr>
        <w:t xml:space="preserve">eer reviews </w:t>
      </w:r>
      <w:r w:rsidRPr="003C0D71">
        <w:rPr>
          <w:rFonts w:ascii="Times New Roman" w:eastAsia="Times New Roman" w:hAnsi="Times New Roman" w:cs="Times New Roman"/>
          <w:noProof/>
        </w:rPr>
        <w:t>are another</w:t>
      </w:r>
      <w:r w:rsidR="00706712" w:rsidRPr="003C0D71">
        <w:rPr>
          <w:rFonts w:ascii="Times New Roman" w:eastAsia="Times New Roman" w:hAnsi="Times New Roman" w:cs="Times New Roman"/>
          <w:noProof/>
        </w:rPr>
        <w:t xml:space="preserve"> important and effective tool </w:t>
      </w:r>
      <w:r w:rsidR="00CC322D">
        <w:rPr>
          <w:rFonts w:ascii="Times New Roman" w:eastAsia="Times New Roman" w:hAnsi="Times New Roman" w:cs="Times New Roman"/>
          <w:noProof/>
        </w:rPr>
        <w:t xml:space="preserve">to promote convergence </w:t>
      </w:r>
      <w:r w:rsidR="00706712" w:rsidRPr="003C0D71">
        <w:rPr>
          <w:rFonts w:ascii="Times New Roman" w:eastAsia="Times New Roman" w:hAnsi="Times New Roman" w:cs="Times New Roman"/>
          <w:noProof/>
        </w:rPr>
        <w:t xml:space="preserve">and could provide meaningful insights </w:t>
      </w:r>
      <w:r w:rsidR="00CC322D">
        <w:rPr>
          <w:rFonts w:ascii="Times New Roman" w:eastAsia="Times New Roman" w:hAnsi="Times New Roman" w:cs="Times New Roman"/>
          <w:noProof/>
        </w:rPr>
        <w:t>on</w:t>
      </w:r>
      <w:r w:rsidR="00CC322D" w:rsidRPr="003C0D71">
        <w:rPr>
          <w:rFonts w:ascii="Times New Roman" w:eastAsia="Times New Roman" w:hAnsi="Times New Roman" w:cs="Times New Roman"/>
          <w:noProof/>
        </w:rPr>
        <w:t xml:space="preserve"> </w:t>
      </w:r>
      <w:r w:rsidR="00706712" w:rsidRPr="003C0D71">
        <w:rPr>
          <w:rFonts w:ascii="Times New Roman" w:eastAsia="Times New Roman" w:hAnsi="Times New Roman" w:cs="Times New Roman"/>
          <w:noProof/>
        </w:rPr>
        <w:t xml:space="preserve">the different practices among competent authorities in the STS criteria reported by stakeholders. </w:t>
      </w:r>
      <w:r w:rsidRPr="003C0D71">
        <w:rPr>
          <w:rFonts w:ascii="Times New Roman" w:eastAsia="Times New Roman" w:hAnsi="Times New Roman" w:cs="Times New Roman"/>
          <w:noProof/>
        </w:rPr>
        <w:t>Therefore, t</w:t>
      </w:r>
      <w:r w:rsidR="003D5FE3" w:rsidRPr="003C0D71">
        <w:rPr>
          <w:rFonts w:ascii="Times New Roman" w:eastAsia="Times New Roman" w:hAnsi="Times New Roman" w:cs="Times New Roman"/>
          <w:noProof/>
        </w:rPr>
        <w:t xml:space="preserve">he Commission regrets that no peer reviews on the implementation of the STS criteria have been carried out or are planned in the near future despite the obligation in Article 36(7) </w:t>
      </w:r>
      <w:r w:rsidR="004A6691">
        <w:rPr>
          <w:rFonts w:ascii="Times New Roman" w:eastAsia="Times New Roman" w:hAnsi="Times New Roman" w:cs="Times New Roman"/>
          <w:noProof/>
        </w:rPr>
        <w:t xml:space="preserve">of the </w:t>
      </w:r>
      <w:r w:rsidR="008C4E2E" w:rsidRPr="003C0D71">
        <w:rPr>
          <w:rFonts w:ascii="Times New Roman" w:eastAsia="Times New Roman" w:hAnsi="Times New Roman" w:cs="Times New Roman"/>
          <w:noProof/>
        </w:rPr>
        <w:t>Securitisation Regulation</w:t>
      </w:r>
      <w:r w:rsidR="003D5FE3" w:rsidRPr="003C0D71">
        <w:rPr>
          <w:rFonts w:ascii="Times New Roman" w:eastAsia="Times New Roman" w:hAnsi="Times New Roman" w:cs="Times New Roman"/>
          <w:noProof/>
        </w:rPr>
        <w:t xml:space="preserve">. </w:t>
      </w:r>
      <w:r w:rsidR="00FA34EC" w:rsidRPr="00622518">
        <w:rPr>
          <w:rFonts w:ascii="Times New Roman" w:eastAsia="Times New Roman" w:hAnsi="Times New Roman" w:cs="Times New Roman"/>
          <w:noProof/>
        </w:rPr>
        <w:t>T</w:t>
      </w:r>
      <w:r w:rsidR="00BD4356" w:rsidRPr="00622518">
        <w:rPr>
          <w:rFonts w:ascii="Times New Roman" w:eastAsia="Times New Roman" w:hAnsi="Times New Roman" w:cs="Times New Roman"/>
          <w:noProof/>
        </w:rPr>
        <w:t>he Q</w:t>
      </w:r>
      <w:r w:rsidR="003D2C2D" w:rsidRPr="00622518">
        <w:rPr>
          <w:rFonts w:ascii="Times New Roman" w:eastAsia="Times New Roman" w:hAnsi="Times New Roman" w:cs="Times New Roman"/>
          <w:noProof/>
        </w:rPr>
        <w:t> </w:t>
      </w:r>
      <w:r w:rsidR="00BD4356" w:rsidRPr="00622518">
        <w:rPr>
          <w:rFonts w:ascii="Times New Roman" w:eastAsia="Times New Roman" w:hAnsi="Times New Roman" w:cs="Times New Roman"/>
          <w:noProof/>
        </w:rPr>
        <w:t>&amp;</w:t>
      </w:r>
      <w:r w:rsidR="003D2C2D" w:rsidRPr="00622518">
        <w:rPr>
          <w:noProof/>
        </w:rPr>
        <w:t> </w:t>
      </w:r>
      <w:r w:rsidR="00BD4356" w:rsidRPr="00622518">
        <w:rPr>
          <w:rFonts w:ascii="Times New Roman" w:eastAsia="Times New Roman" w:hAnsi="Times New Roman" w:cs="Times New Roman"/>
          <w:noProof/>
        </w:rPr>
        <w:t>A process prove</w:t>
      </w:r>
      <w:r w:rsidR="00FA34EC" w:rsidRPr="00622518">
        <w:rPr>
          <w:rFonts w:ascii="Times New Roman" w:eastAsia="Times New Roman" w:hAnsi="Times New Roman" w:cs="Times New Roman"/>
          <w:noProof/>
        </w:rPr>
        <w:t>d</w:t>
      </w:r>
      <w:r w:rsidR="00BD4356" w:rsidRPr="00622518">
        <w:rPr>
          <w:rFonts w:ascii="Times New Roman" w:eastAsia="Times New Roman" w:hAnsi="Times New Roman" w:cs="Times New Roman"/>
          <w:noProof/>
        </w:rPr>
        <w:t xml:space="preserve"> an effective tool to ensure convergence and a swift treatment of the questions raised</w:t>
      </w:r>
      <w:r w:rsidR="00FA34EC" w:rsidRPr="00622518">
        <w:rPr>
          <w:rFonts w:ascii="Times New Roman" w:eastAsia="Times New Roman" w:hAnsi="Times New Roman" w:cs="Times New Roman"/>
          <w:noProof/>
        </w:rPr>
        <w:t xml:space="preserve"> should be ensured</w:t>
      </w:r>
      <w:r w:rsidR="00BD4356" w:rsidRPr="00622518">
        <w:rPr>
          <w:rFonts w:ascii="Times New Roman" w:eastAsia="Times New Roman" w:hAnsi="Times New Roman" w:cs="Times New Roman"/>
          <w:noProof/>
        </w:rPr>
        <w:t>.</w:t>
      </w:r>
      <w:r w:rsidR="00BD4356" w:rsidRPr="003C0D71">
        <w:rPr>
          <w:rFonts w:ascii="Times New Roman" w:eastAsia="Times New Roman" w:hAnsi="Times New Roman" w:cs="Times New Roman"/>
          <w:noProof/>
        </w:rPr>
        <w:t xml:space="preserve"> </w:t>
      </w:r>
    </w:p>
    <w:p w14:paraId="21C42471" w14:textId="0E4A43C3" w:rsidR="00BD4356" w:rsidRPr="003C0D71" w:rsidRDefault="00FA34EC" w:rsidP="00E14EB1">
      <w:pPr>
        <w:jc w:val="both"/>
        <w:rPr>
          <w:rFonts w:ascii="Times New Roman" w:eastAsia="Times New Roman" w:hAnsi="Times New Roman" w:cs="Times New Roman"/>
          <w:noProof/>
        </w:rPr>
      </w:pPr>
      <w:r>
        <w:rPr>
          <w:rFonts w:ascii="Times New Roman" w:eastAsia="Times New Roman" w:hAnsi="Times New Roman" w:cs="Times New Roman"/>
          <w:noProof/>
        </w:rPr>
        <w:t>A</w:t>
      </w:r>
      <w:r w:rsidR="00BD4356" w:rsidRPr="003C0D71">
        <w:rPr>
          <w:rFonts w:ascii="Times New Roman" w:eastAsia="Times New Roman" w:hAnsi="Times New Roman" w:cs="Times New Roman"/>
          <w:noProof/>
        </w:rPr>
        <w:t xml:space="preserve">s also pointed out by the Joint Committee </w:t>
      </w:r>
      <w:r w:rsidR="00824DF8" w:rsidRPr="003C0D71">
        <w:rPr>
          <w:rFonts w:ascii="Times New Roman" w:eastAsia="Times New Roman" w:hAnsi="Times New Roman" w:cs="Times New Roman"/>
          <w:noProof/>
        </w:rPr>
        <w:t>R</w:t>
      </w:r>
      <w:r w:rsidR="00BD4356" w:rsidRPr="003C0D71">
        <w:rPr>
          <w:rFonts w:ascii="Times New Roman" w:eastAsia="Times New Roman" w:hAnsi="Times New Roman" w:cs="Times New Roman"/>
          <w:noProof/>
        </w:rPr>
        <w:t xml:space="preserve">eport </w:t>
      </w:r>
      <w:r w:rsidR="000A06C6">
        <w:rPr>
          <w:rFonts w:ascii="Times New Roman" w:eastAsia="Times New Roman" w:hAnsi="Times New Roman" w:cs="Times New Roman"/>
          <w:noProof/>
        </w:rPr>
        <w:t>on</w:t>
      </w:r>
      <w:r w:rsidR="000A06C6" w:rsidRPr="003C0D71">
        <w:rPr>
          <w:rFonts w:ascii="Times New Roman" w:eastAsia="Times New Roman" w:hAnsi="Times New Roman" w:cs="Times New Roman"/>
          <w:noProof/>
        </w:rPr>
        <w:t xml:space="preserve"> </w:t>
      </w:r>
      <w:r w:rsidR="00BD4356" w:rsidRPr="003C0D71">
        <w:rPr>
          <w:rFonts w:ascii="Times New Roman" w:eastAsia="Times New Roman" w:hAnsi="Times New Roman" w:cs="Times New Roman"/>
          <w:noProof/>
        </w:rPr>
        <w:t xml:space="preserve">the STS requirements, fragmentation of supervisory responsibility </w:t>
      </w:r>
      <w:r w:rsidR="00970C63" w:rsidRPr="003C0D71">
        <w:rPr>
          <w:rFonts w:ascii="Times New Roman" w:eastAsia="Times New Roman" w:hAnsi="Times New Roman" w:cs="Times New Roman"/>
          <w:noProof/>
        </w:rPr>
        <w:t xml:space="preserve">to a certain degree </w:t>
      </w:r>
      <w:r w:rsidR="00BD4356" w:rsidRPr="003C0D71">
        <w:rPr>
          <w:rFonts w:ascii="Times New Roman" w:eastAsia="Times New Roman" w:hAnsi="Times New Roman" w:cs="Times New Roman"/>
          <w:noProof/>
        </w:rPr>
        <w:t xml:space="preserve">creates challenges </w:t>
      </w:r>
      <w:r w:rsidR="00601595">
        <w:rPr>
          <w:rFonts w:ascii="Times New Roman" w:eastAsia="Times New Roman" w:hAnsi="Times New Roman" w:cs="Times New Roman"/>
          <w:noProof/>
        </w:rPr>
        <w:t>to</w:t>
      </w:r>
      <w:r w:rsidR="00601595" w:rsidRPr="003C0D71">
        <w:rPr>
          <w:rFonts w:ascii="Times New Roman" w:eastAsia="Times New Roman" w:hAnsi="Times New Roman" w:cs="Times New Roman"/>
          <w:noProof/>
        </w:rPr>
        <w:t xml:space="preserve"> </w:t>
      </w:r>
      <w:r w:rsidR="00BD4356" w:rsidRPr="003C0D71">
        <w:rPr>
          <w:rFonts w:ascii="Times New Roman" w:eastAsia="Times New Roman" w:hAnsi="Times New Roman" w:cs="Times New Roman"/>
          <w:noProof/>
        </w:rPr>
        <w:t xml:space="preserve">building </w:t>
      </w:r>
      <w:r w:rsidR="00970C63" w:rsidRPr="003C0D71">
        <w:rPr>
          <w:rFonts w:ascii="Times New Roman" w:eastAsia="Times New Roman" w:hAnsi="Times New Roman" w:cs="Times New Roman"/>
          <w:noProof/>
        </w:rPr>
        <w:t xml:space="preserve">up supervisory </w:t>
      </w:r>
      <w:r w:rsidR="00BD4356" w:rsidRPr="003C0D71">
        <w:rPr>
          <w:rFonts w:ascii="Times New Roman" w:eastAsia="Times New Roman" w:hAnsi="Times New Roman" w:cs="Times New Roman"/>
          <w:noProof/>
        </w:rPr>
        <w:t>expertise and experience. In this respect, in the long run, the Commission see</w:t>
      </w:r>
      <w:r w:rsidR="00970C63" w:rsidRPr="003C0D71">
        <w:rPr>
          <w:rFonts w:ascii="Times New Roman" w:eastAsia="Times New Roman" w:hAnsi="Times New Roman" w:cs="Times New Roman"/>
          <w:noProof/>
        </w:rPr>
        <w:t>s</w:t>
      </w:r>
      <w:r w:rsidR="00BD4356" w:rsidRPr="003C0D71">
        <w:rPr>
          <w:rFonts w:ascii="Times New Roman" w:eastAsia="Times New Roman" w:hAnsi="Times New Roman" w:cs="Times New Roman"/>
          <w:noProof/>
        </w:rPr>
        <w:t xml:space="preserve"> merit in </w:t>
      </w:r>
      <w:r w:rsidR="00970C63" w:rsidRPr="003C0D71">
        <w:rPr>
          <w:rFonts w:ascii="Times New Roman" w:eastAsia="Times New Roman" w:hAnsi="Times New Roman" w:cs="Times New Roman"/>
          <w:noProof/>
        </w:rPr>
        <w:t xml:space="preserve">thoroughly </w:t>
      </w:r>
      <w:r w:rsidR="00BD4356" w:rsidRPr="003C0D71">
        <w:rPr>
          <w:rFonts w:ascii="Times New Roman" w:eastAsia="Times New Roman" w:hAnsi="Times New Roman" w:cs="Times New Roman"/>
          <w:noProof/>
        </w:rPr>
        <w:t>explor</w:t>
      </w:r>
      <w:r w:rsidR="00970C63" w:rsidRPr="003C0D71">
        <w:rPr>
          <w:rFonts w:ascii="Times New Roman" w:eastAsia="Times New Roman" w:hAnsi="Times New Roman" w:cs="Times New Roman"/>
          <w:noProof/>
        </w:rPr>
        <w:t>ing</w:t>
      </w:r>
      <w:r w:rsidR="00BD4356" w:rsidRPr="003C0D71">
        <w:rPr>
          <w:rFonts w:ascii="Times New Roman" w:eastAsia="Times New Roman" w:hAnsi="Times New Roman" w:cs="Times New Roman"/>
          <w:noProof/>
        </w:rPr>
        <w:t xml:space="preserve"> the feasibility of </w:t>
      </w:r>
      <w:r w:rsidR="00805A04" w:rsidRPr="003A6BC3">
        <w:rPr>
          <w:rFonts w:ascii="Times New Roman" w:eastAsia="Times New Roman" w:hAnsi="Times New Roman" w:cs="Times New Roman"/>
          <w:noProof/>
        </w:rPr>
        <w:t>having</w:t>
      </w:r>
      <w:r w:rsidR="00BD4356" w:rsidRPr="003C0D71">
        <w:rPr>
          <w:rFonts w:ascii="Times New Roman" w:eastAsia="Times New Roman" w:hAnsi="Times New Roman" w:cs="Times New Roman"/>
          <w:noProof/>
        </w:rPr>
        <w:t xml:space="preserve"> a lead supervisor.</w:t>
      </w:r>
      <w:r w:rsidR="00A610C4" w:rsidRPr="003C0D71">
        <w:rPr>
          <w:rFonts w:ascii="Times New Roman" w:eastAsia="Times New Roman" w:hAnsi="Times New Roman" w:cs="Times New Roman"/>
          <w:noProof/>
        </w:rPr>
        <w:t xml:space="preserve"> </w:t>
      </w:r>
      <w:r w:rsidR="00601595">
        <w:rPr>
          <w:rFonts w:ascii="Times New Roman" w:eastAsia="Times New Roman" w:hAnsi="Times New Roman" w:cs="Times New Roman"/>
          <w:noProof/>
        </w:rPr>
        <w:t>This</w:t>
      </w:r>
      <w:r w:rsidR="00601595" w:rsidRPr="003C0D71">
        <w:rPr>
          <w:rFonts w:ascii="Times New Roman" w:eastAsia="Times New Roman" w:hAnsi="Times New Roman" w:cs="Times New Roman"/>
          <w:noProof/>
        </w:rPr>
        <w:t xml:space="preserve"> </w:t>
      </w:r>
      <w:r w:rsidR="00A610C4" w:rsidRPr="003C0D71">
        <w:rPr>
          <w:rFonts w:ascii="Times New Roman" w:eastAsia="Times New Roman" w:hAnsi="Times New Roman" w:cs="Times New Roman"/>
          <w:noProof/>
        </w:rPr>
        <w:t xml:space="preserve">assessment </w:t>
      </w:r>
      <w:r w:rsidR="00970C63" w:rsidRPr="003C0D71">
        <w:rPr>
          <w:rFonts w:ascii="Times New Roman" w:eastAsia="Times New Roman" w:hAnsi="Times New Roman" w:cs="Times New Roman"/>
          <w:noProof/>
        </w:rPr>
        <w:t xml:space="preserve">should </w:t>
      </w:r>
      <w:r w:rsidR="00A610C4" w:rsidRPr="003C0D71">
        <w:rPr>
          <w:rFonts w:ascii="Times New Roman" w:eastAsia="Times New Roman" w:hAnsi="Times New Roman" w:cs="Times New Roman"/>
          <w:noProof/>
        </w:rPr>
        <w:t xml:space="preserve">also reflect on the most appropriate tool to </w:t>
      </w:r>
      <w:r w:rsidR="00FF0B83">
        <w:rPr>
          <w:rFonts w:ascii="Times New Roman" w:eastAsia="Times New Roman" w:hAnsi="Times New Roman" w:cs="Times New Roman"/>
          <w:noProof/>
        </w:rPr>
        <w:t>take this forward</w:t>
      </w:r>
      <w:r w:rsidR="00EE5635" w:rsidRPr="003C0D71">
        <w:rPr>
          <w:rFonts w:ascii="Times New Roman" w:eastAsia="Times New Roman" w:hAnsi="Times New Roman" w:cs="Times New Roman"/>
          <w:noProof/>
        </w:rPr>
        <w:t>,</w:t>
      </w:r>
      <w:r w:rsidR="00970C63" w:rsidRPr="003C0D71">
        <w:rPr>
          <w:rFonts w:ascii="Times New Roman" w:eastAsia="Times New Roman" w:hAnsi="Times New Roman" w:cs="Times New Roman"/>
          <w:noProof/>
        </w:rPr>
        <w:t xml:space="preserve"> </w:t>
      </w:r>
      <w:r w:rsidR="00FF0B83">
        <w:rPr>
          <w:rFonts w:ascii="Times New Roman" w:eastAsia="Times New Roman" w:hAnsi="Times New Roman" w:cs="Times New Roman"/>
          <w:noProof/>
        </w:rPr>
        <w:t>e.g.</w:t>
      </w:r>
      <w:r w:rsidR="00970C63" w:rsidRPr="003C0D71">
        <w:rPr>
          <w:rFonts w:ascii="Times New Roman" w:eastAsia="Times New Roman" w:hAnsi="Times New Roman" w:cs="Times New Roman"/>
          <w:noProof/>
        </w:rPr>
        <w:t xml:space="preserve"> </w:t>
      </w:r>
      <w:r w:rsidR="00A610C4" w:rsidRPr="003C0D71">
        <w:rPr>
          <w:rFonts w:ascii="Times New Roman" w:eastAsia="Times New Roman" w:hAnsi="Times New Roman" w:cs="Times New Roman"/>
          <w:noProof/>
        </w:rPr>
        <w:t>via g</w:t>
      </w:r>
      <w:r w:rsidR="00A610C4" w:rsidRPr="00622518">
        <w:rPr>
          <w:rFonts w:ascii="Times New Roman" w:eastAsia="Times New Roman" w:hAnsi="Times New Roman" w:cs="Times New Roman"/>
          <w:noProof/>
        </w:rPr>
        <w:t>uideline</w:t>
      </w:r>
      <w:r w:rsidR="00A610C4" w:rsidRPr="003C0D71">
        <w:rPr>
          <w:rFonts w:ascii="Times New Roman" w:eastAsia="Times New Roman" w:hAnsi="Times New Roman" w:cs="Times New Roman"/>
          <w:noProof/>
        </w:rPr>
        <w:t xml:space="preserve">s to supervisors or via an amendment </w:t>
      </w:r>
      <w:r w:rsidR="00A60BB6" w:rsidRPr="003C0D71">
        <w:rPr>
          <w:rFonts w:ascii="Times New Roman" w:eastAsia="Times New Roman" w:hAnsi="Times New Roman" w:cs="Times New Roman"/>
          <w:noProof/>
        </w:rPr>
        <w:t xml:space="preserve">to the </w:t>
      </w:r>
      <w:r w:rsidR="008C4E2E" w:rsidRPr="003C0D71">
        <w:rPr>
          <w:rFonts w:ascii="Times New Roman" w:eastAsia="Times New Roman" w:hAnsi="Times New Roman" w:cs="Times New Roman"/>
          <w:noProof/>
        </w:rPr>
        <w:t>Securitisation Regulation</w:t>
      </w:r>
      <w:r w:rsidR="00A610C4" w:rsidRPr="003C0D71">
        <w:rPr>
          <w:rFonts w:ascii="Times New Roman" w:eastAsia="Times New Roman" w:hAnsi="Times New Roman" w:cs="Times New Roman"/>
          <w:noProof/>
        </w:rPr>
        <w:t xml:space="preserve">. </w:t>
      </w:r>
    </w:p>
    <w:p w14:paraId="7CB6C1D6" w14:textId="49B48898" w:rsidR="00B06CA7" w:rsidRPr="003C0D71" w:rsidRDefault="004A6691" w:rsidP="00E14EB1">
      <w:pPr>
        <w:jc w:val="both"/>
        <w:rPr>
          <w:rFonts w:ascii="Times New Roman" w:eastAsia="Times New Roman" w:hAnsi="Times New Roman" w:cs="Times New Roman"/>
          <w:noProof/>
        </w:rPr>
      </w:pPr>
      <w:r>
        <w:rPr>
          <w:rFonts w:ascii="Times New Roman" w:eastAsia="Times New Roman" w:hAnsi="Times New Roman" w:cs="Times New Roman"/>
          <w:noProof/>
        </w:rPr>
        <w:t>Lastly</w:t>
      </w:r>
      <w:r w:rsidR="00A83241" w:rsidRPr="003C0D71">
        <w:rPr>
          <w:rFonts w:ascii="Times New Roman" w:eastAsia="Times New Roman" w:hAnsi="Times New Roman" w:cs="Times New Roman"/>
          <w:noProof/>
        </w:rPr>
        <w:t xml:space="preserve">, </w:t>
      </w:r>
      <w:r w:rsidR="000A06C6">
        <w:rPr>
          <w:rFonts w:ascii="Times New Roman" w:eastAsia="Times New Roman" w:hAnsi="Times New Roman" w:cs="Times New Roman"/>
          <w:noProof/>
        </w:rPr>
        <w:t>on</w:t>
      </w:r>
      <w:r w:rsidR="000A06C6" w:rsidRPr="003C0D71">
        <w:rPr>
          <w:rFonts w:ascii="Times New Roman" w:eastAsia="Times New Roman" w:hAnsi="Times New Roman" w:cs="Times New Roman"/>
          <w:noProof/>
        </w:rPr>
        <w:t xml:space="preserve"> </w:t>
      </w:r>
      <w:r w:rsidR="003516E0" w:rsidRPr="003C0D71">
        <w:rPr>
          <w:rFonts w:ascii="Times New Roman" w:eastAsia="Times New Roman" w:hAnsi="Times New Roman" w:cs="Times New Roman"/>
          <w:noProof/>
        </w:rPr>
        <w:t xml:space="preserve">the </w:t>
      </w:r>
      <w:r w:rsidR="00A83241" w:rsidRPr="003C0D71">
        <w:rPr>
          <w:rFonts w:ascii="Times New Roman" w:eastAsia="Times New Roman" w:hAnsi="Times New Roman" w:cs="Times New Roman"/>
          <w:noProof/>
        </w:rPr>
        <w:t xml:space="preserve">alleged difficulty </w:t>
      </w:r>
      <w:r>
        <w:rPr>
          <w:rFonts w:ascii="Times New Roman" w:eastAsia="Times New Roman" w:hAnsi="Times New Roman" w:cs="Times New Roman"/>
          <w:noProof/>
        </w:rPr>
        <w:t>for</w:t>
      </w:r>
      <w:r w:rsidRPr="003C0D71">
        <w:rPr>
          <w:rFonts w:ascii="Times New Roman" w:eastAsia="Times New Roman" w:hAnsi="Times New Roman" w:cs="Times New Roman"/>
          <w:noProof/>
        </w:rPr>
        <w:t xml:space="preserve"> </w:t>
      </w:r>
      <w:r w:rsidR="003516E0" w:rsidRPr="003C0D71">
        <w:rPr>
          <w:rFonts w:ascii="Times New Roman" w:eastAsia="Times New Roman" w:hAnsi="Times New Roman" w:cs="Times New Roman"/>
          <w:noProof/>
        </w:rPr>
        <w:t xml:space="preserve">supervisors to access information </w:t>
      </w:r>
      <w:r w:rsidR="000A06C6">
        <w:rPr>
          <w:rFonts w:ascii="Times New Roman" w:eastAsia="Times New Roman" w:hAnsi="Times New Roman" w:cs="Times New Roman"/>
          <w:noProof/>
        </w:rPr>
        <w:t>on</w:t>
      </w:r>
      <w:r w:rsidR="003516E0" w:rsidRPr="003C0D71">
        <w:rPr>
          <w:rFonts w:ascii="Times New Roman" w:eastAsia="Times New Roman" w:hAnsi="Times New Roman" w:cs="Times New Roman"/>
          <w:noProof/>
        </w:rPr>
        <w:t xml:space="preserve"> private securitisation</w:t>
      </w:r>
      <w:r w:rsidR="00A83241" w:rsidRPr="003C0D71">
        <w:rPr>
          <w:rFonts w:ascii="Times New Roman" w:eastAsia="Times New Roman" w:hAnsi="Times New Roman" w:cs="Times New Roman"/>
          <w:noProof/>
        </w:rPr>
        <w:t>s,</w:t>
      </w:r>
      <w:r w:rsidR="003516E0" w:rsidRPr="003C0D71">
        <w:rPr>
          <w:rFonts w:ascii="Times New Roman" w:eastAsia="Times New Roman" w:hAnsi="Times New Roman" w:cs="Times New Roman"/>
          <w:noProof/>
        </w:rPr>
        <w:t xml:space="preserve"> the Commission</w:t>
      </w:r>
      <w:r w:rsidR="009E344D" w:rsidRPr="003C0D71">
        <w:rPr>
          <w:rFonts w:ascii="Times New Roman" w:eastAsia="Times New Roman" w:hAnsi="Times New Roman" w:cs="Times New Roman"/>
          <w:noProof/>
        </w:rPr>
        <w:t xml:space="preserve"> </w:t>
      </w:r>
      <w:r w:rsidR="00970C63" w:rsidRPr="003C0D71">
        <w:rPr>
          <w:rFonts w:ascii="Times New Roman" w:eastAsia="Times New Roman" w:hAnsi="Times New Roman" w:cs="Times New Roman"/>
          <w:noProof/>
        </w:rPr>
        <w:t xml:space="preserve">notes that </w:t>
      </w:r>
      <w:r>
        <w:rPr>
          <w:rFonts w:ascii="Times New Roman" w:eastAsia="Times New Roman" w:hAnsi="Times New Roman" w:cs="Times New Roman"/>
          <w:noProof/>
        </w:rPr>
        <w:t xml:space="preserve">the </w:t>
      </w:r>
      <w:r w:rsidR="00970C63" w:rsidRPr="003C0D71">
        <w:rPr>
          <w:rFonts w:ascii="Times New Roman" w:eastAsia="Times New Roman" w:hAnsi="Times New Roman" w:cs="Times New Roman"/>
          <w:noProof/>
        </w:rPr>
        <w:t>legal requirement for the sell</w:t>
      </w:r>
      <w:r w:rsidR="005F5D7D">
        <w:rPr>
          <w:rFonts w:ascii="Times New Roman" w:eastAsia="Times New Roman" w:hAnsi="Times New Roman" w:cs="Times New Roman"/>
          <w:noProof/>
        </w:rPr>
        <w:t>-</w:t>
      </w:r>
      <w:r w:rsidR="00970C63" w:rsidRPr="003C0D71">
        <w:rPr>
          <w:rFonts w:ascii="Times New Roman" w:eastAsia="Times New Roman" w:hAnsi="Times New Roman" w:cs="Times New Roman"/>
          <w:noProof/>
        </w:rPr>
        <w:t xml:space="preserve">side to </w:t>
      </w:r>
      <w:r w:rsidR="00430010" w:rsidRPr="003C0D71">
        <w:rPr>
          <w:rFonts w:ascii="Times New Roman" w:eastAsia="Times New Roman" w:hAnsi="Times New Roman" w:cs="Times New Roman"/>
          <w:noProof/>
        </w:rPr>
        <w:t xml:space="preserve">make </w:t>
      </w:r>
      <w:r w:rsidR="00970C63" w:rsidRPr="003C0D71">
        <w:rPr>
          <w:rFonts w:ascii="Times New Roman" w:eastAsia="Times New Roman" w:hAnsi="Times New Roman" w:cs="Times New Roman"/>
          <w:noProof/>
        </w:rPr>
        <w:t>the information</w:t>
      </w:r>
      <w:r w:rsidR="00430010" w:rsidRPr="003C0D71">
        <w:rPr>
          <w:rFonts w:ascii="Times New Roman" w:eastAsia="Times New Roman" w:hAnsi="Times New Roman" w:cs="Times New Roman"/>
          <w:noProof/>
        </w:rPr>
        <w:t xml:space="preserve"> available</w:t>
      </w:r>
      <w:r w:rsidR="00970C63" w:rsidRPr="003C0D71">
        <w:rPr>
          <w:rFonts w:ascii="Times New Roman" w:eastAsia="Times New Roman" w:hAnsi="Times New Roman" w:cs="Times New Roman"/>
          <w:noProof/>
        </w:rPr>
        <w:t xml:space="preserve"> </w:t>
      </w:r>
      <w:r w:rsidR="00EE5635" w:rsidRPr="003C0D71">
        <w:rPr>
          <w:rFonts w:ascii="Times New Roman" w:eastAsia="Times New Roman" w:hAnsi="Times New Roman" w:cs="Times New Roman"/>
          <w:noProof/>
        </w:rPr>
        <w:t xml:space="preserve">to the supervisor </w:t>
      </w:r>
      <w:r w:rsidR="00970C63" w:rsidRPr="003C0D71">
        <w:rPr>
          <w:rFonts w:ascii="Times New Roman" w:eastAsia="Times New Roman" w:hAnsi="Times New Roman" w:cs="Times New Roman"/>
          <w:noProof/>
        </w:rPr>
        <w:t>in accordance with Article 7 does not differentiate between private and public transactions.</w:t>
      </w:r>
      <w:r w:rsidR="00A83241" w:rsidRPr="003C0D71">
        <w:rPr>
          <w:rFonts w:ascii="Times New Roman" w:eastAsia="Times New Roman" w:hAnsi="Times New Roman" w:cs="Times New Roman"/>
          <w:noProof/>
        </w:rPr>
        <w:t xml:space="preserve"> </w:t>
      </w:r>
      <w:r>
        <w:rPr>
          <w:rFonts w:ascii="Times New Roman" w:eastAsia="Times New Roman" w:hAnsi="Times New Roman" w:cs="Times New Roman"/>
          <w:noProof/>
        </w:rPr>
        <w:t>Furthermore, t</w:t>
      </w:r>
      <w:r w:rsidR="00A83241" w:rsidRPr="003C0D71">
        <w:rPr>
          <w:rFonts w:ascii="Times New Roman" w:eastAsia="Times New Roman" w:hAnsi="Times New Roman" w:cs="Times New Roman"/>
          <w:noProof/>
        </w:rPr>
        <w:t xml:space="preserve">he Commission </w:t>
      </w:r>
      <w:r w:rsidR="009E344D" w:rsidRPr="003C0D71">
        <w:rPr>
          <w:rFonts w:ascii="Times New Roman" w:eastAsia="Times New Roman" w:hAnsi="Times New Roman" w:cs="Times New Roman"/>
          <w:noProof/>
        </w:rPr>
        <w:t>is of the opinion</w:t>
      </w:r>
      <w:r w:rsidR="003516E0" w:rsidRPr="003C0D71">
        <w:rPr>
          <w:rFonts w:ascii="Times New Roman" w:eastAsia="Times New Roman" w:hAnsi="Times New Roman" w:cs="Times New Roman"/>
          <w:noProof/>
        </w:rPr>
        <w:t xml:space="preserve"> that </w:t>
      </w:r>
      <w:r w:rsidR="00A83241" w:rsidRPr="003C0D71">
        <w:rPr>
          <w:rFonts w:ascii="Times New Roman" w:eastAsia="Times New Roman" w:hAnsi="Times New Roman" w:cs="Times New Roman"/>
          <w:noProof/>
        </w:rPr>
        <w:t xml:space="preserve">the Securitisation Regulation provides for all </w:t>
      </w:r>
      <w:r>
        <w:rPr>
          <w:rFonts w:ascii="Times New Roman" w:eastAsia="Times New Roman" w:hAnsi="Times New Roman" w:cs="Times New Roman"/>
          <w:noProof/>
        </w:rPr>
        <w:t xml:space="preserve">the </w:t>
      </w:r>
      <w:r w:rsidR="00A83241" w:rsidRPr="003C0D71">
        <w:rPr>
          <w:rFonts w:ascii="Times New Roman" w:eastAsia="Times New Roman" w:hAnsi="Times New Roman" w:cs="Times New Roman"/>
          <w:noProof/>
        </w:rPr>
        <w:t>supervisory</w:t>
      </w:r>
      <w:r w:rsidR="00970C63" w:rsidRPr="003C0D71">
        <w:rPr>
          <w:rFonts w:ascii="Times New Roman" w:eastAsia="Times New Roman" w:hAnsi="Times New Roman" w:cs="Times New Roman"/>
          <w:noProof/>
        </w:rPr>
        <w:t xml:space="preserve"> tools </w:t>
      </w:r>
      <w:r w:rsidR="00A83241" w:rsidRPr="003C0D71">
        <w:rPr>
          <w:rFonts w:ascii="Times New Roman" w:eastAsia="Times New Roman" w:hAnsi="Times New Roman" w:cs="Times New Roman"/>
          <w:noProof/>
        </w:rPr>
        <w:t>that might be needed to enforce this obligation</w:t>
      </w:r>
      <w:r w:rsidR="003D5FE3" w:rsidRPr="003C0D71">
        <w:rPr>
          <w:rFonts w:ascii="Times New Roman" w:eastAsia="Times New Roman" w:hAnsi="Times New Roman" w:cs="Times New Roman"/>
          <w:noProof/>
        </w:rPr>
        <w:t xml:space="preserve">. </w:t>
      </w:r>
    </w:p>
    <w:p w14:paraId="0A373731" w14:textId="77777777" w:rsidR="000A49A7" w:rsidRPr="003C0D71" w:rsidRDefault="009E344D" w:rsidP="004100C8">
      <w:pPr>
        <w:pStyle w:val="Heading1"/>
        <w:rPr>
          <w:rFonts w:ascii="Times New Roman" w:hAnsi="Times New Roman" w:cs="Times New Roman"/>
          <w:noProof/>
          <w:color w:val="auto"/>
        </w:rPr>
      </w:pPr>
      <w:bookmarkStart w:id="77" w:name="_Toc104283080"/>
      <w:bookmarkStart w:id="78" w:name="_Toc104286148"/>
      <w:bookmarkStart w:id="79" w:name="_Toc104297352"/>
      <w:bookmarkStart w:id="80" w:name="_Toc115346221"/>
      <w:r w:rsidRPr="003C0D71">
        <w:rPr>
          <w:rFonts w:ascii="Times New Roman" w:hAnsi="Times New Roman" w:cs="Times New Roman"/>
          <w:noProof/>
          <w:color w:val="auto"/>
        </w:rPr>
        <w:t xml:space="preserve">13. </w:t>
      </w:r>
      <w:r w:rsidR="000A49A7" w:rsidRPr="003C0D71">
        <w:rPr>
          <w:rFonts w:ascii="Times New Roman" w:hAnsi="Times New Roman" w:cs="Times New Roman"/>
          <w:noProof/>
          <w:color w:val="auto"/>
        </w:rPr>
        <w:t>Prudential treatment of securitisations</w:t>
      </w:r>
      <w:bookmarkEnd w:id="77"/>
      <w:bookmarkEnd w:id="78"/>
      <w:bookmarkEnd w:id="79"/>
      <w:bookmarkEnd w:id="80"/>
    </w:p>
    <w:p w14:paraId="034CFD70" w14:textId="7BAFFCE1" w:rsidR="00C2333B" w:rsidRPr="003C0D71" w:rsidRDefault="00C2333B" w:rsidP="00C2333B">
      <w:pPr>
        <w:jc w:val="both"/>
        <w:rPr>
          <w:rFonts w:ascii="Times New Roman" w:eastAsia="Times New Roman" w:hAnsi="Times New Roman" w:cs="Times New Roman"/>
          <w:noProof/>
        </w:rPr>
      </w:pPr>
      <w:r w:rsidRPr="003C0D71">
        <w:rPr>
          <w:rFonts w:ascii="Times New Roman" w:eastAsia="Times New Roman" w:hAnsi="Times New Roman" w:cs="Times New Roman"/>
          <w:noProof/>
        </w:rPr>
        <w:t>The Commission is required to submit a report to the co-legislators under Article 519</w:t>
      </w:r>
      <w:r w:rsidR="009112F4">
        <w:rPr>
          <w:rFonts w:ascii="Times New Roman" w:eastAsia="Times New Roman" w:hAnsi="Times New Roman" w:cs="Times New Roman"/>
          <w:noProof/>
        </w:rPr>
        <w:t>(</w:t>
      </w:r>
      <w:r w:rsidRPr="003C0D71">
        <w:rPr>
          <w:rFonts w:ascii="Times New Roman" w:eastAsia="Times New Roman" w:hAnsi="Times New Roman" w:cs="Times New Roman"/>
          <w:noProof/>
        </w:rPr>
        <w:t>a</w:t>
      </w:r>
      <w:r w:rsidR="009112F4">
        <w:rPr>
          <w:rFonts w:ascii="Times New Roman" w:eastAsia="Times New Roman" w:hAnsi="Times New Roman" w:cs="Times New Roman"/>
          <w:noProof/>
        </w:rPr>
        <w:t>)</w:t>
      </w:r>
      <w:r w:rsidRPr="003C0D71">
        <w:rPr>
          <w:rFonts w:ascii="Times New Roman" w:eastAsia="Times New Roman" w:hAnsi="Times New Roman" w:cs="Times New Roman"/>
          <w:noProof/>
        </w:rPr>
        <w:t xml:space="preserve"> of the </w:t>
      </w:r>
      <w:r w:rsidR="009112F4" w:rsidRPr="009112F4">
        <w:rPr>
          <w:rFonts w:ascii="Times New Roman" w:eastAsia="Times New Roman" w:hAnsi="Times New Roman" w:cs="Times New Roman"/>
          <w:noProof/>
        </w:rPr>
        <w:t xml:space="preserve">Capital Requirements Regulation </w:t>
      </w:r>
      <w:r w:rsidR="009112F4">
        <w:rPr>
          <w:rFonts w:ascii="Times New Roman" w:eastAsia="Times New Roman" w:hAnsi="Times New Roman" w:cs="Times New Roman"/>
          <w:noProof/>
        </w:rPr>
        <w:t>(</w:t>
      </w:r>
      <w:r w:rsidRPr="003C0D71">
        <w:rPr>
          <w:rFonts w:ascii="Times New Roman" w:eastAsia="Times New Roman" w:hAnsi="Times New Roman" w:cs="Times New Roman"/>
          <w:noProof/>
        </w:rPr>
        <w:t>CRR</w:t>
      </w:r>
      <w:r w:rsidR="009112F4">
        <w:rPr>
          <w:rFonts w:ascii="Times New Roman" w:eastAsia="Times New Roman" w:hAnsi="Times New Roman" w:cs="Times New Roman"/>
          <w:noProof/>
        </w:rPr>
        <w:t>)</w:t>
      </w:r>
      <w:r w:rsidRPr="003C0D71">
        <w:rPr>
          <w:rFonts w:ascii="Times New Roman" w:eastAsia="Times New Roman" w:hAnsi="Times New Roman" w:cs="Times New Roman"/>
          <w:noProof/>
        </w:rPr>
        <w:t xml:space="preserve"> on the application of certain provisions in the securitisation part of that Regulation </w:t>
      </w:r>
      <w:r w:rsidR="003A6BC3">
        <w:rPr>
          <w:rFonts w:ascii="Times New Roman" w:eastAsia="Times New Roman" w:hAnsi="Times New Roman" w:cs="Times New Roman"/>
          <w:noProof/>
        </w:rPr>
        <w:t>‘</w:t>
      </w:r>
      <w:r w:rsidRPr="00647E9A">
        <w:rPr>
          <w:rFonts w:ascii="Times New Roman" w:eastAsia="Times New Roman" w:hAnsi="Times New Roman" w:cs="Times New Roman"/>
          <w:iCs/>
          <w:noProof/>
        </w:rPr>
        <w:t>in light of developments in securitisation markets, including from a macroprudential and economic perspective</w:t>
      </w:r>
      <w:r w:rsidR="00884711" w:rsidRPr="00647E9A">
        <w:rPr>
          <w:rFonts w:ascii="Times New Roman" w:eastAsia="Times New Roman" w:hAnsi="Times New Roman" w:cs="Times New Roman"/>
          <w:iCs/>
          <w:noProof/>
        </w:rPr>
        <w:t>’</w:t>
      </w:r>
      <w:r w:rsidR="003A6BC3">
        <w:rPr>
          <w:rFonts w:ascii="Times New Roman" w:eastAsia="Times New Roman" w:hAnsi="Times New Roman" w:cs="Times New Roman"/>
          <w:noProof/>
        </w:rPr>
        <w:t>. This should be</w:t>
      </w:r>
      <w:r w:rsidRPr="003C0D71">
        <w:rPr>
          <w:rFonts w:ascii="Times New Roman" w:eastAsia="Times New Roman" w:hAnsi="Times New Roman" w:cs="Times New Roman"/>
          <w:noProof/>
        </w:rPr>
        <w:t xml:space="preserve"> accompanied by a legislative proposal, </w:t>
      </w:r>
      <w:r w:rsidR="003A6BC3">
        <w:rPr>
          <w:rFonts w:ascii="Times New Roman" w:eastAsia="Times New Roman" w:hAnsi="Times New Roman" w:cs="Times New Roman"/>
          <w:noProof/>
        </w:rPr>
        <w:t>if</w:t>
      </w:r>
      <w:r w:rsidR="003A6BC3" w:rsidRPr="003C0D71">
        <w:rPr>
          <w:rFonts w:ascii="Times New Roman" w:eastAsia="Times New Roman" w:hAnsi="Times New Roman" w:cs="Times New Roman"/>
          <w:noProof/>
        </w:rPr>
        <w:t xml:space="preserve"> </w:t>
      </w:r>
      <w:r w:rsidRPr="003C0D71">
        <w:rPr>
          <w:rFonts w:ascii="Times New Roman" w:eastAsia="Times New Roman" w:hAnsi="Times New Roman" w:cs="Times New Roman"/>
          <w:noProof/>
        </w:rPr>
        <w:t xml:space="preserve">appropriate. </w:t>
      </w:r>
      <w:r w:rsidR="00884711">
        <w:rPr>
          <w:rFonts w:ascii="Times New Roman" w:eastAsia="Times New Roman" w:hAnsi="Times New Roman" w:cs="Times New Roman"/>
          <w:noProof/>
        </w:rPr>
        <w:t>While</w:t>
      </w:r>
      <w:r w:rsidRPr="003C0D71">
        <w:rPr>
          <w:rFonts w:ascii="Times New Roman" w:eastAsia="Times New Roman" w:hAnsi="Times New Roman" w:cs="Times New Roman"/>
          <w:noProof/>
        </w:rPr>
        <w:t xml:space="preserve"> preparing </w:t>
      </w:r>
      <w:r w:rsidR="003A6BC3">
        <w:rPr>
          <w:rFonts w:ascii="Times New Roman" w:eastAsia="Times New Roman" w:hAnsi="Times New Roman" w:cs="Times New Roman"/>
          <w:noProof/>
        </w:rPr>
        <w:t xml:space="preserve">such a </w:t>
      </w:r>
      <w:r w:rsidRPr="003C0D71">
        <w:rPr>
          <w:rFonts w:ascii="Times New Roman" w:eastAsia="Times New Roman" w:hAnsi="Times New Roman" w:cs="Times New Roman"/>
          <w:noProof/>
        </w:rPr>
        <w:t xml:space="preserve">report, the Commission deemed it appropriate to conduct a broad assessment </w:t>
      </w:r>
      <w:r w:rsidR="00884711">
        <w:rPr>
          <w:rFonts w:ascii="Times New Roman" w:eastAsia="Times New Roman" w:hAnsi="Times New Roman" w:cs="Times New Roman"/>
          <w:noProof/>
        </w:rPr>
        <w:t>of</w:t>
      </w:r>
      <w:r w:rsidR="00884711" w:rsidRPr="003C0D71">
        <w:rPr>
          <w:rFonts w:ascii="Times New Roman" w:eastAsia="Times New Roman" w:hAnsi="Times New Roman" w:cs="Times New Roman"/>
          <w:noProof/>
        </w:rPr>
        <w:t xml:space="preserve"> </w:t>
      </w:r>
      <w:r w:rsidRPr="003C0D71">
        <w:rPr>
          <w:rFonts w:ascii="Times New Roman" w:eastAsia="Times New Roman" w:hAnsi="Times New Roman" w:cs="Times New Roman"/>
          <w:noProof/>
        </w:rPr>
        <w:t xml:space="preserve">the performance of the </w:t>
      </w:r>
      <w:r w:rsidR="007A1661" w:rsidRPr="003C0D71">
        <w:rPr>
          <w:rFonts w:ascii="Times New Roman" w:eastAsia="Times New Roman" w:hAnsi="Times New Roman" w:cs="Times New Roman"/>
          <w:noProof/>
        </w:rPr>
        <w:t>securitisation</w:t>
      </w:r>
      <w:r w:rsidRPr="003C0D71">
        <w:rPr>
          <w:rFonts w:ascii="Times New Roman" w:eastAsia="Times New Roman" w:hAnsi="Times New Roman" w:cs="Times New Roman"/>
          <w:noProof/>
        </w:rPr>
        <w:t xml:space="preserve"> prudential framework as a whole</w:t>
      </w:r>
      <w:r w:rsidR="00884711">
        <w:rPr>
          <w:rFonts w:ascii="Times New Roman" w:eastAsia="Times New Roman" w:hAnsi="Times New Roman" w:cs="Times New Roman"/>
          <w:noProof/>
        </w:rPr>
        <w:t>,</w:t>
      </w:r>
      <w:r w:rsidRPr="003C0D71">
        <w:rPr>
          <w:rFonts w:ascii="Times New Roman" w:eastAsia="Times New Roman" w:hAnsi="Times New Roman" w:cs="Times New Roman"/>
          <w:noProof/>
        </w:rPr>
        <w:t xml:space="preserve"> in light of </w:t>
      </w:r>
      <w:r w:rsidR="00884711">
        <w:rPr>
          <w:rFonts w:ascii="Times New Roman" w:eastAsia="Times New Roman" w:hAnsi="Times New Roman" w:cs="Times New Roman"/>
          <w:noProof/>
        </w:rPr>
        <w:t xml:space="preserve">the </w:t>
      </w:r>
      <w:r w:rsidRPr="003C0D71">
        <w:rPr>
          <w:rFonts w:ascii="Times New Roman" w:eastAsia="Times New Roman" w:hAnsi="Times New Roman" w:cs="Times New Roman"/>
          <w:noProof/>
        </w:rPr>
        <w:t>challenging market conditions</w:t>
      </w:r>
      <w:r w:rsidR="00884711" w:rsidRPr="00884711">
        <w:rPr>
          <w:rFonts w:ascii="Times New Roman" w:eastAsia="Times New Roman" w:hAnsi="Times New Roman" w:cs="Times New Roman"/>
          <w:noProof/>
        </w:rPr>
        <w:t xml:space="preserve"> </w:t>
      </w:r>
      <w:r w:rsidR="00884711">
        <w:rPr>
          <w:rFonts w:ascii="Times New Roman" w:eastAsia="Times New Roman" w:hAnsi="Times New Roman" w:cs="Times New Roman"/>
          <w:noProof/>
        </w:rPr>
        <w:t xml:space="preserve">in </w:t>
      </w:r>
      <w:r w:rsidR="00884711" w:rsidRPr="003C0D71">
        <w:rPr>
          <w:rFonts w:ascii="Times New Roman" w:eastAsia="Times New Roman" w:hAnsi="Times New Roman" w:cs="Times New Roman"/>
          <w:noProof/>
        </w:rPr>
        <w:t>recent years</w:t>
      </w:r>
      <w:r w:rsidRPr="003C0D71">
        <w:rPr>
          <w:rFonts w:ascii="Times New Roman" w:eastAsia="Times New Roman" w:hAnsi="Times New Roman" w:cs="Times New Roman"/>
          <w:noProof/>
        </w:rPr>
        <w:t xml:space="preserve">. </w:t>
      </w:r>
    </w:p>
    <w:p w14:paraId="3BA372BA" w14:textId="2985455E" w:rsidR="00363206" w:rsidRPr="003C0D71" w:rsidRDefault="00363206" w:rsidP="00363206">
      <w:pPr>
        <w:rPr>
          <w:rFonts w:ascii="Times New Roman" w:hAnsi="Times New Roman" w:cs="Times New Roman"/>
          <w:b/>
          <w:i/>
          <w:noProof/>
          <w:sz w:val="24"/>
        </w:rPr>
      </w:pPr>
      <w:r w:rsidRPr="003C0D71">
        <w:rPr>
          <w:rFonts w:ascii="Times New Roman" w:hAnsi="Times New Roman" w:cs="Times New Roman"/>
          <w:b/>
          <w:i/>
          <w:noProof/>
          <w:sz w:val="24"/>
        </w:rPr>
        <w:t xml:space="preserve">Call for </w:t>
      </w:r>
      <w:r w:rsidR="00A13C4B">
        <w:rPr>
          <w:rFonts w:ascii="Times New Roman" w:hAnsi="Times New Roman" w:cs="Times New Roman"/>
          <w:b/>
          <w:i/>
          <w:noProof/>
          <w:sz w:val="24"/>
        </w:rPr>
        <w:t>a</w:t>
      </w:r>
      <w:r w:rsidRPr="003C0D71">
        <w:rPr>
          <w:rFonts w:ascii="Times New Roman" w:hAnsi="Times New Roman" w:cs="Times New Roman"/>
          <w:b/>
          <w:i/>
          <w:noProof/>
          <w:sz w:val="24"/>
        </w:rPr>
        <w:t>dvice</w:t>
      </w:r>
    </w:p>
    <w:p w14:paraId="08751687" w14:textId="36ADBED2" w:rsidR="000A49A7" w:rsidRPr="003C0D71" w:rsidRDefault="00C2333B" w:rsidP="00EE5635">
      <w:pPr>
        <w:jc w:val="both"/>
        <w:rPr>
          <w:rFonts w:ascii="Times New Roman" w:eastAsia="Times New Roman" w:hAnsi="Times New Roman" w:cs="Times New Roman"/>
          <w:noProof/>
        </w:rPr>
      </w:pPr>
      <w:r w:rsidRPr="003C0D71">
        <w:rPr>
          <w:rFonts w:ascii="Times New Roman" w:eastAsia="Times New Roman" w:hAnsi="Times New Roman" w:cs="Times New Roman"/>
          <w:noProof/>
        </w:rPr>
        <w:t xml:space="preserve">Against this background, the </w:t>
      </w:r>
      <w:r w:rsidR="00443B8F">
        <w:rPr>
          <w:rFonts w:ascii="Times New Roman" w:eastAsia="Times New Roman" w:hAnsi="Times New Roman" w:cs="Times New Roman"/>
          <w:noProof/>
        </w:rPr>
        <w:t>c</w:t>
      </w:r>
      <w:r w:rsidRPr="003C0D71">
        <w:rPr>
          <w:rFonts w:ascii="Times New Roman" w:eastAsia="Times New Roman" w:hAnsi="Times New Roman" w:cs="Times New Roman"/>
          <w:noProof/>
        </w:rPr>
        <w:t xml:space="preserve">onsultation included various questions on the functioning of the EU securitisation prudential framework. </w:t>
      </w:r>
      <w:r w:rsidR="000A49A7" w:rsidRPr="003C0D71">
        <w:rPr>
          <w:rFonts w:ascii="Times New Roman" w:eastAsia="Times New Roman" w:hAnsi="Times New Roman" w:cs="Times New Roman"/>
          <w:noProof/>
        </w:rPr>
        <w:t xml:space="preserve">In addition, </w:t>
      </w:r>
      <w:r w:rsidRPr="003C0D71">
        <w:rPr>
          <w:rFonts w:ascii="Times New Roman" w:eastAsia="Times New Roman" w:hAnsi="Times New Roman" w:cs="Times New Roman"/>
          <w:noProof/>
        </w:rPr>
        <w:t>on 17</w:t>
      </w:r>
      <w:r w:rsidR="007454D5">
        <w:rPr>
          <w:rFonts w:ascii="Times New Roman" w:eastAsia="Times New Roman" w:hAnsi="Times New Roman" w:cs="Times New Roman"/>
          <w:noProof/>
        </w:rPr>
        <w:t> </w:t>
      </w:r>
      <w:r w:rsidRPr="003C0D71">
        <w:rPr>
          <w:rFonts w:ascii="Times New Roman" w:eastAsia="Times New Roman" w:hAnsi="Times New Roman" w:cs="Times New Roman"/>
          <w:noProof/>
        </w:rPr>
        <w:t>October</w:t>
      </w:r>
      <w:r w:rsidR="007454D5">
        <w:rPr>
          <w:rFonts w:ascii="Times New Roman" w:eastAsia="Times New Roman" w:hAnsi="Times New Roman" w:cs="Times New Roman"/>
          <w:noProof/>
        </w:rPr>
        <w:t> </w:t>
      </w:r>
      <w:r w:rsidRPr="003C0D71">
        <w:rPr>
          <w:rFonts w:ascii="Times New Roman" w:eastAsia="Times New Roman" w:hAnsi="Times New Roman" w:cs="Times New Roman"/>
          <w:noProof/>
        </w:rPr>
        <w:t xml:space="preserve">2021 </w:t>
      </w:r>
      <w:r w:rsidR="000A49A7" w:rsidRPr="003C0D71">
        <w:rPr>
          <w:rFonts w:ascii="Times New Roman" w:eastAsia="Times New Roman" w:hAnsi="Times New Roman" w:cs="Times New Roman"/>
          <w:noProof/>
        </w:rPr>
        <w:t>the Commission addressed a call for advice (</w:t>
      </w:r>
      <w:r w:rsidR="000A49A7" w:rsidRPr="003A6BC3">
        <w:rPr>
          <w:rFonts w:ascii="Times New Roman" w:eastAsia="Times New Roman" w:hAnsi="Times New Roman" w:cs="Times New Roman"/>
          <w:noProof/>
        </w:rPr>
        <w:t>C</w:t>
      </w:r>
      <w:r w:rsidR="00A13C4B" w:rsidRPr="00C0740D">
        <w:rPr>
          <w:rFonts w:ascii="Times New Roman" w:eastAsia="Times New Roman" w:hAnsi="Times New Roman" w:cs="Times New Roman"/>
          <w:noProof/>
        </w:rPr>
        <w:t>F</w:t>
      </w:r>
      <w:r w:rsidR="000A49A7" w:rsidRPr="003A6BC3">
        <w:rPr>
          <w:rFonts w:ascii="Times New Roman" w:eastAsia="Times New Roman" w:hAnsi="Times New Roman" w:cs="Times New Roman"/>
          <w:noProof/>
        </w:rPr>
        <w:t>A</w:t>
      </w:r>
      <w:r w:rsidR="000A49A7" w:rsidRPr="003C0D71">
        <w:rPr>
          <w:rFonts w:ascii="Times New Roman" w:eastAsia="Times New Roman" w:hAnsi="Times New Roman" w:cs="Times New Roman"/>
          <w:noProof/>
        </w:rPr>
        <w:t>) to the Joint Committee of the ESAs</w:t>
      </w:r>
      <w:r w:rsidR="00495797">
        <w:rPr>
          <w:rFonts w:ascii="Times New Roman" w:eastAsia="Times New Roman" w:hAnsi="Times New Roman" w:cs="Times New Roman"/>
          <w:noProof/>
        </w:rPr>
        <w:t>,</w:t>
      </w:r>
      <w:r w:rsidR="000A49A7" w:rsidRPr="003C0D71">
        <w:rPr>
          <w:rFonts w:ascii="Times New Roman" w:eastAsia="Times New Roman" w:hAnsi="Times New Roman" w:cs="Times New Roman"/>
          <w:noProof/>
        </w:rPr>
        <w:t xml:space="preserve"> </w:t>
      </w:r>
      <w:r w:rsidR="00495797">
        <w:rPr>
          <w:rFonts w:ascii="Times New Roman" w:eastAsia="Times New Roman" w:hAnsi="Times New Roman" w:cs="Times New Roman"/>
          <w:noProof/>
        </w:rPr>
        <w:t>asking</w:t>
      </w:r>
      <w:r w:rsidR="00495797" w:rsidRPr="003C0D71">
        <w:rPr>
          <w:rFonts w:ascii="Times New Roman" w:eastAsia="Times New Roman" w:hAnsi="Times New Roman" w:cs="Times New Roman"/>
          <w:noProof/>
        </w:rPr>
        <w:t xml:space="preserve"> </w:t>
      </w:r>
      <w:r w:rsidRPr="003C0D71">
        <w:rPr>
          <w:rFonts w:ascii="Times New Roman" w:eastAsia="Times New Roman" w:hAnsi="Times New Roman" w:cs="Times New Roman"/>
          <w:noProof/>
        </w:rPr>
        <w:t>it</w:t>
      </w:r>
      <w:r w:rsidR="000A49A7" w:rsidRPr="003C0D71">
        <w:rPr>
          <w:rFonts w:ascii="Times New Roman" w:eastAsia="Times New Roman" w:hAnsi="Times New Roman" w:cs="Times New Roman"/>
          <w:noProof/>
        </w:rPr>
        <w:t xml:space="preserve"> to assess whether the securitisation prudential framework has met its intended objective of helping in the recovery of the EU securitisation market while maintaining an appropriate level of </w:t>
      </w:r>
      <w:r w:rsidR="008C4E2E" w:rsidRPr="003C0D71">
        <w:rPr>
          <w:rFonts w:ascii="Times New Roman" w:eastAsia="Times New Roman" w:hAnsi="Times New Roman" w:cs="Times New Roman"/>
          <w:noProof/>
        </w:rPr>
        <w:t>prudence</w:t>
      </w:r>
      <w:r w:rsidRPr="003C0D71">
        <w:rPr>
          <w:rFonts w:ascii="Times New Roman" w:eastAsia="Times New Roman" w:hAnsi="Times New Roman" w:cs="Times New Roman"/>
          <w:noProof/>
        </w:rPr>
        <w:t>.</w:t>
      </w:r>
      <w:r w:rsidR="000A49A7" w:rsidRPr="003C0D71">
        <w:rPr>
          <w:rFonts w:ascii="Times New Roman" w:eastAsia="Times New Roman" w:hAnsi="Times New Roman" w:cs="Times New Roman"/>
          <w:noProof/>
        </w:rPr>
        <w:t xml:space="preserve"> The </w:t>
      </w:r>
      <w:r w:rsidR="008C4E2E" w:rsidRPr="003C0D71">
        <w:rPr>
          <w:rFonts w:ascii="Times New Roman" w:eastAsia="Times New Roman" w:hAnsi="Times New Roman" w:cs="Times New Roman"/>
          <w:noProof/>
        </w:rPr>
        <w:t>Joint Committee</w:t>
      </w:r>
      <w:r w:rsidR="000A49A7" w:rsidRPr="003C0D71">
        <w:rPr>
          <w:rFonts w:ascii="Times New Roman" w:eastAsia="Times New Roman" w:hAnsi="Times New Roman" w:cs="Times New Roman"/>
          <w:noProof/>
        </w:rPr>
        <w:t xml:space="preserve"> </w:t>
      </w:r>
      <w:r w:rsidR="003A6BC3">
        <w:rPr>
          <w:rFonts w:ascii="Times New Roman" w:eastAsia="Times New Roman" w:hAnsi="Times New Roman" w:cs="Times New Roman"/>
          <w:noProof/>
        </w:rPr>
        <w:t>has been</w:t>
      </w:r>
      <w:r w:rsidR="003A6BC3" w:rsidRPr="003C0D71">
        <w:rPr>
          <w:rFonts w:ascii="Times New Roman" w:eastAsia="Times New Roman" w:hAnsi="Times New Roman" w:cs="Times New Roman"/>
          <w:noProof/>
        </w:rPr>
        <w:t xml:space="preserve"> </w:t>
      </w:r>
      <w:r w:rsidR="000A49A7" w:rsidRPr="003C0D71">
        <w:rPr>
          <w:rFonts w:ascii="Times New Roman" w:eastAsia="Times New Roman" w:hAnsi="Times New Roman" w:cs="Times New Roman"/>
          <w:noProof/>
        </w:rPr>
        <w:t>asked to deliver its advice by 1</w:t>
      </w:r>
      <w:r w:rsidR="007454D5">
        <w:rPr>
          <w:rFonts w:ascii="Times New Roman" w:eastAsia="Times New Roman" w:hAnsi="Times New Roman" w:cs="Times New Roman"/>
          <w:noProof/>
        </w:rPr>
        <w:t> </w:t>
      </w:r>
      <w:r w:rsidR="000A49A7" w:rsidRPr="003C0D71">
        <w:rPr>
          <w:rFonts w:ascii="Times New Roman" w:eastAsia="Times New Roman" w:hAnsi="Times New Roman" w:cs="Times New Roman"/>
          <w:noProof/>
        </w:rPr>
        <w:t>September</w:t>
      </w:r>
      <w:r w:rsidR="007454D5">
        <w:rPr>
          <w:rFonts w:ascii="Times New Roman" w:eastAsia="Times New Roman" w:hAnsi="Times New Roman" w:cs="Times New Roman"/>
          <w:noProof/>
        </w:rPr>
        <w:t> </w:t>
      </w:r>
      <w:r w:rsidR="000A49A7" w:rsidRPr="003C0D71">
        <w:rPr>
          <w:rFonts w:ascii="Times New Roman" w:eastAsia="Times New Roman" w:hAnsi="Times New Roman" w:cs="Times New Roman"/>
          <w:noProof/>
        </w:rPr>
        <w:t xml:space="preserve">2022. </w:t>
      </w:r>
    </w:p>
    <w:p w14:paraId="0EEDF211" w14:textId="1CC32900" w:rsidR="00B305D5" w:rsidRPr="003C0D71" w:rsidDel="00B305D5" w:rsidRDefault="00B305D5" w:rsidP="00B305D5">
      <w:pPr>
        <w:jc w:val="both"/>
        <w:rPr>
          <w:rFonts w:ascii="Times New Roman" w:eastAsia="Times New Roman" w:hAnsi="Times New Roman" w:cs="Times New Roman"/>
          <w:noProof/>
        </w:rPr>
      </w:pPr>
      <w:r w:rsidRPr="003C0D71">
        <w:rPr>
          <w:rFonts w:ascii="Times New Roman" w:eastAsia="Times New Roman" w:hAnsi="Times New Roman" w:cs="Times New Roman"/>
          <w:noProof/>
        </w:rPr>
        <w:t>The Commission is also assessing the appropriateness of the calibration of capital requirements for investments in securitisation tranches by insurance and reinsurance firms</w:t>
      </w:r>
      <w:r w:rsidR="00C2333B" w:rsidRPr="003C0D71">
        <w:rPr>
          <w:rFonts w:ascii="Times New Roman" w:eastAsia="Times New Roman" w:hAnsi="Times New Roman" w:cs="Times New Roman"/>
          <w:noProof/>
        </w:rPr>
        <w:t>. Those issues also form</w:t>
      </w:r>
      <w:r w:rsidR="00884711">
        <w:rPr>
          <w:rFonts w:ascii="Times New Roman" w:eastAsia="Times New Roman" w:hAnsi="Times New Roman" w:cs="Times New Roman"/>
          <w:noProof/>
        </w:rPr>
        <w:t>ed</w:t>
      </w:r>
      <w:r w:rsidR="00C2333B" w:rsidRPr="003C0D71">
        <w:rPr>
          <w:rFonts w:ascii="Times New Roman" w:eastAsia="Times New Roman" w:hAnsi="Times New Roman" w:cs="Times New Roman"/>
          <w:noProof/>
        </w:rPr>
        <w:t xml:space="preserve"> part of the </w:t>
      </w:r>
      <w:r w:rsidR="007454D5">
        <w:rPr>
          <w:rFonts w:ascii="Times New Roman" w:eastAsia="Times New Roman" w:hAnsi="Times New Roman" w:cs="Times New Roman"/>
          <w:noProof/>
        </w:rPr>
        <w:t>above</w:t>
      </w:r>
      <w:r w:rsidR="007454D5" w:rsidRPr="003C0D71">
        <w:rPr>
          <w:rFonts w:ascii="Times New Roman" w:eastAsia="Times New Roman" w:hAnsi="Times New Roman" w:cs="Times New Roman"/>
          <w:noProof/>
        </w:rPr>
        <w:t xml:space="preserve"> </w:t>
      </w:r>
      <w:r w:rsidR="007454D5">
        <w:rPr>
          <w:rFonts w:ascii="Times New Roman" w:eastAsia="Times New Roman" w:hAnsi="Times New Roman" w:cs="Times New Roman"/>
          <w:noProof/>
        </w:rPr>
        <w:t>c</w:t>
      </w:r>
      <w:r w:rsidR="00C2333B" w:rsidRPr="003C0D71">
        <w:rPr>
          <w:rFonts w:ascii="Times New Roman" w:eastAsia="Times New Roman" w:hAnsi="Times New Roman" w:cs="Times New Roman"/>
          <w:noProof/>
        </w:rPr>
        <w:t xml:space="preserve">onsultation and </w:t>
      </w:r>
      <w:r w:rsidR="00884711">
        <w:rPr>
          <w:rFonts w:ascii="Times New Roman" w:eastAsia="Times New Roman" w:hAnsi="Times New Roman" w:cs="Times New Roman"/>
          <w:noProof/>
        </w:rPr>
        <w:t>call for advice</w:t>
      </w:r>
      <w:r w:rsidR="00C2333B" w:rsidRPr="003C0D71">
        <w:rPr>
          <w:rFonts w:ascii="Times New Roman" w:eastAsia="Times New Roman" w:hAnsi="Times New Roman" w:cs="Times New Roman"/>
          <w:noProof/>
        </w:rPr>
        <w:t xml:space="preserve"> to the Joint Committee of the ESAs</w:t>
      </w:r>
      <w:r w:rsidRPr="003C0D71">
        <w:rPr>
          <w:rFonts w:ascii="Times New Roman" w:eastAsia="Times New Roman" w:hAnsi="Times New Roman" w:cs="Times New Roman"/>
          <w:noProof/>
        </w:rPr>
        <w:t xml:space="preserve">. </w:t>
      </w:r>
    </w:p>
    <w:p w14:paraId="596C326B" w14:textId="6CD34AE7" w:rsidR="00C2333B" w:rsidRPr="003C0D71" w:rsidRDefault="00C2333B" w:rsidP="00C2333B">
      <w:pPr>
        <w:jc w:val="both"/>
        <w:rPr>
          <w:rFonts w:ascii="Times New Roman" w:eastAsia="Times New Roman" w:hAnsi="Times New Roman" w:cs="Times New Roman"/>
          <w:noProof/>
        </w:rPr>
      </w:pPr>
      <w:r w:rsidRPr="003C0D71">
        <w:rPr>
          <w:rFonts w:ascii="Times New Roman" w:eastAsia="Times New Roman" w:hAnsi="Times New Roman" w:cs="Times New Roman"/>
          <w:noProof/>
        </w:rPr>
        <w:t xml:space="preserve">The Commission will await the Joint Committee’s advice and recommendations. Taking into account the advice and feedback received in the </w:t>
      </w:r>
      <w:r w:rsidR="00443B8F">
        <w:rPr>
          <w:rFonts w:ascii="Times New Roman" w:eastAsia="Times New Roman" w:hAnsi="Times New Roman" w:cs="Times New Roman"/>
          <w:noProof/>
        </w:rPr>
        <w:t>c</w:t>
      </w:r>
      <w:r w:rsidRPr="003C0D71">
        <w:rPr>
          <w:rFonts w:ascii="Times New Roman" w:eastAsia="Times New Roman" w:hAnsi="Times New Roman" w:cs="Times New Roman"/>
          <w:noProof/>
        </w:rPr>
        <w:t xml:space="preserve">onsultation, the Commission will assess the appropriateness and convenience of potential amendments </w:t>
      </w:r>
      <w:r w:rsidR="00884711">
        <w:rPr>
          <w:rFonts w:ascii="Times New Roman" w:eastAsia="Times New Roman" w:hAnsi="Times New Roman" w:cs="Times New Roman"/>
          <w:noProof/>
        </w:rPr>
        <w:t>to</w:t>
      </w:r>
      <w:r w:rsidR="00884711" w:rsidRPr="003C0D71">
        <w:rPr>
          <w:rFonts w:ascii="Times New Roman" w:eastAsia="Times New Roman" w:hAnsi="Times New Roman" w:cs="Times New Roman"/>
          <w:noProof/>
        </w:rPr>
        <w:t xml:space="preserve"> </w:t>
      </w:r>
      <w:r w:rsidRPr="003C0D71">
        <w:rPr>
          <w:rFonts w:ascii="Times New Roman" w:eastAsia="Times New Roman" w:hAnsi="Times New Roman" w:cs="Times New Roman"/>
          <w:noProof/>
        </w:rPr>
        <w:t>the securitisation prudential framework.</w:t>
      </w:r>
    </w:p>
    <w:p w14:paraId="2348F134" w14:textId="307BCC7A" w:rsidR="00A5153D" w:rsidRPr="003C0D71" w:rsidRDefault="000A49A7" w:rsidP="00C2333B">
      <w:pPr>
        <w:rPr>
          <w:rFonts w:ascii="Times New Roman" w:hAnsi="Times New Roman" w:cs="Times New Roman"/>
          <w:b/>
          <w:i/>
          <w:noProof/>
          <w:sz w:val="24"/>
        </w:rPr>
      </w:pPr>
      <w:r w:rsidRPr="003C0D71">
        <w:rPr>
          <w:rFonts w:ascii="Times New Roman" w:hAnsi="Times New Roman" w:cs="Times New Roman"/>
          <w:b/>
          <w:i/>
          <w:noProof/>
          <w:sz w:val="24"/>
        </w:rPr>
        <w:t xml:space="preserve">Significant </w:t>
      </w:r>
      <w:r w:rsidR="0015535D">
        <w:rPr>
          <w:rFonts w:ascii="Times New Roman" w:hAnsi="Times New Roman" w:cs="Times New Roman"/>
          <w:b/>
          <w:i/>
          <w:noProof/>
          <w:sz w:val="24"/>
        </w:rPr>
        <w:t>r</w:t>
      </w:r>
      <w:r w:rsidRPr="003C0D71">
        <w:rPr>
          <w:rFonts w:ascii="Times New Roman" w:hAnsi="Times New Roman" w:cs="Times New Roman"/>
          <w:b/>
          <w:i/>
          <w:noProof/>
          <w:sz w:val="24"/>
        </w:rPr>
        <w:t xml:space="preserve">isk </w:t>
      </w:r>
      <w:r w:rsidR="0015535D">
        <w:rPr>
          <w:rFonts w:ascii="Times New Roman" w:hAnsi="Times New Roman" w:cs="Times New Roman"/>
          <w:b/>
          <w:i/>
          <w:noProof/>
          <w:sz w:val="24"/>
        </w:rPr>
        <w:t>t</w:t>
      </w:r>
      <w:r w:rsidRPr="003C0D71">
        <w:rPr>
          <w:rFonts w:ascii="Times New Roman" w:hAnsi="Times New Roman" w:cs="Times New Roman"/>
          <w:b/>
          <w:i/>
          <w:noProof/>
          <w:sz w:val="24"/>
        </w:rPr>
        <w:t>ransfer (SRT)</w:t>
      </w:r>
    </w:p>
    <w:p w14:paraId="405A2B96" w14:textId="18603E3D" w:rsidR="000A49A7" w:rsidRPr="003C0D71" w:rsidRDefault="000A49A7" w:rsidP="00EE5635">
      <w:pPr>
        <w:jc w:val="both"/>
        <w:rPr>
          <w:rFonts w:ascii="Times New Roman" w:eastAsia="Times New Roman" w:hAnsi="Times New Roman" w:cs="Times New Roman"/>
          <w:noProof/>
        </w:rPr>
      </w:pPr>
      <w:r w:rsidRPr="003C0D71">
        <w:rPr>
          <w:rFonts w:ascii="Times New Roman" w:eastAsia="Times New Roman" w:hAnsi="Times New Roman" w:cs="Times New Roman"/>
          <w:noProof/>
        </w:rPr>
        <w:t>One of the main objectives that underpin</w:t>
      </w:r>
      <w:r w:rsidR="00A3256D">
        <w:rPr>
          <w:rFonts w:ascii="Times New Roman" w:eastAsia="Times New Roman" w:hAnsi="Times New Roman" w:cs="Times New Roman"/>
          <w:noProof/>
        </w:rPr>
        <w:t>s</w:t>
      </w:r>
      <w:r w:rsidRPr="003C0D71">
        <w:rPr>
          <w:rFonts w:ascii="Times New Roman" w:eastAsia="Times New Roman" w:hAnsi="Times New Roman" w:cs="Times New Roman"/>
          <w:noProof/>
        </w:rPr>
        <w:t xml:space="preserve"> securitisations from an originator’s perspective is achieving capital relief in relation to the portfolio of securitised assets</w:t>
      </w:r>
      <w:r w:rsidR="00294553">
        <w:rPr>
          <w:rFonts w:ascii="Times New Roman" w:eastAsia="Times New Roman" w:hAnsi="Times New Roman" w:cs="Times New Roman"/>
          <w:noProof/>
        </w:rPr>
        <w:t>,</w:t>
      </w:r>
      <w:r w:rsidRPr="003C0D71">
        <w:rPr>
          <w:rFonts w:ascii="Times New Roman" w:eastAsia="Times New Roman" w:hAnsi="Times New Roman" w:cs="Times New Roman"/>
          <w:noProof/>
        </w:rPr>
        <w:t xml:space="preserve"> compared to the amount of regulatory capital that the originator must hold in relation to the same portfolio </w:t>
      </w:r>
      <w:r w:rsidR="000A06C6">
        <w:rPr>
          <w:rFonts w:ascii="Times New Roman" w:eastAsia="Times New Roman" w:hAnsi="Times New Roman" w:cs="Times New Roman"/>
          <w:noProof/>
        </w:rPr>
        <w:t>before</w:t>
      </w:r>
      <w:r w:rsidRPr="003C0D71">
        <w:rPr>
          <w:rFonts w:ascii="Times New Roman" w:eastAsia="Times New Roman" w:hAnsi="Times New Roman" w:cs="Times New Roman"/>
          <w:noProof/>
        </w:rPr>
        <w:t xml:space="preserve"> executing the securitisation.</w:t>
      </w:r>
    </w:p>
    <w:p w14:paraId="5E46EF35" w14:textId="473466B7" w:rsidR="000A49A7" w:rsidRPr="003C0D71" w:rsidRDefault="00A3256D" w:rsidP="00EE5635">
      <w:pPr>
        <w:jc w:val="both"/>
        <w:rPr>
          <w:rFonts w:ascii="Times New Roman" w:eastAsia="Times New Roman" w:hAnsi="Times New Roman" w:cs="Times New Roman"/>
          <w:noProof/>
        </w:rPr>
      </w:pPr>
      <w:r>
        <w:rPr>
          <w:rFonts w:ascii="Times New Roman" w:eastAsia="Times New Roman" w:hAnsi="Times New Roman" w:cs="Times New Roman"/>
          <w:noProof/>
        </w:rPr>
        <w:t>Achieving</w:t>
      </w:r>
      <w:r w:rsidR="000A49A7" w:rsidRPr="003C0D71">
        <w:rPr>
          <w:rFonts w:ascii="Times New Roman" w:eastAsia="Times New Roman" w:hAnsi="Times New Roman" w:cs="Times New Roman"/>
          <w:noProof/>
        </w:rPr>
        <w:t xml:space="preserve"> capital relief is subject to the various quantitative and qualitative conditions referred to in Articles 244 and 245 of the CRR (the </w:t>
      </w:r>
      <w:r w:rsidR="0015535D">
        <w:rPr>
          <w:rFonts w:ascii="Times New Roman" w:eastAsia="Times New Roman" w:hAnsi="Times New Roman" w:cs="Times New Roman"/>
          <w:noProof/>
        </w:rPr>
        <w:t>‘</w:t>
      </w:r>
      <w:r w:rsidR="000A49A7" w:rsidRPr="003C0D71">
        <w:rPr>
          <w:rFonts w:ascii="Times New Roman" w:eastAsia="Times New Roman" w:hAnsi="Times New Roman" w:cs="Times New Roman"/>
          <w:noProof/>
        </w:rPr>
        <w:t>SRT framework</w:t>
      </w:r>
      <w:r w:rsidR="0015535D">
        <w:rPr>
          <w:rFonts w:ascii="Times New Roman" w:eastAsia="Times New Roman" w:hAnsi="Times New Roman" w:cs="Times New Roman"/>
          <w:noProof/>
        </w:rPr>
        <w:t>’</w:t>
      </w:r>
      <w:r w:rsidR="000A49A7" w:rsidRPr="003C0D71">
        <w:rPr>
          <w:rFonts w:ascii="Times New Roman" w:eastAsia="Times New Roman" w:hAnsi="Times New Roman" w:cs="Times New Roman"/>
          <w:noProof/>
        </w:rPr>
        <w:t xml:space="preserve">), which ensure that the originator does </w:t>
      </w:r>
      <w:r w:rsidR="00C2333B" w:rsidRPr="003C0D71">
        <w:rPr>
          <w:rFonts w:ascii="Times New Roman" w:eastAsia="Times New Roman" w:hAnsi="Times New Roman" w:cs="Times New Roman"/>
          <w:noProof/>
        </w:rPr>
        <w:t xml:space="preserve">not incur a material risk of undercapitalisation in relation to the portfolio of securitised assets. Accordingly, competent authorities must assess </w:t>
      </w:r>
      <w:r>
        <w:rPr>
          <w:rFonts w:ascii="Times New Roman" w:eastAsia="Times New Roman" w:hAnsi="Times New Roman" w:cs="Times New Roman"/>
          <w:noProof/>
        </w:rPr>
        <w:t>whether</w:t>
      </w:r>
      <w:r w:rsidRPr="003C0D71">
        <w:rPr>
          <w:rFonts w:ascii="Times New Roman" w:eastAsia="Times New Roman" w:hAnsi="Times New Roman" w:cs="Times New Roman"/>
          <w:noProof/>
        </w:rPr>
        <w:t xml:space="preserve"> </w:t>
      </w:r>
      <w:r w:rsidR="000A49A7" w:rsidRPr="003C0D71">
        <w:rPr>
          <w:rFonts w:ascii="Times New Roman" w:eastAsia="Times New Roman" w:hAnsi="Times New Roman" w:cs="Times New Roman"/>
          <w:noProof/>
        </w:rPr>
        <w:t xml:space="preserve">securitisations </w:t>
      </w:r>
      <w:r>
        <w:rPr>
          <w:rFonts w:ascii="Times New Roman" w:eastAsia="Times New Roman" w:hAnsi="Times New Roman" w:cs="Times New Roman"/>
          <w:noProof/>
        </w:rPr>
        <w:t>for</w:t>
      </w:r>
      <w:r w:rsidR="000A49A7" w:rsidRPr="003C0D71">
        <w:rPr>
          <w:rFonts w:ascii="Times New Roman" w:eastAsia="Times New Roman" w:hAnsi="Times New Roman" w:cs="Times New Roman"/>
          <w:noProof/>
        </w:rPr>
        <w:t xml:space="preserve"> which originators seek to claim capital relief meet the conditions for SRT laid down in those articles. </w:t>
      </w:r>
    </w:p>
    <w:p w14:paraId="6253BCA9" w14:textId="40556840" w:rsidR="00C2333B" w:rsidRPr="003C0D71" w:rsidRDefault="00C2333B" w:rsidP="00C2333B">
      <w:pPr>
        <w:jc w:val="both"/>
        <w:rPr>
          <w:rFonts w:ascii="Times New Roman" w:eastAsia="Times New Roman" w:hAnsi="Times New Roman" w:cs="Times New Roman"/>
          <w:noProof/>
        </w:rPr>
      </w:pPr>
      <w:r w:rsidRPr="003C0D71">
        <w:rPr>
          <w:rFonts w:ascii="Times New Roman" w:eastAsia="Times New Roman" w:hAnsi="Times New Roman" w:cs="Times New Roman"/>
          <w:noProof/>
        </w:rPr>
        <w:t xml:space="preserve">The SRT framework is, therefore, essential </w:t>
      </w:r>
      <w:r w:rsidR="00A3256D">
        <w:rPr>
          <w:rFonts w:ascii="Times New Roman" w:eastAsia="Times New Roman" w:hAnsi="Times New Roman" w:cs="Times New Roman"/>
          <w:noProof/>
        </w:rPr>
        <w:t>to guarantee the</w:t>
      </w:r>
      <w:r w:rsidRPr="003C0D71">
        <w:rPr>
          <w:rFonts w:ascii="Times New Roman" w:eastAsia="Times New Roman" w:hAnsi="Times New Roman" w:cs="Times New Roman"/>
          <w:noProof/>
        </w:rPr>
        <w:t xml:space="preserve"> safety and soundness of bank originators, as well as to promote overall market confidence. </w:t>
      </w:r>
    </w:p>
    <w:p w14:paraId="41799BA0" w14:textId="06994724" w:rsidR="00C2333B" w:rsidRPr="003C0D71" w:rsidRDefault="00C2333B" w:rsidP="00C2333B">
      <w:pPr>
        <w:jc w:val="both"/>
        <w:rPr>
          <w:rFonts w:ascii="Times New Roman" w:eastAsia="Times New Roman" w:hAnsi="Times New Roman" w:cs="Times New Roman"/>
          <w:noProof/>
        </w:rPr>
      </w:pPr>
      <w:r w:rsidRPr="003C0D71">
        <w:rPr>
          <w:rFonts w:ascii="Times New Roman" w:eastAsia="Times New Roman" w:hAnsi="Times New Roman" w:cs="Times New Roman"/>
          <w:noProof/>
        </w:rPr>
        <w:t xml:space="preserve">In its </w:t>
      </w:r>
      <w:r w:rsidR="00A13C4B">
        <w:rPr>
          <w:rFonts w:ascii="Times New Roman" w:eastAsia="Times New Roman" w:hAnsi="Times New Roman" w:cs="Times New Roman"/>
          <w:noProof/>
        </w:rPr>
        <w:t>r</w:t>
      </w:r>
      <w:r w:rsidRPr="003C0D71">
        <w:rPr>
          <w:rFonts w:ascii="Times New Roman" w:eastAsia="Times New Roman" w:hAnsi="Times New Roman" w:cs="Times New Roman"/>
          <w:noProof/>
        </w:rPr>
        <w:t>eport of 23</w:t>
      </w:r>
      <w:r w:rsidR="007454D5">
        <w:rPr>
          <w:rFonts w:ascii="Times New Roman" w:eastAsia="Times New Roman" w:hAnsi="Times New Roman" w:cs="Times New Roman"/>
          <w:noProof/>
        </w:rPr>
        <w:t> </w:t>
      </w:r>
      <w:r w:rsidRPr="003C0D71">
        <w:rPr>
          <w:rFonts w:ascii="Times New Roman" w:eastAsia="Times New Roman" w:hAnsi="Times New Roman" w:cs="Times New Roman"/>
          <w:noProof/>
        </w:rPr>
        <w:t>November</w:t>
      </w:r>
      <w:r w:rsidR="007454D5">
        <w:rPr>
          <w:rFonts w:ascii="Times New Roman" w:eastAsia="Times New Roman" w:hAnsi="Times New Roman" w:cs="Times New Roman"/>
          <w:noProof/>
        </w:rPr>
        <w:t> </w:t>
      </w:r>
      <w:r w:rsidRPr="003C0D71">
        <w:rPr>
          <w:rFonts w:ascii="Times New Roman" w:eastAsia="Times New Roman" w:hAnsi="Times New Roman" w:cs="Times New Roman"/>
          <w:noProof/>
        </w:rPr>
        <w:t>2020</w:t>
      </w:r>
      <w:r w:rsidRPr="003C0D71">
        <w:rPr>
          <w:rStyle w:val="FootnoteReference"/>
          <w:rFonts w:ascii="Times New Roman" w:eastAsia="Times New Roman" w:hAnsi="Times New Roman" w:cs="Times New Roman"/>
          <w:noProof/>
        </w:rPr>
        <w:footnoteReference w:id="37"/>
      </w:r>
      <w:r w:rsidRPr="003C0D71">
        <w:rPr>
          <w:rFonts w:ascii="Times New Roman" w:eastAsia="Times New Roman" w:hAnsi="Times New Roman" w:cs="Times New Roman"/>
          <w:noProof/>
        </w:rPr>
        <w:t>, the EBA made several recommendations to the Commission on the harmonisation of SRT assessment practices and processes. Lastly, the EBA also included recommendations to simplify and improve the SRT tests laid down in Articles 245 and 246 of the CRR.</w:t>
      </w:r>
    </w:p>
    <w:p w14:paraId="7154291B" w14:textId="724A81C5" w:rsidR="00C2333B" w:rsidRPr="003C0D71" w:rsidRDefault="00C2333B" w:rsidP="00C2333B">
      <w:pPr>
        <w:jc w:val="both"/>
        <w:rPr>
          <w:rFonts w:ascii="Times New Roman" w:eastAsia="Times New Roman" w:hAnsi="Times New Roman" w:cs="Times New Roman"/>
          <w:noProof/>
        </w:rPr>
      </w:pPr>
      <w:r w:rsidRPr="003C0D71">
        <w:rPr>
          <w:rFonts w:ascii="Times New Roman" w:eastAsia="Times New Roman" w:hAnsi="Times New Roman" w:cs="Times New Roman"/>
          <w:noProof/>
        </w:rPr>
        <w:t xml:space="preserve">The industry has pointed out that the SRT framework </w:t>
      </w:r>
      <w:r w:rsidRPr="003A6BC3">
        <w:rPr>
          <w:rFonts w:ascii="Times New Roman" w:eastAsia="Times New Roman" w:hAnsi="Times New Roman" w:cs="Times New Roman"/>
          <w:noProof/>
        </w:rPr>
        <w:t>raises</w:t>
      </w:r>
      <w:r w:rsidRPr="003C0D71">
        <w:rPr>
          <w:rFonts w:ascii="Times New Roman" w:eastAsia="Times New Roman" w:hAnsi="Times New Roman" w:cs="Times New Roman"/>
          <w:noProof/>
        </w:rPr>
        <w:t xml:space="preserve"> </w:t>
      </w:r>
      <w:r w:rsidR="00554198" w:rsidRPr="003C0D71">
        <w:rPr>
          <w:rFonts w:ascii="Times New Roman" w:eastAsia="Times New Roman" w:hAnsi="Times New Roman" w:cs="Times New Roman"/>
          <w:noProof/>
        </w:rPr>
        <w:t xml:space="preserve">several </w:t>
      </w:r>
      <w:r w:rsidRPr="003C0D71">
        <w:rPr>
          <w:rFonts w:ascii="Times New Roman" w:eastAsia="Times New Roman" w:hAnsi="Times New Roman" w:cs="Times New Roman"/>
          <w:noProof/>
        </w:rPr>
        <w:t xml:space="preserve">obstacles to the smooth and effective functioning of the securitisation market and has advocated that the framework be applied in a more transparent, consistent, and efficient manner. The Commission gathered industry feedback on selected aspects of the EBA SRT </w:t>
      </w:r>
      <w:r w:rsidR="00A13C4B">
        <w:rPr>
          <w:rFonts w:ascii="Times New Roman" w:eastAsia="Times New Roman" w:hAnsi="Times New Roman" w:cs="Times New Roman"/>
          <w:noProof/>
        </w:rPr>
        <w:t>r</w:t>
      </w:r>
      <w:r w:rsidRPr="003C0D71">
        <w:rPr>
          <w:rFonts w:ascii="Times New Roman" w:eastAsia="Times New Roman" w:hAnsi="Times New Roman" w:cs="Times New Roman"/>
          <w:noProof/>
        </w:rPr>
        <w:t xml:space="preserve">eport in the </w:t>
      </w:r>
      <w:r w:rsidR="00443B8F">
        <w:rPr>
          <w:rFonts w:ascii="Times New Roman" w:eastAsia="Times New Roman" w:hAnsi="Times New Roman" w:cs="Times New Roman"/>
          <w:noProof/>
        </w:rPr>
        <w:t>c</w:t>
      </w:r>
      <w:r w:rsidRPr="003C0D71">
        <w:rPr>
          <w:rFonts w:ascii="Times New Roman" w:eastAsia="Times New Roman" w:hAnsi="Times New Roman" w:cs="Times New Roman"/>
          <w:noProof/>
        </w:rPr>
        <w:t xml:space="preserve">onsultation. </w:t>
      </w:r>
    </w:p>
    <w:p w14:paraId="44B9E4CC" w14:textId="225496E1" w:rsidR="00DA16A7" w:rsidRPr="003C0D71" w:rsidRDefault="00C2333B" w:rsidP="00C2333B">
      <w:pPr>
        <w:jc w:val="both"/>
        <w:rPr>
          <w:rFonts w:ascii="Times New Roman" w:eastAsia="Times New Roman" w:hAnsi="Times New Roman" w:cs="Times New Roman"/>
          <w:noProof/>
        </w:rPr>
      </w:pPr>
      <w:r w:rsidRPr="003C0D71">
        <w:rPr>
          <w:rFonts w:ascii="Times New Roman" w:eastAsia="Times New Roman" w:hAnsi="Times New Roman" w:cs="Times New Roman"/>
          <w:noProof/>
        </w:rPr>
        <w:t>In light of the EBA recommendations and industry feedback, the Commission is currently considering the merit and convenience of using the empowerment laid down in Articles 244(6) and 245(6) of the CRR to enhance the harmonisation of the SRT framework</w:t>
      </w:r>
      <w:r w:rsidR="000F3481" w:rsidRPr="003C0D71">
        <w:rPr>
          <w:rFonts w:ascii="Times New Roman" w:eastAsia="Times New Roman" w:hAnsi="Times New Roman" w:cs="Times New Roman"/>
          <w:noProof/>
        </w:rPr>
        <w:t xml:space="preserve">, </w:t>
      </w:r>
      <w:r w:rsidR="00A3256D">
        <w:rPr>
          <w:rFonts w:ascii="Times New Roman" w:eastAsia="Times New Roman" w:hAnsi="Times New Roman" w:cs="Times New Roman"/>
          <w:noProof/>
        </w:rPr>
        <w:t>with the aim of</w:t>
      </w:r>
      <w:r w:rsidR="00A3256D" w:rsidRPr="003C0D71">
        <w:rPr>
          <w:rFonts w:ascii="Times New Roman" w:eastAsia="Times New Roman" w:hAnsi="Times New Roman" w:cs="Times New Roman"/>
          <w:noProof/>
        </w:rPr>
        <w:t xml:space="preserve"> </w:t>
      </w:r>
      <w:r w:rsidR="000F3481" w:rsidRPr="003C0D71">
        <w:rPr>
          <w:rFonts w:ascii="Times New Roman" w:eastAsia="Times New Roman" w:hAnsi="Times New Roman" w:cs="Times New Roman"/>
          <w:noProof/>
        </w:rPr>
        <w:t>making it more efficient, transparent and consistent</w:t>
      </w:r>
      <w:r w:rsidRPr="003C0D71">
        <w:rPr>
          <w:rFonts w:ascii="Times New Roman" w:eastAsia="Times New Roman" w:hAnsi="Times New Roman" w:cs="Times New Roman"/>
          <w:noProof/>
        </w:rPr>
        <w:t>.</w:t>
      </w:r>
    </w:p>
    <w:p w14:paraId="2A8B46D8" w14:textId="77777777" w:rsidR="00C75810" w:rsidRPr="003C0D71" w:rsidRDefault="00363206" w:rsidP="00363206">
      <w:pPr>
        <w:pStyle w:val="Heading1"/>
        <w:rPr>
          <w:rFonts w:ascii="Times New Roman" w:hAnsi="Times New Roman" w:cs="Times New Roman"/>
          <w:noProof/>
          <w:color w:val="auto"/>
        </w:rPr>
      </w:pPr>
      <w:bookmarkStart w:id="81" w:name="_Toc104283081"/>
      <w:bookmarkStart w:id="82" w:name="_Toc104286149"/>
      <w:bookmarkStart w:id="83" w:name="_Toc104297353"/>
      <w:bookmarkStart w:id="84" w:name="_Toc115346222"/>
      <w:r w:rsidRPr="003C0D71">
        <w:rPr>
          <w:rFonts w:ascii="Times New Roman" w:hAnsi="Times New Roman" w:cs="Times New Roman"/>
          <w:noProof/>
          <w:color w:val="auto"/>
        </w:rPr>
        <w:t xml:space="preserve">14. </w:t>
      </w:r>
      <w:r w:rsidR="2603B6C4" w:rsidRPr="003C0D71">
        <w:rPr>
          <w:rFonts w:ascii="Times New Roman" w:hAnsi="Times New Roman" w:cs="Times New Roman"/>
          <w:noProof/>
          <w:color w:val="auto"/>
        </w:rPr>
        <w:t>Conclusion</w:t>
      </w:r>
      <w:bookmarkEnd w:id="81"/>
      <w:bookmarkEnd w:id="82"/>
      <w:bookmarkEnd w:id="83"/>
      <w:bookmarkEnd w:id="84"/>
    </w:p>
    <w:p w14:paraId="3C29930D" w14:textId="4C9CC01E" w:rsidR="004100C8" w:rsidRPr="003C0D71" w:rsidRDefault="004100C8" w:rsidP="004100C8">
      <w:pPr>
        <w:jc w:val="both"/>
        <w:rPr>
          <w:rFonts w:ascii="Times New Roman" w:eastAsia="Calibri" w:hAnsi="Times New Roman" w:cs="Times New Roman"/>
          <w:noProof/>
        </w:rPr>
      </w:pPr>
      <w:r w:rsidRPr="003C0D71">
        <w:rPr>
          <w:rFonts w:ascii="Times New Roman" w:eastAsia="Calibri" w:hAnsi="Times New Roman" w:cs="Times New Roman"/>
          <w:noProof/>
        </w:rPr>
        <w:t xml:space="preserve">The new EU securitisation framework became applicable only in 2019 and some new elements were added as late as April 2021. The full implementation of the framework is still ongoing with a few </w:t>
      </w:r>
      <w:r w:rsidR="002F1C37">
        <w:rPr>
          <w:rFonts w:ascii="Times New Roman" w:eastAsia="Calibri" w:hAnsi="Times New Roman" w:cs="Times New Roman"/>
          <w:noProof/>
        </w:rPr>
        <w:t xml:space="preserve">regulatory technical standards </w:t>
      </w:r>
      <w:r w:rsidRPr="003C0D71">
        <w:rPr>
          <w:rFonts w:ascii="Times New Roman" w:eastAsia="Calibri" w:hAnsi="Times New Roman" w:cs="Times New Roman"/>
          <w:noProof/>
        </w:rPr>
        <w:t xml:space="preserve">still under preparation. Likewise, </w:t>
      </w:r>
      <w:r w:rsidR="00C612CF" w:rsidRPr="003C0D71">
        <w:rPr>
          <w:rFonts w:ascii="Times New Roman" w:eastAsia="Calibri" w:hAnsi="Times New Roman" w:cs="Times New Roman"/>
          <w:noProof/>
        </w:rPr>
        <w:t>as the</w:t>
      </w:r>
      <w:r w:rsidRPr="003C0D71">
        <w:rPr>
          <w:rFonts w:ascii="Times New Roman" w:eastAsia="Calibri" w:hAnsi="Times New Roman" w:cs="Times New Roman"/>
          <w:noProof/>
        </w:rPr>
        <w:t xml:space="preserve"> questions on the jurisdictional scope show, </w:t>
      </w:r>
      <w:r w:rsidR="003A6BC3">
        <w:rPr>
          <w:rFonts w:ascii="Times New Roman" w:eastAsia="Calibri" w:hAnsi="Times New Roman" w:cs="Times New Roman"/>
          <w:noProof/>
        </w:rPr>
        <w:t>for example,</w:t>
      </w:r>
      <w:r w:rsidR="003A6BC3" w:rsidRPr="003C0D71">
        <w:rPr>
          <w:rFonts w:ascii="Times New Roman" w:eastAsia="Calibri" w:hAnsi="Times New Roman" w:cs="Times New Roman"/>
          <w:noProof/>
        </w:rPr>
        <w:t xml:space="preserve"> </w:t>
      </w:r>
      <w:r w:rsidRPr="003C0D71">
        <w:rPr>
          <w:rFonts w:ascii="Times New Roman" w:eastAsia="Calibri" w:hAnsi="Times New Roman" w:cs="Times New Roman"/>
          <w:noProof/>
        </w:rPr>
        <w:t>both market participants and supervisors are still in the process of translating the legal provision</w:t>
      </w:r>
      <w:r w:rsidR="007753CD">
        <w:rPr>
          <w:rFonts w:ascii="Times New Roman" w:eastAsia="Calibri" w:hAnsi="Times New Roman" w:cs="Times New Roman"/>
          <w:noProof/>
        </w:rPr>
        <w:t>s</w:t>
      </w:r>
      <w:r w:rsidRPr="003C0D71">
        <w:rPr>
          <w:rFonts w:ascii="Times New Roman" w:eastAsia="Calibri" w:hAnsi="Times New Roman" w:cs="Times New Roman"/>
          <w:noProof/>
        </w:rPr>
        <w:t xml:space="preserve"> into practice. </w:t>
      </w:r>
    </w:p>
    <w:p w14:paraId="21FB379C" w14:textId="44F0469D" w:rsidR="004100C8" w:rsidRPr="003C0D71" w:rsidRDefault="004100C8" w:rsidP="004100C8">
      <w:pPr>
        <w:jc w:val="both"/>
        <w:rPr>
          <w:rFonts w:ascii="Times New Roman" w:eastAsia="Calibri" w:hAnsi="Times New Roman" w:cs="Times New Roman"/>
          <w:noProof/>
        </w:rPr>
      </w:pPr>
      <w:r w:rsidRPr="003C0D71">
        <w:rPr>
          <w:rFonts w:ascii="Times New Roman" w:eastAsia="Calibri" w:hAnsi="Times New Roman" w:cs="Times New Roman"/>
          <w:noProof/>
        </w:rPr>
        <w:t xml:space="preserve">Hence, the Commission believes that more time is needed to get a full picture of </w:t>
      </w:r>
      <w:r w:rsidR="00791E79">
        <w:rPr>
          <w:rFonts w:ascii="Times New Roman" w:eastAsia="Calibri" w:hAnsi="Times New Roman" w:cs="Times New Roman"/>
          <w:noProof/>
        </w:rPr>
        <w:t xml:space="preserve">the </w:t>
      </w:r>
      <w:r w:rsidRPr="003C0D71">
        <w:rPr>
          <w:rFonts w:ascii="Times New Roman" w:eastAsia="Calibri" w:hAnsi="Times New Roman" w:cs="Times New Roman"/>
          <w:noProof/>
        </w:rPr>
        <w:t xml:space="preserve">impact of the new securitisation framework. This </w:t>
      </w:r>
      <w:r w:rsidR="006756D2" w:rsidRPr="003C0D71">
        <w:rPr>
          <w:rFonts w:ascii="Times New Roman" w:eastAsia="Calibri" w:hAnsi="Times New Roman" w:cs="Times New Roman"/>
          <w:noProof/>
        </w:rPr>
        <w:t xml:space="preserve">is </w:t>
      </w:r>
      <w:r w:rsidRPr="003C0D71">
        <w:rPr>
          <w:rFonts w:ascii="Times New Roman" w:eastAsia="Calibri" w:hAnsi="Times New Roman" w:cs="Times New Roman"/>
          <w:noProof/>
        </w:rPr>
        <w:t xml:space="preserve">all the more </w:t>
      </w:r>
      <w:r w:rsidR="006756D2" w:rsidRPr="003C0D71">
        <w:rPr>
          <w:rFonts w:ascii="Times New Roman" w:eastAsia="Calibri" w:hAnsi="Times New Roman" w:cs="Times New Roman"/>
          <w:noProof/>
        </w:rPr>
        <w:t xml:space="preserve">so </w:t>
      </w:r>
      <w:r w:rsidRPr="003C0D71">
        <w:rPr>
          <w:rFonts w:ascii="Times New Roman" w:eastAsia="Calibri" w:hAnsi="Times New Roman" w:cs="Times New Roman"/>
          <w:noProof/>
        </w:rPr>
        <w:t xml:space="preserve">as extraordinary external factors like the COVID-19 pandemic and the </w:t>
      </w:r>
      <w:r w:rsidR="000053AA" w:rsidRPr="003C0D71">
        <w:rPr>
          <w:rFonts w:ascii="Times New Roman" w:eastAsia="Calibri" w:hAnsi="Times New Roman" w:cs="Times New Roman"/>
          <w:noProof/>
        </w:rPr>
        <w:t xml:space="preserve">accommodative monetary policy </w:t>
      </w:r>
      <w:r w:rsidR="00AF14A8">
        <w:rPr>
          <w:rFonts w:ascii="Times New Roman" w:eastAsia="Calibri" w:hAnsi="Times New Roman" w:cs="Times New Roman"/>
          <w:noProof/>
        </w:rPr>
        <w:t>of</w:t>
      </w:r>
      <w:r w:rsidR="00AF14A8" w:rsidRPr="003C0D71">
        <w:rPr>
          <w:rFonts w:ascii="Times New Roman" w:eastAsia="Calibri" w:hAnsi="Times New Roman" w:cs="Times New Roman"/>
          <w:noProof/>
        </w:rPr>
        <w:t xml:space="preserve"> </w:t>
      </w:r>
      <w:r w:rsidRPr="003C0D71">
        <w:rPr>
          <w:rFonts w:ascii="Times New Roman" w:eastAsia="Calibri" w:hAnsi="Times New Roman" w:cs="Times New Roman"/>
          <w:noProof/>
        </w:rPr>
        <w:t xml:space="preserve">the central banks </w:t>
      </w:r>
      <w:r w:rsidR="006756D2" w:rsidRPr="003C0D71">
        <w:rPr>
          <w:rFonts w:ascii="Times New Roman" w:eastAsia="Calibri" w:hAnsi="Times New Roman" w:cs="Times New Roman"/>
          <w:noProof/>
        </w:rPr>
        <w:t xml:space="preserve">during that period </w:t>
      </w:r>
      <w:r w:rsidRPr="003C0D71">
        <w:rPr>
          <w:rFonts w:ascii="Times New Roman" w:eastAsia="Calibri" w:hAnsi="Times New Roman" w:cs="Times New Roman"/>
          <w:noProof/>
        </w:rPr>
        <w:t xml:space="preserve">might have played a significant role in how the EU securitisation market has or has not developed since the new framework entered into application. </w:t>
      </w:r>
    </w:p>
    <w:p w14:paraId="3D912600" w14:textId="65E1705C" w:rsidR="004100C8" w:rsidRPr="003C0D71" w:rsidRDefault="004100C8" w:rsidP="004100C8">
      <w:pPr>
        <w:jc w:val="both"/>
        <w:rPr>
          <w:rFonts w:ascii="Times New Roman" w:eastAsia="Calibri" w:hAnsi="Times New Roman" w:cs="Times New Roman"/>
          <w:noProof/>
        </w:rPr>
      </w:pPr>
      <w:r w:rsidRPr="003C0D71">
        <w:rPr>
          <w:rFonts w:ascii="Times New Roman" w:eastAsia="Calibri" w:hAnsi="Times New Roman" w:cs="Times New Roman"/>
          <w:noProof/>
        </w:rPr>
        <w:t>Having said that, this legally mandated review is a good opportunity to take stock</w:t>
      </w:r>
      <w:r w:rsidR="007753CD">
        <w:rPr>
          <w:rFonts w:ascii="Times New Roman" w:eastAsia="Calibri" w:hAnsi="Times New Roman" w:cs="Times New Roman"/>
          <w:noProof/>
        </w:rPr>
        <w:t>,</w:t>
      </w:r>
      <w:r w:rsidRPr="003C0D71">
        <w:rPr>
          <w:rFonts w:ascii="Times New Roman" w:eastAsia="Calibri" w:hAnsi="Times New Roman" w:cs="Times New Roman"/>
          <w:noProof/>
        </w:rPr>
        <w:t xml:space="preserve"> on a preliminary basis</w:t>
      </w:r>
      <w:r w:rsidR="007753CD">
        <w:rPr>
          <w:rFonts w:ascii="Times New Roman" w:eastAsia="Calibri" w:hAnsi="Times New Roman" w:cs="Times New Roman"/>
          <w:noProof/>
        </w:rPr>
        <w:t>,</w:t>
      </w:r>
      <w:r w:rsidRPr="003C0D71">
        <w:rPr>
          <w:rFonts w:ascii="Times New Roman" w:eastAsia="Calibri" w:hAnsi="Times New Roman" w:cs="Times New Roman"/>
          <w:noProof/>
        </w:rPr>
        <w:t xml:space="preserve"> and to decide whether there are areas that </w:t>
      </w:r>
      <w:r w:rsidR="000053AA" w:rsidRPr="003C0D71">
        <w:rPr>
          <w:rFonts w:ascii="Times New Roman" w:eastAsia="Calibri" w:hAnsi="Times New Roman" w:cs="Times New Roman"/>
          <w:noProof/>
        </w:rPr>
        <w:t>warrant immediate</w:t>
      </w:r>
      <w:r w:rsidRPr="003C0D71">
        <w:rPr>
          <w:rFonts w:ascii="Times New Roman" w:eastAsia="Calibri" w:hAnsi="Times New Roman" w:cs="Times New Roman"/>
          <w:noProof/>
        </w:rPr>
        <w:t xml:space="preserve"> </w:t>
      </w:r>
      <w:r w:rsidR="006756D2" w:rsidRPr="003C0D71">
        <w:rPr>
          <w:rFonts w:ascii="Times New Roman" w:eastAsia="Calibri" w:hAnsi="Times New Roman" w:cs="Times New Roman"/>
          <w:noProof/>
        </w:rPr>
        <w:t>action</w:t>
      </w:r>
      <w:r w:rsidRPr="003C0D71">
        <w:rPr>
          <w:rFonts w:ascii="Times New Roman" w:eastAsia="Calibri" w:hAnsi="Times New Roman" w:cs="Times New Roman"/>
          <w:noProof/>
        </w:rPr>
        <w:t>. Considering all the input received, the Commission believes that the Securitisation Regulation contributes significantly to achiev</w:t>
      </w:r>
      <w:r w:rsidR="007753CD">
        <w:rPr>
          <w:rFonts w:ascii="Times New Roman" w:eastAsia="Calibri" w:hAnsi="Times New Roman" w:cs="Times New Roman"/>
          <w:noProof/>
        </w:rPr>
        <w:t>ing</w:t>
      </w:r>
      <w:r w:rsidRPr="003C0D71">
        <w:rPr>
          <w:rFonts w:ascii="Times New Roman" w:eastAsia="Calibri" w:hAnsi="Times New Roman" w:cs="Times New Roman"/>
          <w:noProof/>
        </w:rPr>
        <w:t xml:space="preserve"> the 2017 legislation</w:t>
      </w:r>
      <w:r w:rsidR="007753CD">
        <w:rPr>
          <w:rFonts w:ascii="Times New Roman" w:eastAsia="Calibri" w:hAnsi="Times New Roman" w:cs="Times New Roman"/>
          <w:noProof/>
        </w:rPr>
        <w:t>’s</w:t>
      </w:r>
      <w:r w:rsidRPr="003C0D71">
        <w:rPr>
          <w:rFonts w:ascii="Times New Roman" w:eastAsia="Calibri" w:hAnsi="Times New Roman" w:cs="Times New Roman"/>
          <w:noProof/>
        </w:rPr>
        <w:t xml:space="preserve"> </w:t>
      </w:r>
      <w:r w:rsidR="007753CD" w:rsidRPr="003C0D71">
        <w:rPr>
          <w:rFonts w:ascii="Times New Roman" w:eastAsia="Calibri" w:hAnsi="Times New Roman" w:cs="Times New Roman"/>
          <w:noProof/>
        </w:rPr>
        <w:t xml:space="preserve">core objective of </w:t>
      </w:r>
      <w:r w:rsidRPr="003C0D71">
        <w:rPr>
          <w:rFonts w:ascii="Times New Roman" w:eastAsia="Calibri" w:hAnsi="Times New Roman" w:cs="Times New Roman"/>
          <w:noProof/>
        </w:rPr>
        <w:t>establish</w:t>
      </w:r>
      <w:r w:rsidR="007753CD">
        <w:rPr>
          <w:rFonts w:ascii="Times New Roman" w:eastAsia="Calibri" w:hAnsi="Times New Roman" w:cs="Times New Roman"/>
          <w:noProof/>
        </w:rPr>
        <w:t>ing</w:t>
      </w:r>
      <w:r w:rsidRPr="003C0D71">
        <w:rPr>
          <w:rFonts w:ascii="Times New Roman" w:eastAsia="Calibri" w:hAnsi="Times New Roman" w:cs="Times New Roman"/>
          <w:noProof/>
        </w:rPr>
        <w:t xml:space="preserve"> an EU securitisation market that helps financ</w:t>
      </w:r>
      <w:r w:rsidR="007753CD">
        <w:rPr>
          <w:rFonts w:ascii="Times New Roman" w:eastAsia="Calibri" w:hAnsi="Times New Roman" w:cs="Times New Roman"/>
          <w:noProof/>
        </w:rPr>
        <w:t>e</w:t>
      </w:r>
      <w:r w:rsidRPr="003C0D71">
        <w:rPr>
          <w:rFonts w:ascii="Times New Roman" w:eastAsia="Calibri" w:hAnsi="Times New Roman" w:cs="Times New Roman"/>
          <w:noProof/>
        </w:rPr>
        <w:t xml:space="preserve"> the economy without creating risks </w:t>
      </w:r>
      <w:r w:rsidR="007753CD">
        <w:rPr>
          <w:rFonts w:ascii="Times New Roman" w:eastAsia="Calibri" w:hAnsi="Times New Roman" w:cs="Times New Roman"/>
          <w:noProof/>
        </w:rPr>
        <w:t>to</w:t>
      </w:r>
      <w:r w:rsidR="007753CD" w:rsidRPr="003C0D71">
        <w:rPr>
          <w:rFonts w:ascii="Times New Roman" w:eastAsia="Calibri" w:hAnsi="Times New Roman" w:cs="Times New Roman"/>
          <w:noProof/>
        </w:rPr>
        <w:t xml:space="preserve"> </w:t>
      </w:r>
      <w:r w:rsidRPr="003C0D71">
        <w:rPr>
          <w:rFonts w:ascii="Times New Roman" w:eastAsia="Calibri" w:hAnsi="Times New Roman" w:cs="Times New Roman"/>
          <w:noProof/>
        </w:rPr>
        <w:t>financial stability. The new</w:t>
      </w:r>
      <w:r w:rsidR="003A6BC3">
        <w:rPr>
          <w:rFonts w:ascii="Times New Roman" w:eastAsia="Calibri" w:hAnsi="Times New Roman" w:cs="Times New Roman"/>
          <w:noProof/>
        </w:rPr>
        <w:t xml:space="preserve"> </w:t>
      </w:r>
      <w:r w:rsidRPr="003C0D71">
        <w:rPr>
          <w:rFonts w:ascii="Times New Roman" w:eastAsia="Calibri" w:hAnsi="Times New Roman" w:cs="Times New Roman"/>
          <w:noProof/>
        </w:rPr>
        <w:t xml:space="preserve">STS label constitutes </w:t>
      </w:r>
      <w:r w:rsidRPr="003A6BC3">
        <w:rPr>
          <w:rFonts w:ascii="Times New Roman" w:eastAsia="Calibri" w:hAnsi="Times New Roman" w:cs="Times New Roman"/>
          <w:noProof/>
        </w:rPr>
        <w:t xml:space="preserve">one building block to this end and helps to remove the stigma that the EU securitisation markets </w:t>
      </w:r>
      <w:r w:rsidR="007753CD" w:rsidRPr="003A6BC3">
        <w:rPr>
          <w:rFonts w:ascii="Times New Roman" w:eastAsia="Calibri" w:hAnsi="Times New Roman" w:cs="Times New Roman"/>
          <w:noProof/>
        </w:rPr>
        <w:t>h</w:t>
      </w:r>
      <w:r w:rsidR="007753CD">
        <w:rPr>
          <w:rFonts w:ascii="Times New Roman" w:eastAsia="Calibri" w:hAnsi="Times New Roman" w:cs="Times New Roman"/>
          <w:noProof/>
        </w:rPr>
        <w:t>ave</w:t>
      </w:r>
      <w:r w:rsidR="007753CD" w:rsidRPr="003C0D71">
        <w:rPr>
          <w:rFonts w:ascii="Times New Roman" w:eastAsia="Calibri" w:hAnsi="Times New Roman" w:cs="Times New Roman"/>
          <w:noProof/>
        </w:rPr>
        <w:t xml:space="preserve"> </w:t>
      </w:r>
      <w:r w:rsidRPr="003C0D71">
        <w:rPr>
          <w:rFonts w:ascii="Times New Roman" w:eastAsia="Calibri" w:hAnsi="Times New Roman" w:cs="Times New Roman"/>
          <w:noProof/>
        </w:rPr>
        <w:t>suffer</w:t>
      </w:r>
      <w:r w:rsidR="007753CD">
        <w:rPr>
          <w:rFonts w:ascii="Times New Roman" w:eastAsia="Calibri" w:hAnsi="Times New Roman" w:cs="Times New Roman"/>
          <w:noProof/>
        </w:rPr>
        <w:t>ed</w:t>
      </w:r>
      <w:r w:rsidRPr="003C0D71">
        <w:rPr>
          <w:rFonts w:ascii="Times New Roman" w:eastAsia="Calibri" w:hAnsi="Times New Roman" w:cs="Times New Roman"/>
          <w:noProof/>
        </w:rPr>
        <w:t xml:space="preserve"> from since the great financial crisis. Overall, the market seems to work</w:t>
      </w:r>
      <w:r w:rsidR="00A238D0" w:rsidRPr="003C0D71">
        <w:rPr>
          <w:rFonts w:ascii="Times New Roman" w:eastAsia="Calibri" w:hAnsi="Times New Roman" w:cs="Times New Roman"/>
          <w:noProof/>
        </w:rPr>
        <w:t xml:space="preserve"> reasonably</w:t>
      </w:r>
      <w:r w:rsidR="007753CD">
        <w:rPr>
          <w:rFonts w:ascii="Times New Roman" w:eastAsia="Calibri" w:hAnsi="Times New Roman" w:cs="Times New Roman"/>
          <w:noProof/>
        </w:rPr>
        <w:t xml:space="preserve"> well</w:t>
      </w:r>
      <w:r w:rsidRPr="003C0D71">
        <w:rPr>
          <w:rFonts w:ascii="Times New Roman" w:eastAsia="Calibri" w:hAnsi="Times New Roman" w:cs="Times New Roman"/>
          <w:noProof/>
        </w:rPr>
        <w:t xml:space="preserve">, even though expectations </w:t>
      </w:r>
      <w:r w:rsidR="007753CD">
        <w:rPr>
          <w:rFonts w:ascii="Times New Roman" w:eastAsia="Calibri" w:hAnsi="Times New Roman" w:cs="Times New Roman"/>
          <w:noProof/>
        </w:rPr>
        <w:t>for</w:t>
      </w:r>
      <w:r w:rsidR="007753CD" w:rsidRPr="003C0D71">
        <w:rPr>
          <w:rFonts w:ascii="Times New Roman" w:eastAsia="Calibri" w:hAnsi="Times New Roman" w:cs="Times New Roman"/>
          <w:noProof/>
        </w:rPr>
        <w:t xml:space="preserve"> </w:t>
      </w:r>
      <w:r w:rsidRPr="003C0D71">
        <w:rPr>
          <w:rFonts w:ascii="Times New Roman" w:eastAsia="Calibri" w:hAnsi="Times New Roman" w:cs="Times New Roman"/>
          <w:noProof/>
        </w:rPr>
        <w:t xml:space="preserve">a </w:t>
      </w:r>
      <w:r w:rsidR="00A238D0" w:rsidRPr="003C0D71">
        <w:rPr>
          <w:rFonts w:ascii="Times New Roman" w:eastAsia="Calibri" w:hAnsi="Times New Roman" w:cs="Times New Roman"/>
          <w:noProof/>
        </w:rPr>
        <w:t xml:space="preserve">highly </w:t>
      </w:r>
      <w:r w:rsidRPr="003C0D71">
        <w:rPr>
          <w:rFonts w:ascii="Times New Roman" w:eastAsia="Calibri" w:hAnsi="Times New Roman" w:cs="Times New Roman"/>
          <w:noProof/>
        </w:rPr>
        <w:t xml:space="preserve">dynamic market with </w:t>
      </w:r>
      <w:r w:rsidR="007753CD">
        <w:rPr>
          <w:rFonts w:ascii="Times New Roman" w:eastAsia="Calibri" w:hAnsi="Times New Roman" w:cs="Times New Roman"/>
          <w:noProof/>
        </w:rPr>
        <w:t>increasing</w:t>
      </w:r>
      <w:r w:rsidR="007753CD" w:rsidRPr="003C0D71">
        <w:rPr>
          <w:rFonts w:ascii="Times New Roman" w:eastAsia="Calibri" w:hAnsi="Times New Roman" w:cs="Times New Roman"/>
          <w:noProof/>
        </w:rPr>
        <w:t xml:space="preserve"> </w:t>
      </w:r>
      <w:r w:rsidRPr="003C0D71">
        <w:rPr>
          <w:rFonts w:ascii="Times New Roman" w:eastAsia="Calibri" w:hAnsi="Times New Roman" w:cs="Times New Roman"/>
          <w:noProof/>
        </w:rPr>
        <w:t xml:space="preserve">volumes and </w:t>
      </w:r>
      <w:r w:rsidR="007753CD">
        <w:rPr>
          <w:rFonts w:ascii="Times New Roman" w:eastAsia="Calibri" w:hAnsi="Times New Roman" w:cs="Times New Roman"/>
          <w:noProof/>
        </w:rPr>
        <w:t xml:space="preserve">a growing </w:t>
      </w:r>
      <w:r w:rsidRPr="003C0D71">
        <w:rPr>
          <w:rFonts w:ascii="Times New Roman" w:eastAsia="Calibri" w:hAnsi="Times New Roman" w:cs="Times New Roman"/>
          <w:noProof/>
        </w:rPr>
        <w:t xml:space="preserve">number of participants </w:t>
      </w:r>
      <w:r w:rsidR="009B4043" w:rsidRPr="003C0D71">
        <w:rPr>
          <w:rFonts w:ascii="Times New Roman" w:eastAsia="Calibri" w:hAnsi="Times New Roman" w:cs="Times New Roman"/>
          <w:noProof/>
        </w:rPr>
        <w:t xml:space="preserve">do not </w:t>
      </w:r>
      <w:r w:rsidR="007753CD">
        <w:rPr>
          <w:rFonts w:ascii="Times New Roman" w:eastAsia="Calibri" w:hAnsi="Times New Roman" w:cs="Times New Roman"/>
          <w:noProof/>
        </w:rPr>
        <w:t xml:space="preserve">yet </w:t>
      </w:r>
      <w:r w:rsidR="009B4043" w:rsidRPr="003C0D71">
        <w:rPr>
          <w:rFonts w:ascii="Times New Roman" w:eastAsia="Calibri" w:hAnsi="Times New Roman" w:cs="Times New Roman"/>
          <w:noProof/>
        </w:rPr>
        <w:t xml:space="preserve">seem to </w:t>
      </w:r>
      <w:r w:rsidRPr="003C0D71">
        <w:rPr>
          <w:rFonts w:ascii="Times New Roman" w:eastAsia="Calibri" w:hAnsi="Times New Roman" w:cs="Times New Roman"/>
          <w:noProof/>
        </w:rPr>
        <w:t>have been fulfilled.</w:t>
      </w:r>
    </w:p>
    <w:p w14:paraId="046BAF09" w14:textId="58C0F290" w:rsidR="004100C8" w:rsidRPr="003C0D71" w:rsidRDefault="004100C8" w:rsidP="004100C8">
      <w:pPr>
        <w:jc w:val="both"/>
        <w:rPr>
          <w:rFonts w:ascii="Times New Roman" w:eastAsia="Calibri" w:hAnsi="Times New Roman" w:cs="Times New Roman"/>
          <w:noProof/>
        </w:rPr>
      </w:pPr>
      <w:r w:rsidRPr="003C0D71">
        <w:rPr>
          <w:rFonts w:ascii="Times New Roman" w:eastAsia="Calibri" w:hAnsi="Times New Roman" w:cs="Times New Roman"/>
          <w:noProof/>
        </w:rPr>
        <w:t xml:space="preserve">However, this first official stocktake of the new securitisation framework also </w:t>
      </w:r>
      <w:r w:rsidR="00343847">
        <w:rPr>
          <w:rFonts w:ascii="Times New Roman" w:eastAsia="Calibri" w:hAnsi="Times New Roman" w:cs="Times New Roman"/>
          <w:noProof/>
        </w:rPr>
        <w:t>raised</w:t>
      </w:r>
      <w:r w:rsidR="00343847" w:rsidRPr="003C0D71">
        <w:rPr>
          <w:rFonts w:ascii="Times New Roman" w:eastAsia="Calibri" w:hAnsi="Times New Roman" w:cs="Times New Roman"/>
          <w:noProof/>
        </w:rPr>
        <w:t xml:space="preserve"> </w:t>
      </w:r>
      <w:r w:rsidRPr="003C0D71">
        <w:rPr>
          <w:rFonts w:ascii="Times New Roman" w:eastAsia="Calibri" w:hAnsi="Times New Roman" w:cs="Times New Roman"/>
          <w:noProof/>
        </w:rPr>
        <w:t xml:space="preserve">a number of issues with the new framework that </w:t>
      </w:r>
      <w:r w:rsidRPr="003A6BC3">
        <w:rPr>
          <w:rFonts w:ascii="Times New Roman" w:eastAsia="Calibri" w:hAnsi="Times New Roman" w:cs="Times New Roman"/>
          <w:noProof/>
        </w:rPr>
        <w:t>are considered</w:t>
      </w:r>
      <w:r w:rsidRPr="003C0D71">
        <w:rPr>
          <w:rFonts w:ascii="Times New Roman" w:eastAsia="Calibri" w:hAnsi="Times New Roman" w:cs="Times New Roman"/>
          <w:noProof/>
        </w:rPr>
        <w:t xml:space="preserve"> to play a role</w:t>
      </w:r>
      <w:r w:rsidR="006756D2" w:rsidRPr="003C0D71">
        <w:rPr>
          <w:rFonts w:ascii="Times New Roman" w:eastAsia="Calibri" w:hAnsi="Times New Roman" w:cs="Times New Roman"/>
          <w:noProof/>
        </w:rPr>
        <w:t xml:space="preserve"> in</w:t>
      </w:r>
      <w:r w:rsidRPr="003C0D71">
        <w:rPr>
          <w:rFonts w:ascii="Times New Roman" w:eastAsia="Calibri" w:hAnsi="Times New Roman" w:cs="Times New Roman"/>
          <w:noProof/>
        </w:rPr>
        <w:t xml:space="preserve"> why the EU securitisation market has so far not grown as much as the initiators of the new framework had hoped. </w:t>
      </w:r>
    </w:p>
    <w:p w14:paraId="3226A85D" w14:textId="3A9374D9" w:rsidR="00CB2EF4" w:rsidRDefault="000A06C6" w:rsidP="004100C8">
      <w:pPr>
        <w:jc w:val="both"/>
        <w:rPr>
          <w:rFonts w:ascii="Times New Roman" w:eastAsia="Calibri" w:hAnsi="Times New Roman" w:cs="Times New Roman"/>
          <w:noProof/>
        </w:rPr>
      </w:pPr>
      <w:r>
        <w:rPr>
          <w:rFonts w:ascii="Times New Roman" w:eastAsia="Calibri" w:hAnsi="Times New Roman" w:cs="Times New Roman"/>
          <w:noProof/>
        </w:rPr>
        <w:t xml:space="preserve">On </w:t>
      </w:r>
      <w:r w:rsidR="00CB2EF4" w:rsidRPr="004100C8">
        <w:rPr>
          <w:rFonts w:ascii="Times New Roman" w:eastAsia="Calibri" w:hAnsi="Times New Roman" w:cs="Times New Roman"/>
          <w:noProof/>
        </w:rPr>
        <w:t>the prudential treatment of securitisation</w:t>
      </w:r>
      <w:r>
        <w:rPr>
          <w:rFonts w:ascii="Times New Roman" w:eastAsia="Calibri" w:hAnsi="Times New Roman" w:cs="Times New Roman"/>
          <w:noProof/>
        </w:rPr>
        <w:t>,</w:t>
      </w:r>
      <w:r w:rsidR="00CB2EF4" w:rsidRPr="004100C8">
        <w:rPr>
          <w:rFonts w:ascii="Times New Roman" w:eastAsia="Calibri" w:hAnsi="Times New Roman" w:cs="Times New Roman"/>
          <w:noProof/>
        </w:rPr>
        <w:t xml:space="preserve"> which many </w:t>
      </w:r>
      <w:r w:rsidR="00CB2EF4">
        <w:rPr>
          <w:rFonts w:ascii="Times New Roman" w:eastAsia="Calibri" w:hAnsi="Times New Roman" w:cs="Times New Roman"/>
          <w:noProof/>
        </w:rPr>
        <w:t xml:space="preserve">industry </w:t>
      </w:r>
      <w:r w:rsidR="00CB2EF4" w:rsidRPr="004100C8">
        <w:rPr>
          <w:rFonts w:ascii="Times New Roman" w:eastAsia="Calibri" w:hAnsi="Times New Roman" w:cs="Times New Roman"/>
          <w:noProof/>
        </w:rPr>
        <w:t xml:space="preserve">stakeholders consider to </w:t>
      </w:r>
      <w:r w:rsidR="00CB2EF4">
        <w:rPr>
          <w:rFonts w:ascii="Times New Roman" w:eastAsia="Calibri" w:hAnsi="Times New Roman" w:cs="Times New Roman"/>
          <w:noProof/>
        </w:rPr>
        <w:t xml:space="preserve">be </w:t>
      </w:r>
      <w:r w:rsidR="00CB2EF4" w:rsidRPr="004100C8">
        <w:rPr>
          <w:rFonts w:ascii="Times New Roman" w:eastAsia="Calibri" w:hAnsi="Times New Roman" w:cs="Times New Roman"/>
          <w:noProof/>
        </w:rPr>
        <w:t>more conservative than for comparable produ</w:t>
      </w:r>
      <w:r w:rsidR="00CB2EF4">
        <w:rPr>
          <w:rFonts w:ascii="Times New Roman" w:eastAsia="Calibri" w:hAnsi="Times New Roman" w:cs="Times New Roman"/>
          <w:noProof/>
        </w:rPr>
        <w:t xml:space="preserve">cts with a similar risk profile, </w:t>
      </w:r>
      <w:r w:rsidR="00CB2EF4" w:rsidRPr="004100C8">
        <w:rPr>
          <w:rFonts w:ascii="Times New Roman" w:eastAsia="Calibri" w:hAnsi="Times New Roman" w:cs="Times New Roman"/>
          <w:noProof/>
        </w:rPr>
        <w:t xml:space="preserve">the Commission has launched a </w:t>
      </w:r>
      <w:r w:rsidR="00FC779D">
        <w:rPr>
          <w:rFonts w:ascii="Times New Roman" w:eastAsia="Calibri" w:hAnsi="Times New Roman" w:cs="Times New Roman"/>
          <w:noProof/>
        </w:rPr>
        <w:t>c</w:t>
      </w:r>
      <w:r w:rsidR="00CB2EF4" w:rsidRPr="004100C8">
        <w:rPr>
          <w:rFonts w:ascii="Times New Roman" w:eastAsia="Calibri" w:hAnsi="Times New Roman" w:cs="Times New Roman"/>
          <w:noProof/>
        </w:rPr>
        <w:t xml:space="preserve">all for </w:t>
      </w:r>
      <w:r w:rsidR="00FC779D">
        <w:rPr>
          <w:rFonts w:ascii="Times New Roman" w:eastAsia="Calibri" w:hAnsi="Times New Roman" w:cs="Times New Roman"/>
          <w:noProof/>
        </w:rPr>
        <w:t>a</w:t>
      </w:r>
      <w:r w:rsidR="00CB2EF4" w:rsidRPr="004100C8">
        <w:rPr>
          <w:rFonts w:ascii="Times New Roman" w:eastAsia="Calibri" w:hAnsi="Times New Roman" w:cs="Times New Roman"/>
          <w:noProof/>
        </w:rPr>
        <w:t xml:space="preserve">dvice to the Joint Committee of the ESAs to analyse the situation in more depth. </w:t>
      </w:r>
      <w:r w:rsidR="00CB2EF4">
        <w:rPr>
          <w:rFonts w:ascii="Times New Roman" w:eastAsia="Calibri" w:hAnsi="Times New Roman" w:cs="Times New Roman"/>
          <w:noProof/>
        </w:rPr>
        <w:t>Once this input is received, the Commission will assess whether or not there is a case for adjustments.</w:t>
      </w:r>
    </w:p>
    <w:p w14:paraId="1015C530" w14:textId="3331F496" w:rsidR="004100C8" w:rsidRPr="003C0D71" w:rsidRDefault="004100C8" w:rsidP="004100C8">
      <w:pPr>
        <w:jc w:val="both"/>
        <w:rPr>
          <w:rFonts w:ascii="Times New Roman" w:eastAsia="Calibri" w:hAnsi="Times New Roman" w:cs="Times New Roman"/>
          <w:noProof/>
        </w:rPr>
      </w:pPr>
      <w:r w:rsidRPr="003C0D71">
        <w:rPr>
          <w:rFonts w:ascii="Times New Roman" w:eastAsia="Calibri" w:hAnsi="Times New Roman" w:cs="Times New Roman"/>
          <w:noProof/>
        </w:rPr>
        <w:t xml:space="preserve">Concerns with the other </w:t>
      </w:r>
      <w:r w:rsidR="003A6BC3">
        <w:rPr>
          <w:rFonts w:ascii="Times New Roman" w:eastAsia="Calibri" w:hAnsi="Times New Roman" w:cs="Times New Roman"/>
          <w:noProof/>
        </w:rPr>
        <w:t>part</w:t>
      </w:r>
      <w:r w:rsidR="003A6BC3" w:rsidRPr="003C0D71">
        <w:rPr>
          <w:rFonts w:ascii="Times New Roman" w:eastAsia="Calibri" w:hAnsi="Times New Roman" w:cs="Times New Roman"/>
          <w:noProof/>
        </w:rPr>
        <w:t xml:space="preserve"> </w:t>
      </w:r>
      <w:r w:rsidRPr="003C0D71">
        <w:rPr>
          <w:rFonts w:ascii="Times New Roman" w:eastAsia="Calibri" w:hAnsi="Times New Roman" w:cs="Times New Roman"/>
          <w:noProof/>
        </w:rPr>
        <w:t xml:space="preserve">of the new framework, the Securitisation Regulation, </w:t>
      </w:r>
      <w:r w:rsidR="000053AA" w:rsidRPr="003C0D71">
        <w:rPr>
          <w:rFonts w:ascii="Times New Roman" w:eastAsia="Calibri" w:hAnsi="Times New Roman" w:cs="Times New Roman"/>
          <w:noProof/>
        </w:rPr>
        <w:t>focus mainly</w:t>
      </w:r>
      <w:r w:rsidRPr="003C0D71">
        <w:rPr>
          <w:rFonts w:ascii="Times New Roman" w:eastAsia="Calibri" w:hAnsi="Times New Roman" w:cs="Times New Roman"/>
          <w:noProof/>
        </w:rPr>
        <w:t xml:space="preserve"> </w:t>
      </w:r>
      <w:r w:rsidR="000053AA" w:rsidRPr="003C0D71">
        <w:rPr>
          <w:rFonts w:ascii="Times New Roman" w:eastAsia="Calibri" w:hAnsi="Times New Roman" w:cs="Times New Roman"/>
          <w:noProof/>
        </w:rPr>
        <w:t xml:space="preserve">on </w:t>
      </w:r>
      <w:r w:rsidRPr="003C0D71">
        <w:rPr>
          <w:rFonts w:ascii="Times New Roman" w:eastAsia="Calibri" w:hAnsi="Times New Roman" w:cs="Times New Roman"/>
          <w:noProof/>
        </w:rPr>
        <w:t>the claim of market participants that complying with current transparency obligations is resource-intensive</w:t>
      </w:r>
      <w:r w:rsidR="00B33592" w:rsidRPr="003C0D71">
        <w:rPr>
          <w:rFonts w:ascii="Times New Roman" w:eastAsia="Calibri" w:hAnsi="Times New Roman" w:cs="Times New Roman"/>
          <w:noProof/>
        </w:rPr>
        <w:t>, without</w:t>
      </w:r>
      <w:r w:rsidRPr="003C0D71">
        <w:rPr>
          <w:rFonts w:ascii="Times New Roman" w:eastAsia="Calibri" w:hAnsi="Times New Roman" w:cs="Times New Roman"/>
          <w:noProof/>
        </w:rPr>
        <w:t xml:space="preserve"> producing much added value for the investor, particularly in the case of private transactions. On balance, the Commission acknowledges that there is room for improvement, but thinks that, for the shortcomings which the review identified, improvements could be implemented without the need to change the Securitisation Regulation. With this in mind, the Commission invites ESMA to revisit the regulatory and implementing technical standards that </w:t>
      </w:r>
      <w:r w:rsidR="007454D5">
        <w:rPr>
          <w:rFonts w:ascii="Times New Roman" w:eastAsia="Calibri" w:hAnsi="Times New Roman" w:cs="Times New Roman"/>
          <w:noProof/>
        </w:rPr>
        <w:t>set out</w:t>
      </w:r>
      <w:r w:rsidR="007454D5" w:rsidRPr="003C0D71">
        <w:rPr>
          <w:rFonts w:ascii="Times New Roman" w:eastAsia="Calibri" w:hAnsi="Times New Roman" w:cs="Times New Roman"/>
          <w:noProof/>
        </w:rPr>
        <w:t xml:space="preserve"> </w:t>
      </w:r>
      <w:r w:rsidRPr="003C0D71">
        <w:rPr>
          <w:rFonts w:ascii="Times New Roman" w:eastAsia="Calibri" w:hAnsi="Times New Roman" w:cs="Times New Roman"/>
          <w:noProof/>
        </w:rPr>
        <w:t xml:space="preserve">the details of the transparency regime. </w:t>
      </w:r>
    </w:p>
    <w:p w14:paraId="2E3A8E44" w14:textId="25FF7139" w:rsidR="004100C8" w:rsidRPr="003C0D71" w:rsidRDefault="000A06C6" w:rsidP="004100C8">
      <w:pPr>
        <w:jc w:val="both"/>
        <w:rPr>
          <w:rFonts w:ascii="Times New Roman" w:eastAsia="Calibri" w:hAnsi="Times New Roman" w:cs="Times New Roman"/>
          <w:noProof/>
        </w:rPr>
      </w:pPr>
      <w:r>
        <w:rPr>
          <w:rFonts w:ascii="Times New Roman" w:eastAsia="Calibri" w:hAnsi="Times New Roman" w:cs="Times New Roman"/>
          <w:noProof/>
        </w:rPr>
        <w:t>On</w:t>
      </w:r>
      <w:r w:rsidRPr="003C0D71">
        <w:rPr>
          <w:rFonts w:ascii="Times New Roman" w:eastAsia="Calibri" w:hAnsi="Times New Roman" w:cs="Times New Roman"/>
          <w:noProof/>
        </w:rPr>
        <w:t xml:space="preserve"> </w:t>
      </w:r>
      <w:r w:rsidR="004100C8" w:rsidRPr="003C0D71">
        <w:rPr>
          <w:rFonts w:ascii="Times New Roman" w:eastAsia="Calibri" w:hAnsi="Times New Roman" w:cs="Times New Roman"/>
          <w:noProof/>
        </w:rPr>
        <w:t>a green securitisation framework, the legal mandate puts</w:t>
      </w:r>
      <w:r w:rsidR="002476F7" w:rsidRPr="003C0D71">
        <w:rPr>
          <w:rFonts w:ascii="Times New Roman" w:eastAsia="Calibri" w:hAnsi="Times New Roman" w:cs="Times New Roman"/>
          <w:noProof/>
        </w:rPr>
        <w:t>,</w:t>
      </w:r>
      <w:r w:rsidR="004100C8" w:rsidRPr="003C0D71">
        <w:rPr>
          <w:rFonts w:ascii="Times New Roman" w:eastAsia="Calibri" w:hAnsi="Times New Roman" w:cs="Times New Roman"/>
          <w:noProof/>
        </w:rPr>
        <w:t xml:space="preserve"> at the right time</w:t>
      </w:r>
      <w:r w:rsidR="002476F7" w:rsidRPr="003C0D71">
        <w:rPr>
          <w:rFonts w:ascii="Times New Roman" w:eastAsia="Calibri" w:hAnsi="Times New Roman" w:cs="Times New Roman"/>
          <w:noProof/>
        </w:rPr>
        <w:t>,</w:t>
      </w:r>
      <w:r w:rsidR="006756D2" w:rsidRPr="003C0D71">
        <w:rPr>
          <w:rFonts w:ascii="Times New Roman" w:eastAsia="Calibri" w:hAnsi="Times New Roman" w:cs="Times New Roman"/>
          <w:noProof/>
        </w:rPr>
        <w:t xml:space="preserve"> </w:t>
      </w:r>
      <w:r w:rsidR="002476F7" w:rsidRPr="00601DAE">
        <w:rPr>
          <w:rFonts w:ascii="Times New Roman" w:eastAsia="Calibri" w:hAnsi="Times New Roman" w:cs="Times New Roman"/>
          <w:noProof/>
        </w:rPr>
        <w:t xml:space="preserve">an </w:t>
      </w:r>
      <w:r w:rsidR="006756D2" w:rsidRPr="00601DAE">
        <w:rPr>
          <w:rFonts w:ascii="Times New Roman" w:eastAsia="Calibri" w:hAnsi="Times New Roman" w:cs="Times New Roman"/>
          <w:noProof/>
        </w:rPr>
        <w:t>i</w:t>
      </w:r>
      <w:r w:rsidR="004100C8" w:rsidRPr="00601DAE">
        <w:rPr>
          <w:rFonts w:ascii="Times New Roman" w:eastAsia="Calibri" w:hAnsi="Times New Roman" w:cs="Times New Roman"/>
          <w:noProof/>
        </w:rPr>
        <w:t>mportant spotlight</w:t>
      </w:r>
      <w:r w:rsidR="004100C8" w:rsidRPr="003C0D71">
        <w:rPr>
          <w:rFonts w:ascii="Times New Roman" w:eastAsia="Calibri" w:hAnsi="Times New Roman" w:cs="Times New Roman"/>
          <w:noProof/>
        </w:rPr>
        <w:t xml:space="preserve"> on the question </w:t>
      </w:r>
      <w:r w:rsidR="00B00F8D">
        <w:rPr>
          <w:rFonts w:ascii="Times New Roman" w:eastAsia="Calibri" w:hAnsi="Times New Roman" w:cs="Times New Roman"/>
          <w:noProof/>
        </w:rPr>
        <w:t xml:space="preserve">of </w:t>
      </w:r>
      <w:r w:rsidR="004100C8" w:rsidRPr="003C0D71">
        <w:rPr>
          <w:rFonts w:ascii="Times New Roman" w:eastAsia="Calibri" w:hAnsi="Times New Roman" w:cs="Times New Roman"/>
          <w:noProof/>
        </w:rPr>
        <w:t>how securitisation can be harnessed to support the financing of the transition towards a sustainable EU economy</w:t>
      </w:r>
      <w:r w:rsidR="00601DAE">
        <w:rPr>
          <w:rFonts w:ascii="Times New Roman" w:eastAsia="Calibri" w:hAnsi="Times New Roman" w:cs="Times New Roman"/>
          <w:noProof/>
        </w:rPr>
        <w:t>,</w:t>
      </w:r>
      <w:r w:rsidR="002476F7" w:rsidRPr="003C0D71">
        <w:rPr>
          <w:rFonts w:ascii="Times New Roman" w:eastAsia="Calibri" w:hAnsi="Times New Roman" w:cs="Times New Roman"/>
          <w:noProof/>
        </w:rPr>
        <w:t xml:space="preserve"> while at the same time avoiding </w:t>
      </w:r>
      <w:r w:rsidR="00B00F8D">
        <w:rPr>
          <w:rFonts w:ascii="Times New Roman" w:eastAsia="Calibri" w:hAnsi="Times New Roman" w:cs="Times New Roman"/>
          <w:noProof/>
        </w:rPr>
        <w:t xml:space="preserve">risks of </w:t>
      </w:r>
      <w:r w:rsidR="002476F7" w:rsidRPr="003C0D71">
        <w:rPr>
          <w:rFonts w:ascii="Times New Roman" w:eastAsia="Calibri" w:hAnsi="Times New Roman" w:cs="Times New Roman"/>
          <w:noProof/>
        </w:rPr>
        <w:t>greenwashing</w:t>
      </w:r>
      <w:r w:rsidR="004100C8" w:rsidRPr="003C0D71">
        <w:rPr>
          <w:rFonts w:ascii="Times New Roman" w:eastAsia="Calibri" w:hAnsi="Times New Roman" w:cs="Times New Roman"/>
          <w:noProof/>
        </w:rPr>
        <w:t>. The Commission agrees with the EBA report that there is no need for a separate green securitisation label in the short and medium term and invites the co-legislators instead to address the issue in an appropriate manner in the ongoing negotiations on the creation of a</w:t>
      </w:r>
      <w:r w:rsidR="00601DAE">
        <w:rPr>
          <w:rFonts w:ascii="Times New Roman" w:eastAsia="Calibri" w:hAnsi="Times New Roman" w:cs="Times New Roman"/>
          <w:noProof/>
        </w:rPr>
        <w:t>n</w:t>
      </w:r>
      <w:r w:rsidR="004100C8" w:rsidRPr="003C0D71">
        <w:rPr>
          <w:rFonts w:ascii="Times New Roman" w:eastAsia="Calibri" w:hAnsi="Times New Roman" w:cs="Times New Roman"/>
          <w:noProof/>
        </w:rPr>
        <w:t xml:space="preserve"> E</w:t>
      </w:r>
      <w:r w:rsidR="00FF0B83">
        <w:rPr>
          <w:rFonts w:ascii="Times New Roman" w:eastAsia="Calibri" w:hAnsi="Times New Roman" w:cs="Times New Roman"/>
          <w:noProof/>
        </w:rPr>
        <w:t>u</w:t>
      </w:r>
      <w:r w:rsidR="004100C8" w:rsidRPr="003C0D71">
        <w:rPr>
          <w:rFonts w:ascii="Times New Roman" w:eastAsia="Calibri" w:hAnsi="Times New Roman" w:cs="Times New Roman"/>
          <w:noProof/>
        </w:rPr>
        <w:t xml:space="preserve">GBS. </w:t>
      </w:r>
      <w:r w:rsidR="0006574D">
        <w:rPr>
          <w:rFonts w:ascii="Times New Roman" w:eastAsia="Calibri" w:hAnsi="Times New Roman" w:cs="Times New Roman"/>
          <w:noProof/>
        </w:rPr>
        <w:t>I</w:t>
      </w:r>
      <w:r w:rsidR="0006574D" w:rsidRPr="003C0D71">
        <w:rPr>
          <w:rFonts w:ascii="Times New Roman" w:eastAsia="Calibri" w:hAnsi="Times New Roman" w:cs="Times New Roman"/>
          <w:noProof/>
        </w:rPr>
        <w:t>n the view of the Commission</w:t>
      </w:r>
      <w:r w:rsidR="00601DAE">
        <w:rPr>
          <w:rFonts w:ascii="Times New Roman" w:eastAsia="Calibri" w:hAnsi="Times New Roman" w:cs="Times New Roman"/>
          <w:noProof/>
        </w:rPr>
        <w:t>,</w:t>
      </w:r>
      <w:r w:rsidR="0006574D" w:rsidRPr="003C0D71">
        <w:rPr>
          <w:rFonts w:ascii="Times New Roman" w:eastAsia="Calibri" w:hAnsi="Times New Roman" w:cs="Times New Roman"/>
          <w:noProof/>
        </w:rPr>
        <w:t xml:space="preserve"> </w:t>
      </w:r>
      <w:r w:rsidR="0006574D">
        <w:rPr>
          <w:rFonts w:ascii="Times New Roman" w:eastAsia="Calibri" w:hAnsi="Times New Roman" w:cs="Times New Roman"/>
          <w:noProof/>
        </w:rPr>
        <w:t>p</w:t>
      </w:r>
      <w:r w:rsidR="002476F7" w:rsidRPr="003C0D71">
        <w:rPr>
          <w:rFonts w:ascii="Times New Roman" w:eastAsia="Calibri" w:hAnsi="Times New Roman" w:cs="Times New Roman"/>
          <w:noProof/>
        </w:rPr>
        <w:t>roviding</w:t>
      </w:r>
      <w:r w:rsidR="004100C8" w:rsidRPr="003C0D71">
        <w:rPr>
          <w:rFonts w:ascii="Times New Roman" w:eastAsia="Calibri" w:hAnsi="Times New Roman" w:cs="Times New Roman"/>
          <w:noProof/>
        </w:rPr>
        <w:t xml:space="preserve"> the securitisation market </w:t>
      </w:r>
      <w:r w:rsidR="0006574D">
        <w:rPr>
          <w:rFonts w:ascii="Times New Roman" w:eastAsia="Calibri" w:hAnsi="Times New Roman" w:cs="Times New Roman"/>
          <w:noProof/>
        </w:rPr>
        <w:t xml:space="preserve">with </w:t>
      </w:r>
      <w:r w:rsidR="0006574D" w:rsidRPr="003C0D71">
        <w:rPr>
          <w:rFonts w:ascii="Times New Roman" w:eastAsia="Calibri" w:hAnsi="Times New Roman" w:cs="Times New Roman"/>
          <w:noProof/>
        </w:rPr>
        <w:t xml:space="preserve">the opportunity </w:t>
      </w:r>
      <w:r w:rsidR="004100C8" w:rsidRPr="003C0D71">
        <w:rPr>
          <w:rFonts w:ascii="Times New Roman" w:eastAsia="Calibri" w:hAnsi="Times New Roman" w:cs="Times New Roman"/>
          <w:noProof/>
        </w:rPr>
        <w:t xml:space="preserve">to play a role in the green transition is not only </w:t>
      </w:r>
      <w:r w:rsidR="00AE17A7" w:rsidRPr="003C0D71">
        <w:rPr>
          <w:rFonts w:ascii="Times New Roman" w:eastAsia="Calibri" w:hAnsi="Times New Roman" w:cs="Times New Roman"/>
          <w:noProof/>
        </w:rPr>
        <w:t xml:space="preserve">essential </w:t>
      </w:r>
      <w:r w:rsidR="004100C8" w:rsidRPr="003C0D71">
        <w:rPr>
          <w:rFonts w:ascii="Times New Roman" w:eastAsia="Calibri" w:hAnsi="Times New Roman" w:cs="Times New Roman"/>
          <w:noProof/>
        </w:rPr>
        <w:t xml:space="preserve">to further increase the benefits of securitisation for society, but </w:t>
      </w:r>
      <w:r w:rsidR="00CB14FD" w:rsidRPr="003C0D71">
        <w:rPr>
          <w:rFonts w:ascii="Times New Roman" w:eastAsia="Calibri" w:hAnsi="Times New Roman" w:cs="Times New Roman"/>
          <w:noProof/>
        </w:rPr>
        <w:t xml:space="preserve">is also needed </w:t>
      </w:r>
      <w:r w:rsidR="004100C8" w:rsidRPr="003C0D71">
        <w:rPr>
          <w:rFonts w:ascii="Times New Roman" w:eastAsia="Calibri" w:hAnsi="Times New Roman" w:cs="Times New Roman"/>
          <w:noProof/>
        </w:rPr>
        <w:t xml:space="preserve">to </w:t>
      </w:r>
      <w:r w:rsidR="00AE17A7" w:rsidRPr="003C0D71">
        <w:rPr>
          <w:rFonts w:ascii="Times New Roman" w:eastAsia="Calibri" w:hAnsi="Times New Roman" w:cs="Times New Roman"/>
          <w:noProof/>
        </w:rPr>
        <w:t xml:space="preserve">support the </w:t>
      </w:r>
      <w:r w:rsidR="00CB14FD" w:rsidRPr="003C0D71">
        <w:rPr>
          <w:rFonts w:ascii="Times New Roman" w:eastAsia="Calibri" w:hAnsi="Times New Roman" w:cs="Times New Roman"/>
          <w:noProof/>
        </w:rPr>
        <w:t xml:space="preserve">future development of </w:t>
      </w:r>
      <w:r w:rsidR="0006574D">
        <w:rPr>
          <w:rFonts w:ascii="Times New Roman" w:eastAsia="Calibri" w:hAnsi="Times New Roman" w:cs="Times New Roman"/>
          <w:noProof/>
        </w:rPr>
        <w:t xml:space="preserve">the </w:t>
      </w:r>
      <w:r w:rsidR="004100C8" w:rsidRPr="003C0D71">
        <w:rPr>
          <w:rFonts w:ascii="Times New Roman" w:eastAsia="Calibri" w:hAnsi="Times New Roman" w:cs="Times New Roman"/>
          <w:noProof/>
        </w:rPr>
        <w:t xml:space="preserve">EU securitisation market </w:t>
      </w:r>
      <w:r w:rsidR="00EB4E53" w:rsidRPr="003C0D71">
        <w:rPr>
          <w:rFonts w:ascii="Times New Roman" w:eastAsia="Calibri" w:hAnsi="Times New Roman" w:cs="Times New Roman"/>
          <w:noProof/>
        </w:rPr>
        <w:t>itself</w:t>
      </w:r>
      <w:r w:rsidR="004100C8" w:rsidRPr="003C0D71">
        <w:rPr>
          <w:rFonts w:ascii="Times New Roman" w:eastAsia="Calibri" w:hAnsi="Times New Roman" w:cs="Times New Roman"/>
          <w:noProof/>
        </w:rPr>
        <w:t xml:space="preserve">. </w:t>
      </w:r>
    </w:p>
    <w:p w14:paraId="177099A7" w14:textId="625A9286" w:rsidR="004100C8" w:rsidRPr="003C0D71" w:rsidRDefault="004100C8" w:rsidP="004100C8">
      <w:pPr>
        <w:jc w:val="both"/>
        <w:rPr>
          <w:rFonts w:ascii="Times New Roman" w:eastAsia="Calibri" w:hAnsi="Times New Roman" w:cs="Times New Roman"/>
          <w:noProof/>
        </w:rPr>
      </w:pPr>
      <w:r w:rsidRPr="003C0D71">
        <w:rPr>
          <w:rFonts w:ascii="Times New Roman" w:eastAsia="Calibri" w:hAnsi="Times New Roman" w:cs="Times New Roman"/>
          <w:noProof/>
        </w:rPr>
        <w:t xml:space="preserve">The Commission remains fully committed to the aim </w:t>
      </w:r>
      <w:r w:rsidR="006756D2" w:rsidRPr="003C0D71">
        <w:rPr>
          <w:rFonts w:ascii="Times New Roman" w:eastAsia="Calibri" w:hAnsi="Times New Roman" w:cs="Times New Roman"/>
          <w:noProof/>
        </w:rPr>
        <w:t xml:space="preserve">of </w:t>
      </w:r>
      <w:r w:rsidR="00593175">
        <w:rPr>
          <w:rFonts w:ascii="Times New Roman" w:eastAsia="Calibri" w:hAnsi="Times New Roman" w:cs="Times New Roman"/>
          <w:noProof/>
        </w:rPr>
        <w:t>creating</w:t>
      </w:r>
      <w:r w:rsidR="00593175" w:rsidRPr="003C0D71">
        <w:rPr>
          <w:rFonts w:ascii="Times New Roman" w:eastAsia="Calibri" w:hAnsi="Times New Roman" w:cs="Times New Roman"/>
          <w:noProof/>
        </w:rPr>
        <w:t xml:space="preserve"> </w:t>
      </w:r>
      <w:r w:rsidRPr="003C0D71">
        <w:rPr>
          <w:rFonts w:ascii="Times New Roman" w:eastAsia="Calibri" w:hAnsi="Times New Roman" w:cs="Times New Roman"/>
          <w:noProof/>
        </w:rPr>
        <w:t xml:space="preserve">the framework for a thriving and stable EU securitisation market. Such a market is an indispensable building block of a genuine Capital Markets Union and might become even more important for tackling the challenges </w:t>
      </w:r>
      <w:r w:rsidR="00593175">
        <w:rPr>
          <w:rFonts w:ascii="Times New Roman" w:eastAsia="Calibri" w:hAnsi="Times New Roman" w:cs="Times New Roman"/>
          <w:noProof/>
        </w:rPr>
        <w:t>of</w:t>
      </w:r>
      <w:r w:rsidR="00593175" w:rsidRPr="003C0D71">
        <w:rPr>
          <w:rFonts w:ascii="Times New Roman" w:eastAsia="Calibri" w:hAnsi="Times New Roman" w:cs="Times New Roman"/>
          <w:noProof/>
        </w:rPr>
        <w:t xml:space="preserve"> </w:t>
      </w:r>
      <w:r w:rsidRPr="003C0D71">
        <w:rPr>
          <w:rFonts w:ascii="Times New Roman" w:eastAsia="Calibri" w:hAnsi="Times New Roman" w:cs="Times New Roman"/>
          <w:noProof/>
        </w:rPr>
        <w:t>financ</w:t>
      </w:r>
      <w:r w:rsidR="00593175">
        <w:rPr>
          <w:rFonts w:ascii="Times New Roman" w:eastAsia="Calibri" w:hAnsi="Times New Roman" w:cs="Times New Roman"/>
          <w:noProof/>
        </w:rPr>
        <w:t>ing</w:t>
      </w:r>
      <w:r w:rsidRPr="003C0D71">
        <w:rPr>
          <w:rFonts w:ascii="Times New Roman" w:eastAsia="Calibri" w:hAnsi="Times New Roman" w:cs="Times New Roman"/>
          <w:noProof/>
        </w:rPr>
        <w:t xml:space="preserve"> economic activity in the significantly more difficult market environment that seems to </w:t>
      </w:r>
      <w:r w:rsidR="0006574D">
        <w:rPr>
          <w:rFonts w:ascii="Times New Roman" w:eastAsia="Calibri" w:hAnsi="Times New Roman" w:cs="Times New Roman"/>
          <w:noProof/>
        </w:rPr>
        <w:t xml:space="preserve">be </w:t>
      </w:r>
      <w:r w:rsidRPr="003C0D71">
        <w:rPr>
          <w:rFonts w:ascii="Times New Roman" w:eastAsia="Calibri" w:hAnsi="Times New Roman" w:cs="Times New Roman"/>
          <w:noProof/>
        </w:rPr>
        <w:t>evolv</w:t>
      </w:r>
      <w:r w:rsidR="0006574D">
        <w:rPr>
          <w:rFonts w:ascii="Times New Roman" w:eastAsia="Calibri" w:hAnsi="Times New Roman" w:cs="Times New Roman"/>
          <w:noProof/>
        </w:rPr>
        <w:t>ing</w:t>
      </w:r>
      <w:r w:rsidRPr="003C0D71">
        <w:rPr>
          <w:rFonts w:ascii="Times New Roman" w:eastAsia="Calibri" w:hAnsi="Times New Roman" w:cs="Times New Roman"/>
          <w:noProof/>
        </w:rPr>
        <w:t xml:space="preserve"> at the moment. The Commission will therefore </w:t>
      </w:r>
      <w:r w:rsidR="00325A76" w:rsidRPr="003C0D71">
        <w:rPr>
          <w:rFonts w:ascii="Times New Roman" w:eastAsia="Calibri" w:hAnsi="Times New Roman" w:cs="Times New Roman"/>
          <w:noProof/>
        </w:rPr>
        <w:t xml:space="preserve">continue to </w:t>
      </w:r>
      <w:r w:rsidRPr="003C0D71">
        <w:rPr>
          <w:rFonts w:ascii="Times New Roman" w:eastAsia="Calibri" w:hAnsi="Times New Roman" w:cs="Times New Roman"/>
          <w:noProof/>
        </w:rPr>
        <w:t xml:space="preserve">closely monitor the securitisation market and intervene, if </w:t>
      </w:r>
      <w:r w:rsidR="00325A76" w:rsidRPr="003C0D71">
        <w:rPr>
          <w:rFonts w:ascii="Times New Roman" w:eastAsia="Calibri" w:hAnsi="Times New Roman" w:cs="Times New Roman"/>
          <w:noProof/>
        </w:rPr>
        <w:t xml:space="preserve">and when </w:t>
      </w:r>
      <w:r w:rsidRPr="003C0D71">
        <w:rPr>
          <w:rFonts w:ascii="Times New Roman" w:eastAsia="Calibri" w:hAnsi="Times New Roman" w:cs="Times New Roman"/>
          <w:noProof/>
        </w:rPr>
        <w:t xml:space="preserve">deemed appropriate, to fully reap the benefits of a thriving securitisation market for the EU. </w:t>
      </w:r>
    </w:p>
    <w:p w14:paraId="55C35211" w14:textId="77777777" w:rsidR="405859B4" w:rsidRPr="003C0D71" w:rsidRDefault="405859B4" w:rsidP="004100C8">
      <w:pPr>
        <w:jc w:val="both"/>
        <w:rPr>
          <w:rFonts w:ascii="Times New Roman" w:eastAsia="Times New Roman" w:hAnsi="Times New Roman" w:cs="Times New Roman"/>
          <w:noProof/>
        </w:rPr>
      </w:pPr>
    </w:p>
    <w:sectPr w:rsidR="405859B4" w:rsidRPr="003C0D71" w:rsidSect="006F78EE">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A6653" w14:textId="77777777" w:rsidR="00691BF1" w:rsidRDefault="00691BF1" w:rsidP="00C446BB">
      <w:pPr>
        <w:spacing w:after="0" w:line="240" w:lineRule="auto"/>
      </w:pPr>
      <w:r>
        <w:separator/>
      </w:r>
    </w:p>
  </w:endnote>
  <w:endnote w:type="continuationSeparator" w:id="0">
    <w:p w14:paraId="4BF94C65" w14:textId="77777777" w:rsidR="00691BF1" w:rsidRDefault="00691BF1" w:rsidP="00C446BB">
      <w:pPr>
        <w:spacing w:after="0" w:line="240" w:lineRule="auto"/>
      </w:pPr>
      <w:r>
        <w:continuationSeparator/>
      </w:r>
    </w:p>
  </w:endnote>
  <w:endnote w:type="continuationNotice" w:id="1">
    <w:p w14:paraId="024799B2" w14:textId="77777777" w:rsidR="00691BF1" w:rsidRDefault="00691B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4CCD0" w14:textId="77777777" w:rsidR="00FA4D77" w:rsidRPr="00FA4D77" w:rsidRDefault="00FA4D77" w:rsidP="00FA4D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D42DC" w14:textId="7C3E099D" w:rsidR="00CA68B9" w:rsidRPr="00FA4D77" w:rsidRDefault="00FA4D77" w:rsidP="00FA4D77">
    <w:pPr>
      <w:pStyle w:val="FooterCoverPage"/>
      <w:rPr>
        <w:rFonts w:ascii="Arial" w:hAnsi="Arial" w:cs="Arial"/>
        <w:b/>
        <w:sz w:val="48"/>
      </w:rPr>
    </w:pPr>
    <w:r w:rsidRPr="00FA4D77">
      <w:rPr>
        <w:rFonts w:ascii="Arial" w:hAnsi="Arial" w:cs="Arial"/>
        <w:b/>
        <w:sz w:val="48"/>
      </w:rPr>
      <w:t>EN</w:t>
    </w:r>
    <w:r w:rsidRPr="00FA4D77">
      <w:rPr>
        <w:rFonts w:ascii="Arial" w:hAnsi="Arial" w:cs="Arial"/>
        <w:b/>
        <w:sz w:val="48"/>
      </w:rPr>
      <w:tab/>
    </w:r>
    <w:r w:rsidRPr="00FA4D77">
      <w:rPr>
        <w:rFonts w:ascii="Arial" w:hAnsi="Arial" w:cs="Arial"/>
        <w:b/>
        <w:sz w:val="48"/>
      </w:rPr>
      <w:tab/>
    </w:r>
    <w:r w:rsidRPr="00FA4D77">
      <w:tab/>
    </w:r>
    <w:r w:rsidRPr="00FA4D77">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C683A" w14:textId="77777777" w:rsidR="00FA4D77" w:rsidRPr="00FA4D77" w:rsidRDefault="00FA4D77" w:rsidP="00FA4D77">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4B6D2" w14:textId="77777777" w:rsidR="00CA68B9" w:rsidRDefault="00CA68B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1350424"/>
      <w:docPartObj>
        <w:docPartGallery w:val="Page Numbers (Bottom of Page)"/>
        <w:docPartUnique/>
      </w:docPartObj>
    </w:sdtPr>
    <w:sdtEndPr>
      <w:rPr>
        <w:noProof/>
      </w:rPr>
    </w:sdtEndPr>
    <w:sdtContent>
      <w:p w14:paraId="0A7B08D1" w14:textId="72D9AF9C" w:rsidR="00CA68B9" w:rsidRDefault="00CA68B9">
        <w:pPr>
          <w:pStyle w:val="Footer"/>
          <w:jc w:val="center"/>
        </w:pPr>
        <w:r>
          <w:fldChar w:fldCharType="begin"/>
        </w:r>
        <w:r>
          <w:instrText xml:space="preserve"> PAGE   \* MERGEFORMAT </w:instrText>
        </w:r>
        <w:r>
          <w:fldChar w:fldCharType="separate"/>
        </w:r>
        <w:r w:rsidR="00FA4D77">
          <w:rPr>
            <w:noProof/>
          </w:rPr>
          <w:t>1</w:t>
        </w:r>
        <w:r>
          <w:rPr>
            <w:noProof/>
          </w:rPr>
          <w:fldChar w:fldCharType="end"/>
        </w:r>
      </w:p>
    </w:sdtContent>
  </w:sdt>
  <w:p w14:paraId="2D0DF2B9" w14:textId="77777777" w:rsidR="00CA68B9" w:rsidRDefault="00CA68B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EB618" w14:textId="77777777" w:rsidR="00CA68B9" w:rsidRDefault="00CA6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DCC63" w14:textId="77777777" w:rsidR="00691BF1" w:rsidRDefault="00691BF1" w:rsidP="00C446BB">
      <w:pPr>
        <w:spacing w:after="0" w:line="240" w:lineRule="auto"/>
      </w:pPr>
      <w:r>
        <w:separator/>
      </w:r>
    </w:p>
  </w:footnote>
  <w:footnote w:type="continuationSeparator" w:id="0">
    <w:p w14:paraId="02FDA34C" w14:textId="77777777" w:rsidR="00691BF1" w:rsidRDefault="00691BF1" w:rsidP="00C446BB">
      <w:pPr>
        <w:spacing w:after="0" w:line="240" w:lineRule="auto"/>
      </w:pPr>
      <w:r>
        <w:continuationSeparator/>
      </w:r>
    </w:p>
  </w:footnote>
  <w:footnote w:type="continuationNotice" w:id="1">
    <w:p w14:paraId="4026379A" w14:textId="77777777" w:rsidR="00691BF1" w:rsidRDefault="00691BF1">
      <w:pPr>
        <w:spacing w:after="0" w:line="240" w:lineRule="auto"/>
      </w:pPr>
    </w:p>
  </w:footnote>
  <w:footnote w:id="2">
    <w:p w14:paraId="43C48B4B" w14:textId="6E2E379A" w:rsidR="00CA68B9" w:rsidRPr="003C0D71" w:rsidRDefault="00CA68B9" w:rsidP="005C29A0">
      <w:pPr>
        <w:pStyle w:val="FootnoteText"/>
        <w:jc w:val="both"/>
        <w:rPr>
          <w:rFonts w:ascii="Times New Roman" w:hAnsi="Times New Roman" w:cs="Times New Roman"/>
        </w:rPr>
      </w:pPr>
      <w:r w:rsidRPr="003C0D71">
        <w:rPr>
          <w:rStyle w:val="FootnoteReference"/>
          <w:rFonts w:ascii="Times New Roman" w:hAnsi="Times New Roman" w:cs="Times New Roman"/>
        </w:rPr>
        <w:footnoteRef/>
      </w:r>
      <w:r w:rsidRPr="003C0D71">
        <w:rPr>
          <w:rFonts w:ascii="Times New Roman" w:hAnsi="Times New Roman" w:cs="Times New Roman"/>
        </w:rPr>
        <w:t xml:space="preserve"> </w:t>
      </w:r>
      <w:bookmarkStart w:id="7" w:name="_Hlk109981037"/>
      <w:r w:rsidRPr="003C0D71">
        <w:rPr>
          <w:rFonts w:ascii="Times New Roman" w:hAnsi="Times New Roman" w:cs="Times New Roman"/>
        </w:rPr>
        <w:t xml:space="preserve">See Commission </w:t>
      </w:r>
      <w:r>
        <w:rPr>
          <w:rFonts w:ascii="Times New Roman" w:hAnsi="Times New Roman" w:cs="Times New Roman"/>
        </w:rPr>
        <w:t>s</w:t>
      </w:r>
      <w:r w:rsidRPr="003C0D71">
        <w:rPr>
          <w:rFonts w:ascii="Times New Roman" w:hAnsi="Times New Roman" w:cs="Times New Roman"/>
        </w:rPr>
        <w:t xml:space="preserve">taff </w:t>
      </w:r>
      <w:r>
        <w:rPr>
          <w:rFonts w:ascii="Times New Roman" w:hAnsi="Times New Roman" w:cs="Times New Roman"/>
        </w:rPr>
        <w:t>w</w:t>
      </w:r>
      <w:r w:rsidRPr="003C0D71">
        <w:rPr>
          <w:rFonts w:ascii="Times New Roman" w:hAnsi="Times New Roman" w:cs="Times New Roman"/>
        </w:rPr>
        <w:t xml:space="preserve">orking </w:t>
      </w:r>
      <w:r>
        <w:rPr>
          <w:rFonts w:ascii="Times New Roman" w:hAnsi="Times New Roman" w:cs="Times New Roman"/>
        </w:rPr>
        <w:t>d</w:t>
      </w:r>
      <w:r w:rsidRPr="003C0D71">
        <w:rPr>
          <w:rFonts w:ascii="Times New Roman" w:hAnsi="Times New Roman" w:cs="Times New Roman"/>
        </w:rPr>
        <w:t>ocument, Impact assessment accompanying the document Proposal for a Regulation of the European Parliament and of the Council laying down common rules on securitisation and creating a European framework for simple and transparent securitisation and amending Directives 2009/65/EC, 2009/138/EC, 2011/61/EU and Regulations (EC) No 1060/2009 and (EU) No 648/2012 and Proposal for a Regulation of the European Parliament and of the Council amending Regulation (EU) No 575/2013 on prudential requirements for credit institutions and investment firms, 30.9.2015 (SWD (2015)185 final)</w:t>
      </w:r>
      <w:r>
        <w:rPr>
          <w:rFonts w:ascii="Times New Roman" w:hAnsi="Times New Roman" w:cs="Times New Roman"/>
        </w:rPr>
        <w:t>.</w:t>
      </w:r>
      <w:bookmarkEnd w:id="7"/>
    </w:p>
  </w:footnote>
  <w:footnote w:id="3">
    <w:p w14:paraId="66209DCD" w14:textId="77777777" w:rsidR="00CA68B9" w:rsidRPr="003C0D71" w:rsidRDefault="00CA68B9" w:rsidP="002C55A1">
      <w:pPr>
        <w:pStyle w:val="FootnoteText"/>
        <w:jc w:val="both"/>
        <w:rPr>
          <w:rFonts w:ascii="Times New Roman" w:hAnsi="Times New Roman" w:cs="Times New Roman"/>
        </w:rPr>
      </w:pPr>
      <w:r w:rsidRPr="003C0D71">
        <w:rPr>
          <w:rStyle w:val="FootnoteReference"/>
          <w:rFonts w:ascii="Times New Roman" w:hAnsi="Times New Roman" w:cs="Times New Roman"/>
        </w:rPr>
        <w:footnoteRef/>
      </w:r>
      <w:r w:rsidRPr="003C0D71">
        <w:rPr>
          <w:rFonts w:ascii="Times New Roman" w:hAnsi="Times New Roman" w:cs="Times New Roman"/>
        </w:rPr>
        <w:t xml:space="preserve"> The case for a better functioning securitisation market in the European Union: A discussion paper, Bank of England and the European Central Bank, </w:t>
      </w:r>
      <w:hyperlink r:id="rId1" w:history="1">
        <w:r w:rsidRPr="003C0D71">
          <w:rPr>
            <w:rStyle w:val="Hyperlink"/>
            <w:rFonts w:ascii="Times New Roman" w:hAnsi="Times New Roman" w:cs="Times New Roman"/>
          </w:rPr>
          <w:t>https://www.ecb.europa.eu/pub/pdf/other/ecb-boe_case_better_functioning_securitisation_marketen.pdf</w:t>
        </w:r>
      </w:hyperlink>
      <w:r>
        <w:rPr>
          <w:rStyle w:val="Hyperlink"/>
          <w:rFonts w:ascii="Times New Roman" w:hAnsi="Times New Roman" w:cs="Times New Roman"/>
        </w:rPr>
        <w:t>.</w:t>
      </w:r>
    </w:p>
  </w:footnote>
  <w:footnote w:id="4">
    <w:p w14:paraId="5AF73CE2" w14:textId="339982A7" w:rsidR="00CA68B9" w:rsidRPr="003C0D71" w:rsidRDefault="00CA68B9" w:rsidP="00B57204">
      <w:pPr>
        <w:pStyle w:val="CommentText"/>
        <w:spacing w:after="0"/>
        <w:rPr>
          <w:rFonts w:ascii="Times New Roman" w:hAnsi="Times New Roman" w:cs="Times New Roman"/>
        </w:rPr>
      </w:pPr>
      <w:r w:rsidRPr="003C0D71">
        <w:rPr>
          <w:rStyle w:val="FootnoteReference"/>
          <w:rFonts w:ascii="Times New Roman" w:hAnsi="Times New Roman" w:cs="Times New Roman"/>
        </w:rPr>
        <w:footnoteRef/>
      </w:r>
      <w:r w:rsidRPr="003C0D71">
        <w:rPr>
          <w:rFonts w:ascii="Times New Roman" w:hAnsi="Times New Roman" w:cs="Times New Roman"/>
        </w:rPr>
        <w:t xml:space="preserve"> </w:t>
      </w:r>
      <w:bookmarkStart w:id="8" w:name="_Hlk109981063"/>
      <w:r w:rsidRPr="003C0D71">
        <w:rPr>
          <w:rFonts w:ascii="Times New Roman" w:hAnsi="Times New Roman" w:cs="Times New Roman"/>
        </w:rPr>
        <w:t xml:space="preserve">Action </w:t>
      </w:r>
      <w:r>
        <w:rPr>
          <w:rFonts w:ascii="Times New Roman" w:hAnsi="Times New Roman" w:cs="Times New Roman"/>
        </w:rPr>
        <w:t>p</w:t>
      </w:r>
      <w:r w:rsidRPr="003C0D71">
        <w:rPr>
          <w:rFonts w:ascii="Times New Roman" w:hAnsi="Times New Roman" w:cs="Times New Roman"/>
        </w:rPr>
        <w:t xml:space="preserve">lan on </w:t>
      </w:r>
      <w:r>
        <w:rPr>
          <w:rFonts w:ascii="Times New Roman" w:hAnsi="Times New Roman" w:cs="Times New Roman"/>
        </w:rPr>
        <w:t>b</w:t>
      </w:r>
      <w:r w:rsidRPr="003C0D71">
        <w:rPr>
          <w:rFonts w:ascii="Times New Roman" w:hAnsi="Times New Roman" w:cs="Times New Roman"/>
        </w:rPr>
        <w:t>uilding a Capital Markets Union, 20.9.2015 (COM/2015/0468 final)</w:t>
      </w:r>
      <w:r>
        <w:t xml:space="preserve">, </w:t>
      </w:r>
      <w:bookmarkEnd w:id="8"/>
      <w:r w:rsidRPr="00B57204">
        <w:rPr>
          <w:rStyle w:val="Hyperlink"/>
          <w:rFonts w:ascii="Times New Roman" w:hAnsi="Times New Roman" w:cs="Times New Roman"/>
          <w:lang w:val="en-GB"/>
        </w:rPr>
        <w:fldChar w:fldCharType="begin"/>
      </w:r>
      <w:r w:rsidRPr="00B57204">
        <w:rPr>
          <w:rStyle w:val="Hyperlink"/>
          <w:rFonts w:ascii="Times New Roman" w:hAnsi="Times New Roman" w:cs="Times New Roman"/>
          <w:lang w:val="en-GB"/>
        </w:rPr>
        <w:instrText xml:space="preserve"> HYPERLINK "https://eur-lex.europa.eu/legal-content/EN/TXT/?uri=CELEX%3A52015DC0468" </w:instrText>
      </w:r>
      <w:r w:rsidRPr="00B57204">
        <w:rPr>
          <w:rStyle w:val="Hyperlink"/>
          <w:rFonts w:ascii="Times New Roman" w:hAnsi="Times New Roman" w:cs="Times New Roman"/>
          <w:lang w:val="en-GB"/>
        </w:rPr>
        <w:fldChar w:fldCharType="separate"/>
      </w:r>
      <w:r w:rsidRPr="00B57204">
        <w:rPr>
          <w:rStyle w:val="Hyperlink"/>
          <w:rFonts w:ascii="Times New Roman" w:hAnsi="Times New Roman" w:cs="Times New Roman"/>
          <w:lang w:val="en-GB"/>
        </w:rPr>
        <w:t>https://eur-lex.europa.eu/legal-content/EN/TXT/?uri=CELEX%3A52015DC0468</w:t>
      </w:r>
      <w:r w:rsidRPr="00B57204">
        <w:rPr>
          <w:rStyle w:val="Hyperlink"/>
          <w:rFonts w:ascii="Times New Roman" w:hAnsi="Times New Roman" w:cs="Times New Roman"/>
          <w:lang w:val="en-GB"/>
        </w:rPr>
        <w:fldChar w:fldCharType="end"/>
      </w:r>
      <w:r w:rsidRPr="00B57204">
        <w:rPr>
          <w:rStyle w:val="Hyperlink"/>
          <w:rFonts w:ascii="Times New Roman" w:hAnsi="Times New Roman" w:cs="Times New Roman"/>
          <w:lang w:val="en-GB"/>
        </w:rPr>
        <w:t xml:space="preserve"> </w:t>
      </w:r>
    </w:p>
  </w:footnote>
  <w:footnote w:id="5">
    <w:p w14:paraId="59E79EEA" w14:textId="77777777" w:rsidR="00CA68B9" w:rsidRPr="003C0D71" w:rsidRDefault="00CA68B9" w:rsidP="002C55A1">
      <w:pPr>
        <w:pStyle w:val="FootnoteText"/>
        <w:jc w:val="both"/>
        <w:rPr>
          <w:rFonts w:ascii="Times New Roman" w:hAnsi="Times New Roman" w:cs="Times New Roman"/>
        </w:rPr>
      </w:pPr>
      <w:r w:rsidRPr="003C0D71">
        <w:rPr>
          <w:rStyle w:val="FootnoteReference"/>
          <w:rFonts w:ascii="Times New Roman" w:hAnsi="Times New Roman" w:cs="Times New Roman"/>
        </w:rPr>
        <w:footnoteRef/>
      </w:r>
      <w:r w:rsidRPr="003C0D71">
        <w:rPr>
          <w:rFonts w:ascii="Times New Roman" w:hAnsi="Times New Roman" w:cs="Times New Roman"/>
        </w:rPr>
        <w:t xml:space="preserve"> Regulation (EU) 2017/2402 of the European Parliament and of the Council of 12 December 2017 laying down a general framework for securitisation and creating a specific framework for simple, transparent and standardised securitisation, and amending Directives 2009/65/EC, 2009/138/EC and 2011/61/EU and Regulations (EC) No 1060/2009 and (EU) No 648/2012</w:t>
      </w:r>
      <w:r>
        <w:rPr>
          <w:rFonts w:ascii="Times New Roman" w:hAnsi="Times New Roman" w:cs="Times New Roman"/>
        </w:rPr>
        <w:t>.</w:t>
      </w:r>
      <w:r w:rsidRPr="003C0D71">
        <w:rPr>
          <w:rFonts w:ascii="Times New Roman" w:hAnsi="Times New Roman" w:cs="Times New Roman"/>
        </w:rPr>
        <w:t xml:space="preserve"> </w:t>
      </w:r>
    </w:p>
  </w:footnote>
  <w:footnote w:id="6">
    <w:p w14:paraId="25C857AB" w14:textId="26BAAF65" w:rsidR="00CA68B9" w:rsidRPr="003C0D71" w:rsidRDefault="00CA68B9" w:rsidP="002C55A1">
      <w:pPr>
        <w:pStyle w:val="FootnoteText"/>
        <w:jc w:val="both"/>
        <w:rPr>
          <w:rFonts w:ascii="Times New Roman" w:hAnsi="Times New Roman" w:cs="Times New Roman"/>
        </w:rPr>
      </w:pPr>
      <w:r w:rsidRPr="003C0D71">
        <w:rPr>
          <w:rStyle w:val="FootnoteReference"/>
          <w:rFonts w:ascii="Times New Roman" w:hAnsi="Times New Roman" w:cs="Times New Roman"/>
        </w:rPr>
        <w:footnoteRef/>
      </w:r>
      <w:r w:rsidRPr="003C0D71">
        <w:rPr>
          <w:rFonts w:ascii="Times New Roman" w:hAnsi="Times New Roman" w:cs="Times New Roman"/>
        </w:rPr>
        <w:t xml:space="preserve"> Regulation (EU) No 575/2013 of the European Parliament and of the Council of 26 June 2013 on prudential requirements for credit institutions and investment firms and amending Regulation (EU) No 648/2012 (</w:t>
      </w:r>
      <w:r w:rsidRPr="003C0D71">
        <w:rPr>
          <w:rFonts w:ascii="Times New Roman" w:hAnsi="Times New Roman" w:cs="Times New Roman"/>
          <w:i/>
          <w:iCs/>
        </w:rPr>
        <w:t>OJ L 176, 27.6.2013, p. 1</w:t>
      </w:r>
      <w:r w:rsidRPr="003C0D71">
        <w:rPr>
          <w:rFonts w:ascii="Times New Roman" w:hAnsi="Times New Roman" w:cs="Times New Roman"/>
        </w:rPr>
        <w:t xml:space="preserve">). </w:t>
      </w:r>
    </w:p>
  </w:footnote>
  <w:footnote w:id="7">
    <w:p w14:paraId="11D7FABD" w14:textId="62E7748E" w:rsidR="00CA68B9" w:rsidRPr="003C0D71" w:rsidRDefault="00CA68B9" w:rsidP="002C55A1">
      <w:pPr>
        <w:pStyle w:val="FootnoteText"/>
        <w:jc w:val="both"/>
        <w:rPr>
          <w:rFonts w:ascii="Times New Roman" w:hAnsi="Times New Roman" w:cs="Times New Roman"/>
        </w:rPr>
      </w:pPr>
      <w:r w:rsidRPr="003C0D71">
        <w:rPr>
          <w:rStyle w:val="FootnoteReference"/>
          <w:rFonts w:ascii="Times New Roman" w:hAnsi="Times New Roman" w:cs="Times New Roman"/>
        </w:rPr>
        <w:footnoteRef/>
      </w:r>
      <w:r w:rsidRPr="003C0D71">
        <w:rPr>
          <w:rFonts w:ascii="Times New Roman" w:hAnsi="Times New Roman" w:cs="Times New Roman"/>
        </w:rPr>
        <w:t xml:space="preserve"> Directive 2009/138/EC) of the European Parliament and of the Council of 25 November 2009 on the taking-up and pursuit of the business of Insurance and Reinsurance (Solvency II) (</w:t>
      </w:r>
      <w:r w:rsidRPr="003C0D71">
        <w:rPr>
          <w:rFonts w:ascii="Times New Roman" w:hAnsi="Times New Roman" w:cs="Times New Roman"/>
          <w:i/>
          <w:iCs/>
        </w:rPr>
        <w:t>OJ L 335, 17.12.2009, p. 1</w:t>
      </w:r>
      <w:r w:rsidRPr="003C0D71">
        <w:rPr>
          <w:rFonts w:ascii="Times New Roman" w:hAnsi="Times New Roman" w:cs="Times New Roman"/>
        </w:rPr>
        <w:t xml:space="preserve">). </w:t>
      </w:r>
    </w:p>
  </w:footnote>
  <w:footnote w:id="8">
    <w:p w14:paraId="25BAE04E" w14:textId="77777777" w:rsidR="00CA68B9" w:rsidRPr="003C0D71" w:rsidRDefault="00CA68B9" w:rsidP="00784D53">
      <w:pPr>
        <w:pStyle w:val="FootnoteText"/>
        <w:jc w:val="both"/>
        <w:rPr>
          <w:rFonts w:ascii="Times New Roman" w:hAnsi="Times New Roman" w:cs="Times New Roman"/>
          <w:i/>
          <w:iCs/>
        </w:rPr>
      </w:pPr>
      <w:r w:rsidRPr="003C0D71">
        <w:rPr>
          <w:rStyle w:val="FootnoteReference"/>
          <w:rFonts w:ascii="Times New Roman" w:hAnsi="Times New Roman" w:cs="Times New Roman"/>
        </w:rPr>
        <w:footnoteRef/>
      </w:r>
      <w:r w:rsidRPr="003C0D71">
        <w:rPr>
          <w:rFonts w:ascii="Times New Roman" w:hAnsi="Times New Roman" w:cs="Times New Roman"/>
        </w:rPr>
        <w:t xml:space="preserve"> Directive 2009/65/EC of the European Parliament and of the Council of 13 July 2009 on the coordination of laws, regulations and administrative provisions relating to undertakings for collective investment in transferable securities (UCITS) (</w:t>
      </w:r>
      <w:r w:rsidRPr="003C0D71">
        <w:rPr>
          <w:rFonts w:ascii="Times New Roman" w:hAnsi="Times New Roman" w:cs="Times New Roman"/>
          <w:i/>
          <w:iCs/>
        </w:rPr>
        <w:t>OJ L 302, 17.11.2009, p. 32).</w:t>
      </w:r>
    </w:p>
  </w:footnote>
  <w:footnote w:id="9">
    <w:p w14:paraId="0D3BDA4B" w14:textId="646F6305" w:rsidR="00CA68B9" w:rsidRPr="003C0D71" w:rsidRDefault="00CA68B9" w:rsidP="00784D53">
      <w:pPr>
        <w:pStyle w:val="FootnoteText"/>
        <w:jc w:val="both"/>
        <w:rPr>
          <w:rFonts w:ascii="Times New Roman" w:hAnsi="Times New Roman" w:cs="Times New Roman"/>
        </w:rPr>
      </w:pPr>
      <w:r w:rsidRPr="003C0D71">
        <w:rPr>
          <w:rStyle w:val="FootnoteReference"/>
          <w:rFonts w:ascii="Times New Roman" w:hAnsi="Times New Roman" w:cs="Times New Roman"/>
        </w:rPr>
        <w:footnoteRef/>
      </w:r>
      <w:r w:rsidRPr="003C0D71">
        <w:rPr>
          <w:rFonts w:ascii="Times New Roman" w:hAnsi="Times New Roman" w:cs="Times New Roman"/>
        </w:rPr>
        <w:t xml:space="preserve"> Directive 2011/61/EU of the European Parliament and of the Council of 8 June 2011 on Alternative Investment Fund Managers and amending Directives 2003/41/EC and 2009/65/EC and Regulations (EC) No 1060/2009 and (EU) No 1095/2010 (</w:t>
      </w:r>
      <w:r w:rsidRPr="003C0D71">
        <w:rPr>
          <w:rFonts w:ascii="Times New Roman" w:hAnsi="Times New Roman" w:cs="Times New Roman"/>
          <w:i/>
          <w:iCs/>
        </w:rPr>
        <w:t xml:space="preserve">OJ L 174, 1.7.2011, p. 1). </w:t>
      </w:r>
    </w:p>
  </w:footnote>
  <w:footnote w:id="10">
    <w:p w14:paraId="4C322D70" w14:textId="77777777" w:rsidR="00CA68B9" w:rsidRPr="003C0D71" w:rsidRDefault="00CA68B9" w:rsidP="00784D53">
      <w:pPr>
        <w:pStyle w:val="FootnoteText"/>
        <w:rPr>
          <w:rFonts w:ascii="Times New Roman" w:hAnsi="Times New Roman" w:cs="Times New Roman"/>
        </w:rPr>
      </w:pPr>
      <w:r w:rsidRPr="003C0D71">
        <w:rPr>
          <w:rStyle w:val="FootnoteReference"/>
          <w:rFonts w:ascii="Times New Roman" w:hAnsi="Times New Roman" w:cs="Times New Roman"/>
        </w:rPr>
        <w:footnoteRef/>
      </w:r>
      <w:r w:rsidRPr="003C0D71">
        <w:rPr>
          <w:rFonts w:ascii="Times New Roman" w:hAnsi="Times New Roman" w:cs="Times New Roman"/>
        </w:rPr>
        <w:t xml:space="preserve"> A true-sale securitisation involves the transfer of the economic interest in the exposures being securitised through the transfer of ownership of those exposures to special purpose entity.</w:t>
      </w:r>
    </w:p>
  </w:footnote>
  <w:footnote w:id="11">
    <w:p w14:paraId="3C05F263" w14:textId="77777777" w:rsidR="00CA68B9" w:rsidRPr="003C0D71" w:rsidRDefault="00CA68B9" w:rsidP="00784D53">
      <w:pPr>
        <w:pStyle w:val="FootnoteText"/>
        <w:rPr>
          <w:rFonts w:ascii="Times New Roman" w:hAnsi="Times New Roman" w:cs="Times New Roman"/>
        </w:rPr>
      </w:pPr>
      <w:r w:rsidRPr="003C0D71">
        <w:rPr>
          <w:rStyle w:val="FootnoteReference"/>
          <w:rFonts w:ascii="Times New Roman" w:hAnsi="Times New Roman" w:cs="Times New Roman"/>
        </w:rPr>
        <w:footnoteRef/>
      </w:r>
      <w:r w:rsidRPr="003C0D71">
        <w:rPr>
          <w:rFonts w:ascii="Times New Roman" w:hAnsi="Times New Roman" w:cs="Times New Roman"/>
        </w:rPr>
        <w:t xml:space="preserve"> See </w:t>
      </w:r>
      <w:hyperlink r:id="rId2" w:history="1">
        <w:r w:rsidRPr="003C0D71">
          <w:rPr>
            <w:rStyle w:val="Hyperlink"/>
            <w:rFonts w:ascii="Times New Roman" w:hAnsi="Times New Roman" w:cs="Times New Roman"/>
          </w:rPr>
          <w:t>https://ec.europa.eu/info/publications/200722-proposal-capital-markets-recovery_en</w:t>
        </w:r>
      </w:hyperlink>
      <w:r w:rsidRPr="003C0D71">
        <w:rPr>
          <w:rFonts w:ascii="Times New Roman" w:hAnsi="Times New Roman" w:cs="Times New Roman"/>
        </w:rPr>
        <w:t xml:space="preserve"> </w:t>
      </w:r>
    </w:p>
  </w:footnote>
  <w:footnote w:id="12">
    <w:p w14:paraId="4B308B7E" w14:textId="6B6BEB44" w:rsidR="00CA68B9" w:rsidRPr="003C0D71" w:rsidRDefault="00CA68B9" w:rsidP="00784D53">
      <w:pPr>
        <w:pStyle w:val="FootnoteText"/>
        <w:jc w:val="both"/>
        <w:rPr>
          <w:rFonts w:ascii="Times New Roman" w:hAnsi="Times New Roman" w:cs="Times New Roman"/>
        </w:rPr>
      </w:pPr>
      <w:r w:rsidRPr="003C0D71">
        <w:rPr>
          <w:rStyle w:val="FootnoteReference"/>
          <w:rFonts w:ascii="Times New Roman" w:hAnsi="Times New Roman" w:cs="Times New Roman"/>
        </w:rPr>
        <w:footnoteRef/>
      </w:r>
      <w:r w:rsidRPr="003C0D71">
        <w:rPr>
          <w:rFonts w:ascii="Times New Roman" w:hAnsi="Times New Roman" w:cs="Times New Roman"/>
        </w:rPr>
        <w:t xml:space="preserve"> </w:t>
      </w:r>
      <w:r>
        <w:rPr>
          <w:rFonts w:ascii="Times New Roman" w:hAnsi="Times New Roman" w:cs="Times New Roman"/>
        </w:rPr>
        <w:t>In</w:t>
      </w:r>
      <w:r w:rsidRPr="003C0D71">
        <w:rPr>
          <w:rFonts w:ascii="Times New Roman" w:hAnsi="Times New Roman" w:cs="Times New Roman"/>
        </w:rPr>
        <w:t xml:space="preserve"> contrast </w:t>
      </w:r>
      <w:r>
        <w:rPr>
          <w:rFonts w:ascii="Times New Roman" w:hAnsi="Times New Roman" w:cs="Times New Roman"/>
        </w:rPr>
        <w:t>to</w:t>
      </w:r>
      <w:r w:rsidRPr="003C0D71">
        <w:rPr>
          <w:rFonts w:ascii="Times New Roman" w:hAnsi="Times New Roman" w:cs="Times New Roman"/>
        </w:rPr>
        <w:t xml:space="preserve"> a true-sale securitisation, in a synthetic securitisation the underlying credit risk associated with a pool of loans is transferred by the use of credit derivatives or guarantees, and the exposures being securitised remain exposures of the originator.</w:t>
      </w:r>
    </w:p>
  </w:footnote>
  <w:footnote w:id="13">
    <w:p w14:paraId="20643E36" w14:textId="3A672684" w:rsidR="00CA68B9" w:rsidRPr="003C0D71" w:rsidRDefault="00CA68B9">
      <w:pPr>
        <w:pStyle w:val="FootnoteText"/>
        <w:rPr>
          <w:rFonts w:ascii="Times New Roman" w:hAnsi="Times New Roman" w:cs="Times New Roman"/>
        </w:rPr>
      </w:pPr>
      <w:r w:rsidRPr="003C0D71">
        <w:rPr>
          <w:rStyle w:val="FootnoteReference"/>
          <w:rFonts w:ascii="Times New Roman" w:hAnsi="Times New Roman" w:cs="Times New Roman"/>
        </w:rPr>
        <w:footnoteRef/>
      </w:r>
      <w:r w:rsidRPr="003C0D71">
        <w:rPr>
          <w:rFonts w:ascii="Times New Roman" w:hAnsi="Times New Roman" w:cs="Times New Roman"/>
        </w:rPr>
        <w:t xml:space="preserve"> Action 6 of the </w:t>
      </w:r>
      <w:r>
        <w:rPr>
          <w:rFonts w:ascii="Times New Roman" w:hAnsi="Times New Roman" w:cs="Times New Roman"/>
        </w:rPr>
        <w:t>a</w:t>
      </w:r>
      <w:r w:rsidRPr="003C0D71">
        <w:rPr>
          <w:rFonts w:ascii="Times New Roman" w:hAnsi="Times New Roman" w:cs="Times New Roman"/>
        </w:rPr>
        <w:t xml:space="preserve">ction </w:t>
      </w:r>
      <w:r>
        <w:rPr>
          <w:rFonts w:ascii="Times New Roman" w:hAnsi="Times New Roman" w:cs="Times New Roman"/>
        </w:rPr>
        <w:t>p</w:t>
      </w:r>
      <w:r w:rsidRPr="003C0D71">
        <w:rPr>
          <w:rFonts w:ascii="Times New Roman" w:hAnsi="Times New Roman" w:cs="Times New Roman"/>
        </w:rPr>
        <w:t xml:space="preserve">lan: </w:t>
      </w:r>
      <w:hyperlink r:id="rId3" w:history="1">
        <w:r w:rsidRPr="003C0D71">
          <w:rPr>
            <w:rStyle w:val="Hyperlink"/>
            <w:rFonts w:ascii="Times New Roman" w:hAnsi="Times New Roman" w:cs="Times New Roman"/>
          </w:rPr>
          <w:t>https://eur-lex.europa.eu/legal-content/EN/TXT/?uri=COM:2020:590:FIN</w:t>
        </w:r>
      </w:hyperlink>
      <w:r w:rsidRPr="003C0D71">
        <w:rPr>
          <w:rFonts w:ascii="Times New Roman" w:hAnsi="Times New Roman" w:cs="Times New Roman"/>
        </w:rPr>
        <w:t xml:space="preserve"> </w:t>
      </w:r>
    </w:p>
  </w:footnote>
  <w:footnote w:id="14">
    <w:p w14:paraId="40B36480" w14:textId="5DA957E6" w:rsidR="00CA68B9" w:rsidRPr="003C0D71" w:rsidRDefault="00CA68B9" w:rsidP="00784D53">
      <w:pPr>
        <w:pStyle w:val="FootnoteText"/>
        <w:jc w:val="both"/>
        <w:rPr>
          <w:rFonts w:ascii="Times New Roman" w:hAnsi="Times New Roman" w:cs="Times New Roman"/>
        </w:rPr>
      </w:pPr>
      <w:r w:rsidRPr="003C0D71">
        <w:rPr>
          <w:rStyle w:val="FootnoteReference"/>
          <w:rFonts w:ascii="Times New Roman" w:hAnsi="Times New Roman" w:cs="Times New Roman"/>
        </w:rPr>
        <w:footnoteRef/>
      </w:r>
      <w:r w:rsidRPr="003C0D71">
        <w:rPr>
          <w:rFonts w:ascii="Times New Roman" w:hAnsi="Times New Roman" w:cs="Times New Roman"/>
        </w:rPr>
        <w:t xml:space="preserve"> ESA’s </w:t>
      </w:r>
      <w:r>
        <w:rPr>
          <w:rFonts w:ascii="Times New Roman" w:hAnsi="Times New Roman" w:cs="Times New Roman"/>
        </w:rPr>
        <w:t>o</w:t>
      </w:r>
      <w:r w:rsidRPr="003C0D71">
        <w:rPr>
          <w:rFonts w:ascii="Times New Roman" w:hAnsi="Times New Roman" w:cs="Times New Roman"/>
        </w:rPr>
        <w:t xml:space="preserve">pinion to the European Commission on the </w:t>
      </w:r>
      <w:r>
        <w:rPr>
          <w:rFonts w:ascii="Times New Roman" w:hAnsi="Times New Roman" w:cs="Times New Roman"/>
        </w:rPr>
        <w:t>j</w:t>
      </w:r>
      <w:r w:rsidRPr="003C0D71">
        <w:rPr>
          <w:rFonts w:ascii="Times New Roman" w:hAnsi="Times New Roman" w:cs="Times New Roman"/>
        </w:rPr>
        <w:t xml:space="preserve">urisdictional </w:t>
      </w:r>
      <w:r>
        <w:rPr>
          <w:rFonts w:ascii="Times New Roman" w:hAnsi="Times New Roman" w:cs="Times New Roman"/>
        </w:rPr>
        <w:t>s</w:t>
      </w:r>
      <w:r w:rsidRPr="003C0D71">
        <w:rPr>
          <w:rFonts w:ascii="Times New Roman" w:hAnsi="Times New Roman" w:cs="Times New Roman"/>
        </w:rPr>
        <w:t xml:space="preserve">cope of </w:t>
      </w:r>
      <w:r>
        <w:rPr>
          <w:rFonts w:ascii="Times New Roman" w:hAnsi="Times New Roman" w:cs="Times New Roman"/>
        </w:rPr>
        <w:t>a</w:t>
      </w:r>
      <w:r w:rsidRPr="003C0D71">
        <w:rPr>
          <w:rFonts w:ascii="Times New Roman" w:hAnsi="Times New Roman" w:cs="Times New Roman"/>
        </w:rPr>
        <w:t>pplication of the Securitisation Regulation, JC 2021 16</w:t>
      </w:r>
      <w:r>
        <w:rPr>
          <w:rFonts w:ascii="Times New Roman" w:hAnsi="Times New Roman" w:cs="Times New Roman"/>
        </w:rPr>
        <w:t>.</w:t>
      </w:r>
      <w:r w:rsidR="00B57204">
        <w:rPr>
          <w:rFonts w:ascii="Times New Roman" w:hAnsi="Times New Roman" w:cs="Times New Roman"/>
        </w:rPr>
        <w:t xml:space="preserve"> </w:t>
      </w:r>
      <w:hyperlink r:id="rId4" w:history="1">
        <w:r w:rsidR="00B57204" w:rsidRPr="00B73BC8">
          <w:rPr>
            <w:rStyle w:val="Hyperlink"/>
            <w:rFonts w:ascii="Times New Roman" w:hAnsi="Times New Roman" w:cs="Times New Roman"/>
          </w:rPr>
          <w:t>https://www.esma.europa.eu/sites/default/files/library/jc_2021_16_-_esas_opinion_on_jurisdictional_scope_of_application_of_the_securitisation_regulation_003.pdf</w:t>
        </w:r>
      </w:hyperlink>
    </w:p>
  </w:footnote>
  <w:footnote w:id="15">
    <w:p w14:paraId="3D2355E5" w14:textId="77777777" w:rsidR="00CA68B9" w:rsidRPr="003C0D71" w:rsidRDefault="00CA68B9" w:rsidP="00D338B2">
      <w:pPr>
        <w:pStyle w:val="FootnoteText"/>
        <w:rPr>
          <w:rFonts w:ascii="Times New Roman" w:hAnsi="Times New Roman" w:cs="Times New Roman"/>
          <w:lang w:val="en-IE"/>
        </w:rPr>
      </w:pPr>
      <w:r w:rsidRPr="003C0D71">
        <w:rPr>
          <w:rStyle w:val="FootnoteReference"/>
          <w:rFonts w:ascii="Times New Roman" w:hAnsi="Times New Roman" w:cs="Times New Roman"/>
        </w:rPr>
        <w:footnoteRef/>
      </w:r>
      <w:r w:rsidRPr="003C0D71">
        <w:rPr>
          <w:rFonts w:ascii="Times New Roman" w:hAnsi="Times New Roman" w:cs="Times New Roman"/>
        </w:rPr>
        <w:t xml:space="preserve"> Final report of the high-level forum on the Capital Markets Union ‘A new vision for Europe’s capital markets’ </w:t>
      </w:r>
      <w:hyperlink r:id="rId5" w:history="1">
        <w:r w:rsidRPr="003C0D71">
          <w:rPr>
            <w:rStyle w:val="Hyperlink"/>
            <w:rFonts w:ascii="Times New Roman" w:hAnsi="Times New Roman" w:cs="Times New Roman"/>
          </w:rPr>
          <w:t>https://ec.europa.eu/info/files/200610-cmu-high-level-forum-final-report_en</w:t>
        </w:r>
      </w:hyperlink>
      <w:r>
        <w:rPr>
          <w:rStyle w:val="Hyperlink"/>
          <w:rFonts w:ascii="Times New Roman" w:hAnsi="Times New Roman" w:cs="Times New Roman"/>
        </w:rPr>
        <w:t>.</w:t>
      </w:r>
      <w:r w:rsidRPr="003C0D71">
        <w:rPr>
          <w:rFonts w:ascii="Times New Roman" w:hAnsi="Times New Roman" w:cs="Times New Roman"/>
        </w:rPr>
        <w:t xml:space="preserve"> </w:t>
      </w:r>
    </w:p>
  </w:footnote>
  <w:footnote w:id="16">
    <w:p w14:paraId="0FA31267" w14:textId="47B3F885" w:rsidR="00CA68B9" w:rsidRPr="003C0D71" w:rsidRDefault="00CA68B9">
      <w:pPr>
        <w:pStyle w:val="FootnoteText"/>
        <w:rPr>
          <w:rFonts w:ascii="Times New Roman" w:hAnsi="Times New Roman" w:cs="Times New Roman"/>
        </w:rPr>
      </w:pPr>
      <w:r w:rsidRPr="003C0D71">
        <w:rPr>
          <w:rStyle w:val="FootnoteReference"/>
          <w:rFonts w:ascii="Times New Roman" w:hAnsi="Times New Roman" w:cs="Times New Roman"/>
        </w:rPr>
        <w:footnoteRef/>
      </w:r>
      <w:r w:rsidRPr="003C0D71">
        <w:rPr>
          <w:rFonts w:ascii="Times New Roman" w:hAnsi="Times New Roman" w:cs="Times New Roman"/>
        </w:rPr>
        <w:t xml:space="preserve"> Joint Committee </w:t>
      </w:r>
      <w:r>
        <w:rPr>
          <w:rFonts w:ascii="Times New Roman" w:hAnsi="Times New Roman" w:cs="Times New Roman"/>
        </w:rPr>
        <w:t>r</w:t>
      </w:r>
      <w:r w:rsidRPr="003C0D71">
        <w:rPr>
          <w:rFonts w:ascii="Times New Roman" w:hAnsi="Times New Roman" w:cs="Times New Roman"/>
        </w:rPr>
        <w:t>eport on the implementation and functioning of the Securitisation Regulation JC 2021 31</w:t>
      </w:r>
      <w:r>
        <w:rPr>
          <w:rFonts w:ascii="Times New Roman" w:hAnsi="Times New Roman" w:cs="Times New Roman"/>
        </w:rPr>
        <w:t>.</w:t>
      </w:r>
      <w:r w:rsidR="00B57204">
        <w:rPr>
          <w:rFonts w:ascii="Times New Roman" w:hAnsi="Times New Roman" w:cs="Times New Roman"/>
        </w:rPr>
        <w:t xml:space="preserve"> </w:t>
      </w:r>
      <w:hyperlink r:id="rId6" w:history="1">
        <w:r w:rsidR="00B57204" w:rsidRPr="00B73BC8">
          <w:rPr>
            <w:rStyle w:val="Hyperlink"/>
            <w:rFonts w:ascii="Times New Roman" w:hAnsi="Times New Roman" w:cs="Times New Roman"/>
          </w:rPr>
          <w:t>https://www.eiopa.europa.eu/document-library/report/joint-committee-report-implementation-and-functioning-of-securitisation_en</w:t>
        </w:r>
      </w:hyperlink>
    </w:p>
  </w:footnote>
  <w:footnote w:id="17">
    <w:p w14:paraId="7E05B595" w14:textId="7A6C742D" w:rsidR="00CA68B9" w:rsidRPr="003C0D71" w:rsidRDefault="00CA68B9">
      <w:pPr>
        <w:pStyle w:val="FootnoteText"/>
        <w:rPr>
          <w:rFonts w:ascii="Times New Roman" w:hAnsi="Times New Roman" w:cs="Times New Roman"/>
        </w:rPr>
      </w:pPr>
      <w:r w:rsidRPr="003C0D71">
        <w:rPr>
          <w:rStyle w:val="FootnoteReference"/>
          <w:rFonts w:ascii="Times New Roman" w:hAnsi="Times New Roman" w:cs="Times New Roman"/>
        </w:rPr>
        <w:footnoteRef/>
      </w:r>
      <w:r w:rsidRPr="003C0D71">
        <w:rPr>
          <w:rFonts w:ascii="Times New Roman" w:hAnsi="Times New Roman" w:cs="Times New Roman"/>
        </w:rPr>
        <w:t xml:space="preserve"> </w:t>
      </w:r>
      <w:hyperlink r:id="rId7" w:history="1">
        <w:r w:rsidR="0056466E" w:rsidRPr="00843DE1">
          <w:rPr>
            <w:rStyle w:val="Hyperlink"/>
            <w:rFonts w:ascii="Times New Roman" w:hAnsi="Times New Roman" w:cs="Times New Roman"/>
          </w:rPr>
          <w:t>https://finance.ec.europa.eu/document/download/4ce4c935-06eb-4a35-a475-3b7224982242_en?filename=2021-eu-securitisation-framework-summary-of-responses_en.pdf</w:t>
        </w:r>
      </w:hyperlink>
      <w:r w:rsidR="0056466E">
        <w:rPr>
          <w:rFonts w:ascii="Times New Roman" w:hAnsi="Times New Roman" w:cs="Times New Roman"/>
        </w:rPr>
        <w:t xml:space="preserve"> </w:t>
      </w:r>
    </w:p>
  </w:footnote>
  <w:footnote w:id="18">
    <w:p w14:paraId="68B15924" w14:textId="193E0E3F" w:rsidR="00CA68B9" w:rsidRPr="003C0D71" w:rsidRDefault="00CA68B9" w:rsidP="00784D53">
      <w:pPr>
        <w:pStyle w:val="FootnoteText"/>
        <w:rPr>
          <w:rFonts w:ascii="Times New Roman" w:hAnsi="Times New Roman" w:cs="Times New Roman"/>
        </w:rPr>
      </w:pPr>
      <w:r w:rsidRPr="003C0D71">
        <w:rPr>
          <w:rStyle w:val="FootnoteReference"/>
          <w:rFonts w:ascii="Times New Roman" w:hAnsi="Times New Roman" w:cs="Times New Roman"/>
        </w:rPr>
        <w:footnoteRef/>
      </w:r>
      <w:hyperlink r:id="rId8" w:history="1">
        <w:r w:rsidR="00504488" w:rsidRPr="009C2F6C">
          <w:rPr>
            <w:rStyle w:val="Hyperlink"/>
            <w:rFonts w:ascii="Times New Roman" w:hAnsi="Times New Roman" w:cs="Times New Roman"/>
          </w:rPr>
          <w:t>https://www.eba.europa.eu/sites/default/documents/files/document_library/About%20Us/Missions%20and%20tasks/Call%20for%20Advice/2021/CfA%20to%20JC%20for%20securitisation%20in%20prudential%20framework%20review/1022482/CfA%20cover%20letter_final.pdf</w:t>
        </w:r>
      </w:hyperlink>
      <w:r w:rsidRPr="003C0D71">
        <w:rPr>
          <w:rFonts w:ascii="Times New Roman" w:hAnsi="Times New Roman" w:cs="Times New Roman"/>
        </w:rPr>
        <w:t xml:space="preserve"> </w:t>
      </w:r>
    </w:p>
  </w:footnote>
  <w:footnote w:id="19">
    <w:p w14:paraId="76B59B55" w14:textId="77777777" w:rsidR="00CA68B9" w:rsidRPr="003C0D71" w:rsidRDefault="00CA68B9" w:rsidP="00175683">
      <w:pPr>
        <w:pStyle w:val="FootnoteText"/>
        <w:rPr>
          <w:rFonts w:ascii="Times New Roman" w:hAnsi="Times New Roman" w:cs="Times New Roman"/>
          <w:b/>
        </w:rPr>
      </w:pPr>
      <w:r w:rsidRPr="003C0D71">
        <w:rPr>
          <w:rStyle w:val="FootnoteReference"/>
          <w:rFonts w:ascii="Times New Roman" w:hAnsi="Times New Roman" w:cs="Times New Roman"/>
        </w:rPr>
        <w:footnoteRef/>
      </w:r>
      <w:r w:rsidRPr="003C0D71">
        <w:rPr>
          <w:rFonts w:ascii="Times New Roman" w:hAnsi="Times New Roman" w:cs="Times New Roman"/>
        </w:rPr>
        <w:t xml:space="preserve"> European Benchmarking Exercise (EBE) for Private Securitisations, 1 December 2021, </w:t>
      </w:r>
      <w:hyperlink r:id="rId9" w:history="1">
        <w:r w:rsidRPr="003C0D71">
          <w:rPr>
            <w:rStyle w:val="Hyperlink"/>
            <w:rFonts w:ascii="Times New Roman" w:hAnsi="Times New Roman" w:cs="Times New Roman"/>
          </w:rPr>
          <w:t>https://www.afme.eu/publications/reports/details/European-Benchmarking-Exercise-EBE-for-Private-Securitisations</w:t>
        </w:r>
      </w:hyperlink>
      <w:r>
        <w:rPr>
          <w:rStyle w:val="Hyperlink"/>
          <w:rFonts w:ascii="Times New Roman" w:hAnsi="Times New Roman" w:cs="Times New Roman"/>
        </w:rPr>
        <w:t>.</w:t>
      </w:r>
      <w:r w:rsidRPr="003C0D71">
        <w:rPr>
          <w:rFonts w:ascii="Times New Roman" w:hAnsi="Times New Roman" w:cs="Times New Roman"/>
        </w:rPr>
        <w:t xml:space="preserve"> </w:t>
      </w:r>
    </w:p>
  </w:footnote>
  <w:footnote w:id="20">
    <w:p w14:paraId="3015033E" w14:textId="673475EC" w:rsidR="00CA68B9" w:rsidRPr="003C0D71" w:rsidRDefault="00CA68B9" w:rsidP="006E4190">
      <w:pPr>
        <w:pStyle w:val="FootnoteText"/>
        <w:rPr>
          <w:rFonts w:ascii="Times New Roman" w:hAnsi="Times New Roman" w:cs="Times New Roman"/>
        </w:rPr>
      </w:pPr>
      <w:r w:rsidRPr="003C0D71">
        <w:rPr>
          <w:rStyle w:val="FootnoteReference"/>
          <w:rFonts w:ascii="Times New Roman" w:hAnsi="Times New Roman" w:cs="Times New Roman"/>
        </w:rPr>
        <w:footnoteRef/>
      </w:r>
      <w:r w:rsidRPr="003C0D71">
        <w:rPr>
          <w:rFonts w:ascii="Times New Roman" w:hAnsi="Times New Roman" w:cs="Times New Roman"/>
        </w:rPr>
        <w:t xml:space="preserve"> The figures do not include collateralised loan obligations. Source: AFME Securitisation Data Report Q4 2021 and 2021 Full Year, 15 March 2022.</w:t>
      </w:r>
    </w:p>
  </w:footnote>
  <w:footnote w:id="21">
    <w:p w14:paraId="387F9B23" w14:textId="35EAFCD4" w:rsidR="00CA68B9" w:rsidRPr="003C0D71" w:rsidRDefault="00CA68B9" w:rsidP="005C5C27">
      <w:pPr>
        <w:pStyle w:val="FootnoteText"/>
        <w:jc w:val="both"/>
        <w:rPr>
          <w:rFonts w:ascii="Times New Roman" w:hAnsi="Times New Roman" w:cs="Times New Roman"/>
        </w:rPr>
      </w:pPr>
      <w:r w:rsidRPr="003C0D71">
        <w:rPr>
          <w:rStyle w:val="FootnoteReference"/>
          <w:rFonts w:ascii="Times New Roman" w:hAnsi="Times New Roman" w:cs="Times New Roman"/>
        </w:rPr>
        <w:footnoteRef/>
      </w:r>
      <w:r w:rsidR="00504488">
        <w:rPr>
          <w:rFonts w:ascii="Times New Roman" w:hAnsi="Times New Roman" w:cs="Times New Roman"/>
        </w:rPr>
        <w:t xml:space="preserve"> </w:t>
      </w:r>
      <w:r w:rsidRPr="003C0D71">
        <w:rPr>
          <w:rFonts w:ascii="Times New Roman" w:hAnsi="Times New Roman" w:cs="Times New Roman"/>
        </w:rPr>
        <w:t>Comparison with the United States</w:t>
      </w:r>
      <w:r>
        <w:rPr>
          <w:rFonts w:ascii="Times New Roman" w:hAnsi="Times New Roman" w:cs="Times New Roman"/>
        </w:rPr>
        <w:t>’</w:t>
      </w:r>
      <w:r w:rsidRPr="003C0D71">
        <w:rPr>
          <w:rFonts w:ascii="Times New Roman" w:hAnsi="Times New Roman" w:cs="Times New Roman"/>
        </w:rPr>
        <w:t xml:space="preserve"> securitisation market should take into account </w:t>
      </w:r>
      <w:r>
        <w:rPr>
          <w:rFonts w:ascii="Times New Roman" w:hAnsi="Times New Roman" w:cs="Times New Roman"/>
        </w:rPr>
        <w:t>its</w:t>
      </w:r>
      <w:r w:rsidRPr="003C0D71">
        <w:rPr>
          <w:rFonts w:ascii="Times New Roman" w:hAnsi="Times New Roman" w:cs="Times New Roman"/>
        </w:rPr>
        <w:t xml:space="preserve"> different structure, dominated by the activities </w:t>
      </w:r>
      <w:r>
        <w:rPr>
          <w:rFonts w:ascii="Times New Roman" w:hAnsi="Times New Roman" w:cs="Times New Roman"/>
        </w:rPr>
        <w:t xml:space="preserve">of </w:t>
      </w:r>
      <w:r w:rsidRPr="003C0D71">
        <w:rPr>
          <w:rFonts w:ascii="Times New Roman" w:hAnsi="Times New Roman" w:cs="Times New Roman"/>
        </w:rPr>
        <w:t xml:space="preserve">government-sponsored entities, which account for the overwhelming majority of securitisation issuance in the US, </w:t>
      </w:r>
      <w:r w:rsidRPr="00CB2EF4">
        <w:rPr>
          <w:rFonts w:ascii="Times New Roman" w:hAnsi="Times New Roman" w:cs="Times New Roman"/>
        </w:rPr>
        <w:t>as well as differences in its accounting and prudential rules</w:t>
      </w:r>
      <w:r w:rsidRPr="003C0D71">
        <w:rPr>
          <w:rFonts w:ascii="Times New Roman" w:hAnsi="Times New Roman" w:cs="Times New Roman"/>
        </w:rPr>
        <w:t>.</w:t>
      </w:r>
    </w:p>
  </w:footnote>
  <w:footnote w:id="22">
    <w:p w14:paraId="126F51FA" w14:textId="18E0B423" w:rsidR="00CA68B9" w:rsidRPr="003C0D71" w:rsidRDefault="00CA68B9" w:rsidP="00384D56">
      <w:pPr>
        <w:pStyle w:val="FootnoteText"/>
        <w:rPr>
          <w:rFonts w:ascii="Times New Roman" w:hAnsi="Times New Roman" w:cs="Times New Roman"/>
        </w:rPr>
      </w:pPr>
      <w:r w:rsidRPr="003C0D71">
        <w:rPr>
          <w:rStyle w:val="FootnoteReference"/>
          <w:rFonts w:ascii="Times New Roman" w:hAnsi="Times New Roman" w:cs="Times New Roman"/>
        </w:rPr>
        <w:footnoteRef/>
      </w:r>
      <w:r w:rsidRPr="003C0D71">
        <w:rPr>
          <w:rFonts w:ascii="Times New Roman" w:hAnsi="Times New Roman" w:cs="Times New Roman"/>
        </w:rPr>
        <w:t xml:space="preserve"> </w:t>
      </w:r>
      <w:r w:rsidRPr="003C0D71">
        <w:rPr>
          <w:rFonts w:ascii="Times New Roman" w:hAnsi="Times New Roman" w:cs="Times New Roman"/>
        </w:rPr>
        <w:tab/>
        <w:t xml:space="preserve">The first STS on-balance-sheet securitisations </w:t>
      </w:r>
      <w:r>
        <w:rPr>
          <w:rFonts w:ascii="Times New Roman" w:hAnsi="Times New Roman" w:cs="Times New Roman"/>
        </w:rPr>
        <w:t>were</w:t>
      </w:r>
      <w:r w:rsidRPr="003C0D71">
        <w:rPr>
          <w:rFonts w:ascii="Times New Roman" w:hAnsi="Times New Roman" w:cs="Times New Roman"/>
        </w:rPr>
        <w:t xml:space="preserve"> notified to ESMA on 22 June 2021.</w:t>
      </w:r>
    </w:p>
  </w:footnote>
  <w:footnote w:id="23">
    <w:p w14:paraId="53A8A981" w14:textId="45DD607A" w:rsidR="00CA68B9" w:rsidRPr="003C0D71" w:rsidRDefault="00CA68B9">
      <w:pPr>
        <w:pStyle w:val="FootnoteText"/>
        <w:rPr>
          <w:rFonts w:ascii="Times New Roman" w:hAnsi="Times New Roman" w:cs="Times New Roman"/>
        </w:rPr>
      </w:pPr>
      <w:r w:rsidRPr="003C0D71">
        <w:rPr>
          <w:rStyle w:val="FootnoteReference"/>
          <w:rFonts w:ascii="Times New Roman" w:hAnsi="Times New Roman" w:cs="Times New Roman"/>
        </w:rPr>
        <w:footnoteRef/>
      </w:r>
      <w:r w:rsidRPr="003C0D71">
        <w:rPr>
          <w:rFonts w:ascii="Times New Roman" w:hAnsi="Times New Roman" w:cs="Times New Roman"/>
        </w:rPr>
        <w:t xml:space="preserve"> European Data Warehouse (EDW) is one of the two securitisation repositor</w:t>
      </w:r>
      <w:r>
        <w:rPr>
          <w:rFonts w:ascii="Times New Roman" w:hAnsi="Times New Roman" w:cs="Times New Roman"/>
        </w:rPr>
        <w:t>ies</w:t>
      </w:r>
      <w:r w:rsidRPr="003C0D71">
        <w:rPr>
          <w:rFonts w:ascii="Times New Roman" w:hAnsi="Times New Roman" w:cs="Times New Roman"/>
        </w:rPr>
        <w:t xml:space="preserve">, authorised </w:t>
      </w:r>
      <w:r w:rsidRPr="00647E9A">
        <w:rPr>
          <w:rFonts w:ascii="Times New Roman" w:hAnsi="Times New Roman" w:cs="Times New Roman"/>
        </w:rPr>
        <w:t>so far</w:t>
      </w:r>
      <w:r w:rsidRPr="00D216E6">
        <w:rPr>
          <w:rFonts w:ascii="Times New Roman" w:hAnsi="Times New Roman" w:cs="Times New Roman"/>
        </w:rPr>
        <w:t xml:space="preserve">. </w:t>
      </w:r>
      <w:r w:rsidRPr="00647E9A">
        <w:rPr>
          <w:rFonts w:ascii="Times New Roman" w:hAnsi="Times New Roman" w:cs="Times New Roman"/>
        </w:rPr>
        <w:t>Securitisation repositories have the task to centrally collect data on securitisations in the EU and to provide this data to investors and supervisors.</w:t>
      </w:r>
    </w:p>
  </w:footnote>
  <w:footnote w:id="24">
    <w:p w14:paraId="087B90DC" w14:textId="6E3279F5" w:rsidR="00CA68B9" w:rsidRPr="003C0D71" w:rsidRDefault="00CA68B9">
      <w:pPr>
        <w:pStyle w:val="FootnoteText"/>
        <w:rPr>
          <w:rFonts w:ascii="Times New Roman" w:hAnsi="Times New Roman" w:cs="Times New Roman"/>
        </w:rPr>
      </w:pPr>
      <w:r w:rsidRPr="003C0D71">
        <w:rPr>
          <w:rStyle w:val="FootnoteReference"/>
          <w:rFonts w:ascii="Times New Roman" w:hAnsi="Times New Roman" w:cs="Times New Roman"/>
        </w:rPr>
        <w:footnoteRef/>
      </w:r>
      <w:r w:rsidRPr="003C0D71">
        <w:rPr>
          <w:rFonts w:ascii="Times New Roman" w:hAnsi="Times New Roman" w:cs="Times New Roman"/>
        </w:rPr>
        <w:t xml:space="preserve"> The EBA has recently adopted an updated version of the aforementioned technical standards as a result of the amendments to the risk retention provisions with the Capital Markets </w:t>
      </w:r>
      <w:r w:rsidR="00903390">
        <w:rPr>
          <w:rFonts w:ascii="Times New Roman" w:hAnsi="Times New Roman" w:cs="Times New Roman"/>
        </w:rPr>
        <w:t>R</w:t>
      </w:r>
      <w:r w:rsidRPr="003C0D71">
        <w:rPr>
          <w:rFonts w:ascii="Times New Roman" w:hAnsi="Times New Roman" w:cs="Times New Roman"/>
        </w:rPr>
        <w:t xml:space="preserve">ecovery </w:t>
      </w:r>
      <w:r w:rsidR="00903390">
        <w:rPr>
          <w:rFonts w:ascii="Times New Roman" w:hAnsi="Times New Roman" w:cs="Times New Roman"/>
        </w:rPr>
        <w:t>P</w:t>
      </w:r>
      <w:r w:rsidRPr="003C0D71">
        <w:rPr>
          <w:rFonts w:ascii="Times New Roman" w:hAnsi="Times New Roman" w:cs="Times New Roman"/>
        </w:rPr>
        <w:t xml:space="preserve">ackage. The </w:t>
      </w:r>
      <w:r>
        <w:rPr>
          <w:rFonts w:ascii="Times New Roman" w:hAnsi="Times New Roman" w:cs="Times New Roman"/>
        </w:rPr>
        <w:t>f</w:t>
      </w:r>
      <w:r w:rsidRPr="003C0D71">
        <w:rPr>
          <w:rFonts w:ascii="Times New Roman" w:hAnsi="Times New Roman" w:cs="Times New Roman"/>
        </w:rPr>
        <w:t xml:space="preserve">inal </w:t>
      </w:r>
      <w:r>
        <w:rPr>
          <w:rFonts w:ascii="Times New Roman" w:hAnsi="Times New Roman" w:cs="Times New Roman"/>
        </w:rPr>
        <w:t>r</w:t>
      </w:r>
      <w:r w:rsidRPr="003C0D71">
        <w:rPr>
          <w:rFonts w:ascii="Times New Roman" w:hAnsi="Times New Roman" w:cs="Times New Roman"/>
        </w:rPr>
        <w:t>eport was submitted to the Commission on 12 April 2022.</w:t>
      </w:r>
    </w:p>
  </w:footnote>
  <w:footnote w:id="25">
    <w:p w14:paraId="0770F6FB" w14:textId="77777777" w:rsidR="00CA68B9" w:rsidRPr="003C0D71" w:rsidRDefault="00CA68B9">
      <w:pPr>
        <w:pStyle w:val="FootnoteText"/>
        <w:rPr>
          <w:rFonts w:ascii="Times New Roman" w:hAnsi="Times New Roman" w:cs="Times New Roman"/>
        </w:rPr>
      </w:pPr>
      <w:r w:rsidRPr="003C0D71">
        <w:rPr>
          <w:rStyle w:val="FootnoteReference"/>
          <w:rFonts w:ascii="Times New Roman" w:hAnsi="Times New Roman" w:cs="Times New Roman"/>
        </w:rPr>
        <w:footnoteRef/>
      </w:r>
      <w:r w:rsidRPr="003C0D71">
        <w:rPr>
          <w:rFonts w:ascii="Times New Roman" w:hAnsi="Times New Roman" w:cs="Times New Roman"/>
        </w:rPr>
        <w:t xml:space="preserve"> Communication from the Commission to the European Parliament, the Council, the European Central Bank, the European Economic and Social Committee and the Committee of the Regions </w:t>
      </w:r>
      <w:r>
        <w:rPr>
          <w:rFonts w:ascii="Times New Roman" w:hAnsi="Times New Roman" w:cs="Times New Roman"/>
        </w:rPr>
        <w:t xml:space="preserve">- </w:t>
      </w:r>
      <w:r w:rsidRPr="003C0D71">
        <w:rPr>
          <w:rFonts w:ascii="Times New Roman" w:hAnsi="Times New Roman" w:cs="Times New Roman"/>
        </w:rPr>
        <w:t>Equivalence in the area of financial services - COM(2019) 349 final</w:t>
      </w:r>
      <w:r>
        <w:rPr>
          <w:rFonts w:ascii="Times New Roman" w:hAnsi="Times New Roman" w:cs="Times New Roman"/>
        </w:rPr>
        <w:t>.</w:t>
      </w:r>
    </w:p>
  </w:footnote>
  <w:footnote w:id="26">
    <w:p w14:paraId="13BFB15C" w14:textId="4678D23B" w:rsidR="00CA68B9" w:rsidRPr="003C0D71" w:rsidRDefault="00CA68B9">
      <w:pPr>
        <w:pStyle w:val="FootnoteText"/>
        <w:rPr>
          <w:rFonts w:ascii="Times New Roman" w:hAnsi="Times New Roman" w:cs="Times New Roman"/>
        </w:rPr>
      </w:pPr>
      <w:r w:rsidRPr="003C0D71">
        <w:rPr>
          <w:rStyle w:val="FootnoteReference"/>
          <w:rFonts w:ascii="Times New Roman" w:hAnsi="Times New Roman" w:cs="Times New Roman"/>
        </w:rPr>
        <w:footnoteRef/>
      </w:r>
      <w:r w:rsidRPr="003C0D71">
        <w:rPr>
          <w:rFonts w:ascii="Times New Roman" w:hAnsi="Times New Roman" w:cs="Times New Roman"/>
        </w:rPr>
        <w:t xml:space="preserve"> As mandated </w:t>
      </w:r>
      <w:r w:rsidRPr="00B20E2C">
        <w:rPr>
          <w:rFonts w:ascii="Times New Roman" w:hAnsi="Times New Roman" w:cs="Times New Roman"/>
        </w:rPr>
        <w:t>by Article 36, paragraph 7</w:t>
      </w:r>
      <w:r w:rsidRPr="003C0D71">
        <w:rPr>
          <w:rFonts w:ascii="Times New Roman" w:hAnsi="Times New Roman" w:cs="Times New Roman"/>
        </w:rPr>
        <w:t xml:space="preserve"> of the Securitisation Regulation</w:t>
      </w:r>
      <w:r>
        <w:rPr>
          <w:rFonts w:ascii="Times New Roman" w:hAnsi="Times New Roman" w:cs="Times New Roman"/>
        </w:rPr>
        <w:t>.</w:t>
      </w:r>
    </w:p>
  </w:footnote>
  <w:footnote w:id="27">
    <w:p w14:paraId="3C03D669" w14:textId="2425F0EF" w:rsidR="00CA68B9" w:rsidRPr="003C0D71" w:rsidRDefault="00CA68B9">
      <w:pPr>
        <w:pStyle w:val="FootnoteText"/>
        <w:rPr>
          <w:rFonts w:ascii="Times New Roman" w:hAnsi="Times New Roman" w:cs="Times New Roman"/>
        </w:rPr>
      </w:pPr>
      <w:r w:rsidRPr="003C0D71">
        <w:rPr>
          <w:rStyle w:val="FootnoteReference"/>
          <w:rFonts w:ascii="Times New Roman" w:hAnsi="Times New Roman" w:cs="Times New Roman"/>
        </w:rPr>
        <w:footnoteRef/>
      </w:r>
      <w:hyperlink r:id="rId10" w:history="1">
        <w:r w:rsidRPr="003C0D71">
          <w:rPr>
            <w:rStyle w:val="Hyperlink"/>
            <w:rFonts w:ascii="Times New Roman" w:hAnsi="Times New Roman" w:cs="Times New Roman"/>
          </w:rPr>
          <w:t>https://www.eba.europa.eu/sites/default/documents/files/document_library/Publications/Reports/2022/1027593/EBA%20report%20on%20sustainable%20securitisation.pdf</w:t>
        </w:r>
      </w:hyperlink>
      <w:r w:rsidRPr="003C0D71">
        <w:rPr>
          <w:rFonts w:ascii="Times New Roman" w:hAnsi="Times New Roman" w:cs="Times New Roman"/>
        </w:rPr>
        <w:t xml:space="preserve"> </w:t>
      </w:r>
    </w:p>
  </w:footnote>
  <w:footnote w:id="28">
    <w:p w14:paraId="7A4558A0" w14:textId="77777777" w:rsidR="00CA68B9" w:rsidRPr="00647E9A" w:rsidRDefault="00CA68B9">
      <w:pPr>
        <w:pStyle w:val="FootnoteText"/>
        <w:rPr>
          <w:rFonts w:ascii="Times New Roman" w:hAnsi="Times New Roman" w:cs="Times New Roman"/>
        </w:rPr>
      </w:pPr>
      <w:r w:rsidRPr="00647E9A">
        <w:rPr>
          <w:rStyle w:val="FootnoteReference"/>
          <w:rFonts w:ascii="Times New Roman" w:hAnsi="Times New Roman" w:cs="Times New Roman"/>
        </w:rPr>
        <w:footnoteRef/>
      </w:r>
      <w:r w:rsidRPr="00647E9A">
        <w:rPr>
          <w:rFonts w:ascii="Times New Roman" w:hAnsi="Times New Roman" w:cs="Times New Roman"/>
        </w:rPr>
        <w:t xml:space="preserve"> </w:t>
      </w:r>
      <w:hyperlink r:id="rId11" w:history="1">
        <w:r w:rsidRPr="00647E9A">
          <w:rPr>
            <w:rStyle w:val="Hyperlink"/>
            <w:rFonts w:ascii="Times New Roman" w:hAnsi="Times New Roman" w:cs="Times New Roman"/>
          </w:rPr>
          <w:t>EBA recommends adjustments to the proposed EU Green Bond Standard as regards securitisation transactions | European Banking Authority (europa.eu)</w:t>
        </w:r>
      </w:hyperlink>
    </w:p>
  </w:footnote>
  <w:footnote w:id="29">
    <w:p w14:paraId="5165F433" w14:textId="77777777" w:rsidR="00CA68B9" w:rsidRPr="003C0D71" w:rsidRDefault="00CA68B9" w:rsidP="004E3428">
      <w:pPr>
        <w:pStyle w:val="FootnoteText"/>
        <w:rPr>
          <w:rFonts w:ascii="Times New Roman" w:hAnsi="Times New Roman" w:cs="Times New Roman"/>
        </w:rPr>
      </w:pPr>
      <w:r w:rsidRPr="003C0D71">
        <w:rPr>
          <w:rStyle w:val="FootnoteReference"/>
          <w:rFonts w:ascii="Times New Roman" w:hAnsi="Times New Roman" w:cs="Times New Roman"/>
        </w:rPr>
        <w:footnoteRef/>
      </w:r>
      <w:r w:rsidRPr="003C0D71">
        <w:rPr>
          <w:rFonts w:ascii="Times New Roman" w:hAnsi="Times New Roman" w:cs="Times New Roman"/>
        </w:rPr>
        <w:t xml:space="preserve"> Beyond residential loans or auto loans or leases.</w:t>
      </w:r>
    </w:p>
  </w:footnote>
  <w:footnote w:id="30">
    <w:p w14:paraId="4F562EF4" w14:textId="5E98CFF2" w:rsidR="00CA68B9" w:rsidRPr="003C0D71" w:rsidRDefault="00CA68B9">
      <w:pPr>
        <w:pStyle w:val="FootnoteText"/>
        <w:rPr>
          <w:rFonts w:ascii="Times New Roman" w:hAnsi="Times New Roman" w:cs="Times New Roman"/>
        </w:rPr>
      </w:pPr>
      <w:r w:rsidRPr="003C0D71">
        <w:rPr>
          <w:rStyle w:val="FootnoteReference"/>
          <w:rFonts w:ascii="Times New Roman" w:hAnsi="Times New Roman" w:cs="Times New Roman"/>
        </w:rPr>
        <w:footnoteRef/>
      </w:r>
      <w:r w:rsidRPr="003C0D71">
        <w:rPr>
          <w:rFonts w:ascii="Times New Roman" w:hAnsi="Times New Roman" w:cs="Times New Roman"/>
        </w:rPr>
        <w:t xml:space="preserve"> </w:t>
      </w:r>
      <w:hyperlink r:id="rId12" w:history="1">
        <w:r w:rsidRPr="003C0D71">
          <w:rPr>
            <w:rStyle w:val="Hyperlink"/>
            <w:rFonts w:ascii="Times New Roman" w:hAnsi="Times New Roman" w:cs="Times New Roman"/>
          </w:rPr>
          <w:t>https://eur-lex.europa.eu/legal-content/EN/TXT/?uri=CELEX:52021PC0391</w:t>
        </w:r>
      </w:hyperlink>
      <w:r w:rsidRPr="003C0D71">
        <w:rPr>
          <w:rFonts w:ascii="Times New Roman" w:hAnsi="Times New Roman" w:cs="Times New Roman"/>
        </w:rPr>
        <w:t xml:space="preserve"> </w:t>
      </w:r>
    </w:p>
  </w:footnote>
  <w:footnote w:id="31">
    <w:p w14:paraId="38542C18" w14:textId="77777777" w:rsidR="00CA68B9" w:rsidRPr="003C0D71" w:rsidRDefault="00CA68B9">
      <w:pPr>
        <w:pStyle w:val="FootnoteText"/>
        <w:rPr>
          <w:rFonts w:ascii="Times New Roman" w:hAnsi="Times New Roman" w:cs="Times New Roman"/>
          <w:lang w:val="en-IE"/>
        </w:rPr>
      </w:pPr>
      <w:r w:rsidRPr="003C0D71">
        <w:rPr>
          <w:rStyle w:val="FootnoteReference"/>
          <w:rFonts w:ascii="Times New Roman" w:hAnsi="Times New Roman" w:cs="Times New Roman"/>
        </w:rPr>
        <w:footnoteRef/>
      </w:r>
      <w:hyperlink r:id="rId13" w:history="1">
        <w:r w:rsidRPr="003C0D71">
          <w:rPr>
            <w:rStyle w:val="Hyperlink"/>
            <w:rFonts w:ascii="Times New Roman" w:hAnsi="Times New Roman" w:cs="Times New Roman"/>
            <w:lang w:val="en-IE"/>
          </w:rPr>
          <w:t>https://ec.europa.eu/info/business-economy-euro/banking-and-finance/sustainable-finance/european-green-bond-standard_en</w:t>
        </w:r>
      </w:hyperlink>
      <w:r w:rsidRPr="003C0D71">
        <w:rPr>
          <w:rFonts w:ascii="Times New Roman" w:hAnsi="Times New Roman" w:cs="Times New Roman"/>
          <w:lang w:val="en-IE"/>
        </w:rPr>
        <w:t xml:space="preserve"> </w:t>
      </w:r>
    </w:p>
  </w:footnote>
  <w:footnote w:id="32">
    <w:p w14:paraId="102C6C50" w14:textId="4180EBB9" w:rsidR="00CA68B9" w:rsidRPr="003C0D71" w:rsidRDefault="00CA68B9">
      <w:pPr>
        <w:pStyle w:val="FootnoteText"/>
        <w:rPr>
          <w:rFonts w:ascii="Times New Roman" w:hAnsi="Times New Roman" w:cs="Times New Roman"/>
        </w:rPr>
      </w:pPr>
      <w:r w:rsidRPr="003C0D71">
        <w:rPr>
          <w:rStyle w:val="FootnoteReference"/>
          <w:rFonts w:ascii="Times New Roman" w:hAnsi="Times New Roman" w:cs="Times New Roman"/>
        </w:rPr>
        <w:footnoteRef/>
      </w:r>
      <w:r w:rsidRPr="003C0D71">
        <w:rPr>
          <w:rFonts w:ascii="Times New Roman" w:hAnsi="Times New Roman" w:cs="Times New Roman"/>
        </w:rPr>
        <w:t xml:space="preserve">According to EBA estimates of the amount of </w:t>
      </w:r>
      <w:r>
        <w:rPr>
          <w:rFonts w:ascii="Times New Roman" w:hAnsi="Times New Roman" w:cs="Times New Roman"/>
        </w:rPr>
        <w:t>t</w:t>
      </w:r>
      <w:r w:rsidRPr="003C0D71">
        <w:rPr>
          <w:rFonts w:ascii="Times New Roman" w:hAnsi="Times New Roman" w:cs="Times New Roman"/>
        </w:rPr>
        <w:t xml:space="preserve">axonomy-aligned assets in EU banks, the maximum annual pool of green securitisations, assuming they are fully backed by </w:t>
      </w:r>
      <w:r>
        <w:rPr>
          <w:rFonts w:ascii="Times New Roman" w:hAnsi="Times New Roman" w:cs="Times New Roman"/>
        </w:rPr>
        <w:t>t</w:t>
      </w:r>
      <w:r w:rsidRPr="003C0D71">
        <w:rPr>
          <w:rFonts w:ascii="Times New Roman" w:hAnsi="Times New Roman" w:cs="Times New Roman"/>
        </w:rPr>
        <w:t>axonomy-aligned assets, would be EUR</w:t>
      </w:r>
      <w:r>
        <w:rPr>
          <w:rFonts w:ascii="Times New Roman" w:hAnsi="Times New Roman" w:cs="Times New Roman"/>
        </w:rPr>
        <w:t> </w:t>
      </w:r>
      <w:r w:rsidRPr="003C0D71">
        <w:rPr>
          <w:rFonts w:ascii="Times New Roman" w:hAnsi="Times New Roman" w:cs="Times New Roman"/>
        </w:rPr>
        <w:t>15.6</w:t>
      </w:r>
      <w:r>
        <w:rPr>
          <w:rFonts w:ascii="Times New Roman" w:hAnsi="Times New Roman" w:cs="Times New Roman"/>
        </w:rPr>
        <w:t xml:space="preserve"> </w:t>
      </w:r>
      <w:r w:rsidRPr="003C0D71">
        <w:rPr>
          <w:rFonts w:ascii="Times New Roman" w:hAnsi="Times New Roman" w:cs="Times New Roman"/>
        </w:rPr>
        <w:t>b</w:t>
      </w:r>
      <w:r>
        <w:rPr>
          <w:rFonts w:ascii="Times New Roman" w:hAnsi="Times New Roman" w:cs="Times New Roman"/>
        </w:rPr>
        <w:t>illio</w:t>
      </w:r>
      <w:r w:rsidRPr="003C0D71">
        <w:rPr>
          <w:rFonts w:ascii="Times New Roman" w:hAnsi="Times New Roman" w:cs="Times New Roman"/>
        </w:rPr>
        <w:t>n</w:t>
      </w:r>
      <w:r>
        <w:rPr>
          <w:rFonts w:ascii="Times New Roman" w:hAnsi="Times New Roman" w:cs="Times New Roman"/>
        </w:rPr>
        <w:t>.</w:t>
      </w:r>
    </w:p>
  </w:footnote>
  <w:footnote w:id="33">
    <w:p w14:paraId="1343F981" w14:textId="77777777" w:rsidR="00CA68B9" w:rsidRPr="003C0D71" w:rsidRDefault="00CA68B9">
      <w:pPr>
        <w:pStyle w:val="FootnoteText"/>
        <w:rPr>
          <w:rFonts w:ascii="Times New Roman" w:hAnsi="Times New Roman" w:cs="Times New Roman"/>
        </w:rPr>
      </w:pPr>
      <w:r w:rsidRPr="003C0D71">
        <w:rPr>
          <w:rStyle w:val="FootnoteReference"/>
          <w:rFonts w:ascii="Times New Roman" w:hAnsi="Times New Roman" w:cs="Times New Roman"/>
        </w:rPr>
        <w:footnoteRef/>
      </w:r>
      <w:r w:rsidRPr="003C0D71">
        <w:rPr>
          <w:rFonts w:ascii="Times New Roman" w:hAnsi="Times New Roman" w:cs="Times New Roman"/>
        </w:rPr>
        <w:t xml:space="preserve"> Regulation EU 2019 /2088 of the European Parliament and Council on sustainability‐related disclosures in the financial services sector</w:t>
      </w:r>
      <w:r>
        <w:rPr>
          <w:rFonts w:ascii="Times New Roman" w:hAnsi="Times New Roman" w:cs="Times New Roman"/>
        </w:rPr>
        <w:t>.</w:t>
      </w:r>
    </w:p>
  </w:footnote>
  <w:footnote w:id="34">
    <w:p w14:paraId="31C7856F" w14:textId="77777777" w:rsidR="00CA68B9" w:rsidRPr="003C0D71" w:rsidRDefault="00CA68B9">
      <w:pPr>
        <w:pStyle w:val="FootnoteText"/>
        <w:rPr>
          <w:rFonts w:ascii="Times New Roman" w:hAnsi="Times New Roman" w:cs="Times New Roman"/>
        </w:rPr>
      </w:pPr>
      <w:r w:rsidRPr="003C0D71">
        <w:rPr>
          <w:rStyle w:val="FootnoteReference"/>
          <w:rFonts w:ascii="Times New Roman" w:hAnsi="Times New Roman" w:cs="Times New Roman"/>
        </w:rPr>
        <w:footnoteRef/>
      </w:r>
      <w:r w:rsidRPr="003C0D71">
        <w:rPr>
          <w:rFonts w:ascii="Times New Roman" w:hAnsi="Times New Roman" w:cs="Times New Roman"/>
        </w:rPr>
        <w:t xml:space="preserve"> Article 22 (6) of the Securitisation Regulation</w:t>
      </w:r>
      <w:r>
        <w:rPr>
          <w:rFonts w:ascii="Times New Roman" w:hAnsi="Times New Roman" w:cs="Times New Roman"/>
        </w:rPr>
        <w:t>.</w:t>
      </w:r>
      <w:r w:rsidRPr="003C0D71">
        <w:rPr>
          <w:rFonts w:ascii="Times New Roman" w:hAnsi="Times New Roman" w:cs="Times New Roman"/>
        </w:rPr>
        <w:t xml:space="preserve"> </w:t>
      </w:r>
    </w:p>
  </w:footnote>
  <w:footnote w:id="35">
    <w:p w14:paraId="4E56B64F" w14:textId="77777777" w:rsidR="00CA68B9" w:rsidRPr="003C0D71" w:rsidRDefault="00CA68B9" w:rsidP="002C55A1">
      <w:pPr>
        <w:pStyle w:val="FootnoteText"/>
        <w:jc w:val="both"/>
        <w:rPr>
          <w:rFonts w:ascii="Times New Roman" w:hAnsi="Times New Roman" w:cs="Times New Roman"/>
          <w:lang w:val="en-US"/>
        </w:rPr>
      </w:pPr>
      <w:r w:rsidRPr="003C0D71">
        <w:rPr>
          <w:rStyle w:val="FootnoteReference"/>
          <w:rFonts w:ascii="Times New Roman" w:hAnsi="Times New Roman" w:cs="Times New Roman"/>
        </w:rPr>
        <w:footnoteRef/>
      </w:r>
      <w:r w:rsidRPr="003C0D71">
        <w:rPr>
          <w:rFonts w:ascii="Times New Roman" w:hAnsi="Times New Roman" w:cs="Times New Roman"/>
        </w:rPr>
        <w:t xml:space="preserve"> Commission Delegated Regulation (EU) 2020/1224 of 16 October 2019 supplementing Regulation (EU) 2017/2402 of the European Parliament and of the Council with regard to regulatory technical standards specifying the information and the details of a securitisation to be made available by the originator, sponsor and SSPE, OJ L 289, 3.9.2020, p. 1–216</w:t>
      </w:r>
      <w:r>
        <w:rPr>
          <w:rFonts w:ascii="Times New Roman" w:hAnsi="Times New Roman" w:cs="Times New Roman"/>
        </w:rPr>
        <w:t>.</w:t>
      </w:r>
    </w:p>
  </w:footnote>
  <w:footnote w:id="36">
    <w:p w14:paraId="6F9CDD5F" w14:textId="6932FB58" w:rsidR="00CA68B9" w:rsidRPr="003C0D71" w:rsidRDefault="00CA68B9" w:rsidP="00A70EA8">
      <w:pPr>
        <w:pStyle w:val="FootnoteText"/>
        <w:rPr>
          <w:rFonts w:ascii="Times New Roman" w:hAnsi="Times New Roman" w:cs="Times New Roman"/>
        </w:rPr>
      </w:pPr>
      <w:r w:rsidRPr="003C0D71">
        <w:rPr>
          <w:rStyle w:val="FootnoteReference"/>
          <w:rFonts w:ascii="Times New Roman" w:hAnsi="Times New Roman" w:cs="Times New Roman"/>
        </w:rPr>
        <w:footnoteRef/>
      </w:r>
      <w:r w:rsidRPr="003C0D71">
        <w:rPr>
          <w:rFonts w:ascii="Times New Roman" w:hAnsi="Times New Roman" w:cs="Times New Roman"/>
        </w:rPr>
        <w:t xml:space="preserve"> Sub-threshold AIFM means a</w:t>
      </w:r>
      <w:r w:rsidRPr="003C0D71">
        <w:rPr>
          <w:rFonts w:ascii="Times New Roman" w:hAnsi="Times New Roman" w:cs="Times New Roman"/>
          <w:b/>
          <w:bCs/>
        </w:rPr>
        <w:t> </w:t>
      </w:r>
      <w:r w:rsidRPr="003C0D71">
        <w:rPr>
          <w:rFonts w:ascii="Times New Roman" w:hAnsi="Times New Roman" w:cs="Times New Roman"/>
          <w:bCs/>
        </w:rPr>
        <w:t xml:space="preserve">small AIFM benefitting from </w:t>
      </w:r>
      <w:r>
        <w:rPr>
          <w:rFonts w:ascii="Times New Roman" w:hAnsi="Times New Roman" w:cs="Times New Roman"/>
          <w:bCs/>
        </w:rPr>
        <w:t>a</w:t>
      </w:r>
      <w:r w:rsidRPr="003C0D71">
        <w:rPr>
          <w:rFonts w:ascii="Times New Roman" w:hAnsi="Times New Roman" w:cs="Times New Roman"/>
          <w:bCs/>
        </w:rPr>
        <w:t xml:space="preserve"> de minimis exemption </w:t>
      </w:r>
      <w:r w:rsidRPr="003C0D71">
        <w:rPr>
          <w:rFonts w:ascii="Times New Roman" w:hAnsi="Times New Roman" w:cs="Times New Roman"/>
        </w:rPr>
        <w:t>and which is therefore only required to comply with the AIFM</w:t>
      </w:r>
      <w:r>
        <w:rPr>
          <w:rFonts w:ascii="Times New Roman" w:hAnsi="Times New Roman" w:cs="Times New Roman"/>
        </w:rPr>
        <w:t xml:space="preserve"> directive </w:t>
      </w:r>
      <w:r w:rsidRPr="003C0D71">
        <w:rPr>
          <w:rFonts w:ascii="Times New Roman" w:hAnsi="Times New Roman" w:cs="Times New Roman"/>
        </w:rPr>
        <w:t>(and its specific Member State’s implementing law) in respect of the registration and reporting obligations</w:t>
      </w:r>
      <w:r>
        <w:rPr>
          <w:rFonts w:ascii="Times New Roman" w:hAnsi="Times New Roman" w:cs="Times New Roman"/>
        </w:rPr>
        <w:t>,</w:t>
      </w:r>
      <w:r w:rsidRPr="003C0D71">
        <w:rPr>
          <w:rFonts w:ascii="Times New Roman" w:hAnsi="Times New Roman" w:cs="Times New Roman"/>
        </w:rPr>
        <w:t xml:space="preserve"> but does not benefit from the marketing passport.</w:t>
      </w:r>
    </w:p>
  </w:footnote>
  <w:footnote w:id="37">
    <w:p w14:paraId="6FE57C32" w14:textId="5FDE8FC1" w:rsidR="00CA68B9" w:rsidRPr="003C0D71" w:rsidRDefault="00CA68B9" w:rsidP="00C2333B">
      <w:pPr>
        <w:pStyle w:val="FootnoteText"/>
        <w:rPr>
          <w:rFonts w:ascii="Times New Roman" w:hAnsi="Times New Roman" w:cs="Times New Roman"/>
        </w:rPr>
      </w:pPr>
      <w:r w:rsidRPr="003C0D71">
        <w:rPr>
          <w:rStyle w:val="FootnoteReference"/>
          <w:rFonts w:ascii="Times New Roman" w:hAnsi="Times New Roman" w:cs="Times New Roman"/>
        </w:rPr>
        <w:footnoteRef/>
      </w:r>
      <w:r w:rsidRPr="003C0D71">
        <w:rPr>
          <w:rFonts w:ascii="Times New Roman" w:hAnsi="Times New Roman" w:cs="Times New Roman"/>
        </w:rPr>
        <w:t xml:space="preserve"> </w:t>
      </w:r>
      <w:r w:rsidRPr="003C0D71">
        <w:rPr>
          <w:rFonts w:ascii="Times New Roman" w:eastAsia="Times New Roman" w:hAnsi="Times New Roman" w:cs="Times New Roman"/>
        </w:rPr>
        <w:t xml:space="preserve">Report on the harmonisation of the SRT practices and processes for the purposes of the Delegated Act referred to in Articles 244(6) and 245(6) of the CRR </w:t>
      </w:r>
      <w:hyperlink r:id="rId14" w:history="1">
        <w:r w:rsidRPr="00A515EF">
          <w:rPr>
            <w:rStyle w:val="Hyperlink"/>
          </w:rPr>
          <w:t>https://www.eba.europa.eu/eba-calls-european-commission-harmonise-significant-risk-transfer-assessment-securitisation</w:t>
        </w:r>
      </w:hyperlink>
      <w:r>
        <w:t xml:space="preserve"> </w:t>
      </w:r>
      <w:hyperlink w:history="1"/>
      <w:r w:rsidRPr="003C0D71">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D2D5A" w14:textId="77777777" w:rsidR="00FA4D77" w:rsidRPr="00FA4D77" w:rsidRDefault="00FA4D77" w:rsidP="00FA4D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8AF49" w14:textId="77777777" w:rsidR="00FA4D77" w:rsidRPr="00FA4D77" w:rsidRDefault="00FA4D77" w:rsidP="00FA4D77">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852F9" w14:textId="77777777" w:rsidR="00FA4D77" w:rsidRPr="00FA4D77" w:rsidRDefault="00FA4D77" w:rsidP="00FA4D77">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04619" w14:textId="77777777" w:rsidR="00CA68B9" w:rsidRDefault="00CA68B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57525" w14:textId="77777777" w:rsidR="00CA68B9" w:rsidRDefault="00CA68B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0E72E" w14:textId="77777777" w:rsidR="00CA68B9" w:rsidRDefault="00CA68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A39D9"/>
    <w:multiLevelType w:val="hybridMultilevel"/>
    <w:tmpl w:val="3CF04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41D95"/>
    <w:multiLevelType w:val="hybridMultilevel"/>
    <w:tmpl w:val="12F22A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7605FF"/>
    <w:multiLevelType w:val="hybridMultilevel"/>
    <w:tmpl w:val="66C2C0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7EA56F9"/>
    <w:multiLevelType w:val="hybridMultilevel"/>
    <w:tmpl w:val="098EC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A31DD"/>
    <w:multiLevelType w:val="hybridMultilevel"/>
    <w:tmpl w:val="41469B4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D2C12BA"/>
    <w:multiLevelType w:val="hybridMultilevel"/>
    <w:tmpl w:val="2E90D0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440ADD"/>
    <w:multiLevelType w:val="hybridMultilevel"/>
    <w:tmpl w:val="FE360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7E488A"/>
    <w:multiLevelType w:val="hybridMultilevel"/>
    <w:tmpl w:val="3606E9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DD26B48"/>
    <w:multiLevelType w:val="hybridMultilevel"/>
    <w:tmpl w:val="C6B82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A70B06"/>
    <w:multiLevelType w:val="hybridMultilevel"/>
    <w:tmpl w:val="3DFA213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12836B16"/>
    <w:multiLevelType w:val="hybridMultilevel"/>
    <w:tmpl w:val="2A661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541EF7"/>
    <w:multiLevelType w:val="hybridMultilevel"/>
    <w:tmpl w:val="A54CF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E2522B"/>
    <w:multiLevelType w:val="hybridMultilevel"/>
    <w:tmpl w:val="29D41F6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A05712"/>
    <w:multiLevelType w:val="hybridMultilevel"/>
    <w:tmpl w:val="2F88E6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665C4A"/>
    <w:multiLevelType w:val="hybridMultilevel"/>
    <w:tmpl w:val="2F483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87492E"/>
    <w:multiLevelType w:val="hybridMultilevel"/>
    <w:tmpl w:val="932A1F32"/>
    <w:lvl w:ilvl="0" w:tplc="3A0E74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250CB9"/>
    <w:multiLevelType w:val="hybridMultilevel"/>
    <w:tmpl w:val="6206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7C1F91"/>
    <w:multiLevelType w:val="hybridMultilevel"/>
    <w:tmpl w:val="8A7E9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AD7E20"/>
    <w:multiLevelType w:val="hybridMultilevel"/>
    <w:tmpl w:val="1804B2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C54EE918">
      <w:numFmt w:val="bullet"/>
      <w:lvlText w:val="-"/>
      <w:lvlJc w:val="left"/>
      <w:pPr>
        <w:ind w:left="2160" w:hanging="36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66589F"/>
    <w:multiLevelType w:val="hybridMultilevel"/>
    <w:tmpl w:val="B3A8E1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2507F5"/>
    <w:multiLevelType w:val="hybridMultilevel"/>
    <w:tmpl w:val="046039AE"/>
    <w:lvl w:ilvl="0" w:tplc="67DCE4A0">
      <w:start w:val="1"/>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472646F5"/>
    <w:multiLevelType w:val="hybridMultilevel"/>
    <w:tmpl w:val="9C700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F344F8"/>
    <w:multiLevelType w:val="hybridMultilevel"/>
    <w:tmpl w:val="38F6A57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221721"/>
    <w:multiLevelType w:val="hybridMultilevel"/>
    <w:tmpl w:val="8ED06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3F1281"/>
    <w:multiLevelType w:val="hybridMultilevel"/>
    <w:tmpl w:val="3F061B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4F2E5F37"/>
    <w:multiLevelType w:val="hybridMultilevel"/>
    <w:tmpl w:val="26840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AB1F6D"/>
    <w:multiLevelType w:val="hybridMultilevel"/>
    <w:tmpl w:val="99EA4994"/>
    <w:lvl w:ilvl="0" w:tplc="0608A544">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96646E"/>
    <w:multiLevelType w:val="hybridMultilevel"/>
    <w:tmpl w:val="2D22E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A44966"/>
    <w:multiLevelType w:val="hybridMultilevel"/>
    <w:tmpl w:val="23FC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D855B1"/>
    <w:multiLevelType w:val="hybridMultilevel"/>
    <w:tmpl w:val="80C47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E032D3"/>
    <w:multiLevelType w:val="hybridMultilevel"/>
    <w:tmpl w:val="411AF1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8E55B3A"/>
    <w:multiLevelType w:val="hybridMultilevel"/>
    <w:tmpl w:val="02886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C24B54"/>
    <w:multiLevelType w:val="hybridMultilevel"/>
    <w:tmpl w:val="396C50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BF4F3B"/>
    <w:multiLevelType w:val="hybridMultilevel"/>
    <w:tmpl w:val="DDC2D41E"/>
    <w:lvl w:ilvl="0" w:tplc="F67C943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D6458E"/>
    <w:multiLevelType w:val="hybridMultilevel"/>
    <w:tmpl w:val="573401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76EE5C62"/>
    <w:multiLevelType w:val="hybridMultilevel"/>
    <w:tmpl w:val="A658F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C62117"/>
    <w:multiLevelType w:val="hybridMultilevel"/>
    <w:tmpl w:val="422E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E46467"/>
    <w:multiLevelType w:val="multilevel"/>
    <w:tmpl w:val="72EAEF90"/>
    <w:lvl w:ilvl="0">
      <w:start w:val="11"/>
      <w:numFmt w:val="decimal"/>
      <w:lvlText w:val="%1."/>
      <w:lvlJc w:val="left"/>
      <w:pPr>
        <w:ind w:left="400" w:hanging="40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8" w15:restartNumberingAfterBreak="0">
    <w:nsid w:val="7A2C3E83"/>
    <w:multiLevelType w:val="hybridMultilevel"/>
    <w:tmpl w:val="3142F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3109D6"/>
    <w:multiLevelType w:val="hybridMultilevel"/>
    <w:tmpl w:val="D7461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0"/>
  </w:num>
  <w:num w:numId="3">
    <w:abstractNumId w:val="20"/>
  </w:num>
  <w:num w:numId="4">
    <w:abstractNumId w:val="24"/>
  </w:num>
  <w:num w:numId="5">
    <w:abstractNumId w:val="9"/>
  </w:num>
  <w:num w:numId="6">
    <w:abstractNumId w:val="2"/>
  </w:num>
  <w:num w:numId="7">
    <w:abstractNumId w:val="4"/>
  </w:num>
  <w:num w:numId="8">
    <w:abstractNumId w:val="36"/>
  </w:num>
  <w:num w:numId="9">
    <w:abstractNumId w:val="29"/>
  </w:num>
  <w:num w:numId="10">
    <w:abstractNumId w:val="33"/>
  </w:num>
  <w:num w:numId="11">
    <w:abstractNumId w:val="17"/>
  </w:num>
  <w:num w:numId="12">
    <w:abstractNumId w:val="19"/>
  </w:num>
  <w:num w:numId="13">
    <w:abstractNumId w:val="35"/>
  </w:num>
  <w:num w:numId="14">
    <w:abstractNumId w:val="0"/>
  </w:num>
  <w:num w:numId="15">
    <w:abstractNumId w:val="27"/>
  </w:num>
  <w:num w:numId="16">
    <w:abstractNumId w:val="8"/>
  </w:num>
  <w:num w:numId="17">
    <w:abstractNumId w:val="39"/>
  </w:num>
  <w:num w:numId="18">
    <w:abstractNumId w:val="10"/>
  </w:num>
  <w:num w:numId="19">
    <w:abstractNumId w:val="14"/>
  </w:num>
  <w:num w:numId="20">
    <w:abstractNumId w:val="25"/>
  </w:num>
  <w:num w:numId="21">
    <w:abstractNumId w:val="18"/>
  </w:num>
  <w:num w:numId="22">
    <w:abstractNumId w:val="5"/>
  </w:num>
  <w:num w:numId="23">
    <w:abstractNumId w:val="6"/>
  </w:num>
  <w:num w:numId="24">
    <w:abstractNumId w:val="32"/>
  </w:num>
  <w:num w:numId="25">
    <w:abstractNumId w:val="31"/>
  </w:num>
  <w:num w:numId="26">
    <w:abstractNumId w:val="11"/>
  </w:num>
  <w:num w:numId="27">
    <w:abstractNumId w:val="21"/>
  </w:num>
  <w:num w:numId="28">
    <w:abstractNumId w:val="28"/>
  </w:num>
  <w:num w:numId="29">
    <w:abstractNumId w:val="7"/>
  </w:num>
  <w:num w:numId="30">
    <w:abstractNumId w:val="23"/>
  </w:num>
  <w:num w:numId="31">
    <w:abstractNumId w:val="38"/>
  </w:num>
  <w:num w:numId="32">
    <w:abstractNumId w:val="3"/>
  </w:num>
  <w:num w:numId="33">
    <w:abstractNumId w:val="37"/>
  </w:num>
  <w:num w:numId="34">
    <w:abstractNumId w:val="26"/>
  </w:num>
  <w:num w:numId="35">
    <w:abstractNumId w:val="34"/>
  </w:num>
  <w:num w:numId="36">
    <w:abstractNumId w:val="16"/>
  </w:num>
  <w:num w:numId="37">
    <w:abstractNumId w:val="15"/>
  </w:num>
  <w:num w:numId="38">
    <w:abstractNumId w:val="22"/>
  </w:num>
  <w:num w:numId="39">
    <w:abstractNumId w:val="12"/>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it-IT" w:vendorID="64" w:dllVersion="6" w:nlCheck="1" w:checkStyle="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3641FBE3-D162-4B7B-AEAB-107BF25BCAF9"/>
    <w:docVar w:name="LW_COVERPAGE_TYPE" w:val="1"/>
    <w:docVar w:name="LW_CROSSREFERENCE" w:val="&lt;UNUSED&gt;"/>
    <w:docVar w:name="LW_DocType" w:val="NORMAL"/>
    <w:docVar w:name="LW_EMISSION" w:val="10.10.2022"/>
    <w:docVar w:name="LW_EMISSION_ISODATE" w:val="2022-10-10"/>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2) 5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functioning of the Securitisation Regulation_x000b__x000d__x000b__x000d__x000b_"/>
    <w:docVar w:name="LW_TYPE.DOC.CP" w:val="REPORT FROM THE COMMISSION TO THE EUROPEAN PARLIAMENT AND THE COUNCIL"/>
    <w:docVar w:name="LwApiVersions" w:val="LW4CoDe 1.23.2.0; LW 8.0, Build 20211117"/>
  </w:docVars>
  <w:rsids>
    <w:rsidRoot w:val="00FA0965"/>
    <w:rsid w:val="00001486"/>
    <w:rsid w:val="00001E46"/>
    <w:rsid w:val="00003B1A"/>
    <w:rsid w:val="0000404E"/>
    <w:rsid w:val="000053AA"/>
    <w:rsid w:val="00005A08"/>
    <w:rsid w:val="000065ED"/>
    <w:rsid w:val="000065FB"/>
    <w:rsid w:val="00006888"/>
    <w:rsid w:val="00012592"/>
    <w:rsid w:val="000146AB"/>
    <w:rsid w:val="00017FC3"/>
    <w:rsid w:val="000206B5"/>
    <w:rsid w:val="000233FD"/>
    <w:rsid w:val="00024276"/>
    <w:rsid w:val="00024F2B"/>
    <w:rsid w:val="0002619F"/>
    <w:rsid w:val="000315D1"/>
    <w:rsid w:val="00031F18"/>
    <w:rsid w:val="00034915"/>
    <w:rsid w:val="00034967"/>
    <w:rsid w:val="00034A80"/>
    <w:rsid w:val="000363B9"/>
    <w:rsid w:val="00036A70"/>
    <w:rsid w:val="00037CBA"/>
    <w:rsid w:val="00041174"/>
    <w:rsid w:val="00041E59"/>
    <w:rsid w:val="00042B66"/>
    <w:rsid w:val="000464A8"/>
    <w:rsid w:val="00051CAE"/>
    <w:rsid w:val="0005421E"/>
    <w:rsid w:val="000544FF"/>
    <w:rsid w:val="0006355B"/>
    <w:rsid w:val="00063AF5"/>
    <w:rsid w:val="000646D4"/>
    <w:rsid w:val="0006574D"/>
    <w:rsid w:val="00073957"/>
    <w:rsid w:val="00080355"/>
    <w:rsid w:val="00080C24"/>
    <w:rsid w:val="00081B71"/>
    <w:rsid w:val="00082633"/>
    <w:rsid w:val="00083B45"/>
    <w:rsid w:val="000871C8"/>
    <w:rsid w:val="00087F04"/>
    <w:rsid w:val="00092394"/>
    <w:rsid w:val="00092CAC"/>
    <w:rsid w:val="00095A51"/>
    <w:rsid w:val="000A06C6"/>
    <w:rsid w:val="000A0868"/>
    <w:rsid w:val="000A22EB"/>
    <w:rsid w:val="000A49A7"/>
    <w:rsid w:val="000A4BE5"/>
    <w:rsid w:val="000B2AC8"/>
    <w:rsid w:val="000B5426"/>
    <w:rsid w:val="000C3841"/>
    <w:rsid w:val="000C60D2"/>
    <w:rsid w:val="000C63F1"/>
    <w:rsid w:val="000D209C"/>
    <w:rsid w:val="000D4664"/>
    <w:rsid w:val="000E123F"/>
    <w:rsid w:val="000E3E63"/>
    <w:rsid w:val="000E4EA8"/>
    <w:rsid w:val="000E5AC5"/>
    <w:rsid w:val="000E7C5F"/>
    <w:rsid w:val="000F064B"/>
    <w:rsid w:val="000F0689"/>
    <w:rsid w:val="000F3481"/>
    <w:rsid w:val="000F39FD"/>
    <w:rsid w:val="000F6E2A"/>
    <w:rsid w:val="000F73FB"/>
    <w:rsid w:val="001017F8"/>
    <w:rsid w:val="001028B0"/>
    <w:rsid w:val="00103B03"/>
    <w:rsid w:val="00105332"/>
    <w:rsid w:val="001059EE"/>
    <w:rsid w:val="00105E22"/>
    <w:rsid w:val="001070AF"/>
    <w:rsid w:val="00107D0F"/>
    <w:rsid w:val="00110101"/>
    <w:rsid w:val="00111024"/>
    <w:rsid w:val="001110F1"/>
    <w:rsid w:val="00112295"/>
    <w:rsid w:val="001127F9"/>
    <w:rsid w:val="001149FE"/>
    <w:rsid w:val="00115166"/>
    <w:rsid w:val="00115F0D"/>
    <w:rsid w:val="00116450"/>
    <w:rsid w:val="0012207D"/>
    <w:rsid w:val="00123AEC"/>
    <w:rsid w:val="00123BA7"/>
    <w:rsid w:val="00123F77"/>
    <w:rsid w:val="00126A80"/>
    <w:rsid w:val="00127554"/>
    <w:rsid w:val="001275D8"/>
    <w:rsid w:val="00130B54"/>
    <w:rsid w:val="00131D30"/>
    <w:rsid w:val="0013218E"/>
    <w:rsid w:val="001329D2"/>
    <w:rsid w:val="00134A50"/>
    <w:rsid w:val="0013638A"/>
    <w:rsid w:val="00136C15"/>
    <w:rsid w:val="0014049E"/>
    <w:rsid w:val="00142271"/>
    <w:rsid w:val="00145089"/>
    <w:rsid w:val="00146EF2"/>
    <w:rsid w:val="00147354"/>
    <w:rsid w:val="00150D08"/>
    <w:rsid w:val="00151702"/>
    <w:rsid w:val="00152A49"/>
    <w:rsid w:val="001546D4"/>
    <w:rsid w:val="0015535D"/>
    <w:rsid w:val="00156313"/>
    <w:rsid w:val="001573CF"/>
    <w:rsid w:val="00157F5D"/>
    <w:rsid w:val="0016263A"/>
    <w:rsid w:val="00164CF6"/>
    <w:rsid w:val="0016521A"/>
    <w:rsid w:val="0017040A"/>
    <w:rsid w:val="00170A37"/>
    <w:rsid w:val="00171022"/>
    <w:rsid w:val="00171170"/>
    <w:rsid w:val="00175683"/>
    <w:rsid w:val="00181C12"/>
    <w:rsid w:val="00182FA8"/>
    <w:rsid w:val="001858AF"/>
    <w:rsid w:val="001861E3"/>
    <w:rsid w:val="00186C42"/>
    <w:rsid w:val="00187342"/>
    <w:rsid w:val="00187BCB"/>
    <w:rsid w:val="00193793"/>
    <w:rsid w:val="001942B3"/>
    <w:rsid w:val="001952DC"/>
    <w:rsid w:val="001A300A"/>
    <w:rsid w:val="001A3569"/>
    <w:rsid w:val="001A40EB"/>
    <w:rsid w:val="001A5A29"/>
    <w:rsid w:val="001A6A54"/>
    <w:rsid w:val="001B0558"/>
    <w:rsid w:val="001B35B3"/>
    <w:rsid w:val="001B4503"/>
    <w:rsid w:val="001B46B0"/>
    <w:rsid w:val="001B72FF"/>
    <w:rsid w:val="001C3BBD"/>
    <w:rsid w:val="001D02A8"/>
    <w:rsid w:val="001D02F8"/>
    <w:rsid w:val="001D09F5"/>
    <w:rsid w:val="001D0EC9"/>
    <w:rsid w:val="001D1540"/>
    <w:rsid w:val="001D1E86"/>
    <w:rsid w:val="001D39EB"/>
    <w:rsid w:val="001D527A"/>
    <w:rsid w:val="001D5E02"/>
    <w:rsid w:val="001E204D"/>
    <w:rsid w:val="001E342E"/>
    <w:rsid w:val="001E51EF"/>
    <w:rsid w:val="001E6114"/>
    <w:rsid w:val="001E61D6"/>
    <w:rsid w:val="001E6354"/>
    <w:rsid w:val="001F1725"/>
    <w:rsid w:val="001F2236"/>
    <w:rsid w:val="001F3031"/>
    <w:rsid w:val="001F4323"/>
    <w:rsid w:val="001F4B7E"/>
    <w:rsid w:val="001F59A9"/>
    <w:rsid w:val="001F5DD0"/>
    <w:rsid w:val="00201047"/>
    <w:rsid w:val="002027AE"/>
    <w:rsid w:val="002064A8"/>
    <w:rsid w:val="00206D86"/>
    <w:rsid w:val="00210A89"/>
    <w:rsid w:val="00211741"/>
    <w:rsid w:val="00214960"/>
    <w:rsid w:val="00215B99"/>
    <w:rsid w:val="00226AF8"/>
    <w:rsid w:val="00231BB9"/>
    <w:rsid w:val="002322A9"/>
    <w:rsid w:val="00233D8C"/>
    <w:rsid w:val="002350FD"/>
    <w:rsid w:val="002361D6"/>
    <w:rsid w:val="002366EA"/>
    <w:rsid w:val="0024010F"/>
    <w:rsid w:val="00242FC6"/>
    <w:rsid w:val="00243857"/>
    <w:rsid w:val="00245A38"/>
    <w:rsid w:val="002476F7"/>
    <w:rsid w:val="00247FD3"/>
    <w:rsid w:val="00250517"/>
    <w:rsid w:val="00251252"/>
    <w:rsid w:val="00252D5F"/>
    <w:rsid w:val="0025492D"/>
    <w:rsid w:val="00256095"/>
    <w:rsid w:val="00257AD7"/>
    <w:rsid w:val="00260450"/>
    <w:rsid w:val="00264CC3"/>
    <w:rsid w:val="00265216"/>
    <w:rsid w:val="002655FF"/>
    <w:rsid w:val="002663EF"/>
    <w:rsid w:val="00270BF8"/>
    <w:rsid w:val="002744CF"/>
    <w:rsid w:val="0027472C"/>
    <w:rsid w:val="00275199"/>
    <w:rsid w:val="00281A59"/>
    <w:rsid w:val="002851BD"/>
    <w:rsid w:val="00285360"/>
    <w:rsid w:val="00286898"/>
    <w:rsid w:val="002913CC"/>
    <w:rsid w:val="00294553"/>
    <w:rsid w:val="002952F9"/>
    <w:rsid w:val="00296090"/>
    <w:rsid w:val="002962B9"/>
    <w:rsid w:val="002A1356"/>
    <w:rsid w:val="002A178D"/>
    <w:rsid w:val="002A21DE"/>
    <w:rsid w:val="002A32D1"/>
    <w:rsid w:val="002A76BD"/>
    <w:rsid w:val="002A7F87"/>
    <w:rsid w:val="002B0A63"/>
    <w:rsid w:val="002B0D16"/>
    <w:rsid w:val="002B1000"/>
    <w:rsid w:val="002B2ED0"/>
    <w:rsid w:val="002B3B64"/>
    <w:rsid w:val="002B3CD7"/>
    <w:rsid w:val="002B4795"/>
    <w:rsid w:val="002C55A1"/>
    <w:rsid w:val="002C593B"/>
    <w:rsid w:val="002C5C8F"/>
    <w:rsid w:val="002C6D9C"/>
    <w:rsid w:val="002D5D87"/>
    <w:rsid w:val="002D78F5"/>
    <w:rsid w:val="002E0F5D"/>
    <w:rsid w:val="002E5705"/>
    <w:rsid w:val="002E6039"/>
    <w:rsid w:val="002E60E9"/>
    <w:rsid w:val="002E60F8"/>
    <w:rsid w:val="002E6AD9"/>
    <w:rsid w:val="002F1C37"/>
    <w:rsid w:val="00300314"/>
    <w:rsid w:val="003003D9"/>
    <w:rsid w:val="0030219E"/>
    <w:rsid w:val="00304F52"/>
    <w:rsid w:val="00305418"/>
    <w:rsid w:val="00305D24"/>
    <w:rsid w:val="003075F5"/>
    <w:rsid w:val="0030779B"/>
    <w:rsid w:val="00307B2C"/>
    <w:rsid w:val="00310329"/>
    <w:rsid w:val="00320EC1"/>
    <w:rsid w:val="00321D16"/>
    <w:rsid w:val="00322556"/>
    <w:rsid w:val="00322E2F"/>
    <w:rsid w:val="00325A76"/>
    <w:rsid w:val="00325EBC"/>
    <w:rsid w:val="003269B6"/>
    <w:rsid w:val="00327D3F"/>
    <w:rsid w:val="00331C71"/>
    <w:rsid w:val="00334AB6"/>
    <w:rsid w:val="003404A2"/>
    <w:rsid w:val="003409D4"/>
    <w:rsid w:val="00342131"/>
    <w:rsid w:val="0034293A"/>
    <w:rsid w:val="00343847"/>
    <w:rsid w:val="0034518A"/>
    <w:rsid w:val="00347576"/>
    <w:rsid w:val="00347843"/>
    <w:rsid w:val="003516E0"/>
    <w:rsid w:val="003521E2"/>
    <w:rsid w:val="00354F72"/>
    <w:rsid w:val="0035544E"/>
    <w:rsid w:val="003554DE"/>
    <w:rsid w:val="00355AC8"/>
    <w:rsid w:val="00356C4B"/>
    <w:rsid w:val="00356F9F"/>
    <w:rsid w:val="003601A9"/>
    <w:rsid w:val="00363206"/>
    <w:rsid w:val="00364B6F"/>
    <w:rsid w:val="00365A40"/>
    <w:rsid w:val="00365F66"/>
    <w:rsid w:val="00367978"/>
    <w:rsid w:val="00373ED1"/>
    <w:rsid w:val="0037403E"/>
    <w:rsid w:val="003756F9"/>
    <w:rsid w:val="00380775"/>
    <w:rsid w:val="00381223"/>
    <w:rsid w:val="00384D56"/>
    <w:rsid w:val="00386D59"/>
    <w:rsid w:val="00392B84"/>
    <w:rsid w:val="003938A7"/>
    <w:rsid w:val="00394286"/>
    <w:rsid w:val="00394F92"/>
    <w:rsid w:val="003957D4"/>
    <w:rsid w:val="003975FE"/>
    <w:rsid w:val="003A07EE"/>
    <w:rsid w:val="003A0FF5"/>
    <w:rsid w:val="003A1704"/>
    <w:rsid w:val="003A215A"/>
    <w:rsid w:val="003A3011"/>
    <w:rsid w:val="003A4E9A"/>
    <w:rsid w:val="003A4F2A"/>
    <w:rsid w:val="003A6260"/>
    <w:rsid w:val="003A6BC3"/>
    <w:rsid w:val="003A7447"/>
    <w:rsid w:val="003A7758"/>
    <w:rsid w:val="003C0687"/>
    <w:rsid w:val="003C0B43"/>
    <w:rsid w:val="003C0D71"/>
    <w:rsid w:val="003C19C8"/>
    <w:rsid w:val="003C22C2"/>
    <w:rsid w:val="003C2662"/>
    <w:rsid w:val="003C5308"/>
    <w:rsid w:val="003C6402"/>
    <w:rsid w:val="003D1FF8"/>
    <w:rsid w:val="003D2C2D"/>
    <w:rsid w:val="003D32F5"/>
    <w:rsid w:val="003D420A"/>
    <w:rsid w:val="003D4F96"/>
    <w:rsid w:val="003D5FE3"/>
    <w:rsid w:val="003D6721"/>
    <w:rsid w:val="003E0038"/>
    <w:rsid w:val="003E2309"/>
    <w:rsid w:val="003E2A6C"/>
    <w:rsid w:val="003E2D60"/>
    <w:rsid w:val="003E56F3"/>
    <w:rsid w:val="003E69DA"/>
    <w:rsid w:val="003E7EA9"/>
    <w:rsid w:val="003F1AA0"/>
    <w:rsid w:val="003F3769"/>
    <w:rsid w:val="003F49DB"/>
    <w:rsid w:val="003F5037"/>
    <w:rsid w:val="003F7BD4"/>
    <w:rsid w:val="0040120E"/>
    <w:rsid w:val="00401B35"/>
    <w:rsid w:val="00407193"/>
    <w:rsid w:val="004100C8"/>
    <w:rsid w:val="00412782"/>
    <w:rsid w:val="00413335"/>
    <w:rsid w:val="004133B8"/>
    <w:rsid w:val="004134D0"/>
    <w:rsid w:val="00417EB8"/>
    <w:rsid w:val="004211D8"/>
    <w:rsid w:val="00421C74"/>
    <w:rsid w:val="00422A63"/>
    <w:rsid w:val="0042423E"/>
    <w:rsid w:val="00430010"/>
    <w:rsid w:val="00433E53"/>
    <w:rsid w:val="004345EE"/>
    <w:rsid w:val="004351AF"/>
    <w:rsid w:val="00435A82"/>
    <w:rsid w:val="00437A75"/>
    <w:rsid w:val="0044000D"/>
    <w:rsid w:val="00440985"/>
    <w:rsid w:val="00443B8F"/>
    <w:rsid w:val="004460C2"/>
    <w:rsid w:val="0045184E"/>
    <w:rsid w:val="00451FB3"/>
    <w:rsid w:val="00455A61"/>
    <w:rsid w:val="00455CC1"/>
    <w:rsid w:val="00457ACE"/>
    <w:rsid w:val="00465D44"/>
    <w:rsid w:val="00472992"/>
    <w:rsid w:val="004734B9"/>
    <w:rsid w:val="0047381E"/>
    <w:rsid w:val="00475048"/>
    <w:rsid w:val="004774C3"/>
    <w:rsid w:val="00480F6C"/>
    <w:rsid w:val="0048467D"/>
    <w:rsid w:val="004849B6"/>
    <w:rsid w:val="004852E7"/>
    <w:rsid w:val="004932A0"/>
    <w:rsid w:val="00495797"/>
    <w:rsid w:val="00496BD0"/>
    <w:rsid w:val="004A1A55"/>
    <w:rsid w:val="004A4A7F"/>
    <w:rsid w:val="004A6691"/>
    <w:rsid w:val="004A6DA5"/>
    <w:rsid w:val="004B0373"/>
    <w:rsid w:val="004B10BE"/>
    <w:rsid w:val="004B5D57"/>
    <w:rsid w:val="004C18E0"/>
    <w:rsid w:val="004C3691"/>
    <w:rsid w:val="004C5C09"/>
    <w:rsid w:val="004C6C97"/>
    <w:rsid w:val="004D34AD"/>
    <w:rsid w:val="004D469C"/>
    <w:rsid w:val="004D489F"/>
    <w:rsid w:val="004D4DBD"/>
    <w:rsid w:val="004D4F33"/>
    <w:rsid w:val="004D51E5"/>
    <w:rsid w:val="004D621C"/>
    <w:rsid w:val="004E0039"/>
    <w:rsid w:val="004E03A6"/>
    <w:rsid w:val="004E1D20"/>
    <w:rsid w:val="004E3428"/>
    <w:rsid w:val="004E53B1"/>
    <w:rsid w:val="004E65BC"/>
    <w:rsid w:val="004E6870"/>
    <w:rsid w:val="004F2360"/>
    <w:rsid w:val="004F27B7"/>
    <w:rsid w:val="004F2FB0"/>
    <w:rsid w:val="004F4F66"/>
    <w:rsid w:val="00500B1E"/>
    <w:rsid w:val="0050116D"/>
    <w:rsid w:val="00503D36"/>
    <w:rsid w:val="00504488"/>
    <w:rsid w:val="00504A98"/>
    <w:rsid w:val="00506E1F"/>
    <w:rsid w:val="00507467"/>
    <w:rsid w:val="00511379"/>
    <w:rsid w:val="00514137"/>
    <w:rsid w:val="00516E31"/>
    <w:rsid w:val="00522DAB"/>
    <w:rsid w:val="0052456D"/>
    <w:rsid w:val="00524D0D"/>
    <w:rsid w:val="0052650D"/>
    <w:rsid w:val="00533EF2"/>
    <w:rsid w:val="0053752A"/>
    <w:rsid w:val="00540666"/>
    <w:rsid w:val="0054095C"/>
    <w:rsid w:val="00540E9B"/>
    <w:rsid w:val="005427EB"/>
    <w:rsid w:val="005441B9"/>
    <w:rsid w:val="00544325"/>
    <w:rsid w:val="005457D6"/>
    <w:rsid w:val="00546806"/>
    <w:rsid w:val="00546B3E"/>
    <w:rsid w:val="005534EE"/>
    <w:rsid w:val="00554198"/>
    <w:rsid w:val="00561744"/>
    <w:rsid w:val="0056466E"/>
    <w:rsid w:val="00565596"/>
    <w:rsid w:val="005666C6"/>
    <w:rsid w:val="0056711C"/>
    <w:rsid w:val="00574235"/>
    <w:rsid w:val="00577F52"/>
    <w:rsid w:val="00580C29"/>
    <w:rsid w:val="005812C9"/>
    <w:rsid w:val="005813EB"/>
    <w:rsid w:val="00581AF8"/>
    <w:rsid w:val="005836A1"/>
    <w:rsid w:val="00583CDE"/>
    <w:rsid w:val="00586B50"/>
    <w:rsid w:val="00586EDB"/>
    <w:rsid w:val="005903EC"/>
    <w:rsid w:val="00591966"/>
    <w:rsid w:val="00593175"/>
    <w:rsid w:val="0059422E"/>
    <w:rsid w:val="0059579F"/>
    <w:rsid w:val="005959F9"/>
    <w:rsid w:val="0059643E"/>
    <w:rsid w:val="0059645F"/>
    <w:rsid w:val="00596557"/>
    <w:rsid w:val="005A01D9"/>
    <w:rsid w:val="005A0B72"/>
    <w:rsid w:val="005A0FFE"/>
    <w:rsid w:val="005A4E98"/>
    <w:rsid w:val="005A5633"/>
    <w:rsid w:val="005A612D"/>
    <w:rsid w:val="005A6291"/>
    <w:rsid w:val="005A78A6"/>
    <w:rsid w:val="005B3936"/>
    <w:rsid w:val="005B5C40"/>
    <w:rsid w:val="005B6232"/>
    <w:rsid w:val="005B6660"/>
    <w:rsid w:val="005C0F5C"/>
    <w:rsid w:val="005C11CD"/>
    <w:rsid w:val="005C29A0"/>
    <w:rsid w:val="005C45FD"/>
    <w:rsid w:val="005C5C27"/>
    <w:rsid w:val="005C6D72"/>
    <w:rsid w:val="005D0A37"/>
    <w:rsid w:val="005D192F"/>
    <w:rsid w:val="005D5673"/>
    <w:rsid w:val="005D6463"/>
    <w:rsid w:val="005D7003"/>
    <w:rsid w:val="005E04CA"/>
    <w:rsid w:val="005E23A5"/>
    <w:rsid w:val="005E6125"/>
    <w:rsid w:val="005F1B46"/>
    <w:rsid w:val="005F33BA"/>
    <w:rsid w:val="005F3FE5"/>
    <w:rsid w:val="005F4643"/>
    <w:rsid w:val="005F483F"/>
    <w:rsid w:val="005F4FD5"/>
    <w:rsid w:val="005F5D7D"/>
    <w:rsid w:val="005F6CFF"/>
    <w:rsid w:val="005F7675"/>
    <w:rsid w:val="006009D6"/>
    <w:rsid w:val="00601595"/>
    <w:rsid w:val="00601DAE"/>
    <w:rsid w:val="00603356"/>
    <w:rsid w:val="006062DE"/>
    <w:rsid w:val="006102B9"/>
    <w:rsid w:val="006106F6"/>
    <w:rsid w:val="00610938"/>
    <w:rsid w:val="00610E99"/>
    <w:rsid w:val="0061225B"/>
    <w:rsid w:val="006137CD"/>
    <w:rsid w:val="006148D9"/>
    <w:rsid w:val="00617602"/>
    <w:rsid w:val="006177AD"/>
    <w:rsid w:val="00617F0D"/>
    <w:rsid w:val="0062136C"/>
    <w:rsid w:val="00621427"/>
    <w:rsid w:val="00622518"/>
    <w:rsid w:val="00626CBD"/>
    <w:rsid w:val="00631113"/>
    <w:rsid w:val="006314C3"/>
    <w:rsid w:val="00633A97"/>
    <w:rsid w:val="00634957"/>
    <w:rsid w:val="00635A11"/>
    <w:rsid w:val="0064098F"/>
    <w:rsid w:val="006419E0"/>
    <w:rsid w:val="00641CC3"/>
    <w:rsid w:val="00641F69"/>
    <w:rsid w:val="00645175"/>
    <w:rsid w:val="00646D94"/>
    <w:rsid w:val="00647877"/>
    <w:rsid w:val="00647AD4"/>
    <w:rsid w:val="00647E9A"/>
    <w:rsid w:val="0065045F"/>
    <w:rsid w:val="0065113B"/>
    <w:rsid w:val="00656C37"/>
    <w:rsid w:val="00657D6C"/>
    <w:rsid w:val="0066430B"/>
    <w:rsid w:val="00664673"/>
    <w:rsid w:val="006653DC"/>
    <w:rsid w:val="00667FF2"/>
    <w:rsid w:val="006705EB"/>
    <w:rsid w:val="0067083E"/>
    <w:rsid w:val="0067209F"/>
    <w:rsid w:val="00672C07"/>
    <w:rsid w:val="00674023"/>
    <w:rsid w:val="006756D2"/>
    <w:rsid w:val="00676084"/>
    <w:rsid w:val="0067716E"/>
    <w:rsid w:val="00680A93"/>
    <w:rsid w:val="00686572"/>
    <w:rsid w:val="00686E18"/>
    <w:rsid w:val="00691BF1"/>
    <w:rsid w:val="006944A0"/>
    <w:rsid w:val="00696FB3"/>
    <w:rsid w:val="00697796"/>
    <w:rsid w:val="006A07FA"/>
    <w:rsid w:val="006A1E24"/>
    <w:rsid w:val="006A2157"/>
    <w:rsid w:val="006A251D"/>
    <w:rsid w:val="006A3B7E"/>
    <w:rsid w:val="006A4899"/>
    <w:rsid w:val="006A4B89"/>
    <w:rsid w:val="006A4F02"/>
    <w:rsid w:val="006A5785"/>
    <w:rsid w:val="006B1C4F"/>
    <w:rsid w:val="006B6C8F"/>
    <w:rsid w:val="006B7047"/>
    <w:rsid w:val="006B718C"/>
    <w:rsid w:val="006C10DF"/>
    <w:rsid w:val="006C172B"/>
    <w:rsid w:val="006C20A4"/>
    <w:rsid w:val="006C211B"/>
    <w:rsid w:val="006C4A23"/>
    <w:rsid w:val="006C58B9"/>
    <w:rsid w:val="006C5BF1"/>
    <w:rsid w:val="006D3080"/>
    <w:rsid w:val="006D5B6B"/>
    <w:rsid w:val="006D7F2E"/>
    <w:rsid w:val="006E2552"/>
    <w:rsid w:val="006E262E"/>
    <w:rsid w:val="006E388B"/>
    <w:rsid w:val="006E3BDF"/>
    <w:rsid w:val="006E402A"/>
    <w:rsid w:val="006E4190"/>
    <w:rsid w:val="006E441A"/>
    <w:rsid w:val="006E6231"/>
    <w:rsid w:val="006E6380"/>
    <w:rsid w:val="006E7158"/>
    <w:rsid w:val="006E7D97"/>
    <w:rsid w:val="006F113E"/>
    <w:rsid w:val="006F127E"/>
    <w:rsid w:val="006F1AB9"/>
    <w:rsid w:val="006F1C2F"/>
    <w:rsid w:val="006F2A91"/>
    <w:rsid w:val="006F47C2"/>
    <w:rsid w:val="006F583A"/>
    <w:rsid w:val="006F6701"/>
    <w:rsid w:val="006F78EE"/>
    <w:rsid w:val="006F7CDE"/>
    <w:rsid w:val="00700EC4"/>
    <w:rsid w:val="00705522"/>
    <w:rsid w:val="00706712"/>
    <w:rsid w:val="00706D20"/>
    <w:rsid w:val="007108FD"/>
    <w:rsid w:val="00712ABD"/>
    <w:rsid w:val="007204E9"/>
    <w:rsid w:val="00721A1A"/>
    <w:rsid w:val="007224C1"/>
    <w:rsid w:val="00724A7B"/>
    <w:rsid w:val="00725349"/>
    <w:rsid w:val="00725357"/>
    <w:rsid w:val="00725AAF"/>
    <w:rsid w:val="007266A4"/>
    <w:rsid w:val="00726A63"/>
    <w:rsid w:val="00727438"/>
    <w:rsid w:val="00727BF6"/>
    <w:rsid w:val="00731C8E"/>
    <w:rsid w:val="007322D8"/>
    <w:rsid w:val="00732B67"/>
    <w:rsid w:val="00733757"/>
    <w:rsid w:val="007344D7"/>
    <w:rsid w:val="0073595B"/>
    <w:rsid w:val="00735B7A"/>
    <w:rsid w:val="00737CFE"/>
    <w:rsid w:val="007402C6"/>
    <w:rsid w:val="00740600"/>
    <w:rsid w:val="00741D6B"/>
    <w:rsid w:val="00744F5E"/>
    <w:rsid w:val="007454D5"/>
    <w:rsid w:val="00746D92"/>
    <w:rsid w:val="00753D0A"/>
    <w:rsid w:val="00753E1E"/>
    <w:rsid w:val="00755851"/>
    <w:rsid w:val="00756285"/>
    <w:rsid w:val="00757561"/>
    <w:rsid w:val="00757C8A"/>
    <w:rsid w:val="007623AD"/>
    <w:rsid w:val="007661F5"/>
    <w:rsid w:val="0077092A"/>
    <w:rsid w:val="00771161"/>
    <w:rsid w:val="00773A53"/>
    <w:rsid w:val="007753CD"/>
    <w:rsid w:val="00775A69"/>
    <w:rsid w:val="00776DA8"/>
    <w:rsid w:val="00783445"/>
    <w:rsid w:val="00783A45"/>
    <w:rsid w:val="00784D53"/>
    <w:rsid w:val="007863E1"/>
    <w:rsid w:val="007868D3"/>
    <w:rsid w:val="007907F1"/>
    <w:rsid w:val="0079128A"/>
    <w:rsid w:val="007912BA"/>
    <w:rsid w:val="00791E79"/>
    <w:rsid w:val="007964E9"/>
    <w:rsid w:val="00797FF6"/>
    <w:rsid w:val="007A0137"/>
    <w:rsid w:val="007A1661"/>
    <w:rsid w:val="007A4D1F"/>
    <w:rsid w:val="007A508B"/>
    <w:rsid w:val="007A67D0"/>
    <w:rsid w:val="007A7D58"/>
    <w:rsid w:val="007B1220"/>
    <w:rsid w:val="007B6DFE"/>
    <w:rsid w:val="007C01AE"/>
    <w:rsid w:val="007C20DE"/>
    <w:rsid w:val="007C3EA8"/>
    <w:rsid w:val="007C44E0"/>
    <w:rsid w:val="007C7FAA"/>
    <w:rsid w:val="007D008A"/>
    <w:rsid w:val="007D053D"/>
    <w:rsid w:val="007D4BD1"/>
    <w:rsid w:val="007D661E"/>
    <w:rsid w:val="007D6AF4"/>
    <w:rsid w:val="007E0CA9"/>
    <w:rsid w:val="007E0E3B"/>
    <w:rsid w:val="007E1739"/>
    <w:rsid w:val="007E3269"/>
    <w:rsid w:val="007E3418"/>
    <w:rsid w:val="007E75A1"/>
    <w:rsid w:val="007F1316"/>
    <w:rsid w:val="007F2333"/>
    <w:rsid w:val="008018B5"/>
    <w:rsid w:val="00805715"/>
    <w:rsid w:val="00805A04"/>
    <w:rsid w:val="00811301"/>
    <w:rsid w:val="008114D4"/>
    <w:rsid w:val="0081323C"/>
    <w:rsid w:val="008141A1"/>
    <w:rsid w:val="00814239"/>
    <w:rsid w:val="008148BD"/>
    <w:rsid w:val="00820F5C"/>
    <w:rsid w:val="00823E84"/>
    <w:rsid w:val="00824D04"/>
    <w:rsid w:val="00824DF8"/>
    <w:rsid w:val="00826183"/>
    <w:rsid w:val="00826486"/>
    <w:rsid w:val="00826F13"/>
    <w:rsid w:val="008271FA"/>
    <w:rsid w:val="0083087D"/>
    <w:rsid w:val="00830A7F"/>
    <w:rsid w:val="00832A28"/>
    <w:rsid w:val="00835BAE"/>
    <w:rsid w:val="00835FFA"/>
    <w:rsid w:val="00836326"/>
    <w:rsid w:val="00837869"/>
    <w:rsid w:val="00845ACC"/>
    <w:rsid w:val="008461C3"/>
    <w:rsid w:val="00846472"/>
    <w:rsid w:val="00846A9B"/>
    <w:rsid w:val="00850887"/>
    <w:rsid w:val="00851BE2"/>
    <w:rsid w:val="00857D2C"/>
    <w:rsid w:val="00860511"/>
    <w:rsid w:val="00860FCE"/>
    <w:rsid w:val="00865AC5"/>
    <w:rsid w:val="00865B96"/>
    <w:rsid w:val="00866E43"/>
    <w:rsid w:val="00870B53"/>
    <w:rsid w:val="008725CC"/>
    <w:rsid w:val="00873B7A"/>
    <w:rsid w:val="0087489D"/>
    <w:rsid w:val="00874AFF"/>
    <w:rsid w:val="008751B0"/>
    <w:rsid w:val="00875522"/>
    <w:rsid w:val="00875528"/>
    <w:rsid w:val="00876764"/>
    <w:rsid w:val="008770B1"/>
    <w:rsid w:val="00882B71"/>
    <w:rsid w:val="008833FE"/>
    <w:rsid w:val="008836A2"/>
    <w:rsid w:val="008837DC"/>
    <w:rsid w:val="00884711"/>
    <w:rsid w:val="00886A87"/>
    <w:rsid w:val="00890F55"/>
    <w:rsid w:val="0089587B"/>
    <w:rsid w:val="00896073"/>
    <w:rsid w:val="00896ADA"/>
    <w:rsid w:val="008A050F"/>
    <w:rsid w:val="008A1378"/>
    <w:rsid w:val="008A33B7"/>
    <w:rsid w:val="008A5C84"/>
    <w:rsid w:val="008A6AF7"/>
    <w:rsid w:val="008B1916"/>
    <w:rsid w:val="008B4931"/>
    <w:rsid w:val="008B79E0"/>
    <w:rsid w:val="008C1CCC"/>
    <w:rsid w:val="008C1DC4"/>
    <w:rsid w:val="008C3413"/>
    <w:rsid w:val="008C367D"/>
    <w:rsid w:val="008C4E2E"/>
    <w:rsid w:val="008C7483"/>
    <w:rsid w:val="008D0E92"/>
    <w:rsid w:val="008D1D20"/>
    <w:rsid w:val="008D20EE"/>
    <w:rsid w:val="008D302C"/>
    <w:rsid w:val="008D5CD2"/>
    <w:rsid w:val="008D645F"/>
    <w:rsid w:val="008E035F"/>
    <w:rsid w:val="008E2993"/>
    <w:rsid w:val="008E37D1"/>
    <w:rsid w:val="008E4F8D"/>
    <w:rsid w:val="008E582D"/>
    <w:rsid w:val="008E6F19"/>
    <w:rsid w:val="008E7227"/>
    <w:rsid w:val="008F3156"/>
    <w:rsid w:val="008F6FAB"/>
    <w:rsid w:val="00900045"/>
    <w:rsid w:val="00900AF5"/>
    <w:rsid w:val="00900BEB"/>
    <w:rsid w:val="00900C11"/>
    <w:rsid w:val="00903390"/>
    <w:rsid w:val="00903ACD"/>
    <w:rsid w:val="009056F4"/>
    <w:rsid w:val="00905C86"/>
    <w:rsid w:val="009072FF"/>
    <w:rsid w:val="00910129"/>
    <w:rsid w:val="00911145"/>
    <w:rsid w:val="009112F4"/>
    <w:rsid w:val="00912FB8"/>
    <w:rsid w:val="00917339"/>
    <w:rsid w:val="00917A31"/>
    <w:rsid w:val="00920D13"/>
    <w:rsid w:val="00921379"/>
    <w:rsid w:val="00923AB5"/>
    <w:rsid w:val="00924039"/>
    <w:rsid w:val="0093004C"/>
    <w:rsid w:val="00930AE1"/>
    <w:rsid w:val="009327AF"/>
    <w:rsid w:val="00932A01"/>
    <w:rsid w:val="00932C40"/>
    <w:rsid w:val="00932D88"/>
    <w:rsid w:val="00934DBF"/>
    <w:rsid w:val="009400AB"/>
    <w:rsid w:val="00941573"/>
    <w:rsid w:val="00947642"/>
    <w:rsid w:val="00947C28"/>
    <w:rsid w:val="00951EB8"/>
    <w:rsid w:val="0095261B"/>
    <w:rsid w:val="009526E6"/>
    <w:rsid w:val="00953E6B"/>
    <w:rsid w:val="00954578"/>
    <w:rsid w:val="00957043"/>
    <w:rsid w:val="00957FA9"/>
    <w:rsid w:val="00965A7A"/>
    <w:rsid w:val="0096798F"/>
    <w:rsid w:val="0097068F"/>
    <w:rsid w:val="00970C63"/>
    <w:rsid w:val="00972364"/>
    <w:rsid w:val="00973AA2"/>
    <w:rsid w:val="009751B2"/>
    <w:rsid w:val="00977CE3"/>
    <w:rsid w:val="009800AD"/>
    <w:rsid w:val="00980823"/>
    <w:rsid w:val="00982674"/>
    <w:rsid w:val="0098576C"/>
    <w:rsid w:val="00985D72"/>
    <w:rsid w:val="00987443"/>
    <w:rsid w:val="009916DC"/>
    <w:rsid w:val="00994938"/>
    <w:rsid w:val="00994C16"/>
    <w:rsid w:val="00995A1E"/>
    <w:rsid w:val="009A3EB4"/>
    <w:rsid w:val="009B4043"/>
    <w:rsid w:val="009B562B"/>
    <w:rsid w:val="009B7EB9"/>
    <w:rsid w:val="009C15E5"/>
    <w:rsid w:val="009C6998"/>
    <w:rsid w:val="009C75C7"/>
    <w:rsid w:val="009D078F"/>
    <w:rsid w:val="009D311D"/>
    <w:rsid w:val="009E1801"/>
    <w:rsid w:val="009E20E1"/>
    <w:rsid w:val="009E344D"/>
    <w:rsid w:val="009E3E02"/>
    <w:rsid w:val="009E3EF5"/>
    <w:rsid w:val="009E4446"/>
    <w:rsid w:val="009E5D28"/>
    <w:rsid w:val="009F0497"/>
    <w:rsid w:val="009F0573"/>
    <w:rsid w:val="009F1671"/>
    <w:rsid w:val="009F3292"/>
    <w:rsid w:val="009F3791"/>
    <w:rsid w:val="009F6AB1"/>
    <w:rsid w:val="00A00B2B"/>
    <w:rsid w:val="00A0187B"/>
    <w:rsid w:val="00A06862"/>
    <w:rsid w:val="00A06A6A"/>
    <w:rsid w:val="00A07A53"/>
    <w:rsid w:val="00A10BBA"/>
    <w:rsid w:val="00A11F61"/>
    <w:rsid w:val="00A13C4B"/>
    <w:rsid w:val="00A142FD"/>
    <w:rsid w:val="00A16183"/>
    <w:rsid w:val="00A166EC"/>
    <w:rsid w:val="00A211C1"/>
    <w:rsid w:val="00A22C21"/>
    <w:rsid w:val="00A238D0"/>
    <w:rsid w:val="00A23D4F"/>
    <w:rsid w:val="00A25068"/>
    <w:rsid w:val="00A253A7"/>
    <w:rsid w:val="00A27C1C"/>
    <w:rsid w:val="00A3015F"/>
    <w:rsid w:val="00A31617"/>
    <w:rsid w:val="00A3256D"/>
    <w:rsid w:val="00A32B1F"/>
    <w:rsid w:val="00A36B9D"/>
    <w:rsid w:val="00A37157"/>
    <w:rsid w:val="00A4385D"/>
    <w:rsid w:val="00A4506D"/>
    <w:rsid w:val="00A46D85"/>
    <w:rsid w:val="00A511D9"/>
    <w:rsid w:val="00A5153D"/>
    <w:rsid w:val="00A51937"/>
    <w:rsid w:val="00A520C6"/>
    <w:rsid w:val="00A57179"/>
    <w:rsid w:val="00A60BB6"/>
    <w:rsid w:val="00A610C4"/>
    <w:rsid w:val="00A61A6E"/>
    <w:rsid w:val="00A61CFB"/>
    <w:rsid w:val="00A63DF3"/>
    <w:rsid w:val="00A6598B"/>
    <w:rsid w:val="00A67BF9"/>
    <w:rsid w:val="00A7077E"/>
    <w:rsid w:val="00A70EA8"/>
    <w:rsid w:val="00A758B7"/>
    <w:rsid w:val="00A766CB"/>
    <w:rsid w:val="00A77AD7"/>
    <w:rsid w:val="00A80F82"/>
    <w:rsid w:val="00A814E0"/>
    <w:rsid w:val="00A823DC"/>
    <w:rsid w:val="00A83241"/>
    <w:rsid w:val="00A83882"/>
    <w:rsid w:val="00A8455E"/>
    <w:rsid w:val="00A848DD"/>
    <w:rsid w:val="00A862C1"/>
    <w:rsid w:val="00A864BE"/>
    <w:rsid w:val="00A86659"/>
    <w:rsid w:val="00A91181"/>
    <w:rsid w:val="00A91848"/>
    <w:rsid w:val="00A91B83"/>
    <w:rsid w:val="00AA1401"/>
    <w:rsid w:val="00AA1797"/>
    <w:rsid w:val="00AA22B6"/>
    <w:rsid w:val="00AA343B"/>
    <w:rsid w:val="00AA3D48"/>
    <w:rsid w:val="00AA7EC1"/>
    <w:rsid w:val="00AB0DB5"/>
    <w:rsid w:val="00AB0EFA"/>
    <w:rsid w:val="00AB18D0"/>
    <w:rsid w:val="00AB1BE3"/>
    <w:rsid w:val="00AB5FEA"/>
    <w:rsid w:val="00AC2902"/>
    <w:rsid w:val="00AC2F55"/>
    <w:rsid w:val="00AC4BB8"/>
    <w:rsid w:val="00AC4C6C"/>
    <w:rsid w:val="00AD0475"/>
    <w:rsid w:val="00AD1123"/>
    <w:rsid w:val="00AD21C9"/>
    <w:rsid w:val="00AD264D"/>
    <w:rsid w:val="00AD2ACA"/>
    <w:rsid w:val="00AD3900"/>
    <w:rsid w:val="00AE09EE"/>
    <w:rsid w:val="00AE17A7"/>
    <w:rsid w:val="00AE225E"/>
    <w:rsid w:val="00AE2739"/>
    <w:rsid w:val="00AE2970"/>
    <w:rsid w:val="00AE3D13"/>
    <w:rsid w:val="00AE6D05"/>
    <w:rsid w:val="00AE7C39"/>
    <w:rsid w:val="00AF14A8"/>
    <w:rsid w:val="00AF1B90"/>
    <w:rsid w:val="00AF3DF3"/>
    <w:rsid w:val="00AF5012"/>
    <w:rsid w:val="00AF6F0C"/>
    <w:rsid w:val="00B00F8D"/>
    <w:rsid w:val="00B01345"/>
    <w:rsid w:val="00B02AC2"/>
    <w:rsid w:val="00B03265"/>
    <w:rsid w:val="00B054EE"/>
    <w:rsid w:val="00B06CA7"/>
    <w:rsid w:val="00B11EA4"/>
    <w:rsid w:val="00B12725"/>
    <w:rsid w:val="00B12F32"/>
    <w:rsid w:val="00B14603"/>
    <w:rsid w:val="00B14B36"/>
    <w:rsid w:val="00B17379"/>
    <w:rsid w:val="00B20E2C"/>
    <w:rsid w:val="00B21CDF"/>
    <w:rsid w:val="00B22AB2"/>
    <w:rsid w:val="00B23F34"/>
    <w:rsid w:val="00B26386"/>
    <w:rsid w:val="00B305D5"/>
    <w:rsid w:val="00B32CA0"/>
    <w:rsid w:val="00B3320E"/>
    <w:rsid w:val="00B33592"/>
    <w:rsid w:val="00B35120"/>
    <w:rsid w:val="00B42621"/>
    <w:rsid w:val="00B44931"/>
    <w:rsid w:val="00B4610C"/>
    <w:rsid w:val="00B50076"/>
    <w:rsid w:val="00B5111C"/>
    <w:rsid w:val="00B5130E"/>
    <w:rsid w:val="00B5585E"/>
    <w:rsid w:val="00B55D08"/>
    <w:rsid w:val="00B57204"/>
    <w:rsid w:val="00B63EED"/>
    <w:rsid w:val="00B64300"/>
    <w:rsid w:val="00B64DD3"/>
    <w:rsid w:val="00B66AB7"/>
    <w:rsid w:val="00B7077E"/>
    <w:rsid w:val="00B74349"/>
    <w:rsid w:val="00B754EF"/>
    <w:rsid w:val="00B75872"/>
    <w:rsid w:val="00B77891"/>
    <w:rsid w:val="00B90BAE"/>
    <w:rsid w:val="00B9203F"/>
    <w:rsid w:val="00B94D99"/>
    <w:rsid w:val="00B96592"/>
    <w:rsid w:val="00B9730C"/>
    <w:rsid w:val="00B97F15"/>
    <w:rsid w:val="00BA014C"/>
    <w:rsid w:val="00BA0A7F"/>
    <w:rsid w:val="00BA20AF"/>
    <w:rsid w:val="00BA6BC6"/>
    <w:rsid w:val="00BA74DC"/>
    <w:rsid w:val="00BA7894"/>
    <w:rsid w:val="00BA7A74"/>
    <w:rsid w:val="00BB11E5"/>
    <w:rsid w:val="00BB1BC0"/>
    <w:rsid w:val="00BB2462"/>
    <w:rsid w:val="00BB5810"/>
    <w:rsid w:val="00BB67D7"/>
    <w:rsid w:val="00BC13DA"/>
    <w:rsid w:val="00BC17AF"/>
    <w:rsid w:val="00BC26CA"/>
    <w:rsid w:val="00BC3CB1"/>
    <w:rsid w:val="00BC5E6A"/>
    <w:rsid w:val="00BC6555"/>
    <w:rsid w:val="00BD10DE"/>
    <w:rsid w:val="00BD1929"/>
    <w:rsid w:val="00BD2880"/>
    <w:rsid w:val="00BD4356"/>
    <w:rsid w:val="00BD6B0F"/>
    <w:rsid w:val="00BD72E5"/>
    <w:rsid w:val="00BE00CC"/>
    <w:rsid w:val="00BE0B1B"/>
    <w:rsid w:val="00BE10D4"/>
    <w:rsid w:val="00BE1906"/>
    <w:rsid w:val="00BE2871"/>
    <w:rsid w:val="00BE4D79"/>
    <w:rsid w:val="00BE6D69"/>
    <w:rsid w:val="00BE6DBC"/>
    <w:rsid w:val="00BE7676"/>
    <w:rsid w:val="00BE7DD0"/>
    <w:rsid w:val="00BF18C5"/>
    <w:rsid w:val="00BF6A0E"/>
    <w:rsid w:val="00C00C19"/>
    <w:rsid w:val="00C022E6"/>
    <w:rsid w:val="00C0740D"/>
    <w:rsid w:val="00C0741C"/>
    <w:rsid w:val="00C1382C"/>
    <w:rsid w:val="00C14F37"/>
    <w:rsid w:val="00C1525A"/>
    <w:rsid w:val="00C16759"/>
    <w:rsid w:val="00C17866"/>
    <w:rsid w:val="00C179A7"/>
    <w:rsid w:val="00C17C48"/>
    <w:rsid w:val="00C17EB8"/>
    <w:rsid w:val="00C201D8"/>
    <w:rsid w:val="00C22202"/>
    <w:rsid w:val="00C2333B"/>
    <w:rsid w:val="00C255C6"/>
    <w:rsid w:val="00C25A34"/>
    <w:rsid w:val="00C31A3D"/>
    <w:rsid w:val="00C31B32"/>
    <w:rsid w:val="00C32C75"/>
    <w:rsid w:val="00C3501E"/>
    <w:rsid w:val="00C36D40"/>
    <w:rsid w:val="00C40A4F"/>
    <w:rsid w:val="00C42997"/>
    <w:rsid w:val="00C43D93"/>
    <w:rsid w:val="00C446BB"/>
    <w:rsid w:val="00C516C8"/>
    <w:rsid w:val="00C55717"/>
    <w:rsid w:val="00C55C9A"/>
    <w:rsid w:val="00C612CF"/>
    <w:rsid w:val="00C61BFB"/>
    <w:rsid w:val="00C6238B"/>
    <w:rsid w:val="00C62CA5"/>
    <w:rsid w:val="00C6328D"/>
    <w:rsid w:val="00C64886"/>
    <w:rsid w:val="00C65F22"/>
    <w:rsid w:val="00C66F1B"/>
    <w:rsid w:val="00C678DE"/>
    <w:rsid w:val="00C704A3"/>
    <w:rsid w:val="00C7279F"/>
    <w:rsid w:val="00C74829"/>
    <w:rsid w:val="00C74CC5"/>
    <w:rsid w:val="00C75810"/>
    <w:rsid w:val="00C760B9"/>
    <w:rsid w:val="00C769E0"/>
    <w:rsid w:val="00C774F6"/>
    <w:rsid w:val="00C80234"/>
    <w:rsid w:val="00C808F2"/>
    <w:rsid w:val="00C82639"/>
    <w:rsid w:val="00C82CA7"/>
    <w:rsid w:val="00C83C00"/>
    <w:rsid w:val="00C845A7"/>
    <w:rsid w:val="00C84627"/>
    <w:rsid w:val="00C84BD1"/>
    <w:rsid w:val="00C91138"/>
    <w:rsid w:val="00C94AE0"/>
    <w:rsid w:val="00C94ED6"/>
    <w:rsid w:val="00CA68B9"/>
    <w:rsid w:val="00CB14FD"/>
    <w:rsid w:val="00CB2EF4"/>
    <w:rsid w:val="00CB36DE"/>
    <w:rsid w:val="00CB4F32"/>
    <w:rsid w:val="00CB59EE"/>
    <w:rsid w:val="00CB5EC2"/>
    <w:rsid w:val="00CB70A8"/>
    <w:rsid w:val="00CB7BBD"/>
    <w:rsid w:val="00CC2096"/>
    <w:rsid w:val="00CC215D"/>
    <w:rsid w:val="00CC21E9"/>
    <w:rsid w:val="00CC322D"/>
    <w:rsid w:val="00CC4907"/>
    <w:rsid w:val="00CC53F7"/>
    <w:rsid w:val="00CC62AB"/>
    <w:rsid w:val="00CD00CC"/>
    <w:rsid w:val="00CD1463"/>
    <w:rsid w:val="00CD33C2"/>
    <w:rsid w:val="00CD35B9"/>
    <w:rsid w:val="00CD4C28"/>
    <w:rsid w:val="00CE0B24"/>
    <w:rsid w:val="00CE28B3"/>
    <w:rsid w:val="00CE4826"/>
    <w:rsid w:val="00CE61EE"/>
    <w:rsid w:val="00CE6EEC"/>
    <w:rsid w:val="00CE6F51"/>
    <w:rsid w:val="00CF1532"/>
    <w:rsid w:val="00CF3606"/>
    <w:rsid w:val="00CF452E"/>
    <w:rsid w:val="00CF4AAF"/>
    <w:rsid w:val="00CF5DC7"/>
    <w:rsid w:val="00D042B0"/>
    <w:rsid w:val="00D05D9D"/>
    <w:rsid w:val="00D060CE"/>
    <w:rsid w:val="00D1073F"/>
    <w:rsid w:val="00D12421"/>
    <w:rsid w:val="00D13DE4"/>
    <w:rsid w:val="00D161A4"/>
    <w:rsid w:val="00D17F19"/>
    <w:rsid w:val="00D200FE"/>
    <w:rsid w:val="00D20D2D"/>
    <w:rsid w:val="00D20EC4"/>
    <w:rsid w:val="00D216E6"/>
    <w:rsid w:val="00D21F8E"/>
    <w:rsid w:val="00D23921"/>
    <w:rsid w:val="00D23FE8"/>
    <w:rsid w:val="00D3110A"/>
    <w:rsid w:val="00D338B2"/>
    <w:rsid w:val="00D33DA1"/>
    <w:rsid w:val="00D3601D"/>
    <w:rsid w:val="00D36BB0"/>
    <w:rsid w:val="00D417B8"/>
    <w:rsid w:val="00D42B34"/>
    <w:rsid w:val="00D4329D"/>
    <w:rsid w:val="00D44008"/>
    <w:rsid w:val="00D51C88"/>
    <w:rsid w:val="00D54BFC"/>
    <w:rsid w:val="00D56078"/>
    <w:rsid w:val="00D5611C"/>
    <w:rsid w:val="00D57961"/>
    <w:rsid w:val="00D6365E"/>
    <w:rsid w:val="00D63A69"/>
    <w:rsid w:val="00D67A6B"/>
    <w:rsid w:val="00D718E7"/>
    <w:rsid w:val="00D74AF3"/>
    <w:rsid w:val="00D74C72"/>
    <w:rsid w:val="00D74F12"/>
    <w:rsid w:val="00D80814"/>
    <w:rsid w:val="00D816FB"/>
    <w:rsid w:val="00D81D21"/>
    <w:rsid w:val="00D82501"/>
    <w:rsid w:val="00D837BC"/>
    <w:rsid w:val="00D86346"/>
    <w:rsid w:val="00D87094"/>
    <w:rsid w:val="00D90171"/>
    <w:rsid w:val="00D92D70"/>
    <w:rsid w:val="00D946F3"/>
    <w:rsid w:val="00D96DF9"/>
    <w:rsid w:val="00D974E4"/>
    <w:rsid w:val="00DA0B1F"/>
    <w:rsid w:val="00DA16A7"/>
    <w:rsid w:val="00DA335A"/>
    <w:rsid w:val="00DA5AAA"/>
    <w:rsid w:val="00DA6DC4"/>
    <w:rsid w:val="00DB177D"/>
    <w:rsid w:val="00DB2894"/>
    <w:rsid w:val="00DB2B1C"/>
    <w:rsid w:val="00DB5172"/>
    <w:rsid w:val="00DB6D59"/>
    <w:rsid w:val="00DB73DC"/>
    <w:rsid w:val="00DC09BF"/>
    <w:rsid w:val="00DC1288"/>
    <w:rsid w:val="00DC59ED"/>
    <w:rsid w:val="00DC6CF8"/>
    <w:rsid w:val="00DD1743"/>
    <w:rsid w:val="00DD1AFF"/>
    <w:rsid w:val="00DD3865"/>
    <w:rsid w:val="00DD73BE"/>
    <w:rsid w:val="00DE112A"/>
    <w:rsid w:val="00DE6114"/>
    <w:rsid w:val="00DE73BB"/>
    <w:rsid w:val="00DE7B32"/>
    <w:rsid w:val="00DF284F"/>
    <w:rsid w:val="00DF3B06"/>
    <w:rsid w:val="00DF40FC"/>
    <w:rsid w:val="00DF65F3"/>
    <w:rsid w:val="00DF7A05"/>
    <w:rsid w:val="00E0125A"/>
    <w:rsid w:val="00E01880"/>
    <w:rsid w:val="00E03196"/>
    <w:rsid w:val="00E04284"/>
    <w:rsid w:val="00E04CE4"/>
    <w:rsid w:val="00E04D59"/>
    <w:rsid w:val="00E0702E"/>
    <w:rsid w:val="00E071C5"/>
    <w:rsid w:val="00E12DB5"/>
    <w:rsid w:val="00E14154"/>
    <w:rsid w:val="00E146B6"/>
    <w:rsid w:val="00E146FB"/>
    <w:rsid w:val="00E14941"/>
    <w:rsid w:val="00E14EB1"/>
    <w:rsid w:val="00E17928"/>
    <w:rsid w:val="00E238EE"/>
    <w:rsid w:val="00E2595B"/>
    <w:rsid w:val="00E33863"/>
    <w:rsid w:val="00E359FA"/>
    <w:rsid w:val="00E411FB"/>
    <w:rsid w:val="00E4358B"/>
    <w:rsid w:val="00E459BE"/>
    <w:rsid w:val="00E45B35"/>
    <w:rsid w:val="00E46D84"/>
    <w:rsid w:val="00E471B8"/>
    <w:rsid w:val="00E527EE"/>
    <w:rsid w:val="00E54903"/>
    <w:rsid w:val="00E54A9D"/>
    <w:rsid w:val="00E561BE"/>
    <w:rsid w:val="00E56C83"/>
    <w:rsid w:val="00E56EA6"/>
    <w:rsid w:val="00E6144C"/>
    <w:rsid w:val="00E65FEB"/>
    <w:rsid w:val="00E662CB"/>
    <w:rsid w:val="00E66A39"/>
    <w:rsid w:val="00E72195"/>
    <w:rsid w:val="00E72C20"/>
    <w:rsid w:val="00E73644"/>
    <w:rsid w:val="00E75C27"/>
    <w:rsid w:val="00E75D3C"/>
    <w:rsid w:val="00E75F91"/>
    <w:rsid w:val="00E7647E"/>
    <w:rsid w:val="00E76F97"/>
    <w:rsid w:val="00E82BC9"/>
    <w:rsid w:val="00E82C06"/>
    <w:rsid w:val="00E853E5"/>
    <w:rsid w:val="00E85847"/>
    <w:rsid w:val="00E903C6"/>
    <w:rsid w:val="00E930ED"/>
    <w:rsid w:val="00E94A65"/>
    <w:rsid w:val="00E9553A"/>
    <w:rsid w:val="00EA2FAC"/>
    <w:rsid w:val="00EA4BAD"/>
    <w:rsid w:val="00EB0384"/>
    <w:rsid w:val="00EB2513"/>
    <w:rsid w:val="00EB4E53"/>
    <w:rsid w:val="00EB4FD4"/>
    <w:rsid w:val="00EB53A4"/>
    <w:rsid w:val="00EB547F"/>
    <w:rsid w:val="00EB5730"/>
    <w:rsid w:val="00EB7913"/>
    <w:rsid w:val="00EC14A6"/>
    <w:rsid w:val="00EC2163"/>
    <w:rsid w:val="00EC4C4A"/>
    <w:rsid w:val="00EC6BDE"/>
    <w:rsid w:val="00ED4CA3"/>
    <w:rsid w:val="00ED5F96"/>
    <w:rsid w:val="00EE2264"/>
    <w:rsid w:val="00EE2BB2"/>
    <w:rsid w:val="00EE5635"/>
    <w:rsid w:val="00EE72AA"/>
    <w:rsid w:val="00EF1850"/>
    <w:rsid w:val="00EF4311"/>
    <w:rsid w:val="00EF47D5"/>
    <w:rsid w:val="00EF6B45"/>
    <w:rsid w:val="00EF789F"/>
    <w:rsid w:val="00F00CD7"/>
    <w:rsid w:val="00F01259"/>
    <w:rsid w:val="00F022FD"/>
    <w:rsid w:val="00F100D6"/>
    <w:rsid w:val="00F1017D"/>
    <w:rsid w:val="00F140E2"/>
    <w:rsid w:val="00F154D0"/>
    <w:rsid w:val="00F1581F"/>
    <w:rsid w:val="00F15BAC"/>
    <w:rsid w:val="00F21378"/>
    <w:rsid w:val="00F21698"/>
    <w:rsid w:val="00F229C1"/>
    <w:rsid w:val="00F23767"/>
    <w:rsid w:val="00F247D6"/>
    <w:rsid w:val="00F315A8"/>
    <w:rsid w:val="00F329B1"/>
    <w:rsid w:val="00F32A17"/>
    <w:rsid w:val="00F33A46"/>
    <w:rsid w:val="00F4026A"/>
    <w:rsid w:val="00F4079A"/>
    <w:rsid w:val="00F45D85"/>
    <w:rsid w:val="00F45F77"/>
    <w:rsid w:val="00F46DEE"/>
    <w:rsid w:val="00F47C47"/>
    <w:rsid w:val="00F5039F"/>
    <w:rsid w:val="00F52172"/>
    <w:rsid w:val="00F52B86"/>
    <w:rsid w:val="00F54ED3"/>
    <w:rsid w:val="00F57BF1"/>
    <w:rsid w:val="00F60F99"/>
    <w:rsid w:val="00F62C4F"/>
    <w:rsid w:val="00F62F6A"/>
    <w:rsid w:val="00F6538A"/>
    <w:rsid w:val="00F65D60"/>
    <w:rsid w:val="00F674C0"/>
    <w:rsid w:val="00F70773"/>
    <w:rsid w:val="00F71A34"/>
    <w:rsid w:val="00F748C0"/>
    <w:rsid w:val="00F77E81"/>
    <w:rsid w:val="00F812EB"/>
    <w:rsid w:val="00F816B0"/>
    <w:rsid w:val="00F8284A"/>
    <w:rsid w:val="00F8362A"/>
    <w:rsid w:val="00F86E87"/>
    <w:rsid w:val="00F90D79"/>
    <w:rsid w:val="00F92012"/>
    <w:rsid w:val="00F92770"/>
    <w:rsid w:val="00F96994"/>
    <w:rsid w:val="00F976D6"/>
    <w:rsid w:val="00F97902"/>
    <w:rsid w:val="00F97E5F"/>
    <w:rsid w:val="00F97FAB"/>
    <w:rsid w:val="00FA0049"/>
    <w:rsid w:val="00FA0965"/>
    <w:rsid w:val="00FA1E87"/>
    <w:rsid w:val="00FA1EF4"/>
    <w:rsid w:val="00FA34EC"/>
    <w:rsid w:val="00FA441C"/>
    <w:rsid w:val="00FA4D77"/>
    <w:rsid w:val="00FA4E41"/>
    <w:rsid w:val="00FA5883"/>
    <w:rsid w:val="00FA6CBC"/>
    <w:rsid w:val="00FA6F67"/>
    <w:rsid w:val="00FA78CC"/>
    <w:rsid w:val="00FB6CBB"/>
    <w:rsid w:val="00FB7BC9"/>
    <w:rsid w:val="00FC32BB"/>
    <w:rsid w:val="00FC4D22"/>
    <w:rsid w:val="00FC55F0"/>
    <w:rsid w:val="00FC5B8C"/>
    <w:rsid w:val="00FC779D"/>
    <w:rsid w:val="00FD196C"/>
    <w:rsid w:val="00FD41D0"/>
    <w:rsid w:val="00FD4424"/>
    <w:rsid w:val="00FD67F0"/>
    <w:rsid w:val="00FE2A37"/>
    <w:rsid w:val="00FE31AF"/>
    <w:rsid w:val="00FE3A4A"/>
    <w:rsid w:val="00FE3F64"/>
    <w:rsid w:val="00FE59A5"/>
    <w:rsid w:val="00FE6FF7"/>
    <w:rsid w:val="00FE72D1"/>
    <w:rsid w:val="00FF0B83"/>
    <w:rsid w:val="00FF31DF"/>
    <w:rsid w:val="00FF3A97"/>
    <w:rsid w:val="00FF67AB"/>
    <w:rsid w:val="00FF79A5"/>
    <w:rsid w:val="00FF7DE9"/>
    <w:rsid w:val="099D86BF"/>
    <w:rsid w:val="0C01F152"/>
    <w:rsid w:val="13CB618B"/>
    <w:rsid w:val="14307143"/>
    <w:rsid w:val="17C8FD75"/>
    <w:rsid w:val="2603B6C4"/>
    <w:rsid w:val="2EE4066A"/>
    <w:rsid w:val="3246A694"/>
    <w:rsid w:val="38D79A54"/>
    <w:rsid w:val="3C621597"/>
    <w:rsid w:val="405859B4"/>
    <w:rsid w:val="46820CD1"/>
    <w:rsid w:val="4BE0361B"/>
    <w:rsid w:val="5239F7D6"/>
    <w:rsid w:val="619AB767"/>
    <w:rsid w:val="630A4ED8"/>
    <w:rsid w:val="636F25E3"/>
    <w:rsid w:val="73F03011"/>
    <w:rsid w:val="75CD2967"/>
    <w:rsid w:val="766E868C"/>
    <w:rsid w:val="771C8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D1BE64A"/>
  <w15:chartTrackingRefBased/>
  <w15:docId w15:val="{B3EA88F3-154A-450C-AFC4-4EAA6B23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52A"/>
  </w:style>
  <w:style w:type="paragraph" w:styleId="Heading1">
    <w:name w:val="heading 1"/>
    <w:basedOn w:val="Normal"/>
    <w:next w:val="Normal"/>
    <w:link w:val="Heading1Char"/>
    <w:uiPriority w:val="9"/>
    <w:qFormat/>
    <w:rsid w:val="005D19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0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B66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uiPriority w:val="99"/>
    <w:rsid w:val="005D192F"/>
    <w:pPr>
      <w:autoSpaceDE w:val="0"/>
      <w:autoSpaceDN w:val="0"/>
      <w:adjustRightInd w:val="0"/>
      <w:spacing w:after="0" w:line="240" w:lineRule="auto"/>
    </w:pPr>
    <w:rPr>
      <w:rFonts w:ascii="Times New Roman" w:hAnsi="Times New Roman" w:cs="Times New Roman"/>
      <w:sz w:val="24"/>
      <w:szCs w:val="24"/>
    </w:rPr>
  </w:style>
  <w:style w:type="paragraph" w:customStyle="1" w:styleId="CM3">
    <w:name w:val="CM3"/>
    <w:basedOn w:val="Normal"/>
    <w:next w:val="Normal"/>
    <w:uiPriority w:val="99"/>
    <w:rsid w:val="005D192F"/>
    <w:pPr>
      <w:autoSpaceDE w:val="0"/>
      <w:autoSpaceDN w:val="0"/>
      <w:adjustRightInd w:val="0"/>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5D192F"/>
    <w:pPr>
      <w:ind w:left="720"/>
      <w:contextualSpacing/>
    </w:pPr>
  </w:style>
  <w:style w:type="character" w:customStyle="1" w:styleId="Heading1Char">
    <w:name w:val="Heading 1 Char"/>
    <w:basedOn w:val="DefaultParagraphFont"/>
    <w:link w:val="Heading1"/>
    <w:uiPriority w:val="9"/>
    <w:rsid w:val="005D192F"/>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5D19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192F"/>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11EA4"/>
    <w:rPr>
      <w:color w:val="0563C1" w:themeColor="hyperlink"/>
      <w:u w:val="single"/>
    </w:rPr>
  </w:style>
  <w:style w:type="character" w:styleId="FollowedHyperlink">
    <w:name w:val="FollowedHyperlink"/>
    <w:basedOn w:val="DefaultParagraphFont"/>
    <w:uiPriority w:val="99"/>
    <w:semiHidden/>
    <w:unhideWhenUsed/>
    <w:rsid w:val="00866E43"/>
    <w:rPr>
      <w:color w:val="954F72" w:themeColor="followedHyperlink"/>
      <w:u w:val="single"/>
    </w:rPr>
  </w:style>
  <w:style w:type="paragraph" w:styleId="FootnoteText">
    <w:name w:val="footnote text"/>
    <w:basedOn w:val="Normal"/>
    <w:link w:val="FootnoteTextChar"/>
    <w:uiPriority w:val="99"/>
    <w:semiHidden/>
    <w:unhideWhenUsed/>
    <w:rsid w:val="00C446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46BB"/>
    <w:rPr>
      <w:sz w:val="20"/>
      <w:szCs w:val="20"/>
    </w:rPr>
  </w:style>
  <w:style w:type="character" w:styleId="FootnoteReference">
    <w:name w:val="footnote reference"/>
    <w:basedOn w:val="DefaultParagraphFont"/>
    <w:uiPriority w:val="99"/>
    <w:unhideWhenUsed/>
    <w:rsid w:val="00C446BB"/>
    <w:rPr>
      <w:vertAlign w:val="superscript"/>
    </w:rPr>
  </w:style>
  <w:style w:type="character" w:customStyle="1" w:styleId="Heading2Char">
    <w:name w:val="Heading 2 Char"/>
    <w:basedOn w:val="DefaultParagraphFont"/>
    <w:link w:val="Heading2"/>
    <w:uiPriority w:val="9"/>
    <w:rsid w:val="0067209F"/>
    <w:rPr>
      <w:rFonts w:asciiTheme="majorHAnsi" w:eastAsiaTheme="majorEastAsia" w:hAnsiTheme="majorHAnsi" w:cstheme="majorBidi"/>
      <w:color w:val="2E74B5" w:themeColor="accent1" w:themeShade="BF"/>
      <w:sz w:val="26"/>
      <w:szCs w:val="26"/>
    </w:rPr>
  </w:style>
  <w:style w:type="paragraph" w:customStyle="1" w:styleId="Default">
    <w:name w:val="Default"/>
    <w:rsid w:val="002A135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783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10DF"/>
    <w:rPr>
      <w:sz w:val="16"/>
      <w:szCs w:val="16"/>
    </w:rPr>
  </w:style>
  <w:style w:type="paragraph" w:styleId="CommentText">
    <w:name w:val="annotation text"/>
    <w:basedOn w:val="Normal"/>
    <w:link w:val="CommentTextChar"/>
    <w:unhideWhenUsed/>
    <w:rsid w:val="006C10DF"/>
    <w:pPr>
      <w:spacing w:line="240" w:lineRule="auto"/>
    </w:pPr>
    <w:rPr>
      <w:sz w:val="20"/>
      <w:szCs w:val="20"/>
      <w:lang w:val="en-US"/>
    </w:rPr>
  </w:style>
  <w:style w:type="character" w:customStyle="1" w:styleId="CommentTextChar">
    <w:name w:val="Comment Text Char"/>
    <w:basedOn w:val="DefaultParagraphFont"/>
    <w:link w:val="CommentText"/>
    <w:rsid w:val="006C10DF"/>
    <w:rPr>
      <w:sz w:val="20"/>
      <w:szCs w:val="20"/>
      <w:lang w:val="en-US"/>
    </w:rPr>
  </w:style>
  <w:style w:type="paragraph" w:styleId="BalloonText">
    <w:name w:val="Balloon Text"/>
    <w:basedOn w:val="Normal"/>
    <w:link w:val="BalloonTextChar"/>
    <w:uiPriority w:val="99"/>
    <w:semiHidden/>
    <w:unhideWhenUsed/>
    <w:rsid w:val="006C10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0DF"/>
    <w:rPr>
      <w:rFonts w:ascii="Segoe UI" w:hAnsi="Segoe UI" w:cs="Segoe UI"/>
      <w:sz w:val="18"/>
      <w:szCs w:val="18"/>
    </w:rPr>
  </w:style>
  <w:style w:type="character" w:customStyle="1" w:styleId="Heading3Char">
    <w:name w:val="Heading 3 Char"/>
    <w:basedOn w:val="DefaultParagraphFont"/>
    <w:link w:val="Heading3"/>
    <w:uiPriority w:val="9"/>
    <w:rsid w:val="005B6660"/>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D23F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3FE8"/>
  </w:style>
  <w:style w:type="paragraph" w:styleId="Footer">
    <w:name w:val="footer"/>
    <w:basedOn w:val="Normal"/>
    <w:link w:val="FooterChar"/>
    <w:uiPriority w:val="99"/>
    <w:unhideWhenUsed/>
    <w:rsid w:val="00D23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3FE8"/>
  </w:style>
  <w:style w:type="paragraph" w:styleId="TOCHeading">
    <w:name w:val="TOC Heading"/>
    <w:basedOn w:val="Heading1"/>
    <w:next w:val="Normal"/>
    <w:uiPriority w:val="39"/>
    <w:unhideWhenUsed/>
    <w:qFormat/>
    <w:rsid w:val="00D161A4"/>
    <w:pPr>
      <w:outlineLvl w:val="9"/>
    </w:pPr>
    <w:rPr>
      <w:lang w:val="en-US"/>
    </w:rPr>
  </w:style>
  <w:style w:type="paragraph" w:styleId="TOC1">
    <w:name w:val="toc 1"/>
    <w:basedOn w:val="Normal"/>
    <w:next w:val="Normal"/>
    <w:autoRedefine/>
    <w:uiPriority w:val="39"/>
    <w:unhideWhenUsed/>
    <w:rsid w:val="002C55A1"/>
    <w:pPr>
      <w:tabs>
        <w:tab w:val="left" w:pos="440"/>
        <w:tab w:val="right" w:leader="dot" w:pos="9016"/>
      </w:tabs>
      <w:spacing w:after="100"/>
      <w:jc w:val="both"/>
    </w:pPr>
  </w:style>
  <w:style w:type="paragraph" w:styleId="TOC2">
    <w:name w:val="toc 2"/>
    <w:basedOn w:val="Normal"/>
    <w:next w:val="Normal"/>
    <w:autoRedefine/>
    <w:uiPriority w:val="39"/>
    <w:unhideWhenUsed/>
    <w:rsid w:val="00D161A4"/>
    <w:pPr>
      <w:spacing w:after="100"/>
      <w:ind w:left="220"/>
    </w:pPr>
  </w:style>
  <w:style w:type="paragraph" w:styleId="TOC3">
    <w:name w:val="toc 3"/>
    <w:basedOn w:val="Normal"/>
    <w:next w:val="Normal"/>
    <w:autoRedefine/>
    <w:uiPriority w:val="39"/>
    <w:unhideWhenUsed/>
    <w:rsid w:val="00D161A4"/>
    <w:pPr>
      <w:spacing w:after="100"/>
      <w:ind w:left="440"/>
    </w:pPr>
  </w:style>
  <w:style w:type="paragraph" w:styleId="CommentSubject">
    <w:name w:val="annotation subject"/>
    <w:basedOn w:val="CommentText"/>
    <w:next w:val="CommentText"/>
    <w:link w:val="CommentSubjectChar"/>
    <w:uiPriority w:val="99"/>
    <w:semiHidden/>
    <w:unhideWhenUsed/>
    <w:rsid w:val="00647877"/>
    <w:rPr>
      <w:b/>
      <w:bCs/>
      <w:lang w:val="en-GB"/>
    </w:rPr>
  </w:style>
  <w:style w:type="character" w:customStyle="1" w:styleId="CommentSubjectChar">
    <w:name w:val="Comment Subject Char"/>
    <w:basedOn w:val="CommentTextChar"/>
    <w:link w:val="CommentSubject"/>
    <w:uiPriority w:val="99"/>
    <w:semiHidden/>
    <w:rsid w:val="00647877"/>
    <w:rPr>
      <w:b/>
      <w:bCs/>
      <w:sz w:val="20"/>
      <w:szCs w:val="20"/>
      <w:lang w:val="en-US"/>
    </w:rPr>
  </w:style>
  <w:style w:type="character" w:customStyle="1" w:styleId="markedcontent">
    <w:name w:val="markedcontent"/>
    <w:basedOn w:val="DefaultParagraphFont"/>
    <w:rsid w:val="004E3428"/>
  </w:style>
  <w:style w:type="character" w:customStyle="1" w:styleId="Marker">
    <w:name w:val="Marker"/>
    <w:basedOn w:val="DefaultParagraphFont"/>
    <w:rsid w:val="006F78EE"/>
    <w:rPr>
      <w:color w:val="0000FF"/>
      <w:shd w:val="clear" w:color="auto" w:fill="auto"/>
    </w:rPr>
  </w:style>
  <w:style w:type="paragraph" w:customStyle="1" w:styleId="Pagedecouverture">
    <w:name w:val="Page de couverture"/>
    <w:basedOn w:val="Normal"/>
    <w:next w:val="Normal"/>
    <w:rsid w:val="006F78EE"/>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6F78EE"/>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6F78EE"/>
    <w:rPr>
      <w:rFonts w:ascii="Times New Roman" w:hAnsi="Times New Roman" w:cs="Times New Roman"/>
      <w:sz w:val="24"/>
    </w:rPr>
  </w:style>
  <w:style w:type="paragraph" w:customStyle="1" w:styleId="FooterSensitivity">
    <w:name w:val="Footer Sensitivity"/>
    <w:basedOn w:val="Normal"/>
    <w:link w:val="FooterSensitivityChar"/>
    <w:rsid w:val="006F78EE"/>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6F78EE"/>
    <w:rPr>
      <w:rFonts w:ascii="Times New Roman" w:hAnsi="Times New Roman" w:cs="Times New Roman"/>
      <w:b/>
      <w:sz w:val="32"/>
    </w:rPr>
  </w:style>
  <w:style w:type="paragraph" w:customStyle="1" w:styleId="HeaderCoverPage">
    <w:name w:val="Header Cover Page"/>
    <w:basedOn w:val="Normal"/>
    <w:link w:val="HeaderCoverPageChar"/>
    <w:rsid w:val="006F78EE"/>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6F78EE"/>
    <w:rPr>
      <w:rFonts w:ascii="Times New Roman" w:hAnsi="Times New Roman" w:cs="Times New Roman"/>
      <w:sz w:val="24"/>
    </w:rPr>
  </w:style>
  <w:style w:type="paragraph" w:customStyle="1" w:styleId="HeaderSensitivity">
    <w:name w:val="Header Sensitivity"/>
    <w:basedOn w:val="Normal"/>
    <w:link w:val="HeaderSensitivityChar"/>
    <w:rsid w:val="006F78EE"/>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6F78EE"/>
    <w:rPr>
      <w:rFonts w:ascii="Times New Roman" w:hAnsi="Times New Roman" w:cs="Times New Roman"/>
      <w:b/>
      <w:sz w:val="32"/>
    </w:rPr>
  </w:style>
  <w:style w:type="paragraph" w:customStyle="1" w:styleId="HeaderSensitivityRight">
    <w:name w:val="Header Sensitivity Right"/>
    <w:basedOn w:val="Normal"/>
    <w:link w:val="HeaderSensitivityRightChar"/>
    <w:rsid w:val="006F78EE"/>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6F78EE"/>
    <w:rPr>
      <w:rFonts w:ascii="Times New Roman" w:hAnsi="Times New Roman" w:cs="Times New Roman"/>
      <w:sz w:val="28"/>
    </w:rPr>
  </w:style>
  <w:style w:type="paragraph" w:styleId="Revision">
    <w:name w:val="Revision"/>
    <w:hidden/>
    <w:uiPriority w:val="99"/>
    <w:semiHidden/>
    <w:rsid w:val="00D80814"/>
    <w:pPr>
      <w:spacing w:after="0" w:line="240" w:lineRule="auto"/>
    </w:pPr>
  </w:style>
  <w:style w:type="character" w:customStyle="1" w:styleId="UnresolvedMention">
    <w:name w:val="Unresolved Mention"/>
    <w:basedOn w:val="DefaultParagraphFont"/>
    <w:uiPriority w:val="99"/>
    <w:semiHidden/>
    <w:unhideWhenUsed/>
    <w:rsid w:val="00504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37986">
      <w:bodyDiv w:val="1"/>
      <w:marLeft w:val="0"/>
      <w:marRight w:val="0"/>
      <w:marTop w:val="0"/>
      <w:marBottom w:val="0"/>
      <w:divBdr>
        <w:top w:val="none" w:sz="0" w:space="0" w:color="auto"/>
        <w:left w:val="none" w:sz="0" w:space="0" w:color="auto"/>
        <w:bottom w:val="none" w:sz="0" w:space="0" w:color="auto"/>
        <w:right w:val="none" w:sz="0" w:space="0" w:color="auto"/>
      </w:divBdr>
    </w:div>
    <w:div w:id="1101757865">
      <w:bodyDiv w:val="1"/>
      <w:marLeft w:val="0"/>
      <w:marRight w:val="0"/>
      <w:marTop w:val="0"/>
      <w:marBottom w:val="0"/>
      <w:divBdr>
        <w:top w:val="none" w:sz="0" w:space="0" w:color="auto"/>
        <w:left w:val="none" w:sz="0" w:space="0" w:color="auto"/>
        <w:bottom w:val="none" w:sz="0" w:space="0" w:color="auto"/>
        <w:right w:val="none" w:sz="0" w:space="0" w:color="auto"/>
      </w:divBdr>
      <w:divsChild>
        <w:div w:id="463085445">
          <w:marLeft w:val="0"/>
          <w:marRight w:val="0"/>
          <w:marTop w:val="0"/>
          <w:marBottom w:val="0"/>
          <w:divBdr>
            <w:top w:val="none" w:sz="0" w:space="0" w:color="auto"/>
            <w:left w:val="none" w:sz="0" w:space="0" w:color="auto"/>
            <w:bottom w:val="none" w:sz="0" w:space="0" w:color="auto"/>
            <w:right w:val="none" w:sz="0" w:space="0" w:color="auto"/>
          </w:divBdr>
        </w:div>
      </w:divsChild>
    </w:div>
    <w:div w:id="1383092998">
      <w:bodyDiv w:val="1"/>
      <w:marLeft w:val="0"/>
      <w:marRight w:val="0"/>
      <w:marTop w:val="0"/>
      <w:marBottom w:val="0"/>
      <w:divBdr>
        <w:top w:val="none" w:sz="0" w:space="0" w:color="auto"/>
        <w:left w:val="none" w:sz="0" w:space="0" w:color="auto"/>
        <w:bottom w:val="none" w:sz="0" w:space="0" w:color="auto"/>
        <w:right w:val="none" w:sz="0" w:space="0" w:color="auto"/>
      </w:divBdr>
    </w:div>
    <w:div w:id="1578780736">
      <w:bodyDiv w:val="1"/>
      <w:marLeft w:val="0"/>
      <w:marRight w:val="0"/>
      <w:marTop w:val="0"/>
      <w:marBottom w:val="0"/>
      <w:divBdr>
        <w:top w:val="none" w:sz="0" w:space="0" w:color="auto"/>
        <w:left w:val="none" w:sz="0" w:space="0" w:color="auto"/>
        <w:bottom w:val="none" w:sz="0" w:space="0" w:color="auto"/>
        <w:right w:val="none" w:sz="0" w:space="0" w:color="auto"/>
      </w:divBdr>
    </w:div>
    <w:div w:id="1595361485">
      <w:bodyDiv w:val="1"/>
      <w:marLeft w:val="0"/>
      <w:marRight w:val="0"/>
      <w:marTop w:val="0"/>
      <w:marBottom w:val="0"/>
      <w:divBdr>
        <w:top w:val="none" w:sz="0" w:space="0" w:color="auto"/>
        <w:left w:val="none" w:sz="0" w:space="0" w:color="auto"/>
        <w:bottom w:val="none" w:sz="0" w:space="0" w:color="auto"/>
        <w:right w:val="none" w:sz="0" w:space="0" w:color="auto"/>
      </w:divBdr>
    </w:div>
    <w:div w:id="1681278962">
      <w:bodyDiv w:val="1"/>
      <w:marLeft w:val="0"/>
      <w:marRight w:val="0"/>
      <w:marTop w:val="0"/>
      <w:marBottom w:val="0"/>
      <w:divBdr>
        <w:top w:val="none" w:sz="0" w:space="0" w:color="auto"/>
        <w:left w:val="none" w:sz="0" w:space="0" w:color="auto"/>
        <w:bottom w:val="none" w:sz="0" w:space="0" w:color="auto"/>
        <w:right w:val="none" w:sz="0" w:space="0" w:color="auto"/>
      </w:divBdr>
    </w:div>
    <w:div w:id="1840459513">
      <w:bodyDiv w:val="1"/>
      <w:marLeft w:val="0"/>
      <w:marRight w:val="0"/>
      <w:marTop w:val="0"/>
      <w:marBottom w:val="0"/>
      <w:divBdr>
        <w:top w:val="none" w:sz="0" w:space="0" w:color="auto"/>
        <w:left w:val="none" w:sz="0" w:space="0" w:color="auto"/>
        <w:bottom w:val="none" w:sz="0" w:space="0" w:color="auto"/>
        <w:right w:val="none" w:sz="0" w:space="0" w:color="auto"/>
      </w:divBdr>
      <w:divsChild>
        <w:div w:id="1747072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chart" Target="charts/chart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chart" Target="charts/chart2.xml"/><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ba.europa.eu/sites/default/documents/files/document_library/About%20Us/Missions%20and%20tasks/Call%20for%20Advice/2021/CfA%20to%20JC%20for%20securitisation%20in%20prudential%20framework%20review/1022482/CfA%20cover%20letter_final.pdf" TargetMode="External"/><Relationship Id="rId13" Type="http://schemas.openxmlformats.org/officeDocument/2006/relationships/hyperlink" Target="https://ec.europa.eu/info/business-economy-euro/banking-and-finance/sustainable-finance/european-green-bond-standard_en" TargetMode="External"/><Relationship Id="rId3" Type="http://schemas.openxmlformats.org/officeDocument/2006/relationships/hyperlink" Target="https://eur-lex.europa.eu/legal-content/EN/TXT/?uri=COM:2020:590:FIN" TargetMode="External"/><Relationship Id="rId7" Type="http://schemas.openxmlformats.org/officeDocument/2006/relationships/hyperlink" Target="https://finance.ec.europa.eu/document/download/4ce4c935-06eb-4a35-a475-3b7224982242_en?filename=2021-eu-securitisation-framework-summary-of-responses_en.pdf" TargetMode="External"/><Relationship Id="rId12" Type="http://schemas.openxmlformats.org/officeDocument/2006/relationships/hyperlink" Target="https://eur-lex.europa.eu/legal-content/EN/TXT/?uri=CELEX:52021PC0391" TargetMode="External"/><Relationship Id="rId2" Type="http://schemas.openxmlformats.org/officeDocument/2006/relationships/hyperlink" Target="https://ec.europa.eu/info/publications/200722-proposal-capital-markets-recovery_en" TargetMode="External"/><Relationship Id="rId1" Type="http://schemas.openxmlformats.org/officeDocument/2006/relationships/hyperlink" Target="https://www.ecb.europa.eu/pub/pdf/other/ecb-boe_case_better_functioning_securitisation_marketen.pdf" TargetMode="External"/><Relationship Id="rId6" Type="http://schemas.openxmlformats.org/officeDocument/2006/relationships/hyperlink" Target="https://www.eiopa.europa.eu/document-library/report/joint-committee-report-implementation-and-functioning-of-securitisation_en" TargetMode="External"/><Relationship Id="rId11" Type="http://schemas.openxmlformats.org/officeDocument/2006/relationships/hyperlink" Target="https://www.eba.europa.eu/eba-recommends-adjustments-proposed-eu-green-bond-standard-regards-securitisation-transactions" TargetMode="External"/><Relationship Id="rId5" Type="http://schemas.openxmlformats.org/officeDocument/2006/relationships/hyperlink" Target="https://ec.europa.eu/info/files/200610-cmu-high-level-forum-final-report_en" TargetMode="External"/><Relationship Id="rId10" Type="http://schemas.openxmlformats.org/officeDocument/2006/relationships/hyperlink" Target="https://www.eba.europa.eu/sites/default/documents/files/document_library/Publications/Reports/2022/1027593/EBA%20report%20on%20sustainable%20securitisation.pdf" TargetMode="External"/><Relationship Id="rId4" Type="http://schemas.openxmlformats.org/officeDocument/2006/relationships/hyperlink" Target="https://www.esma.europa.eu/sites/default/files/library/jc_2021_16_-_esas_opinion_on_jurisdictional_scope_of_application_of_the_securitisation_regulation_003.pdf" TargetMode="External"/><Relationship Id="rId9" Type="http://schemas.openxmlformats.org/officeDocument/2006/relationships/hyperlink" Target="https://www.afme.eu/publications/reports/details/European-Benchmarking-Exercise-EBE-for-Private-Securitisations" TargetMode="External"/><Relationship Id="rId14" Type="http://schemas.openxmlformats.org/officeDocument/2006/relationships/hyperlink" Target="https://www.eba.europa.eu/eba-calls-european-commission-harmonise-significant-risk-transfer-assessment-securitisation"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net1.cec.eu.int\FISMA\A\A1\3%20-%20Financial%20Services%20Policy\FS_020.010_0012-Securitisation\4%20-%20Comprehensive%20review\Consultation%20responses\Export30092021%20v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net1.cec.eu.int\FISMA\A\A1\3%20-%20Financial%20Services%20Policy\FS_020.010_0012-Securitisation\4%20-%20Comprehensive%20review\Report\helpful%20files\Copy%20of%20EC%20request_risk%20retention_with%20Country%20and%20Year_04April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Content!$Q$61</c:f>
              <c:strCache>
                <c:ptCount val="1"/>
                <c:pt idx="0">
                  <c:v>Fully disagree</c:v>
                </c:pt>
              </c:strCache>
            </c:strRef>
          </c:tx>
          <c:spPr>
            <a:solidFill>
              <a:srgbClr val="FF0000"/>
            </a:solidFill>
            <a:ln>
              <a:noFill/>
            </a:ln>
            <a:effectLst/>
          </c:spPr>
          <c:invertIfNegative val="0"/>
          <c:cat>
            <c:strRef>
              <c:f>Content!$Y$75:$Y$81</c:f>
              <c:strCache>
                <c:ptCount val="7"/>
                <c:pt idx="0">
                  <c:v>Improving access to credit for the real economy, in particular for SMEs</c:v>
                </c:pt>
                <c:pt idx="1">
                  <c:v>Widening the investor base for securitisation products in the EU</c:v>
                </c:pt>
                <c:pt idx="2">
                  <c:v>Widening the issuer base for securitisation products</c:v>
                </c:pt>
                <c:pt idx="3">
                  <c:v>Providing a clear legal framework for the EU securitisation market</c:v>
                </c:pt>
                <c:pt idx="4">
                  <c:v>Facilitating the monitoring of possible risks</c:v>
                </c:pt>
                <c:pt idx="5">
                  <c:v>Providing a high level of investor protection</c:v>
                </c:pt>
                <c:pt idx="6">
                  <c:v>Emergence of an integrated EU securitisation market</c:v>
                </c:pt>
              </c:strCache>
            </c:strRef>
          </c:cat>
          <c:val>
            <c:numRef>
              <c:f>Content!$R$61:$X$61</c:f>
              <c:numCache>
                <c:formatCode>General</c:formatCode>
                <c:ptCount val="7"/>
                <c:pt idx="0">
                  <c:v>23</c:v>
                </c:pt>
                <c:pt idx="1">
                  <c:v>23</c:v>
                </c:pt>
                <c:pt idx="2">
                  <c:v>15</c:v>
                </c:pt>
                <c:pt idx="3">
                  <c:v>0</c:v>
                </c:pt>
                <c:pt idx="4">
                  <c:v>1</c:v>
                </c:pt>
                <c:pt idx="5">
                  <c:v>1</c:v>
                </c:pt>
                <c:pt idx="6">
                  <c:v>0</c:v>
                </c:pt>
              </c:numCache>
            </c:numRef>
          </c:val>
          <c:extLst>
            <c:ext xmlns:c16="http://schemas.microsoft.com/office/drawing/2014/chart" uri="{C3380CC4-5D6E-409C-BE32-E72D297353CC}">
              <c16:uniqueId val="{00000000-3BD1-4A36-BD89-890865AE621F}"/>
            </c:ext>
          </c:extLst>
        </c:ser>
        <c:ser>
          <c:idx val="1"/>
          <c:order val="1"/>
          <c:tx>
            <c:strRef>
              <c:f>Content!$Q$62</c:f>
              <c:strCache>
                <c:ptCount val="1"/>
                <c:pt idx="0">
                  <c:v>Somewhat disagree</c:v>
                </c:pt>
              </c:strCache>
            </c:strRef>
          </c:tx>
          <c:spPr>
            <a:pattFill prst="dkUpDiag">
              <a:fgClr>
                <a:srgbClr val="FF0000"/>
              </a:fgClr>
              <a:bgClr>
                <a:schemeClr val="bg1"/>
              </a:bgClr>
            </a:pattFill>
            <a:ln>
              <a:noFill/>
            </a:ln>
            <a:effectLst/>
          </c:spPr>
          <c:invertIfNegative val="0"/>
          <c:cat>
            <c:strRef>
              <c:f>Content!$Y$75:$Y$81</c:f>
              <c:strCache>
                <c:ptCount val="7"/>
                <c:pt idx="0">
                  <c:v>Improving access to credit for the real economy, in particular for SMEs</c:v>
                </c:pt>
                <c:pt idx="1">
                  <c:v>Widening the investor base for securitisation products in the EU</c:v>
                </c:pt>
                <c:pt idx="2">
                  <c:v>Widening the issuer base for securitisation products</c:v>
                </c:pt>
                <c:pt idx="3">
                  <c:v>Providing a clear legal framework for the EU securitisation market</c:v>
                </c:pt>
                <c:pt idx="4">
                  <c:v>Facilitating the monitoring of possible risks</c:v>
                </c:pt>
                <c:pt idx="5">
                  <c:v>Providing a high level of investor protection</c:v>
                </c:pt>
                <c:pt idx="6">
                  <c:v>Emergence of an integrated EU securitisation market</c:v>
                </c:pt>
              </c:strCache>
            </c:strRef>
          </c:cat>
          <c:val>
            <c:numRef>
              <c:f>Content!$R$62:$X$62</c:f>
              <c:numCache>
                <c:formatCode>General</c:formatCode>
                <c:ptCount val="7"/>
                <c:pt idx="0">
                  <c:v>10</c:v>
                </c:pt>
                <c:pt idx="1">
                  <c:v>12</c:v>
                </c:pt>
                <c:pt idx="2">
                  <c:v>21</c:v>
                </c:pt>
                <c:pt idx="3">
                  <c:v>21</c:v>
                </c:pt>
                <c:pt idx="4">
                  <c:v>6</c:v>
                </c:pt>
                <c:pt idx="5">
                  <c:v>2</c:v>
                </c:pt>
                <c:pt idx="6">
                  <c:v>14</c:v>
                </c:pt>
              </c:numCache>
            </c:numRef>
          </c:val>
          <c:extLst>
            <c:ext xmlns:c16="http://schemas.microsoft.com/office/drawing/2014/chart" uri="{C3380CC4-5D6E-409C-BE32-E72D297353CC}">
              <c16:uniqueId val="{00000001-3BD1-4A36-BD89-890865AE621F}"/>
            </c:ext>
          </c:extLst>
        </c:ser>
        <c:ser>
          <c:idx val="2"/>
          <c:order val="2"/>
          <c:tx>
            <c:strRef>
              <c:f>Content!$Q$63</c:f>
              <c:strCache>
                <c:ptCount val="1"/>
                <c:pt idx="0">
                  <c:v>Neutral</c:v>
                </c:pt>
              </c:strCache>
            </c:strRef>
          </c:tx>
          <c:spPr>
            <a:solidFill>
              <a:schemeClr val="accent3"/>
            </a:solidFill>
            <a:ln>
              <a:noFill/>
            </a:ln>
            <a:effectLst/>
          </c:spPr>
          <c:invertIfNegative val="0"/>
          <c:cat>
            <c:strRef>
              <c:f>Content!$Y$75:$Y$81</c:f>
              <c:strCache>
                <c:ptCount val="7"/>
                <c:pt idx="0">
                  <c:v>Improving access to credit for the real economy, in particular for SMEs</c:v>
                </c:pt>
                <c:pt idx="1">
                  <c:v>Widening the investor base for securitisation products in the EU</c:v>
                </c:pt>
                <c:pt idx="2">
                  <c:v>Widening the issuer base for securitisation products</c:v>
                </c:pt>
                <c:pt idx="3">
                  <c:v>Providing a clear legal framework for the EU securitisation market</c:v>
                </c:pt>
                <c:pt idx="4">
                  <c:v>Facilitating the monitoring of possible risks</c:v>
                </c:pt>
                <c:pt idx="5">
                  <c:v>Providing a high level of investor protection</c:v>
                </c:pt>
                <c:pt idx="6">
                  <c:v>Emergence of an integrated EU securitisation market</c:v>
                </c:pt>
              </c:strCache>
            </c:strRef>
          </c:cat>
          <c:val>
            <c:numRef>
              <c:f>Content!$R$63:$X$63</c:f>
              <c:numCache>
                <c:formatCode>General</c:formatCode>
                <c:ptCount val="7"/>
                <c:pt idx="0">
                  <c:v>8</c:v>
                </c:pt>
                <c:pt idx="1">
                  <c:v>7</c:v>
                </c:pt>
                <c:pt idx="2">
                  <c:v>8</c:v>
                </c:pt>
                <c:pt idx="3">
                  <c:v>9</c:v>
                </c:pt>
                <c:pt idx="4">
                  <c:v>20</c:v>
                </c:pt>
                <c:pt idx="5">
                  <c:v>19</c:v>
                </c:pt>
                <c:pt idx="6">
                  <c:v>13</c:v>
                </c:pt>
              </c:numCache>
            </c:numRef>
          </c:val>
          <c:extLst>
            <c:ext xmlns:c16="http://schemas.microsoft.com/office/drawing/2014/chart" uri="{C3380CC4-5D6E-409C-BE32-E72D297353CC}">
              <c16:uniqueId val="{00000002-3BD1-4A36-BD89-890865AE621F}"/>
            </c:ext>
          </c:extLst>
        </c:ser>
        <c:ser>
          <c:idx val="3"/>
          <c:order val="3"/>
          <c:tx>
            <c:strRef>
              <c:f>Content!$Q$64</c:f>
              <c:strCache>
                <c:ptCount val="1"/>
                <c:pt idx="0">
                  <c:v>Somewhat agree</c:v>
                </c:pt>
              </c:strCache>
            </c:strRef>
          </c:tx>
          <c:spPr>
            <a:pattFill prst="dkUpDiag">
              <a:fgClr>
                <a:schemeClr val="accent5"/>
              </a:fgClr>
              <a:bgClr>
                <a:schemeClr val="bg1"/>
              </a:bgClr>
            </a:pattFill>
            <a:ln>
              <a:noFill/>
            </a:ln>
            <a:effectLst/>
          </c:spPr>
          <c:invertIfNegative val="0"/>
          <c:cat>
            <c:strRef>
              <c:f>Content!$Y$75:$Y$81</c:f>
              <c:strCache>
                <c:ptCount val="7"/>
                <c:pt idx="0">
                  <c:v>Improving access to credit for the real economy, in particular for SMEs</c:v>
                </c:pt>
                <c:pt idx="1">
                  <c:v>Widening the investor base for securitisation products in the EU</c:v>
                </c:pt>
                <c:pt idx="2">
                  <c:v>Widening the issuer base for securitisation products</c:v>
                </c:pt>
                <c:pt idx="3">
                  <c:v>Providing a clear legal framework for the EU securitisation market</c:v>
                </c:pt>
                <c:pt idx="4">
                  <c:v>Facilitating the monitoring of possible risks</c:v>
                </c:pt>
                <c:pt idx="5">
                  <c:v>Providing a high level of investor protection</c:v>
                </c:pt>
                <c:pt idx="6">
                  <c:v>Emergence of an integrated EU securitisation market</c:v>
                </c:pt>
              </c:strCache>
            </c:strRef>
          </c:cat>
          <c:val>
            <c:numRef>
              <c:f>Content!$R$64:$X$64</c:f>
              <c:numCache>
                <c:formatCode>General</c:formatCode>
                <c:ptCount val="7"/>
                <c:pt idx="0">
                  <c:v>2</c:v>
                </c:pt>
                <c:pt idx="1">
                  <c:v>3</c:v>
                </c:pt>
                <c:pt idx="2">
                  <c:v>2</c:v>
                </c:pt>
                <c:pt idx="3">
                  <c:v>14</c:v>
                </c:pt>
                <c:pt idx="4">
                  <c:v>9</c:v>
                </c:pt>
                <c:pt idx="5">
                  <c:v>17</c:v>
                </c:pt>
                <c:pt idx="6">
                  <c:v>15</c:v>
                </c:pt>
              </c:numCache>
            </c:numRef>
          </c:val>
          <c:extLst>
            <c:ext xmlns:c16="http://schemas.microsoft.com/office/drawing/2014/chart" uri="{C3380CC4-5D6E-409C-BE32-E72D297353CC}">
              <c16:uniqueId val="{00000003-3BD1-4A36-BD89-890865AE621F}"/>
            </c:ext>
          </c:extLst>
        </c:ser>
        <c:ser>
          <c:idx val="4"/>
          <c:order val="4"/>
          <c:tx>
            <c:strRef>
              <c:f>Content!$Q$65</c:f>
              <c:strCache>
                <c:ptCount val="1"/>
                <c:pt idx="0">
                  <c:v>Fully agree</c:v>
                </c:pt>
              </c:strCache>
            </c:strRef>
          </c:tx>
          <c:spPr>
            <a:solidFill>
              <a:schemeClr val="accent5"/>
            </a:solidFill>
            <a:ln>
              <a:noFill/>
            </a:ln>
            <a:effectLst/>
          </c:spPr>
          <c:invertIfNegative val="0"/>
          <c:cat>
            <c:strRef>
              <c:f>Content!$Y$75:$Y$81</c:f>
              <c:strCache>
                <c:ptCount val="7"/>
                <c:pt idx="0">
                  <c:v>Improving access to credit for the real economy, in particular for SMEs</c:v>
                </c:pt>
                <c:pt idx="1">
                  <c:v>Widening the investor base for securitisation products in the EU</c:v>
                </c:pt>
                <c:pt idx="2">
                  <c:v>Widening the issuer base for securitisation products</c:v>
                </c:pt>
                <c:pt idx="3">
                  <c:v>Providing a clear legal framework for the EU securitisation market</c:v>
                </c:pt>
                <c:pt idx="4">
                  <c:v>Facilitating the monitoring of possible risks</c:v>
                </c:pt>
                <c:pt idx="5">
                  <c:v>Providing a high level of investor protection</c:v>
                </c:pt>
                <c:pt idx="6">
                  <c:v>Emergence of an integrated EU securitisation market</c:v>
                </c:pt>
              </c:strCache>
            </c:strRef>
          </c:cat>
          <c:val>
            <c:numRef>
              <c:f>Content!$R$65:$X$65</c:f>
              <c:numCache>
                <c:formatCode>General</c:formatCode>
                <c:ptCount val="7"/>
                <c:pt idx="0">
                  <c:v>0</c:v>
                </c:pt>
                <c:pt idx="1">
                  <c:v>0</c:v>
                </c:pt>
                <c:pt idx="2">
                  <c:v>0</c:v>
                </c:pt>
                <c:pt idx="3">
                  <c:v>4</c:v>
                </c:pt>
                <c:pt idx="4">
                  <c:v>6</c:v>
                </c:pt>
                <c:pt idx="5">
                  <c:v>5</c:v>
                </c:pt>
                <c:pt idx="6">
                  <c:v>0</c:v>
                </c:pt>
              </c:numCache>
            </c:numRef>
          </c:val>
          <c:extLst>
            <c:ext xmlns:c16="http://schemas.microsoft.com/office/drawing/2014/chart" uri="{C3380CC4-5D6E-409C-BE32-E72D297353CC}">
              <c16:uniqueId val="{00000004-3BD1-4A36-BD89-890865AE621F}"/>
            </c:ext>
          </c:extLst>
        </c:ser>
        <c:dLbls>
          <c:showLegendKey val="0"/>
          <c:showVal val="0"/>
          <c:showCatName val="0"/>
          <c:showSerName val="0"/>
          <c:showPercent val="0"/>
          <c:showBubbleSize val="0"/>
        </c:dLbls>
        <c:gapWidth val="81"/>
        <c:overlap val="100"/>
        <c:axId val="523617432"/>
        <c:axId val="523605952"/>
      </c:barChart>
      <c:catAx>
        <c:axId val="523617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23605952"/>
        <c:crosses val="autoZero"/>
        <c:auto val="1"/>
        <c:lblAlgn val="ctr"/>
        <c:lblOffset val="100"/>
        <c:noMultiLvlLbl val="0"/>
      </c:catAx>
      <c:valAx>
        <c:axId val="523605952"/>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23617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560444360923712E-2"/>
          <c:y val="1.1574074074074073E-2"/>
          <c:w val="0.50980882169186559"/>
          <c:h val="0.94444444444444442"/>
        </c:manualLayout>
      </c:layout>
      <c:doughnutChart>
        <c:varyColors val="1"/>
        <c:ser>
          <c:idx val="3"/>
          <c:order val="3"/>
          <c:dPt>
            <c:idx val="0"/>
            <c:bubble3D val="0"/>
            <c:spPr>
              <a:solidFill>
                <a:schemeClr val="accent1"/>
              </a:solidFill>
              <a:ln>
                <a:noFill/>
              </a:ln>
              <a:effectLst/>
            </c:spPr>
            <c:extLst>
              <c:ext xmlns:c16="http://schemas.microsoft.com/office/drawing/2014/chart" uri="{C3380CC4-5D6E-409C-BE32-E72D297353CC}">
                <c16:uniqueId val="{00000001-1B23-44BD-99AE-F001C16D28E3}"/>
              </c:ext>
            </c:extLst>
          </c:dPt>
          <c:dPt>
            <c:idx val="1"/>
            <c:bubble3D val="0"/>
            <c:spPr>
              <a:solidFill>
                <a:schemeClr val="accent2"/>
              </a:solidFill>
              <a:ln>
                <a:noFill/>
              </a:ln>
              <a:effectLst/>
            </c:spPr>
            <c:extLst>
              <c:ext xmlns:c16="http://schemas.microsoft.com/office/drawing/2014/chart" uri="{C3380CC4-5D6E-409C-BE32-E72D297353CC}">
                <c16:uniqueId val="{00000003-1B23-44BD-99AE-F001C16D28E3}"/>
              </c:ext>
            </c:extLst>
          </c:dPt>
          <c:dPt>
            <c:idx val="2"/>
            <c:bubble3D val="0"/>
            <c:spPr>
              <a:solidFill>
                <a:schemeClr val="accent3"/>
              </a:solidFill>
              <a:ln>
                <a:noFill/>
              </a:ln>
              <a:effectLst/>
            </c:spPr>
            <c:extLst>
              <c:ext xmlns:c16="http://schemas.microsoft.com/office/drawing/2014/chart" uri="{C3380CC4-5D6E-409C-BE32-E72D297353CC}">
                <c16:uniqueId val="{00000005-1B23-44BD-99AE-F001C16D28E3}"/>
              </c:ext>
            </c:extLst>
          </c:dPt>
          <c:dPt>
            <c:idx val="3"/>
            <c:bubble3D val="0"/>
            <c:spPr>
              <a:solidFill>
                <a:schemeClr val="accent4"/>
              </a:solidFill>
              <a:ln>
                <a:noFill/>
              </a:ln>
              <a:effectLst/>
            </c:spPr>
            <c:extLst>
              <c:ext xmlns:c16="http://schemas.microsoft.com/office/drawing/2014/chart" uri="{C3380CC4-5D6E-409C-BE32-E72D297353CC}">
                <c16:uniqueId val="{00000007-1B23-44BD-99AE-F001C16D28E3}"/>
              </c:ext>
            </c:extLst>
          </c:dPt>
          <c:dPt>
            <c:idx val="4"/>
            <c:bubble3D val="0"/>
            <c:spPr>
              <a:solidFill>
                <a:schemeClr val="accent5"/>
              </a:solidFill>
              <a:ln>
                <a:noFill/>
              </a:ln>
              <a:effectLst/>
            </c:spPr>
            <c:extLst>
              <c:ext xmlns:c16="http://schemas.microsoft.com/office/drawing/2014/chart" uri="{C3380CC4-5D6E-409C-BE32-E72D297353CC}">
                <c16:uniqueId val="{00000009-1B23-44BD-99AE-F001C16D28E3}"/>
              </c:ext>
            </c:extLst>
          </c:dPt>
          <c:dLbls>
            <c:dLbl>
              <c:idx val="0"/>
              <c:layout>
                <c:manualLayout>
                  <c:x val="2.2987050547188387E-3"/>
                  <c:y val="-7.5484500868130994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A7F31B4C-9DF4-4375-A32D-292BF499480C}" type="PERCENTAGE">
                      <a:rPr lang="en-US" b="1">
                        <a:solidFill>
                          <a:schemeClr val="bg1"/>
                        </a:solidFill>
                        <a:latin typeface="Arial" panose="020B0604020202020204" pitchFamily="34" charset="0"/>
                        <a:cs typeface="Arial" panose="020B0604020202020204" pitchFamily="34" charset="0"/>
                      </a:rPr>
                      <a:pPr>
                        <a:defRPr sz="900" b="0" i="0" u="none" strike="noStrike" kern="1200" baseline="0">
                          <a:solidFill>
                            <a:schemeClr val="tx1">
                              <a:lumMod val="75000"/>
                              <a:lumOff val="25000"/>
                            </a:schemeClr>
                          </a:solidFill>
                          <a:latin typeface="+mn-lt"/>
                          <a:ea typeface="+mn-ea"/>
                          <a:cs typeface="+mn-cs"/>
                        </a:defRPr>
                      </a:pPr>
                      <a:t>[PERCENTAGE]</a:t>
                    </a:fld>
                    <a:endParaRPr lang="en-GB"/>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4.7593569734184327E-2"/>
                      <c:h val="6.7652741324001162E-2"/>
                    </c:manualLayout>
                  </c15:layout>
                  <c15:dlblFieldTable/>
                  <c15:showDataLabelsRange val="0"/>
                </c:ext>
                <c:ext xmlns:c16="http://schemas.microsoft.com/office/drawing/2014/chart" uri="{C3380CC4-5D6E-409C-BE32-E72D297353CC}">
                  <c16:uniqueId val="{00000001-1B23-44BD-99AE-F001C16D28E3}"/>
                </c:ext>
              </c:extLst>
            </c:dLbl>
            <c:dLbl>
              <c:idx val="1"/>
              <c:layout>
                <c:manualLayout>
                  <c:x val="7.1225259031799625E-3"/>
                  <c:y val="-2.477325750947797E-2"/>
                </c:manualLayout>
              </c:layout>
              <c:tx>
                <c:rich>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fld id="{6F3E9287-2A52-408D-966D-E0EF2E722E14}" type="PERCENTAGE">
                      <a:rPr lang="en-US" b="1">
                        <a:latin typeface="Arial" panose="020B0604020202020204" pitchFamily="34" charset="0"/>
                        <a:cs typeface="Arial" panose="020B0604020202020204" pitchFamily="34" charset="0"/>
                      </a:rPr>
                      <a:pPr>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t>[PERCENTAGE]</a:t>
                    </a:fld>
                    <a:endParaRPr lang="en-GB"/>
                  </a:p>
                </c:rich>
              </c:tx>
              <c:spPr>
                <a:noFill/>
                <a:ln>
                  <a:noFill/>
                </a:ln>
                <a:effectLst/>
              </c:sp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B23-44BD-99AE-F001C16D28E3}"/>
                </c:ext>
              </c:extLst>
            </c:dLbl>
            <c:dLbl>
              <c:idx val="2"/>
              <c:layout>
                <c:manualLayout>
                  <c:x val="2.3097778930309121E-2"/>
                  <c:y val="-2.1545253863134713E-2"/>
                </c:manualLayout>
              </c:layout>
              <c:tx>
                <c:rich>
                  <a:bodyPr/>
                  <a:lstStyle/>
                  <a:p>
                    <a:fld id="{F3721C94-4F29-46FA-B028-86853F02BF74}" type="PERCENTAGE">
                      <a:rPr lang="en-US" b="1">
                        <a:latin typeface="Arial" panose="020B0604020202020204" pitchFamily="34" charset="0"/>
                        <a:cs typeface="Arial" panose="020B0604020202020204" pitchFamily="34" charset="0"/>
                      </a:rPr>
                      <a:pPr/>
                      <a:t>[PERCENTAGE]</a:t>
                    </a:fld>
                    <a:endParaRPr lang="en-GB"/>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B23-44BD-99AE-F001C16D28E3}"/>
                </c:ext>
              </c:extLst>
            </c:dLbl>
            <c:dLbl>
              <c:idx val="3"/>
              <c:tx>
                <c:rich>
                  <a:bodyPr/>
                  <a:lstStyle/>
                  <a:p>
                    <a:fld id="{B0A794E4-9761-4912-B9A0-4BA14A9971EF}" type="PERCENTAGE">
                      <a:rPr lang="en-US" b="1">
                        <a:latin typeface="Arial" panose="020B0604020202020204" pitchFamily="34" charset="0"/>
                        <a:cs typeface="Arial" panose="020B0604020202020204" pitchFamily="34" charset="0"/>
                      </a:rPr>
                      <a:pPr/>
                      <a:t>[PERCENTAGE]</a:t>
                    </a:fld>
                    <a:endParaRPr lang="en-GB"/>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1B23-44BD-99AE-F001C16D28E3}"/>
                </c:ext>
              </c:extLst>
            </c:dLbl>
            <c:dLbl>
              <c:idx val="4"/>
              <c:tx>
                <c:rich>
                  <a:bodyPr/>
                  <a:lstStyle/>
                  <a:p>
                    <a:fld id="{C9F313FA-5DFF-45CB-9813-5763A6B0594C}" type="PERCENTAGE">
                      <a:rPr lang="en-US" b="1">
                        <a:solidFill>
                          <a:schemeClr val="bg1"/>
                        </a:solidFill>
                        <a:latin typeface="Arial" panose="020B0604020202020204" pitchFamily="34" charset="0"/>
                        <a:cs typeface="Arial" panose="020B0604020202020204" pitchFamily="34" charset="0"/>
                      </a:rPr>
                      <a:pPr/>
                      <a:t>[PERCENTAGE]</a:t>
                    </a:fld>
                    <a:endParaRPr lang="en-GB"/>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1B23-44BD-99AE-F001C16D28E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Overview_Retention!$K$7:$K$12</c:f>
              <c:strCache>
                <c:ptCount val="5"/>
                <c:pt idx="0">
                  <c:v>Other</c:v>
                </c:pt>
                <c:pt idx="1">
                  <c:v>Seller's share</c:v>
                </c:pt>
                <c:pt idx="2">
                  <c:v>Randomly-selected exposures</c:v>
                </c:pt>
                <c:pt idx="3">
                  <c:v>Vertical slice</c:v>
                </c:pt>
                <c:pt idx="4">
                  <c:v>First loss tranche </c:v>
                </c:pt>
              </c:strCache>
              <c:extLst/>
            </c:strRef>
          </c:cat>
          <c:val>
            <c:numRef>
              <c:f>Overview_Retention!$O$7:$O$12</c:f>
              <c:numCache>
                <c:formatCode>General</c:formatCode>
                <c:ptCount val="5"/>
                <c:pt idx="0">
                  <c:v>6</c:v>
                </c:pt>
                <c:pt idx="1">
                  <c:v>10</c:v>
                </c:pt>
                <c:pt idx="2">
                  <c:v>43</c:v>
                </c:pt>
                <c:pt idx="3">
                  <c:v>52</c:v>
                </c:pt>
                <c:pt idx="4">
                  <c:v>158</c:v>
                </c:pt>
              </c:numCache>
              <c:extLst/>
            </c:numRef>
          </c:val>
          <c:extLst>
            <c:ext xmlns:c16="http://schemas.microsoft.com/office/drawing/2014/chart" uri="{C3380CC4-5D6E-409C-BE32-E72D297353CC}">
              <c16:uniqueId val="{0000000A-1B23-44BD-99AE-F001C16D28E3}"/>
            </c:ext>
          </c:extLst>
        </c:ser>
        <c:dLbls>
          <c:showLegendKey val="0"/>
          <c:showVal val="0"/>
          <c:showCatName val="0"/>
          <c:showSerName val="0"/>
          <c:showPercent val="0"/>
          <c:showBubbleSize val="0"/>
          <c:showLeaderLines val="0"/>
        </c:dLbls>
        <c:firstSliceAng val="0"/>
        <c:holeSize val="50"/>
        <c:extLst>
          <c:ext xmlns:c15="http://schemas.microsoft.com/office/drawing/2012/chart" uri="{02D57815-91ED-43cb-92C2-25804820EDAC}">
            <c15:filteredPieSeries>
              <c15:ser>
                <c:idx val="0"/>
                <c:order val="0"/>
                <c:dPt>
                  <c:idx val="0"/>
                  <c:bubble3D val="0"/>
                  <c:spPr>
                    <a:solidFill>
                      <a:schemeClr val="accent1"/>
                    </a:solidFill>
                    <a:ln>
                      <a:noFill/>
                    </a:ln>
                    <a:effectLst/>
                  </c:spPr>
                  <c:extLst>
                    <c:ext xmlns:c16="http://schemas.microsoft.com/office/drawing/2014/chart" uri="{C3380CC4-5D6E-409C-BE32-E72D297353CC}">
                      <c16:uniqueId val="{0000000C-1B23-44BD-99AE-F001C16D28E3}"/>
                    </c:ext>
                  </c:extLst>
                </c:dPt>
                <c:dPt>
                  <c:idx val="1"/>
                  <c:bubble3D val="0"/>
                  <c:spPr>
                    <a:solidFill>
                      <a:schemeClr val="accent2"/>
                    </a:solidFill>
                    <a:ln>
                      <a:noFill/>
                    </a:ln>
                    <a:effectLst/>
                  </c:spPr>
                  <c:extLst>
                    <c:ext xmlns:c16="http://schemas.microsoft.com/office/drawing/2014/chart" uri="{C3380CC4-5D6E-409C-BE32-E72D297353CC}">
                      <c16:uniqueId val="{0000000E-1B23-44BD-99AE-F001C16D28E3}"/>
                    </c:ext>
                  </c:extLst>
                </c:dPt>
                <c:dPt>
                  <c:idx val="2"/>
                  <c:bubble3D val="0"/>
                  <c:spPr>
                    <a:solidFill>
                      <a:schemeClr val="accent3"/>
                    </a:solidFill>
                    <a:ln>
                      <a:noFill/>
                    </a:ln>
                    <a:effectLst/>
                  </c:spPr>
                  <c:extLst>
                    <c:ext xmlns:c16="http://schemas.microsoft.com/office/drawing/2014/chart" uri="{C3380CC4-5D6E-409C-BE32-E72D297353CC}">
                      <c16:uniqueId val="{00000010-1B23-44BD-99AE-F001C16D28E3}"/>
                    </c:ext>
                  </c:extLst>
                </c:dPt>
                <c:dPt>
                  <c:idx val="3"/>
                  <c:bubble3D val="0"/>
                  <c:spPr>
                    <a:solidFill>
                      <a:schemeClr val="accent4"/>
                    </a:solidFill>
                    <a:ln>
                      <a:noFill/>
                    </a:ln>
                    <a:effectLst/>
                  </c:spPr>
                  <c:extLst>
                    <c:ext xmlns:c16="http://schemas.microsoft.com/office/drawing/2014/chart" uri="{C3380CC4-5D6E-409C-BE32-E72D297353CC}">
                      <c16:uniqueId val="{00000012-1B23-44BD-99AE-F001C16D28E3}"/>
                    </c:ext>
                  </c:extLst>
                </c:dPt>
                <c:dPt>
                  <c:idx val="4"/>
                  <c:bubble3D val="0"/>
                  <c:spPr>
                    <a:solidFill>
                      <a:schemeClr val="accent5"/>
                    </a:solidFill>
                    <a:ln>
                      <a:noFill/>
                    </a:ln>
                    <a:effectLst/>
                  </c:spPr>
                  <c:extLst>
                    <c:ext xmlns:c16="http://schemas.microsoft.com/office/drawing/2014/chart" uri="{C3380CC4-5D6E-409C-BE32-E72D297353CC}">
                      <c16:uniqueId val="{00000014-1B23-44BD-99AE-F001C16D28E3}"/>
                    </c:ext>
                  </c:extLst>
                </c:dPt>
                <c:cat>
                  <c:strRef>
                    <c:extLst>
                      <c:ext uri="{02D57815-91ED-43cb-92C2-25804820EDAC}">
                        <c15:formulaRef>
                          <c15:sqref>Overview_Retention!$K$7:$K$12</c15:sqref>
                        </c15:formulaRef>
                      </c:ext>
                    </c:extLst>
                    <c:strCache>
                      <c:ptCount val="5"/>
                      <c:pt idx="0">
                        <c:v>Other</c:v>
                      </c:pt>
                      <c:pt idx="1">
                        <c:v>Seller's share</c:v>
                      </c:pt>
                      <c:pt idx="2">
                        <c:v>Randomly-selected exposures</c:v>
                      </c:pt>
                      <c:pt idx="3">
                        <c:v>Vertical slice</c:v>
                      </c:pt>
                      <c:pt idx="4">
                        <c:v>First loss tranche </c:v>
                      </c:pt>
                    </c:strCache>
                  </c:strRef>
                </c:cat>
                <c:val>
                  <c:numRef>
                    <c:extLst>
                      <c:ext uri="{02D57815-91ED-43cb-92C2-25804820EDAC}">
                        <c15:formulaRef>
                          <c15:sqref>Overview_Retention!$L$7:$L$12</c15:sqref>
                        </c15:formulaRef>
                      </c:ext>
                    </c:extLst>
                    <c:numCache>
                      <c:formatCode>General</c:formatCode>
                      <c:ptCount val="5"/>
                    </c:numCache>
                  </c:numRef>
                </c:val>
                <c:extLst>
                  <c:ext xmlns:c16="http://schemas.microsoft.com/office/drawing/2014/chart" uri="{C3380CC4-5D6E-409C-BE32-E72D297353CC}">
                    <c16:uniqueId val="{00000015-1B23-44BD-99AE-F001C16D28E3}"/>
                  </c:ext>
                </c:extLst>
              </c15:ser>
            </c15:filteredPieSeries>
            <c15:filteredPieSeries>
              <c15:ser>
                <c:idx val="1"/>
                <c:order val="1"/>
                <c:dPt>
                  <c:idx val="0"/>
                  <c:bubble3D val="0"/>
                  <c:spPr>
                    <a:solidFill>
                      <a:schemeClr val="accent1"/>
                    </a:solidFill>
                    <a:ln>
                      <a:noFill/>
                    </a:ln>
                    <a:effectLst/>
                  </c:spPr>
                  <c:extLst xmlns:c15="http://schemas.microsoft.com/office/drawing/2012/chart">
                    <c:ext xmlns:c16="http://schemas.microsoft.com/office/drawing/2014/chart" uri="{C3380CC4-5D6E-409C-BE32-E72D297353CC}">
                      <c16:uniqueId val="{00000017-1B23-44BD-99AE-F001C16D28E3}"/>
                    </c:ext>
                  </c:extLst>
                </c:dPt>
                <c:dPt>
                  <c:idx val="1"/>
                  <c:bubble3D val="0"/>
                  <c:spPr>
                    <a:solidFill>
                      <a:schemeClr val="accent2"/>
                    </a:solidFill>
                    <a:ln>
                      <a:noFill/>
                    </a:ln>
                    <a:effectLst/>
                  </c:spPr>
                  <c:extLst xmlns:c15="http://schemas.microsoft.com/office/drawing/2012/chart">
                    <c:ext xmlns:c16="http://schemas.microsoft.com/office/drawing/2014/chart" uri="{C3380CC4-5D6E-409C-BE32-E72D297353CC}">
                      <c16:uniqueId val="{00000019-1B23-44BD-99AE-F001C16D28E3}"/>
                    </c:ext>
                  </c:extLst>
                </c:dPt>
                <c:dPt>
                  <c:idx val="2"/>
                  <c:bubble3D val="0"/>
                  <c:spPr>
                    <a:solidFill>
                      <a:schemeClr val="accent3"/>
                    </a:solidFill>
                    <a:ln>
                      <a:noFill/>
                    </a:ln>
                    <a:effectLst/>
                  </c:spPr>
                  <c:extLst xmlns:c15="http://schemas.microsoft.com/office/drawing/2012/chart">
                    <c:ext xmlns:c16="http://schemas.microsoft.com/office/drawing/2014/chart" uri="{C3380CC4-5D6E-409C-BE32-E72D297353CC}">
                      <c16:uniqueId val="{0000001B-1B23-44BD-99AE-F001C16D28E3}"/>
                    </c:ext>
                  </c:extLst>
                </c:dPt>
                <c:dPt>
                  <c:idx val="3"/>
                  <c:bubble3D val="0"/>
                  <c:spPr>
                    <a:solidFill>
                      <a:schemeClr val="accent4"/>
                    </a:solidFill>
                    <a:ln>
                      <a:noFill/>
                    </a:ln>
                    <a:effectLst/>
                  </c:spPr>
                  <c:extLst xmlns:c15="http://schemas.microsoft.com/office/drawing/2012/chart">
                    <c:ext xmlns:c16="http://schemas.microsoft.com/office/drawing/2014/chart" uri="{C3380CC4-5D6E-409C-BE32-E72D297353CC}">
                      <c16:uniqueId val="{0000001D-1B23-44BD-99AE-F001C16D28E3}"/>
                    </c:ext>
                  </c:extLst>
                </c:dPt>
                <c:dPt>
                  <c:idx val="4"/>
                  <c:bubble3D val="0"/>
                  <c:spPr>
                    <a:solidFill>
                      <a:schemeClr val="accent5"/>
                    </a:solidFill>
                    <a:ln>
                      <a:noFill/>
                    </a:ln>
                    <a:effectLst/>
                  </c:spPr>
                  <c:extLst xmlns:c15="http://schemas.microsoft.com/office/drawing/2012/chart">
                    <c:ext xmlns:c16="http://schemas.microsoft.com/office/drawing/2014/chart" uri="{C3380CC4-5D6E-409C-BE32-E72D297353CC}">
                      <c16:uniqueId val="{0000001F-1B23-44BD-99AE-F001C16D28E3}"/>
                    </c:ext>
                  </c:extLst>
                </c:dPt>
                <c:cat>
                  <c:strRef>
                    <c:extLst xmlns:c15="http://schemas.microsoft.com/office/drawing/2012/chart">
                      <c:ext xmlns:c15="http://schemas.microsoft.com/office/drawing/2012/chart" uri="{02D57815-91ED-43cb-92C2-25804820EDAC}">
                        <c15:formulaRef>
                          <c15:sqref>Overview_Retention!$K$7:$K$12</c15:sqref>
                        </c15:formulaRef>
                      </c:ext>
                    </c:extLst>
                    <c:strCache>
                      <c:ptCount val="5"/>
                      <c:pt idx="0">
                        <c:v>Other</c:v>
                      </c:pt>
                      <c:pt idx="1">
                        <c:v>Seller's share</c:v>
                      </c:pt>
                      <c:pt idx="2">
                        <c:v>Randomly-selected exposures</c:v>
                      </c:pt>
                      <c:pt idx="3">
                        <c:v>Vertical slice</c:v>
                      </c:pt>
                      <c:pt idx="4">
                        <c:v>First loss tranche </c:v>
                      </c:pt>
                    </c:strCache>
                  </c:strRef>
                </c:cat>
                <c:val>
                  <c:numRef>
                    <c:extLst xmlns:c15="http://schemas.microsoft.com/office/drawing/2012/chart">
                      <c:ext xmlns:c15="http://schemas.microsoft.com/office/drawing/2012/chart" uri="{02D57815-91ED-43cb-92C2-25804820EDAC}">
                        <c15:formulaRef>
                          <c15:sqref>Overview_Retention!$M$7:$M$12</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20-1B23-44BD-99AE-F001C16D28E3}"/>
                  </c:ext>
                </c:extLst>
              </c15:ser>
            </c15:filteredPieSeries>
            <c15:filteredPieSeries>
              <c15:ser>
                <c:idx val="2"/>
                <c:order val="2"/>
                <c:dPt>
                  <c:idx val="0"/>
                  <c:bubble3D val="0"/>
                  <c:spPr>
                    <a:solidFill>
                      <a:schemeClr val="accent1"/>
                    </a:solidFill>
                    <a:ln>
                      <a:noFill/>
                    </a:ln>
                    <a:effectLst/>
                  </c:spPr>
                  <c:extLst xmlns:c15="http://schemas.microsoft.com/office/drawing/2012/chart">
                    <c:ext xmlns:c16="http://schemas.microsoft.com/office/drawing/2014/chart" uri="{C3380CC4-5D6E-409C-BE32-E72D297353CC}">
                      <c16:uniqueId val="{00000022-1B23-44BD-99AE-F001C16D28E3}"/>
                    </c:ext>
                  </c:extLst>
                </c:dPt>
                <c:dPt>
                  <c:idx val="1"/>
                  <c:bubble3D val="0"/>
                  <c:spPr>
                    <a:solidFill>
                      <a:schemeClr val="accent2"/>
                    </a:solidFill>
                    <a:ln>
                      <a:noFill/>
                    </a:ln>
                    <a:effectLst/>
                  </c:spPr>
                  <c:extLst xmlns:c15="http://schemas.microsoft.com/office/drawing/2012/chart">
                    <c:ext xmlns:c16="http://schemas.microsoft.com/office/drawing/2014/chart" uri="{C3380CC4-5D6E-409C-BE32-E72D297353CC}">
                      <c16:uniqueId val="{00000024-1B23-44BD-99AE-F001C16D28E3}"/>
                    </c:ext>
                  </c:extLst>
                </c:dPt>
                <c:dPt>
                  <c:idx val="2"/>
                  <c:bubble3D val="0"/>
                  <c:spPr>
                    <a:solidFill>
                      <a:schemeClr val="accent3"/>
                    </a:solidFill>
                    <a:ln>
                      <a:noFill/>
                    </a:ln>
                    <a:effectLst/>
                  </c:spPr>
                  <c:extLst xmlns:c15="http://schemas.microsoft.com/office/drawing/2012/chart">
                    <c:ext xmlns:c16="http://schemas.microsoft.com/office/drawing/2014/chart" uri="{C3380CC4-5D6E-409C-BE32-E72D297353CC}">
                      <c16:uniqueId val="{00000026-1B23-44BD-99AE-F001C16D28E3}"/>
                    </c:ext>
                  </c:extLst>
                </c:dPt>
                <c:dPt>
                  <c:idx val="3"/>
                  <c:bubble3D val="0"/>
                  <c:spPr>
                    <a:solidFill>
                      <a:schemeClr val="accent4"/>
                    </a:solidFill>
                    <a:ln>
                      <a:noFill/>
                    </a:ln>
                    <a:effectLst/>
                  </c:spPr>
                  <c:extLst xmlns:c15="http://schemas.microsoft.com/office/drawing/2012/chart">
                    <c:ext xmlns:c16="http://schemas.microsoft.com/office/drawing/2014/chart" uri="{C3380CC4-5D6E-409C-BE32-E72D297353CC}">
                      <c16:uniqueId val="{00000028-1B23-44BD-99AE-F001C16D28E3}"/>
                    </c:ext>
                  </c:extLst>
                </c:dPt>
                <c:dPt>
                  <c:idx val="4"/>
                  <c:bubble3D val="0"/>
                  <c:spPr>
                    <a:solidFill>
                      <a:schemeClr val="accent5"/>
                    </a:solidFill>
                    <a:ln>
                      <a:noFill/>
                    </a:ln>
                    <a:effectLst/>
                  </c:spPr>
                  <c:extLst xmlns:c15="http://schemas.microsoft.com/office/drawing/2012/chart">
                    <c:ext xmlns:c16="http://schemas.microsoft.com/office/drawing/2014/chart" uri="{C3380CC4-5D6E-409C-BE32-E72D297353CC}">
                      <c16:uniqueId val="{0000002A-1B23-44BD-99AE-F001C16D28E3}"/>
                    </c:ext>
                  </c:extLst>
                </c:dPt>
                <c:cat>
                  <c:strRef>
                    <c:extLst xmlns:c15="http://schemas.microsoft.com/office/drawing/2012/chart">
                      <c:ext xmlns:c15="http://schemas.microsoft.com/office/drawing/2012/chart" uri="{02D57815-91ED-43cb-92C2-25804820EDAC}">
                        <c15:formulaRef>
                          <c15:sqref>Overview_Retention!$K$7:$K$12</c15:sqref>
                        </c15:formulaRef>
                      </c:ext>
                    </c:extLst>
                    <c:strCache>
                      <c:ptCount val="5"/>
                      <c:pt idx="0">
                        <c:v>Other</c:v>
                      </c:pt>
                      <c:pt idx="1">
                        <c:v>Seller's share</c:v>
                      </c:pt>
                      <c:pt idx="2">
                        <c:v>Randomly-selected exposures</c:v>
                      </c:pt>
                      <c:pt idx="3">
                        <c:v>Vertical slice</c:v>
                      </c:pt>
                      <c:pt idx="4">
                        <c:v>First loss tranche </c:v>
                      </c:pt>
                    </c:strCache>
                  </c:strRef>
                </c:cat>
                <c:val>
                  <c:numRef>
                    <c:extLst xmlns:c15="http://schemas.microsoft.com/office/drawing/2012/chart">
                      <c:ext xmlns:c15="http://schemas.microsoft.com/office/drawing/2012/chart" uri="{02D57815-91ED-43cb-92C2-25804820EDAC}">
                        <c15:formulaRef>
                          <c15:sqref>Overview_Retention!$N$7:$N$12</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2B-1B23-44BD-99AE-F001C16D28E3}"/>
                  </c:ext>
                </c:extLst>
              </c15:ser>
            </c15:filteredPieSeries>
          </c:ext>
        </c:extLst>
      </c:doughnutChart>
      <c:spPr>
        <a:noFill/>
        <a:ln>
          <a:noFill/>
        </a:ln>
        <a:effectLst/>
      </c:spPr>
    </c:plotArea>
    <c:legend>
      <c:legendPos val="r"/>
      <c:layout>
        <c:manualLayout>
          <c:xMode val="edge"/>
          <c:yMode val="edge"/>
          <c:x val="0.71971682928946856"/>
          <c:y val="0.16556175511173687"/>
          <c:w val="0.2701050536621854"/>
          <c:h val="0.48344579444125774"/>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b2e4566d1cfc4e6eb55a8bd63695e673 xmlns="D1F5D099-5C52-442F-9819-710F419B277D">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b2e4566d1cfc4e6eb55a8bd63695e673>
    <EC_ARES_NUMBER xmlns="D1F5D099-5C52-442F-9819-710F419B277D">
      <Url xsi:nil="true"/>
      <Description xsi:nil="true"/>
    </EC_ARES_NUMBER>
    <Notify_x0020_users_x0020_50_x0020_versions_x0020_recorded_x0020_in_x0020_Financial_x0020_Service_x0020_Policy xmlns="d1f5d099-5c52-442f-9819-710f419b277d">
      <Url xsi:nil="true"/>
      <Description xsi:nil="true"/>
    </Notify_x0020_users_x0020_50_x0020_versions_x0020_recorded_x0020_in_x0020_Financial_x0020_Service_x0020_Policy>
    <kda1bb0e60714e759e76d829bf85cf68 xmlns="D1F5D099-5C52-442F-9819-710F419B277D">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kda1bb0e60714e759e76d829bf85cf68>
    <EC_ARES_TRANSFERRED_BY xmlns="D1F5D099-5C52-442F-9819-710F419B277D" xsi:nil="true"/>
    <EC_ARES_DATE_TRANSFERRED xmlns="D1F5D099-5C52-442F-9819-710F419B277D" xsi:nil="true"/>
    <TaxCatchAll xmlns="02ebb043-5898-4877-8c1f-28652c7a58c8"/>
    <TranslationStateListUrl xmlns="http://schemas.microsoft.com/sharepoint/v3">
      <Url xsi:nil="true"/>
      <Description xsi:nil="true"/>
    </TranslationStateListUrl>
    <pc1cb72997644c168a67816bee9648ad xmlns="02ebb043-5898-4877-8c1f-28652c7a58c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pc1cb72997644c168a67816bee9648ad>
    <i65add8783a54065a8ae717033658b9b xmlns="02ebb043-5898-4877-8c1f-28652c7a58c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i65add8783a54065a8ae717033658b9b>
    <EC_Collab_DocumentLanguage xmlns="D1F5D099-5C52-442F-9819-710F419B277D">EN</EC_Collab_DocumentLanguage>
    <_dlc_ExpireDateSaved xmlns="http://schemas.microsoft.com/sharepoint/v3" xsi:nil="true"/>
    <_dlc_ExpireDate xmlns="http://schemas.microsoft.com/sharepoint/v3">2022-12-10T18:49:36+00:00</_dlc_ExpireDate>
    <_dlc_DocId xmlns="02ebb043-5898-4877-8c1f-28652c7a58c8">KUAXY5MF5DVP-1185003763-34</_dlc_DocId>
    <_dlc_DocIdUrl xmlns="02ebb043-5898-4877-8c1f-28652c7a58c8">
      <Url>https://myintracomm-collab.ec.europa.eu/dg/FISMA/A/A1/_layouts/15/DocIdRedir.aspx?ID=KUAXY5MF5DVP-1185003763-34</Url>
      <Description>KUAXY5MF5DVP-1185003763-34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BB08D564926E4C4C808B85F147438812" ma:contentTypeVersion="21" ma:contentTypeDescription="Create a new document in this library." ma:contentTypeScope="" ma:versionID="18d20772e5e4ef37642f5dce150b3218">
  <xsd:schema xmlns:xsd="http://www.w3.org/2001/XMLSchema" xmlns:xs="http://www.w3.org/2001/XMLSchema" xmlns:p="http://schemas.microsoft.com/office/2006/metadata/properties" xmlns:ns1="http://schemas.microsoft.com/sharepoint/v3" xmlns:ns3="D1F5D099-5C52-442F-9819-710F419B277D" xmlns:ns4="02ebb043-5898-4877-8c1f-28652c7a58c8" xmlns:ns5="d1f5d099-5c52-442f-9819-710f419b277d" targetNamespace="http://schemas.microsoft.com/office/2006/metadata/properties" ma:root="true" ma:fieldsID="43cff641b87c4428cc8637603db83e53" ns1:_="" ns3:_="" ns4:_="" ns5:_="">
    <xsd:import namespace="http://schemas.microsoft.com/sharepoint/v3"/>
    <xsd:import namespace="D1F5D099-5C52-442F-9819-710F419B277D"/>
    <xsd:import namespace="02ebb043-5898-4877-8c1f-28652c7a58c8"/>
    <xsd:import namespace="d1f5d099-5c52-442f-9819-710f419b277d"/>
    <xsd:element name="properties">
      <xsd:complexType>
        <xsd:sequence>
          <xsd:element name="documentManagement">
            <xsd:complexType>
              <xsd:all>
                <xsd:element ref="ns3:EC_Collab_DocumentLanguage"/>
                <xsd:element ref="ns3:EC_ARES_NUMBER" minOccurs="0"/>
                <xsd:element ref="ns3:EC_ARES_DATE_TRANSFERRED" minOccurs="0"/>
                <xsd:element ref="ns3:EC_ARES_TRANSFERRED_BY" minOccurs="0"/>
                <xsd:element ref="ns3:kda1bb0e60714e759e76d829bf85cf68" minOccurs="0"/>
                <xsd:element ref="ns4:TaxCatchAll" minOccurs="0"/>
                <xsd:element ref="ns4:pc1cb72997644c168a67816bee9648ad" minOccurs="0"/>
                <xsd:element ref="ns4:i65add8783a54065a8ae717033658b9b" minOccurs="0"/>
                <xsd:element ref="ns3:b2e4566d1cfc4e6eb55a8bd63695e673" minOccurs="0"/>
                <xsd:element ref="ns4:_dlc_DocId" minOccurs="0"/>
                <xsd:element ref="ns4:_dlc_DocIdUrl" minOccurs="0"/>
                <xsd:element ref="ns4:_dlc_DocIdPersistId" minOccurs="0"/>
                <xsd:element ref="ns1:TranslationStateListUrl" minOccurs="0"/>
                <xsd:element ref="ns5:Notify_x0020_users_x0020_50_x0020_versions_x0020_recorded_x0020_in_x0020_Financial_x0020_Service_x0020_Policy"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ListUrl" ma:index="27" nillable="true" ma:displayName="List Link" ma:hidden="true" ma:internalName="TranslationStateList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Exempt" ma:index="31" nillable="true" ma:displayName="Exempt from Policy" ma:hidden="true" ma:internalName="_dlc_Exempt" ma:readOnly="true">
      <xsd:simpleType>
        <xsd:restriction base="dms:Unknown"/>
      </xsd:simpleType>
    </xsd:element>
    <xsd:element name="_dlc_ExpireDateSaved" ma:index="32" nillable="true" ma:displayName="Original Expiration Date" ma:hidden="true" ma:internalName="_dlc_ExpireDateSaved" ma:readOnly="true">
      <xsd:simpleType>
        <xsd:restriction base="dms:DateTime"/>
      </xsd:simpleType>
    </xsd:element>
    <xsd:element name="_dlc_ExpireDate" ma:index="33"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1F5D099-5C52-442F-9819-710F419B277D" elementFormDefault="qualified">
    <xsd:import namespace="http://schemas.microsoft.com/office/2006/documentManagement/types"/>
    <xsd:import namespace="http://schemas.microsoft.com/office/infopath/2007/PartnerControls"/>
    <xsd:element name="EC_Collab_DocumentLanguage" ma:index="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ARES_NUMBER" ma:index="9"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0" nillable="true" ma:displayName="Transferred to Ares" ma:format="DateTime" ma:hidden="true" ma:internalName="EC_ARES_DATE_TRANSFERRED">
      <xsd:simpleType>
        <xsd:restriction base="dms:DateTime"/>
      </xsd:simpleType>
    </xsd:element>
    <xsd:element name="EC_ARES_TRANSFERRED_BY" ma:index="11" nillable="true" ma:displayName="Transferred By" ma:hidden="true" ma:internalName="EC_ARES_TRANSFERRED_BY">
      <xsd:simpleType>
        <xsd:restriction base="dms:Text"/>
      </xsd:simpleType>
    </xsd:element>
    <xsd:element name="kda1bb0e60714e759e76d829bf85cf68" ma:index="19" nillable="true" ma:taxonomy="true" ma:internalName="kda1bb0e60714e759e76d829bf85cf68" ma:taxonomyFieldName="Financial_x0020_Regulation" ma:displayName="Financial Regulation" ma:indexed="true" ma:default="" ma:fieldId="{4da1bb0e-6071-4e75-9e76-d829bf85cf68}" ma:sspId="c1588629-5f01-4420-b1c1-1ab4af18d9bf" ma:termSetId="e008b820-acb0-4187-b0ce-76ecc38df2b0" ma:anchorId="00000000-0000-0000-0000-000000000000" ma:open="false" ma:isKeyword="false">
      <xsd:complexType>
        <xsd:sequence>
          <xsd:element ref="pc:Terms" minOccurs="0" maxOccurs="1"/>
        </xsd:sequence>
      </xsd:complexType>
    </xsd:element>
    <xsd:element name="b2e4566d1cfc4e6eb55a8bd63695e673" ma:index="23" nillable="true" ma:taxonomy="true" ma:internalName="b2e4566d1cfc4e6eb55a8bd63695e673" ma:taxonomyFieldName="Confidentiality" ma:displayName="Confidentiality" ma:default="" ma:fieldId="{b2e4566d-1cfc-4e6e-b55a-8bd63695e673}" ma:sspId="c1588629-5f01-4420-b1c1-1ab4af18d9bf" ma:termSetId="875f2d54-a299-447c-8802-ef4aa5a6850b" ma:anchorId="62652adf-f500-423a-8994-bf286ce0c464"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ebb043-5898-4877-8c1f-28652c7a58c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ba4fb2a-9ff3-4ca8-b82e-fd02b4b8326f}" ma:internalName="TaxCatchAll" ma:showField="CatchAllData" ma:web="02ebb043-5898-4877-8c1f-28652c7a58c8">
      <xsd:complexType>
        <xsd:complexContent>
          <xsd:extension base="dms:MultiChoiceLookup">
            <xsd:sequence>
              <xsd:element name="Value" type="dms:Lookup" maxOccurs="unbounded" minOccurs="0" nillable="true"/>
            </xsd:sequence>
          </xsd:extension>
        </xsd:complexContent>
      </xsd:complexType>
    </xsd:element>
    <xsd:element name="pc1cb72997644c168a67816bee9648ad" ma:index="21" nillable="true" ma:taxonomy="true" ma:internalName="pc1cb72997644c168a67816bee9648ad" ma:taxonomyFieldName="Document_x0020_type" ma:displayName="Document type" ma:default="" ma:fieldId="{9c1cb729-9764-4c16-8a67-816bee9648ad}" ma:sspId="c1588629-5f01-4420-b1c1-1ab4af18d9bf" ma:termSetId="875f2d54-a299-447c-8802-ef4aa5a6850b" ma:anchorId="8ec034f4-7394-4efe-9efc-137f6f5c45bd" ma:open="false" ma:isKeyword="false">
      <xsd:complexType>
        <xsd:sequence>
          <xsd:element ref="pc:Terms" minOccurs="0" maxOccurs="1"/>
        </xsd:sequence>
      </xsd:complexType>
    </xsd:element>
    <xsd:element name="i65add8783a54065a8ae717033658b9b" ma:index="22" nillable="true" ma:taxonomy="true" ma:internalName="i65add8783a54065a8ae717033658b9b" ma:taxonomyFieldName="Doc_x0020_Status" ma:displayName="Doc Status" ma:default="" ma:fieldId="{265add87-83a5-4065-a8ae-717033658b9b}" ma:sspId="c1588629-5f01-4420-b1c1-1ab4af18d9bf" ma:termSetId="875f2d54-a299-447c-8802-ef4aa5a6850b" ma:anchorId="ec0a32be-6382-4c35-9ad9-e691aa103528"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1f5d099-5c52-442f-9819-710f419b277d" elementFormDefault="qualified">
    <xsd:import namespace="http://schemas.microsoft.com/office/2006/documentManagement/types"/>
    <xsd:import namespace="http://schemas.microsoft.com/office/infopath/2007/PartnerControls"/>
    <xsd:element name="Notify_x0020_users_x0020_50_x0020_versions_x0020_recorded_x0020_in_x0020_Financial_x0020_Service_x0020_Policy" ma:index="28" nillable="true" ma:displayName="Notify users 50 versions recorded in Financial Service Policy" ma:internalName="Notify_x0020_users_x0020_50_x0020_versions_x0020_recorded_x0020_in_x0020_Financial_x0020_Service_x0020_Policy">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EC Document</p:Name>
  <p:Description>Delete document versions when not modified for more than 6 months and delete documents if not modified for more than 1 year. </p:Description>
  <p:Statement/>
  <p:PolicyItems>
    <p:PolicyItem featureId="Microsoft.Office.RecordsManagement.PolicyFeatures.Expiration" staticId="0x010100258AA79CEB83498886A3A0868112325000BB08D564926E4C4C808B85F147438812|-972186196" UniqueId="6c4f5342-4c2c-4c46-a385-1986e7169e81">
      <p:Name>Retention</p:Name>
      <p:Description>Automatic scheduling of content for processing, and performing a retention action on content that has reached its due date.</p:Description>
      <p:CustomData>
        <Schedules nextStageId="2">
          <Schedule type="Default">
            <stages>
              <data stageId="1" recur="true" offset="6" unit="months">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DeletePreviousVersions"/>
              </data>
            </stages>
          </Schedule>
        </Schedules>
      </p:CustomData>
    </p:PolicyItem>
  </p:PolicyItems>
</p:Policy>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4E5AF-B573-4AEE-A076-420E3FE1E01C}">
  <ds:schemaRefs>
    <ds:schemaRef ds:uri="http://schemas.microsoft.com/office/2006/metadata/customXsn"/>
  </ds:schemaRefs>
</ds:datastoreItem>
</file>

<file path=customXml/itemProps2.xml><?xml version="1.0" encoding="utf-8"?>
<ds:datastoreItem xmlns:ds="http://schemas.openxmlformats.org/officeDocument/2006/customXml" ds:itemID="{63B30B46-A62A-4C39-B091-26CF9F7CE5AF}">
  <ds:schemaRefs>
    <ds:schemaRef ds:uri="http://schemas.microsoft.com/office/2006/metadata/properties"/>
    <ds:schemaRef ds:uri="http://schemas.microsoft.com/office/infopath/2007/PartnerControls"/>
    <ds:schemaRef ds:uri="D1F5D099-5C52-442F-9819-710F419B277D"/>
    <ds:schemaRef ds:uri="d1f5d099-5c52-442f-9819-710f419b277d"/>
    <ds:schemaRef ds:uri="02ebb043-5898-4877-8c1f-28652c7a58c8"/>
    <ds:schemaRef ds:uri="http://schemas.microsoft.com/sharepoint/v3"/>
  </ds:schemaRefs>
</ds:datastoreItem>
</file>

<file path=customXml/itemProps3.xml><?xml version="1.0" encoding="utf-8"?>
<ds:datastoreItem xmlns:ds="http://schemas.openxmlformats.org/officeDocument/2006/customXml" ds:itemID="{00337D3F-23F5-498E-BC96-2592E237B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F5D099-5C52-442F-9819-710F419B277D"/>
    <ds:schemaRef ds:uri="02ebb043-5898-4877-8c1f-28652c7a58c8"/>
    <ds:schemaRef ds:uri="d1f5d099-5c52-442f-9819-710f419b2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CBE7C8-3E33-4429-8A74-EE7B6D1088E1}">
  <ds:schemaRefs>
    <ds:schemaRef ds:uri="http://schemas.microsoft.com/sharepoint/events"/>
  </ds:schemaRefs>
</ds:datastoreItem>
</file>

<file path=customXml/itemProps5.xml><?xml version="1.0" encoding="utf-8"?>
<ds:datastoreItem xmlns:ds="http://schemas.openxmlformats.org/officeDocument/2006/customXml" ds:itemID="{2CA5E640-A234-4958-8828-0E20EF7FA73B}">
  <ds:schemaRefs>
    <ds:schemaRef ds:uri="http://schemas.microsoft.com/sharepoint/v3/contenttype/forms"/>
  </ds:schemaRefs>
</ds:datastoreItem>
</file>

<file path=customXml/itemProps6.xml><?xml version="1.0" encoding="utf-8"?>
<ds:datastoreItem xmlns:ds="http://schemas.openxmlformats.org/officeDocument/2006/customXml" ds:itemID="{C8DAACB8-F981-4D44-A3E3-E0719AFAF9C4}">
  <ds:schemaRefs>
    <ds:schemaRef ds:uri="office.server.policy"/>
  </ds:schemaRefs>
</ds:datastoreItem>
</file>

<file path=customXml/itemProps7.xml><?xml version="1.0" encoding="utf-8"?>
<ds:datastoreItem xmlns:ds="http://schemas.openxmlformats.org/officeDocument/2006/customXml" ds:itemID="{FA0BFE07-36C8-4161-AC55-2FE953CD4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27</Pages>
  <Words>12719</Words>
  <Characters>73137</Characters>
  <Application>Microsoft Office Word</Application>
  <DocSecurity>0</DocSecurity>
  <Lines>1059</Lines>
  <Paragraphs>303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28</cp:revision>
  <cp:lastPrinted>2022-07-14T15:19:00Z</cp:lastPrinted>
  <dcterms:created xsi:type="dcterms:W3CDTF">2022-07-29T09:55:00Z</dcterms:created>
  <dcterms:modified xsi:type="dcterms:W3CDTF">2022-10-03T08:24:00Z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0x010100258AA79CEB83498886A3A0868112325000BB08D564926E4C4C808B85F147438812</vt:lpwstr>
  </property>
  <property fmtid="{D5CDD505-2E9C-101B-9397-08002B2CF9AE}" pid="3" name="_dlc_policyId">
    <vt:lpwstr>0x010100258AA79CEB83498886A3A0868112325000BB08D564926E4C4C808B85F147438812|-972186196</vt:lpwstr>
  </property>
  <property fmtid="{D5CDD505-2E9C-101B-9397-08002B2CF9AE}" pid="4"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y fmtid="{D5CDD505-2E9C-101B-9397-08002B2CF9AE}" pid="5" name="_dlc_DocIdItemGuid">
    <vt:lpwstr>1bfba0e6-3570-47d7-9e22-7befbdcf4091</vt:lpwstr>
  </property>
  <property fmtid="{D5CDD505-2E9C-101B-9397-08002B2CF9AE}" pid="6" name="Document type">
    <vt:lpwstr/>
  </property>
  <property fmtid="{D5CDD505-2E9C-101B-9397-08002B2CF9AE}" pid="7" name="Confidentiality">
    <vt:lpwstr/>
  </property>
  <property fmtid="{D5CDD505-2E9C-101B-9397-08002B2CF9AE}" pid="8" name="Financial Regulation">
    <vt:lpwstr/>
  </property>
  <property fmtid="{D5CDD505-2E9C-101B-9397-08002B2CF9AE}" pid="9" name="Doc Status">
    <vt:lpwstr/>
  </property>
  <property fmtid="{D5CDD505-2E9C-101B-9397-08002B2CF9AE}" pid="10" name="MSIP_Label_6bd9ddd1-4d20-43f6-abfa-fc3c07406f94_Enabled">
    <vt:lpwstr>true</vt:lpwstr>
  </property>
  <property fmtid="{D5CDD505-2E9C-101B-9397-08002B2CF9AE}" pid="11" name="MSIP_Label_6bd9ddd1-4d20-43f6-abfa-fc3c07406f94_SetDate">
    <vt:lpwstr>2022-05-22T18:45:19Z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829ea9bb-8e89-4de7-89e3-1879656f5eb2</vt:lpwstr>
  </property>
  <property fmtid="{D5CDD505-2E9C-101B-9397-08002B2CF9AE}" pid="16" name="MSIP_Label_6bd9ddd1-4d20-43f6-abfa-fc3c07406f94_ContentBits">
    <vt:lpwstr>0</vt:lpwstr>
  </property>
  <property fmtid="{D5CDD505-2E9C-101B-9397-08002B2CF9AE}" pid="17" name="Level of sensitivity">
    <vt:lpwstr>Standard treatment</vt:lpwstr>
  </property>
  <property fmtid="{D5CDD505-2E9C-101B-9397-08002B2CF9AE}" pid="18" name="Part">
    <vt:lpwstr>1</vt:lpwstr>
  </property>
  <property fmtid="{D5CDD505-2E9C-101B-9397-08002B2CF9AE}" pid="19" name="Total parts">
    <vt:lpwstr>1</vt:lpwstr>
  </property>
  <property fmtid="{D5CDD505-2E9C-101B-9397-08002B2CF9AE}" pid="20" name="DocStatus">
    <vt:lpwstr>Green</vt:lpwstr>
  </property>
  <property fmtid="{D5CDD505-2E9C-101B-9397-08002B2CF9AE}" pid="21" name="CPTemplateID">
    <vt:lpwstr>CP-006</vt:lpwstr>
  </property>
  <property fmtid="{D5CDD505-2E9C-101B-9397-08002B2CF9AE}" pid="22" name="Last edited using">
    <vt:lpwstr>LW 8.1, Build 20220902</vt:lpwstr>
  </property>
  <property fmtid="{D5CDD505-2E9C-101B-9397-08002B2CF9AE}" pid="23" name="Created using">
    <vt:lpwstr>LW 8.0, Build 20220128</vt:lpwstr>
  </property>
</Properties>
</file>