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6A30A" w14:textId="182FF661" w:rsidR="006F78EE" w:rsidRPr="003C0D71" w:rsidRDefault="00F94BF3" w:rsidP="00F94BF3">
      <w:pPr>
        <w:pStyle w:val="Pagedecouverture"/>
        <w:rPr>
          <w:noProof/>
        </w:rPr>
      </w:pPr>
      <w:bookmarkStart w:id="0" w:name="LW_BM_COVERPAGE"/>
      <w:r>
        <w:rPr>
          <w:noProof/>
        </w:rPr>
        <w:pict w14:anchorId="74FE0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1F6CDF3A-7868-4AD3-974E-81FA64EB92B2" style="width:455.25pt;height:296.25pt">
            <v:imagedata r:id="rId14" o:title=""/>
          </v:shape>
        </w:pict>
      </w:r>
    </w:p>
    <w:bookmarkEnd w:id="0"/>
    <w:p w14:paraId="08F987EF" w14:textId="77777777" w:rsidR="006F78EE" w:rsidRPr="003C0D71" w:rsidRDefault="006F78EE" w:rsidP="006F78EE">
      <w:pPr>
        <w:rPr>
          <w:noProof/>
        </w:rPr>
        <w:sectPr w:rsidR="006F78EE" w:rsidRPr="003C0D71" w:rsidSect="00F94BF3">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60"/>
        </w:sectPr>
      </w:pPr>
    </w:p>
    <w:p w14:paraId="67E0925F" w14:textId="77777777" w:rsidR="00EB7913" w:rsidRPr="003C0D71" w:rsidRDefault="2603B6C4" w:rsidP="005903EC">
      <w:pPr>
        <w:rPr>
          <w:rFonts w:ascii="Times New Roman" w:hAnsi="Times New Roman" w:cs="Times New Roman"/>
          <w:noProof/>
          <w:sz w:val="40"/>
          <w:szCs w:val="40"/>
        </w:rPr>
      </w:pPr>
      <w:bookmarkStart w:id="1" w:name="_GoBack"/>
      <w:bookmarkEnd w:id="1"/>
      <w:r>
        <w:rPr>
          <w:rFonts w:ascii="Times New Roman" w:hAnsi="Times New Roman"/>
          <w:noProof/>
          <w:sz w:val="40"/>
        </w:rPr>
        <w:lastRenderedPageBreak/>
        <w:t>SPRAWOZDANIE KOMISJI DLA PARLAMENTU EUROPEJSKIEGO I RADY</w:t>
      </w:r>
    </w:p>
    <w:p w14:paraId="2D5C2958" w14:textId="2D5FEF43" w:rsidR="00307B2C" w:rsidRPr="003C0D71" w:rsidRDefault="00346C1E" w:rsidP="005903EC">
      <w:pPr>
        <w:rPr>
          <w:rFonts w:ascii="Times New Roman" w:hAnsi="Times New Roman" w:cs="Times New Roman"/>
          <w:noProof/>
          <w:sz w:val="40"/>
          <w:szCs w:val="40"/>
        </w:rPr>
      </w:pPr>
      <w:r>
        <w:rPr>
          <w:rFonts w:ascii="Times New Roman" w:hAnsi="Times New Roman"/>
          <w:noProof/>
          <w:sz w:val="40"/>
        </w:rPr>
        <w:t>Funkcjonowanie rozporządzenia</w:t>
      </w:r>
      <w:r w:rsidR="001B0DFF">
        <w:rPr>
          <w:rFonts w:ascii="Times New Roman" w:hAnsi="Times New Roman"/>
          <w:noProof/>
          <w:sz w:val="40"/>
        </w:rPr>
        <w:t xml:space="preserve"> w spr</w:t>
      </w:r>
      <w:r>
        <w:rPr>
          <w:rFonts w:ascii="Times New Roman" w:hAnsi="Times New Roman"/>
          <w:noProof/>
          <w:sz w:val="40"/>
        </w:rPr>
        <w:t>awie sekurytyzacji</w:t>
      </w:r>
    </w:p>
    <w:p w14:paraId="43AADED9" w14:textId="77777777" w:rsidR="00664673" w:rsidRPr="003C0D71" w:rsidRDefault="00664673" w:rsidP="00B9203F">
      <w:pPr>
        <w:rPr>
          <w:rFonts w:ascii="Times New Roman" w:hAnsi="Times New Roman" w:cs="Times New Roman"/>
          <w:noProof/>
          <w:sz w:val="40"/>
          <w:szCs w:val="40"/>
        </w:rPr>
      </w:pPr>
    </w:p>
    <w:sdt>
      <w:sdtPr>
        <w:rPr>
          <w:rFonts w:asciiTheme="minorHAnsi" w:eastAsiaTheme="minorHAnsi" w:hAnsiTheme="minorHAnsi" w:cstheme="minorBidi"/>
          <w:noProof/>
          <w:color w:val="auto"/>
          <w:sz w:val="22"/>
          <w:szCs w:val="22"/>
        </w:rPr>
        <w:id w:val="1359091371"/>
        <w:docPartObj>
          <w:docPartGallery w:val="Table of Contents"/>
          <w:docPartUnique/>
        </w:docPartObj>
      </w:sdtPr>
      <w:sdtEndPr>
        <w:rPr>
          <w:b/>
          <w:bCs/>
        </w:rPr>
      </w:sdtEndPr>
      <w:sdtContent>
        <w:p w14:paraId="0D34086C" w14:textId="77777777" w:rsidR="004134D0" w:rsidRPr="003C0D71" w:rsidRDefault="004134D0">
          <w:pPr>
            <w:pStyle w:val="TOCHeading"/>
            <w:rPr>
              <w:rFonts w:ascii="Times New Roman" w:hAnsi="Times New Roman" w:cs="Times New Roman"/>
              <w:noProof/>
              <w:color w:val="auto"/>
            </w:rPr>
          </w:pPr>
          <w:r>
            <w:rPr>
              <w:rFonts w:ascii="Times New Roman" w:hAnsi="Times New Roman"/>
              <w:noProof/>
              <w:color w:val="auto"/>
            </w:rPr>
            <w:t>Spis treści</w:t>
          </w:r>
        </w:p>
        <w:p w14:paraId="3D291397" w14:textId="22D28C0C" w:rsidR="00322CA7" w:rsidRDefault="004134D0">
          <w:pPr>
            <w:pStyle w:val="TOC1"/>
            <w:rPr>
              <w:rFonts w:eastAsiaTheme="minorEastAsia"/>
              <w:noProof/>
              <w:lang w:eastAsia="pl-PL"/>
            </w:rPr>
          </w:pPr>
          <w:r>
            <w:rPr>
              <w:rFonts w:ascii="Times New Roman" w:hAnsi="Times New Roman" w:cs="Times New Roman"/>
              <w:noProof/>
            </w:rPr>
            <w:fldChar w:fldCharType="begin"/>
          </w:r>
          <w:r>
            <w:rPr>
              <w:rFonts w:ascii="Times New Roman" w:hAnsi="Times New Roman" w:cs="Times New Roman"/>
              <w:noProof/>
            </w:rPr>
            <w:instrText xml:space="preserve"> TOC \o "1-2" \h \z \u </w:instrText>
          </w:r>
          <w:r>
            <w:rPr>
              <w:rFonts w:ascii="Times New Roman" w:hAnsi="Times New Roman" w:cs="Times New Roman"/>
              <w:noProof/>
            </w:rPr>
            <w:fldChar w:fldCharType="separate"/>
          </w:r>
          <w:hyperlink w:anchor="_Toc115361584" w:history="1">
            <w:r w:rsidR="00322CA7" w:rsidRPr="000175B9">
              <w:rPr>
                <w:rStyle w:val="Hyperlink"/>
                <w:rFonts w:ascii="Times New Roman" w:hAnsi="Times New Roman" w:cs="Times New Roman"/>
                <w:noProof/>
              </w:rPr>
              <w:t>1.</w:t>
            </w:r>
            <w:r w:rsidR="00322CA7">
              <w:rPr>
                <w:rFonts w:eastAsiaTheme="minorEastAsia"/>
                <w:noProof/>
                <w:lang w:eastAsia="pl-PL"/>
              </w:rPr>
              <w:tab/>
            </w:r>
            <w:r w:rsidR="00322CA7" w:rsidRPr="000175B9">
              <w:rPr>
                <w:rStyle w:val="Hyperlink"/>
                <w:rFonts w:ascii="Times New Roman" w:hAnsi="Times New Roman"/>
                <w:noProof/>
              </w:rPr>
              <w:t>Wprowadzenie</w:t>
            </w:r>
            <w:r w:rsidR="00322CA7">
              <w:rPr>
                <w:noProof/>
                <w:webHidden/>
              </w:rPr>
              <w:tab/>
            </w:r>
            <w:r w:rsidR="00322CA7">
              <w:rPr>
                <w:noProof/>
                <w:webHidden/>
              </w:rPr>
              <w:fldChar w:fldCharType="begin"/>
            </w:r>
            <w:r w:rsidR="00322CA7">
              <w:rPr>
                <w:noProof/>
                <w:webHidden/>
              </w:rPr>
              <w:instrText xml:space="preserve"> PAGEREF _Toc115361584 \h </w:instrText>
            </w:r>
            <w:r w:rsidR="00322CA7">
              <w:rPr>
                <w:noProof/>
                <w:webHidden/>
              </w:rPr>
            </w:r>
            <w:r w:rsidR="00322CA7">
              <w:rPr>
                <w:noProof/>
                <w:webHidden/>
              </w:rPr>
              <w:fldChar w:fldCharType="separate"/>
            </w:r>
            <w:r w:rsidR="00322CA7">
              <w:rPr>
                <w:noProof/>
                <w:webHidden/>
              </w:rPr>
              <w:t>2</w:t>
            </w:r>
            <w:r w:rsidR="00322CA7">
              <w:rPr>
                <w:noProof/>
                <w:webHidden/>
              </w:rPr>
              <w:fldChar w:fldCharType="end"/>
            </w:r>
          </w:hyperlink>
        </w:p>
        <w:p w14:paraId="6BE15FD2" w14:textId="3380DFEE" w:rsidR="00322CA7" w:rsidRDefault="00F94BF3">
          <w:pPr>
            <w:pStyle w:val="TOC1"/>
            <w:rPr>
              <w:rFonts w:eastAsiaTheme="minorEastAsia"/>
              <w:noProof/>
              <w:lang w:eastAsia="pl-PL"/>
            </w:rPr>
          </w:pPr>
          <w:hyperlink w:anchor="_Toc115361585" w:history="1">
            <w:r w:rsidR="00322CA7" w:rsidRPr="000175B9">
              <w:rPr>
                <w:rStyle w:val="Hyperlink"/>
                <w:rFonts w:ascii="Times New Roman" w:hAnsi="Times New Roman" w:cs="Times New Roman"/>
                <w:noProof/>
              </w:rPr>
              <w:t>2.</w:t>
            </w:r>
            <w:r w:rsidR="00322CA7">
              <w:rPr>
                <w:rFonts w:eastAsiaTheme="minorEastAsia"/>
                <w:noProof/>
                <w:lang w:eastAsia="pl-PL"/>
              </w:rPr>
              <w:tab/>
            </w:r>
            <w:r w:rsidR="00322CA7" w:rsidRPr="000175B9">
              <w:rPr>
                <w:rStyle w:val="Hyperlink"/>
                <w:rFonts w:ascii="Times New Roman" w:hAnsi="Times New Roman"/>
                <w:noProof/>
              </w:rPr>
              <w:t>Zmiany na rynku</w:t>
            </w:r>
            <w:r w:rsidR="00322CA7">
              <w:rPr>
                <w:noProof/>
                <w:webHidden/>
              </w:rPr>
              <w:tab/>
            </w:r>
            <w:r w:rsidR="00322CA7">
              <w:rPr>
                <w:noProof/>
                <w:webHidden/>
              </w:rPr>
              <w:fldChar w:fldCharType="begin"/>
            </w:r>
            <w:r w:rsidR="00322CA7">
              <w:rPr>
                <w:noProof/>
                <w:webHidden/>
              </w:rPr>
              <w:instrText xml:space="preserve"> PAGEREF _Toc115361585 \h </w:instrText>
            </w:r>
            <w:r w:rsidR="00322CA7">
              <w:rPr>
                <w:noProof/>
                <w:webHidden/>
              </w:rPr>
            </w:r>
            <w:r w:rsidR="00322CA7">
              <w:rPr>
                <w:noProof/>
                <w:webHidden/>
              </w:rPr>
              <w:fldChar w:fldCharType="separate"/>
            </w:r>
            <w:r w:rsidR="00322CA7">
              <w:rPr>
                <w:noProof/>
                <w:webHidden/>
              </w:rPr>
              <w:t>5</w:t>
            </w:r>
            <w:r w:rsidR="00322CA7">
              <w:rPr>
                <w:noProof/>
                <w:webHidden/>
              </w:rPr>
              <w:fldChar w:fldCharType="end"/>
            </w:r>
          </w:hyperlink>
        </w:p>
        <w:p w14:paraId="4025DE92" w14:textId="5812184F" w:rsidR="00322CA7" w:rsidRDefault="00F94BF3">
          <w:pPr>
            <w:pStyle w:val="TOC1"/>
            <w:rPr>
              <w:rFonts w:eastAsiaTheme="minorEastAsia"/>
              <w:noProof/>
              <w:lang w:eastAsia="pl-PL"/>
            </w:rPr>
          </w:pPr>
          <w:hyperlink w:anchor="_Toc115361586" w:history="1">
            <w:r w:rsidR="00322CA7" w:rsidRPr="000175B9">
              <w:rPr>
                <w:rStyle w:val="Hyperlink"/>
                <w:rFonts w:ascii="Times New Roman" w:hAnsi="Times New Roman" w:cs="Times New Roman"/>
                <w:noProof/>
              </w:rPr>
              <w:t>3.</w:t>
            </w:r>
            <w:r w:rsidR="00322CA7">
              <w:rPr>
                <w:rFonts w:eastAsiaTheme="minorEastAsia"/>
                <w:noProof/>
                <w:lang w:eastAsia="pl-PL"/>
              </w:rPr>
              <w:tab/>
            </w:r>
            <w:r w:rsidR="00322CA7" w:rsidRPr="000175B9">
              <w:rPr>
                <w:rStyle w:val="Hyperlink"/>
                <w:rFonts w:ascii="Times New Roman" w:hAnsi="Times New Roman"/>
                <w:noProof/>
              </w:rPr>
              <w:t>Skutki rozporządzenia</w:t>
            </w:r>
            <w:r w:rsidR="00322CA7">
              <w:rPr>
                <w:noProof/>
                <w:webHidden/>
              </w:rPr>
              <w:tab/>
            </w:r>
            <w:r w:rsidR="00322CA7">
              <w:rPr>
                <w:noProof/>
                <w:webHidden/>
              </w:rPr>
              <w:fldChar w:fldCharType="begin"/>
            </w:r>
            <w:r w:rsidR="00322CA7">
              <w:rPr>
                <w:noProof/>
                <w:webHidden/>
              </w:rPr>
              <w:instrText xml:space="preserve"> PAGEREF _Toc115361586 \h </w:instrText>
            </w:r>
            <w:r w:rsidR="00322CA7">
              <w:rPr>
                <w:noProof/>
                <w:webHidden/>
              </w:rPr>
            </w:r>
            <w:r w:rsidR="00322CA7">
              <w:rPr>
                <w:noProof/>
                <w:webHidden/>
              </w:rPr>
              <w:fldChar w:fldCharType="separate"/>
            </w:r>
            <w:r w:rsidR="00322CA7">
              <w:rPr>
                <w:noProof/>
                <w:webHidden/>
              </w:rPr>
              <w:t>6</w:t>
            </w:r>
            <w:r w:rsidR="00322CA7">
              <w:rPr>
                <w:noProof/>
                <w:webHidden/>
              </w:rPr>
              <w:fldChar w:fldCharType="end"/>
            </w:r>
          </w:hyperlink>
        </w:p>
        <w:p w14:paraId="07D85472" w14:textId="6C6D865A" w:rsidR="00322CA7" w:rsidRDefault="00F94BF3">
          <w:pPr>
            <w:pStyle w:val="TOC1"/>
            <w:rPr>
              <w:rFonts w:eastAsiaTheme="minorEastAsia"/>
              <w:noProof/>
              <w:lang w:eastAsia="pl-PL"/>
            </w:rPr>
          </w:pPr>
          <w:hyperlink w:anchor="_Toc115361587" w:history="1">
            <w:r w:rsidR="00322CA7" w:rsidRPr="000175B9">
              <w:rPr>
                <w:rStyle w:val="Hyperlink"/>
                <w:rFonts w:ascii="Times New Roman" w:hAnsi="Times New Roman" w:cs="Times New Roman"/>
                <w:noProof/>
              </w:rPr>
              <w:t>4.</w:t>
            </w:r>
            <w:r w:rsidR="00322CA7">
              <w:rPr>
                <w:rFonts w:eastAsiaTheme="minorEastAsia"/>
                <w:noProof/>
                <w:lang w:eastAsia="pl-PL"/>
              </w:rPr>
              <w:tab/>
            </w:r>
            <w:r w:rsidR="00322CA7" w:rsidRPr="000175B9">
              <w:rPr>
                <w:rStyle w:val="Hyperlink"/>
                <w:rFonts w:ascii="Times New Roman" w:hAnsi="Times New Roman"/>
                <w:noProof/>
              </w:rPr>
              <w:t>Zatrzymanie ryzyka</w:t>
            </w:r>
            <w:r w:rsidR="00322CA7">
              <w:rPr>
                <w:noProof/>
                <w:webHidden/>
              </w:rPr>
              <w:tab/>
            </w:r>
            <w:r w:rsidR="00322CA7">
              <w:rPr>
                <w:noProof/>
                <w:webHidden/>
              </w:rPr>
              <w:fldChar w:fldCharType="begin"/>
            </w:r>
            <w:r w:rsidR="00322CA7">
              <w:rPr>
                <w:noProof/>
                <w:webHidden/>
              </w:rPr>
              <w:instrText xml:space="preserve"> PAGEREF _Toc115361587 \h </w:instrText>
            </w:r>
            <w:r w:rsidR="00322CA7">
              <w:rPr>
                <w:noProof/>
                <w:webHidden/>
              </w:rPr>
            </w:r>
            <w:r w:rsidR="00322CA7">
              <w:rPr>
                <w:noProof/>
                <w:webHidden/>
              </w:rPr>
              <w:fldChar w:fldCharType="separate"/>
            </w:r>
            <w:r w:rsidR="00322CA7">
              <w:rPr>
                <w:noProof/>
                <w:webHidden/>
              </w:rPr>
              <w:t>8</w:t>
            </w:r>
            <w:r w:rsidR="00322CA7">
              <w:rPr>
                <w:noProof/>
                <w:webHidden/>
              </w:rPr>
              <w:fldChar w:fldCharType="end"/>
            </w:r>
          </w:hyperlink>
        </w:p>
        <w:p w14:paraId="112C3EE2" w14:textId="6B7D5B4B" w:rsidR="00322CA7" w:rsidRDefault="00F94BF3">
          <w:pPr>
            <w:pStyle w:val="TOC1"/>
            <w:rPr>
              <w:rFonts w:eastAsiaTheme="minorEastAsia"/>
              <w:noProof/>
              <w:lang w:eastAsia="pl-PL"/>
            </w:rPr>
          </w:pPr>
          <w:hyperlink w:anchor="_Toc115361588" w:history="1">
            <w:r w:rsidR="00322CA7" w:rsidRPr="000175B9">
              <w:rPr>
                <w:rStyle w:val="Hyperlink"/>
                <w:rFonts w:ascii="Times New Roman" w:hAnsi="Times New Roman" w:cs="Times New Roman"/>
                <w:noProof/>
              </w:rPr>
              <w:t>5.</w:t>
            </w:r>
            <w:r w:rsidR="00322CA7">
              <w:rPr>
                <w:rFonts w:eastAsiaTheme="minorEastAsia"/>
                <w:noProof/>
                <w:lang w:eastAsia="pl-PL"/>
              </w:rPr>
              <w:tab/>
            </w:r>
            <w:r w:rsidR="00322CA7" w:rsidRPr="000175B9">
              <w:rPr>
                <w:rStyle w:val="Hyperlink"/>
                <w:rFonts w:ascii="Times New Roman" w:hAnsi="Times New Roman"/>
                <w:noProof/>
              </w:rPr>
              <w:t xml:space="preserve">Analiza </w:t>
            </w:r>
            <w:r w:rsidR="00322CA7" w:rsidRPr="000175B9">
              <w:rPr>
                <w:rStyle w:val="Hyperlink"/>
                <w:rFonts w:ascii="Times New Roman" w:hAnsi="Times New Roman"/>
                <w:i/>
                <w:noProof/>
              </w:rPr>
              <w:t>due diligence</w:t>
            </w:r>
            <w:r w:rsidR="00322CA7" w:rsidRPr="000175B9">
              <w:rPr>
                <w:rStyle w:val="Hyperlink"/>
                <w:rFonts w:ascii="Times New Roman" w:hAnsi="Times New Roman"/>
                <w:noProof/>
              </w:rPr>
              <w:t xml:space="preserve"> i przejrzystość</w:t>
            </w:r>
            <w:r w:rsidR="00322CA7">
              <w:rPr>
                <w:noProof/>
                <w:webHidden/>
              </w:rPr>
              <w:tab/>
            </w:r>
            <w:r w:rsidR="00322CA7">
              <w:rPr>
                <w:noProof/>
                <w:webHidden/>
              </w:rPr>
              <w:fldChar w:fldCharType="begin"/>
            </w:r>
            <w:r w:rsidR="00322CA7">
              <w:rPr>
                <w:noProof/>
                <w:webHidden/>
              </w:rPr>
              <w:instrText xml:space="preserve"> PAGEREF _Toc115361588 \h </w:instrText>
            </w:r>
            <w:r w:rsidR="00322CA7">
              <w:rPr>
                <w:noProof/>
                <w:webHidden/>
              </w:rPr>
            </w:r>
            <w:r w:rsidR="00322CA7">
              <w:rPr>
                <w:noProof/>
                <w:webHidden/>
              </w:rPr>
              <w:fldChar w:fldCharType="separate"/>
            </w:r>
            <w:r w:rsidR="00322CA7">
              <w:rPr>
                <w:noProof/>
                <w:webHidden/>
              </w:rPr>
              <w:t>10</w:t>
            </w:r>
            <w:r w:rsidR="00322CA7">
              <w:rPr>
                <w:noProof/>
                <w:webHidden/>
              </w:rPr>
              <w:fldChar w:fldCharType="end"/>
            </w:r>
          </w:hyperlink>
        </w:p>
        <w:p w14:paraId="697510AF" w14:textId="32331379" w:rsidR="00322CA7" w:rsidRDefault="00F94BF3">
          <w:pPr>
            <w:pStyle w:val="TOC1"/>
            <w:rPr>
              <w:rFonts w:eastAsiaTheme="minorEastAsia"/>
              <w:noProof/>
              <w:lang w:eastAsia="pl-PL"/>
            </w:rPr>
          </w:pPr>
          <w:hyperlink w:anchor="_Toc115361589" w:history="1">
            <w:r w:rsidR="00322CA7" w:rsidRPr="000175B9">
              <w:rPr>
                <w:rStyle w:val="Hyperlink"/>
                <w:rFonts w:ascii="Times New Roman" w:hAnsi="Times New Roman" w:cs="Times New Roman"/>
                <w:noProof/>
              </w:rPr>
              <w:t>6.</w:t>
            </w:r>
            <w:r w:rsidR="00322CA7">
              <w:rPr>
                <w:rFonts w:eastAsiaTheme="minorEastAsia"/>
                <w:noProof/>
                <w:lang w:eastAsia="pl-PL"/>
              </w:rPr>
              <w:tab/>
            </w:r>
            <w:r w:rsidR="00322CA7" w:rsidRPr="000175B9">
              <w:rPr>
                <w:rStyle w:val="Hyperlink"/>
                <w:rFonts w:ascii="Times New Roman" w:hAnsi="Times New Roman"/>
                <w:noProof/>
              </w:rPr>
              <w:t>Sekurytyzacje prywatne</w:t>
            </w:r>
            <w:r w:rsidR="00322CA7">
              <w:rPr>
                <w:noProof/>
                <w:webHidden/>
              </w:rPr>
              <w:tab/>
            </w:r>
            <w:r w:rsidR="00322CA7">
              <w:rPr>
                <w:noProof/>
                <w:webHidden/>
              </w:rPr>
              <w:fldChar w:fldCharType="begin"/>
            </w:r>
            <w:r w:rsidR="00322CA7">
              <w:rPr>
                <w:noProof/>
                <w:webHidden/>
              </w:rPr>
              <w:instrText xml:space="preserve"> PAGEREF _Toc115361589 \h </w:instrText>
            </w:r>
            <w:r w:rsidR="00322CA7">
              <w:rPr>
                <w:noProof/>
                <w:webHidden/>
              </w:rPr>
            </w:r>
            <w:r w:rsidR="00322CA7">
              <w:rPr>
                <w:noProof/>
                <w:webHidden/>
              </w:rPr>
              <w:fldChar w:fldCharType="separate"/>
            </w:r>
            <w:r w:rsidR="00322CA7">
              <w:rPr>
                <w:noProof/>
                <w:webHidden/>
              </w:rPr>
              <w:t>11</w:t>
            </w:r>
            <w:r w:rsidR="00322CA7">
              <w:rPr>
                <w:noProof/>
                <w:webHidden/>
              </w:rPr>
              <w:fldChar w:fldCharType="end"/>
            </w:r>
          </w:hyperlink>
        </w:p>
        <w:p w14:paraId="4B0DE656" w14:textId="36CFED82" w:rsidR="00322CA7" w:rsidRDefault="00F94BF3">
          <w:pPr>
            <w:pStyle w:val="TOC2"/>
            <w:tabs>
              <w:tab w:val="right" w:leader="dot" w:pos="9016"/>
            </w:tabs>
            <w:rPr>
              <w:rFonts w:eastAsiaTheme="minorEastAsia"/>
              <w:noProof/>
              <w:lang w:eastAsia="pl-PL"/>
            </w:rPr>
          </w:pPr>
          <w:hyperlink w:anchor="_Toc115361590" w:history="1">
            <w:r w:rsidR="00322CA7" w:rsidRPr="000175B9">
              <w:rPr>
                <w:rStyle w:val="Hyperlink"/>
                <w:rFonts w:ascii="Times New Roman" w:hAnsi="Times New Roman"/>
                <w:noProof/>
              </w:rPr>
              <w:t>6.1 Czy nastąpił nieproporcjonalny wzrost liczby sekurytyzacji prywatnych?</w:t>
            </w:r>
            <w:r w:rsidR="00322CA7">
              <w:rPr>
                <w:noProof/>
                <w:webHidden/>
              </w:rPr>
              <w:tab/>
            </w:r>
            <w:r w:rsidR="00322CA7">
              <w:rPr>
                <w:noProof/>
                <w:webHidden/>
              </w:rPr>
              <w:fldChar w:fldCharType="begin"/>
            </w:r>
            <w:r w:rsidR="00322CA7">
              <w:rPr>
                <w:noProof/>
                <w:webHidden/>
              </w:rPr>
              <w:instrText xml:space="preserve"> PAGEREF _Toc115361590 \h </w:instrText>
            </w:r>
            <w:r w:rsidR="00322CA7">
              <w:rPr>
                <w:noProof/>
                <w:webHidden/>
              </w:rPr>
            </w:r>
            <w:r w:rsidR="00322CA7">
              <w:rPr>
                <w:noProof/>
                <w:webHidden/>
              </w:rPr>
              <w:fldChar w:fldCharType="separate"/>
            </w:r>
            <w:r w:rsidR="00322CA7">
              <w:rPr>
                <w:noProof/>
                <w:webHidden/>
              </w:rPr>
              <w:t>12</w:t>
            </w:r>
            <w:r w:rsidR="00322CA7">
              <w:rPr>
                <w:noProof/>
                <w:webHidden/>
              </w:rPr>
              <w:fldChar w:fldCharType="end"/>
            </w:r>
          </w:hyperlink>
        </w:p>
        <w:p w14:paraId="6F4A4622" w14:textId="5C1746A0" w:rsidR="00322CA7" w:rsidRDefault="00F94BF3">
          <w:pPr>
            <w:pStyle w:val="TOC2"/>
            <w:tabs>
              <w:tab w:val="right" w:leader="dot" w:pos="9016"/>
            </w:tabs>
            <w:rPr>
              <w:rFonts w:eastAsiaTheme="minorEastAsia"/>
              <w:noProof/>
              <w:lang w:eastAsia="pl-PL"/>
            </w:rPr>
          </w:pPr>
          <w:hyperlink w:anchor="_Toc115361591" w:history="1">
            <w:r w:rsidR="00322CA7" w:rsidRPr="000175B9">
              <w:rPr>
                <w:rStyle w:val="Hyperlink"/>
                <w:rFonts w:ascii="Times New Roman" w:hAnsi="Times New Roman"/>
                <w:noProof/>
              </w:rPr>
              <w:t>6.2 Czy inwestorzy i organy nadzoru dysponują wystarczającymi informacjami na temat sekurytyzacji prywatnych?</w:t>
            </w:r>
            <w:r w:rsidR="00322CA7">
              <w:rPr>
                <w:noProof/>
                <w:webHidden/>
              </w:rPr>
              <w:tab/>
            </w:r>
            <w:r w:rsidR="00322CA7">
              <w:rPr>
                <w:noProof/>
                <w:webHidden/>
              </w:rPr>
              <w:fldChar w:fldCharType="begin"/>
            </w:r>
            <w:r w:rsidR="00322CA7">
              <w:rPr>
                <w:noProof/>
                <w:webHidden/>
              </w:rPr>
              <w:instrText xml:space="preserve"> PAGEREF _Toc115361591 \h </w:instrText>
            </w:r>
            <w:r w:rsidR="00322CA7">
              <w:rPr>
                <w:noProof/>
                <w:webHidden/>
              </w:rPr>
            </w:r>
            <w:r w:rsidR="00322CA7">
              <w:rPr>
                <w:noProof/>
                <w:webHidden/>
              </w:rPr>
              <w:fldChar w:fldCharType="separate"/>
            </w:r>
            <w:r w:rsidR="00322CA7">
              <w:rPr>
                <w:noProof/>
                <w:webHidden/>
              </w:rPr>
              <w:t>13</w:t>
            </w:r>
            <w:r w:rsidR="00322CA7">
              <w:rPr>
                <w:noProof/>
                <w:webHidden/>
              </w:rPr>
              <w:fldChar w:fldCharType="end"/>
            </w:r>
          </w:hyperlink>
        </w:p>
        <w:p w14:paraId="0F717ED7" w14:textId="55E69E8B" w:rsidR="00322CA7" w:rsidRDefault="00F94BF3">
          <w:pPr>
            <w:pStyle w:val="TOC2"/>
            <w:tabs>
              <w:tab w:val="right" w:leader="dot" w:pos="9016"/>
            </w:tabs>
            <w:rPr>
              <w:rFonts w:eastAsiaTheme="minorEastAsia"/>
              <w:noProof/>
              <w:lang w:eastAsia="pl-PL"/>
            </w:rPr>
          </w:pPr>
          <w:hyperlink w:anchor="_Toc115361592" w:history="1">
            <w:r w:rsidR="00322CA7" w:rsidRPr="000175B9">
              <w:rPr>
                <w:rStyle w:val="Hyperlink"/>
                <w:rFonts w:ascii="Times New Roman" w:hAnsi="Times New Roman"/>
                <w:noProof/>
              </w:rPr>
              <w:t>6.3 Definicja sekurytyzacji prywatnej</w:t>
            </w:r>
            <w:r w:rsidR="00322CA7">
              <w:rPr>
                <w:noProof/>
                <w:webHidden/>
              </w:rPr>
              <w:tab/>
            </w:r>
            <w:r w:rsidR="00322CA7">
              <w:rPr>
                <w:noProof/>
                <w:webHidden/>
              </w:rPr>
              <w:fldChar w:fldCharType="begin"/>
            </w:r>
            <w:r w:rsidR="00322CA7">
              <w:rPr>
                <w:noProof/>
                <w:webHidden/>
              </w:rPr>
              <w:instrText xml:space="preserve"> PAGEREF _Toc115361592 \h </w:instrText>
            </w:r>
            <w:r w:rsidR="00322CA7">
              <w:rPr>
                <w:noProof/>
                <w:webHidden/>
              </w:rPr>
            </w:r>
            <w:r w:rsidR="00322CA7">
              <w:rPr>
                <w:noProof/>
                <w:webHidden/>
              </w:rPr>
              <w:fldChar w:fldCharType="separate"/>
            </w:r>
            <w:r w:rsidR="00322CA7">
              <w:rPr>
                <w:noProof/>
                <w:webHidden/>
              </w:rPr>
              <w:t>14</w:t>
            </w:r>
            <w:r w:rsidR="00322CA7">
              <w:rPr>
                <w:noProof/>
                <w:webHidden/>
              </w:rPr>
              <w:fldChar w:fldCharType="end"/>
            </w:r>
          </w:hyperlink>
        </w:p>
        <w:p w14:paraId="101BB495" w14:textId="5255A324" w:rsidR="00322CA7" w:rsidRDefault="00F94BF3">
          <w:pPr>
            <w:pStyle w:val="TOC1"/>
            <w:rPr>
              <w:rFonts w:eastAsiaTheme="minorEastAsia"/>
              <w:noProof/>
              <w:lang w:eastAsia="pl-PL"/>
            </w:rPr>
          </w:pPr>
          <w:hyperlink w:anchor="_Toc115361593" w:history="1">
            <w:r w:rsidR="00322CA7" w:rsidRPr="000175B9">
              <w:rPr>
                <w:rStyle w:val="Hyperlink"/>
                <w:rFonts w:ascii="Times New Roman" w:hAnsi="Times New Roman" w:cs="Times New Roman"/>
                <w:noProof/>
              </w:rPr>
              <w:t>7.</w:t>
            </w:r>
            <w:r w:rsidR="00322CA7">
              <w:rPr>
                <w:rFonts w:eastAsiaTheme="minorEastAsia"/>
                <w:noProof/>
                <w:lang w:eastAsia="pl-PL"/>
              </w:rPr>
              <w:tab/>
            </w:r>
            <w:r w:rsidR="00322CA7" w:rsidRPr="000175B9">
              <w:rPr>
                <w:rStyle w:val="Hyperlink"/>
                <w:rFonts w:ascii="Times New Roman" w:hAnsi="Times New Roman"/>
                <w:noProof/>
              </w:rPr>
              <w:t>Równoważność STS</w:t>
            </w:r>
            <w:r w:rsidR="00322CA7">
              <w:rPr>
                <w:noProof/>
                <w:webHidden/>
              </w:rPr>
              <w:tab/>
            </w:r>
            <w:r w:rsidR="00322CA7">
              <w:rPr>
                <w:noProof/>
                <w:webHidden/>
              </w:rPr>
              <w:fldChar w:fldCharType="begin"/>
            </w:r>
            <w:r w:rsidR="00322CA7">
              <w:rPr>
                <w:noProof/>
                <w:webHidden/>
              </w:rPr>
              <w:instrText xml:space="preserve"> PAGEREF _Toc115361593 \h </w:instrText>
            </w:r>
            <w:r w:rsidR="00322CA7">
              <w:rPr>
                <w:noProof/>
                <w:webHidden/>
              </w:rPr>
            </w:r>
            <w:r w:rsidR="00322CA7">
              <w:rPr>
                <w:noProof/>
                <w:webHidden/>
              </w:rPr>
              <w:fldChar w:fldCharType="separate"/>
            </w:r>
            <w:r w:rsidR="00322CA7">
              <w:rPr>
                <w:noProof/>
                <w:webHidden/>
              </w:rPr>
              <w:t>15</w:t>
            </w:r>
            <w:r w:rsidR="00322CA7">
              <w:rPr>
                <w:noProof/>
                <w:webHidden/>
              </w:rPr>
              <w:fldChar w:fldCharType="end"/>
            </w:r>
          </w:hyperlink>
        </w:p>
        <w:p w14:paraId="11EB6DA1" w14:textId="1C7356A2" w:rsidR="00322CA7" w:rsidRDefault="00F94BF3">
          <w:pPr>
            <w:pStyle w:val="TOC1"/>
            <w:rPr>
              <w:rFonts w:eastAsiaTheme="minorEastAsia"/>
              <w:noProof/>
              <w:lang w:eastAsia="pl-PL"/>
            </w:rPr>
          </w:pPr>
          <w:hyperlink w:anchor="_Toc115361594" w:history="1">
            <w:r w:rsidR="00322CA7" w:rsidRPr="000175B9">
              <w:rPr>
                <w:rStyle w:val="Hyperlink"/>
                <w:rFonts w:ascii="Times New Roman" w:hAnsi="Times New Roman" w:cs="Times New Roman"/>
                <w:noProof/>
              </w:rPr>
              <w:t>8.</w:t>
            </w:r>
            <w:r w:rsidR="00322CA7">
              <w:rPr>
                <w:rFonts w:eastAsiaTheme="minorEastAsia"/>
                <w:noProof/>
                <w:lang w:eastAsia="pl-PL"/>
              </w:rPr>
              <w:tab/>
            </w:r>
            <w:r w:rsidR="00322CA7" w:rsidRPr="000175B9">
              <w:rPr>
                <w:rStyle w:val="Hyperlink"/>
                <w:rFonts w:ascii="Times New Roman" w:hAnsi="Times New Roman"/>
                <w:noProof/>
              </w:rPr>
              <w:t>Zrównoważona sekurytyzacja</w:t>
            </w:r>
            <w:r w:rsidR="00322CA7">
              <w:rPr>
                <w:noProof/>
                <w:webHidden/>
              </w:rPr>
              <w:tab/>
            </w:r>
            <w:r w:rsidR="00322CA7">
              <w:rPr>
                <w:noProof/>
                <w:webHidden/>
              </w:rPr>
              <w:fldChar w:fldCharType="begin"/>
            </w:r>
            <w:r w:rsidR="00322CA7">
              <w:rPr>
                <w:noProof/>
                <w:webHidden/>
              </w:rPr>
              <w:instrText xml:space="preserve"> PAGEREF _Toc115361594 \h </w:instrText>
            </w:r>
            <w:r w:rsidR="00322CA7">
              <w:rPr>
                <w:noProof/>
                <w:webHidden/>
              </w:rPr>
            </w:r>
            <w:r w:rsidR="00322CA7">
              <w:rPr>
                <w:noProof/>
                <w:webHidden/>
              </w:rPr>
              <w:fldChar w:fldCharType="separate"/>
            </w:r>
            <w:r w:rsidR="00322CA7">
              <w:rPr>
                <w:noProof/>
                <w:webHidden/>
              </w:rPr>
              <w:t>16</w:t>
            </w:r>
            <w:r w:rsidR="00322CA7">
              <w:rPr>
                <w:noProof/>
                <w:webHidden/>
              </w:rPr>
              <w:fldChar w:fldCharType="end"/>
            </w:r>
          </w:hyperlink>
        </w:p>
        <w:p w14:paraId="0FD9877E" w14:textId="1C54088E" w:rsidR="00322CA7" w:rsidRDefault="00F94BF3">
          <w:pPr>
            <w:pStyle w:val="TOC1"/>
            <w:rPr>
              <w:rFonts w:eastAsiaTheme="minorEastAsia"/>
              <w:noProof/>
              <w:lang w:eastAsia="pl-PL"/>
            </w:rPr>
          </w:pPr>
          <w:hyperlink w:anchor="_Toc115361595" w:history="1">
            <w:r w:rsidR="00322CA7" w:rsidRPr="000175B9">
              <w:rPr>
                <w:rStyle w:val="Hyperlink"/>
                <w:rFonts w:ascii="Times New Roman" w:hAnsi="Times New Roman" w:cs="Times New Roman"/>
                <w:noProof/>
              </w:rPr>
              <w:t>9.</w:t>
            </w:r>
            <w:r w:rsidR="00322CA7">
              <w:rPr>
                <w:rFonts w:eastAsiaTheme="minorEastAsia"/>
                <w:noProof/>
                <w:lang w:eastAsia="pl-PL"/>
              </w:rPr>
              <w:tab/>
            </w:r>
            <w:r w:rsidR="00322CA7" w:rsidRPr="000175B9">
              <w:rPr>
                <w:rStyle w:val="Hyperlink"/>
                <w:rFonts w:ascii="Times New Roman" w:hAnsi="Times New Roman"/>
                <w:noProof/>
              </w:rPr>
              <w:t>Weryfikacja kryteriów STS przez osobę trzecią</w:t>
            </w:r>
            <w:r w:rsidR="00322CA7">
              <w:rPr>
                <w:noProof/>
                <w:webHidden/>
              </w:rPr>
              <w:tab/>
            </w:r>
            <w:r w:rsidR="00322CA7">
              <w:rPr>
                <w:noProof/>
                <w:webHidden/>
              </w:rPr>
              <w:fldChar w:fldCharType="begin"/>
            </w:r>
            <w:r w:rsidR="00322CA7">
              <w:rPr>
                <w:noProof/>
                <w:webHidden/>
              </w:rPr>
              <w:instrText xml:space="preserve"> PAGEREF _Toc115361595 \h </w:instrText>
            </w:r>
            <w:r w:rsidR="00322CA7">
              <w:rPr>
                <w:noProof/>
                <w:webHidden/>
              </w:rPr>
            </w:r>
            <w:r w:rsidR="00322CA7">
              <w:rPr>
                <w:noProof/>
                <w:webHidden/>
              </w:rPr>
              <w:fldChar w:fldCharType="separate"/>
            </w:r>
            <w:r w:rsidR="00322CA7">
              <w:rPr>
                <w:noProof/>
                <w:webHidden/>
              </w:rPr>
              <w:t>19</w:t>
            </w:r>
            <w:r w:rsidR="00322CA7">
              <w:rPr>
                <w:noProof/>
                <w:webHidden/>
              </w:rPr>
              <w:fldChar w:fldCharType="end"/>
            </w:r>
          </w:hyperlink>
        </w:p>
        <w:p w14:paraId="272FA39F" w14:textId="2051B251" w:rsidR="00322CA7" w:rsidRDefault="00F94BF3">
          <w:pPr>
            <w:pStyle w:val="TOC1"/>
            <w:rPr>
              <w:rFonts w:eastAsiaTheme="minorEastAsia"/>
              <w:noProof/>
              <w:lang w:eastAsia="pl-PL"/>
            </w:rPr>
          </w:pPr>
          <w:hyperlink w:anchor="_Toc115361596" w:history="1">
            <w:r w:rsidR="00322CA7" w:rsidRPr="000175B9">
              <w:rPr>
                <w:rStyle w:val="Hyperlink"/>
                <w:rFonts w:ascii="Times New Roman" w:hAnsi="Times New Roman" w:cs="Times New Roman"/>
                <w:noProof/>
              </w:rPr>
              <w:t>10.</w:t>
            </w:r>
            <w:r w:rsidR="00322CA7">
              <w:rPr>
                <w:rFonts w:eastAsiaTheme="minorEastAsia"/>
                <w:noProof/>
                <w:lang w:eastAsia="pl-PL"/>
              </w:rPr>
              <w:tab/>
            </w:r>
            <w:r w:rsidR="00322CA7" w:rsidRPr="000175B9">
              <w:rPr>
                <w:rStyle w:val="Hyperlink"/>
                <w:rFonts w:ascii="Times New Roman" w:hAnsi="Times New Roman"/>
                <w:noProof/>
              </w:rPr>
              <w:t>Jednostki specjalnego przeznaczenia do celów sekurytyzacji (SSPE)</w:t>
            </w:r>
            <w:r w:rsidR="00322CA7">
              <w:rPr>
                <w:noProof/>
                <w:webHidden/>
              </w:rPr>
              <w:tab/>
            </w:r>
            <w:r w:rsidR="00322CA7">
              <w:rPr>
                <w:noProof/>
                <w:webHidden/>
              </w:rPr>
              <w:fldChar w:fldCharType="begin"/>
            </w:r>
            <w:r w:rsidR="00322CA7">
              <w:rPr>
                <w:noProof/>
                <w:webHidden/>
              </w:rPr>
              <w:instrText xml:space="preserve"> PAGEREF _Toc115361596 \h </w:instrText>
            </w:r>
            <w:r w:rsidR="00322CA7">
              <w:rPr>
                <w:noProof/>
                <w:webHidden/>
              </w:rPr>
            </w:r>
            <w:r w:rsidR="00322CA7">
              <w:rPr>
                <w:noProof/>
                <w:webHidden/>
              </w:rPr>
              <w:fldChar w:fldCharType="separate"/>
            </w:r>
            <w:r w:rsidR="00322CA7">
              <w:rPr>
                <w:noProof/>
                <w:webHidden/>
              </w:rPr>
              <w:t>20</w:t>
            </w:r>
            <w:r w:rsidR="00322CA7">
              <w:rPr>
                <w:noProof/>
                <w:webHidden/>
              </w:rPr>
              <w:fldChar w:fldCharType="end"/>
            </w:r>
          </w:hyperlink>
        </w:p>
        <w:p w14:paraId="69A4E31A" w14:textId="32FBE76A" w:rsidR="00322CA7" w:rsidRDefault="00F94BF3">
          <w:pPr>
            <w:pStyle w:val="TOC1"/>
            <w:rPr>
              <w:rFonts w:eastAsiaTheme="minorEastAsia"/>
              <w:noProof/>
              <w:lang w:eastAsia="pl-PL"/>
            </w:rPr>
          </w:pPr>
          <w:hyperlink w:anchor="_Toc115361597" w:history="1">
            <w:r w:rsidR="00322CA7" w:rsidRPr="000175B9">
              <w:rPr>
                <w:rStyle w:val="Hyperlink"/>
                <w:rFonts w:ascii="Times New Roman" w:eastAsia="Times New Roman" w:hAnsi="Times New Roman" w:cs="Times New Roman"/>
                <w:noProof/>
              </w:rPr>
              <w:t>11.</w:t>
            </w:r>
            <w:r w:rsidR="00322CA7">
              <w:rPr>
                <w:rFonts w:eastAsiaTheme="minorEastAsia"/>
                <w:noProof/>
                <w:lang w:eastAsia="pl-PL"/>
              </w:rPr>
              <w:tab/>
            </w:r>
            <w:r w:rsidR="00322CA7" w:rsidRPr="000175B9">
              <w:rPr>
                <w:rStyle w:val="Hyperlink"/>
                <w:rFonts w:ascii="Times New Roman" w:hAnsi="Times New Roman"/>
                <w:noProof/>
              </w:rPr>
              <w:t>Zakres jurysdykcji</w:t>
            </w:r>
            <w:r w:rsidR="00322CA7">
              <w:rPr>
                <w:noProof/>
                <w:webHidden/>
              </w:rPr>
              <w:tab/>
            </w:r>
            <w:r w:rsidR="00322CA7">
              <w:rPr>
                <w:noProof/>
                <w:webHidden/>
              </w:rPr>
              <w:fldChar w:fldCharType="begin"/>
            </w:r>
            <w:r w:rsidR="00322CA7">
              <w:rPr>
                <w:noProof/>
                <w:webHidden/>
              </w:rPr>
              <w:instrText xml:space="preserve"> PAGEREF _Toc115361597 \h </w:instrText>
            </w:r>
            <w:r w:rsidR="00322CA7">
              <w:rPr>
                <w:noProof/>
                <w:webHidden/>
              </w:rPr>
            </w:r>
            <w:r w:rsidR="00322CA7">
              <w:rPr>
                <w:noProof/>
                <w:webHidden/>
              </w:rPr>
              <w:fldChar w:fldCharType="separate"/>
            </w:r>
            <w:r w:rsidR="00322CA7">
              <w:rPr>
                <w:noProof/>
                <w:webHidden/>
              </w:rPr>
              <w:t>21</w:t>
            </w:r>
            <w:r w:rsidR="00322CA7">
              <w:rPr>
                <w:noProof/>
                <w:webHidden/>
              </w:rPr>
              <w:fldChar w:fldCharType="end"/>
            </w:r>
          </w:hyperlink>
        </w:p>
        <w:p w14:paraId="75A93C33" w14:textId="6901B438" w:rsidR="00322CA7" w:rsidRDefault="00F94BF3">
          <w:pPr>
            <w:pStyle w:val="TOC2"/>
            <w:tabs>
              <w:tab w:val="right" w:leader="dot" w:pos="9016"/>
            </w:tabs>
            <w:rPr>
              <w:rFonts w:eastAsiaTheme="minorEastAsia"/>
              <w:noProof/>
              <w:lang w:eastAsia="pl-PL"/>
            </w:rPr>
          </w:pPr>
          <w:hyperlink w:anchor="_Toc115361598" w:history="1">
            <w:r w:rsidR="00322CA7" w:rsidRPr="000175B9">
              <w:rPr>
                <w:rStyle w:val="Hyperlink"/>
                <w:rFonts w:ascii="Times New Roman" w:hAnsi="Times New Roman"/>
                <w:noProof/>
              </w:rPr>
              <w:t>11.1 Obowiązki strony sprzedającej</w:t>
            </w:r>
            <w:r w:rsidR="00322CA7">
              <w:rPr>
                <w:noProof/>
                <w:webHidden/>
              </w:rPr>
              <w:tab/>
            </w:r>
            <w:r w:rsidR="00322CA7">
              <w:rPr>
                <w:noProof/>
                <w:webHidden/>
              </w:rPr>
              <w:fldChar w:fldCharType="begin"/>
            </w:r>
            <w:r w:rsidR="00322CA7">
              <w:rPr>
                <w:noProof/>
                <w:webHidden/>
              </w:rPr>
              <w:instrText xml:space="preserve"> PAGEREF _Toc115361598 \h </w:instrText>
            </w:r>
            <w:r w:rsidR="00322CA7">
              <w:rPr>
                <w:noProof/>
                <w:webHidden/>
              </w:rPr>
            </w:r>
            <w:r w:rsidR="00322CA7">
              <w:rPr>
                <w:noProof/>
                <w:webHidden/>
              </w:rPr>
              <w:fldChar w:fldCharType="separate"/>
            </w:r>
            <w:r w:rsidR="00322CA7">
              <w:rPr>
                <w:noProof/>
                <w:webHidden/>
              </w:rPr>
              <w:t>21</w:t>
            </w:r>
            <w:r w:rsidR="00322CA7">
              <w:rPr>
                <w:noProof/>
                <w:webHidden/>
              </w:rPr>
              <w:fldChar w:fldCharType="end"/>
            </w:r>
          </w:hyperlink>
        </w:p>
        <w:p w14:paraId="787775F9" w14:textId="45F450C0" w:rsidR="00322CA7" w:rsidRDefault="00F94BF3">
          <w:pPr>
            <w:pStyle w:val="TOC2"/>
            <w:tabs>
              <w:tab w:val="right" w:leader="dot" w:pos="9016"/>
            </w:tabs>
            <w:rPr>
              <w:rFonts w:eastAsiaTheme="minorEastAsia"/>
              <w:noProof/>
              <w:lang w:eastAsia="pl-PL"/>
            </w:rPr>
          </w:pPr>
          <w:hyperlink w:anchor="_Toc115361599" w:history="1">
            <w:r w:rsidR="00322CA7" w:rsidRPr="000175B9">
              <w:rPr>
                <w:rStyle w:val="Hyperlink"/>
                <w:rFonts w:ascii="Times New Roman" w:hAnsi="Times New Roman"/>
                <w:noProof/>
              </w:rPr>
              <w:t>11.2 Obowiązki strony kupującej – dostępność ujawnionych informacji</w:t>
            </w:r>
            <w:r w:rsidR="00322CA7">
              <w:rPr>
                <w:noProof/>
                <w:webHidden/>
              </w:rPr>
              <w:tab/>
            </w:r>
            <w:r w:rsidR="00322CA7">
              <w:rPr>
                <w:noProof/>
                <w:webHidden/>
              </w:rPr>
              <w:fldChar w:fldCharType="begin"/>
            </w:r>
            <w:r w:rsidR="00322CA7">
              <w:rPr>
                <w:noProof/>
                <w:webHidden/>
              </w:rPr>
              <w:instrText xml:space="preserve"> PAGEREF _Toc115361599 \h </w:instrText>
            </w:r>
            <w:r w:rsidR="00322CA7">
              <w:rPr>
                <w:noProof/>
                <w:webHidden/>
              </w:rPr>
            </w:r>
            <w:r w:rsidR="00322CA7">
              <w:rPr>
                <w:noProof/>
                <w:webHidden/>
              </w:rPr>
              <w:fldChar w:fldCharType="separate"/>
            </w:r>
            <w:r w:rsidR="00322CA7">
              <w:rPr>
                <w:noProof/>
                <w:webHidden/>
              </w:rPr>
              <w:t>23</w:t>
            </w:r>
            <w:r w:rsidR="00322CA7">
              <w:rPr>
                <w:noProof/>
                <w:webHidden/>
              </w:rPr>
              <w:fldChar w:fldCharType="end"/>
            </w:r>
          </w:hyperlink>
        </w:p>
        <w:p w14:paraId="19F5BEA1" w14:textId="1D86471F" w:rsidR="00322CA7" w:rsidRDefault="00F94BF3">
          <w:pPr>
            <w:pStyle w:val="TOC2"/>
            <w:tabs>
              <w:tab w:val="right" w:leader="dot" w:pos="9016"/>
            </w:tabs>
            <w:rPr>
              <w:rFonts w:eastAsiaTheme="minorEastAsia"/>
              <w:noProof/>
              <w:lang w:eastAsia="pl-PL"/>
            </w:rPr>
          </w:pPr>
          <w:hyperlink w:anchor="_Toc115361600" w:history="1">
            <w:r w:rsidR="00322CA7" w:rsidRPr="000175B9">
              <w:rPr>
                <w:rStyle w:val="Hyperlink"/>
                <w:rFonts w:ascii="Times New Roman" w:hAnsi="Times New Roman"/>
                <w:noProof/>
              </w:rPr>
              <w:t>11.3 Obowiązki strony kupującej – inwestorzy ZAFI</w:t>
            </w:r>
            <w:r w:rsidR="00322CA7">
              <w:rPr>
                <w:noProof/>
                <w:webHidden/>
              </w:rPr>
              <w:tab/>
            </w:r>
            <w:r w:rsidR="00322CA7">
              <w:rPr>
                <w:noProof/>
                <w:webHidden/>
              </w:rPr>
              <w:fldChar w:fldCharType="begin"/>
            </w:r>
            <w:r w:rsidR="00322CA7">
              <w:rPr>
                <w:noProof/>
                <w:webHidden/>
              </w:rPr>
              <w:instrText xml:space="preserve"> PAGEREF _Toc115361600 \h </w:instrText>
            </w:r>
            <w:r w:rsidR="00322CA7">
              <w:rPr>
                <w:noProof/>
                <w:webHidden/>
              </w:rPr>
            </w:r>
            <w:r w:rsidR="00322CA7">
              <w:rPr>
                <w:noProof/>
                <w:webHidden/>
              </w:rPr>
              <w:fldChar w:fldCharType="separate"/>
            </w:r>
            <w:r w:rsidR="00322CA7">
              <w:rPr>
                <w:noProof/>
                <w:webHidden/>
              </w:rPr>
              <w:t>25</w:t>
            </w:r>
            <w:r w:rsidR="00322CA7">
              <w:rPr>
                <w:noProof/>
                <w:webHidden/>
              </w:rPr>
              <w:fldChar w:fldCharType="end"/>
            </w:r>
          </w:hyperlink>
        </w:p>
        <w:p w14:paraId="039EF2FE" w14:textId="29A80D1B" w:rsidR="00322CA7" w:rsidRDefault="00F94BF3">
          <w:pPr>
            <w:pStyle w:val="TOC1"/>
            <w:rPr>
              <w:rFonts w:eastAsiaTheme="minorEastAsia"/>
              <w:noProof/>
              <w:lang w:eastAsia="pl-PL"/>
            </w:rPr>
          </w:pPr>
          <w:hyperlink w:anchor="_Toc115361601" w:history="1">
            <w:r w:rsidR="00322CA7" w:rsidRPr="000175B9">
              <w:rPr>
                <w:rStyle w:val="Hyperlink"/>
                <w:rFonts w:ascii="Times New Roman" w:hAnsi="Times New Roman"/>
                <w:noProof/>
              </w:rPr>
              <w:t>12. Nadzór nad sekurytyzacją</w:t>
            </w:r>
            <w:r w:rsidR="00322CA7">
              <w:rPr>
                <w:noProof/>
                <w:webHidden/>
              </w:rPr>
              <w:tab/>
            </w:r>
            <w:r w:rsidR="00322CA7">
              <w:rPr>
                <w:noProof/>
                <w:webHidden/>
              </w:rPr>
              <w:fldChar w:fldCharType="begin"/>
            </w:r>
            <w:r w:rsidR="00322CA7">
              <w:rPr>
                <w:noProof/>
                <w:webHidden/>
              </w:rPr>
              <w:instrText xml:space="preserve"> PAGEREF _Toc115361601 \h </w:instrText>
            </w:r>
            <w:r w:rsidR="00322CA7">
              <w:rPr>
                <w:noProof/>
                <w:webHidden/>
              </w:rPr>
            </w:r>
            <w:r w:rsidR="00322CA7">
              <w:rPr>
                <w:noProof/>
                <w:webHidden/>
              </w:rPr>
              <w:fldChar w:fldCharType="separate"/>
            </w:r>
            <w:r w:rsidR="00322CA7">
              <w:rPr>
                <w:noProof/>
                <w:webHidden/>
              </w:rPr>
              <w:t>26</w:t>
            </w:r>
            <w:r w:rsidR="00322CA7">
              <w:rPr>
                <w:noProof/>
                <w:webHidden/>
              </w:rPr>
              <w:fldChar w:fldCharType="end"/>
            </w:r>
          </w:hyperlink>
        </w:p>
        <w:p w14:paraId="03DCBF36" w14:textId="5775F3FF" w:rsidR="00322CA7" w:rsidRDefault="00F94BF3">
          <w:pPr>
            <w:pStyle w:val="TOC1"/>
            <w:rPr>
              <w:rFonts w:eastAsiaTheme="minorEastAsia"/>
              <w:noProof/>
              <w:lang w:eastAsia="pl-PL"/>
            </w:rPr>
          </w:pPr>
          <w:hyperlink w:anchor="_Toc115361602" w:history="1">
            <w:r w:rsidR="00322CA7" w:rsidRPr="000175B9">
              <w:rPr>
                <w:rStyle w:val="Hyperlink"/>
                <w:rFonts w:ascii="Times New Roman" w:hAnsi="Times New Roman"/>
                <w:noProof/>
              </w:rPr>
              <w:t>13. Ostrożnościowe podejście do sekurytyzacji</w:t>
            </w:r>
            <w:r w:rsidR="00322CA7">
              <w:rPr>
                <w:noProof/>
                <w:webHidden/>
              </w:rPr>
              <w:tab/>
            </w:r>
            <w:r w:rsidR="00322CA7">
              <w:rPr>
                <w:noProof/>
                <w:webHidden/>
              </w:rPr>
              <w:fldChar w:fldCharType="begin"/>
            </w:r>
            <w:r w:rsidR="00322CA7">
              <w:rPr>
                <w:noProof/>
                <w:webHidden/>
              </w:rPr>
              <w:instrText xml:space="preserve"> PAGEREF _Toc115361602 \h </w:instrText>
            </w:r>
            <w:r w:rsidR="00322CA7">
              <w:rPr>
                <w:noProof/>
                <w:webHidden/>
              </w:rPr>
            </w:r>
            <w:r w:rsidR="00322CA7">
              <w:rPr>
                <w:noProof/>
                <w:webHidden/>
              </w:rPr>
              <w:fldChar w:fldCharType="separate"/>
            </w:r>
            <w:r w:rsidR="00322CA7">
              <w:rPr>
                <w:noProof/>
                <w:webHidden/>
              </w:rPr>
              <w:t>28</w:t>
            </w:r>
            <w:r w:rsidR="00322CA7">
              <w:rPr>
                <w:noProof/>
                <w:webHidden/>
              </w:rPr>
              <w:fldChar w:fldCharType="end"/>
            </w:r>
          </w:hyperlink>
        </w:p>
        <w:p w14:paraId="46A0324A" w14:textId="0970E37F" w:rsidR="00322CA7" w:rsidRDefault="00F94BF3">
          <w:pPr>
            <w:pStyle w:val="TOC1"/>
            <w:rPr>
              <w:rFonts w:eastAsiaTheme="minorEastAsia"/>
              <w:noProof/>
              <w:lang w:eastAsia="pl-PL"/>
            </w:rPr>
          </w:pPr>
          <w:hyperlink w:anchor="_Toc115361603" w:history="1">
            <w:r w:rsidR="00322CA7" w:rsidRPr="000175B9">
              <w:rPr>
                <w:rStyle w:val="Hyperlink"/>
                <w:rFonts w:ascii="Times New Roman" w:hAnsi="Times New Roman"/>
                <w:noProof/>
              </w:rPr>
              <w:t>14. Wnioski</w:t>
            </w:r>
            <w:r w:rsidR="00322CA7">
              <w:rPr>
                <w:noProof/>
                <w:webHidden/>
              </w:rPr>
              <w:tab/>
            </w:r>
            <w:r w:rsidR="00322CA7">
              <w:rPr>
                <w:noProof/>
                <w:webHidden/>
              </w:rPr>
              <w:fldChar w:fldCharType="begin"/>
            </w:r>
            <w:r w:rsidR="00322CA7">
              <w:rPr>
                <w:noProof/>
                <w:webHidden/>
              </w:rPr>
              <w:instrText xml:space="preserve"> PAGEREF _Toc115361603 \h </w:instrText>
            </w:r>
            <w:r w:rsidR="00322CA7">
              <w:rPr>
                <w:noProof/>
                <w:webHidden/>
              </w:rPr>
            </w:r>
            <w:r w:rsidR="00322CA7">
              <w:rPr>
                <w:noProof/>
                <w:webHidden/>
              </w:rPr>
              <w:fldChar w:fldCharType="separate"/>
            </w:r>
            <w:r w:rsidR="00322CA7">
              <w:rPr>
                <w:noProof/>
                <w:webHidden/>
              </w:rPr>
              <w:t>29</w:t>
            </w:r>
            <w:r w:rsidR="00322CA7">
              <w:rPr>
                <w:noProof/>
                <w:webHidden/>
              </w:rPr>
              <w:fldChar w:fldCharType="end"/>
            </w:r>
          </w:hyperlink>
        </w:p>
        <w:p w14:paraId="1FA6D74C" w14:textId="0E61132B" w:rsidR="004134D0" w:rsidRPr="003C0D71" w:rsidRDefault="004134D0">
          <w:pPr>
            <w:rPr>
              <w:noProof/>
            </w:rPr>
          </w:pPr>
          <w:r>
            <w:rPr>
              <w:rFonts w:ascii="Times New Roman" w:hAnsi="Times New Roman" w:cs="Times New Roman"/>
              <w:noProof/>
            </w:rPr>
            <w:fldChar w:fldCharType="end"/>
          </w:r>
        </w:p>
      </w:sdtContent>
    </w:sdt>
    <w:p w14:paraId="5E9E5274" w14:textId="77777777" w:rsidR="0053752A" w:rsidRPr="003C0D71" w:rsidRDefault="0053752A">
      <w:pPr>
        <w:rPr>
          <w:rFonts w:ascii="Times New Roman" w:eastAsiaTheme="majorEastAsia" w:hAnsi="Times New Roman" w:cs="Times New Roman"/>
          <w:noProof/>
          <w:sz w:val="32"/>
          <w:szCs w:val="32"/>
        </w:rPr>
      </w:pPr>
      <w:r>
        <w:rPr>
          <w:noProof/>
        </w:rPr>
        <w:br w:type="page"/>
      </w:r>
    </w:p>
    <w:p w14:paraId="7ACE0FCB" w14:textId="77777777" w:rsidR="00FA0965" w:rsidRPr="003C0D71" w:rsidRDefault="2603B6C4" w:rsidP="005D192F">
      <w:pPr>
        <w:pStyle w:val="Heading1"/>
        <w:numPr>
          <w:ilvl w:val="0"/>
          <w:numId w:val="2"/>
        </w:numPr>
        <w:rPr>
          <w:rFonts w:ascii="Times New Roman" w:hAnsi="Times New Roman" w:cs="Times New Roman"/>
          <w:noProof/>
          <w:color w:val="auto"/>
        </w:rPr>
      </w:pPr>
      <w:bookmarkStart w:id="2" w:name="_Toc104283061"/>
      <w:bookmarkStart w:id="3" w:name="_Toc104286129"/>
      <w:bookmarkStart w:id="4" w:name="_Toc104297330"/>
      <w:bookmarkStart w:id="5" w:name="_Toc115361584"/>
      <w:r>
        <w:rPr>
          <w:rFonts w:ascii="Times New Roman" w:hAnsi="Times New Roman"/>
          <w:noProof/>
          <w:color w:val="auto"/>
        </w:rPr>
        <w:t>Wprowadzenie</w:t>
      </w:r>
      <w:bookmarkEnd w:id="2"/>
      <w:bookmarkEnd w:id="3"/>
      <w:bookmarkEnd w:id="4"/>
      <w:bookmarkEnd w:id="5"/>
      <w:r>
        <w:rPr>
          <w:rFonts w:ascii="Times New Roman" w:hAnsi="Times New Roman"/>
          <w:noProof/>
          <w:color w:val="auto"/>
        </w:rPr>
        <w:t xml:space="preserve"> </w:t>
      </w:r>
    </w:p>
    <w:p w14:paraId="4E40CEEA" w14:textId="51825672" w:rsidR="000544FF" w:rsidRPr="003C0D71" w:rsidRDefault="00784D53" w:rsidP="00784D53">
      <w:pPr>
        <w:jc w:val="both"/>
        <w:rPr>
          <w:rFonts w:ascii="Times New Roman" w:hAnsi="Times New Roman" w:cs="Times New Roman"/>
          <w:noProof/>
        </w:rPr>
      </w:pPr>
      <w:bookmarkStart w:id="6" w:name="_Hlk109980946"/>
      <w:r>
        <w:rPr>
          <w:rFonts w:ascii="Times New Roman" w:hAnsi="Times New Roman"/>
          <w:noProof/>
        </w:rPr>
        <w:t>Sekurytyzacja jest to proces przekształcenia niezamiennych wierzytelności lub wynikających</w:t>
      </w:r>
      <w:r w:rsidR="001B0DFF">
        <w:rPr>
          <w:rFonts w:ascii="Times New Roman" w:hAnsi="Times New Roman"/>
          <w:noProof/>
        </w:rPr>
        <w:t xml:space="preserve"> z nic</w:t>
      </w:r>
      <w:r>
        <w:rPr>
          <w:rFonts w:ascii="Times New Roman" w:hAnsi="Times New Roman"/>
          <w:noProof/>
        </w:rPr>
        <w:t>h przepływów pieniężnych</w:t>
      </w:r>
      <w:r w:rsidR="001B0DFF">
        <w:rPr>
          <w:rFonts w:ascii="Times New Roman" w:hAnsi="Times New Roman"/>
          <w:noProof/>
        </w:rPr>
        <w:t xml:space="preserve"> w zby</w:t>
      </w:r>
      <w:r>
        <w:rPr>
          <w:rFonts w:ascii="Times New Roman" w:hAnsi="Times New Roman"/>
          <w:noProof/>
        </w:rPr>
        <w:t>walne papiery wartościowe. Narzędzie to wnosi zatem istotny wkład</w:t>
      </w:r>
      <w:r w:rsidR="001B0DFF">
        <w:rPr>
          <w:rFonts w:ascii="Times New Roman" w:hAnsi="Times New Roman"/>
          <w:noProof/>
        </w:rPr>
        <w:t xml:space="preserve"> w dob</w:t>
      </w:r>
      <w:r>
        <w:rPr>
          <w:rFonts w:ascii="Times New Roman" w:hAnsi="Times New Roman"/>
          <w:noProof/>
        </w:rPr>
        <w:t>rze funkcjonujący system finansowy, który skutecznie finansuje gospodarkę realną, ponieważ uwalnia zdolność bilansową banków, co umożliwia im udzielanie nowych kredytów przedsiębiorstwom,</w:t>
      </w:r>
      <w:r w:rsidR="001B0DFF">
        <w:rPr>
          <w:rFonts w:ascii="Times New Roman" w:hAnsi="Times New Roman"/>
          <w:noProof/>
        </w:rPr>
        <w:t xml:space="preserve"> w tym</w:t>
      </w:r>
      <w:r>
        <w:rPr>
          <w:rFonts w:ascii="Times New Roman" w:hAnsi="Times New Roman"/>
          <w:noProof/>
        </w:rPr>
        <w:t xml:space="preserve"> MŚP. Pełni rolę ważnego narzędzia do celów zarządzania kapitałem, płynnością</w:t>
      </w:r>
      <w:r w:rsidR="001B0DFF">
        <w:rPr>
          <w:rFonts w:ascii="Times New Roman" w:hAnsi="Times New Roman"/>
          <w:noProof/>
        </w:rPr>
        <w:t xml:space="preserve"> i ryz</w:t>
      </w:r>
      <w:r>
        <w:rPr>
          <w:rFonts w:ascii="Times New Roman" w:hAnsi="Times New Roman"/>
          <w:noProof/>
        </w:rPr>
        <w:t>ykiem</w:t>
      </w:r>
      <w:r w:rsidR="001B0DFF">
        <w:rPr>
          <w:rFonts w:ascii="Times New Roman" w:hAnsi="Times New Roman"/>
          <w:noProof/>
        </w:rPr>
        <w:t xml:space="preserve"> w ban</w:t>
      </w:r>
      <w:r>
        <w:rPr>
          <w:rFonts w:ascii="Times New Roman" w:hAnsi="Times New Roman"/>
          <w:noProof/>
        </w:rPr>
        <w:t>kach. Ponadto dzięki sekurytyzacji inwestorzy mają dostęp do nowych klas aktywów, co zapewnia zróżnicowane możliwości inwestycyjne dla inwestorów długoterminowych.</w:t>
      </w:r>
    </w:p>
    <w:p w14:paraId="274EBDB4" w14:textId="4AF846A5" w:rsidR="00784D53" w:rsidRPr="003C0D71" w:rsidRDefault="000544FF" w:rsidP="00784D53">
      <w:pPr>
        <w:jc w:val="both"/>
        <w:rPr>
          <w:rFonts w:ascii="Times New Roman" w:hAnsi="Times New Roman" w:cs="Times New Roman"/>
          <w:noProof/>
        </w:rPr>
      </w:pPr>
      <w:r>
        <w:rPr>
          <w:rFonts w:ascii="Times New Roman" w:hAnsi="Times New Roman"/>
          <w:noProof/>
        </w:rPr>
        <w:t>Po upływie 15 lat od wielkiego kryzysu finansowego sekurytyzacja nadal jest jednak postrzegana jako skomplikowane narzędzie inżynierii finansowej</w:t>
      </w:r>
      <w:r w:rsidR="001B0DFF">
        <w:rPr>
          <w:rFonts w:ascii="Times New Roman" w:hAnsi="Times New Roman"/>
          <w:noProof/>
        </w:rPr>
        <w:t xml:space="preserve"> z tam</w:t>
      </w:r>
      <w:r>
        <w:rPr>
          <w:rFonts w:ascii="Times New Roman" w:hAnsi="Times New Roman"/>
          <w:noProof/>
        </w:rPr>
        <w:t>tych czasów. Powszechnie wiadomo, że słabo uregulowana sekurytyzacja</w:t>
      </w:r>
      <w:r w:rsidR="001B0DFF">
        <w:rPr>
          <w:rFonts w:ascii="Times New Roman" w:hAnsi="Times New Roman"/>
          <w:noProof/>
        </w:rPr>
        <w:t xml:space="preserve"> w zna</w:t>
      </w:r>
      <w:r>
        <w:rPr>
          <w:rFonts w:ascii="Times New Roman" w:hAnsi="Times New Roman"/>
          <w:noProof/>
        </w:rPr>
        <w:t xml:space="preserve">cznym stopniu przyczyniła się do kryzysu na amerykańskim rynku kredytów hipotecznych </w:t>
      </w:r>
      <w:r>
        <w:rPr>
          <w:rFonts w:ascii="Times New Roman" w:hAnsi="Times New Roman"/>
          <w:i/>
          <w:noProof/>
        </w:rPr>
        <w:t>subprime</w:t>
      </w:r>
      <w:r>
        <w:rPr>
          <w:rFonts w:ascii="Times New Roman" w:hAnsi="Times New Roman"/>
          <w:noProof/>
        </w:rPr>
        <w:t>, który szybko objął światowy system finansowy, wywołując daleko idące konsekwencje dla podatników</w:t>
      </w:r>
      <w:r w:rsidR="001B0DFF">
        <w:rPr>
          <w:rFonts w:ascii="Times New Roman" w:hAnsi="Times New Roman"/>
          <w:noProof/>
        </w:rPr>
        <w:t xml:space="preserve"> i prz</w:t>
      </w:r>
      <w:r>
        <w:rPr>
          <w:rFonts w:ascii="Times New Roman" w:hAnsi="Times New Roman"/>
          <w:noProof/>
        </w:rPr>
        <w:t>edsiębiorstw w UE</w:t>
      </w:r>
      <w:r w:rsidR="001B0DFF">
        <w:rPr>
          <w:rFonts w:ascii="Times New Roman" w:hAnsi="Times New Roman"/>
          <w:noProof/>
        </w:rPr>
        <w:t xml:space="preserve"> i poz</w:t>
      </w:r>
      <w:r>
        <w:rPr>
          <w:rFonts w:ascii="Times New Roman" w:hAnsi="Times New Roman"/>
          <w:noProof/>
        </w:rPr>
        <w:t xml:space="preserve">a nią. </w:t>
      </w:r>
    </w:p>
    <w:p w14:paraId="12D05BF0" w14:textId="60D32E0A" w:rsidR="00784D53" w:rsidRPr="003C0D71" w:rsidRDefault="000544FF" w:rsidP="00784D53">
      <w:pPr>
        <w:jc w:val="both"/>
        <w:rPr>
          <w:rFonts w:ascii="Times New Roman" w:hAnsi="Times New Roman" w:cs="Times New Roman"/>
          <w:noProof/>
        </w:rPr>
      </w:pPr>
      <w:r>
        <w:rPr>
          <w:rFonts w:ascii="Times New Roman" w:hAnsi="Times New Roman"/>
          <w:noProof/>
        </w:rPr>
        <w:t>Europejskie rynki sekurytyzacji nie borykały się</w:t>
      </w:r>
      <w:r w:rsidR="001B0DFF">
        <w:rPr>
          <w:rFonts w:ascii="Times New Roman" w:hAnsi="Times New Roman"/>
          <w:noProof/>
        </w:rPr>
        <w:t xml:space="preserve"> z tak</w:t>
      </w:r>
      <w:r>
        <w:rPr>
          <w:rFonts w:ascii="Times New Roman" w:hAnsi="Times New Roman"/>
          <w:noProof/>
        </w:rPr>
        <w:t>imi samymi problemami, jak rynki w USA</w:t>
      </w:r>
      <w:r>
        <w:rPr>
          <w:rStyle w:val="FootnoteReference"/>
          <w:rFonts w:ascii="Times New Roman" w:hAnsi="Times New Roman" w:cs="Times New Roman"/>
          <w:noProof/>
        </w:rPr>
        <w:footnoteReference w:id="2"/>
      </w:r>
      <w:r>
        <w:rPr>
          <w:rFonts w:ascii="Times New Roman" w:hAnsi="Times New Roman"/>
          <w:noProof/>
        </w:rPr>
        <w:t>. Nastąpił jednak znaczny spadek emisji</w:t>
      </w:r>
      <w:r w:rsidR="001B0DFF">
        <w:rPr>
          <w:rFonts w:ascii="Times New Roman" w:hAnsi="Times New Roman"/>
          <w:noProof/>
        </w:rPr>
        <w:t xml:space="preserve"> i inw</w:t>
      </w:r>
      <w:r>
        <w:rPr>
          <w:rFonts w:ascii="Times New Roman" w:hAnsi="Times New Roman"/>
          <w:noProof/>
        </w:rPr>
        <w:t>estycji na rynkach UE</w:t>
      </w:r>
      <w:r w:rsidR="001B0DFF">
        <w:rPr>
          <w:rFonts w:ascii="Times New Roman" w:hAnsi="Times New Roman"/>
          <w:noProof/>
        </w:rPr>
        <w:t>. W nas</w:t>
      </w:r>
      <w:r>
        <w:rPr>
          <w:rFonts w:ascii="Times New Roman" w:hAnsi="Times New Roman"/>
          <w:noProof/>
        </w:rPr>
        <w:t>tępstwie wielkiego kryzysu finansowego banki centralne</w:t>
      </w:r>
      <w:r>
        <w:rPr>
          <w:rStyle w:val="FootnoteReference"/>
          <w:rFonts w:ascii="Times New Roman" w:hAnsi="Times New Roman" w:cs="Times New Roman"/>
          <w:noProof/>
        </w:rPr>
        <w:footnoteReference w:id="3"/>
      </w:r>
      <w:r w:rsidR="001B0DFF">
        <w:rPr>
          <w:rFonts w:ascii="Times New Roman" w:hAnsi="Times New Roman"/>
          <w:noProof/>
        </w:rPr>
        <w:t xml:space="preserve"> i wie</w:t>
      </w:r>
      <w:r>
        <w:rPr>
          <w:rFonts w:ascii="Times New Roman" w:hAnsi="Times New Roman"/>
          <w:noProof/>
        </w:rPr>
        <w:t>le zainteresowanych stron uznało zgodnie, że istnieje potrzeba ożywienia unijnego rynku sekurytyzacji</w:t>
      </w:r>
      <w:r w:rsidR="001B0DFF">
        <w:rPr>
          <w:rFonts w:ascii="Times New Roman" w:hAnsi="Times New Roman"/>
          <w:noProof/>
        </w:rPr>
        <w:t>. W zwi</w:t>
      </w:r>
      <w:r>
        <w:rPr>
          <w:rFonts w:ascii="Times New Roman" w:hAnsi="Times New Roman"/>
          <w:noProof/>
        </w:rPr>
        <w:t>ązku</w:t>
      </w:r>
      <w:r w:rsidR="001B0DFF">
        <w:rPr>
          <w:rFonts w:ascii="Times New Roman" w:hAnsi="Times New Roman"/>
          <w:noProof/>
        </w:rPr>
        <w:t xml:space="preserve"> z tym</w:t>
      </w:r>
      <w:r>
        <w:rPr>
          <w:rFonts w:ascii="Times New Roman" w:hAnsi="Times New Roman"/>
          <w:noProof/>
        </w:rPr>
        <w:t xml:space="preserve"> Komisja Europejska zobowiązała się do realizacji celu, jakim jest bezpieczne</w:t>
      </w:r>
      <w:r w:rsidR="001B0DFF">
        <w:rPr>
          <w:rFonts w:ascii="Times New Roman" w:hAnsi="Times New Roman"/>
          <w:noProof/>
        </w:rPr>
        <w:t xml:space="preserve"> i trw</w:t>
      </w:r>
      <w:r>
        <w:rPr>
          <w:rFonts w:ascii="Times New Roman" w:hAnsi="Times New Roman"/>
          <w:noProof/>
        </w:rPr>
        <w:t>ałe ożywienie rynku sekurytyzacji w UE</w:t>
      </w:r>
      <w:r w:rsidR="001B0DFF">
        <w:rPr>
          <w:rFonts w:ascii="Times New Roman" w:hAnsi="Times New Roman"/>
          <w:noProof/>
        </w:rPr>
        <w:t>. W pla</w:t>
      </w:r>
      <w:r>
        <w:rPr>
          <w:rFonts w:ascii="Times New Roman" w:hAnsi="Times New Roman"/>
          <w:noProof/>
        </w:rPr>
        <w:t>nie inwestycyjnym dla Europy</w:t>
      </w:r>
      <w:r w:rsidR="001B0DFF">
        <w:rPr>
          <w:rFonts w:ascii="Times New Roman" w:hAnsi="Times New Roman"/>
          <w:noProof/>
        </w:rPr>
        <w:t xml:space="preserve"> z 2</w:t>
      </w:r>
      <w:r>
        <w:rPr>
          <w:rFonts w:ascii="Times New Roman" w:hAnsi="Times New Roman"/>
          <w:noProof/>
        </w:rPr>
        <w:t>0</w:t>
      </w:r>
      <w:r w:rsidRPr="001B0DFF">
        <w:rPr>
          <w:rFonts w:ascii="Times New Roman" w:hAnsi="Times New Roman"/>
          <w:noProof/>
        </w:rPr>
        <w:t>14</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Komisja określiła stworzenie dobrze prosperującego rynku wysokiej jakości sekurytyzacji jako jeden</w:t>
      </w:r>
      <w:r w:rsidR="001B0DFF">
        <w:rPr>
          <w:rFonts w:ascii="Times New Roman" w:hAnsi="Times New Roman"/>
          <w:noProof/>
        </w:rPr>
        <w:t xml:space="preserve"> z pię</w:t>
      </w:r>
      <w:r>
        <w:rPr>
          <w:rFonts w:ascii="Times New Roman" w:hAnsi="Times New Roman"/>
          <w:noProof/>
        </w:rPr>
        <w:t>ciu obszarów wymagających natychmiastowych działań</w:t>
      </w:r>
      <w:r w:rsidR="001B0DFF">
        <w:rPr>
          <w:rFonts w:ascii="Times New Roman" w:hAnsi="Times New Roman"/>
          <w:noProof/>
        </w:rPr>
        <w:t xml:space="preserve"> i włą</w:t>
      </w:r>
      <w:r>
        <w:rPr>
          <w:rFonts w:ascii="Times New Roman" w:hAnsi="Times New Roman"/>
          <w:noProof/>
        </w:rPr>
        <w:t>czyła to działanie do wykazu elementów składowych unii rynków kapitałowych</w:t>
      </w:r>
      <w:r>
        <w:rPr>
          <w:rStyle w:val="FootnoteReference"/>
          <w:rFonts w:ascii="Times New Roman" w:hAnsi="Times New Roman" w:cs="Times New Roman"/>
          <w:noProof/>
        </w:rPr>
        <w:footnoteReference w:id="4"/>
      </w:r>
      <w:r>
        <w:rPr>
          <w:noProof/>
        </w:rPr>
        <w:t>.</w:t>
      </w:r>
      <w:r>
        <w:rPr>
          <w:rFonts w:ascii="Times New Roman" w:hAnsi="Times New Roman"/>
          <w:noProof/>
        </w:rPr>
        <w:t xml:space="preserve"> </w:t>
      </w:r>
    </w:p>
    <w:p w14:paraId="5E63CCD8" w14:textId="62E9829F" w:rsidR="00784D53" w:rsidRPr="003C0D71" w:rsidRDefault="00784D53" w:rsidP="00784D53">
      <w:pPr>
        <w:jc w:val="both"/>
        <w:rPr>
          <w:rFonts w:ascii="Times New Roman" w:hAnsi="Times New Roman" w:cs="Times New Roman"/>
          <w:noProof/>
        </w:rPr>
      </w:pPr>
      <w:r>
        <w:rPr>
          <w:rFonts w:ascii="Times New Roman" w:hAnsi="Times New Roman"/>
          <w:noProof/>
        </w:rPr>
        <w:t>W następstwie tych zobowiązań politycznych</w:t>
      </w:r>
      <w:r w:rsidR="001B0DFF">
        <w:rPr>
          <w:rFonts w:ascii="Times New Roman" w:hAnsi="Times New Roman"/>
          <w:noProof/>
        </w:rPr>
        <w:t xml:space="preserve"> w 2</w:t>
      </w:r>
      <w:r>
        <w:rPr>
          <w:rFonts w:ascii="Times New Roman" w:hAnsi="Times New Roman"/>
          <w:noProof/>
        </w:rPr>
        <w:t>0</w:t>
      </w:r>
      <w:r w:rsidRPr="001B0DFF">
        <w:rPr>
          <w:rFonts w:ascii="Times New Roman" w:hAnsi="Times New Roman"/>
          <w:noProof/>
        </w:rPr>
        <w:t>15</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Komisja zaproponowała kompleksowe ramy prawne, na które składało się nowe rozporządzenie</w:t>
      </w:r>
      <w:r w:rsidR="001B0DFF">
        <w:rPr>
          <w:rFonts w:ascii="Times New Roman" w:hAnsi="Times New Roman"/>
          <w:noProof/>
        </w:rPr>
        <w:t xml:space="preserve"> w spr</w:t>
      </w:r>
      <w:r>
        <w:rPr>
          <w:rFonts w:ascii="Times New Roman" w:hAnsi="Times New Roman"/>
          <w:noProof/>
        </w:rPr>
        <w:t xml:space="preserve">awie sekurytyzacji oraz ukierunkowane zmiany ostrożnościowego podejścia do sekurytyzacji. </w:t>
      </w:r>
    </w:p>
    <w:p w14:paraId="35B65F53" w14:textId="176B3CC6" w:rsidR="00784D53" w:rsidRPr="003C0D71" w:rsidRDefault="00784D53" w:rsidP="00784D53">
      <w:pPr>
        <w:jc w:val="both"/>
        <w:rPr>
          <w:rFonts w:ascii="Times New Roman" w:hAnsi="Times New Roman" w:cs="Times New Roman"/>
          <w:noProof/>
        </w:rPr>
      </w:pPr>
      <w:r>
        <w:rPr>
          <w:rFonts w:ascii="Times New Roman" w:hAnsi="Times New Roman"/>
          <w:noProof/>
        </w:rPr>
        <w:t>Negocjacje między współustawodawcami – Parlamentem Europejskim</w:t>
      </w:r>
      <w:r w:rsidR="001B0DFF">
        <w:rPr>
          <w:rFonts w:ascii="Times New Roman" w:hAnsi="Times New Roman"/>
          <w:noProof/>
        </w:rPr>
        <w:t xml:space="preserve"> i Rad</w:t>
      </w:r>
      <w:r>
        <w:rPr>
          <w:rFonts w:ascii="Times New Roman" w:hAnsi="Times New Roman"/>
          <w:noProof/>
        </w:rPr>
        <w:t>ą – zakończyły się</w:t>
      </w:r>
      <w:r w:rsidR="001B0DFF">
        <w:rPr>
          <w:rFonts w:ascii="Times New Roman" w:hAnsi="Times New Roman"/>
          <w:noProof/>
        </w:rPr>
        <w:t xml:space="preserve"> w 2</w:t>
      </w:r>
      <w:r>
        <w:rPr>
          <w:rFonts w:ascii="Times New Roman" w:hAnsi="Times New Roman"/>
          <w:noProof/>
        </w:rPr>
        <w:t>0</w:t>
      </w:r>
      <w:r w:rsidRPr="001B0DFF">
        <w:rPr>
          <w:rFonts w:ascii="Times New Roman" w:hAnsi="Times New Roman"/>
          <w:noProof/>
        </w:rPr>
        <w:t>17</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Rozporządzenie (UE) 2017/2402</w:t>
      </w:r>
      <w:r>
        <w:rPr>
          <w:rStyle w:val="FootnoteReference"/>
          <w:rFonts w:ascii="Times New Roman" w:hAnsi="Times New Roman" w:cs="Times New Roman"/>
          <w:noProof/>
        </w:rPr>
        <w:footnoteReference w:id="5"/>
      </w:r>
      <w:r>
        <w:rPr>
          <w:rFonts w:ascii="Times New Roman" w:hAnsi="Times New Roman"/>
          <w:noProof/>
        </w:rPr>
        <w:t xml:space="preserve"> („rozporządzenie</w:t>
      </w:r>
      <w:r w:rsidR="001B0DFF">
        <w:rPr>
          <w:rFonts w:ascii="Times New Roman" w:hAnsi="Times New Roman"/>
          <w:noProof/>
        </w:rPr>
        <w:t xml:space="preserve"> w spr</w:t>
      </w:r>
      <w:r>
        <w:rPr>
          <w:rFonts w:ascii="Times New Roman" w:hAnsi="Times New Roman"/>
          <w:noProof/>
        </w:rPr>
        <w:t>awie sekurytyzacji”)</w:t>
      </w:r>
      <w:r w:rsidR="001B0DFF">
        <w:rPr>
          <w:rFonts w:ascii="Times New Roman" w:hAnsi="Times New Roman"/>
          <w:noProof/>
        </w:rPr>
        <w:t xml:space="preserve"> i roz</w:t>
      </w:r>
      <w:r>
        <w:rPr>
          <w:rFonts w:ascii="Times New Roman" w:hAnsi="Times New Roman"/>
          <w:noProof/>
        </w:rPr>
        <w:t xml:space="preserve">porządzenie (UE) 2017/2401 zmieniające rozporządzenie (UE) </w:t>
      </w:r>
      <w:r w:rsidRPr="001B0DFF">
        <w:rPr>
          <w:rFonts w:ascii="Times New Roman" w:hAnsi="Times New Roman"/>
          <w:noProof/>
        </w:rPr>
        <w:t>nr</w:t>
      </w:r>
      <w:r w:rsidR="001B0DFF" w:rsidRPr="001B0DFF">
        <w:rPr>
          <w:rFonts w:ascii="Times New Roman" w:hAnsi="Times New Roman"/>
          <w:noProof/>
        </w:rPr>
        <w:t> </w:t>
      </w:r>
      <w:r w:rsidRPr="001B0DFF">
        <w:rPr>
          <w:rFonts w:ascii="Times New Roman" w:hAnsi="Times New Roman"/>
          <w:noProof/>
        </w:rPr>
        <w:t>5</w:t>
      </w:r>
      <w:r>
        <w:rPr>
          <w:rFonts w:ascii="Times New Roman" w:hAnsi="Times New Roman"/>
          <w:noProof/>
        </w:rPr>
        <w:t>75/2013</w:t>
      </w:r>
      <w:r w:rsidR="001B0DFF">
        <w:rPr>
          <w:rFonts w:ascii="Times New Roman" w:hAnsi="Times New Roman"/>
          <w:noProof/>
        </w:rPr>
        <w:t xml:space="preserve"> w spr</w:t>
      </w:r>
      <w:r>
        <w:rPr>
          <w:rFonts w:ascii="Times New Roman" w:hAnsi="Times New Roman"/>
          <w:noProof/>
        </w:rPr>
        <w:t>awie wymogów ostrożnościowych dla instytucji kredytowych</w:t>
      </w:r>
      <w:r w:rsidR="001B0DFF">
        <w:rPr>
          <w:rFonts w:ascii="Times New Roman" w:hAnsi="Times New Roman"/>
          <w:noProof/>
        </w:rPr>
        <w:t xml:space="preserve"> i fir</w:t>
      </w:r>
      <w:r>
        <w:rPr>
          <w:rFonts w:ascii="Times New Roman" w:hAnsi="Times New Roman"/>
          <w:noProof/>
        </w:rPr>
        <w:t>m inwestycyjnych</w:t>
      </w:r>
      <w:r>
        <w:rPr>
          <w:rFonts w:ascii="Times New Roman" w:hAnsi="Times New Roman"/>
          <w:b/>
          <w:noProof/>
        </w:rPr>
        <w:t xml:space="preserve"> </w:t>
      </w:r>
      <w:r>
        <w:rPr>
          <w:rFonts w:ascii="Times New Roman" w:hAnsi="Times New Roman"/>
          <w:noProof/>
        </w:rPr>
        <w:t>weszły</w:t>
      </w:r>
      <w:r w:rsidR="001B0DFF">
        <w:rPr>
          <w:rFonts w:ascii="Times New Roman" w:hAnsi="Times New Roman"/>
          <w:noProof/>
        </w:rPr>
        <w:t xml:space="preserve"> w życ</w:t>
      </w:r>
      <w:r>
        <w:rPr>
          <w:rFonts w:ascii="Times New Roman" w:hAnsi="Times New Roman"/>
          <w:noProof/>
        </w:rPr>
        <w:t>ie 1 stycznia 20</w:t>
      </w:r>
      <w:r w:rsidRPr="001B0DFF">
        <w:rPr>
          <w:rFonts w:ascii="Times New Roman" w:hAnsi="Times New Roman"/>
          <w:noProof/>
        </w:rPr>
        <w:t>19</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w:t>
      </w:r>
    </w:p>
    <w:p w14:paraId="3073B95D" w14:textId="57431643" w:rsidR="00784D53" w:rsidRPr="003C0D71" w:rsidRDefault="00784D53" w:rsidP="00784D53">
      <w:pPr>
        <w:jc w:val="both"/>
        <w:rPr>
          <w:rFonts w:ascii="Times New Roman" w:hAnsi="Times New Roman" w:cs="Times New Roman"/>
          <w:noProof/>
        </w:rPr>
      </w:pPr>
      <w:bookmarkStart w:id="9" w:name="_Hlk109980997"/>
      <w:bookmarkEnd w:id="6"/>
      <w:r>
        <w:rPr>
          <w:rFonts w:ascii="Times New Roman" w:hAnsi="Times New Roman"/>
          <w:noProof/>
        </w:rPr>
        <w:t>Rozporządzenie</w:t>
      </w:r>
      <w:r w:rsidR="001B0DFF">
        <w:rPr>
          <w:rFonts w:ascii="Times New Roman" w:hAnsi="Times New Roman"/>
          <w:noProof/>
        </w:rPr>
        <w:t xml:space="preserve"> w spr</w:t>
      </w:r>
      <w:r>
        <w:rPr>
          <w:rFonts w:ascii="Times New Roman" w:hAnsi="Times New Roman"/>
          <w:noProof/>
        </w:rPr>
        <w:t>awie sekurytyzacji opiera się na szeregu przepisów, które obowiązywały już wcześniej</w:t>
      </w:r>
      <w:r w:rsidR="001B0DFF">
        <w:rPr>
          <w:rFonts w:ascii="Times New Roman" w:hAnsi="Times New Roman"/>
          <w:noProof/>
        </w:rPr>
        <w:t xml:space="preserve"> i któ</w:t>
      </w:r>
      <w:r>
        <w:rPr>
          <w:rFonts w:ascii="Times New Roman" w:hAnsi="Times New Roman"/>
          <w:noProof/>
        </w:rPr>
        <w:t>re zmieniono częściowo</w:t>
      </w:r>
      <w:r w:rsidR="001B0DFF">
        <w:rPr>
          <w:rFonts w:ascii="Times New Roman" w:hAnsi="Times New Roman"/>
          <w:noProof/>
        </w:rPr>
        <w:t xml:space="preserve"> w rea</w:t>
      </w:r>
      <w:r>
        <w:rPr>
          <w:rFonts w:ascii="Times New Roman" w:hAnsi="Times New Roman"/>
          <w:noProof/>
        </w:rPr>
        <w:t>kcji na kryzys. Przepisy te były jednak rozproszone</w:t>
      </w:r>
      <w:r w:rsidR="001B0DFF">
        <w:rPr>
          <w:rFonts w:ascii="Times New Roman" w:hAnsi="Times New Roman"/>
          <w:noProof/>
        </w:rPr>
        <w:t xml:space="preserve"> w wie</w:t>
      </w:r>
      <w:r>
        <w:rPr>
          <w:rFonts w:ascii="Times New Roman" w:hAnsi="Times New Roman"/>
          <w:noProof/>
        </w:rPr>
        <w:t>lu sektorowych aktach prawnych, które miały zastosowanie do różnych podmiotów rynkowych, między innymi w: (i) rozporządzeniu</w:t>
      </w:r>
      <w:r w:rsidR="001B0DFF">
        <w:rPr>
          <w:rFonts w:ascii="Times New Roman" w:hAnsi="Times New Roman"/>
          <w:noProof/>
        </w:rPr>
        <w:t xml:space="preserve"> w spr</w:t>
      </w:r>
      <w:r>
        <w:rPr>
          <w:rFonts w:ascii="Times New Roman" w:hAnsi="Times New Roman"/>
          <w:noProof/>
        </w:rPr>
        <w:t>awie wymogów kapitałowych (CRR) dla banków</w:t>
      </w:r>
      <w:r>
        <w:rPr>
          <w:rStyle w:val="FootnoteReference"/>
          <w:rFonts w:ascii="Times New Roman" w:hAnsi="Times New Roman" w:cs="Times New Roman"/>
          <w:noProof/>
        </w:rPr>
        <w:footnoteReference w:id="6"/>
      </w:r>
      <w:r>
        <w:rPr>
          <w:rFonts w:ascii="Times New Roman" w:hAnsi="Times New Roman"/>
          <w:noProof/>
        </w:rPr>
        <w:t>; (ii) dyrektywie Wypłacalność II</w:t>
      </w:r>
      <w:r>
        <w:rPr>
          <w:rStyle w:val="FootnoteReference"/>
          <w:rFonts w:ascii="Times New Roman" w:hAnsi="Times New Roman" w:cs="Times New Roman"/>
          <w:noProof/>
        </w:rPr>
        <w:footnoteReference w:id="7"/>
      </w:r>
      <w:r>
        <w:rPr>
          <w:rFonts w:ascii="Times New Roman" w:hAnsi="Times New Roman"/>
          <w:noProof/>
        </w:rPr>
        <w:t xml:space="preserve"> dla ubezpieczycieli oraz (iii) dyrektywach</w:t>
      </w:r>
      <w:r w:rsidR="001B0DFF">
        <w:rPr>
          <w:rFonts w:ascii="Times New Roman" w:hAnsi="Times New Roman"/>
          <w:noProof/>
        </w:rPr>
        <w:t xml:space="preserve"> w spr</w:t>
      </w:r>
      <w:r>
        <w:rPr>
          <w:rFonts w:ascii="Times New Roman" w:hAnsi="Times New Roman"/>
          <w:noProof/>
        </w:rPr>
        <w:t>awie przedsiębiorstw zbiorowego inwestowania</w:t>
      </w:r>
      <w:r w:rsidR="001B0DFF">
        <w:rPr>
          <w:rFonts w:ascii="Times New Roman" w:hAnsi="Times New Roman"/>
          <w:noProof/>
        </w:rPr>
        <w:t xml:space="preserve"> w zby</w:t>
      </w:r>
      <w:r>
        <w:rPr>
          <w:rFonts w:ascii="Times New Roman" w:hAnsi="Times New Roman"/>
          <w:noProof/>
        </w:rPr>
        <w:t>walne papiery wartościowe (UCITS)</w:t>
      </w:r>
      <w:r>
        <w:rPr>
          <w:rStyle w:val="FootnoteReference"/>
          <w:rFonts w:ascii="Times New Roman" w:hAnsi="Times New Roman" w:cs="Times New Roman"/>
          <w:noProof/>
        </w:rPr>
        <w:footnoteReference w:id="8"/>
      </w:r>
      <w:r>
        <w:rPr>
          <w:rFonts w:ascii="Times New Roman" w:hAnsi="Times New Roman"/>
          <w:noProof/>
        </w:rPr>
        <w:t xml:space="preserve"> oraz</w:t>
      </w:r>
      <w:r w:rsidR="001B0DFF">
        <w:rPr>
          <w:rFonts w:ascii="Times New Roman" w:hAnsi="Times New Roman"/>
          <w:noProof/>
        </w:rPr>
        <w:t xml:space="preserve"> w spr</w:t>
      </w:r>
      <w:r>
        <w:rPr>
          <w:rFonts w:ascii="Times New Roman" w:hAnsi="Times New Roman"/>
          <w:noProof/>
        </w:rPr>
        <w:t>awie alternatywnych funduszy inwestycyjnych (ZAFI</w:t>
      </w:r>
      <w:r>
        <w:rPr>
          <w:rStyle w:val="FootnoteReference"/>
          <w:rFonts w:ascii="Times New Roman" w:hAnsi="Times New Roman" w:cs="Times New Roman"/>
          <w:noProof/>
        </w:rPr>
        <w:footnoteReference w:id="9"/>
      </w:r>
      <w:r>
        <w:rPr>
          <w:rFonts w:ascii="Times New Roman" w:hAnsi="Times New Roman"/>
          <w:noProof/>
        </w:rPr>
        <w:t>) dla podmiotów zarządzających aktywami. Rozporządzenie</w:t>
      </w:r>
      <w:r w:rsidR="001B0DFF">
        <w:rPr>
          <w:rFonts w:ascii="Times New Roman" w:hAnsi="Times New Roman"/>
          <w:noProof/>
        </w:rPr>
        <w:t xml:space="preserve"> w spr</w:t>
      </w:r>
      <w:r>
        <w:rPr>
          <w:rFonts w:ascii="Times New Roman" w:hAnsi="Times New Roman"/>
          <w:noProof/>
        </w:rPr>
        <w:t>awie sekurytyzacji tworzy jednolite</w:t>
      </w:r>
      <w:r w:rsidR="001B0DFF">
        <w:rPr>
          <w:rFonts w:ascii="Times New Roman" w:hAnsi="Times New Roman"/>
          <w:noProof/>
        </w:rPr>
        <w:t xml:space="preserve"> i zha</w:t>
      </w:r>
      <w:r>
        <w:rPr>
          <w:rFonts w:ascii="Times New Roman" w:hAnsi="Times New Roman"/>
          <w:noProof/>
        </w:rPr>
        <w:t>rmonizowane ramy prawne dla głównych stron biorących udział</w:t>
      </w:r>
      <w:r w:rsidR="001B0DFF">
        <w:rPr>
          <w:rFonts w:ascii="Times New Roman" w:hAnsi="Times New Roman"/>
          <w:noProof/>
        </w:rPr>
        <w:t xml:space="preserve"> w tra</w:t>
      </w:r>
      <w:r>
        <w:rPr>
          <w:rFonts w:ascii="Times New Roman" w:hAnsi="Times New Roman"/>
          <w:noProof/>
        </w:rPr>
        <w:t>nsakcji sekurytyzacyjnej. Zaliczają się do nich pierwotni kredytodawcy, jednostki inicjujące, jednostki sponsorujące, jednostki specjalnego przeznaczenia do celów sekurytyzacji oraz inwestorzy instytucjonalni uczestniczący</w:t>
      </w:r>
      <w:r w:rsidR="001B0DFF">
        <w:rPr>
          <w:rFonts w:ascii="Times New Roman" w:hAnsi="Times New Roman"/>
          <w:noProof/>
        </w:rPr>
        <w:t xml:space="preserve"> w uni</w:t>
      </w:r>
      <w:r>
        <w:rPr>
          <w:rFonts w:ascii="Times New Roman" w:hAnsi="Times New Roman"/>
          <w:noProof/>
        </w:rPr>
        <w:t>jnym rynku sekurytyzacji. Ponadto rozporządzenie</w:t>
      </w:r>
      <w:r w:rsidR="001B0DFF">
        <w:rPr>
          <w:rFonts w:ascii="Times New Roman" w:hAnsi="Times New Roman"/>
          <w:noProof/>
        </w:rPr>
        <w:t xml:space="preserve"> w spr</w:t>
      </w:r>
      <w:r>
        <w:rPr>
          <w:rFonts w:ascii="Times New Roman" w:hAnsi="Times New Roman"/>
          <w:noProof/>
        </w:rPr>
        <w:t>awie sekurytyzacji tworzy specjalne ramy na potrzeby prostych, przejrzystych</w:t>
      </w:r>
      <w:r w:rsidR="001B0DFF">
        <w:rPr>
          <w:rFonts w:ascii="Times New Roman" w:hAnsi="Times New Roman"/>
          <w:noProof/>
        </w:rPr>
        <w:t xml:space="preserve"> i sta</w:t>
      </w:r>
      <w:r>
        <w:rPr>
          <w:rFonts w:ascii="Times New Roman" w:hAnsi="Times New Roman"/>
          <w:noProof/>
        </w:rPr>
        <w:t>ndardowych sekurytyzacji (STS) stanowiących prawdziwą sprzedaż</w:t>
      </w:r>
      <w:r>
        <w:rPr>
          <w:rStyle w:val="FootnoteReference"/>
          <w:rFonts w:ascii="Times New Roman" w:hAnsi="Times New Roman" w:cs="Times New Roman"/>
          <w:noProof/>
        </w:rPr>
        <w:footnoteReference w:id="10"/>
      </w:r>
      <w:r>
        <w:rPr>
          <w:rFonts w:ascii="Times New Roman" w:hAnsi="Times New Roman"/>
          <w:noProof/>
        </w:rPr>
        <w:t>, aby zapewnić większą przejrzystość</w:t>
      </w:r>
      <w:r w:rsidR="001B0DFF">
        <w:rPr>
          <w:rFonts w:ascii="Times New Roman" w:hAnsi="Times New Roman"/>
          <w:noProof/>
        </w:rPr>
        <w:t xml:space="preserve"> i zmn</w:t>
      </w:r>
      <w:r>
        <w:rPr>
          <w:rFonts w:ascii="Times New Roman" w:hAnsi="Times New Roman"/>
          <w:noProof/>
        </w:rPr>
        <w:t xml:space="preserve">iejszyć złożoność rynku. </w:t>
      </w:r>
    </w:p>
    <w:p w14:paraId="629ADFD4" w14:textId="7440D84B" w:rsidR="00784D53" w:rsidRPr="003C0D71" w:rsidRDefault="00784D53" w:rsidP="00784D53">
      <w:pPr>
        <w:jc w:val="both"/>
        <w:rPr>
          <w:rFonts w:ascii="Times New Roman" w:hAnsi="Times New Roman" w:cs="Times New Roman"/>
          <w:noProof/>
        </w:rPr>
      </w:pPr>
      <w:r>
        <w:rPr>
          <w:rFonts w:ascii="Times New Roman" w:hAnsi="Times New Roman"/>
          <w:noProof/>
        </w:rPr>
        <w:t>Znaczenie dobrze funkcjonującego rynku sekurytyzacji</w:t>
      </w:r>
      <w:r w:rsidR="001B0DFF">
        <w:rPr>
          <w:rFonts w:ascii="Times New Roman" w:hAnsi="Times New Roman"/>
          <w:noProof/>
        </w:rPr>
        <w:t xml:space="preserve"> w kon</w:t>
      </w:r>
      <w:r>
        <w:rPr>
          <w:rFonts w:ascii="Times New Roman" w:hAnsi="Times New Roman"/>
          <w:noProof/>
        </w:rPr>
        <w:t>tekście zapewnienia wystarczającej ilości kredytów dla gospodarki realnej podkreślono ponownie</w:t>
      </w:r>
      <w:r w:rsidR="001B0DFF">
        <w:rPr>
          <w:rFonts w:ascii="Times New Roman" w:hAnsi="Times New Roman"/>
          <w:noProof/>
        </w:rPr>
        <w:t xml:space="preserve"> w pak</w:t>
      </w:r>
      <w:r>
        <w:rPr>
          <w:rFonts w:ascii="Times New Roman" w:hAnsi="Times New Roman"/>
          <w:noProof/>
        </w:rPr>
        <w:t>iecie na rzecz odbudowy rynków kapitałowych</w:t>
      </w:r>
      <w:r>
        <w:rPr>
          <w:rStyle w:val="FootnoteReference"/>
          <w:rFonts w:ascii="Times New Roman" w:hAnsi="Times New Roman" w:cs="Times New Roman"/>
          <w:noProof/>
        </w:rPr>
        <w:footnoteReference w:id="11"/>
      </w:r>
      <w:r>
        <w:rPr>
          <w:rFonts w:ascii="Times New Roman" w:hAnsi="Times New Roman"/>
          <w:noProof/>
        </w:rPr>
        <w:t>, który ma pomóc gospodarce UE</w:t>
      </w:r>
      <w:r w:rsidR="001B0DFF">
        <w:rPr>
          <w:rFonts w:ascii="Times New Roman" w:hAnsi="Times New Roman"/>
          <w:noProof/>
        </w:rPr>
        <w:t xml:space="preserve"> w wyj</w:t>
      </w:r>
      <w:r>
        <w:rPr>
          <w:rFonts w:ascii="Times New Roman" w:hAnsi="Times New Roman"/>
          <w:noProof/>
        </w:rPr>
        <w:t>ściu</w:t>
      </w:r>
      <w:r w:rsidR="001B0DFF">
        <w:rPr>
          <w:rFonts w:ascii="Times New Roman" w:hAnsi="Times New Roman"/>
          <w:noProof/>
        </w:rPr>
        <w:t xml:space="preserve"> z pan</w:t>
      </w:r>
      <w:r>
        <w:rPr>
          <w:rFonts w:ascii="Times New Roman" w:hAnsi="Times New Roman"/>
          <w:noProof/>
        </w:rPr>
        <w:t>demii COVID-19. Pakiet obejmował zmiany</w:t>
      </w:r>
      <w:r w:rsidR="001B0DFF">
        <w:rPr>
          <w:rFonts w:ascii="Times New Roman" w:hAnsi="Times New Roman"/>
          <w:noProof/>
        </w:rPr>
        <w:t xml:space="preserve"> w roz</w:t>
      </w:r>
      <w:r>
        <w:rPr>
          <w:rFonts w:ascii="Times New Roman" w:hAnsi="Times New Roman"/>
          <w:noProof/>
        </w:rPr>
        <w:t>porządzeniu</w:t>
      </w:r>
      <w:r w:rsidR="001B0DFF">
        <w:rPr>
          <w:rFonts w:ascii="Times New Roman" w:hAnsi="Times New Roman"/>
          <w:noProof/>
        </w:rPr>
        <w:t xml:space="preserve"> w spr</w:t>
      </w:r>
      <w:r>
        <w:rPr>
          <w:rFonts w:ascii="Times New Roman" w:hAnsi="Times New Roman"/>
          <w:noProof/>
        </w:rPr>
        <w:t>awie sekurytyzacji</w:t>
      </w:r>
      <w:r w:rsidR="001B0DFF">
        <w:rPr>
          <w:rFonts w:ascii="Times New Roman" w:hAnsi="Times New Roman"/>
          <w:noProof/>
        </w:rPr>
        <w:t xml:space="preserve"> w cel</w:t>
      </w:r>
      <w:r>
        <w:rPr>
          <w:rFonts w:ascii="Times New Roman" w:hAnsi="Times New Roman"/>
          <w:noProof/>
        </w:rPr>
        <w:t>u rozszerzenia zakresu systemu STS na bilansowe sekurytyzacje syntetyczne</w:t>
      </w:r>
      <w:r>
        <w:rPr>
          <w:rStyle w:val="FootnoteReference"/>
          <w:rFonts w:ascii="Times New Roman" w:hAnsi="Times New Roman" w:cs="Times New Roman"/>
          <w:noProof/>
        </w:rPr>
        <w:footnoteReference w:id="12"/>
      </w:r>
      <w:r>
        <w:rPr>
          <w:rFonts w:ascii="Times New Roman" w:hAnsi="Times New Roman"/>
          <w:noProof/>
        </w:rPr>
        <w:t xml:space="preserve"> oraz usunięcia niektórych przeszkód regulacyjnych dla sekurytyzacji ekspozycji nieobsługiwanych. Parlament Europejski</w:t>
      </w:r>
      <w:r w:rsidR="001B0DFF">
        <w:rPr>
          <w:rFonts w:ascii="Times New Roman" w:hAnsi="Times New Roman"/>
          <w:noProof/>
        </w:rPr>
        <w:t xml:space="preserve"> i Rad</w:t>
      </w:r>
      <w:r>
        <w:rPr>
          <w:rFonts w:ascii="Times New Roman" w:hAnsi="Times New Roman"/>
          <w:noProof/>
        </w:rPr>
        <w:t>y przyjęły te zmiany</w:t>
      </w:r>
      <w:r w:rsidR="001B0DFF">
        <w:rPr>
          <w:rFonts w:ascii="Times New Roman" w:hAnsi="Times New Roman"/>
          <w:noProof/>
        </w:rPr>
        <w:t xml:space="preserve"> w mar</w:t>
      </w:r>
      <w:r>
        <w:rPr>
          <w:rFonts w:ascii="Times New Roman" w:hAnsi="Times New Roman"/>
          <w:noProof/>
        </w:rPr>
        <w:t>cu 20</w:t>
      </w:r>
      <w:r w:rsidRPr="001B0DFF">
        <w:rPr>
          <w:rFonts w:ascii="Times New Roman" w:hAnsi="Times New Roman"/>
          <w:noProof/>
        </w:rPr>
        <w:t>21</w:t>
      </w:r>
      <w:r w:rsidR="001B0DFF" w:rsidRPr="001B0DFF">
        <w:rPr>
          <w:rFonts w:ascii="Times New Roman" w:hAnsi="Times New Roman"/>
          <w:noProof/>
        </w:rPr>
        <w:t> </w:t>
      </w:r>
      <w:r w:rsidRPr="001B0DFF">
        <w:rPr>
          <w:rFonts w:ascii="Times New Roman" w:hAnsi="Times New Roman"/>
          <w:noProof/>
        </w:rPr>
        <w:t>r.</w:t>
      </w:r>
    </w:p>
    <w:p w14:paraId="6A89A6F3" w14:textId="4DF9C779" w:rsidR="00784D53" w:rsidRPr="003C0D71" w:rsidRDefault="00784D53" w:rsidP="00784D53">
      <w:pPr>
        <w:jc w:val="both"/>
        <w:rPr>
          <w:rFonts w:ascii="Times New Roman" w:hAnsi="Times New Roman" w:cs="Times New Roman"/>
          <w:noProof/>
        </w:rPr>
      </w:pPr>
      <w:r>
        <w:rPr>
          <w:rFonts w:ascii="Times New Roman" w:hAnsi="Times New Roman"/>
          <w:noProof/>
        </w:rPr>
        <w:t>Ponad trzy lata po rozpoczęciu stosowania nowych ram prawnych sekurytyzacji, zgodnie</w:t>
      </w:r>
      <w:r w:rsidR="001B0DFF">
        <w:rPr>
          <w:rFonts w:ascii="Times New Roman" w:hAnsi="Times New Roman"/>
          <w:noProof/>
        </w:rPr>
        <w:t xml:space="preserve"> z zap</w:t>
      </w:r>
      <w:r>
        <w:rPr>
          <w:rFonts w:ascii="Times New Roman" w:hAnsi="Times New Roman"/>
          <w:noProof/>
        </w:rPr>
        <w:t>owiedzią zawartą</w:t>
      </w:r>
      <w:r w:rsidR="001B0DFF">
        <w:rPr>
          <w:rFonts w:ascii="Times New Roman" w:hAnsi="Times New Roman"/>
          <w:noProof/>
        </w:rPr>
        <w:t xml:space="preserve"> w dok</w:t>
      </w:r>
      <w:r>
        <w:rPr>
          <w:rFonts w:ascii="Times New Roman" w:hAnsi="Times New Roman"/>
          <w:noProof/>
        </w:rPr>
        <w:t>umencie pt. „Unia rynków kapitałowych dla obywateli</w:t>
      </w:r>
      <w:r w:rsidR="001B0DFF">
        <w:rPr>
          <w:rFonts w:ascii="Times New Roman" w:hAnsi="Times New Roman"/>
          <w:noProof/>
        </w:rPr>
        <w:t xml:space="preserve"> i prz</w:t>
      </w:r>
      <w:r>
        <w:rPr>
          <w:rFonts w:ascii="Times New Roman" w:hAnsi="Times New Roman"/>
          <w:noProof/>
        </w:rPr>
        <w:t>edsiębiorstw – nowy plan działania”</w:t>
      </w:r>
      <w:r>
        <w:rPr>
          <w:rStyle w:val="FootnoteReference"/>
          <w:rFonts w:ascii="Times New Roman" w:hAnsi="Times New Roman" w:cs="Times New Roman"/>
          <w:noProof/>
        </w:rPr>
        <w:footnoteReference w:id="13"/>
      </w:r>
      <w:r>
        <w:rPr>
          <w:rFonts w:ascii="Times New Roman" w:hAnsi="Times New Roman"/>
          <w:noProof/>
        </w:rPr>
        <w:t>,</w:t>
      </w:r>
      <w:r w:rsidR="001B0DFF">
        <w:rPr>
          <w:rFonts w:ascii="Times New Roman" w:hAnsi="Times New Roman"/>
          <w:noProof/>
        </w:rPr>
        <w:t xml:space="preserve"> w nin</w:t>
      </w:r>
      <w:r>
        <w:rPr>
          <w:rFonts w:ascii="Times New Roman" w:hAnsi="Times New Roman"/>
          <w:noProof/>
        </w:rPr>
        <w:t>iejszym sprawozdaniu podsumowano rozwój rynku</w:t>
      </w:r>
      <w:r w:rsidR="001B0DFF">
        <w:rPr>
          <w:rFonts w:ascii="Times New Roman" w:hAnsi="Times New Roman"/>
          <w:noProof/>
        </w:rPr>
        <w:t xml:space="preserve"> i omó</w:t>
      </w:r>
      <w:r>
        <w:rPr>
          <w:rFonts w:ascii="Times New Roman" w:hAnsi="Times New Roman"/>
          <w:noProof/>
        </w:rPr>
        <w:t xml:space="preserve">wiono ważne aspekty ram prawnych. Niniejsze sprawozdanie stanowi wypełnienie mandatu prawnego Komisji na podstawie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4</w:t>
      </w:r>
      <w:r>
        <w:rPr>
          <w:rFonts w:ascii="Times New Roman" w:hAnsi="Times New Roman"/>
          <w:noProof/>
        </w:rPr>
        <w:t>6 rozporządzenia</w:t>
      </w:r>
      <w:r w:rsidR="001B0DFF">
        <w:rPr>
          <w:rFonts w:ascii="Times New Roman" w:hAnsi="Times New Roman"/>
          <w:noProof/>
        </w:rPr>
        <w:t xml:space="preserve"> w spr</w:t>
      </w:r>
      <w:r>
        <w:rPr>
          <w:rFonts w:ascii="Times New Roman" w:hAnsi="Times New Roman"/>
          <w:noProof/>
        </w:rPr>
        <w:t>awie sekurytyzacji, zgodnie</w:t>
      </w:r>
      <w:r w:rsidR="001B0DFF">
        <w:rPr>
          <w:rFonts w:ascii="Times New Roman" w:hAnsi="Times New Roman"/>
          <w:noProof/>
        </w:rPr>
        <w:t xml:space="preserve"> z któ</w:t>
      </w:r>
      <w:r>
        <w:rPr>
          <w:rFonts w:ascii="Times New Roman" w:hAnsi="Times New Roman"/>
          <w:noProof/>
        </w:rPr>
        <w:t>rym Komisja powinna przedstawić Parlamentowi Europejskiemu</w:t>
      </w:r>
      <w:r w:rsidR="001B0DFF">
        <w:rPr>
          <w:rFonts w:ascii="Times New Roman" w:hAnsi="Times New Roman"/>
          <w:noProof/>
        </w:rPr>
        <w:t xml:space="preserve"> i Rad</w:t>
      </w:r>
      <w:r>
        <w:rPr>
          <w:rFonts w:ascii="Times New Roman" w:hAnsi="Times New Roman"/>
          <w:noProof/>
        </w:rPr>
        <w:t>zie sprawozdanie</w:t>
      </w:r>
      <w:r w:rsidR="001B0DFF">
        <w:rPr>
          <w:rFonts w:ascii="Times New Roman" w:hAnsi="Times New Roman"/>
          <w:noProof/>
        </w:rPr>
        <w:t xml:space="preserve"> z fun</w:t>
      </w:r>
      <w:r>
        <w:rPr>
          <w:rFonts w:ascii="Times New Roman" w:hAnsi="Times New Roman"/>
          <w:noProof/>
        </w:rPr>
        <w:t>kcjonowania rozporządzenia</w:t>
      </w:r>
      <w:r w:rsidR="001B0DFF">
        <w:rPr>
          <w:rFonts w:ascii="Times New Roman" w:hAnsi="Times New Roman"/>
          <w:noProof/>
        </w:rPr>
        <w:t xml:space="preserve"> w spr</w:t>
      </w:r>
      <w:r>
        <w:rPr>
          <w:rFonts w:ascii="Times New Roman" w:hAnsi="Times New Roman"/>
          <w:noProof/>
        </w:rPr>
        <w:t>awie sekurytyzacji, dołączając,</w:t>
      </w:r>
      <w:r w:rsidR="001B0DFF">
        <w:rPr>
          <w:rFonts w:ascii="Times New Roman" w:hAnsi="Times New Roman"/>
          <w:noProof/>
        </w:rPr>
        <w:t xml:space="preserve"> w sto</w:t>
      </w:r>
      <w:r>
        <w:rPr>
          <w:rFonts w:ascii="Times New Roman" w:hAnsi="Times New Roman"/>
          <w:noProof/>
        </w:rPr>
        <w:t xml:space="preserve">sownych przypadkach, wniosek ustawodawczy. Stanowi również wypełnienie mandatu prawnego na podstawie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4</w:t>
      </w:r>
      <w:r>
        <w:rPr>
          <w:rFonts w:ascii="Times New Roman" w:hAnsi="Times New Roman"/>
          <w:noProof/>
        </w:rPr>
        <w:t xml:space="preserve">5a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3</w:t>
      </w:r>
      <w:r>
        <w:rPr>
          <w:rFonts w:ascii="Times New Roman" w:hAnsi="Times New Roman"/>
          <w:noProof/>
        </w:rPr>
        <w:t xml:space="preserve"> dotyczące przedstawiania współustawodawcom sprawozdania</w:t>
      </w:r>
      <w:r w:rsidR="001B0DFF">
        <w:rPr>
          <w:rFonts w:ascii="Times New Roman" w:hAnsi="Times New Roman"/>
          <w:noProof/>
        </w:rPr>
        <w:t xml:space="preserve"> w spr</w:t>
      </w:r>
      <w:r>
        <w:rPr>
          <w:rFonts w:ascii="Times New Roman" w:hAnsi="Times New Roman"/>
          <w:noProof/>
        </w:rPr>
        <w:t>awie stworzenia szczególnych ramy zrównoważonej sekurytyzacji</w:t>
      </w:r>
      <w:r w:rsidR="001B0DFF">
        <w:rPr>
          <w:rFonts w:ascii="Times New Roman" w:hAnsi="Times New Roman"/>
          <w:noProof/>
        </w:rPr>
        <w:t xml:space="preserve"> w opa</w:t>
      </w:r>
      <w:r>
        <w:rPr>
          <w:rFonts w:ascii="Times New Roman" w:hAnsi="Times New Roman"/>
          <w:noProof/>
        </w:rPr>
        <w:t>rciu</w:t>
      </w:r>
      <w:r w:rsidR="001B0DFF">
        <w:rPr>
          <w:rFonts w:ascii="Times New Roman" w:hAnsi="Times New Roman"/>
          <w:noProof/>
        </w:rPr>
        <w:t xml:space="preserve"> o odp</w:t>
      </w:r>
      <w:r>
        <w:rPr>
          <w:rFonts w:ascii="Times New Roman" w:hAnsi="Times New Roman"/>
          <w:noProof/>
        </w:rPr>
        <w:t>owiednie sprawozdanie Europejskiego Urzędu Nadzoru Bankowego (EBA). Niniejszy raport odnosi się również do kwestii poruszonych</w:t>
      </w:r>
      <w:r w:rsidR="001B0DFF">
        <w:rPr>
          <w:rFonts w:ascii="Times New Roman" w:hAnsi="Times New Roman"/>
          <w:noProof/>
        </w:rPr>
        <w:t xml:space="preserve"> w opi</w:t>
      </w:r>
      <w:r>
        <w:rPr>
          <w:rFonts w:ascii="Times New Roman" w:hAnsi="Times New Roman"/>
          <w:noProof/>
        </w:rPr>
        <w:t>nii Europejskich Organów Nadzoru (ESA)</w:t>
      </w:r>
      <w:r w:rsidR="001B0DFF">
        <w:rPr>
          <w:rFonts w:ascii="Times New Roman" w:hAnsi="Times New Roman"/>
          <w:noProof/>
        </w:rPr>
        <w:t xml:space="preserve"> z 2</w:t>
      </w:r>
      <w:r>
        <w:rPr>
          <w:rFonts w:ascii="Times New Roman" w:hAnsi="Times New Roman"/>
          <w:noProof/>
        </w:rPr>
        <w:t>5 marca 20</w:t>
      </w:r>
      <w:r w:rsidRPr="001B0DFF">
        <w:rPr>
          <w:rFonts w:ascii="Times New Roman" w:hAnsi="Times New Roman"/>
          <w:noProof/>
        </w:rPr>
        <w:t>21</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dla Komisji Europejskiej</w:t>
      </w:r>
      <w:r w:rsidR="001B0DFF">
        <w:rPr>
          <w:rFonts w:ascii="Times New Roman" w:hAnsi="Times New Roman"/>
          <w:noProof/>
        </w:rPr>
        <w:t xml:space="preserve"> w spr</w:t>
      </w:r>
      <w:r>
        <w:rPr>
          <w:rFonts w:ascii="Times New Roman" w:hAnsi="Times New Roman"/>
          <w:noProof/>
        </w:rPr>
        <w:t>awie zakresu jurysdykcji</w:t>
      </w:r>
      <w:r>
        <w:rPr>
          <w:rStyle w:val="FootnoteReference"/>
          <w:rFonts w:ascii="Times New Roman" w:hAnsi="Times New Roman" w:cs="Times New Roman"/>
          <w:noProof/>
        </w:rPr>
        <w:footnoteReference w:id="14"/>
      </w:r>
      <w:r>
        <w:rPr>
          <w:rFonts w:ascii="Times New Roman" w:hAnsi="Times New Roman"/>
          <w:noProof/>
        </w:rPr>
        <w:t xml:space="preserve"> („opinia Wspólnego Komitetu”), poprzez przedstawienie wykładni prawnej niektórych przepisów rozporządzenia</w:t>
      </w:r>
      <w:r w:rsidR="001B0DFF">
        <w:rPr>
          <w:rFonts w:ascii="Times New Roman" w:hAnsi="Times New Roman"/>
          <w:noProof/>
        </w:rPr>
        <w:t xml:space="preserve"> w spr</w:t>
      </w:r>
      <w:r>
        <w:rPr>
          <w:rFonts w:ascii="Times New Roman" w:hAnsi="Times New Roman"/>
          <w:noProof/>
        </w:rPr>
        <w:t>awie sekurytyzacji. Uwzględniono</w:t>
      </w:r>
      <w:r w:rsidR="001B0DFF">
        <w:rPr>
          <w:rFonts w:ascii="Times New Roman" w:hAnsi="Times New Roman"/>
          <w:noProof/>
        </w:rPr>
        <w:t xml:space="preserve"> w nim</w:t>
      </w:r>
      <w:r>
        <w:rPr>
          <w:rFonts w:ascii="Times New Roman" w:hAnsi="Times New Roman"/>
          <w:noProof/>
        </w:rPr>
        <w:t xml:space="preserve"> również zalecenia utworzonego przez Komisję</w:t>
      </w:r>
      <w:r w:rsidR="001B0DFF">
        <w:rPr>
          <w:rFonts w:ascii="Times New Roman" w:hAnsi="Times New Roman"/>
          <w:noProof/>
        </w:rPr>
        <w:t xml:space="preserve"> w 2</w:t>
      </w:r>
      <w:r>
        <w:rPr>
          <w:rFonts w:ascii="Times New Roman" w:hAnsi="Times New Roman"/>
          <w:noProof/>
        </w:rPr>
        <w:t>0</w:t>
      </w:r>
      <w:r w:rsidRPr="001B0DFF">
        <w:rPr>
          <w:rFonts w:ascii="Times New Roman" w:hAnsi="Times New Roman"/>
          <w:noProof/>
        </w:rPr>
        <w:t>19</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forum wysokiego szczebla ds. unii rynków kapitałowych</w:t>
      </w:r>
      <w:r>
        <w:rPr>
          <w:rStyle w:val="FootnoteReference"/>
          <w:rFonts w:ascii="Times New Roman" w:hAnsi="Times New Roman" w:cs="Times New Roman"/>
          <w:noProof/>
        </w:rPr>
        <w:footnoteReference w:id="15"/>
      </w:r>
      <w:r>
        <w:rPr>
          <w:noProof/>
        </w:rPr>
        <w:t>.</w:t>
      </w:r>
    </w:p>
    <w:p w14:paraId="3DD69770" w14:textId="108FCD87" w:rsidR="003C6402" w:rsidRPr="003C0D71" w:rsidRDefault="00784D53" w:rsidP="00784D53">
      <w:pPr>
        <w:jc w:val="both"/>
        <w:rPr>
          <w:rFonts w:ascii="Times New Roman" w:hAnsi="Times New Roman" w:cs="Times New Roman"/>
          <w:noProof/>
        </w:rPr>
      </w:pPr>
      <w:r>
        <w:rPr>
          <w:rFonts w:ascii="Times New Roman" w:hAnsi="Times New Roman"/>
          <w:noProof/>
        </w:rPr>
        <w:t>W sprawozdaniu wykorzystano szereg źródeł,</w:t>
      </w:r>
      <w:r w:rsidR="001B0DFF">
        <w:rPr>
          <w:rFonts w:ascii="Times New Roman" w:hAnsi="Times New Roman"/>
          <w:noProof/>
        </w:rPr>
        <w:t xml:space="preserve"> w szc</w:t>
      </w:r>
      <w:r>
        <w:rPr>
          <w:rFonts w:ascii="Times New Roman" w:hAnsi="Times New Roman"/>
          <w:noProof/>
        </w:rPr>
        <w:t>zególności obszerną analizę przeprowadzoną przez podkomitet ds. sekurytyzacji Wspólnego Komitetu Europejskich Urzędów Nadzoru, która została opublikowana</w:t>
      </w:r>
      <w:r w:rsidR="001B0DFF">
        <w:rPr>
          <w:rFonts w:ascii="Times New Roman" w:hAnsi="Times New Roman"/>
          <w:noProof/>
        </w:rPr>
        <w:t xml:space="preserve"> w dwó</w:t>
      </w:r>
      <w:r>
        <w:rPr>
          <w:rFonts w:ascii="Times New Roman" w:hAnsi="Times New Roman"/>
          <w:noProof/>
        </w:rPr>
        <w:t>ch dokumentach: (i) sprawozdaniu dotyczącym wdrażania</w:t>
      </w:r>
      <w:r w:rsidR="001B0DFF">
        <w:rPr>
          <w:rFonts w:ascii="Times New Roman" w:hAnsi="Times New Roman"/>
          <w:noProof/>
        </w:rPr>
        <w:t xml:space="preserve"> i fun</w:t>
      </w:r>
      <w:r>
        <w:rPr>
          <w:rFonts w:ascii="Times New Roman" w:hAnsi="Times New Roman"/>
          <w:noProof/>
        </w:rPr>
        <w:t>kcjonowania rozporządzenia</w:t>
      </w:r>
      <w:r w:rsidR="001B0DFF">
        <w:rPr>
          <w:rFonts w:ascii="Times New Roman" w:hAnsi="Times New Roman"/>
          <w:noProof/>
        </w:rPr>
        <w:t xml:space="preserve"> w spr</w:t>
      </w:r>
      <w:r>
        <w:rPr>
          <w:rFonts w:ascii="Times New Roman" w:hAnsi="Times New Roman"/>
          <w:noProof/>
        </w:rPr>
        <w:t>awie sekurytyzacji</w:t>
      </w:r>
      <w:r>
        <w:rPr>
          <w:rStyle w:val="FootnoteReference"/>
          <w:rFonts w:ascii="Times New Roman" w:hAnsi="Times New Roman" w:cs="Times New Roman"/>
          <w:noProof/>
        </w:rPr>
        <w:footnoteReference w:id="16"/>
      </w:r>
      <w:r>
        <w:rPr>
          <w:rFonts w:ascii="Times New Roman" w:hAnsi="Times New Roman"/>
          <w:noProof/>
        </w:rPr>
        <w:t xml:space="preserve"> (17 maja 20</w:t>
      </w:r>
      <w:r w:rsidRPr="001B0DFF">
        <w:rPr>
          <w:rFonts w:ascii="Times New Roman" w:hAnsi="Times New Roman"/>
          <w:noProof/>
        </w:rPr>
        <w:t>21</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„sprawozdanie Wspólnego Komitetu”) oraz (ii) opinii Wspólnego Komitetu. Komisja przeprowadziła ponadto ukierunkowane konsultacje publiczne,</w:t>
      </w:r>
      <w:r w:rsidR="001B0DFF">
        <w:rPr>
          <w:rFonts w:ascii="Times New Roman" w:hAnsi="Times New Roman"/>
          <w:noProof/>
        </w:rPr>
        <w:t xml:space="preserve"> w tra</w:t>
      </w:r>
      <w:r>
        <w:rPr>
          <w:rFonts w:ascii="Times New Roman" w:hAnsi="Times New Roman"/>
          <w:noProof/>
        </w:rPr>
        <w:t>kcie których uzyskano 56 odpowiedzi („konsultacje”). Konsultacje te wzbudziły zainteresowanie szerokiego grona uczestników rynku, zarówno po stronie kupna, jak</w:t>
      </w:r>
      <w:r w:rsidR="001B0DFF">
        <w:rPr>
          <w:rFonts w:ascii="Times New Roman" w:hAnsi="Times New Roman"/>
          <w:noProof/>
        </w:rPr>
        <w:t xml:space="preserve"> i spr</w:t>
      </w:r>
      <w:r>
        <w:rPr>
          <w:rFonts w:ascii="Times New Roman" w:hAnsi="Times New Roman"/>
          <w:noProof/>
        </w:rPr>
        <w:t>zedaży,</w:t>
      </w:r>
      <w:r w:rsidR="001B0DFF">
        <w:rPr>
          <w:rFonts w:ascii="Times New Roman" w:hAnsi="Times New Roman"/>
          <w:noProof/>
        </w:rPr>
        <w:t xml:space="preserve"> a tak</w:t>
      </w:r>
      <w:r>
        <w:rPr>
          <w:rFonts w:ascii="Times New Roman" w:hAnsi="Times New Roman"/>
          <w:noProof/>
        </w:rPr>
        <w:t>że organów publicznych</w:t>
      </w:r>
      <w:r w:rsidR="001B0DFF">
        <w:rPr>
          <w:rFonts w:ascii="Times New Roman" w:hAnsi="Times New Roman"/>
          <w:noProof/>
        </w:rPr>
        <w:t xml:space="preserve"> i śro</w:t>
      </w:r>
      <w:r>
        <w:rPr>
          <w:rFonts w:ascii="Times New Roman" w:hAnsi="Times New Roman"/>
          <w:noProof/>
        </w:rPr>
        <w:t>dowisk akademickich. Do niniejszego sprawozdania dołączono podsumowanie uzyskanych odpowiedzi</w:t>
      </w:r>
      <w:r>
        <w:rPr>
          <w:rStyle w:val="FootnoteReference"/>
          <w:rFonts w:ascii="Times New Roman" w:hAnsi="Times New Roman" w:cs="Times New Roman"/>
          <w:noProof/>
        </w:rPr>
        <w:footnoteReference w:id="17"/>
      </w:r>
      <w:r>
        <w:rPr>
          <w:rFonts w:ascii="Times New Roman" w:hAnsi="Times New Roman"/>
          <w:noProof/>
        </w:rPr>
        <w:t>,</w:t>
      </w:r>
      <w:r w:rsidR="001B0DFF">
        <w:rPr>
          <w:rFonts w:ascii="Times New Roman" w:hAnsi="Times New Roman"/>
          <w:noProof/>
        </w:rPr>
        <w:t xml:space="preserve"> w któ</w:t>
      </w:r>
      <w:r>
        <w:rPr>
          <w:rFonts w:ascii="Times New Roman" w:hAnsi="Times New Roman"/>
          <w:noProof/>
        </w:rPr>
        <w:t xml:space="preserve">rym przedstawiono szczegółowe streszczenie tych odpowiedzi. </w:t>
      </w:r>
    </w:p>
    <w:p w14:paraId="6C7C7163" w14:textId="5BF9031F" w:rsidR="00784D53" w:rsidRPr="003C0D71" w:rsidRDefault="00784D53" w:rsidP="00784D53">
      <w:pPr>
        <w:jc w:val="both"/>
        <w:rPr>
          <w:rFonts w:ascii="Times New Roman" w:hAnsi="Times New Roman" w:cs="Times New Roman"/>
          <w:noProof/>
        </w:rPr>
      </w:pPr>
      <w:r>
        <w:rPr>
          <w:rFonts w:ascii="Times New Roman" w:hAnsi="Times New Roman"/>
          <w:noProof/>
        </w:rPr>
        <w:t>Zgodnie</w:t>
      </w:r>
      <w:r w:rsidR="001B0DFF">
        <w:rPr>
          <w:rFonts w:ascii="Times New Roman" w:hAnsi="Times New Roman"/>
          <w:noProof/>
        </w:rPr>
        <w:t xml:space="preserve"> z man</w:t>
      </w:r>
      <w:r>
        <w:rPr>
          <w:rFonts w:ascii="Times New Roman" w:hAnsi="Times New Roman"/>
          <w:noProof/>
        </w:rPr>
        <w:t>datami prawnymi</w:t>
      </w:r>
      <w:r w:rsidR="001B0DFF">
        <w:rPr>
          <w:rFonts w:ascii="Times New Roman" w:hAnsi="Times New Roman"/>
          <w:noProof/>
        </w:rPr>
        <w:t xml:space="preserve"> w nin</w:t>
      </w:r>
      <w:r>
        <w:rPr>
          <w:rFonts w:ascii="Times New Roman" w:hAnsi="Times New Roman"/>
          <w:noProof/>
        </w:rPr>
        <w:t>iejszym sprawozdaniu skoncentrowano się na tych aspektach ram sekurytyzacji, które dotyczą rozporządzenia</w:t>
      </w:r>
      <w:r w:rsidR="001B0DFF">
        <w:rPr>
          <w:rFonts w:ascii="Times New Roman" w:hAnsi="Times New Roman"/>
          <w:noProof/>
        </w:rPr>
        <w:t xml:space="preserve"> w spr</w:t>
      </w:r>
      <w:r>
        <w:rPr>
          <w:rFonts w:ascii="Times New Roman" w:hAnsi="Times New Roman"/>
          <w:noProof/>
        </w:rPr>
        <w:t>awie sekurytyzacji. Kwestie związane</w:t>
      </w:r>
      <w:r w:rsidR="001B0DFF">
        <w:rPr>
          <w:rFonts w:ascii="Times New Roman" w:hAnsi="Times New Roman"/>
          <w:noProof/>
        </w:rPr>
        <w:t xml:space="preserve"> z ost</w:t>
      </w:r>
      <w:r>
        <w:rPr>
          <w:rFonts w:ascii="Times New Roman" w:hAnsi="Times New Roman"/>
          <w:noProof/>
        </w:rPr>
        <w:t>rożnościowym traktowaniem sekurytyzacji przez banki</w:t>
      </w:r>
      <w:r w:rsidR="001B0DFF">
        <w:rPr>
          <w:rFonts w:ascii="Times New Roman" w:hAnsi="Times New Roman"/>
          <w:noProof/>
        </w:rPr>
        <w:t xml:space="preserve"> i zak</w:t>
      </w:r>
      <w:r>
        <w:rPr>
          <w:rFonts w:ascii="Times New Roman" w:hAnsi="Times New Roman"/>
          <w:noProof/>
        </w:rPr>
        <w:t>łady ubezpieczeń są obecnie przedmiotem wniosku</w:t>
      </w:r>
      <w:r w:rsidR="001B0DFF">
        <w:rPr>
          <w:rFonts w:ascii="Times New Roman" w:hAnsi="Times New Roman"/>
          <w:noProof/>
        </w:rPr>
        <w:t xml:space="preserve"> o prz</w:t>
      </w:r>
      <w:r>
        <w:rPr>
          <w:rFonts w:ascii="Times New Roman" w:hAnsi="Times New Roman"/>
          <w:noProof/>
        </w:rPr>
        <w:t>edstawienie opinii skierowanego do Wspólnego Komitetu ESA</w:t>
      </w:r>
      <w:r>
        <w:rPr>
          <w:rStyle w:val="FootnoteReference"/>
          <w:rFonts w:ascii="Times New Roman" w:hAnsi="Times New Roman" w:cs="Times New Roman"/>
          <w:noProof/>
        </w:rPr>
        <w:footnoteReference w:id="18"/>
      </w:r>
      <w:r>
        <w:rPr>
          <w:rFonts w:ascii="Times New Roman" w:hAnsi="Times New Roman"/>
          <w:noProof/>
        </w:rPr>
        <w:t>,</w:t>
      </w:r>
      <w:r w:rsidR="001B0DFF">
        <w:rPr>
          <w:rFonts w:ascii="Times New Roman" w:hAnsi="Times New Roman"/>
          <w:noProof/>
        </w:rPr>
        <w:t xml:space="preserve"> a Kom</w:t>
      </w:r>
      <w:r>
        <w:rPr>
          <w:rFonts w:ascii="Times New Roman" w:hAnsi="Times New Roman"/>
          <w:noProof/>
        </w:rPr>
        <w:t>isja oceni je po otrzymaniu tej opinii. Niniejsze sprawozdanie</w:t>
      </w:r>
      <w:r w:rsidR="001B0DFF">
        <w:rPr>
          <w:rFonts w:ascii="Times New Roman" w:hAnsi="Times New Roman"/>
          <w:noProof/>
        </w:rPr>
        <w:t xml:space="preserve"> i zaw</w:t>
      </w:r>
      <w:r>
        <w:rPr>
          <w:rFonts w:ascii="Times New Roman" w:hAnsi="Times New Roman"/>
          <w:noProof/>
        </w:rPr>
        <w:t>arte</w:t>
      </w:r>
      <w:r w:rsidR="001B0DFF">
        <w:rPr>
          <w:rFonts w:ascii="Times New Roman" w:hAnsi="Times New Roman"/>
          <w:noProof/>
        </w:rPr>
        <w:t xml:space="preserve"> w nim</w:t>
      </w:r>
      <w:r>
        <w:rPr>
          <w:rFonts w:ascii="Times New Roman" w:hAnsi="Times New Roman"/>
          <w:noProof/>
        </w:rPr>
        <w:t xml:space="preserve"> wnioski</w:t>
      </w:r>
      <w:r w:rsidR="001B0DFF">
        <w:rPr>
          <w:rFonts w:ascii="Times New Roman" w:hAnsi="Times New Roman"/>
          <w:noProof/>
        </w:rPr>
        <w:t xml:space="preserve"> w żad</w:t>
      </w:r>
      <w:r>
        <w:rPr>
          <w:rFonts w:ascii="Times New Roman" w:hAnsi="Times New Roman"/>
          <w:noProof/>
        </w:rPr>
        <w:t>en sposób nie przesądzają</w:t>
      </w:r>
      <w:r w:rsidR="001B0DFF">
        <w:rPr>
          <w:rFonts w:ascii="Times New Roman" w:hAnsi="Times New Roman"/>
          <w:noProof/>
        </w:rPr>
        <w:t xml:space="preserve"> o oce</w:t>
      </w:r>
      <w:r>
        <w:rPr>
          <w:rFonts w:ascii="Times New Roman" w:hAnsi="Times New Roman"/>
          <w:noProof/>
        </w:rPr>
        <w:t>nie</w:t>
      </w:r>
      <w:r w:rsidR="001B0DFF">
        <w:rPr>
          <w:rFonts w:ascii="Times New Roman" w:hAnsi="Times New Roman"/>
          <w:noProof/>
        </w:rPr>
        <w:t xml:space="preserve"> i ewe</w:t>
      </w:r>
      <w:r>
        <w:rPr>
          <w:rFonts w:ascii="Times New Roman" w:hAnsi="Times New Roman"/>
          <w:noProof/>
        </w:rPr>
        <w:t>ntualnych decyzjach, które Komisja podejmie</w:t>
      </w:r>
      <w:r w:rsidR="001B0DFF">
        <w:rPr>
          <w:rFonts w:ascii="Times New Roman" w:hAnsi="Times New Roman"/>
          <w:noProof/>
        </w:rPr>
        <w:t xml:space="preserve"> w spr</w:t>
      </w:r>
      <w:r>
        <w:rPr>
          <w:rFonts w:ascii="Times New Roman" w:hAnsi="Times New Roman"/>
          <w:noProof/>
        </w:rPr>
        <w:t xml:space="preserve">awie adekwatności obecnego systemu ostrożnościowego. </w:t>
      </w:r>
    </w:p>
    <w:p w14:paraId="7D16CAAA" w14:textId="44E3CF10" w:rsidR="00784D53" w:rsidRPr="003C0D71" w:rsidRDefault="00EC6BDE" w:rsidP="00784D53">
      <w:pPr>
        <w:jc w:val="both"/>
        <w:rPr>
          <w:rFonts w:ascii="Times New Roman" w:hAnsi="Times New Roman" w:cs="Times New Roman"/>
          <w:noProof/>
        </w:rPr>
      </w:pPr>
      <w:r>
        <w:rPr>
          <w:rFonts w:ascii="Times New Roman" w:hAnsi="Times New Roman"/>
          <w:noProof/>
        </w:rPr>
        <w:t xml:space="preserve">W sprawozdaniu skoncentrowano się na funkcjonowaniu: (i) wymogu dotyczącego zatrzymania ryzyka; (ii) wymogów dotyczących analizy </w:t>
      </w:r>
      <w:r>
        <w:rPr>
          <w:rFonts w:ascii="Times New Roman" w:hAnsi="Times New Roman"/>
          <w:i/>
          <w:noProof/>
        </w:rPr>
        <w:t>due diligence</w:t>
      </w:r>
      <w:r w:rsidR="001B0DFF">
        <w:rPr>
          <w:rFonts w:ascii="Times New Roman" w:hAnsi="Times New Roman"/>
          <w:noProof/>
        </w:rPr>
        <w:t xml:space="preserve"> i prz</w:t>
      </w:r>
      <w:r>
        <w:rPr>
          <w:rFonts w:ascii="Times New Roman" w:hAnsi="Times New Roman"/>
          <w:noProof/>
        </w:rPr>
        <w:t>ejrzystości; (iii) zasad</w:t>
      </w:r>
      <w:r w:rsidR="001B0DFF">
        <w:rPr>
          <w:rFonts w:ascii="Times New Roman" w:hAnsi="Times New Roman"/>
          <w:noProof/>
        </w:rPr>
        <w:t xml:space="preserve"> i def</w:t>
      </w:r>
      <w:r>
        <w:rPr>
          <w:rFonts w:ascii="Times New Roman" w:hAnsi="Times New Roman"/>
          <w:noProof/>
        </w:rPr>
        <w:t>inicji sekurytyzacji prywatnych; (iv) argumentu przemawiającego za wprowadzeniem systemu równoważności STS; (v) systemu zrównoważonej sekurytyzacji; (vi) funkcji weryfikacji przez osobę trzecią</w:t>
      </w:r>
      <w:r w:rsidR="001B0DFF">
        <w:rPr>
          <w:rFonts w:ascii="Times New Roman" w:hAnsi="Times New Roman"/>
          <w:noProof/>
        </w:rPr>
        <w:t xml:space="preserve"> w ram</w:t>
      </w:r>
      <w:r>
        <w:rPr>
          <w:rFonts w:ascii="Times New Roman" w:hAnsi="Times New Roman"/>
          <w:noProof/>
        </w:rPr>
        <w:t>ach STS oraz (vii) argumentu przemawiającego za ustanowieniem systemu banków licencjonowanych</w:t>
      </w:r>
      <w:r w:rsidR="001B0DFF">
        <w:rPr>
          <w:rFonts w:ascii="Times New Roman" w:hAnsi="Times New Roman"/>
          <w:noProof/>
        </w:rPr>
        <w:t xml:space="preserve"> w mie</w:t>
      </w:r>
      <w:r>
        <w:rPr>
          <w:rFonts w:ascii="Times New Roman" w:hAnsi="Times New Roman"/>
          <w:noProof/>
        </w:rPr>
        <w:t>jsce obecnej struktury sekurytyzacji stanowiącej prawdziwą sprzedaż zbudowanej wokół jednostek specjalnego przeznaczenia do celów sekurytyzacji (SSPE)</w:t>
      </w:r>
      <w:r w:rsidR="001B0DFF">
        <w:rPr>
          <w:rFonts w:ascii="Times New Roman" w:hAnsi="Times New Roman"/>
          <w:noProof/>
        </w:rPr>
        <w:t>. W spr</w:t>
      </w:r>
      <w:r>
        <w:rPr>
          <w:rFonts w:ascii="Times New Roman" w:hAnsi="Times New Roman"/>
          <w:noProof/>
        </w:rPr>
        <w:t>awozdaniu omówiono również kwestie dotyczące zakresu jurysdykcyjnego rozporządzenia</w:t>
      </w:r>
      <w:r w:rsidR="001B0DFF">
        <w:rPr>
          <w:rFonts w:ascii="Times New Roman" w:hAnsi="Times New Roman"/>
          <w:noProof/>
        </w:rPr>
        <w:t xml:space="preserve"> w spr</w:t>
      </w:r>
      <w:r>
        <w:rPr>
          <w:rFonts w:ascii="Times New Roman" w:hAnsi="Times New Roman"/>
          <w:noProof/>
        </w:rPr>
        <w:t>awie sekurytyzacji, podniesione</w:t>
      </w:r>
      <w:r w:rsidR="001B0DFF">
        <w:rPr>
          <w:rFonts w:ascii="Times New Roman" w:hAnsi="Times New Roman"/>
          <w:noProof/>
        </w:rPr>
        <w:t xml:space="preserve"> w opi</w:t>
      </w:r>
      <w:r>
        <w:rPr>
          <w:rFonts w:ascii="Times New Roman" w:hAnsi="Times New Roman"/>
          <w:noProof/>
        </w:rPr>
        <w:t>nii Wspólnego Komitetu, oraz przedstawiono interpretacje prawne</w:t>
      </w:r>
      <w:r w:rsidR="001B0DFF">
        <w:rPr>
          <w:rFonts w:ascii="Times New Roman" w:hAnsi="Times New Roman"/>
          <w:noProof/>
        </w:rPr>
        <w:t xml:space="preserve"> w tym</w:t>
      </w:r>
      <w:r>
        <w:rPr>
          <w:rFonts w:ascii="Times New Roman" w:hAnsi="Times New Roman"/>
          <w:noProof/>
        </w:rPr>
        <w:t xml:space="preserve"> kontekście</w:t>
      </w:r>
      <w:r w:rsidR="001B0DFF">
        <w:rPr>
          <w:rFonts w:ascii="Times New Roman" w:hAnsi="Times New Roman"/>
          <w:noProof/>
        </w:rPr>
        <w:t>. W opa</w:t>
      </w:r>
      <w:r>
        <w:rPr>
          <w:rFonts w:ascii="Times New Roman" w:hAnsi="Times New Roman"/>
          <w:noProof/>
        </w:rPr>
        <w:t>rciu</w:t>
      </w:r>
      <w:r w:rsidR="001B0DFF">
        <w:rPr>
          <w:rFonts w:ascii="Times New Roman" w:hAnsi="Times New Roman"/>
          <w:noProof/>
        </w:rPr>
        <w:t xml:space="preserve"> o spr</w:t>
      </w:r>
      <w:r>
        <w:rPr>
          <w:rFonts w:ascii="Times New Roman" w:hAnsi="Times New Roman"/>
          <w:noProof/>
        </w:rPr>
        <w:t>awozdanie Wspólnego Komitetu niniejszy dokument zawiera ocenę obecnego stanu nadzoru</w:t>
      </w:r>
      <w:r w:rsidR="001B0DFF">
        <w:rPr>
          <w:rFonts w:ascii="Times New Roman" w:hAnsi="Times New Roman"/>
          <w:noProof/>
        </w:rPr>
        <w:t xml:space="preserve"> i koń</w:t>
      </w:r>
      <w:r>
        <w:rPr>
          <w:rFonts w:ascii="Times New Roman" w:hAnsi="Times New Roman"/>
          <w:noProof/>
        </w:rPr>
        <w:t>czy się przeglądem bieżących</w:t>
      </w:r>
      <w:r w:rsidR="001B0DFF">
        <w:rPr>
          <w:rFonts w:ascii="Times New Roman" w:hAnsi="Times New Roman"/>
          <w:noProof/>
        </w:rPr>
        <w:t xml:space="preserve"> i nad</w:t>
      </w:r>
      <w:r>
        <w:rPr>
          <w:rFonts w:ascii="Times New Roman" w:hAnsi="Times New Roman"/>
          <w:noProof/>
        </w:rPr>
        <w:t>chodzących prac nad ostrożnościowym podejściem do sekurytyzacji.</w:t>
      </w:r>
    </w:p>
    <w:p w14:paraId="6E69C494" w14:textId="77777777" w:rsidR="0053752A" w:rsidRPr="003C0D71" w:rsidRDefault="0053752A" w:rsidP="0053752A">
      <w:pPr>
        <w:pStyle w:val="Heading1"/>
        <w:numPr>
          <w:ilvl w:val="0"/>
          <w:numId w:val="2"/>
        </w:numPr>
        <w:rPr>
          <w:rFonts w:ascii="Times New Roman" w:hAnsi="Times New Roman" w:cs="Times New Roman"/>
          <w:noProof/>
          <w:color w:val="auto"/>
        </w:rPr>
      </w:pPr>
      <w:bookmarkStart w:id="10" w:name="_Toc104283062"/>
      <w:bookmarkStart w:id="11" w:name="_Toc104286130"/>
      <w:bookmarkStart w:id="12" w:name="_Toc104297331"/>
      <w:bookmarkStart w:id="13" w:name="_Toc115361585"/>
      <w:bookmarkEnd w:id="9"/>
      <w:r>
        <w:rPr>
          <w:rFonts w:ascii="Times New Roman" w:hAnsi="Times New Roman"/>
          <w:noProof/>
          <w:color w:val="auto"/>
        </w:rPr>
        <w:t>Zmiany na rynku</w:t>
      </w:r>
      <w:bookmarkEnd w:id="10"/>
      <w:bookmarkEnd w:id="11"/>
      <w:bookmarkEnd w:id="12"/>
      <w:bookmarkEnd w:id="13"/>
    </w:p>
    <w:p w14:paraId="6AA76676" w14:textId="6CEF6737" w:rsidR="00175683" w:rsidRPr="003C0D71" w:rsidRDefault="00175683" w:rsidP="00175683">
      <w:pPr>
        <w:spacing w:before="120"/>
        <w:jc w:val="both"/>
        <w:rPr>
          <w:rFonts w:ascii="Times New Roman" w:hAnsi="Times New Roman" w:cs="Times New Roman"/>
          <w:noProof/>
        </w:rPr>
      </w:pPr>
      <w:bookmarkStart w:id="14" w:name="_Toc104213063"/>
      <w:bookmarkStart w:id="15" w:name="_Toc104213068"/>
      <w:bookmarkEnd w:id="14"/>
      <w:r>
        <w:rPr>
          <w:rFonts w:ascii="Times New Roman" w:hAnsi="Times New Roman"/>
          <w:noProof/>
        </w:rPr>
        <w:t>Obecnie trudno jest uzyskać wiarygodne</w:t>
      </w:r>
      <w:r w:rsidR="001B0DFF">
        <w:rPr>
          <w:rFonts w:ascii="Times New Roman" w:hAnsi="Times New Roman"/>
          <w:noProof/>
        </w:rPr>
        <w:t xml:space="preserve"> i kom</w:t>
      </w:r>
      <w:r>
        <w:rPr>
          <w:rFonts w:ascii="Times New Roman" w:hAnsi="Times New Roman"/>
          <w:noProof/>
        </w:rPr>
        <w:t>pleksowe szacunki dotyczące wielkości rynku sekurytyzacji w UE</w:t>
      </w:r>
      <w:r w:rsidR="001B0DFF">
        <w:rPr>
          <w:rFonts w:ascii="Times New Roman" w:hAnsi="Times New Roman"/>
          <w:noProof/>
        </w:rPr>
        <w:t>. Z cza</w:t>
      </w:r>
      <w:r>
        <w:rPr>
          <w:rFonts w:ascii="Times New Roman" w:hAnsi="Times New Roman"/>
          <w:noProof/>
        </w:rPr>
        <w:t>sem repozytoria sekurytyzacji będą</w:t>
      </w:r>
      <w:r w:rsidR="001B0DFF">
        <w:rPr>
          <w:rFonts w:ascii="Times New Roman" w:hAnsi="Times New Roman"/>
          <w:noProof/>
        </w:rPr>
        <w:t xml:space="preserve"> w sta</w:t>
      </w:r>
      <w:r>
        <w:rPr>
          <w:rFonts w:ascii="Times New Roman" w:hAnsi="Times New Roman"/>
          <w:noProof/>
        </w:rPr>
        <w:t>nie przedstawić pełne zestawienie publicznych sekurytyzacji, ale obecnie pozostaje duża liczba aktywnych transakcji odziedziczonych, tj. wyemitowanych przed 1 stycznia 20</w:t>
      </w:r>
      <w:r w:rsidRPr="001B0DFF">
        <w:rPr>
          <w:rFonts w:ascii="Times New Roman" w:hAnsi="Times New Roman"/>
          <w:noProof/>
        </w:rPr>
        <w:t>19</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które nie muszą być zgłaszane do repozytoriów. 6 kwietnia 20</w:t>
      </w:r>
      <w:r w:rsidRPr="001B0DFF">
        <w:rPr>
          <w:rFonts w:ascii="Times New Roman" w:hAnsi="Times New Roman"/>
          <w:noProof/>
        </w:rPr>
        <w:t>22</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wolumen sekurytyzacji zgłoszonych do repozytoriów sekurytyzacji wynosił około 460 mld EUR, natomiast szacunki rynkowe dotyczące wielkości publicznego rynku sekurytyzacji</w:t>
      </w:r>
      <w:r w:rsidR="001B0DFF">
        <w:rPr>
          <w:rFonts w:ascii="Times New Roman" w:hAnsi="Times New Roman"/>
          <w:noProof/>
        </w:rPr>
        <w:t xml:space="preserve"> w str</w:t>
      </w:r>
      <w:r>
        <w:rPr>
          <w:rFonts w:ascii="Times New Roman" w:hAnsi="Times New Roman"/>
          <w:noProof/>
        </w:rPr>
        <w:t>efie euro (z wyłączeniem instrumentów typu CLO) na koniec 20</w:t>
      </w:r>
      <w:r w:rsidRPr="001B0DFF">
        <w:rPr>
          <w:rFonts w:ascii="Times New Roman" w:hAnsi="Times New Roman"/>
          <w:noProof/>
        </w:rPr>
        <w:t>21</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wynosiły prawie 750 mld EUR. Ponadto obecnie nie ma żadnych oficjalnych informacji na temat dokładnej wielkości rynku sekurytyzacji prywatnych, ponieważ transakcje takie są obecnie zgłaszane do repozytoriów sekurytyzacji jedynie na zasadzie dobrowolności,</w:t>
      </w:r>
      <w:r w:rsidR="001B0DFF">
        <w:rPr>
          <w:rFonts w:ascii="Times New Roman" w:hAnsi="Times New Roman"/>
          <w:noProof/>
        </w:rPr>
        <w:t xml:space="preserve"> a org</w:t>
      </w:r>
      <w:r>
        <w:rPr>
          <w:rFonts w:ascii="Times New Roman" w:hAnsi="Times New Roman"/>
          <w:noProof/>
        </w:rPr>
        <w:t>any nadzoru nie gromadziły dotychczas takich danych</w:t>
      </w:r>
      <w:r w:rsidR="001B0DFF">
        <w:rPr>
          <w:rFonts w:ascii="Times New Roman" w:hAnsi="Times New Roman"/>
          <w:noProof/>
        </w:rPr>
        <w:t xml:space="preserve"> w spo</w:t>
      </w:r>
      <w:r>
        <w:rPr>
          <w:rFonts w:ascii="Times New Roman" w:hAnsi="Times New Roman"/>
          <w:noProof/>
        </w:rPr>
        <w:t>sób systematyczny. Jak wynika</w:t>
      </w:r>
      <w:r w:rsidR="001B0DFF">
        <w:rPr>
          <w:rFonts w:ascii="Times New Roman" w:hAnsi="Times New Roman"/>
          <w:noProof/>
        </w:rPr>
        <w:t xml:space="preserve"> z dok</w:t>
      </w:r>
      <w:r>
        <w:rPr>
          <w:rFonts w:ascii="Times New Roman" w:hAnsi="Times New Roman"/>
          <w:noProof/>
        </w:rPr>
        <w:t>umentu pt. „European Benchmarking Exercise for private securitisations” [Europejska analiza porównawcza dotycząca sekurytyzacji prywatnej]</w:t>
      </w:r>
      <w:r>
        <w:rPr>
          <w:rStyle w:val="FootnoteReference"/>
          <w:rFonts w:ascii="Times New Roman" w:hAnsi="Times New Roman" w:cs="Times New Roman"/>
          <w:noProof/>
        </w:rPr>
        <w:footnoteReference w:id="19"/>
      </w:r>
      <w:r>
        <w:rPr>
          <w:rFonts w:ascii="Times New Roman" w:hAnsi="Times New Roman"/>
          <w:noProof/>
        </w:rPr>
        <w:t>, cały rynek szacuje się na co najmniej 189 mld EUR łącznych zobowiązań</w:t>
      </w:r>
      <w:r w:rsidR="001B0DFF">
        <w:rPr>
          <w:rFonts w:ascii="Times New Roman" w:hAnsi="Times New Roman"/>
          <w:noProof/>
        </w:rPr>
        <w:t>. W sza</w:t>
      </w:r>
      <w:r>
        <w:rPr>
          <w:rFonts w:ascii="Times New Roman" w:hAnsi="Times New Roman"/>
          <w:noProof/>
        </w:rPr>
        <w:t>cunkach tych uwzględniono jednak transakcje</w:t>
      </w:r>
      <w:r w:rsidR="001B0DFF">
        <w:rPr>
          <w:rFonts w:ascii="Times New Roman" w:hAnsi="Times New Roman"/>
          <w:noProof/>
        </w:rPr>
        <w:t xml:space="preserve"> w Zje</w:t>
      </w:r>
      <w:r>
        <w:rPr>
          <w:rFonts w:ascii="Times New Roman" w:hAnsi="Times New Roman"/>
          <w:noProof/>
        </w:rPr>
        <w:t>dnoczonym Królestwie.</w:t>
      </w:r>
    </w:p>
    <w:p w14:paraId="3312B115" w14:textId="60572807" w:rsidR="005C5C27" w:rsidRPr="003C0D71" w:rsidRDefault="005C5C27" w:rsidP="005C5C27">
      <w:pPr>
        <w:spacing w:before="120"/>
        <w:jc w:val="both"/>
        <w:rPr>
          <w:rFonts w:ascii="Times New Roman" w:hAnsi="Times New Roman" w:cs="Times New Roman"/>
          <w:noProof/>
        </w:rPr>
      </w:pPr>
      <w:r>
        <w:rPr>
          <w:rFonts w:ascii="Times New Roman" w:hAnsi="Times New Roman"/>
          <w:noProof/>
        </w:rPr>
        <w:t>Jak wynika</w:t>
      </w:r>
      <w:r w:rsidR="001B0DFF">
        <w:rPr>
          <w:rFonts w:ascii="Times New Roman" w:hAnsi="Times New Roman"/>
          <w:noProof/>
        </w:rPr>
        <w:t xml:space="preserve"> z sza</w:t>
      </w:r>
      <w:r>
        <w:rPr>
          <w:rFonts w:ascii="Times New Roman" w:hAnsi="Times New Roman"/>
          <w:noProof/>
        </w:rPr>
        <w:t>cunków rynkowych, po kilku latach spadku</w:t>
      </w:r>
      <w:r>
        <w:rPr>
          <w:rStyle w:val="FootnoteReference"/>
          <w:rFonts w:ascii="Times New Roman" w:hAnsi="Times New Roman" w:cs="Times New Roman"/>
          <w:noProof/>
        </w:rPr>
        <w:footnoteReference w:id="20"/>
      </w:r>
      <w:r>
        <w:rPr>
          <w:rFonts w:ascii="Times New Roman" w:hAnsi="Times New Roman"/>
          <w:noProof/>
        </w:rPr>
        <w:t xml:space="preserve"> saldo należności</w:t>
      </w:r>
      <w:r w:rsidR="001B0DFF">
        <w:rPr>
          <w:rFonts w:ascii="Times New Roman" w:hAnsi="Times New Roman"/>
          <w:noProof/>
        </w:rPr>
        <w:t xml:space="preserve"> w prz</w:t>
      </w:r>
      <w:r>
        <w:rPr>
          <w:rFonts w:ascii="Times New Roman" w:hAnsi="Times New Roman"/>
          <w:noProof/>
        </w:rPr>
        <w:t>ypadku transakcji sekurytyzacyjnych w UE jest stabilne od czasu wejścia</w:t>
      </w:r>
      <w:r w:rsidR="001B0DFF">
        <w:rPr>
          <w:rFonts w:ascii="Times New Roman" w:hAnsi="Times New Roman"/>
          <w:noProof/>
        </w:rPr>
        <w:t xml:space="preserve"> w życ</w:t>
      </w:r>
      <w:r>
        <w:rPr>
          <w:rFonts w:ascii="Times New Roman" w:hAnsi="Times New Roman"/>
          <w:noProof/>
        </w:rPr>
        <w:t>ie rozporządzenia</w:t>
      </w:r>
      <w:r w:rsidR="001B0DFF">
        <w:rPr>
          <w:rFonts w:ascii="Times New Roman" w:hAnsi="Times New Roman"/>
          <w:noProof/>
        </w:rPr>
        <w:t xml:space="preserve"> w spr</w:t>
      </w:r>
      <w:r>
        <w:rPr>
          <w:rFonts w:ascii="Times New Roman" w:hAnsi="Times New Roman"/>
          <w:noProof/>
        </w:rPr>
        <w:t>awie sekurytyzacji</w:t>
      </w:r>
      <w:r w:rsidR="001B0DFF">
        <w:rPr>
          <w:rFonts w:ascii="Times New Roman" w:hAnsi="Times New Roman"/>
          <w:noProof/>
        </w:rPr>
        <w:t xml:space="preserve"> w 2</w:t>
      </w:r>
      <w:r>
        <w:rPr>
          <w:rFonts w:ascii="Times New Roman" w:hAnsi="Times New Roman"/>
          <w:noProof/>
        </w:rPr>
        <w:t>0</w:t>
      </w:r>
      <w:r w:rsidRPr="001B0DFF">
        <w:rPr>
          <w:rFonts w:ascii="Times New Roman" w:hAnsi="Times New Roman"/>
          <w:noProof/>
        </w:rPr>
        <w:t>19</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Między 20</w:t>
      </w:r>
      <w:r w:rsidRPr="001B0DFF">
        <w:rPr>
          <w:rFonts w:ascii="Times New Roman" w:hAnsi="Times New Roman"/>
          <w:noProof/>
        </w:rPr>
        <w:t>15</w:t>
      </w:r>
      <w:r w:rsidR="001B0DFF" w:rsidRPr="001B0DFF">
        <w:rPr>
          <w:rFonts w:ascii="Times New Roman" w:hAnsi="Times New Roman"/>
          <w:noProof/>
        </w:rPr>
        <w:t> </w:t>
      </w:r>
      <w:r w:rsidRPr="001B0DFF">
        <w:rPr>
          <w:rFonts w:ascii="Times New Roman" w:hAnsi="Times New Roman"/>
          <w:noProof/>
        </w:rPr>
        <w:t>r.</w:t>
      </w:r>
      <w:r w:rsidR="001B0DFF">
        <w:rPr>
          <w:rFonts w:ascii="Times New Roman" w:hAnsi="Times New Roman"/>
          <w:noProof/>
        </w:rPr>
        <w:t xml:space="preserve"> a koń</w:t>
      </w:r>
      <w:r>
        <w:rPr>
          <w:rFonts w:ascii="Times New Roman" w:hAnsi="Times New Roman"/>
          <w:noProof/>
        </w:rPr>
        <w:t>cem 20</w:t>
      </w:r>
      <w:r w:rsidRPr="001B0DFF">
        <w:rPr>
          <w:rFonts w:ascii="Times New Roman" w:hAnsi="Times New Roman"/>
          <w:noProof/>
        </w:rPr>
        <w:t>21</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saldo zmniejszyło się</w:t>
      </w:r>
      <w:r w:rsidR="001B0DFF">
        <w:rPr>
          <w:rFonts w:ascii="Times New Roman" w:hAnsi="Times New Roman"/>
          <w:noProof/>
        </w:rPr>
        <w:t xml:space="preserve"> o 1</w:t>
      </w:r>
      <w:r>
        <w:rPr>
          <w:rFonts w:ascii="Times New Roman" w:hAnsi="Times New Roman"/>
          <w:noProof/>
        </w:rPr>
        <w:t>1,</w:t>
      </w:r>
      <w:r w:rsidRPr="001B0DFF">
        <w:rPr>
          <w:rFonts w:ascii="Times New Roman" w:hAnsi="Times New Roman"/>
          <w:noProof/>
        </w:rPr>
        <w:t>9</w:t>
      </w:r>
      <w:r w:rsidR="001B0DFF" w:rsidRPr="001B0DFF">
        <w:rPr>
          <w:rFonts w:ascii="Times New Roman" w:hAnsi="Times New Roman"/>
          <w:noProof/>
        </w:rPr>
        <w:t> </w:t>
      </w:r>
      <w:r w:rsidRPr="001B0DFF">
        <w:rPr>
          <w:rFonts w:ascii="Times New Roman" w:hAnsi="Times New Roman"/>
          <w:noProof/>
        </w:rPr>
        <w:t>%</w:t>
      </w:r>
      <w:r>
        <w:rPr>
          <w:rFonts w:ascii="Times New Roman" w:hAnsi="Times New Roman"/>
          <w:noProof/>
        </w:rPr>
        <w:t xml:space="preserve"> wykazując podobną dynamikę jak rynek Zjednoczonego Królestwa, natomiast amerykański rynek sekurytyzacji</w:t>
      </w:r>
      <w:r w:rsidR="001B0DFF">
        <w:rPr>
          <w:rFonts w:ascii="Times New Roman" w:hAnsi="Times New Roman"/>
          <w:noProof/>
        </w:rPr>
        <w:t xml:space="preserve"> w tym</w:t>
      </w:r>
      <w:r>
        <w:rPr>
          <w:rFonts w:ascii="Times New Roman" w:hAnsi="Times New Roman"/>
          <w:noProof/>
        </w:rPr>
        <w:t xml:space="preserve"> okresie odnotował znaczący wzrost</w:t>
      </w:r>
      <w:r>
        <w:rPr>
          <w:rStyle w:val="FootnoteReference"/>
          <w:rFonts w:ascii="Times New Roman" w:hAnsi="Times New Roman" w:cs="Times New Roman"/>
          <w:noProof/>
          <w:lang w:val="en-IE"/>
        </w:rPr>
        <w:footnoteReference w:id="21"/>
      </w:r>
      <w:r>
        <w:rPr>
          <w:rFonts w:ascii="Times New Roman" w:hAnsi="Times New Roman"/>
          <w:noProof/>
        </w:rPr>
        <w:t>. Dominującym rodzajem sekurytyzacji jest papier wartościowy zabezpieczony spłatami mieszkaniowych kredytów hipotecznych, które na koniec 20</w:t>
      </w:r>
      <w:r w:rsidRPr="001B0DFF">
        <w:rPr>
          <w:rFonts w:ascii="Times New Roman" w:hAnsi="Times New Roman"/>
          <w:noProof/>
        </w:rPr>
        <w:t>21</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stanowiły prawie 6</w:t>
      </w:r>
      <w:r w:rsidRPr="001B0DFF">
        <w:rPr>
          <w:rFonts w:ascii="Times New Roman" w:hAnsi="Times New Roman"/>
          <w:noProof/>
        </w:rPr>
        <w:t>0</w:t>
      </w:r>
      <w:r w:rsidR="001B0DFF" w:rsidRPr="001B0DFF">
        <w:rPr>
          <w:rFonts w:ascii="Times New Roman" w:hAnsi="Times New Roman"/>
          <w:noProof/>
        </w:rPr>
        <w:t> </w:t>
      </w:r>
      <w:r w:rsidRPr="001B0DFF">
        <w:rPr>
          <w:rFonts w:ascii="Times New Roman" w:hAnsi="Times New Roman"/>
          <w:noProof/>
        </w:rPr>
        <w:t>%</w:t>
      </w:r>
      <w:r>
        <w:rPr>
          <w:rFonts w:ascii="Times New Roman" w:hAnsi="Times New Roman"/>
          <w:noProof/>
        </w:rPr>
        <w:t xml:space="preserve"> rynku UE,</w:t>
      </w:r>
      <w:r w:rsidR="001B0DFF">
        <w:rPr>
          <w:rFonts w:ascii="Times New Roman" w:hAnsi="Times New Roman"/>
          <w:noProof/>
        </w:rPr>
        <w:t xml:space="preserve"> a w dal</w:t>
      </w:r>
      <w:r>
        <w:rPr>
          <w:rFonts w:ascii="Times New Roman" w:hAnsi="Times New Roman"/>
          <w:noProof/>
        </w:rPr>
        <w:t>szej kolejności sekurytyzacja zabezpieczona kredytami dla MŚP, kredytami konsumenckimi</w:t>
      </w:r>
      <w:r w:rsidR="001B0DFF">
        <w:rPr>
          <w:rFonts w:ascii="Times New Roman" w:hAnsi="Times New Roman"/>
          <w:noProof/>
        </w:rPr>
        <w:t xml:space="preserve"> i kre</w:t>
      </w:r>
      <w:r>
        <w:rPr>
          <w:rFonts w:ascii="Times New Roman" w:hAnsi="Times New Roman"/>
          <w:noProof/>
        </w:rPr>
        <w:t xml:space="preserve">dytami na zakup samochodu. </w:t>
      </w:r>
    </w:p>
    <w:p w14:paraId="6F2041E7" w14:textId="3F12F7A4" w:rsidR="00175683" w:rsidRPr="001B0DFF" w:rsidRDefault="00134A50" w:rsidP="00175683">
      <w:pPr>
        <w:spacing w:before="120"/>
        <w:jc w:val="both"/>
        <w:rPr>
          <w:rFonts w:ascii="Times New Roman" w:hAnsi="Times New Roman" w:cs="Times New Roman"/>
          <w:noProof/>
        </w:rPr>
      </w:pPr>
      <w:r>
        <w:rPr>
          <w:rFonts w:ascii="Times New Roman" w:hAnsi="Times New Roman"/>
          <w:noProof/>
        </w:rPr>
        <w:t>Alternatywnym źródłem danych jest wspólna sprawozdawczość</w:t>
      </w:r>
      <w:r w:rsidR="001B0DFF">
        <w:rPr>
          <w:rFonts w:ascii="Times New Roman" w:hAnsi="Times New Roman"/>
          <w:noProof/>
        </w:rPr>
        <w:t xml:space="preserve"> w zak</w:t>
      </w:r>
      <w:r>
        <w:rPr>
          <w:rFonts w:ascii="Times New Roman" w:hAnsi="Times New Roman"/>
          <w:noProof/>
        </w:rPr>
        <w:t>resie skonsolidowanych, subskonsolidowanych</w:t>
      </w:r>
      <w:r w:rsidR="001B0DFF">
        <w:rPr>
          <w:rFonts w:ascii="Times New Roman" w:hAnsi="Times New Roman"/>
          <w:noProof/>
        </w:rPr>
        <w:t xml:space="preserve"> i jed</w:t>
      </w:r>
      <w:r>
        <w:rPr>
          <w:rFonts w:ascii="Times New Roman" w:hAnsi="Times New Roman"/>
          <w:noProof/>
        </w:rPr>
        <w:t>nostkowych wymogów kapitałowych (COREP), która obejmuje sekurytyzacje stanowiące prawdziwą sprzedaż, sekurytyzacje syntetyczne</w:t>
      </w:r>
      <w:r w:rsidR="001B0DFF">
        <w:rPr>
          <w:rFonts w:ascii="Times New Roman" w:hAnsi="Times New Roman"/>
          <w:noProof/>
        </w:rPr>
        <w:t xml:space="preserve"> i pap</w:t>
      </w:r>
      <w:r>
        <w:rPr>
          <w:rFonts w:ascii="Times New Roman" w:hAnsi="Times New Roman"/>
          <w:noProof/>
        </w:rPr>
        <w:t>iery dłużne przedsiębiorstw zabezpieczonych aktywami, będące</w:t>
      </w:r>
      <w:r w:rsidR="001B0DFF">
        <w:rPr>
          <w:rFonts w:ascii="Times New Roman" w:hAnsi="Times New Roman"/>
          <w:noProof/>
        </w:rPr>
        <w:t xml:space="preserve"> w pos</w:t>
      </w:r>
      <w:r>
        <w:rPr>
          <w:rFonts w:ascii="Times New Roman" w:hAnsi="Times New Roman"/>
          <w:noProof/>
        </w:rPr>
        <w:t>iadaniu banków lub przez nie inicjowane. Zaletą tego źródła jest to, że obejmuje ono transakcje prywatne, choć</w:t>
      </w:r>
      <w:r w:rsidR="001B0DFF">
        <w:rPr>
          <w:rFonts w:ascii="Times New Roman" w:hAnsi="Times New Roman"/>
          <w:noProof/>
        </w:rPr>
        <w:t xml:space="preserve"> z zas</w:t>
      </w:r>
      <w:r>
        <w:rPr>
          <w:rFonts w:ascii="Times New Roman" w:hAnsi="Times New Roman"/>
          <w:noProof/>
        </w:rPr>
        <w:t>trzeżeniem, że transakcje bez banku uczestniczącego nie wchodzą</w:t>
      </w:r>
      <w:r w:rsidR="001B0DFF">
        <w:rPr>
          <w:rFonts w:ascii="Times New Roman" w:hAnsi="Times New Roman"/>
          <w:noProof/>
        </w:rPr>
        <w:t xml:space="preserve"> w jeg</w:t>
      </w:r>
      <w:r>
        <w:rPr>
          <w:rFonts w:ascii="Times New Roman" w:hAnsi="Times New Roman"/>
          <w:noProof/>
        </w:rPr>
        <w:t>o zakres. Według tego źródła danych pozostała do spłaty kwota transakcji wzrosła</w:t>
      </w:r>
      <w:r w:rsidR="001B0DFF">
        <w:rPr>
          <w:rFonts w:ascii="Times New Roman" w:hAnsi="Times New Roman"/>
          <w:noProof/>
        </w:rPr>
        <w:t xml:space="preserve"> z 1</w:t>
      </w:r>
      <w:r>
        <w:rPr>
          <w:rFonts w:ascii="Times New Roman" w:hAnsi="Times New Roman"/>
          <w:noProof/>
        </w:rPr>
        <w:t xml:space="preserve"> 080 mln EUR</w:t>
      </w:r>
      <w:r w:rsidR="001B0DFF">
        <w:rPr>
          <w:rFonts w:ascii="Times New Roman" w:hAnsi="Times New Roman"/>
          <w:noProof/>
        </w:rPr>
        <w:t xml:space="preserve"> w 2</w:t>
      </w:r>
      <w:r>
        <w:rPr>
          <w:rFonts w:ascii="Times New Roman" w:hAnsi="Times New Roman"/>
          <w:noProof/>
        </w:rPr>
        <w:t>0</w:t>
      </w:r>
      <w:r w:rsidRPr="001B0DFF">
        <w:rPr>
          <w:rFonts w:ascii="Times New Roman" w:hAnsi="Times New Roman"/>
          <w:noProof/>
        </w:rPr>
        <w:t>18</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w:t>
      </w:r>
      <w:r w:rsidRPr="001B0DFF">
        <w:rPr>
          <w:rFonts w:ascii="Times New Roman" w:hAnsi="Times New Roman"/>
          <w:noProof/>
        </w:rPr>
        <w:t>do</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 xml:space="preserve"> 300 mln EUR</w:t>
      </w:r>
      <w:r w:rsidR="001B0DFF">
        <w:rPr>
          <w:rFonts w:ascii="Times New Roman" w:hAnsi="Times New Roman"/>
          <w:noProof/>
        </w:rPr>
        <w:t xml:space="preserve"> w 2</w:t>
      </w:r>
      <w:r>
        <w:rPr>
          <w:rFonts w:ascii="Times New Roman" w:hAnsi="Times New Roman"/>
          <w:noProof/>
        </w:rPr>
        <w:t>0</w:t>
      </w:r>
      <w:r w:rsidRPr="001B0DFF">
        <w:rPr>
          <w:rFonts w:ascii="Times New Roman" w:hAnsi="Times New Roman"/>
          <w:noProof/>
        </w:rPr>
        <w:t>21</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co wskazuje na wzrost działalności sekurytyzacyjnej wśród banków od czasu rozpoczęcia stosowania rozporządzenia</w:t>
      </w:r>
      <w:r w:rsidR="001B0DFF">
        <w:rPr>
          <w:rFonts w:ascii="Times New Roman" w:hAnsi="Times New Roman"/>
          <w:noProof/>
        </w:rPr>
        <w:t xml:space="preserve"> w spr</w:t>
      </w:r>
      <w:r>
        <w:rPr>
          <w:rFonts w:ascii="Times New Roman" w:hAnsi="Times New Roman"/>
          <w:noProof/>
        </w:rPr>
        <w:t>awie sekurytyzacji.</w:t>
      </w:r>
    </w:p>
    <w:p w14:paraId="438D1B80" w14:textId="2715513F" w:rsidR="00175683" w:rsidRPr="003C0D71" w:rsidRDefault="00175683" w:rsidP="002D0D09">
      <w:pPr>
        <w:pStyle w:val="Heading1"/>
        <w:numPr>
          <w:ilvl w:val="0"/>
          <w:numId w:val="2"/>
        </w:numPr>
        <w:rPr>
          <w:rFonts w:ascii="Times New Roman" w:hAnsi="Times New Roman" w:cs="Times New Roman"/>
          <w:noProof/>
          <w:color w:val="auto"/>
        </w:rPr>
      </w:pPr>
      <w:bookmarkStart w:id="16" w:name="_Toc115361586"/>
      <w:r w:rsidRPr="001B0DFF">
        <w:rPr>
          <w:rFonts w:ascii="Times New Roman" w:hAnsi="Times New Roman"/>
          <w:noProof/>
          <w:color w:val="auto"/>
        </w:rPr>
        <w:t>S</w:t>
      </w:r>
      <w:r>
        <w:rPr>
          <w:rFonts w:ascii="Times New Roman" w:hAnsi="Times New Roman"/>
          <w:noProof/>
          <w:color w:val="auto"/>
        </w:rPr>
        <w:t>kutki rozporządzenia</w:t>
      </w:r>
      <w:bookmarkEnd w:id="15"/>
      <w:bookmarkEnd w:id="16"/>
    </w:p>
    <w:p w14:paraId="1764DC96" w14:textId="6457F773" w:rsidR="004100C8" w:rsidRPr="003C0D71" w:rsidRDefault="004100C8" w:rsidP="002D0D09">
      <w:pPr>
        <w:keepNext/>
        <w:rPr>
          <w:rFonts w:ascii="Times New Roman" w:hAnsi="Times New Roman" w:cs="Times New Roman"/>
          <w:b/>
          <w:noProof/>
          <w:sz w:val="24"/>
        </w:rPr>
      </w:pPr>
      <w:r>
        <w:rPr>
          <w:rFonts w:ascii="Times New Roman" w:hAnsi="Times New Roman"/>
          <w:b/>
          <w:noProof/>
          <w:sz w:val="24"/>
        </w:rPr>
        <w:t>Kontekst</w:t>
      </w:r>
      <w:r w:rsidR="001B0DFF">
        <w:rPr>
          <w:rFonts w:ascii="Times New Roman" w:hAnsi="Times New Roman"/>
          <w:b/>
          <w:noProof/>
          <w:sz w:val="24"/>
        </w:rPr>
        <w:t xml:space="preserve"> i ust</w:t>
      </w:r>
      <w:r>
        <w:rPr>
          <w:rFonts w:ascii="Times New Roman" w:hAnsi="Times New Roman"/>
          <w:b/>
          <w:noProof/>
          <w:sz w:val="24"/>
        </w:rPr>
        <w:t>alenia</w:t>
      </w:r>
    </w:p>
    <w:p w14:paraId="136F2D3A" w14:textId="09B50227" w:rsidR="00175683" w:rsidRPr="003C0D71" w:rsidRDefault="00175683" w:rsidP="002D0D09">
      <w:pPr>
        <w:keepNext/>
        <w:rPr>
          <w:rFonts w:ascii="Times New Roman" w:hAnsi="Times New Roman" w:cs="Times New Roman"/>
          <w:b/>
          <w:i/>
          <w:noProof/>
          <w:sz w:val="24"/>
        </w:rPr>
      </w:pPr>
      <w:r>
        <w:rPr>
          <w:rFonts w:ascii="Times New Roman" w:hAnsi="Times New Roman"/>
          <w:b/>
          <w:i/>
          <w:noProof/>
          <w:sz w:val="24"/>
        </w:rPr>
        <w:t>Wpływ na funkcjonowanie rynku sekurytyzacji w UE</w:t>
      </w:r>
    </w:p>
    <w:p w14:paraId="2B26CF88" w14:textId="70F47D26" w:rsidR="00175683" w:rsidRDefault="00B75872" w:rsidP="00175683">
      <w:pPr>
        <w:jc w:val="both"/>
        <w:rPr>
          <w:rFonts w:ascii="Times New Roman" w:hAnsi="Times New Roman" w:cs="Times New Roman"/>
          <w:noProof/>
        </w:rPr>
      </w:pPr>
      <w:r>
        <w:rPr>
          <w:rFonts w:ascii="Times New Roman" w:hAnsi="Times New Roman"/>
          <w:noProof/>
        </w:rPr>
        <w:t>Większość respondentów, którzy wzięli udział</w:t>
      </w:r>
      <w:r w:rsidR="001B0DFF">
        <w:rPr>
          <w:rFonts w:ascii="Times New Roman" w:hAnsi="Times New Roman"/>
          <w:noProof/>
        </w:rPr>
        <w:t xml:space="preserve"> w kon</w:t>
      </w:r>
      <w:r>
        <w:rPr>
          <w:rFonts w:ascii="Times New Roman" w:hAnsi="Times New Roman"/>
          <w:noProof/>
        </w:rPr>
        <w:t>sultacjach, zasadniczo popiera obowiązujące obecnie ramy prawne. Respondenci wskazali również, że trudno jest</w:t>
      </w:r>
      <w:r w:rsidR="001B0DFF">
        <w:rPr>
          <w:rFonts w:ascii="Times New Roman" w:hAnsi="Times New Roman"/>
          <w:noProof/>
        </w:rPr>
        <w:t xml:space="preserve"> w peł</w:t>
      </w:r>
      <w:r>
        <w:rPr>
          <w:rFonts w:ascii="Times New Roman" w:hAnsi="Times New Roman"/>
          <w:noProof/>
        </w:rPr>
        <w:t>ni ocenić skutki rozporządzenia</w:t>
      </w:r>
      <w:r w:rsidR="001B0DFF">
        <w:rPr>
          <w:rFonts w:ascii="Times New Roman" w:hAnsi="Times New Roman"/>
          <w:noProof/>
        </w:rPr>
        <w:t xml:space="preserve"> w spr</w:t>
      </w:r>
      <w:r>
        <w:rPr>
          <w:rFonts w:ascii="Times New Roman" w:hAnsi="Times New Roman"/>
          <w:noProof/>
        </w:rPr>
        <w:t>awie sekurytyzacji ze względu na stosunkowo krótki okres jego stosowania</w:t>
      </w:r>
      <w:r w:rsidR="001B0DFF">
        <w:rPr>
          <w:rFonts w:ascii="Times New Roman" w:hAnsi="Times New Roman"/>
          <w:noProof/>
        </w:rPr>
        <w:t xml:space="preserve"> i wys</w:t>
      </w:r>
      <w:r>
        <w:rPr>
          <w:rFonts w:ascii="Times New Roman" w:hAnsi="Times New Roman"/>
          <w:noProof/>
        </w:rPr>
        <w:t>tępujące jednocześnie czynniki zewnętrzne, takie jak pandemia COVID-19</w:t>
      </w:r>
      <w:r w:rsidR="001B0DFF">
        <w:rPr>
          <w:rFonts w:ascii="Times New Roman" w:hAnsi="Times New Roman"/>
          <w:noProof/>
        </w:rPr>
        <w:t xml:space="preserve"> i zwi</w:t>
      </w:r>
      <w:r>
        <w:rPr>
          <w:rFonts w:ascii="Times New Roman" w:hAnsi="Times New Roman"/>
          <w:noProof/>
        </w:rPr>
        <w:t xml:space="preserve">ększenie płynności za pomocą instrumentów polityki pieniężnej. </w:t>
      </w:r>
    </w:p>
    <w:p w14:paraId="0B333A85" w14:textId="77777777" w:rsidR="00325EBC" w:rsidRDefault="00325EBC" w:rsidP="00617F0D">
      <w:pPr>
        <w:jc w:val="both"/>
        <w:rPr>
          <w:rFonts w:ascii="Times New Roman" w:hAnsi="Times New Roman" w:cs="Times New Roman"/>
          <w:b/>
          <w:noProof/>
        </w:rPr>
      </w:pPr>
    </w:p>
    <w:p w14:paraId="08274FFE" w14:textId="4B2612A3" w:rsidR="00504488" w:rsidRDefault="003C0D71" w:rsidP="00617F0D">
      <w:pPr>
        <w:jc w:val="both"/>
        <w:rPr>
          <w:rFonts w:ascii="Times New Roman" w:hAnsi="Times New Roman" w:cs="Times New Roman"/>
          <w:noProof/>
        </w:rPr>
      </w:pPr>
      <w:r>
        <w:rPr>
          <w:rFonts w:ascii="Times New Roman" w:hAnsi="Times New Roman"/>
          <w:b/>
          <w:noProof/>
        </w:rPr>
        <w:t>Wykres 1</w:t>
      </w:r>
      <w:r>
        <w:rPr>
          <w:rFonts w:ascii="Times New Roman" w:hAnsi="Times New Roman"/>
          <w:noProof/>
        </w:rPr>
        <w:t>: podsumowanie odpowiedzi na pytanie 1: Czy rozporządzenie</w:t>
      </w:r>
      <w:r w:rsidR="001B0DFF">
        <w:rPr>
          <w:rFonts w:ascii="Times New Roman" w:hAnsi="Times New Roman"/>
          <w:noProof/>
        </w:rPr>
        <w:t xml:space="preserve"> w spr</w:t>
      </w:r>
      <w:r>
        <w:rPr>
          <w:rFonts w:ascii="Times New Roman" w:hAnsi="Times New Roman"/>
          <w:noProof/>
        </w:rPr>
        <w:t>awie sekurytyzacji skutecznie przyczyniło się do osiągnięcia następujących celów?</w:t>
      </w:r>
    </w:p>
    <w:p w14:paraId="28EE8737" w14:textId="120F5245" w:rsidR="00504488" w:rsidRDefault="00346C1E" w:rsidP="00617F0D">
      <w:pPr>
        <w:jc w:val="both"/>
        <w:rPr>
          <w:rFonts w:ascii="Times New Roman" w:hAnsi="Times New Roman" w:cs="Times New Roman"/>
          <w:noProof/>
        </w:rPr>
      </w:pPr>
      <w:r>
        <w:rPr>
          <w:rFonts w:ascii="Times New Roman" w:hAnsi="Times New Roman" w:cs="Times New Roman"/>
          <w:noProof/>
          <w:lang w:val="en-GB" w:eastAsia="en-GB"/>
        </w:rPr>
        <w:drawing>
          <wp:inline distT="0" distB="0" distL="0" distR="0" wp14:anchorId="70D3DE21" wp14:editId="5CC1E21E">
            <wp:extent cx="5731510" cy="337901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379011"/>
                    </a:xfrm>
                    <a:prstGeom prst="rect">
                      <a:avLst/>
                    </a:prstGeom>
                    <a:noFill/>
                  </pic:spPr>
                </pic:pic>
              </a:graphicData>
            </a:graphic>
          </wp:inline>
        </w:drawing>
      </w:r>
    </w:p>
    <w:p w14:paraId="34B65EE2" w14:textId="0D26B2F1" w:rsidR="00175683" w:rsidRPr="003C0D71" w:rsidRDefault="00175683" w:rsidP="00617F0D">
      <w:pPr>
        <w:jc w:val="both"/>
        <w:rPr>
          <w:rFonts w:ascii="Times New Roman" w:hAnsi="Times New Roman" w:cs="Times New Roman"/>
          <w:noProof/>
        </w:rPr>
      </w:pPr>
      <w:r>
        <w:rPr>
          <w:rFonts w:ascii="Times New Roman" w:hAnsi="Times New Roman"/>
          <w:noProof/>
        </w:rPr>
        <w:t>Zdaniem respondentów skuteczność nowych ram prawnych była największa</w:t>
      </w:r>
      <w:r w:rsidR="001B0DFF">
        <w:rPr>
          <w:rFonts w:ascii="Times New Roman" w:hAnsi="Times New Roman"/>
          <w:noProof/>
        </w:rPr>
        <w:t xml:space="preserve"> w prz</w:t>
      </w:r>
      <w:r>
        <w:rPr>
          <w:rFonts w:ascii="Times New Roman" w:hAnsi="Times New Roman"/>
          <w:noProof/>
        </w:rPr>
        <w:t xml:space="preserve">ypadku celu polityki, jakim jest </w:t>
      </w:r>
      <w:r>
        <w:rPr>
          <w:rFonts w:ascii="Times New Roman" w:hAnsi="Times New Roman"/>
          <w:b/>
          <w:noProof/>
        </w:rPr>
        <w:t>zapewnienie wysokiego poziomu ochrony inwestorów</w:t>
      </w:r>
      <w:r>
        <w:rPr>
          <w:rFonts w:ascii="Times New Roman" w:hAnsi="Times New Roman"/>
          <w:noProof/>
        </w:rPr>
        <w:t xml:space="preserve"> za sprawą zatrzymania ryzyka</w:t>
      </w:r>
      <w:r w:rsidR="001B0DFF">
        <w:rPr>
          <w:rFonts w:ascii="Times New Roman" w:hAnsi="Times New Roman"/>
          <w:noProof/>
        </w:rPr>
        <w:t xml:space="preserve"> i dos</w:t>
      </w:r>
      <w:r>
        <w:rPr>
          <w:rFonts w:ascii="Times New Roman" w:hAnsi="Times New Roman"/>
          <w:noProof/>
        </w:rPr>
        <w:t xml:space="preserve">tępności informacji. Niektórzy respondenci zakwestionowali proporcjonalność kosztów przestrzegania przepisów. Zasadniczo przyznano, że rozporządzenie ułatwiło dalszą </w:t>
      </w:r>
      <w:r>
        <w:rPr>
          <w:rFonts w:ascii="Times New Roman" w:hAnsi="Times New Roman"/>
          <w:b/>
          <w:noProof/>
        </w:rPr>
        <w:t>integrację,</w:t>
      </w:r>
      <w:r>
        <w:rPr>
          <w:rFonts w:ascii="Times New Roman" w:hAnsi="Times New Roman"/>
          <w:noProof/>
        </w:rPr>
        <w:t xml:space="preserve"> ale również że unijny rynek sekurytyzacji nadal stanowi rynek rozwijający się. Respondenci stwierdzili jednak, że utrzymuje się fragmentacja rynku wśród państw członkowskich, co wydaje się ograniczać korzyści skali, które można by uzyskać. Respondenci podkreślili również, że dalsza integracja unijnego rynku sekurytyzacji zależy od innych niż samo rozporządzenie</w:t>
      </w:r>
      <w:r w:rsidR="001B0DFF">
        <w:rPr>
          <w:rFonts w:ascii="Times New Roman" w:hAnsi="Times New Roman"/>
          <w:noProof/>
        </w:rPr>
        <w:t xml:space="preserve"> w spr</w:t>
      </w:r>
      <w:r>
        <w:rPr>
          <w:rFonts w:ascii="Times New Roman" w:hAnsi="Times New Roman"/>
          <w:noProof/>
        </w:rPr>
        <w:t>awie sekurytyzacji czynników, takich jak polityka pieniężna, infrastruktura nadzorcza</w:t>
      </w:r>
      <w:r w:rsidR="001B0DFF">
        <w:rPr>
          <w:rFonts w:ascii="Times New Roman" w:hAnsi="Times New Roman"/>
          <w:noProof/>
        </w:rPr>
        <w:t xml:space="preserve"> i pos</w:t>
      </w:r>
      <w:r>
        <w:rPr>
          <w:rFonts w:ascii="Times New Roman" w:hAnsi="Times New Roman"/>
          <w:noProof/>
        </w:rPr>
        <w:t>tępy</w:t>
      </w:r>
      <w:r w:rsidR="001B0DFF">
        <w:rPr>
          <w:rFonts w:ascii="Times New Roman" w:hAnsi="Times New Roman"/>
          <w:noProof/>
        </w:rPr>
        <w:t xml:space="preserve"> w zak</w:t>
      </w:r>
      <w:r>
        <w:rPr>
          <w:rFonts w:ascii="Times New Roman" w:hAnsi="Times New Roman"/>
          <w:noProof/>
        </w:rPr>
        <w:t>resie szerszego planu działania na rzecz unii rynków kapitałowych. Większość respondentów zgadzała się, że rozporządzenie</w:t>
      </w:r>
      <w:r w:rsidR="001B0DFF">
        <w:rPr>
          <w:rFonts w:ascii="Times New Roman" w:hAnsi="Times New Roman"/>
          <w:noProof/>
        </w:rPr>
        <w:t xml:space="preserve"> w spr</w:t>
      </w:r>
      <w:r>
        <w:rPr>
          <w:rFonts w:ascii="Times New Roman" w:hAnsi="Times New Roman"/>
          <w:noProof/>
        </w:rPr>
        <w:t xml:space="preserve">awie sekurytyzacji stanowi </w:t>
      </w:r>
      <w:r>
        <w:rPr>
          <w:rFonts w:ascii="Times New Roman" w:hAnsi="Times New Roman"/>
          <w:b/>
          <w:noProof/>
        </w:rPr>
        <w:t>jasne ramy prawne,</w:t>
      </w:r>
      <w:r>
        <w:rPr>
          <w:rFonts w:ascii="Times New Roman" w:hAnsi="Times New Roman"/>
          <w:noProof/>
        </w:rPr>
        <w:t xml:space="preserve"> zaznaczając jednak, że niektóre jego części można by udoskonalić, oraz uznała, że rozporządzenie</w:t>
      </w:r>
      <w:r w:rsidR="001B0DFF">
        <w:rPr>
          <w:rFonts w:ascii="Times New Roman" w:hAnsi="Times New Roman"/>
          <w:noProof/>
        </w:rPr>
        <w:t xml:space="preserve"> w spr</w:t>
      </w:r>
      <w:r>
        <w:rPr>
          <w:rFonts w:ascii="Times New Roman" w:hAnsi="Times New Roman"/>
          <w:noProof/>
        </w:rPr>
        <w:t xml:space="preserve">awie sekurytyzacji ułatwiło </w:t>
      </w:r>
      <w:r>
        <w:rPr>
          <w:rFonts w:ascii="Times New Roman" w:hAnsi="Times New Roman"/>
          <w:b/>
          <w:noProof/>
        </w:rPr>
        <w:t>monitorowanie ewentualnego ryzyka</w:t>
      </w:r>
      <w:r>
        <w:rPr>
          <w:rFonts w:ascii="Times New Roman" w:hAnsi="Times New Roman"/>
          <w:noProof/>
        </w:rPr>
        <w:t>, chociaż niekoniecznie</w:t>
      </w:r>
      <w:r w:rsidR="001B0DFF">
        <w:rPr>
          <w:rFonts w:ascii="Times New Roman" w:hAnsi="Times New Roman"/>
          <w:noProof/>
        </w:rPr>
        <w:t xml:space="preserve"> w prz</w:t>
      </w:r>
      <w:r>
        <w:rPr>
          <w:rFonts w:ascii="Times New Roman" w:hAnsi="Times New Roman"/>
          <w:noProof/>
        </w:rPr>
        <w:t>ypadku sekurytyzacji prywatnych.</w:t>
      </w:r>
    </w:p>
    <w:p w14:paraId="5362D878" w14:textId="29EA6AE5" w:rsidR="000F3481" w:rsidRPr="003C0D71" w:rsidRDefault="00175683" w:rsidP="000F3481">
      <w:pPr>
        <w:jc w:val="both"/>
        <w:rPr>
          <w:rFonts w:ascii="Times New Roman" w:hAnsi="Times New Roman" w:cs="Times New Roman"/>
          <w:noProof/>
        </w:rPr>
      </w:pPr>
      <w:r>
        <w:rPr>
          <w:rFonts w:ascii="Times New Roman" w:hAnsi="Times New Roman"/>
          <w:noProof/>
        </w:rPr>
        <w:t>Większość respondentów</w:t>
      </w:r>
      <w:r w:rsidR="001B0DFF">
        <w:rPr>
          <w:rFonts w:ascii="Times New Roman" w:hAnsi="Times New Roman"/>
          <w:noProof/>
        </w:rPr>
        <w:t xml:space="preserve"> z bra</w:t>
      </w:r>
      <w:r>
        <w:rPr>
          <w:rFonts w:ascii="Times New Roman" w:hAnsi="Times New Roman"/>
          <w:noProof/>
        </w:rPr>
        <w:t xml:space="preserve">nży nie uważała, że dzięki sekurytyzacji zapewniono lepszy </w:t>
      </w:r>
      <w:r>
        <w:rPr>
          <w:rFonts w:ascii="Times New Roman" w:hAnsi="Times New Roman"/>
          <w:b/>
          <w:noProof/>
        </w:rPr>
        <w:t>dostęp do kredytów dla gospodarki realnej</w:t>
      </w:r>
      <w:r>
        <w:rPr>
          <w:rFonts w:ascii="Times New Roman" w:hAnsi="Times New Roman"/>
          <w:noProof/>
        </w:rPr>
        <w:t>,</w:t>
      </w:r>
      <w:r w:rsidR="001B0DFF">
        <w:rPr>
          <w:rFonts w:ascii="Times New Roman" w:hAnsi="Times New Roman"/>
          <w:noProof/>
        </w:rPr>
        <w:t xml:space="preserve"> w tym</w:t>
      </w:r>
      <w:r>
        <w:rPr>
          <w:rFonts w:ascii="Times New Roman" w:hAnsi="Times New Roman"/>
          <w:noProof/>
        </w:rPr>
        <w:t xml:space="preserve"> MŚP. Podobnie respondenci</w:t>
      </w:r>
      <w:r w:rsidR="001B0DFF">
        <w:rPr>
          <w:rFonts w:ascii="Times New Roman" w:hAnsi="Times New Roman"/>
          <w:noProof/>
        </w:rPr>
        <w:t xml:space="preserve"> z bra</w:t>
      </w:r>
      <w:r>
        <w:rPr>
          <w:rFonts w:ascii="Times New Roman" w:hAnsi="Times New Roman"/>
          <w:noProof/>
        </w:rPr>
        <w:t xml:space="preserve">nży nie zaobserwowali </w:t>
      </w:r>
      <w:r>
        <w:rPr>
          <w:rFonts w:ascii="Times New Roman" w:hAnsi="Times New Roman"/>
          <w:b/>
          <w:noProof/>
        </w:rPr>
        <w:t>zwiększenia bazy inwestorów lub emitentów</w:t>
      </w:r>
      <w:r w:rsidR="001B0DFF">
        <w:rPr>
          <w:rFonts w:ascii="Times New Roman" w:hAnsi="Times New Roman"/>
          <w:noProof/>
        </w:rPr>
        <w:t xml:space="preserve"> w pie</w:t>
      </w:r>
      <w:r>
        <w:rPr>
          <w:rFonts w:ascii="Times New Roman" w:hAnsi="Times New Roman"/>
          <w:noProof/>
        </w:rPr>
        <w:t>rwszych latach wdrażania rozporządzenia</w:t>
      </w:r>
      <w:r w:rsidR="001B0DFF">
        <w:rPr>
          <w:rFonts w:ascii="Times New Roman" w:hAnsi="Times New Roman"/>
          <w:noProof/>
        </w:rPr>
        <w:t xml:space="preserve"> w spr</w:t>
      </w:r>
      <w:r>
        <w:rPr>
          <w:rFonts w:ascii="Times New Roman" w:hAnsi="Times New Roman"/>
          <w:noProof/>
        </w:rPr>
        <w:t>awie sekurytyzacji. Wręcz przeciwnie – respondenci stwierdzili, że liczba inwestorów</w:t>
      </w:r>
      <w:r w:rsidR="001B0DFF">
        <w:rPr>
          <w:rFonts w:ascii="Times New Roman" w:hAnsi="Times New Roman"/>
          <w:noProof/>
        </w:rPr>
        <w:t xml:space="preserve"> z nie</w:t>
      </w:r>
      <w:r>
        <w:rPr>
          <w:rFonts w:ascii="Times New Roman" w:hAnsi="Times New Roman"/>
          <w:noProof/>
        </w:rPr>
        <w:t xml:space="preserve">których głównych sektorów, takich jak zakłady ubezpieczeń, spadła. </w:t>
      </w:r>
    </w:p>
    <w:p w14:paraId="121761AB" w14:textId="3092A7CD" w:rsidR="00175683" w:rsidRPr="003C0D71" w:rsidRDefault="00175683" w:rsidP="00175683">
      <w:pPr>
        <w:jc w:val="both"/>
        <w:rPr>
          <w:rFonts w:ascii="Times New Roman" w:hAnsi="Times New Roman" w:cs="Times New Roman"/>
          <w:noProof/>
        </w:rPr>
      </w:pPr>
      <w:r>
        <w:rPr>
          <w:rFonts w:ascii="Times New Roman" w:hAnsi="Times New Roman"/>
          <w:noProof/>
        </w:rPr>
        <w:t>Zasadniczo</w:t>
      </w:r>
      <w:r w:rsidR="001B0DFF">
        <w:rPr>
          <w:rFonts w:ascii="Times New Roman" w:hAnsi="Times New Roman"/>
          <w:noProof/>
        </w:rPr>
        <w:t xml:space="preserve"> w odc</w:t>
      </w:r>
      <w:r>
        <w:rPr>
          <w:rFonts w:ascii="Times New Roman" w:hAnsi="Times New Roman"/>
          <w:noProof/>
        </w:rPr>
        <w:t>zuciu respondentów do tej pory rozporządzenie</w:t>
      </w:r>
      <w:r w:rsidR="001B0DFF">
        <w:rPr>
          <w:rFonts w:ascii="Times New Roman" w:hAnsi="Times New Roman"/>
          <w:noProof/>
        </w:rPr>
        <w:t xml:space="preserve"> w spr</w:t>
      </w:r>
      <w:r>
        <w:rPr>
          <w:rFonts w:ascii="Times New Roman" w:hAnsi="Times New Roman"/>
          <w:noProof/>
        </w:rPr>
        <w:t>awie sekurytyzacji nie przyniosło żadnych wymiernych korzyści</w:t>
      </w:r>
      <w:r w:rsidR="001B0DFF">
        <w:rPr>
          <w:rFonts w:ascii="Times New Roman" w:hAnsi="Times New Roman"/>
          <w:noProof/>
        </w:rPr>
        <w:t xml:space="preserve"> z pun</w:t>
      </w:r>
      <w:r>
        <w:rPr>
          <w:rFonts w:ascii="Times New Roman" w:hAnsi="Times New Roman"/>
          <w:noProof/>
        </w:rPr>
        <w:t>ktu widzenia udzielania kredytów na rzecz gospodarki realnej i MŚP. Wynika to przede wszystkim</w:t>
      </w:r>
      <w:r w:rsidR="001B0DFF">
        <w:rPr>
          <w:rFonts w:ascii="Times New Roman" w:hAnsi="Times New Roman"/>
          <w:noProof/>
        </w:rPr>
        <w:t xml:space="preserve"> z fak</w:t>
      </w:r>
      <w:r>
        <w:rPr>
          <w:rFonts w:ascii="Times New Roman" w:hAnsi="Times New Roman"/>
          <w:noProof/>
        </w:rPr>
        <w:t>tu, że od czasu wprowadzenia rozporządzenia</w:t>
      </w:r>
      <w:r w:rsidR="001B0DFF">
        <w:rPr>
          <w:rFonts w:ascii="Times New Roman" w:hAnsi="Times New Roman"/>
          <w:noProof/>
        </w:rPr>
        <w:t xml:space="preserve"> w spr</w:t>
      </w:r>
      <w:r>
        <w:rPr>
          <w:rFonts w:ascii="Times New Roman" w:hAnsi="Times New Roman"/>
          <w:noProof/>
        </w:rPr>
        <w:t>awie sekurytyzacji nie nastąpił wzrost wielkości rynku, zwłaszcza</w:t>
      </w:r>
      <w:r w:rsidR="001B0DFF">
        <w:rPr>
          <w:rFonts w:ascii="Times New Roman" w:hAnsi="Times New Roman"/>
          <w:noProof/>
        </w:rPr>
        <w:t xml:space="preserve"> w prz</w:t>
      </w:r>
      <w:r>
        <w:rPr>
          <w:rFonts w:ascii="Times New Roman" w:hAnsi="Times New Roman"/>
          <w:noProof/>
        </w:rPr>
        <w:t>ypadku kredytów dla MŚP.</w:t>
      </w:r>
    </w:p>
    <w:p w14:paraId="260A8A14" w14:textId="77777777" w:rsidR="00384D56" w:rsidRPr="003C0D71" w:rsidRDefault="00384D56" w:rsidP="00175683">
      <w:pPr>
        <w:rPr>
          <w:rFonts w:ascii="Times New Roman" w:hAnsi="Times New Roman" w:cs="Times New Roman"/>
          <w:b/>
          <w:i/>
          <w:noProof/>
          <w:sz w:val="24"/>
        </w:rPr>
      </w:pPr>
      <w:r>
        <w:rPr>
          <w:rFonts w:ascii="Times New Roman" w:hAnsi="Times New Roman"/>
          <w:b/>
          <w:i/>
          <w:noProof/>
          <w:sz w:val="24"/>
        </w:rPr>
        <w:t xml:space="preserve">Wpływ oznakowania „STS” </w:t>
      </w:r>
    </w:p>
    <w:p w14:paraId="7D5FFA80" w14:textId="53A7630D" w:rsidR="00384D56" w:rsidRPr="003C0D71" w:rsidRDefault="00384D56" w:rsidP="00384D56">
      <w:pPr>
        <w:jc w:val="both"/>
        <w:rPr>
          <w:rFonts w:ascii="Times New Roman" w:hAnsi="Times New Roman" w:cs="Times New Roman"/>
          <w:noProof/>
        </w:rPr>
      </w:pPr>
      <w:r>
        <w:rPr>
          <w:rFonts w:ascii="Times New Roman" w:hAnsi="Times New Roman"/>
          <w:noProof/>
        </w:rPr>
        <w:t>Na koniec marca 20</w:t>
      </w:r>
      <w:r w:rsidRPr="001B0DFF">
        <w:rPr>
          <w:rFonts w:ascii="Times New Roman" w:hAnsi="Times New Roman"/>
          <w:noProof/>
        </w:rPr>
        <w:t>22</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Europejskiemu Urzędowi Nadzoru Giełd</w:t>
      </w:r>
      <w:r w:rsidR="001B0DFF">
        <w:rPr>
          <w:rFonts w:ascii="Times New Roman" w:hAnsi="Times New Roman"/>
          <w:noProof/>
        </w:rPr>
        <w:t xml:space="preserve"> i Pap</w:t>
      </w:r>
      <w:r>
        <w:rPr>
          <w:rFonts w:ascii="Times New Roman" w:hAnsi="Times New Roman"/>
          <w:noProof/>
        </w:rPr>
        <w:t>ierów Wartościowych (ESMA) zgłoszono 620 tradycyjnych</w:t>
      </w:r>
      <w:r w:rsidR="001B0DFF">
        <w:rPr>
          <w:rFonts w:ascii="Times New Roman" w:hAnsi="Times New Roman"/>
          <w:noProof/>
        </w:rPr>
        <w:t xml:space="preserve"> i 1</w:t>
      </w:r>
      <w:r>
        <w:rPr>
          <w:rFonts w:ascii="Times New Roman" w:hAnsi="Times New Roman"/>
          <w:noProof/>
        </w:rPr>
        <w:t>9 bilansowych</w:t>
      </w:r>
      <w:r>
        <w:rPr>
          <w:rStyle w:val="FootnoteReference"/>
          <w:rFonts w:ascii="Times New Roman" w:hAnsi="Times New Roman" w:cs="Times New Roman"/>
          <w:noProof/>
        </w:rPr>
        <w:footnoteReference w:id="22"/>
      </w:r>
      <w:r>
        <w:rPr>
          <w:rFonts w:ascii="Times New Roman" w:hAnsi="Times New Roman"/>
          <w:noProof/>
        </w:rPr>
        <w:t xml:space="preserve"> sekurytyzacji STS</w:t>
      </w:r>
      <w:r w:rsidR="001B0DFF">
        <w:rPr>
          <w:rFonts w:ascii="Times New Roman" w:hAnsi="Times New Roman"/>
          <w:noProof/>
        </w:rPr>
        <w:t>. W prz</w:t>
      </w:r>
      <w:r>
        <w:rPr>
          <w:rFonts w:ascii="Times New Roman" w:hAnsi="Times New Roman"/>
          <w:noProof/>
        </w:rPr>
        <w:t>ypadku sekurytyzacji STS najczęściej stosowanym rodzajem aktywów bazowych są należności</w:t>
      </w:r>
      <w:r w:rsidR="001B0DFF">
        <w:rPr>
          <w:rFonts w:ascii="Times New Roman" w:hAnsi="Times New Roman"/>
          <w:noProof/>
        </w:rPr>
        <w:t xml:space="preserve"> z tyt</w:t>
      </w:r>
      <w:r>
        <w:rPr>
          <w:rFonts w:ascii="Times New Roman" w:hAnsi="Times New Roman"/>
          <w:noProof/>
        </w:rPr>
        <w:t>ułu dostaw</w:t>
      </w:r>
      <w:r w:rsidR="001B0DFF">
        <w:rPr>
          <w:rFonts w:ascii="Times New Roman" w:hAnsi="Times New Roman"/>
          <w:noProof/>
        </w:rPr>
        <w:t xml:space="preserve"> i usł</w:t>
      </w:r>
      <w:r>
        <w:rPr>
          <w:rFonts w:ascii="Times New Roman" w:hAnsi="Times New Roman"/>
          <w:noProof/>
        </w:rPr>
        <w:t>ug, zwykle</w:t>
      </w:r>
      <w:r w:rsidR="001B0DFF">
        <w:rPr>
          <w:rFonts w:ascii="Times New Roman" w:hAnsi="Times New Roman"/>
          <w:noProof/>
        </w:rPr>
        <w:t xml:space="preserve"> w dro</w:t>
      </w:r>
      <w:r>
        <w:rPr>
          <w:rFonts w:ascii="Times New Roman" w:hAnsi="Times New Roman"/>
          <w:noProof/>
        </w:rPr>
        <w:t>dze transakcji na papierach dłużnych przedsiębiorstw zabezpieczonych aktywami,</w:t>
      </w:r>
      <w:r w:rsidR="001B0DFF">
        <w:rPr>
          <w:rFonts w:ascii="Times New Roman" w:hAnsi="Times New Roman"/>
          <w:noProof/>
        </w:rPr>
        <w:t xml:space="preserve"> a w dal</w:t>
      </w:r>
      <w:r>
        <w:rPr>
          <w:rFonts w:ascii="Times New Roman" w:hAnsi="Times New Roman"/>
          <w:noProof/>
        </w:rPr>
        <w:t>szej kolejności kredyty na zakup samochodu/umowy leasingu samochodów</w:t>
      </w:r>
      <w:r w:rsidR="001B0DFF">
        <w:rPr>
          <w:rFonts w:ascii="Times New Roman" w:hAnsi="Times New Roman"/>
          <w:noProof/>
        </w:rPr>
        <w:t xml:space="preserve"> i pap</w:t>
      </w:r>
      <w:r>
        <w:rPr>
          <w:rFonts w:ascii="Times New Roman" w:hAnsi="Times New Roman"/>
          <w:noProof/>
        </w:rPr>
        <w:t>iery wartościowe zabezpieczone spłatami mieszkaniowych kredytów hipotecznych. Ze sprawozdania Wspólnego Komitetu wynika, że zdaniem uczestników rynku główna korzyść wynikająca</w:t>
      </w:r>
      <w:r w:rsidR="001B0DFF">
        <w:rPr>
          <w:rFonts w:ascii="Times New Roman" w:hAnsi="Times New Roman"/>
          <w:noProof/>
        </w:rPr>
        <w:t xml:space="preserve"> z ozn</w:t>
      </w:r>
      <w:r>
        <w:rPr>
          <w:rFonts w:ascii="Times New Roman" w:hAnsi="Times New Roman"/>
          <w:noProof/>
        </w:rPr>
        <w:t>akowania „STS” to związane</w:t>
      </w:r>
      <w:r w:rsidR="001B0DFF">
        <w:rPr>
          <w:rFonts w:ascii="Times New Roman" w:hAnsi="Times New Roman"/>
          <w:noProof/>
        </w:rPr>
        <w:t xml:space="preserve"> z nim</w:t>
      </w:r>
      <w:r>
        <w:rPr>
          <w:rFonts w:ascii="Times New Roman" w:hAnsi="Times New Roman"/>
          <w:noProof/>
        </w:rPr>
        <w:t xml:space="preserve"> preferencyjne traktowanie regulacyjne. Dzięki temu banki</w:t>
      </w:r>
      <w:r w:rsidR="001B0DFF">
        <w:rPr>
          <w:rFonts w:ascii="Times New Roman" w:hAnsi="Times New Roman"/>
          <w:noProof/>
        </w:rPr>
        <w:t xml:space="preserve"> i zak</w:t>
      </w:r>
      <w:r>
        <w:rPr>
          <w:rFonts w:ascii="Times New Roman" w:hAnsi="Times New Roman"/>
          <w:noProof/>
        </w:rPr>
        <w:t>łady ubezpieczeń mogą korzystać</w:t>
      </w:r>
      <w:r w:rsidR="001B0DFF">
        <w:rPr>
          <w:rFonts w:ascii="Times New Roman" w:hAnsi="Times New Roman"/>
          <w:noProof/>
        </w:rPr>
        <w:t xml:space="preserve"> z niż</w:t>
      </w:r>
      <w:r>
        <w:rPr>
          <w:rFonts w:ascii="Times New Roman" w:hAnsi="Times New Roman"/>
          <w:noProof/>
        </w:rPr>
        <w:t>szego narzutu kapitałowego</w:t>
      </w:r>
      <w:r w:rsidR="001B0DFF">
        <w:rPr>
          <w:rFonts w:ascii="Times New Roman" w:hAnsi="Times New Roman"/>
          <w:noProof/>
        </w:rPr>
        <w:t xml:space="preserve"> w prz</w:t>
      </w:r>
      <w:r>
        <w:rPr>
          <w:rFonts w:ascii="Times New Roman" w:hAnsi="Times New Roman"/>
          <w:noProof/>
        </w:rPr>
        <w:t>ypadku pozycji zgłoszonych jako STS</w:t>
      </w:r>
      <w:r w:rsidR="001B0DFF">
        <w:rPr>
          <w:rFonts w:ascii="Times New Roman" w:hAnsi="Times New Roman"/>
          <w:noProof/>
        </w:rPr>
        <w:t xml:space="preserve"> w por</w:t>
      </w:r>
      <w:r>
        <w:rPr>
          <w:rFonts w:ascii="Times New Roman" w:hAnsi="Times New Roman"/>
          <w:noProof/>
        </w:rPr>
        <w:t>ównaniu</w:t>
      </w:r>
      <w:r w:rsidR="001B0DFF">
        <w:rPr>
          <w:rFonts w:ascii="Times New Roman" w:hAnsi="Times New Roman"/>
          <w:noProof/>
        </w:rPr>
        <w:t xml:space="preserve"> z sek</w:t>
      </w:r>
      <w:r>
        <w:rPr>
          <w:rFonts w:ascii="Times New Roman" w:hAnsi="Times New Roman"/>
          <w:noProof/>
        </w:rPr>
        <w:t xml:space="preserve">urytyzacjami innymi niż sekurytyzacja STS (zob. wykres 2). </w:t>
      </w:r>
    </w:p>
    <w:p w14:paraId="661A0D83" w14:textId="7461FA9C" w:rsidR="00D338B2" w:rsidRPr="003C0D71" w:rsidRDefault="003C0D71" w:rsidP="00D338B2">
      <w:pPr>
        <w:jc w:val="both"/>
        <w:rPr>
          <w:rFonts w:ascii="Times New Roman" w:hAnsi="Times New Roman" w:cs="Times New Roman"/>
          <w:b/>
          <w:noProof/>
        </w:rPr>
      </w:pPr>
      <w:r>
        <w:rPr>
          <w:rFonts w:ascii="Times New Roman" w:hAnsi="Times New Roman"/>
          <w:b/>
          <w:noProof/>
        </w:rPr>
        <w:t>Wykres 2: Główne korzyści</w:t>
      </w:r>
      <w:r w:rsidR="001B0DFF">
        <w:rPr>
          <w:rFonts w:ascii="Times New Roman" w:hAnsi="Times New Roman"/>
          <w:b/>
          <w:noProof/>
        </w:rPr>
        <w:t xml:space="preserve"> i wyz</w:t>
      </w:r>
      <w:r>
        <w:rPr>
          <w:rFonts w:ascii="Times New Roman" w:hAnsi="Times New Roman"/>
          <w:b/>
          <w:noProof/>
        </w:rPr>
        <w:t>wania związane ze znakiem „STS”</w:t>
      </w:r>
    </w:p>
    <w:tbl>
      <w:tblPr>
        <w:tblStyle w:val="TableGrid"/>
        <w:tblW w:w="0" w:type="auto"/>
        <w:tblLook w:val="04A0" w:firstRow="1" w:lastRow="0" w:firstColumn="1" w:lastColumn="0" w:noHBand="0" w:noVBand="1"/>
      </w:tblPr>
      <w:tblGrid>
        <w:gridCol w:w="3108"/>
        <w:gridCol w:w="1512"/>
        <w:gridCol w:w="2928"/>
        <w:gridCol w:w="1694"/>
      </w:tblGrid>
      <w:tr w:rsidR="003C0D71" w:rsidRPr="003C0D71" w14:paraId="13DB2B63" w14:textId="77777777" w:rsidTr="00384D56">
        <w:tc>
          <w:tcPr>
            <w:tcW w:w="3108" w:type="dxa"/>
          </w:tcPr>
          <w:p w14:paraId="1085551A" w14:textId="77777777" w:rsidR="00384D56" w:rsidRPr="003C0D71" w:rsidRDefault="00384D56" w:rsidP="00384D56">
            <w:pPr>
              <w:rPr>
                <w:rFonts w:ascii="Times New Roman" w:hAnsi="Times New Roman" w:cs="Times New Roman"/>
                <w:b/>
                <w:noProof/>
              </w:rPr>
            </w:pPr>
            <w:r>
              <w:rPr>
                <w:rFonts w:ascii="Times New Roman" w:hAnsi="Times New Roman"/>
                <w:b/>
                <w:noProof/>
              </w:rPr>
              <w:t>Korzyści wynikające z STS</w:t>
            </w:r>
          </w:p>
        </w:tc>
        <w:tc>
          <w:tcPr>
            <w:tcW w:w="1512" w:type="dxa"/>
          </w:tcPr>
          <w:p w14:paraId="661E793F" w14:textId="77777777" w:rsidR="00384D56" w:rsidRPr="003C0D71" w:rsidRDefault="00384D56" w:rsidP="00384D56">
            <w:pPr>
              <w:rPr>
                <w:rFonts w:ascii="Times New Roman" w:hAnsi="Times New Roman" w:cs="Times New Roman"/>
                <w:b/>
                <w:noProof/>
              </w:rPr>
            </w:pPr>
            <w:r>
              <w:rPr>
                <w:rFonts w:ascii="Times New Roman" w:hAnsi="Times New Roman"/>
                <w:b/>
                <w:noProof/>
              </w:rPr>
              <w:t>Względny wynik</w:t>
            </w:r>
          </w:p>
        </w:tc>
        <w:tc>
          <w:tcPr>
            <w:tcW w:w="2928" w:type="dxa"/>
          </w:tcPr>
          <w:p w14:paraId="3A1E4592" w14:textId="77777777" w:rsidR="00384D56" w:rsidRPr="003C0D71" w:rsidRDefault="00384D56" w:rsidP="00384D56">
            <w:pPr>
              <w:rPr>
                <w:rFonts w:ascii="Times New Roman" w:hAnsi="Times New Roman" w:cs="Times New Roman"/>
                <w:b/>
                <w:noProof/>
              </w:rPr>
            </w:pPr>
            <w:r>
              <w:rPr>
                <w:rFonts w:ascii="Times New Roman" w:hAnsi="Times New Roman"/>
                <w:b/>
                <w:noProof/>
              </w:rPr>
              <w:t>Wyzwania związane z STS</w:t>
            </w:r>
          </w:p>
        </w:tc>
        <w:tc>
          <w:tcPr>
            <w:tcW w:w="1694" w:type="dxa"/>
          </w:tcPr>
          <w:p w14:paraId="365FCA28" w14:textId="77777777" w:rsidR="00384D56" w:rsidRPr="003C0D71" w:rsidRDefault="00384D56" w:rsidP="00384D56">
            <w:pPr>
              <w:rPr>
                <w:rFonts w:ascii="Times New Roman" w:hAnsi="Times New Roman" w:cs="Times New Roman"/>
                <w:b/>
                <w:noProof/>
              </w:rPr>
            </w:pPr>
            <w:r>
              <w:rPr>
                <w:rFonts w:ascii="Times New Roman" w:hAnsi="Times New Roman"/>
                <w:b/>
                <w:noProof/>
              </w:rPr>
              <w:t>Względny wynik</w:t>
            </w:r>
          </w:p>
        </w:tc>
      </w:tr>
      <w:tr w:rsidR="003C0D71" w:rsidRPr="003C0D71" w14:paraId="79DC7DBD" w14:textId="77777777" w:rsidTr="00384D56">
        <w:tc>
          <w:tcPr>
            <w:tcW w:w="3108" w:type="dxa"/>
          </w:tcPr>
          <w:p w14:paraId="5A1C3A0C" w14:textId="1D737CD5" w:rsidR="00384D56" w:rsidRPr="003C0D71" w:rsidRDefault="00384D56" w:rsidP="00384D56">
            <w:pPr>
              <w:rPr>
                <w:rFonts w:ascii="Times New Roman" w:hAnsi="Times New Roman" w:cs="Times New Roman"/>
                <w:noProof/>
              </w:rPr>
            </w:pPr>
            <w:r>
              <w:rPr>
                <w:rFonts w:ascii="Times New Roman" w:hAnsi="Times New Roman"/>
                <w:noProof/>
              </w:rPr>
              <w:t>Sposób ujmowania</w:t>
            </w:r>
            <w:r w:rsidR="001B0DFF">
              <w:rPr>
                <w:rFonts w:ascii="Times New Roman" w:hAnsi="Times New Roman"/>
                <w:noProof/>
              </w:rPr>
              <w:t xml:space="preserve"> w kap</w:t>
            </w:r>
            <w:r>
              <w:rPr>
                <w:rFonts w:ascii="Times New Roman" w:hAnsi="Times New Roman"/>
                <w:noProof/>
              </w:rPr>
              <w:t>itale</w:t>
            </w:r>
          </w:p>
        </w:tc>
        <w:tc>
          <w:tcPr>
            <w:tcW w:w="1512" w:type="dxa"/>
          </w:tcPr>
          <w:p w14:paraId="07EBCA56" w14:textId="77777777" w:rsidR="00384D56" w:rsidRPr="003C0D71" w:rsidRDefault="00384D56" w:rsidP="00384D56">
            <w:pPr>
              <w:rPr>
                <w:rFonts w:ascii="Times New Roman" w:hAnsi="Times New Roman" w:cs="Times New Roman"/>
                <w:noProof/>
              </w:rPr>
            </w:pPr>
            <w:r>
              <w:rPr>
                <w:rFonts w:ascii="Times New Roman" w:hAnsi="Times New Roman"/>
                <w:noProof/>
              </w:rPr>
              <w:t>4,2</w:t>
            </w:r>
          </w:p>
        </w:tc>
        <w:tc>
          <w:tcPr>
            <w:tcW w:w="2928" w:type="dxa"/>
          </w:tcPr>
          <w:p w14:paraId="7BBDEEE6" w14:textId="77777777" w:rsidR="00384D56" w:rsidRPr="003C0D71" w:rsidRDefault="00384D56" w:rsidP="00384D56">
            <w:pPr>
              <w:rPr>
                <w:rFonts w:ascii="Times New Roman" w:hAnsi="Times New Roman" w:cs="Times New Roman"/>
                <w:noProof/>
              </w:rPr>
            </w:pPr>
            <w:r>
              <w:rPr>
                <w:rFonts w:ascii="Times New Roman" w:hAnsi="Times New Roman"/>
                <w:noProof/>
              </w:rPr>
              <w:t>Złożoność kryteriów STS</w:t>
            </w:r>
          </w:p>
        </w:tc>
        <w:tc>
          <w:tcPr>
            <w:tcW w:w="1694" w:type="dxa"/>
          </w:tcPr>
          <w:p w14:paraId="4082ED75" w14:textId="77777777" w:rsidR="00384D56" w:rsidRPr="003C0D71" w:rsidRDefault="00384D56" w:rsidP="00384D56">
            <w:pPr>
              <w:rPr>
                <w:rFonts w:ascii="Times New Roman" w:hAnsi="Times New Roman" w:cs="Times New Roman"/>
                <w:noProof/>
              </w:rPr>
            </w:pPr>
            <w:r>
              <w:rPr>
                <w:rFonts w:ascii="Times New Roman" w:hAnsi="Times New Roman"/>
                <w:noProof/>
              </w:rPr>
              <w:t>3,9</w:t>
            </w:r>
          </w:p>
        </w:tc>
      </w:tr>
      <w:tr w:rsidR="003C0D71" w:rsidRPr="003C0D71" w14:paraId="5A3FC2E2" w14:textId="77777777" w:rsidTr="00384D56">
        <w:tc>
          <w:tcPr>
            <w:tcW w:w="3108" w:type="dxa"/>
          </w:tcPr>
          <w:p w14:paraId="1AD0AC81" w14:textId="77777777" w:rsidR="00384D56" w:rsidRPr="003C0D71" w:rsidRDefault="00384D56" w:rsidP="00384D56">
            <w:pPr>
              <w:rPr>
                <w:rFonts w:ascii="Times New Roman" w:hAnsi="Times New Roman" w:cs="Times New Roman"/>
                <w:noProof/>
              </w:rPr>
            </w:pPr>
            <w:r>
              <w:rPr>
                <w:rFonts w:ascii="Times New Roman" w:hAnsi="Times New Roman"/>
                <w:noProof/>
              </w:rPr>
              <w:t>Szersza baza inwestorów</w:t>
            </w:r>
          </w:p>
        </w:tc>
        <w:tc>
          <w:tcPr>
            <w:tcW w:w="1512" w:type="dxa"/>
          </w:tcPr>
          <w:p w14:paraId="5276999E" w14:textId="77777777" w:rsidR="00384D56" w:rsidRPr="003C0D71" w:rsidRDefault="00384D56" w:rsidP="00384D56">
            <w:pPr>
              <w:rPr>
                <w:rFonts w:ascii="Times New Roman" w:hAnsi="Times New Roman" w:cs="Times New Roman"/>
                <w:noProof/>
              </w:rPr>
            </w:pPr>
            <w:r>
              <w:rPr>
                <w:rFonts w:ascii="Times New Roman" w:hAnsi="Times New Roman"/>
                <w:noProof/>
              </w:rPr>
              <w:t>3,4</w:t>
            </w:r>
          </w:p>
        </w:tc>
        <w:tc>
          <w:tcPr>
            <w:tcW w:w="2928" w:type="dxa"/>
          </w:tcPr>
          <w:p w14:paraId="2AF02A8D" w14:textId="77777777" w:rsidR="00384D56" w:rsidRPr="003C0D71" w:rsidRDefault="00384D56" w:rsidP="00384D56">
            <w:pPr>
              <w:rPr>
                <w:rFonts w:ascii="Times New Roman" w:hAnsi="Times New Roman" w:cs="Times New Roman"/>
                <w:noProof/>
              </w:rPr>
            </w:pPr>
            <w:r>
              <w:rPr>
                <w:rFonts w:ascii="Times New Roman" w:hAnsi="Times New Roman"/>
                <w:noProof/>
              </w:rPr>
              <w:t>Restrykcyjność kryteriów</w:t>
            </w:r>
          </w:p>
        </w:tc>
        <w:tc>
          <w:tcPr>
            <w:tcW w:w="1694" w:type="dxa"/>
          </w:tcPr>
          <w:p w14:paraId="5A9D2921" w14:textId="77777777" w:rsidR="00384D56" w:rsidRPr="003C0D71" w:rsidRDefault="00384D56" w:rsidP="00384D56">
            <w:pPr>
              <w:rPr>
                <w:rFonts w:ascii="Times New Roman" w:hAnsi="Times New Roman" w:cs="Times New Roman"/>
                <w:noProof/>
              </w:rPr>
            </w:pPr>
            <w:r>
              <w:rPr>
                <w:rFonts w:ascii="Times New Roman" w:hAnsi="Times New Roman"/>
                <w:noProof/>
              </w:rPr>
              <w:t>3,7</w:t>
            </w:r>
          </w:p>
        </w:tc>
      </w:tr>
      <w:tr w:rsidR="003C0D71" w:rsidRPr="003C0D71" w14:paraId="5C8B55B9" w14:textId="77777777" w:rsidTr="00384D56">
        <w:tc>
          <w:tcPr>
            <w:tcW w:w="3108" w:type="dxa"/>
          </w:tcPr>
          <w:p w14:paraId="5B244785" w14:textId="77777777" w:rsidR="00384D56" w:rsidRPr="003C0D71" w:rsidRDefault="00384D56" w:rsidP="00384D56">
            <w:pPr>
              <w:rPr>
                <w:rFonts w:ascii="Times New Roman" w:hAnsi="Times New Roman" w:cs="Times New Roman"/>
                <w:noProof/>
              </w:rPr>
            </w:pPr>
            <w:r>
              <w:rPr>
                <w:rFonts w:ascii="Times New Roman" w:hAnsi="Times New Roman"/>
                <w:noProof/>
              </w:rPr>
              <w:t>Wycena</w:t>
            </w:r>
          </w:p>
        </w:tc>
        <w:tc>
          <w:tcPr>
            <w:tcW w:w="1512" w:type="dxa"/>
          </w:tcPr>
          <w:p w14:paraId="19D896FB" w14:textId="77777777" w:rsidR="00384D56" w:rsidRPr="003C0D71" w:rsidRDefault="00384D56" w:rsidP="00384D56">
            <w:pPr>
              <w:rPr>
                <w:rFonts w:ascii="Times New Roman" w:hAnsi="Times New Roman" w:cs="Times New Roman"/>
                <w:noProof/>
              </w:rPr>
            </w:pPr>
            <w:r>
              <w:rPr>
                <w:rFonts w:ascii="Times New Roman" w:hAnsi="Times New Roman"/>
                <w:noProof/>
              </w:rPr>
              <w:t>3,3</w:t>
            </w:r>
          </w:p>
        </w:tc>
        <w:tc>
          <w:tcPr>
            <w:tcW w:w="2928" w:type="dxa"/>
          </w:tcPr>
          <w:p w14:paraId="2524D09C" w14:textId="77777777" w:rsidR="00384D56" w:rsidRPr="003C0D71" w:rsidRDefault="00384D56" w:rsidP="00384D56">
            <w:pPr>
              <w:rPr>
                <w:rFonts w:ascii="Times New Roman" w:hAnsi="Times New Roman" w:cs="Times New Roman"/>
                <w:noProof/>
              </w:rPr>
            </w:pPr>
            <w:r>
              <w:rPr>
                <w:rFonts w:ascii="Times New Roman" w:hAnsi="Times New Roman"/>
                <w:noProof/>
              </w:rPr>
              <w:t>Sankcje prawne</w:t>
            </w:r>
          </w:p>
        </w:tc>
        <w:tc>
          <w:tcPr>
            <w:tcW w:w="1694" w:type="dxa"/>
          </w:tcPr>
          <w:p w14:paraId="1063B7B5" w14:textId="77777777" w:rsidR="00384D56" w:rsidRPr="003C0D71" w:rsidRDefault="00384D56" w:rsidP="00384D56">
            <w:pPr>
              <w:rPr>
                <w:rFonts w:ascii="Times New Roman" w:hAnsi="Times New Roman" w:cs="Times New Roman"/>
                <w:noProof/>
              </w:rPr>
            </w:pPr>
            <w:r>
              <w:rPr>
                <w:rFonts w:ascii="Times New Roman" w:hAnsi="Times New Roman"/>
                <w:noProof/>
              </w:rPr>
              <w:t>3,7</w:t>
            </w:r>
          </w:p>
        </w:tc>
      </w:tr>
      <w:tr w:rsidR="003C0D71" w:rsidRPr="003C0D71" w14:paraId="46D2D846" w14:textId="77777777" w:rsidTr="00384D56">
        <w:tc>
          <w:tcPr>
            <w:tcW w:w="3108" w:type="dxa"/>
          </w:tcPr>
          <w:p w14:paraId="6864722C" w14:textId="77777777" w:rsidR="00384D56" w:rsidRPr="003C0D71" w:rsidRDefault="00384D56" w:rsidP="00384D56">
            <w:pPr>
              <w:rPr>
                <w:rFonts w:ascii="Times New Roman" w:hAnsi="Times New Roman" w:cs="Times New Roman"/>
                <w:noProof/>
              </w:rPr>
            </w:pPr>
            <w:r>
              <w:rPr>
                <w:rFonts w:ascii="Times New Roman" w:hAnsi="Times New Roman"/>
                <w:noProof/>
              </w:rPr>
              <w:t>Standaryzacja</w:t>
            </w:r>
          </w:p>
        </w:tc>
        <w:tc>
          <w:tcPr>
            <w:tcW w:w="1512" w:type="dxa"/>
          </w:tcPr>
          <w:p w14:paraId="707CE543" w14:textId="77777777" w:rsidR="00384D56" w:rsidRPr="003C0D71" w:rsidRDefault="00384D56" w:rsidP="00384D56">
            <w:pPr>
              <w:rPr>
                <w:rFonts w:ascii="Times New Roman" w:hAnsi="Times New Roman" w:cs="Times New Roman"/>
                <w:noProof/>
              </w:rPr>
            </w:pPr>
            <w:r>
              <w:rPr>
                <w:rFonts w:ascii="Times New Roman" w:hAnsi="Times New Roman"/>
                <w:noProof/>
              </w:rPr>
              <w:t>3,1</w:t>
            </w:r>
          </w:p>
        </w:tc>
        <w:tc>
          <w:tcPr>
            <w:tcW w:w="2928" w:type="dxa"/>
          </w:tcPr>
          <w:p w14:paraId="02742F09" w14:textId="77777777" w:rsidR="00384D56" w:rsidRPr="003C0D71" w:rsidRDefault="00384D56" w:rsidP="00384D56">
            <w:pPr>
              <w:rPr>
                <w:rFonts w:ascii="Times New Roman" w:hAnsi="Times New Roman" w:cs="Times New Roman"/>
                <w:noProof/>
              </w:rPr>
            </w:pPr>
            <w:r>
              <w:rPr>
                <w:rFonts w:ascii="Times New Roman" w:hAnsi="Times New Roman"/>
                <w:noProof/>
              </w:rPr>
              <w:t>Koszty przestrzegania przepisów</w:t>
            </w:r>
          </w:p>
        </w:tc>
        <w:tc>
          <w:tcPr>
            <w:tcW w:w="1694" w:type="dxa"/>
          </w:tcPr>
          <w:p w14:paraId="3E3D0AC4" w14:textId="77777777" w:rsidR="00384D56" w:rsidRPr="003C0D71" w:rsidRDefault="00384D56" w:rsidP="00384D56">
            <w:pPr>
              <w:rPr>
                <w:rFonts w:ascii="Times New Roman" w:hAnsi="Times New Roman" w:cs="Times New Roman"/>
                <w:noProof/>
              </w:rPr>
            </w:pPr>
            <w:r>
              <w:rPr>
                <w:rFonts w:ascii="Times New Roman" w:hAnsi="Times New Roman"/>
                <w:noProof/>
              </w:rPr>
              <w:t>3,6</w:t>
            </w:r>
          </w:p>
        </w:tc>
      </w:tr>
      <w:tr w:rsidR="003C0D71" w:rsidRPr="003C0D71" w14:paraId="70016CEE" w14:textId="77777777" w:rsidTr="00384D56">
        <w:tc>
          <w:tcPr>
            <w:tcW w:w="3108" w:type="dxa"/>
          </w:tcPr>
          <w:p w14:paraId="21BFC275" w14:textId="77777777" w:rsidR="00384D56" w:rsidRPr="003C0D71" w:rsidRDefault="00384D56" w:rsidP="00384D56">
            <w:pPr>
              <w:rPr>
                <w:rFonts w:ascii="Times New Roman" w:hAnsi="Times New Roman" w:cs="Times New Roman"/>
                <w:noProof/>
              </w:rPr>
            </w:pPr>
            <w:r>
              <w:rPr>
                <w:rFonts w:ascii="Times New Roman" w:hAnsi="Times New Roman"/>
                <w:noProof/>
              </w:rPr>
              <w:t>Przejrzystość</w:t>
            </w:r>
          </w:p>
        </w:tc>
        <w:tc>
          <w:tcPr>
            <w:tcW w:w="1512" w:type="dxa"/>
          </w:tcPr>
          <w:p w14:paraId="5493D1DA" w14:textId="77777777" w:rsidR="00384D56" w:rsidRPr="003C0D71" w:rsidRDefault="00384D56" w:rsidP="00384D56">
            <w:pPr>
              <w:rPr>
                <w:rFonts w:ascii="Times New Roman" w:hAnsi="Times New Roman" w:cs="Times New Roman"/>
                <w:noProof/>
              </w:rPr>
            </w:pPr>
            <w:r>
              <w:rPr>
                <w:rFonts w:ascii="Times New Roman" w:hAnsi="Times New Roman"/>
                <w:noProof/>
              </w:rPr>
              <w:t>3,0</w:t>
            </w:r>
          </w:p>
        </w:tc>
        <w:tc>
          <w:tcPr>
            <w:tcW w:w="2928" w:type="dxa"/>
          </w:tcPr>
          <w:p w14:paraId="45E67FBF" w14:textId="77777777" w:rsidR="00384D56" w:rsidRPr="003C0D71" w:rsidRDefault="00384D56" w:rsidP="00384D56">
            <w:pPr>
              <w:rPr>
                <w:rFonts w:ascii="Times New Roman" w:hAnsi="Times New Roman" w:cs="Times New Roman"/>
                <w:noProof/>
              </w:rPr>
            </w:pPr>
            <w:r>
              <w:rPr>
                <w:rFonts w:ascii="Times New Roman" w:hAnsi="Times New Roman"/>
                <w:noProof/>
              </w:rPr>
              <w:t>Niewystarczająca jasność kryteriów</w:t>
            </w:r>
          </w:p>
        </w:tc>
        <w:tc>
          <w:tcPr>
            <w:tcW w:w="1694" w:type="dxa"/>
          </w:tcPr>
          <w:p w14:paraId="36BF9D47" w14:textId="77777777" w:rsidR="00384D56" w:rsidRPr="003C0D71" w:rsidRDefault="00384D56" w:rsidP="00384D56">
            <w:pPr>
              <w:rPr>
                <w:rFonts w:ascii="Times New Roman" w:hAnsi="Times New Roman" w:cs="Times New Roman"/>
                <w:noProof/>
              </w:rPr>
            </w:pPr>
            <w:r>
              <w:rPr>
                <w:rFonts w:ascii="Times New Roman" w:hAnsi="Times New Roman"/>
                <w:noProof/>
              </w:rPr>
              <w:t>3,5</w:t>
            </w:r>
          </w:p>
        </w:tc>
      </w:tr>
    </w:tbl>
    <w:p w14:paraId="01BCD2E3" w14:textId="77777777" w:rsidR="00384D56" w:rsidRPr="003C0D71" w:rsidRDefault="00384D56" w:rsidP="00384D56">
      <w:pPr>
        <w:spacing w:after="0"/>
        <w:rPr>
          <w:rFonts w:ascii="Times New Roman" w:hAnsi="Times New Roman" w:cs="Times New Roman"/>
          <w:noProof/>
          <w:sz w:val="20"/>
        </w:rPr>
      </w:pPr>
      <w:r>
        <w:rPr>
          <w:rFonts w:ascii="Times New Roman" w:hAnsi="Times New Roman"/>
          <w:noProof/>
          <w:sz w:val="20"/>
        </w:rPr>
        <w:t>Źródło: sprawozdanie Wspólnego Komitetu</w:t>
      </w:r>
    </w:p>
    <w:p w14:paraId="43F2FBA6" w14:textId="5F8BD98A" w:rsidR="00384D56" w:rsidRPr="003C0D71" w:rsidRDefault="00384D56" w:rsidP="00384D56">
      <w:pPr>
        <w:rPr>
          <w:rFonts w:ascii="Times New Roman" w:hAnsi="Times New Roman" w:cs="Times New Roman"/>
          <w:noProof/>
          <w:sz w:val="20"/>
        </w:rPr>
      </w:pPr>
      <w:r>
        <w:rPr>
          <w:rFonts w:ascii="Times New Roman" w:hAnsi="Times New Roman"/>
          <w:noProof/>
          <w:sz w:val="20"/>
        </w:rPr>
        <w:t>Względny wynik</w:t>
      </w:r>
      <w:r w:rsidR="001B0DFF">
        <w:rPr>
          <w:rFonts w:ascii="Times New Roman" w:hAnsi="Times New Roman"/>
          <w:noProof/>
          <w:sz w:val="20"/>
        </w:rPr>
        <w:t xml:space="preserve"> w ska</w:t>
      </w:r>
      <w:r>
        <w:rPr>
          <w:rFonts w:ascii="Times New Roman" w:hAnsi="Times New Roman"/>
          <w:noProof/>
          <w:sz w:val="20"/>
        </w:rPr>
        <w:t xml:space="preserve">li </w:t>
      </w:r>
      <w:r w:rsidRPr="001B0DFF">
        <w:rPr>
          <w:rFonts w:ascii="Times New Roman" w:hAnsi="Times New Roman"/>
          <w:noProof/>
          <w:sz w:val="20"/>
        </w:rPr>
        <w:t>od</w:t>
      </w:r>
      <w:r w:rsidR="001B0DFF" w:rsidRPr="001B0DFF">
        <w:rPr>
          <w:rFonts w:ascii="Times New Roman" w:hAnsi="Times New Roman"/>
          <w:noProof/>
          <w:sz w:val="20"/>
        </w:rPr>
        <w:t> </w:t>
      </w:r>
      <w:r w:rsidRPr="001B0DFF">
        <w:rPr>
          <w:rFonts w:ascii="Times New Roman" w:hAnsi="Times New Roman"/>
          <w:noProof/>
          <w:sz w:val="20"/>
        </w:rPr>
        <w:t>0</w:t>
      </w:r>
      <w:r>
        <w:rPr>
          <w:rFonts w:ascii="Times New Roman" w:hAnsi="Times New Roman"/>
          <w:noProof/>
          <w:sz w:val="20"/>
        </w:rPr>
        <w:t xml:space="preserve"> (brak znaczenia) </w:t>
      </w:r>
      <w:r w:rsidRPr="001B0DFF">
        <w:rPr>
          <w:rFonts w:ascii="Times New Roman" w:hAnsi="Times New Roman"/>
          <w:noProof/>
          <w:sz w:val="20"/>
        </w:rPr>
        <w:t>do</w:t>
      </w:r>
      <w:r w:rsidR="001B0DFF" w:rsidRPr="001B0DFF">
        <w:rPr>
          <w:rFonts w:ascii="Times New Roman" w:hAnsi="Times New Roman"/>
          <w:noProof/>
          <w:sz w:val="20"/>
        </w:rPr>
        <w:t> </w:t>
      </w:r>
      <w:r w:rsidRPr="001B0DFF">
        <w:rPr>
          <w:rFonts w:ascii="Times New Roman" w:hAnsi="Times New Roman"/>
          <w:noProof/>
          <w:sz w:val="20"/>
        </w:rPr>
        <w:t>5</w:t>
      </w:r>
      <w:r>
        <w:rPr>
          <w:rFonts w:ascii="Times New Roman" w:hAnsi="Times New Roman"/>
          <w:noProof/>
          <w:sz w:val="20"/>
        </w:rPr>
        <w:t xml:space="preserve"> (ogromne znaczenie)</w:t>
      </w:r>
    </w:p>
    <w:p w14:paraId="5BACD716" w14:textId="2B45A7CB" w:rsidR="004D621C" w:rsidRPr="003C0D71" w:rsidRDefault="000146AB" w:rsidP="00175683">
      <w:pPr>
        <w:rPr>
          <w:rFonts w:ascii="Times New Roman" w:hAnsi="Times New Roman" w:cs="Times New Roman"/>
          <w:b/>
          <w:noProof/>
          <w:sz w:val="24"/>
        </w:rPr>
      </w:pPr>
      <w:r>
        <w:rPr>
          <w:rFonts w:ascii="Times New Roman" w:hAnsi="Times New Roman"/>
          <w:b/>
          <w:noProof/>
          <w:sz w:val="24"/>
        </w:rPr>
        <w:t>Ocena Komisji</w:t>
      </w:r>
    </w:p>
    <w:p w14:paraId="10C45849" w14:textId="41C7FBC1" w:rsidR="00175683" w:rsidRPr="003C0D71" w:rsidRDefault="007A67D0" w:rsidP="00175683">
      <w:pPr>
        <w:jc w:val="both"/>
        <w:rPr>
          <w:rFonts w:ascii="Times New Roman" w:hAnsi="Times New Roman" w:cs="Times New Roman"/>
          <w:noProof/>
        </w:rPr>
      </w:pPr>
      <w:r>
        <w:rPr>
          <w:rFonts w:ascii="Times New Roman" w:hAnsi="Times New Roman"/>
          <w:noProof/>
        </w:rPr>
        <w:t>Jeżeli chodzi</w:t>
      </w:r>
      <w:r w:rsidR="001B0DFF">
        <w:rPr>
          <w:rFonts w:ascii="Times New Roman" w:hAnsi="Times New Roman"/>
          <w:noProof/>
        </w:rPr>
        <w:t xml:space="preserve"> o ogó</w:t>
      </w:r>
      <w:r>
        <w:rPr>
          <w:rFonts w:ascii="Times New Roman" w:hAnsi="Times New Roman"/>
          <w:noProof/>
        </w:rPr>
        <w:t>lną sytuację na rynku, Komisja przyjmuje do wiadomości przedstawione przez przedstawicieli branży informacje zwrotne,</w:t>
      </w:r>
      <w:r w:rsidR="001B0DFF">
        <w:rPr>
          <w:rFonts w:ascii="Times New Roman" w:hAnsi="Times New Roman"/>
          <w:noProof/>
        </w:rPr>
        <w:t xml:space="preserve"> z któ</w:t>
      </w:r>
      <w:r>
        <w:rPr>
          <w:rFonts w:ascii="Times New Roman" w:hAnsi="Times New Roman"/>
          <w:noProof/>
        </w:rPr>
        <w:t>rych wynika, że wielkość emisji sekurytyzacyjnych jest</w:t>
      </w:r>
      <w:r w:rsidR="001B0DFF">
        <w:rPr>
          <w:rFonts w:ascii="Times New Roman" w:hAnsi="Times New Roman"/>
          <w:noProof/>
        </w:rPr>
        <w:t xml:space="preserve"> w dal</w:t>
      </w:r>
      <w:r>
        <w:rPr>
          <w:rFonts w:ascii="Times New Roman" w:hAnsi="Times New Roman"/>
          <w:noProof/>
        </w:rPr>
        <w:t>szym ciągu nieznaczna. Nie można jednak ponad wszelką wątpliwość ustalić sytuacji na całym rynku ze względu na brak źródła wyczerpujących danych obejmującego wszystkie segmenty rynku</w:t>
      </w:r>
      <w:r w:rsidR="001B0DFF">
        <w:rPr>
          <w:rFonts w:ascii="Times New Roman" w:hAnsi="Times New Roman"/>
          <w:noProof/>
        </w:rPr>
        <w:t>. W tym</w:t>
      </w:r>
      <w:r>
        <w:rPr>
          <w:rFonts w:ascii="Times New Roman" w:hAnsi="Times New Roman"/>
          <w:noProof/>
        </w:rPr>
        <w:t xml:space="preserve"> względzie organy nadzoru zachęca się do zintensyfikowania działań, aby lepiej ustalić</w:t>
      </w:r>
      <w:r w:rsidR="001B0DFF">
        <w:rPr>
          <w:rFonts w:ascii="Times New Roman" w:hAnsi="Times New Roman"/>
          <w:noProof/>
        </w:rPr>
        <w:t xml:space="preserve"> w szc</w:t>
      </w:r>
      <w:r>
        <w:rPr>
          <w:rFonts w:ascii="Times New Roman" w:hAnsi="Times New Roman"/>
          <w:noProof/>
        </w:rPr>
        <w:t>zególności wielkość rynku sekurytyzacji prywatnych. Ponadto na tym etapie nie jest jasne,</w:t>
      </w:r>
      <w:r w:rsidR="001B0DFF">
        <w:rPr>
          <w:rFonts w:ascii="Times New Roman" w:hAnsi="Times New Roman"/>
          <w:noProof/>
        </w:rPr>
        <w:t xml:space="preserve"> w jak</w:t>
      </w:r>
      <w:r>
        <w:rPr>
          <w:rFonts w:ascii="Times New Roman" w:hAnsi="Times New Roman"/>
          <w:noProof/>
        </w:rPr>
        <w:t>im stopniu zmiany na rynku można przypisać wpływowi systemu regulacyjnego,</w:t>
      </w:r>
      <w:r w:rsidR="001B0DFF">
        <w:rPr>
          <w:rFonts w:ascii="Times New Roman" w:hAnsi="Times New Roman"/>
          <w:noProof/>
        </w:rPr>
        <w:t xml:space="preserve"> a w jak</w:t>
      </w:r>
      <w:r>
        <w:rPr>
          <w:rFonts w:ascii="Times New Roman" w:hAnsi="Times New Roman"/>
          <w:noProof/>
        </w:rPr>
        <w:t xml:space="preserve">im stopniu bardziej decydujące okazały się czynniki zewnętrzne. </w:t>
      </w:r>
    </w:p>
    <w:p w14:paraId="577BB492" w14:textId="55BE41A8" w:rsidR="00175683" w:rsidRPr="003C0D71" w:rsidRDefault="00175683" w:rsidP="00175683">
      <w:pPr>
        <w:jc w:val="both"/>
        <w:rPr>
          <w:rFonts w:ascii="Times New Roman" w:hAnsi="Times New Roman" w:cs="Times New Roman"/>
          <w:noProof/>
        </w:rPr>
      </w:pPr>
      <w:r>
        <w:rPr>
          <w:rFonts w:ascii="Times New Roman" w:hAnsi="Times New Roman"/>
          <w:noProof/>
        </w:rPr>
        <w:t>Komisja nie odnotowała żadnych istotnych obaw co do jakości kredytowej unijnych sekurytyzacji ani nie została powiadomiona</w:t>
      </w:r>
      <w:r w:rsidR="001B0DFF">
        <w:rPr>
          <w:rFonts w:ascii="Times New Roman" w:hAnsi="Times New Roman"/>
          <w:noProof/>
        </w:rPr>
        <w:t xml:space="preserve"> o tak</w:t>
      </w:r>
      <w:r>
        <w:rPr>
          <w:rFonts w:ascii="Times New Roman" w:hAnsi="Times New Roman"/>
          <w:noProof/>
        </w:rPr>
        <w:t>ich obawach, pomimo że panują stosunkowo niekorzystne warunki makroekonomiczne, co świadczy</w:t>
      </w:r>
      <w:r w:rsidR="001B0DFF">
        <w:rPr>
          <w:rFonts w:ascii="Times New Roman" w:hAnsi="Times New Roman"/>
          <w:noProof/>
        </w:rPr>
        <w:t xml:space="preserve"> o sol</w:t>
      </w:r>
      <w:r>
        <w:rPr>
          <w:rFonts w:ascii="Times New Roman" w:hAnsi="Times New Roman"/>
          <w:noProof/>
        </w:rPr>
        <w:t>idnych podstawach unijnego rynku sekurytyzacji.</w:t>
      </w:r>
    </w:p>
    <w:p w14:paraId="3FCB2CE4" w14:textId="0F9B2F79" w:rsidR="00175683" w:rsidRPr="003C0D71" w:rsidRDefault="00175683" w:rsidP="00175683">
      <w:pPr>
        <w:jc w:val="both"/>
        <w:rPr>
          <w:rFonts w:ascii="Times New Roman" w:hAnsi="Times New Roman" w:cs="Times New Roman"/>
          <w:noProof/>
        </w:rPr>
      </w:pPr>
      <w:r>
        <w:rPr>
          <w:rFonts w:ascii="Times New Roman" w:hAnsi="Times New Roman"/>
          <w:noProof/>
        </w:rPr>
        <w:t>Komisja odnotowuje, że rynek wprowadził</w:t>
      </w:r>
      <w:r w:rsidR="001B0DFF">
        <w:rPr>
          <w:rFonts w:ascii="Times New Roman" w:hAnsi="Times New Roman"/>
          <w:noProof/>
        </w:rPr>
        <w:t xml:space="preserve"> i pow</w:t>
      </w:r>
      <w:r>
        <w:rPr>
          <w:rFonts w:ascii="Times New Roman" w:hAnsi="Times New Roman"/>
          <w:noProof/>
        </w:rPr>
        <w:t>szechnie zaakceptował oznakowanie „STS”. Oznaczenie to spełnia swój cel, tj. dzięki niemu inwestorom łatwiej jest identyfikować wysokiej jakości struktury,</w:t>
      </w:r>
      <w:r w:rsidR="001B0DFF">
        <w:rPr>
          <w:rFonts w:ascii="Times New Roman" w:hAnsi="Times New Roman"/>
          <w:noProof/>
        </w:rPr>
        <w:t xml:space="preserve"> a sek</w:t>
      </w:r>
      <w:r>
        <w:rPr>
          <w:rFonts w:ascii="Times New Roman" w:hAnsi="Times New Roman"/>
          <w:noProof/>
        </w:rPr>
        <w:t>urytyzacja przestaje wywoływać złe skojarzenia. Komisja</w:t>
      </w:r>
      <w:r w:rsidR="001B0DFF">
        <w:rPr>
          <w:rFonts w:ascii="Times New Roman" w:hAnsi="Times New Roman"/>
          <w:noProof/>
        </w:rPr>
        <w:t xml:space="preserve"> i Eur</w:t>
      </w:r>
      <w:r>
        <w:rPr>
          <w:rFonts w:ascii="Times New Roman" w:hAnsi="Times New Roman"/>
          <w:noProof/>
        </w:rPr>
        <w:t>opejskie Urzędy Nadzoru nadal będą monitorować rynek</w:t>
      </w:r>
      <w:r w:rsidR="001B0DFF">
        <w:rPr>
          <w:rFonts w:ascii="Times New Roman" w:hAnsi="Times New Roman"/>
          <w:noProof/>
        </w:rPr>
        <w:t xml:space="preserve"> i zap</w:t>
      </w:r>
      <w:r>
        <w:rPr>
          <w:rFonts w:ascii="Times New Roman" w:hAnsi="Times New Roman"/>
          <w:noProof/>
        </w:rPr>
        <w:t>ewniać uczestnikom rynku wytyczne</w:t>
      </w:r>
      <w:r w:rsidR="001B0DFF">
        <w:rPr>
          <w:rFonts w:ascii="Times New Roman" w:hAnsi="Times New Roman"/>
          <w:noProof/>
        </w:rPr>
        <w:t xml:space="preserve"> i w raz</w:t>
      </w:r>
      <w:r>
        <w:rPr>
          <w:rFonts w:ascii="Times New Roman" w:hAnsi="Times New Roman"/>
          <w:noProof/>
        </w:rPr>
        <w:t>ie potrzeby wyjaśnienia dotyczące interpretacji kryteriów STS, aby lepiej orientowali się</w:t>
      </w:r>
      <w:r w:rsidR="001B0DFF">
        <w:rPr>
          <w:rFonts w:ascii="Times New Roman" w:hAnsi="Times New Roman"/>
          <w:noProof/>
        </w:rPr>
        <w:t xml:space="preserve"> w ram</w:t>
      </w:r>
      <w:r>
        <w:rPr>
          <w:rFonts w:ascii="Times New Roman" w:hAnsi="Times New Roman"/>
          <w:noProof/>
        </w:rPr>
        <w:t>ach prawnych.</w:t>
      </w:r>
    </w:p>
    <w:p w14:paraId="7085F739" w14:textId="6B5C6C81" w:rsidR="00175683" w:rsidRPr="003C0D71" w:rsidRDefault="00175683" w:rsidP="00175683">
      <w:pPr>
        <w:jc w:val="both"/>
        <w:rPr>
          <w:rFonts w:ascii="Times New Roman" w:hAnsi="Times New Roman" w:cs="Times New Roman"/>
          <w:noProof/>
        </w:rPr>
      </w:pPr>
      <w:r>
        <w:rPr>
          <w:rFonts w:ascii="Times New Roman" w:hAnsi="Times New Roman"/>
          <w:noProof/>
        </w:rPr>
        <w:t>Komisja jest zdania, że rozporządzenie</w:t>
      </w:r>
      <w:r w:rsidR="001B0DFF">
        <w:rPr>
          <w:rFonts w:ascii="Times New Roman" w:hAnsi="Times New Roman"/>
          <w:noProof/>
        </w:rPr>
        <w:t xml:space="preserve"> w spr</w:t>
      </w:r>
      <w:r>
        <w:rPr>
          <w:rFonts w:ascii="Times New Roman" w:hAnsi="Times New Roman"/>
          <w:noProof/>
        </w:rPr>
        <w:t>awie sekurytyzacji zasadniczo wydaje się spełniać swój cel,</w:t>
      </w:r>
      <w:r w:rsidR="001B0DFF">
        <w:rPr>
          <w:rFonts w:ascii="Times New Roman" w:hAnsi="Times New Roman"/>
          <w:noProof/>
        </w:rPr>
        <w:t xml:space="preserve"> i w tym</w:t>
      </w:r>
      <w:r>
        <w:rPr>
          <w:rFonts w:ascii="Times New Roman" w:hAnsi="Times New Roman"/>
          <w:noProof/>
        </w:rPr>
        <w:t xml:space="preserve"> momencie nie widzi konieczności wprowadzania istotnej zmiany legislacyjnej. Komisja odnotowuje jednak obawy wyrażone przez zainteresowane strony</w:t>
      </w:r>
      <w:r w:rsidR="001B0DFF">
        <w:rPr>
          <w:rFonts w:ascii="Times New Roman" w:hAnsi="Times New Roman"/>
          <w:noProof/>
        </w:rPr>
        <w:t xml:space="preserve"> i prz</w:t>
      </w:r>
      <w:r>
        <w:rPr>
          <w:rFonts w:ascii="Times New Roman" w:hAnsi="Times New Roman"/>
          <w:noProof/>
        </w:rPr>
        <w:t>yznaje, że niektóre aspekty można udoskonalić (zob. sekcje 5</w:t>
      </w:r>
      <w:r w:rsidR="001B0DFF">
        <w:rPr>
          <w:rFonts w:ascii="Times New Roman" w:hAnsi="Times New Roman"/>
          <w:noProof/>
        </w:rPr>
        <w:t xml:space="preserve"> i 6</w:t>
      </w:r>
      <w:r>
        <w:rPr>
          <w:rFonts w:ascii="Times New Roman" w:hAnsi="Times New Roman"/>
          <w:noProof/>
        </w:rPr>
        <w:t xml:space="preserve">). </w:t>
      </w:r>
    </w:p>
    <w:p w14:paraId="5E6A4216" w14:textId="77777777" w:rsidR="005D192F" w:rsidRPr="003C0D71" w:rsidRDefault="2603B6C4" w:rsidP="005D192F">
      <w:pPr>
        <w:pStyle w:val="Heading1"/>
        <w:numPr>
          <w:ilvl w:val="0"/>
          <w:numId w:val="2"/>
        </w:numPr>
        <w:rPr>
          <w:rFonts w:ascii="Times New Roman" w:hAnsi="Times New Roman" w:cs="Times New Roman"/>
          <w:noProof/>
          <w:color w:val="auto"/>
        </w:rPr>
      </w:pPr>
      <w:bookmarkStart w:id="17" w:name="_Toc104283064"/>
      <w:bookmarkStart w:id="18" w:name="_Toc104286132"/>
      <w:bookmarkStart w:id="19" w:name="_Toc104297337"/>
      <w:bookmarkStart w:id="20" w:name="_Toc115361587"/>
      <w:r>
        <w:rPr>
          <w:rFonts w:ascii="Times New Roman" w:hAnsi="Times New Roman"/>
          <w:noProof/>
          <w:color w:val="auto"/>
        </w:rPr>
        <w:t>Zatrzymanie ryzyka</w:t>
      </w:r>
      <w:bookmarkEnd w:id="17"/>
      <w:bookmarkEnd w:id="18"/>
      <w:bookmarkEnd w:id="19"/>
      <w:bookmarkEnd w:id="20"/>
    </w:p>
    <w:p w14:paraId="2D7633EA" w14:textId="12ACF714" w:rsidR="00D57961" w:rsidRPr="003C0D71" w:rsidRDefault="2603B6C4" w:rsidP="000D4664">
      <w:pPr>
        <w:rPr>
          <w:rFonts w:ascii="Times New Roman" w:hAnsi="Times New Roman" w:cs="Times New Roman"/>
          <w:b/>
          <w:noProof/>
          <w:sz w:val="24"/>
        </w:rPr>
      </w:pPr>
      <w:r>
        <w:rPr>
          <w:rFonts w:ascii="Times New Roman" w:hAnsi="Times New Roman"/>
          <w:b/>
          <w:noProof/>
          <w:sz w:val="24"/>
        </w:rPr>
        <w:t>Kontekst</w:t>
      </w:r>
      <w:r w:rsidR="001B0DFF">
        <w:rPr>
          <w:rFonts w:ascii="Times New Roman" w:hAnsi="Times New Roman"/>
          <w:b/>
          <w:noProof/>
          <w:sz w:val="24"/>
        </w:rPr>
        <w:t xml:space="preserve"> i ust</w:t>
      </w:r>
      <w:r>
        <w:rPr>
          <w:rFonts w:ascii="Times New Roman" w:hAnsi="Times New Roman"/>
          <w:b/>
          <w:noProof/>
          <w:sz w:val="24"/>
        </w:rPr>
        <w:t>alenia</w:t>
      </w:r>
    </w:p>
    <w:p w14:paraId="2AB25D65" w14:textId="0C67C9CC" w:rsidR="00D946F3" w:rsidRPr="003C0D71" w:rsidRDefault="2603B6C4" w:rsidP="2603B6C4">
      <w:pPr>
        <w:jc w:val="both"/>
        <w:rPr>
          <w:rFonts w:ascii="Times New Roman" w:hAnsi="Times New Roman" w:cs="Times New Roman"/>
          <w:noProof/>
        </w:rPr>
      </w:pPr>
      <w:r>
        <w:rPr>
          <w:rFonts w:ascii="Times New Roman" w:hAnsi="Times New Roman"/>
          <w:noProof/>
        </w:rPr>
        <w:t>Aby uniknąć rozbieżności zachęt dla emitentów</w:t>
      </w:r>
      <w:r w:rsidR="001B0DFF">
        <w:rPr>
          <w:rFonts w:ascii="Times New Roman" w:hAnsi="Times New Roman"/>
          <w:noProof/>
        </w:rPr>
        <w:t xml:space="preserve"> i nab</w:t>
      </w:r>
      <w:r>
        <w:rPr>
          <w:rFonts w:ascii="Times New Roman" w:hAnsi="Times New Roman"/>
          <w:noProof/>
        </w:rPr>
        <w:t>ywców sekurytyzacji,</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6</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awie sekurytyzacji wymaga się, aby jednostki inicjujące, jednostki sponsorujące lub pierwotni kredytodawcy (i jednostki obsługujące</w:t>
      </w:r>
      <w:r w:rsidR="001B0DFF">
        <w:rPr>
          <w:rFonts w:ascii="Times New Roman" w:hAnsi="Times New Roman"/>
          <w:noProof/>
        </w:rPr>
        <w:t xml:space="preserve"> w prz</w:t>
      </w:r>
      <w:r>
        <w:rPr>
          <w:rFonts w:ascii="Times New Roman" w:hAnsi="Times New Roman"/>
          <w:noProof/>
        </w:rPr>
        <w:t>ypadku sekurytyzacji ekspozycji nieobsługiwanych) posiadały</w:t>
      </w:r>
      <w:r w:rsidR="001B0DFF">
        <w:rPr>
          <w:rFonts w:ascii="Times New Roman" w:hAnsi="Times New Roman"/>
          <w:noProof/>
        </w:rPr>
        <w:t xml:space="preserve"> w tra</w:t>
      </w:r>
      <w:r>
        <w:rPr>
          <w:rFonts w:ascii="Times New Roman" w:hAnsi="Times New Roman"/>
          <w:noProof/>
        </w:rPr>
        <w:t>kcie całego okresu trwania transakcji udział gospodarczy netto</w:t>
      </w:r>
      <w:r w:rsidR="001B0DFF">
        <w:rPr>
          <w:rFonts w:ascii="Times New Roman" w:hAnsi="Times New Roman"/>
          <w:noProof/>
        </w:rPr>
        <w:t xml:space="preserve"> w sek</w:t>
      </w:r>
      <w:r>
        <w:rPr>
          <w:rFonts w:ascii="Times New Roman" w:hAnsi="Times New Roman"/>
          <w:noProof/>
        </w:rPr>
        <w:t xml:space="preserve">urytyzacji wynoszący nie mniej niż </w:t>
      </w:r>
      <w:r w:rsidRPr="001B0DFF">
        <w:rPr>
          <w:rFonts w:ascii="Times New Roman" w:hAnsi="Times New Roman"/>
          <w:noProof/>
        </w:rPr>
        <w:t>5</w:t>
      </w:r>
      <w:r w:rsidR="001B0DFF" w:rsidRPr="001B0DFF">
        <w:rPr>
          <w:rFonts w:ascii="Times New Roman" w:hAnsi="Times New Roman"/>
          <w:noProof/>
        </w:rPr>
        <w:t> </w:t>
      </w:r>
      <w:r w:rsidRPr="001B0DFF">
        <w:rPr>
          <w:rFonts w:ascii="Times New Roman" w:hAnsi="Times New Roman"/>
          <w:noProof/>
        </w:rPr>
        <w:t>%</w:t>
      </w:r>
      <w:r>
        <w:rPr>
          <w:rFonts w:ascii="Times New Roman" w:hAnsi="Times New Roman"/>
          <w:noProof/>
        </w:rPr>
        <w:t>. Oprócz tego bezpośredniego zobowiązania przewidziano również pośrednią weryfikację przestrzegania tego wymogu dotyczącego zatrzymania ryzyka, zgodnie</w:t>
      </w:r>
      <w:r w:rsidR="001B0DFF">
        <w:rPr>
          <w:rFonts w:ascii="Times New Roman" w:hAnsi="Times New Roman"/>
          <w:noProof/>
        </w:rPr>
        <w:t xml:space="preserve"> z któ</w:t>
      </w:r>
      <w:r>
        <w:rPr>
          <w:rFonts w:ascii="Times New Roman" w:hAnsi="Times New Roman"/>
          <w:noProof/>
        </w:rPr>
        <w:t>rym inwestorzy instytucjonalni mogą posiadać wyłącznie pozycje sekurytyzacyjne,</w:t>
      </w:r>
      <w:r w:rsidR="001B0DFF">
        <w:rPr>
          <w:rFonts w:ascii="Times New Roman" w:hAnsi="Times New Roman"/>
          <w:noProof/>
        </w:rPr>
        <w:t xml:space="preserve"> w prz</w:t>
      </w:r>
      <w:r>
        <w:rPr>
          <w:rFonts w:ascii="Times New Roman" w:hAnsi="Times New Roman"/>
          <w:noProof/>
        </w:rPr>
        <w:t xml:space="preserve">ypadku których zatrzymany istotny udział gospodarczy netto wynosi nie mniej niż </w:t>
      </w:r>
      <w:r w:rsidRPr="001B0DFF">
        <w:rPr>
          <w:rFonts w:ascii="Times New Roman" w:hAnsi="Times New Roman"/>
          <w:noProof/>
        </w:rPr>
        <w:t>5</w:t>
      </w:r>
      <w:r w:rsidR="001B0DFF" w:rsidRPr="001B0DFF">
        <w:rPr>
          <w:rFonts w:ascii="Times New Roman" w:hAnsi="Times New Roman"/>
          <w:noProof/>
        </w:rPr>
        <w:t> </w:t>
      </w:r>
      <w:r w:rsidRPr="001B0DFF">
        <w:rPr>
          <w:rFonts w:ascii="Times New Roman" w:hAnsi="Times New Roman"/>
          <w:noProof/>
        </w:rPr>
        <w:t>%</w:t>
      </w:r>
      <w:r>
        <w:rPr>
          <w:rFonts w:ascii="Times New Roman" w:hAnsi="Times New Roman"/>
          <w:noProof/>
        </w:rPr>
        <w:t>.</w:t>
      </w:r>
    </w:p>
    <w:p w14:paraId="17B5A6D0" w14:textId="40610EC4" w:rsidR="00BE2871" w:rsidRDefault="002B1000" w:rsidP="2603B6C4">
      <w:pPr>
        <w:jc w:val="both"/>
        <w:rPr>
          <w:rFonts w:ascii="Times New Roman" w:hAnsi="Times New Roman" w:cs="Times New Roman"/>
          <w:noProof/>
        </w:rPr>
      </w:pPr>
      <w:r>
        <w:rPr>
          <w:rFonts w:ascii="Times New Roman" w:hAnsi="Times New Roman"/>
          <w:noProof/>
        </w:rPr>
        <w:t>Według informacji udzielonych przez repozytorium sekurytyzacji European Data Warehouse</w:t>
      </w:r>
      <w:r>
        <w:rPr>
          <w:rStyle w:val="FootnoteReference"/>
          <w:rFonts w:ascii="Times New Roman" w:hAnsi="Times New Roman" w:cs="Times New Roman"/>
          <w:noProof/>
        </w:rPr>
        <w:footnoteReference w:id="23"/>
      </w:r>
      <w:r>
        <w:rPr>
          <w:rFonts w:ascii="Times New Roman" w:hAnsi="Times New Roman"/>
          <w:noProof/>
        </w:rPr>
        <w:t xml:space="preserve"> najpopularniejszą metodą zatrzymania</w:t>
      </w:r>
      <w:r w:rsidR="001B0DFF">
        <w:rPr>
          <w:rFonts w:ascii="Times New Roman" w:hAnsi="Times New Roman"/>
          <w:noProof/>
        </w:rPr>
        <w:t xml:space="preserve"> w prz</w:t>
      </w:r>
      <w:r>
        <w:rPr>
          <w:rFonts w:ascii="Times New Roman" w:hAnsi="Times New Roman"/>
          <w:noProof/>
        </w:rPr>
        <w:t>ypadku publicznych sekurytyzacji długoterminowych jest metoda „pierwszej straty”, zgodnie</w:t>
      </w:r>
      <w:r w:rsidR="001B0DFF">
        <w:rPr>
          <w:rFonts w:ascii="Times New Roman" w:hAnsi="Times New Roman"/>
          <w:noProof/>
        </w:rPr>
        <w:t xml:space="preserve"> z któ</w:t>
      </w:r>
      <w:r>
        <w:rPr>
          <w:rFonts w:ascii="Times New Roman" w:hAnsi="Times New Roman"/>
          <w:noProof/>
        </w:rPr>
        <w:t xml:space="preserve">rą podmiot zatrzymujący zatrzymuje ryzyko pierwszej straty kredytowej do wysokości </w:t>
      </w:r>
      <w:r w:rsidRPr="001B0DFF">
        <w:rPr>
          <w:rFonts w:ascii="Times New Roman" w:hAnsi="Times New Roman"/>
          <w:noProof/>
        </w:rPr>
        <w:t>5</w:t>
      </w:r>
      <w:r w:rsidR="001B0DFF" w:rsidRPr="001B0DFF">
        <w:rPr>
          <w:rFonts w:ascii="Times New Roman" w:hAnsi="Times New Roman"/>
          <w:noProof/>
        </w:rPr>
        <w:t> </w:t>
      </w:r>
      <w:r w:rsidRPr="001B0DFF">
        <w:rPr>
          <w:rFonts w:ascii="Times New Roman" w:hAnsi="Times New Roman"/>
          <w:noProof/>
        </w:rPr>
        <w:t>%</w:t>
      </w:r>
      <w:r>
        <w:rPr>
          <w:rFonts w:ascii="Times New Roman" w:hAnsi="Times New Roman"/>
          <w:noProof/>
        </w:rPr>
        <w:t xml:space="preserve"> nominalnej wartości sekurytyzowanych ekspozycji (zob. wykres 3).</w:t>
      </w:r>
    </w:p>
    <w:p w14:paraId="2ECD391A" w14:textId="138AEE1B" w:rsidR="00367978" w:rsidRPr="003C0D71" w:rsidRDefault="00367978" w:rsidP="001B0DFF">
      <w:pPr>
        <w:keepNext/>
        <w:keepLines/>
        <w:spacing w:after="0"/>
        <w:jc w:val="both"/>
        <w:rPr>
          <w:rFonts w:ascii="Times New Roman" w:hAnsi="Times New Roman" w:cs="Times New Roman"/>
          <w:b/>
          <w:noProof/>
        </w:rPr>
      </w:pPr>
      <w:r>
        <w:rPr>
          <w:rFonts w:ascii="Times New Roman" w:hAnsi="Times New Roman"/>
          <w:b/>
          <w:noProof/>
        </w:rPr>
        <w:t>Wykres 3: Stosowanie metod zatrzymania</w:t>
      </w:r>
      <w:r w:rsidR="001B0DFF">
        <w:rPr>
          <w:rFonts w:ascii="Times New Roman" w:hAnsi="Times New Roman"/>
          <w:b/>
          <w:noProof/>
        </w:rPr>
        <w:t xml:space="preserve"> w prz</w:t>
      </w:r>
      <w:r>
        <w:rPr>
          <w:rFonts w:ascii="Times New Roman" w:hAnsi="Times New Roman"/>
          <w:b/>
          <w:noProof/>
        </w:rPr>
        <w:t>ypadku publicznych sekurytyzacji długoterminowych,</w:t>
      </w:r>
      <w:r w:rsidR="001B0DFF">
        <w:rPr>
          <w:rFonts w:ascii="Times New Roman" w:hAnsi="Times New Roman"/>
          <w:b/>
          <w:noProof/>
        </w:rPr>
        <w:t xml:space="preserve"> w uję</w:t>
      </w:r>
      <w:r>
        <w:rPr>
          <w:rFonts w:ascii="Times New Roman" w:hAnsi="Times New Roman"/>
          <w:b/>
          <w:noProof/>
        </w:rPr>
        <w:t>ciu procentowym</w:t>
      </w:r>
    </w:p>
    <w:p w14:paraId="1214757C" w14:textId="77777777" w:rsidR="00367978" w:rsidRPr="003C0D71" w:rsidRDefault="00367978" w:rsidP="001B0DFF">
      <w:pPr>
        <w:keepNext/>
        <w:keepLines/>
        <w:spacing w:after="0"/>
        <w:jc w:val="both"/>
        <w:rPr>
          <w:rFonts w:ascii="Times New Roman" w:hAnsi="Times New Roman" w:cs="Times New Roman"/>
          <w:b/>
          <w:noProof/>
        </w:rPr>
      </w:pPr>
    </w:p>
    <w:p w14:paraId="132F42D7" w14:textId="77777777" w:rsidR="00865B96" w:rsidRDefault="00367978" w:rsidP="001B0DFF">
      <w:pPr>
        <w:keepNext/>
        <w:keepLines/>
        <w:jc w:val="both"/>
        <w:rPr>
          <w:rFonts w:ascii="Times New Roman" w:hAnsi="Times New Roman" w:cs="Times New Roman"/>
          <w:noProof/>
          <w:sz w:val="20"/>
        </w:rPr>
      </w:pPr>
      <w:r>
        <w:rPr>
          <w:rFonts w:ascii="Times New Roman" w:hAnsi="Times New Roman"/>
          <w:noProof/>
          <w:sz w:val="20"/>
        </w:rPr>
        <w:t>Źródło: European Data Warehouse</w:t>
      </w:r>
    </w:p>
    <w:p w14:paraId="359B5D71" w14:textId="4AE389C8" w:rsidR="00367978" w:rsidRPr="003C0D71" w:rsidRDefault="00346C1E" w:rsidP="001B0DFF">
      <w:pPr>
        <w:keepNext/>
        <w:keepLines/>
        <w:jc w:val="both"/>
        <w:rPr>
          <w:rFonts w:ascii="Times New Roman" w:hAnsi="Times New Roman" w:cs="Times New Roman"/>
          <w:noProof/>
          <w:sz w:val="20"/>
        </w:rPr>
      </w:pPr>
      <w:r>
        <w:rPr>
          <w:rFonts w:ascii="Times New Roman" w:hAnsi="Times New Roman" w:cs="Times New Roman"/>
          <w:noProof/>
          <w:sz w:val="20"/>
          <w:lang w:val="en-GB" w:eastAsia="en-GB"/>
        </w:rPr>
        <w:drawing>
          <wp:inline distT="0" distB="0" distL="0" distR="0" wp14:anchorId="16299091" wp14:editId="539BD0CF">
            <wp:extent cx="5081905" cy="32607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01528" cy="3273376"/>
                    </a:xfrm>
                    <a:prstGeom prst="rect">
                      <a:avLst/>
                    </a:prstGeom>
                    <a:noFill/>
                  </pic:spPr>
                </pic:pic>
              </a:graphicData>
            </a:graphic>
          </wp:inline>
        </w:drawing>
      </w:r>
    </w:p>
    <w:p w14:paraId="245C8C46" w14:textId="494D30B9" w:rsidR="00F15BAC" w:rsidRPr="003C0D71" w:rsidRDefault="002B1000" w:rsidP="2603B6C4">
      <w:pPr>
        <w:jc w:val="both"/>
        <w:rPr>
          <w:rFonts w:ascii="Times New Roman" w:hAnsi="Times New Roman" w:cs="Times New Roman"/>
          <w:noProof/>
        </w:rPr>
      </w:pPr>
      <w:r>
        <w:rPr>
          <w:rFonts w:ascii="Times New Roman" w:hAnsi="Times New Roman"/>
          <w:noProof/>
        </w:rPr>
        <w:t>Ponieważ nie istnieje obowiązek zgłaszania sekurytyzacji prywatnych repozytoriom sekurytyzacji,</w:t>
      </w:r>
      <w:r w:rsidR="001B0DFF">
        <w:rPr>
          <w:rFonts w:ascii="Times New Roman" w:hAnsi="Times New Roman"/>
          <w:noProof/>
        </w:rPr>
        <w:t xml:space="preserve"> w prz</w:t>
      </w:r>
      <w:r>
        <w:rPr>
          <w:rFonts w:ascii="Times New Roman" w:hAnsi="Times New Roman"/>
          <w:noProof/>
        </w:rPr>
        <w:t>ypadku transakcji prywatnych trudniej jest systematycznie otrzymywać dane dotyczące stosowanych metod zatrzymania ryzyka</w:t>
      </w:r>
      <w:r w:rsidR="001B0DFF">
        <w:rPr>
          <w:rFonts w:ascii="Times New Roman" w:hAnsi="Times New Roman"/>
          <w:noProof/>
        </w:rPr>
        <w:t>. Z dan</w:t>
      </w:r>
      <w:r>
        <w:rPr>
          <w:rFonts w:ascii="Times New Roman" w:hAnsi="Times New Roman"/>
          <w:noProof/>
        </w:rPr>
        <w:t>ych COREP dotyczących banków uczestniczących</w:t>
      </w:r>
      <w:r w:rsidR="001B0DFF">
        <w:rPr>
          <w:rFonts w:ascii="Times New Roman" w:hAnsi="Times New Roman"/>
          <w:noProof/>
        </w:rPr>
        <w:t xml:space="preserve"> w tra</w:t>
      </w:r>
      <w:r>
        <w:rPr>
          <w:rFonts w:ascii="Times New Roman" w:hAnsi="Times New Roman"/>
          <w:noProof/>
        </w:rPr>
        <w:t>nsakcjach sekurytyzacyjnych wynika, że najczęściej stosowaną metodą zatrzymania</w:t>
      </w:r>
      <w:r w:rsidR="001B0DFF">
        <w:rPr>
          <w:rFonts w:ascii="Times New Roman" w:hAnsi="Times New Roman"/>
          <w:noProof/>
        </w:rPr>
        <w:t xml:space="preserve"> w odn</w:t>
      </w:r>
      <w:r>
        <w:rPr>
          <w:rFonts w:ascii="Times New Roman" w:hAnsi="Times New Roman"/>
          <w:noProof/>
        </w:rPr>
        <w:t>iesieniu do transakcji syntetycznych,</w:t>
      </w:r>
      <w:r w:rsidR="001B0DFF">
        <w:rPr>
          <w:rFonts w:ascii="Times New Roman" w:hAnsi="Times New Roman"/>
          <w:noProof/>
        </w:rPr>
        <w:t xml:space="preserve"> w prz</w:t>
      </w:r>
      <w:r>
        <w:rPr>
          <w:rFonts w:ascii="Times New Roman" w:hAnsi="Times New Roman"/>
          <w:noProof/>
        </w:rPr>
        <w:t>ypadku których dąży się do uznania przeniesienia istotnej części ryzyka</w:t>
      </w:r>
      <w:r w:rsidR="001B0DFF">
        <w:rPr>
          <w:rFonts w:ascii="Times New Roman" w:hAnsi="Times New Roman"/>
          <w:noProof/>
        </w:rPr>
        <w:t xml:space="preserve"> w cel</w:t>
      </w:r>
      <w:r>
        <w:rPr>
          <w:rFonts w:ascii="Times New Roman" w:hAnsi="Times New Roman"/>
          <w:noProof/>
        </w:rPr>
        <w:t xml:space="preserve">u uwolnienia kapitału, (zazwyczaj są to transakcje prywatne) jest metoda „pionowego segmentu”. Oznacza to, że jednostka inicjująca, jednostka sponsorująca lub pierwotny kredytodawca zatrzymuje co najmniej </w:t>
      </w:r>
      <w:r w:rsidRPr="001B0DFF">
        <w:rPr>
          <w:rFonts w:ascii="Times New Roman" w:hAnsi="Times New Roman"/>
          <w:noProof/>
        </w:rPr>
        <w:t>5</w:t>
      </w:r>
      <w:r w:rsidR="001B0DFF" w:rsidRPr="001B0DFF">
        <w:rPr>
          <w:rFonts w:ascii="Times New Roman" w:hAnsi="Times New Roman"/>
          <w:noProof/>
        </w:rPr>
        <w:t> </w:t>
      </w:r>
      <w:r w:rsidRPr="001B0DFF">
        <w:rPr>
          <w:rFonts w:ascii="Times New Roman" w:hAnsi="Times New Roman"/>
          <w:noProof/>
        </w:rPr>
        <w:t>%</w:t>
      </w:r>
      <w:r>
        <w:rPr>
          <w:rFonts w:ascii="Times New Roman" w:hAnsi="Times New Roman"/>
          <w:noProof/>
        </w:rPr>
        <w:t xml:space="preserve"> każdej</w:t>
      </w:r>
      <w:r w:rsidR="001B0DFF">
        <w:rPr>
          <w:rFonts w:ascii="Times New Roman" w:hAnsi="Times New Roman"/>
          <w:noProof/>
        </w:rPr>
        <w:t xml:space="preserve"> z tra</w:t>
      </w:r>
      <w:r>
        <w:rPr>
          <w:rFonts w:ascii="Times New Roman" w:hAnsi="Times New Roman"/>
          <w:noProof/>
        </w:rPr>
        <w:t>nsz sprzedanych lub przeniesionych na rzecz inwestorów. Tę metodę zatrzymania wykorzystano</w:t>
      </w:r>
      <w:r w:rsidR="001B0DFF">
        <w:rPr>
          <w:rFonts w:ascii="Times New Roman" w:hAnsi="Times New Roman"/>
          <w:noProof/>
        </w:rPr>
        <w:t xml:space="preserve"> w prz</w:t>
      </w:r>
      <w:r>
        <w:rPr>
          <w:rFonts w:ascii="Times New Roman" w:hAnsi="Times New Roman"/>
          <w:noProof/>
        </w:rPr>
        <w:t>ypadku 8</w:t>
      </w:r>
      <w:r w:rsidRPr="001B0DFF">
        <w:rPr>
          <w:rFonts w:ascii="Times New Roman" w:hAnsi="Times New Roman"/>
          <w:noProof/>
        </w:rPr>
        <w:t>0</w:t>
      </w:r>
      <w:r w:rsidR="001B0DFF" w:rsidRPr="001B0DFF">
        <w:rPr>
          <w:rFonts w:ascii="Times New Roman" w:hAnsi="Times New Roman"/>
          <w:noProof/>
        </w:rPr>
        <w:t> </w:t>
      </w:r>
      <w:r w:rsidRPr="001B0DFF">
        <w:rPr>
          <w:rFonts w:ascii="Times New Roman" w:hAnsi="Times New Roman"/>
          <w:noProof/>
        </w:rPr>
        <w:t>%</w:t>
      </w:r>
      <w:r>
        <w:rPr>
          <w:rFonts w:ascii="Times New Roman" w:hAnsi="Times New Roman"/>
          <w:noProof/>
        </w:rPr>
        <w:t xml:space="preserve"> syntetycznych transakcji przeniesienia istotnej części ryzyka</w:t>
      </w:r>
      <w:r w:rsidR="001B0DFF">
        <w:rPr>
          <w:rFonts w:ascii="Times New Roman" w:hAnsi="Times New Roman"/>
          <w:noProof/>
        </w:rPr>
        <w:t xml:space="preserve"> w lat</w:t>
      </w:r>
      <w:r>
        <w:rPr>
          <w:rFonts w:ascii="Times New Roman" w:hAnsi="Times New Roman"/>
          <w:noProof/>
        </w:rPr>
        <w:t>ach 2020–2021.</w:t>
      </w:r>
    </w:p>
    <w:p w14:paraId="0D7E1334" w14:textId="2BCBFB19" w:rsidR="00214960" w:rsidRPr="003C0D71" w:rsidRDefault="2603B6C4" w:rsidP="2603B6C4">
      <w:pPr>
        <w:jc w:val="both"/>
        <w:rPr>
          <w:rFonts w:ascii="Times New Roman" w:hAnsi="Times New Roman" w:cs="Times New Roman"/>
          <w:noProof/>
        </w:rPr>
      </w:pPr>
      <w:r>
        <w:rPr>
          <w:rFonts w:ascii="Times New Roman" w:hAnsi="Times New Roman"/>
          <w:noProof/>
        </w:rPr>
        <w:t>W sprawozdaniu Wspólnego Komitetu nie ustalono występowania nieprawidłowości</w:t>
      </w:r>
      <w:r w:rsidR="001B0DFF">
        <w:rPr>
          <w:rFonts w:ascii="Times New Roman" w:hAnsi="Times New Roman"/>
          <w:noProof/>
        </w:rPr>
        <w:t xml:space="preserve"> w sto</w:t>
      </w:r>
      <w:r>
        <w:rPr>
          <w:rFonts w:ascii="Times New Roman" w:hAnsi="Times New Roman"/>
          <w:noProof/>
        </w:rPr>
        <w:t>sowaniu ram zatrzymania ryzyka. Komisja nie przyjęła jednak jeszcze regulacyjnych standardów technicznych wymaganych</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6</w:t>
      </w:r>
      <w:r>
        <w:rPr>
          <w:rFonts w:ascii="Times New Roman" w:hAnsi="Times New Roman"/>
          <w:noProof/>
        </w:rPr>
        <w:t xml:space="preserve">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awie sekurytyzacji,</w:t>
      </w:r>
      <w:r w:rsidR="001B0DFF">
        <w:rPr>
          <w:rFonts w:ascii="Times New Roman" w:hAnsi="Times New Roman"/>
          <w:noProof/>
        </w:rPr>
        <w:t xml:space="preserve"> w któ</w:t>
      </w:r>
      <w:r>
        <w:rPr>
          <w:rFonts w:ascii="Times New Roman" w:hAnsi="Times New Roman"/>
          <w:noProof/>
        </w:rPr>
        <w:t>rych procedury zatrzymania ryzyka mają być szczegółowo określone. Mogło to spowodować pewną niepewność prawa</w:t>
      </w:r>
      <w:r w:rsidR="001B0DFF">
        <w:rPr>
          <w:rFonts w:ascii="Times New Roman" w:hAnsi="Times New Roman"/>
          <w:noProof/>
        </w:rPr>
        <w:t xml:space="preserve"> z pun</w:t>
      </w:r>
      <w:r>
        <w:rPr>
          <w:rFonts w:ascii="Times New Roman" w:hAnsi="Times New Roman"/>
          <w:noProof/>
        </w:rPr>
        <w:t>ktu widzenia uczestników rynku</w:t>
      </w:r>
      <w:r>
        <w:rPr>
          <w:rStyle w:val="FootnoteReference"/>
          <w:rFonts w:ascii="Times New Roman" w:hAnsi="Times New Roman" w:cs="Times New Roman"/>
          <w:noProof/>
        </w:rPr>
        <w:footnoteReference w:id="24"/>
      </w:r>
      <w:r>
        <w:rPr>
          <w:rFonts w:ascii="Times New Roman" w:hAnsi="Times New Roman"/>
          <w:noProof/>
        </w:rPr>
        <w:t>. Wydaje się, że ten brak szczegółowych przepisów nie ma wpływu na transakcje typu „plain vanilla”, ponieważ wymogi dotyczące zatrzymania ryzyka</w:t>
      </w:r>
      <w:r w:rsidR="001B0DFF">
        <w:rPr>
          <w:rFonts w:ascii="Times New Roman" w:hAnsi="Times New Roman"/>
          <w:noProof/>
        </w:rPr>
        <w:t xml:space="preserve"> w duż</w:t>
      </w:r>
      <w:r>
        <w:rPr>
          <w:rFonts w:ascii="Times New Roman" w:hAnsi="Times New Roman"/>
          <w:noProof/>
        </w:rPr>
        <w:t>ej mierze pochodzą</w:t>
      </w:r>
      <w:r w:rsidR="001B0DFF">
        <w:rPr>
          <w:rFonts w:ascii="Times New Roman" w:hAnsi="Times New Roman"/>
          <w:noProof/>
        </w:rPr>
        <w:t xml:space="preserve"> z już</w:t>
      </w:r>
      <w:r>
        <w:rPr>
          <w:rFonts w:ascii="Times New Roman" w:hAnsi="Times New Roman"/>
          <w:noProof/>
        </w:rPr>
        <w:t xml:space="preserve"> obowiązujących przepisów rozporządzenia</w:t>
      </w:r>
      <w:r w:rsidR="001B0DFF">
        <w:rPr>
          <w:rFonts w:ascii="Times New Roman" w:hAnsi="Times New Roman"/>
          <w:noProof/>
        </w:rPr>
        <w:t xml:space="preserve"> w spr</w:t>
      </w:r>
      <w:r>
        <w:rPr>
          <w:rFonts w:ascii="Times New Roman" w:hAnsi="Times New Roman"/>
          <w:noProof/>
        </w:rPr>
        <w:t>awie wymogów kapitałowych, które są znane</w:t>
      </w:r>
      <w:r w:rsidR="001B0DFF">
        <w:rPr>
          <w:rFonts w:ascii="Times New Roman" w:hAnsi="Times New Roman"/>
          <w:noProof/>
        </w:rPr>
        <w:t xml:space="preserve"> w szc</w:t>
      </w:r>
      <w:r>
        <w:rPr>
          <w:rFonts w:ascii="Times New Roman" w:hAnsi="Times New Roman"/>
          <w:noProof/>
        </w:rPr>
        <w:t xml:space="preserve">zególności instytucjom kredytowym. </w:t>
      </w:r>
    </w:p>
    <w:p w14:paraId="38B36717" w14:textId="6081E356" w:rsidR="00EB5730" w:rsidRPr="003C0D71" w:rsidRDefault="000146AB" w:rsidP="001B0DFF">
      <w:pPr>
        <w:keepNext/>
        <w:rPr>
          <w:rFonts w:ascii="Times New Roman" w:hAnsi="Times New Roman" w:cs="Times New Roman"/>
          <w:b/>
          <w:noProof/>
          <w:sz w:val="24"/>
        </w:rPr>
      </w:pPr>
      <w:r>
        <w:rPr>
          <w:rFonts w:ascii="Times New Roman" w:hAnsi="Times New Roman"/>
          <w:b/>
          <w:noProof/>
          <w:sz w:val="24"/>
        </w:rPr>
        <w:t>Ocena Komisji</w:t>
      </w:r>
    </w:p>
    <w:p w14:paraId="5586B5D8" w14:textId="61747662" w:rsidR="00DE112A" w:rsidRPr="003C0D71" w:rsidRDefault="00FE2A37" w:rsidP="001B0DFF">
      <w:pPr>
        <w:keepNext/>
        <w:jc w:val="both"/>
        <w:rPr>
          <w:rFonts w:ascii="Times New Roman" w:hAnsi="Times New Roman" w:cs="Times New Roman"/>
          <w:noProof/>
        </w:rPr>
      </w:pPr>
      <w:r>
        <w:rPr>
          <w:rFonts w:ascii="Times New Roman" w:hAnsi="Times New Roman"/>
          <w:noProof/>
        </w:rPr>
        <w:t>Z dostępnych danych wynika, że na rynku wykorzystuje się wszystkie dostępne metody zatrzymania. Nie ma dowodów, które świadczyłyby, że którakolwiek metoda zatrzymania ryzyka dopuszczona</w:t>
      </w:r>
      <w:r w:rsidR="001B0DFF">
        <w:rPr>
          <w:rFonts w:ascii="Times New Roman" w:hAnsi="Times New Roman"/>
          <w:noProof/>
        </w:rPr>
        <w:t xml:space="preserve"> w roz</w:t>
      </w:r>
      <w:r>
        <w:rPr>
          <w:rFonts w:ascii="Times New Roman" w:hAnsi="Times New Roman"/>
          <w:noProof/>
        </w:rPr>
        <w:t>porządzeniu</w:t>
      </w:r>
      <w:r w:rsidR="001B0DFF">
        <w:rPr>
          <w:rFonts w:ascii="Times New Roman" w:hAnsi="Times New Roman"/>
          <w:noProof/>
        </w:rPr>
        <w:t xml:space="preserve"> w spr</w:t>
      </w:r>
      <w:r>
        <w:rPr>
          <w:rFonts w:ascii="Times New Roman" w:hAnsi="Times New Roman"/>
          <w:noProof/>
        </w:rPr>
        <w:t>awie sekurytyzacji jest nieodpowiednia. Komisja nie widzi zatem potrzeby zmiany wymogów dotyczących zatrzymania ryzyka, ale zachęca EUNB do dalszego monitorowania ich stosowania</w:t>
      </w:r>
      <w:r w:rsidR="001B0DFF">
        <w:rPr>
          <w:rFonts w:ascii="Times New Roman" w:hAnsi="Times New Roman"/>
          <w:noProof/>
        </w:rPr>
        <w:t>. W prz</w:t>
      </w:r>
      <w:r>
        <w:rPr>
          <w:rFonts w:ascii="Times New Roman" w:hAnsi="Times New Roman"/>
          <w:noProof/>
        </w:rPr>
        <w:t>yszłości warto bardziej szczegółowo przeanalizować, dlaczego</w:t>
      </w:r>
      <w:r w:rsidR="001B0DFF">
        <w:rPr>
          <w:rFonts w:ascii="Times New Roman" w:hAnsi="Times New Roman"/>
          <w:noProof/>
        </w:rPr>
        <w:t xml:space="preserve"> i w jak</w:t>
      </w:r>
      <w:r>
        <w:rPr>
          <w:rFonts w:ascii="Times New Roman" w:hAnsi="Times New Roman"/>
          <w:noProof/>
        </w:rPr>
        <w:t>ich okolicznościach uczestnicy rynku wolą stosować daną metodę zatrzymania,</w:t>
      </w:r>
      <w:r w:rsidR="001B0DFF">
        <w:rPr>
          <w:rFonts w:ascii="Times New Roman" w:hAnsi="Times New Roman"/>
          <w:noProof/>
        </w:rPr>
        <w:t xml:space="preserve"> a nie</w:t>
      </w:r>
      <w:r>
        <w:rPr>
          <w:rFonts w:ascii="Times New Roman" w:hAnsi="Times New Roman"/>
          <w:noProof/>
        </w:rPr>
        <w:t xml:space="preserve"> pozostałe, oraz na ile każda metoda zatrzymania jest skuteczna, jeżeli chodzi</w:t>
      </w:r>
      <w:r w:rsidR="001B0DFF">
        <w:rPr>
          <w:rFonts w:ascii="Times New Roman" w:hAnsi="Times New Roman"/>
          <w:noProof/>
        </w:rPr>
        <w:t xml:space="preserve"> o zat</w:t>
      </w:r>
      <w:r>
        <w:rPr>
          <w:rFonts w:ascii="Times New Roman" w:hAnsi="Times New Roman"/>
          <w:noProof/>
        </w:rPr>
        <w:t xml:space="preserve">rzymanie części transakcji. </w:t>
      </w:r>
    </w:p>
    <w:p w14:paraId="5934DB19" w14:textId="3785C166" w:rsidR="00830A7F" w:rsidRPr="003C0D71" w:rsidRDefault="00830A7F" w:rsidP="00830A7F">
      <w:pPr>
        <w:pStyle w:val="Heading1"/>
        <w:numPr>
          <w:ilvl w:val="0"/>
          <w:numId w:val="2"/>
        </w:numPr>
        <w:rPr>
          <w:rFonts w:ascii="Times New Roman" w:hAnsi="Times New Roman" w:cs="Times New Roman"/>
          <w:noProof/>
          <w:color w:val="auto"/>
        </w:rPr>
      </w:pPr>
      <w:bookmarkStart w:id="21" w:name="_Toc104283065"/>
      <w:bookmarkStart w:id="22" w:name="_Toc104286133"/>
      <w:bookmarkStart w:id="23" w:name="_Toc104297338"/>
      <w:bookmarkStart w:id="24" w:name="_Toc115361588"/>
      <w:r>
        <w:rPr>
          <w:rFonts w:ascii="Times New Roman" w:hAnsi="Times New Roman"/>
          <w:noProof/>
          <w:color w:val="auto"/>
        </w:rPr>
        <w:t xml:space="preserve">Analiza </w:t>
      </w:r>
      <w:r>
        <w:rPr>
          <w:rFonts w:ascii="Times New Roman" w:hAnsi="Times New Roman"/>
          <w:i/>
          <w:noProof/>
          <w:color w:val="auto"/>
        </w:rPr>
        <w:t>due diligence</w:t>
      </w:r>
      <w:r w:rsidR="001B0DFF">
        <w:rPr>
          <w:rFonts w:ascii="Times New Roman" w:hAnsi="Times New Roman"/>
          <w:noProof/>
          <w:color w:val="auto"/>
        </w:rPr>
        <w:t xml:space="preserve"> i prz</w:t>
      </w:r>
      <w:r>
        <w:rPr>
          <w:rFonts w:ascii="Times New Roman" w:hAnsi="Times New Roman"/>
          <w:noProof/>
          <w:color w:val="auto"/>
        </w:rPr>
        <w:t>ejrzystość</w:t>
      </w:r>
      <w:bookmarkEnd w:id="21"/>
      <w:bookmarkEnd w:id="22"/>
      <w:bookmarkEnd w:id="23"/>
      <w:bookmarkEnd w:id="24"/>
    </w:p>
    <w:p w14:paraId="5BC63BED" w14:textId="008558C4" w:rsidR="00676084" w:rsidRPr="003C0D71" w:rsidRDefault="00676084" w:rsidP="000D4664">
      <w:pPr>
        <w:rPr>
          <w:rFonts w:ascii="Times New Roman" w:hAnsi="Times New Roman" w:cs="Times New Roman"/>
          <w:b/>
          <w:noProof/>
          <w:sz w:val="24"/>
        </w:rPr>
      </w:pPr>
      <w:r>
        <w:rPr>
          <w:rFonts w:ascii="Times New Roman" w:hAnsi="Times New Roman"/>
          <w:b/>
          <w:noProof/>
          <w:sz w:val="24"/>
        </w:rPr>
        <w:t>Kontekst</w:t>
      </w:r>
      <w:r w:rsidR="001B0DFF">
        <w:rPr>
          <w:rFonts w:ascii="Times New Roman" w:hAnsi="Times New Roman"/>
          <w:b/>
          <w:noProof/>
          <w:sz w:val="24"/>
        </w:rPr>
        <w:t xml:space="preserve"> i ust</w:t>
      </w:r>
      <w:r>
        <w:rPr>
          <w:rFonts w:ascii="Times New Roman" w:hAnsi="Times New Roman"/>
          <w:b/>
          <w:noProof/>
          <w:sz w:val="24"/>
        </w:rPr>
        <w:t>alenia</w:t>
      </w:r>
    </w:p>
    <w:p w14:paraId="5EF5D7E0" w14:textId="0A44C53E" w:rsidR="00676084" w:rsidRPr="003C0D71" w:rsidRDefault="00676084" w:rsidP="00676084">
      <w:pPr>
        <w:jc w:val="both"/>
        <w:rPr>
          <w:rFonts w:ascii="Times New Roman" w:eastAsia="Calibri" w:hAnsi="Times New Roman" w:cs="Times New Roman"/>
          <w:noProof/>
        </w:rPr>
      </w:pPr>
      <w:r>
        <w:rPr>
          <w:rFonts w:ascii="Times New Roman" w:hAnsi="Times New Roman"/>
          <w:noProof/>
        </w:rPr>
        <w:t>Zgodnie</w:t>
      </w:r>
      <w:r w:rsidR="001B0DFF">
        <w:rPr>
          <w:rFonts w:ascii="Times New Roman" w:hAnsi="Times New Roman"/>
          <w:noProof/>
        </w:rPr>
        <w:t xml:space="preserve"> z roz</w:t>
      </w:r>
      <w:r>
        <w:rPr>
          <w:rFonts w:ascii="Times New Roman" w:hAnsi="Times New Roman"/>
          <w:noProof/>
        </w:rPr>
        <w:t>porządzeniem</w:t>
      </w:r>
      <w:r w:rsidR="001B0DFF">
        <w:rPr>
          <w:rFonts w:ascii="Times New Roman" w:hAnsi="Times New Roman"/>
          <w:noProof/>
        </w:rPr>
        <w:t xml:space="preserve"> w spr</w:t>
      </w:r>
      <w:r>
        <w:rPr>
          <w:rFonts w:ascii="Times New Roman" w:hAnsi="Times New Roman"/>
          <w:noProof/>
        </w:rPr>
        <w:t>awie sekurytyzacji przed wejściem</w:t>
      </w:r>
      <w:r w:rsidR="001B0DFF">
        <w:rPr>
          <w:rFonts w:ascii="Times New Roman" w:hAnsi="Times New Roman"/>
          <w:noProof/>
        </w:rPr>
        <w:t xml:space="preserve"> w pos</w:t>
      </w:r>
      <w:r>
        <w:rPr>
          <w:rFonts w:ascii="Times New Roman" w:hAnsi="Times New Roman"/>
          <w:noProof/>
        </w:rPr>
        <w:t xml:space="preserve">iadanie pozycji sekurytyzacyjnej inwestorzy instytucjonalni muszą przeprowadzić szczegółową analizę </w:t>
      </w:r>
      <w:r>
        <w:rPr>
          <w:rFonts w:ascii="Times New Roman" w:hAnsi="Times New Roman"/>
          <w:i/>
          <w:noProof/>
        </w:rPr>
        <w:t>due diligence</w:t>
      </w:r>
      <w:r>
        <w:rPr>
          <w:rFonts w:ascii="Times New Roman" w:hAnsi="Times New Roman"/>
          <w:noProof/>
        </w:rPr>
        <w:t>. Przeprowadzenie ostrożnej</w:t>
      </w:r>
      <w:r w:rsidR="001B0DFF">
        <w:rPr>
          <w:rFonts w:ascii="Times New Roman" w:hAnsi="Times New Roman"/>
          <w:noProof/>
        </w:rPr>
        <w:t xml:space="preserve"> i nal</w:t>
      </w:r>
      <w:r>
        <w:rPr>
          <w:rFonts w:ascii="Times New Roman" w:hAnsi="Times New Roman"/>
          <w:noProof/>
        </w:rPr>
        <w:t>eżytej analizy ryzyka związanego</w:t>
      </w:r>
      <w:r w:rsidR="001B0DFF">
        <w:rPr>
          <w:rFonts w:ascii="Times New Roman" w:hAnsi="Times New Roman"/>
          <w:noProof/>
        </w:rPr>
        <w:t xml:space="preserve"> z sek</w:t>
      </w:r>
      <w:r>
        <w:rPr>
          <w:rFonts w:ascii="Times New Roman" w:hAnsi="Times New Roman"/>
          <w:noProof/>
        </w:rPr>
        <w:t>urytyzacją</w:t>
      </w:r>
      <w:r w:rsidR="001B0DFF">
        <w:rPr>
          <w:rFonts w:ascii="Times New Roman" w:hAnsi="Times New Roman"/>
          <w:noProof/>
        </w:rPr>
        <w:t xml:space="preserve"> w ist</w:t>
      </w:r>
      <w:r>
        <w:rPr>
          <w:rFonts w:ascii="Times New Roman" w:hAnsi="Times New Roman"/>
          <w:noProof/>
        </w:rPr>
        <w:t xml:space="preserve">otnym stopniu zależy od dostępu do informacji. Aby ułatwić inwestorom przeprowadzanie analizy </w:t>
      </w:r>
      <w:r>
        <w:rPr>
          <w:rFonts w:ascii="Times New Roman" w:hAnsi="Times New Roman"/>
          <w:i/>
          <w:noProof/>
        </w:rPr>
        <w:t>due diligence</w:t>
      </w:r>
      <w:r>
        <w:rPr>
          <w:rFonts w:ascii="Times New Roman" w:hAnsi="Times New Roman"/>
          <w:noProof/>
        </w:rPr>
        <w:t>,</w:t>
      </w:r>
      <w:r w:rsidR="001B0DFF">
        <w:rPr>
          <w:rFonts w:ascii="Times New Roman" w:hAnsi="Times New Roman"/>
          <w:noProof/>
        </w:rPr>
        <w:t xml:space="preserve"> a wła</w:t>
      </w:r>
      <w:r>
        <w:rPr>
          <w:rFonts w:ascii="Times New Roman" w:hAnsi="Times New Roman"/>
          <w:noProof/>
        </w:rPr>
        <w:t>ściwym organom sprawowanie nadzoru,</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xml:space="preserve"> przewidziano, że jednostki inicjujące, jednostki sponsorujące i SSPE są zobowiązane do udostępniania wszystkich istotnych dokumentów zawierających opis cech sekurytyzacji oraz do regularnego ujawniania wszystkich zasadniczo istotnych danych na temat jakości kredytowej</w:t>
      </w:r>
      <w:r w:rsidR="001B0DFF">
        <w:rPr>
          <w:rFonts w:ascii="Times New Roman" w:hAnsi="Times New Roman"/>
          <w:noProof/>
        </w:rPr>
        <w:t xml:space="preserve"> i doc</w:t>
      </w:r>
      <w:r>
        <w:rPr>
          <w:rFonts w:ascii="Times New Roman" w:hAnsi="Times New Roman"/>
          <w:noProof/>
        </w:rPr>
        <w:t>hodów</w:t>
      </w:r>
      <w:r w:rsidR="001B0DFF">
        <w:rPr>
          <w:rFonts w:ascii="Times New Roman" w:hAnsi="Times New Roman"/>
          <w:noProof/>
        </w:rPr>
        <w:t xml:space="preserve"> z tyt</w:t>
      </w:r>
      <w:r>
        <w:rPr>
          <w:rFonts w:ascii="Times New Roman" w:hAnsi="Times New Roman"/>
          <w:noProof/>
        </w:rPr>
        <w:t>ułu ekspozycji bazowych. Informacje przekazuje się repozytoriom sekurytyzacji za pomocą ujednoliconych szablonów</w:t>
      </w:r>
      <w:r w:rsidR="001B0DFF">
        <w:rPr>
          <w:rFonts w:ascii="Times New Roman" w:hAnsi="Times New Roman"/>
          <w:noProof/>
        </w:rPr>
        <w:t>. W ram</w:t>
      </w:r>
      <w:r>
        <w:rPr>
          <w:rFonts w:ascii="Times New Roman" w:hAnsi="Times New Roman"/>
          <w:noProof/>
        </w:rPr>
        <w:t xml:space="preserve">ach analizy </w:t>
      </w:r>
      <w:r>
        <w:rPr>
          <w:rFonts w:ascii="Times New Roman" w:hAnsi="Times New Roman"/>
          <w:i/>
          <w:noProof/>
        </w:rPr>
        <w:t>due diligence</w:t>
      </w:r>
      <w:r>
        <w:rPr>
          <w:rFonts w:ascii="Times New Roman" w:hAnsi="Times New Roman"/>
          <w:noProof/>
        </w:rPr>
        <w:t xml:space="preserve"> inwestorzy muszą między innymi zweryfikować, czy sekurytyzacja jest zgodna</w:t>
      </w:r>
      <w:r w:rsidR="001B0DFF">
        <w:rPr>
          <w:rFonts w:ascii="Times New Roman" w:hAnsi="Times New Roman"/>
          <w:noProof/>
        </w:rPr>
        <w:t xml:space="preserve"> z wym</w:t>
      </w:r>
      <w:r>
        <w:rPr>
          <w:rFonts w:ascii="Times New Roman" w:hAnsi="Times New Roman"/>
          <w:noProof/>
        </w:rPr>
        <w:t>ogami dotyczącymi przejrzystości, określonymi</w:t>
      </w:r>
      <w:r w:rsidR="001B0DFF">
        <w:rPr>
          <w:rFonts w:ascii="Times New Roman" w:hAnsi="Times New Roman"/>
          <w:noProof/>
        </w:rPr>
        <w:t xml:space="preserve"> w roz</w:t>
      </w:r>
      <w:r>
        <w:rPr>
          <w:rFonts w:ascii="Times New Roman" w:hAnsi="Times New Roman"/>
          <w:noProof/>
        </w:rPr>
        <w:t>porządzeniu</w:t>
      </w:r>
      <w:r w:rsidR="001B0DFF">
        <w:rPr>
          <w:rFonts w:ascii="Times New Roman" w:hAnsi="Times New Roman"/>
          <w:noProof/>
        </w:rPr>
        <w:t xml:space="preserve"> w spr</w:t>
      </w:r>
      <w:r>
        <w:rPr>
          <w:rFonts w:ascii="Times New Roman" w:hAnsi="Times New Roman"/>
          <w:noProof/>
        </w:rPr>
        <w:t>awie sekurytyzacji.</w:t>
      </w:r>
    </w:p>
    <w:p w14:paraId="186791FB" w14:textId="5EFF5CF7" w:rsidR="00676084" w:rsidRPr="003C0D71" w:rsidRDefault="00676084" w:rsidP="00676084">
      <w:pPr>
        <w:jc w:val="both"/>
        <w:rPr>
          <w:rFonts w:ascii="Times New Roman" w:hAnsi="Times New Roman" w:cs="Times New Roman"/>
          <w:noProof/>
        </w:rPr>
      </w:pPr>
      <w:r>
        <w:rPr>
          <w:rFonts w:ascii="Times New Roman" w:hAnsi="Times New Roman"/>
          <w:noProof/>
        </w:rPr>
        <w:t>W konsultacjach poproszono</w:t>
      </w:r>
      <w:r w:rsidR="001B0DFF">
        <w:rPr>
          <w:rFonts w:ascii="Times New Roman" w:hAnsi="Times New Roman"/>
          <w:noProof/>
        </w:rPr>
        <w:t xml:space="preserve"> o udz</w:t>
      </w:r>
      <w:r>
        <w:rPr>
          <w:rFonts w:ascii="Times New Roman" w:hAnsi="Times New Roman"/>
          <w:noProof/>
        </w:rPr>
        <w:t>ielenie informacji zwrotnych dotyczących proporcjonalności wymogów dotyczących ujawniania</w:t>
      </w:r>
      <w:r w:rsidR="001B0DFF">
        <w:rPr>
          <w:rFonts w:ascii="Times New Roman" w:hAnsi="Times New Roman"/>
          <w:noProof/>
        </w:rPr>
        <w:t xml:space="preserve"> i nal</w:t>
      </w:r>
      <w:r>
        <w:rPr>
          <w:rFonts w:ascii="Times New Roman" w:hAnsi="Times New Roman"/>
          <w:noProof/>
        </w:rPr>
        <w:t xml:space="preserve">eżytej staranności, procedur analizy </w:t>
      </w:r>
      <w:r>
        <w:rPr>
          <w:rFonts w:ascii="Times New Roman" w:hAnsi="Times New Roman"/>
          <w:i/>
          <w:noProof/>
        </w:rPr>
        <w:t>due diligence</w:t>
      </w:r>
      <w:r>
        <w:rPr>
          <w:rFonts w:ascii="Times New Roman" w:hAnsi="Times New Roman"/>
          <w:noProof/>
        </w:rPr>
        <w:t xml:space="preserve"> przeprowadzanej przez inwestorów oraz przydatności szablonów do ujawniania danych. Większość respondentów,</w:t>
      </w:r>
      <w:r w:rsidR="001B0DFF">
        <w:rPr>
          <w:rFonts w:ascii="Times New Roman" w:hAnsi="Times New Roman"/>
          <w:noProof/>
        </w:rPr>
        <w:t xml:space="preserve"> w szc</w:t>
      </w:r>
      <w:r>
        <w:rPr>
          <w:rFonts w:ascii="Times New Roman" w:hAnsi="Times New Roman"/>
          <w:noProof/>
        </w:rPr>
        <w:t xml:space="preserve">zególności przedstawicieli branży, uznała, że wymogi dotyczące analizy </w:t>
      </w:r>
      <w:r>
        <w:rPr>
          <w:rFonts w:ascii="Times New Roman" w:hAnsi="Times New Roman"/>
          <w:i/>
          <w:noProof/>
        </w:rPr>
        <w:t>due diligence</w:t>
      </w:r>
      <w:r w:rsidR="001B0DFF">
        <w:rPr>
          <w:rFonts w:ascii="Times New Roman" w:hAnsi="Times New Roman"/>
          <w:noProof/>
        </w:rPr>
        <w:t xml:space="preserve"> i prz</w:t>
      </w:r>
      <w:r>
        <w:rPr>
          <w:rFonts w:ascii="Times New Roman" w:hAnsi="Times New Roman"/>
          <w:noProof/>
        </w:rPr>
        <w:t>ejrzystości są nieproporcjonalne. Takie zainteresowane strony były zdania, że przepisy te są zbyt nakazowe</w:t>
      </w:r>
      <w:r w:rsidR="001B0DFF">
        <w:rPr>
          <w:rFonts w:ascii="Times New Roman" w:hAnsi="Times New Roman"/>
          <w:noProof/>
        </w:rPr>
        <w:t xml:space="preserve"> i res</w:t>
      </w:r>
      <w:r>
        <w:rPr>
          <w:rFonts w:ascii="Times New Roman" w:hAnsi="Times New Roman"/>
          <w:noProof/>
        </w:rPr>
        <w:t>trykcyjne, zwłaszcza</w:t>
      </w:r>
      <w:r w:rsidR="001B0DFF">
        <w:rPr>
          <w:rFonts w:ascii="Times New Roman" w:hAnsi="Times New Roman"/>
          <w:noProof/>
        </w:rPr>
        <w:t xml:space="preserve"> w por</w:t>
      </w:r>
      <w:r>
        <w:rPr>
          <w:rFonts w:ascii="Times New Roman" w:hAnsi="Times New Roman"/>
          <w:noProof/>
        </w:rPr>
        <w:t>ównaniu</w:t>
      </w:r>
      <w:r w:rsidR="001B0DFF">
        <w:rPr>
          <w:rFonts w:ascii="Times New Roman" w:hAnsi="Times New Roman"/>
          <w:noProof/>
        </w:rPr>
        <w:t xml:space="preserve"> z ram</w:t>
      </w:r>
      <w:r>
        <w:rPr>
          <w:rFonts w:ascii="Times New Roman" w:hAnsi="Times New Roman"/>
          <w:noProof/>
        </w:rPr>
        <w:t>ami mającymi zastosowanie do podobnych instrumentów, takich jak obligacje zabezpieczone. Ponadto respondenci uważali, że</w:t>
      </w:r>
      <w:r w:rsidR="001B0DFF">
        <w:rPr>
          <w:rFonts w:ascii="Times New Roman" w:hAnsi="Times New Roman"/>
          <w:noProof/>
        </w:rPr>
        <w:t xml:space="preserve"> w prz</w:t>
      </w:r>
      <w:r>
        <w:rPr>
          <w:rFonts w:ascii="Times New Roman" w:hAnsi="Times New Roman"/>
          <w:noProof/>
        </w:rPr>
        <w:t>episach tych nie uwzględniono</w:t>
      </w:r>
      <w:r w:rsidR="001B0DFF">
        <w:rPr>
          <w:rFonts w:ascii="Times New Roman" w:hAnsi="Times New Roman"/>
          <w:noProof/>
        </w:rPr>
        <w:t xml:space="preserve"> w peł</w:t>
      </w:r>
      <w:r>
        <w:rPr>
          <w:rFonts w:ascii="Times New Roman" w:hAnsi="Times New Roman"/>
          <w:noProof/>
        </w:rPr>
        <w:t>ni specyfiki takiej transakcji,</w:t>
      </w:r>
      <w:r w:rsidR="001B0DFF">
        <w:rPr>
          <w:rFonts w:ascii="Times New Roman" w:hAnsi="Times New Roman"/>
          <w:noProof/>
        </w:rPr>
        <w:t xml:space="preserve"> w szc</w:t>
      </w:r>
      <w:r>
        <w:rPr>
          <w:rFonts w:ascii="Times New Roman" w:hAnsi="Times New Roman"/>
          <w:noProof/>
        </w:rPr>
        <w:t>zególności kwestii, czy jest to transakcja publiczna czy prywatna (zob. również sekcja 6 na temat sekurytyzacji prywatnych). Respondenci</w:t>
      </w:r>
      <w:r w:rsidR="001B0DFF">
        <w:rPr>
          <w:rFonts w:ascii="Times New Roman" w:hAnsi="Times New Roman"/>
          <w:noProof/>
        </w:rPr>
        <w:t xml:space="preserve"> z bra</w:t>
      </w:r>
      <w:r>
        <w:rPr>
          <w:rFonts w:ascii="Times New Roman" w:hAnsi="Times New Roman"/>
          <w:noProof/>
        </w:rPr>
        <w:t>nży stwierdzili również, że zasady przejrzystości stosuje się</w:t>
      </w:r>
      <w:r w:rsidR="001B0DFF">
        <w:rPr>
          <w:rFonts w:ascii="Times New Roman" w:hAnsi="Times New Roman"/>
          <w:noProof/>
        </w:rPr>
        <w:t xml:space="preserve"> w spo</w:t>
      </w:r>
      <w:r>
        <w:rPr>
          <w:rFonts w:ascii="Times New Roman" w:hAnsi="Times New Roman"/>
          <w:noProof/>
        </w:rPr>
        <w:t>sób nieproporcjonalny do sekurytyzacji</w:t>
      </w:r>
      <w:r w:rsidR="001B0DFF">
        <w:rPr>
          <w:rFonts w:ascii="Times New Roman" w:hAnsi="Times New Roman"/>
          <w:noProof/>
        </w:rPr>
        <w:t xml:space="preserve"> w pań</w:t>
      </w:r>
      <w:r>
        <w:rPr>
          <w:rFonts w:ascii="Times New Roman" w:hAnsi="Times New Roman"/>
          <w:noProof/>
        </w:rPr>
        <w:t>stwach trzecich. Skutkuje to niepewnością co do zdolności inwestorów do spełnienia obowiązków</w:t>
      </w:r>
      <w:r w:rsidR="001B0DFF">
        <w:rPr>
          <w:rFonts w:ascii="Times New Roman" w:hAnsi="Times New Roman"/>
          <w:noProof/>
        </w:rPr>
        <w:t xml:space="preserve"> w zak</w:t>
      </w:r>
      <w:r>
        <w:rPr>
          <w:rFonts w:ascii="Times New Roman" w:hAnsi="Times New Roman"/>
          <w:noProof/>
        </w:rPr>
        <w:t xml:space="preserve">resie analizy </w:t>
      </w:r>
      <w:r>
        <w:rPr>
          <w:rFonts w:ascii="Times New Roman" w:hAnsi="Times New Roman"/>
          <w:i/>
          <w:noProof/>
        </w:rPr>
        <w:t>due diligence</w:t>
      </w:r>
      <w:r w:rsidR="001B0DFF">
        <w:rPr>
          <w:rFonts w:ascii="Times New Roman" w:hAnsi="Times New Roman"/>
          <w:noProof/>
        </w:rPr>
        <w:t xml:space="preserve"> w prz</w:t>
      </w:r>
      <w:r>
        <w:rPr>
          <w:rFonts w:ascii="Times New Roman" w:hAnsi="Times New Roman"/>
          <w:noProof/>
        </w:rPr>
        <w:t>ypadku inwestowania</w:t>
      </w:r>
      <w:r w:rsidR="001B0DFF">
        <w:rPr>
          <w:rFonts w:ascii="Times New Roman" w:hAnsi="Times New Roman"/>
          <w:noProof/>
        </w:rPr>
        <w:t xml:space="preserve"> w teg</w:t>
      </w:r>
      <w:r>
        <w:rPr>
          <w:rFonts w:ascii="Times New Roman" w:hAnsi="Times New Roman"/>
          <w:noProof/>
        </w:rPr>
        <w:t xml:space="preserve">o typu transakcje (zob. sekcja 11). Respondenci, którzy uznali, że obecnie obowiązujący system jest proporcjonalny, podkreślili, że dzięki ujednoliconemu ujawnianiu inwestorom łatwiej jest przeanalizować cechy złożonej transakcji sekurytyzacyjnej. </w:t>
      </w:r>
    </w:p>
    <w:p w14:paraId="58580959" w14:textId="68C31F36" w:rsidR="00676084" w:rsidRPr="003C0D71" w:rsidRDefault="00676084" w:rsidP="00676084">
      <w:pPr>
        <w:jc w:val="both"/>
        <w:rPr>
          <w:rFonts w:ascii="Times New Roman" w:eastAsia="Times New Roman" w:hAnsi="Times New Roman" w:cs="Times New Roman"/>
          <w:noProof/>
        </w:rPr>
      </w:pPr>
      <w:r>
        <w:rPr>
          <w:rFonts w:ascii="Times New Roman" w:hAnsi="Times New Roman"/>
          <w:noProof/>
        </w:rPr>
        <w:t xml:space="preserve">Większość respondentów zgodziła się ze stwierdzeniem, że informacje przekazywane na podstawie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 xml:space="preserve">awie sekurytyzacji są wystarczające na potrzeby przeprowadzenia przez inwestorów analizy </w:t>
      </w:r>
      <w:r>
        <w:rPr>
          <w:rFonts w:ascii="Times New Roman" w:hAnsi="Times New Roman"/>
          <w:i/>
          <w:noProof/>
        </w:rPr>
        <w:t>due diligence</w:t>
      </w:r>
      <w:r>
        <w:rPr>
          <w:rFonts w:ascii="Times New Roman" w:hAnsi="Times New Roman"/>
          <w:noProof/>
        </w:rPr>
        <w:t>. Niektóre zainteresowane strony twierdziły, że informacje te</w:t>
      </w:r>
      <w:r w:rsidR="001B0DFF">
        <w:rPr>
          <w:rFonts w:ascii="Times New Roman" w:hAnsi="Times New Roman"/>
          <w:noProof/>
        </w:rPr>
        <w:t xml:space="preserve"> w pra</w:t>
      </w:r>
      <w:r>
        <w:rPr>
          <w:rFonts w:ascii="Times New Roman" w:hAnsi="Times New Roman"/>
          <w:noProof/>
        </w:rPr>
        <w:t>ktyce są zbyt obszerne</w:t>
      </w:r>
      <w:r w:rsidR="001B0DFF">
        <w:rPr>
          <w:rFonts w:ascii="Times New Roman" w:hAnsi="Times New Roman"/>
          <w:noProof/>
        </w:rPr>
        <w:t xml:space="preserve"> i inw</w:t>
      </w:r>
      <w:r>
        <w:rPr>
          <w:rFonts w:ascii="Times New Roman" w:hAnsi="Times New Roman"/>
          <w:noProof/>
        </w:rPr>
        <w:t>estorzy nie muszą</w:t>
      </w:r>
      <w:r w:rsidR="001B0DFF">
        <w:rPr>
          <w:rFonts w:ascii="Times New Roman" w:hAnsi="Times New Roman"/>
          <w:noProof/>
        </w:rPr>
        <w:t xml:space="preserve"> z nic</w:t>
      </w:r>
      <w:r>
        <w:rPr>
          <w:rFonts w:ascii="Times New Roman" w:hAnsi="Times New Roman"/>
          <w:noProof/>
        </w:rPr>
        <w:t>h korzystać,</w:t>
      </w:r>
      <w:r w:rsidR="001B0DFF">
        <w:rPr>
          <w:rFonts w:ascii="Times New Roman" w:hAnsi="Times New Roman"/>
          <w:noProof/>
        </w:rPr>
        <w:t xml:space="preserve"> a zam</w:t>
      </w:r>
      <w:r>
        <w:rPr>
          <w:rFonts w:ascii="Times New Roman" w:hAnsi="Times New Roman"/>
          <w:noProof/>
        </w:rPr>
        <w:t>iast tego mogą stosować swoje istniejące rozwiązania</w:t>
      </w:r>
      <w:r w:rsidR="001B0DFF">
        <w:rPr>
          <w:rFonts w:ascii="Times New Roman" w:hAnsi="Times New Roman"/>
          <w:noProof/>
        </w:rPr>
        <w:t xml:space="preserve"> w zak</w:t>
      </w:r>
      <w:r>
        <w:rPr>
          <w:rFonts w:ascii="Times New Roman" w:hAnsi="Times New Roman"/>
          <w:noProof/>
        </w:rPr>
        <w:t xml:space="preserve">resie analizy </w:t>
      </w:r>
      <w:r>
        <w:rPr>
          <w:rFonts w:ascii="Times New Roman" w:hAnsi="Times New Roman"/>
          <w:i/>
          <w:noProof/>
        </w:rPr>
        <w:t>due diligence</w:t>
      </w:r>
      <w:r>
        <w:rPr>
          <w:rFonts w:ascii="Times New Roman" w:hAnsi="Times New Roman"/>
          <w:noProof/>
        </w:rPr>
        <w:t>, które obowiązywały przed wejściem</w:t>
      </w:r>
      <w:r w:rsidR="001B0DFF">
        <w:rPr>
          <w:rFonts w:ascii="Times New Roman" w:hAnsi="Times New Roman"/>
          <w:noProof/>
        </w:rPr>
        <w:t xml:space="preserve"> w życ</w:t>
      </w:r>
      <w:r>
        <w:rPr>
          <w:rFonts w:ascii="Times New Roman" w:hAnsi="Times New Roman"/>
          <w:noProof/>
        </w:rPr>
        <w:t>ie rozporządzenia</w:t>
      </w:r>
      <w:r w:rsidR="001B0DFF">
        <w:rPr>
          <w:rFonts w:ascii="Times New Roman" w:hAnsi="Times New Roman"/>
          <w:noProof/>
        </w:rPr>
        <w:t xml:space="preserve"> w spr</w:t>
      </w:r>
      <w:r>
        <w:rPr>
          <w:rFonts w:ascii="Times New Roman" w:hAnsi="Times New Roman"/>
          <w:noProof/>
        </w:rPr>
        <w:t>awie sekurytyzacji. Wielu respondentów wskazało konkretne pola</w:t>
      </w:r>
      <w:r w:rsidR="001B0DFF">
        <w:rPr>
          <w:rFonts w:ascii="Times New Roman" w:hAnsi="Times New Roman"/>
          <w:noProof/>
        </w:rPr>
        <w:t xml:space="preserve"> w sza</w:t>
      </w:r>
      <w:r>
        <w:rPr>
          <w:rFonts w:ascii="Times New Roman" w:hAnsi="Times New Roman"/>
          <w:noProof/>
        </w:rPr>
        <w:t>blonie, które ich zdaniem</w:t>
      </w:r>
      <w:r w:rsidR="001B0DFF">
        <w:rPr>
          <w:rFonts w:ascii="Times New Roman" w:hAnsi="Times New Roman"/>
          <w:noProof/>
        </w:rPr>
        <w:t xml:space="preserve"> z róż</w:t>
      </w:r>
      <w:r>
        <w:rPr>
          <w:rFonts w:ascii="Times New Roman" w:hAnsi="Times New Roman"/>
          <w:noProof/>
        </w:rPr>
        <w:t>nych powodów są problematyczne, np. wiele pól odnosi się do podobnych informacji lub brakuje jasności co do przydatności niektórych informacji, które należy podać</w:t>
      </w:r>
      <w:r w:rsidR="001B0DFF">
        <w:rPr>
          <w:rFonts w:ascii="Times New Roman" w:hAnsi="Times New Roman"/>
          <w:noProof/>
        </w:rPr>
        <w:t xml:space="preserve"> w sza</w:t>
      </w:r>
      <w:r>
        <w:rPr>
          <w:rFonts w:ascii="Times New Roman" w:hAnsi="Times New Roman"/>
          <w:noProof/>
        </w:rPr>
        <w:t>blonie. Jeżeli chodzi</w:t>
      </w:r>
      <w:r w:rsidR="001B0DFF">
        <w:rPr>
          <w:rFonts w:ascii="Times New Roman" w:hAnsi="Times New Roman"/>
          <w:noProof/>
        </w:rPr>
        <w:t xml:space="preserve"> o wpł</w:t>
      </w:r>
      <w:r>
        <w:rPr>
          <w:rFonts w:ascii="Times New Roman" w:hAnsi="Times New Roman"/>
          <w:noProof/>
        </w:rPr>
        <w:t>yw ujawniania informacji dotyczących poszczególnych kredytów, większość zainteresowanych stron uznała, że ujawnianie takich informacji zasadniczo jest przydatne</w:t>
      </w:r>
      <w:r w:rsidR="001B0DFF">
        <w:rPr>
          <w:rFonts w:ascii="Times New Roman" w:hAnsi="Times New Roman"/>
          <w:noProof/>
        </w:rPr>
        <w:t xml:space="preserve"> w prz</w:t>
      </w:r>
      <w:r>
        <w:rPr>
          <w:rFonts w:ascii="Times New Roman" w:hAnsi="Times New Roman"/>
          <w:noProof/>
        </w:rPr>
        <w:t>ypadku wszystkich klas aktywów, chyba że portfel obejmuje wiele ekspozycji, gdyż</w:t>
      </w:r>
      <w:r w:rsidR="001B0DFF">
        <w:rPr>
          <w:rFonts w:ascii="Times New Roman" w:hAnsi="Times New Roman"/>
          <w:noProof/>
        </w:rPr>
        <w:t xml:space="preserve"> w tym</w:t>
      </w:r>
      <w:r>
        <w:rPr>
          <w:rFonts w:ascii="Times New Roman" w:hAnsi="Times New Roman"/>
          <w:noProof/>
        </w:rPr>
        <w:t xml:space="preserve"> przypadku wpływ pojedynczej ekspozycji na wyniki puli ekspozycji sekurytyzowanych jest niewielki.</w:t>
      </w:r>
    </w:p>
    <w:p w14:paraId="446B79E4" w14:textId="1E7C5762" w:rsidR="00676084" w:rsidRPr="003C0D71" w:rsidRDefault="00676084" w:rsidP="00676084">
      <w:pPr>
        <w:jc w:val="both"/>
        <w:rPr>
          <w:rFonts w:ascii="Times New Roman" w:eastAsia="Times New Roman" w:hAnsi="Times New Roman" w:cs="Times New Roman"/>
          <w:noProof/>
        </w:rPr>
      </w:pPr>
      <w:r>
        <w:rPr>
          <w:rFonts w:ascii="Times New Roman" w:hAnsi="Times New Roman"/>
          <w:noProof/>
        </w:rPr>
        <w:t>Większość zainteresowanych stron uznała, że system obowiązków informacyjnych można zatem uprościć bez szkody dla celu współustawodawców, jakim jest ochrona inwestorów instytucjonalnych</w:t>
      </w:r>
      <w:r w:rsidR="001B0DFF">
        <w:rPr>
          <w:rFonts w:ascii="Times New Roman" w:hAnsi="Times New Roman"/>
          <w:noProof/>
        </w:rPr>
        <w:t xml:space="preserve"> i uła</w:t>
      </w:r>
      <w:r>
        <w:rPr>
          <w:rFonts w:ascii="Times New Roman" w:hAnsi="Times New Roman"/>
          <w:noProof/>
        </w:rPr>
        <w:t>twienie nadzoru</w:t>
      </w:r>
      <w:r w:rsidR="001B0DFF">
        <w:rPr>
          <w:rFonts w:ascii="Times New Roman" w:hAnsi="Times New Roman"/>
          <w:noProof/>
        </w:rPr>
        <w:t>. Z wię</w:t>
      </w:r>
      <w:r>
        <w:rPr>
          <w:rFonts w:ascii="Times New Roman" w:hAnsi="Times New Roman"/>
          <w:noProof/>
        </w:rPr>
        <w:t>kszości odpowiedzi,</w:t>
      </w:r>
      <w:r w:rsidR="001B0DFF">
        <w:rPr>
          <w:rFonts w:ascii="Times New Roman" w:hAnsi="Times New Roman"/>
          <w:noProof/>
        </w:rPr>
        <w:t xml:space="preserve"> w tym</w:t>
      </w:r>
      <w:r>
        <w:rPr>
          <w:rFonts w:ascii="Times New Roman" w:hAnsi="Times New Roman"/>
          <w:noProof/>
        </w:rPr>
        <w:t xml:space="preserve"> ze strony kilku organów publicznych, wynika, że wymogi dotyczące przejrzystości należy lepiej dopasować do potrzeb inwestorów,</w:t>
      </w:r>
      <w:r w:rsidR="001B0DFF">
        <w:rPr>
          <w:rFonts w:ascii="Times New Roman" w:hAnsi="Times New Roman"/>
          <w:noProof/>
        </w:rPr>
        <w:t xml:space="preserve"> w szc</w:t>
      </w:r>
      <w:r>
        <w:rPr>
          <w:rFonts w:ascii="Times New Roman" w:hAnsi="Times New Roman"/>
          <w:noProof/>
        </w:rPr>
        <w:t>zególności</w:t>
      </w:r>
      <w:r w:rsidR="001B0DFF">
        <w:rPr>
          <w:rFonts w:ascii="Times New Roman" w:hAnsi="Times New Roman"/>
          <w:noProof/>
        </w:rPr>
        <w:t xml:space="preserve"> w prz</w:t>
      </w:r>
      <w:r>
        <w:rPr>
          <w:rFonts w:ascii="Times New Roman" w:hAnsi="Times New Roman"/>
          <w:noProof/>
        </w:rPr>
        <w:t>ypadku sekurytyzacji prywatnych.</w:t>
      </w:r>
    </w:p>
    <w:p w14:paraId="6A300282" w14:textId="53459D19" w:rsidR="00FC55F0" w:rsidRDefault="00FC55F0" w:rsidP="00676084">
      <w:pPr>
        <w:jc w:val="both"/>
        <w:rPr>
          <w:rFonts w:ascii="Times New Roman" w:eastAsia="Times New Roman" w:hAnsi="Times New Roman" w:cs="Times New Roman"/>
          <w:noProof/>
        </w:rPr>
      </w:pPr>
      <w:r>
        <w:rPr>
          <w:rFonts w:ascii="Times New Roman" w:hAnsi="Times New Roman"/>
          <w:noProof/>
        </w:rPr>
        <w:t xml:space="preserve">Sprawozdanie Wspólnego Komitetu zawiera ponadto przegląd wpływu wymogów dotyczących analizy </w:t>
      </w:r>
      <w:r>
        <w:rPr>
          <w:rFonts w:ascii="Times New Roman" w:hAnsi="Times New Roman"/>
          <w:i/>
          <w:noProof/>
        </w:rPr>
        <w:t>due diligence</w:t>
      </w:r>
      <w:r w:rsidR="001B0DFF">
        <w:rPr>
          <w:rFonts w:ascii="Times New Roman" w:hAnsi="Times New Roman"/>
          <w:noProof/>
        </w:rPr>
        <w:t xml:space="preserve"> i prz</w:t>
      </w:r>
      <w:r>
        <w:rPr>
          <w:rFonts w:ascii="Times New Roman" w:hAnsi="Times New Roman"/>
          <w:noProof/>
        </w:rPr>
        <w:t>ejrzystości</w:t>
      </w:r>
      <w:r w:rsidR="001B0DFF">
        <w:rPr>
          <w:rFonts w:ascii="Times New Roman" w:hAnsi="Times New Roman"/>
          <w:noProof/>
        </w:rPr>
        <w:t>. W kwe</w:t>
      </w:r>
      <w:r>
        <w:rPr>
          <w:rFonts w:ascii="Times New Roman" w:hAnsi="Times New Roman"/>
          <w:noProof/>
        </w:rPr>
        <w:t>stii należytej staranności</w:t>
      </w:r>
      <w:r w:rsidR="001B0DFF">
        <w:rPr>
          <w:rFonts w:ascii="Times New Roman" w:hAnsi="Times New Roman"/>
          <w:noProof/>
        </w:rPr>
        <w:t xml:space="preserve"> w spr</w:t>
      </w:r>
      <w:r>
        <w:rPr>
          <w:rFonts w:ascii="Times New Roman" w:hAnsi="Times New Roman"/>
          <w:noProof/>
        </w:rPr>
        <w:t>awozdaniu nie stwierdzono konieczności wprowadzania zmian</w:t>
      </w:r>
      <w:r w:rsidR="001B0DFF">
        <w:rPr>
          <w:rFonts w:ascii="Times New Roman" w:hAnsi="Times New Roman"/>
          <w:noProof/>
        </w:rPr>
        <w:t xml:space="preserve"> w pra</w:t>
      </w:r>
      <w:r>
        <w:rPr>
          <w:rFonts w:ascii="Times New Roman" w:hAnsi="Times New Roman"/>
          <w:noProof/>
        </w:rPr>
        <w:t>wie</w:t>
      </w:r>
      <w:r w:rsidR="001B0DFF">
        <w:rPr>
          <w:rFonts w:ascii="Times New Roman" w:hAnsi="Times New Roman"/>
          <w:noProof/>
        </w:rPr>
        <w:t xml:space="preserve"> i zal</w:t>
      </w:r>
      <w:r>
        <w:rPr>
          <w:rFonts w:ascii="Times New Roman" w:hAnsi="Times New Roman"/>
          <w:noProof/>
        </w:rPr>
        <w:t>econo wyjaśnienie zakresu jurysdykcji przepisów (zob. sekcja 11) oraz intensyfikację działań właściwych organów krajowych na potrzeby zwiększenia skuteczności nadzoru</w:t>
      </w:r>
      <w:r w:rsidR="001B0DFF">
        <w:rPr>
          <w:rFonts w:ascii="Times New Roman" w:hAnsi="Times New Roman"/>
          <w:noProof/>
        </w:rPr>
        <w:t xml:space="preserve"> w zak</w:t>
      </w:r>
      <w:r>
        <w:rPr>
          <w:rFonts w:ascii="Times New Roman" w:hAnsi="Times New Roman"/>
          <w:noProof/>
        </w:rPr>
        <w:t xml:space="preserve">resie analizy </w:t>
      </w:r>
      <w:r>
        <w:rPr>
          <w:rFonts w:ascii="Times New Roman" w:hAnsi="Times New Roman"/>
          <w:i/>
          <w:noProof/>
        </w:rPr>
        <w:t>due diligence</w:t>
      </w:r>
      <w:r w:rsidR="001B0DFF">
        <w:rPr>
          <w:rFonts w:ascii="Times New Roman" w:hAnsi="Times New Roman"/>
          <w:noProof/>
        </w:rPr>
        <w:t>. W kwe</w:t>
      </w:r>
      <w:r>
        <w:rPr>
          <w:rFonts w:ascii="Times New Roman" w:hAnsi="Times New Roman"/>
          <w:noProof/>
        </w:rPr>
        <w:t>stii przepisów dotyczących przejrzystości przede wszystkim zalecono zwiększenie zbieżności</w:t>
      </w:r>
      <w:r w:rsidR="001B0DFF">
        <w:rPr>
          <w:rFonts w:ascii="Times New Roman" w:hAnsi="Times New Roman"/>
          <w:noProof/>
        </w:rPr>
        <w:t xml:space="preserve"> i pop</w:t>
      </w:r>
      <w:r>
        <w:rPr>
          <w:rFonts w:ascii="Times New Roman" w:hAnsi="Times New Roman"/>
          <w:noProof/>
        </w:rPr>
        <w:t>rawę koordynacji</w:t>
      </w:r>
      <w:r w:rsidR="001B0DFF">
        <w:rPr>
          <w:rFonts w:ascii="Times New Roman" w:hAnsi="Times New Roman"/>
          <w:noProof/>
        </w:rPr>
        <w:t xml:space="preserve"> w obs</w:t>
      </w:r>
      <w:r>
        <w:rPr>
          <w:rFonts w:ascii="Times New Roman" w:hAnsi="Times New Roman"/>
          <w:noProof/>
        </w:rPr>
        <w:t xml:space="preserve">zarze nadzoru oraz dalsze monitorowanie wpływu szablonów służących do ujawniania informacji oraz wskazano, że na tym etapie jest jeszcze za wcześnie na kompleksową ocenę funkcjonowania tych szablonów. </w:t>
      </w:r>
    </w:p>
    <w:p w14:paraId="4EDD1788" w14:textId="6E7E0601" w:rsidR="00676084" w:rsidRPr="003C0D71" w:rsidRDefault="000146AB" w:rsidP="000D4664">
      <w:pPr>
        <w:rPr>
          <w:rFonts w:ascii="Times New Roman" w:hAnsi="Times New Roman" w:cs="Times New Roman"/>
          <w:b/>
          <w:noProof/>
          <w:sz w:val="24"/>
        </w:rPr>
      </w:pPr>
      <w:r>
        <w:rPr>
          <w:rFonts w:ascii="Times New Roman" w:hAnsi="Times New Roman"/>
          <w:b/>
          <w:noProof/>
          <w:sz w:val="24"/>
        </w:rPr>
        <w:t>Ocena Komisji</w:t>
      </w:r>
    </w:p>
    <w:p w14:paraId="12DCA23D" w14:textId="620D5F10" w:rsidR="00676084" w:rsidRPr="003C0D71" w:rsidRDefault="00676084" w:rsidP="00676084">
      <w:pPr>
        <w:jc w:val="both"/>
        <w:rPr>
          <w:rFonts w:ascii="Times New Roman" w:eastAsia="Times New Roman" w:hAnsi="Times New Roman" w:cs="Times New Roman"/>
          <w:noProof/>
        </w:rPr>
      </w:pPr>
      <w:r>
        <w:rPr>
          <w:rFonts w:ascii="Times New Roman" w:hAnsi="Times New Roman"/>
          <w:noProof/>
        </w:rPr>
        <w:t>Zawarte</w:t>
      </w:r>
      <w:r w:rsidR="001B0DFF">
        <w:rPr>
          <w:rFonts w:ascii="Times New Roman" w:hAnsi="Times New Roman"/>
          <w:noProof/>
        </w:rPr>
        <w:t xml:space="preserve"> w roz</w:t>
      </w:r>
      <w:r>
        <w:rPr>
          <w:rFonts w:ascii="Times New Roman" w:hAnsi="Times New Roman"/>
          <w:noProof/>
        </w:rPr>
        <w:t>porządzeniu</w:t>
      </w:r>
      <w:r w:rsidR="001B0DFF">
        <w:rPr>
          <w:rFonts w:ascii="Times New Roman" w:hAnsi="Times New Roman"/>
          <w:noProof/>
        </w:rPr>
        <w:t xml:space="preserve"> w spr</w:t>
      </w:r>
      <w:r>
        <w:rPr>
          <w:rFonts w:ascii="Times New Roman" w:hAnsi="Times New Roman"/>
          <w:noProof/>
        </w:rPr>
        <w:t>awie sekurytyzacji przepisy dotyczące przejrzystości</w:t>
      </w:r>
      <w:r w:rsidR="001B0DFF">
        <w:rPr>
          <w:rFonts w:ascii="Times New Roman" w:hAnsi="Times New Roman"/>
          <w:noProof/>
        </w:rPr>
        <w:t xml:space="preserve"> i nal</w:t>
      </w:r>
      <w:r>
        <w:rPr>
          <w:rFonts w:ascii="Times New Roman" w:hAnsi="Times New Roman"/>
          <w:noProof/>
        </w:rPr>
        <w:t xml:space="preserve">eżytej staranności siłą rzeczy są ze sobą powiązane, ponieważ zapewnienie przejrzystości powinno ułatwić przeprowadzenie analizy </w:t>
      </w:r>
      <w:r>
        <w:rPr>
          <w:rFonts w:ascii="Times New Roman" w:hAnsi="Times New Roman"/>
          <w:i/>
          <w:noProof/>
        </w:rPr>
        <w:t>due diligence</w:t>
      </w:r>
      <w:r>
        <w:rPr>
          <w:rFonts w:ascii="Times New Roman" w:hAnsi="Times New Roman"/>
          <w:noProof/>
        </w:rPr>
        <w:t>. Należy zatem unikać zgłaszania informacji,</w:t>
      </w:r>
      <w:r w:rsidR="001B0DFF">
        <w:rPr>
          <w:rFonts w:ascii="Times New Roman" w:hAnsi="Times New Roman"/>
          <w:noProof/>
        </w:rPr>
        <w:t xml:space="preserve"> z któ</w:t>
      </w:r>
      <w:r>
        <w:rPr>
          <w:rFonts w:ascii="Times New Roman" w:hAnsi="Times New Roman"/>
          <w:noProof/>
        </w:rPr>
        <w:t>rych inwestorzy nie korzystają, gdyż zgłaszanie takich informacji generuje zbędne koszty przestrzegania przepisów</w:t>
      </w:r>
      <w:r w:rsidR="001B0DFF">
        <w:rPr>
          <w:rFonts w:ascii="Times New Roman" w:hAnsi="Times New Roman"/>
          <w:noProof/>
        </w:rPr>
        <w:t xml:space="preserve"> i prz</w:t>
      </w:r>
      <w:r>
        <w:rPr>
          <w:rFonts w:ascii="Times New Roman" w:hAnsi="Times New Roman"/>
          <w:noProof/>
        </w:rPr>
        <w:t>ynosi znikome korzyści.</w:t>
      </w:r>
    </w:p>
    <w:p w14:paraId="3548ABDE" w14:textId="1B65C8A0" w:rsidR="00676084" w:rsidRPr="003C0D71" w:rsidRDefault="00676084" w:rsidP="00676084">
      <w:pPr>
        <w:jc w:val="both"/>
        <w:rPr>
          <w:rFonts w:ascii="Times New Roman" w:eastAsia="Times New Roman" w:hAnsi="Times New Roman" w:cs="Times New Roman"/>
          <w:noProof/>
        </w:rPr>
      </w:pPr>
      <w:r>
        <w:rPr>
          <w:rFonts w:ascii="Times New Roman" w:hAnsi="Times New Roman"/>
          <w:noProof/>
        </w:rPr>
        <w:t>Mimo że ramy dotyczące przejrzystości są</w:t>
      </w:r>
      <w:r w:rsidR="001B0DFF">
        <w:rPr>
          <w:rFonts w:ascii="Times New Roman" w:hAnsi="Times New Roman"/>
          <w:noProof/>
        </w:rPr>
        <w:t xml:space="preserve"> w peł</w:t>
      </w:r>
      <w:r>
        <w:rPr>
          <w:rFonts w:ascii="Times New Roman" w:hAnsi="Times New Roman"/>
          <w:noProof/>
        </w:rPr>
        <w:t>ni stosowane dopiero od czerwca 20</w:t>
      </w:r>
      <w:r w:rsidRPr="001B0DFF">
        <w:rPr>
          <w:rFonts w:ascii="Times New Roman" w:hAnsi="Times New Roman"/>
          <w:noProof/>
        </w:rPr>
        <w:t>21</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kiedy to zezwolenie otrzymały pierwsze repozytoria sekurytyzacji, szablony do ujawniania informacji stosuje się, przynajmniej</w:t>
      </w:r>
      <w:r w:rsidR="001B0DFF">
        <w:rPr>
          <w:rFonts w:ascii="Times New Roman" w:hAnsi="Times New Roman"/>
          <w:noProof/>
        </w:rPr>
        <w:t xml:space="preserve"> w nie</w:t>
      </w:r>
      <w:r>
        <w:rPr>
          <w:rFonts w:ascii="Times New Roman" w:hAnsi="Times New Roman"/>
          <w:noProof/>
        </w:rPr>
        <w:t>których częściach rynku, od czasu ich przyjęcia przez ESMA</w:t>
      </w:r>
      <w:r w:rsidR="001B0DFF">
        <w:rPr>
          <w:rFonts w:ascii="Times New Roman" w:hAnsi="Times New Roman"/>
          <w:noProof/>
        </w:rPr>
        <w:t xml:space="preserve"> w sty</w:t>
      </w:r>
      <w:r>
        <w:rPr>
          <w:rFonts w:ascii="Times New Roman" w:hAnsi="Times New Roman"/>
          <w:noProof/>
        </w:rPr>
        <w:t>czniu 20</w:t>
      </w:r>
      <w:r w:rsidRPr="001B0DFF">
        <w:rPr>
          <w:rFonts w:ascii="Times New Roman" w:hAnsi="Times New Roman"/>
          <w:noProof/>
        </w:rPr>
        <w:t>19</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Komisja jest zatem zdania, że szablony są stosowane na tyle długo, że wszelkie ewentualne istotne niedociągnięcia byłyby już widoczne</w:t>
      </w:r>
      <w:r w:rsidR="001B0DFF">
        <w:rPr>
          <w:rFonts w:ascii="Times New Roman" w:hAnsi="Times New Roman"/>
          <w:noProof/>
        </w:rPr>
        <w:t>. W inf</w:t>
      </w:r>
      <w:r>
        <w:rPr>
          <w:rFonts w:ascii="Times New Roman" w:hAnsi="Times New Roman"/>
          <w:noProof/>
        </w:rPr>
        <w:t>ormacjach zwrotnych udzielonych</w:t>
      </w:r>
      <w:r w:rsidR="001B0DFF">
        <w:rPr>
          <w:rFonts w:ascii="Times New Roman" w:hAnsi="Times New Roman"/>
          <w:noProof/>
        </w:rPr>
        <w:t xml:space="preserve"> w kon</w:t>
      </w:r>
      <w:r>
        <w:rPr>
          <w:rFonts w:ascii="Times New Roman" w:hAnsi="Times New Roman"/>
          <w:noProof/>
        </w:rPr>
        <w:t>sultacjach wskazano obszary,</w:t>
      </w:r>
      <w:r w:rsidR="001B0DFF">
        <w:rPr>
          <w:rFonts w:ascii="Times New Roman" w:hAnsi="Times New Roman"/>
          <w:noProof/>
        </w:rPr>
        <w:t xml:space="preserve"> w któ</w:t>
      </w:r>
      <w:r>
        <w:rPr>
          <w:rFonts w:ascii="Times New Roman" w:hAnsi="Times New Roman"/>
          <w:noProof/>
        </w:rPr>
        <w:t>rych przydatność szablonów do ujawniania informacji faktycznie może być ograniczona.</w:t>
      </w:r>
    </w:p>
    <w:p w14:paraId="3FF635D8" w14:textId="71277B4F" w:rsidR="00676084" w:rsidRPr="003C0D71" w:rsidRDefault="00700EC4" w:rsidP="00676084">
      <w:pPr>
        <w:jc w:val="both"/>
        <w:rPr>
          <w:rFonts w:ascii="Times New Roman" w:eastAsia="Times New Roman" w:hAnsi="Times New Roman" w:cs="Times New Roman"/>
          <w:noProof/>
        </w:rPr>
      </w:pPr>
      <w:r>
        <w:rPr>
          <w:rFonts w:ascii="Times New Roman" w:hAnsi="Times New Roman"/>
          <w:noProof/>
        </w:rPr>
        <w:t>Komisja zachęca zatem ESMA do przeprowadzenia przeglądu szablonów do ujawniania informacji</w:t>
      </w:r>
      <w:r w:rsidR="001B0DFF">
        <w:rPr>
          <w:rFonts w:ascii="Times New Roman" w:hAnsi="Times New Roman"/>
          <w:noProof/>
        </w:rPr>
        <w:t xml:space="preserve"> w zak</w:t>
      </w:r>
      <w:r>
        <w:rPr>
          <w:rFonts w:ascii="Times New Roman" w:hAnsi="Times New Roman"/>
          <w:noProof/>
        </w:rPr>
        <w:t>resie ekspozycji bazowych</w:t>
      </w:r>
      <w:r w:rsidR="001B0DFF">
        <w:rPr>
          <w:rFonts w:ascii="Times New Roman" w:hAnsi="Times New Roman"/>
          <w:noProof/>
        </w:rPr>
        <w:t xml:space="preserve"> w ram</w:t>
      </w:r>
      <w:r>
        <w:rPr>
          <w:rFonts w:ascii="Times New Roman" w:hAnsi="Times New Roman"/>
          <w:noProof/>
        </w:rPr>
        <w:t>ach sekurytyzacji. ESMA powinien</w:t>
      </w:r>
      <w:r w:rsidR="001B0DFF">
        <w:rPr>
          <w:rFonts w:ascii="Times New Roman" w:hAnsi="Times New Roman"/>
          <w:noProof/>
        </w:rPr>
        <w:t xml:space="preserve"> w szc</w:t>
      </w:r>
      <w:r>
        <w:rPr>
          <w:rFonts w:ascii="Times New Roman" w:hAnsi="Times New Roman"/>
          <w:noProof/>
        </w:rPr>
        <w:t>zególności dążyć do rozwiązania technicznych problemów</w:t>
      </w:r>
      <w:r w:rsidR="001B0DFF">
        <w:rPr>
          <w:rFonts w:ascii="Times New Roman" w:hAnsi="Times New Roman"/>
          <w:noProof/>
        </w:rPr>
        <w:t xml:space="preserve"> w uzu</w:t>
      </w:r>
      <w:r>
        <w:rPr>
          <w:rFonts w:ascii="Times New Roman" w:hAnsi="Times New Roman"/>
          <w:noProof/>
        </w:rPr>
        <w:t>pełnianiu informacji wymaganych</w:t>
      </w:r>
      <w:r w:rsidR="001B0DFF">
        <w:rPr>
          <w:rFonts w:ascii="Times New Roman" w:hAnsi="Times New Roman"/>
          <w:noProof/>
        </w:rPr>
        <w:t xml:space="preserve"> w nie</w:t>
      </w:r>
      <w:r>
        <w:rPr>
          <w:rFonts w:ascii="Times New Roman" w:hAnsi="Times New Roman"/>
          <w:noProof/>
        </w:rPr>
        <w:t>których polach, usunięcia potencjalnie zbędnych pól</w:t>
      </w:r>
      <w:r w:rsidR="001B0DFF">
        <w:rPr>
          <w:rFonts w:ascii="Times New Roman" w:hAnsi="Times New Roman"/>
          <w:noProof/>
        </w:rPr>
        <w:t xml:space="preserve"> i lep</w:t>
      </w:r>
      <w:r>
        <w:rPr>
          <w:rFonts w:ascii="Times New Roman" w:hAnsi="Times New Roman"/>
          <w:noProof/>
        </w:rPr>
        <w:t>szego dostosowania pól do potrzeb inwestorów</w:t>
      </w:r>
      <w:r w:rsidR="001B0DFF">
        <w:rPr>
          <w:rFonts w:ascii="Times New Roman" w:hAnsi="Times New Roman"/>
          <w:noProof/>
        </w:rPr>
        <w:t>. W ram</w:t>
      </w:r>
      <w:r>
        <w:rPr>
          <w:rFonts w:ascii="Times New Roman" w:hAnsi="Times New Roman"/>
          <w:noProof/>
        </w:rPr>
        <w:t>ach tych prac ESMA powinien rozważyć, czy informacje dotyczące poszczególnych kredytów są przydatne</w:t>
      </w:r>
      <w:r w:rsidR="001B0DFF">
        <w:rPr>
          <w:rFonts w:ascii="Times New Roman" w:hAnsi="Times New Roman"/>
          <w:noProof/>
        </w:rPr>
        <w:t xml:space="preserve"> i pro</w:t>
      </w:r>
      <w:r>
        <w:rPr>
          <w:rFonts w:ascii="Times New Roman" w:hAnsi="Times New Roman"/>
          <w:noProof/>
        </w:rPr>
        <w:t>porcjonalne do potrzeb inwestorów</w:t>
      </w:r>
      <w:r w:rsidR="001B0DFF">
        <w:rPr>
          <w:rFonts w:ascii="Times New Roman" w:hAnsi="Times New Roman"/>
          <w:noProof/>
        </w:rPr>
        <w:t xml:space="preserve"> w prz</w:t>
      </w:r>
      <w:r>
        <w:rPr>
          <w:rFonts w:ascii="Times New Roman" w:hAnsi="Times New Roman"/>
          <w:noProof/>
        </w:rPr>
        <w:t>ypadku wszystkich rodzajów sekurytyzacji.</w:t>
      </w:r>
    </w:p>
    <w:p w14:paraId="637C8345" w14:textId="77777777" w:rsidR="005D192F" w:rsidRPr="003C0D71" w:rsidRDefault="2603B6C4" w:rsidP="005D192F">
      <w:pPr>
        <w:pStyle w:val="Heading1"/>
        <w:numPr>
          <w:ilvl w:val="0"/>
          <w:numId w:val="2"/>
        </w:numPr>
        <w:rPr>
          <w:rFonts w:ascii="Times New Roman" w:hAnsi="Times New Roman" w:cs="Times New Roman"/>
          <w:noProof/>
          <w:color w:val="auto"/>
        </w:rPr>
      </w:pPr>
      <w:bookmarkStart w:id="25" w:name="_Toc104283066"/>
      <w:bookmarkStart w:id="26" w:name="_Toc104286134"/>
      <w:bookmarkStart w:id="27" w:name="_Toc104297339"/>
      <w:bookmarkStart w:id="28" w:name="_Toc115361589"/>
      <w:r>
        <w:rPr>
          <w:rFonts w:ascii="Times New Roman" w:hAnsi="Times New Roman"/>
          <w:noProof/>
          <w:color w:val="auto"/>
        </w:rPr>
        <w:t>Sekurytyzacje prywatne</w:t>
      </w:r>
      <w:bookmarkEnd w:id="25"/>
      <w:bookmarkEnd w:id="26"/>
      <w:bookmarkEnd w:id="27"/>
      <w:bookmarkEnd w:id="28"/>
      <w:r>
        <w:rPr>
          <w:rFonts w:ascii="Times New Roman" w:hAnsi="Times New Roman"/>
          <w:noProof/>
          <w:color w:val="auto"/>
        </w:rPr>
        <w:t xml:space="preserve"> </w:t>
      </w:r>
    </w:p>
    <w:p w14:paraId="3AC4EC2C" w14:textId="02423027" w:rsidR="00533EF2" w:rsidRPr="003C0D71" w:rsidRDefault="00533EF2" w:rsidP="000D4664">
      <w:pPr>
        <w:jc w:val="both"/>
        <w:rPr>
          <w:noProof/>
        </w:rPr>
      </w:pPr>
      <w:r>
        <w:rPr>
          <w:rFonts w:ascii="Times New Roman" w:hAnsi="Times New Roman"/>
          <w:noProof/>
        </w:rPr>
        <w:t>Sekurytyzacje prywatne oznaczają sekurytyzacje,</w:t>
      </w:r>
      <w:r w:rsidR="001B0DFF">
        <w:rPr>
          <w:rFonts w:ascii="Times New Roman" w:hAnsi="Times New Roman"/>
          <w:noProof/>
        </w:rPr>
        <w:t xml:space="preserve"> w prz</w:t>
      </w:r>
      <w:r>
        <w:rPr>
          <w:rFonts w:ascii="Times New Roman" w:hAnsi="Times New Roman"/>
          <w:noProof/>
        </w:rPr>
        <w:t>ypadku których nie ma konieczności sporządzania prospektu emisyjnego zgodnie</w:t>
      </w:r>
      <w:r w:rsidR="001B0DFF">
        <w:rPr>
          <w:rFonts w:ascii="Times New Roman" w:hAnsi="Times New Roman"/>
          <w:noProof/>
        </w:rPr>
        <w:t xml:space="preserve"> z dyr</w:t>
      </w:r>
      <w:r>
        <w:rPr>
          <w:rFonts w:ascii="Times New Roman" w:hAnsi="Times New Roman"/>
          <w:noProof/>
        </w:rPr>
        <w:t>ektywą 2003/71/WE. Sekurytyzacje prywatne muszą spełniać te same wymogi regulacyjne co sekurytyzacje publiczne,</w:t>
      </w:r>
      <w:r w:rsidR="001B0DFF">
        <w:rPr>
          <w:rFonts w:ascii="Times New Roman" w:hAnsi="Times New Roman"/>
          <w:noProof/>
        </w:rPr>
        <w:t xml:space="preserve"> z tak</w:t>
      </w:r>
      <w:r>
        <w:rPr>
          <w:rFonts w:ascii="Times New Roman" w:hAnsi="Times New Roman"/>
          <w:noProof/>
        </w:rPr>
        <w:t>ą różnicą, że są one wyłączone</w:t>
      </w:r>
      <w:r w:rsidR="001B0DFF">
        <w:rPr>
          <w:rFonts w:ascii="Times New Roman" w:hAnsi="Times New Roman"/>
          <w:noProof/>
        </w:rPr>
        <w:t xml:space="preserve"> z obo</w:t>
      </w:r>
      <w:r>
        <w:rPr>
          <w:rFonts w:ascii="Times New Roman" w:hAnsi="Times New Roman"/>
          <w:noProof/>
        </w:rPr>
        <w:t>wiązku stosowania repozytorium sekurytyzacji do ujawniania informacji przewidzianych</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 xml:space="preserve">awie sekurytyzacji. </w:t>
      </w:r>
    </w:p>
    <w:p w14:paraId="2FA5225C" w14:textId="77777777" w:rsidR="004D621C" w:rsidRPr="003C0D71" w:rsidRDefault="004134D0" w:rsidP="001B0DFF">
      <w:pPr>
        <w:pStyle w:val="Heading2"/>
        <w:rPr>
          <w:rFonts w:ascii="Times New Roman" w:hAnsi="Times New Roman" w:cs="Times New Roman"/>
          <w:noProof/>
          <w:color w:val="auto"/>
        </w:rPr>
      </w:pPr>
      <w:bookmarkStart w:id="29" w:name="_Toc104283067"/>
      <w:bookmarkStart w:id="30" w:name="_Toc104286135"/>
      <w:bookmarkStart w:id="31" w:name="_Toc104297340"/>
      <w:bookmarkStart w:id="32" w:name="_Toc115361590"/>
      <w:r>
        <w:rPr>
          <w:rFonts w:ascii="Times New Roman" w:hAnsi="Times New Roman"/>
          <w:noProof/>
          <w:color w:val="auto"/>
        </w:rPr>
        <w:t>6.1 Czy nastąpił nieproporcjonalny wzrost liczby sekurytyzacji prywatnych?</w:t>
      </w:r>
      <w:bookmarkEnd w:id="29"/>
      <w:bookmarkEnd w:id="30"/>
      <w:bookmarkEnd w:id="31"/>
      <w:bookmarkEnd w:id="32"/>
      <w:r>
        <w:rPr>
          <w:rFonts w:ascii="Times New Roman" w:hAnsi="Times New Roman"/>
          <w:noProof/>
          <w:color w:val="auto"/>
        </w:rPr>
        <w:t xml:space="preserve"> </w:t>
      </w:r>
    </w:p>
    <w:p w14:paraId="6D23FD1C" w14:textId="7DEF1543" w:rsidR="004D621C" w:rsidRPr="003C0D71" w:rsidRDefault="004D621C" w:rsidP="001B0DFF">
      <w:pPr>
        <w:keepNext/>
        <w:keepLines/>
        <w:rPr>
          <w:rFonts w:ascii="Times New Roman" w:hAnsi="Times New Roman" w:cs="Times New Roman"/>
          <w:b/>
          <w:noProof/>
          <w:sz w:val="24"/>
        </w:rPr>
      </w:pPr>
      <w:r>
        <w:rPr>
          <w:rFonts w:ascii="Times New Roman" w:hAnsi="Times New Roman"/>
          <w:b/>
          <w:noProof/>
          <w:sz w:val="24"/>
        </w:rPr>
        <w:t>Kontekst</w:t>
      </w:r>
      <w:r w:rsidR="001B0DFF">
        <w:rPr>
          <w:rFonts w:ascii="Times New Roman" w:hAnsi="Times New Roman"/>
          <w:b/>
          <w:noProof/>
          <w:sz w:val="24"/>
        </w:rPr>
        <w:t xml:space="preserve"> i ust</w:t>
      </w:r>
      <w:r>
        <w:rPr>
          <w:rFonts w:ascii="Times New Roman" w:hAnsi="Times New Roman"/>
          <w:b/>
          <w:noProof/>
          <w:sz w:val="24"/>
        </w:rPr>
        <w:t>alenia</w:t>
      </w:r>
    </w:p>
    <w:p w14:paraId="18B20546" w14:textId="17616CB9" w:rsidR="004D621C" w:rsidRPr="003C0D71" w:rsidRDefault="00CE6EEC" w:rsidP="001B0DFF">
      <w:pPr>
        <w:keepNext/>
        <w:keepLines/>
        <w:jc w:val="both"/>
        <w:rPr>
          <w:rFonts w:ascii="Times New Roman" w:eastAsia="Times New Roman" w:hAnsi="Times New Roman" w:cs="Times New Roman"/>
          <w:noProof/>
        </w:rPr>
      </w:pPr>
      <w:r>
        <w:rPr>
          <w:rFonts w:ascii="Times New Roman" w:hAnsi="Times New Roman"/>
          <w:noProof/>
        </w:rPr>
        <w:t>Sekurytyzacje prywatne stanowią znaczne dodatkowe źródło finansowania przedsiębiorstw. Sekurytyzacje prywatne</w:t>
      </w:r>
      <w:r w:rsidR="001B0DFF">
        <w:rPr>
          <w:rFonts w:ascii="Times New Roman" w:hAnsi="Times New Roman"/>
          <w:noProof/>
        </w:rPr>
        <w:t xml:space="preserve"> w wię</w:t>
      </w:r>
      <w:r>
        <w:rPr>
          <w:rFonts w:ascii="Times New Roman" w:hAnsi="Times New Roman"/>
          <w:noProof/>
        </w:rPr>
        <w:t>kszości zapewniają obsługę bardzo specyficznych nisz rynkowych, na przykład: (i)</w:t>
      </w:r>
      <w:r w:rsidR="001B0DFF">
        <w:rPr>
          <w:rFonts w:ascii="Times New Roman" w:hAnsi="Times New Roman"/>
          <w:noProof/>
        </w:rPr>
        <w:t xml:space="preserve"> w syt</w:t>
      </w:r>
      <w:r>
        <w:rPr>
          <w:rFonts w:ascii="Times New Roman" w:hAnsi="Times New Roman"/>
          <w:noProof/>
        </w:rPr>
        <w:t>uacjach,</w:t>
      </w:r>
      <w:r w:rsidR="001B0DFF">
        <w:rPr>
          <w:rFonts w:ascii="Times New Roman" w:hAnsi="Times New Roman"/>
          <w:noProof/>
        </w:rPr>
        <w:t xml:space="preserve"> w któ</w:t>
      </w:r>
      <w:r>
        <w:rPr>
          <w:rFonts w:ascii="Times New Roman" w:hAnsi="Times New Roman"/>
          <w:noProof/>
        </w:rPr>
        <w:t>rych istotne znaczenie ma bezpośredni związek między inwestorem</w:t>
      </w:r>
      <w:r w:rsidR="001B0DFF">
        <w:rPr>
          <w:rFonts w:ascii="Times New Roman" w:hAnsi="Times New Roman"/>
          <w:noProof/>
        </w:rPr>
        <w:t xml:space="preserve"> a jed</w:t>
      </w:r>
      <w:r>
        <w:rPr>
          <w:rFonts w:ascii="Times New Roman" w:hAnsi="Times New Roman"/>
          <w:noProof/>
        </w:rPr>
        <w:t>nostką inicjującą; (ii)</w:t>
      </w:r>
      <w:r w:rsidR="001B0DFF">
        <w:rPr>
          <w:rFonts w:ascii="Times New Roman" w:hAnsi="Times New Roman"/>
          <w:noProof/>
        </w:rPr>
        <w:t xml:space="preserve"> w syt</w:t>
      </w:r>
      <w:r>
        <w:rPr>
          <w:rFonts w:ascii="Times New Roman" w:hAnsi="Times New Roman"/>
          <w:noProof/>
        </w:rPr>
        <w:t>uacjach,</w:t>
      </w:r>
      <w:r w:rsidR="001B0DFF">
        <w:rPr>
          <w:rFonts w:ascii="Times New Roman" w:hAnsi="Times New Roman"/>
          <w:noProof/>
        </w:rPr>
        <w:t xml:space="preserve"> w któ</w:t>
      </w:r>
      <w:r>
        <w:rPr>
          <w:rFonts w:ascii="Times New Roman" w:hAnsi="Times New Roman"/>
          <w:noProof/>
        </w:rPr>
        <w:t>rych emitent musi kontrolować dostęp do szczególnie wrażliwych danych przedsiębiorstwa, lub (iii)</w:t>
      </w:r>
      <w:r w:rsidR="001B0DFF">
        <w:rPr>
          <w:rFonts w:ascii="Times New Roman" w:hAnsi="Times New Roman"/>
          <w:noProof/>
        </w:rPr>
        <w:t xml:space="preserve"> w syt</w:t>
      </w:r>
      <w:r>
        <w:rPr>
          <w:rFonts w:ascii="Times New Roman" w:hAnsi="Times New Roman"/>
          <w:noProof/>
        </w:rPr>
        <w:t>uacjach,</w:t>
      </w:r>
      <w:r w:rsidR="001B0DFF">
        <w:rPr>
          <w:rFonts w:ascii="Times New Roman" w:hAnsi="Times New Roman"/>
          <w:noProof/>
        </w:rPr>
        <w:t xml:space="preserve"> w któ</w:t>
      </w:r>
      <w:r>
        <w:rPr>
          <w:rFonts w:ascii="Times New Roman" w:hAnsi="Times New Roman"/>
          <w:noProof/>
        </w:rPr>
        <w:t>rych zbyt małe transakcje nie stanowią wystarczającego uzasadnienia umożliwiającego poniesienie kosztów emisji publicznej.</w:t>
      </w:r>
    </w:p>
    <w:p w14:paraId="008109B4" w14:textId="63B204A2" w:rsidR="004D621C" w:rsidRPr="003C0D71" w:rsidRDefault="004D621C" w:rsidP="004D621C">
      <w:pPr>
        <w:jc w:val="both"/>
        <w:rPr>
          <w:rFonts w:ascii="Times New Roman" w:eastAsia="Times New Roman" w:hAnsi="Times New Roman" w:cs="Times New Roman"/>
          <w:noProof/>
        </w:rPr>
      </w:pPr>
      <w:r>
        <w:rPr>
          <w:rFonts w:ascii="Times New Roman" w:hAnsi="Times New Roman"/>
          <w:noProof/>
        </w:rPr>
        <w:t>Jednocześnie współustawodawcy obawiali się, że tego typu transakcje mogą być wykorzystywane do obchodzenia bardziej uciążliwych wymogów dotyczących przejrzystości stosowanych wobec sekurytyzacji publicznych. Zwrócili się zatem do Komisji</w:t>
      </w:r>
      <w:r w:rsidR="001B0DFF">
        <w:rPr>
          <w:rFonts w:ascii="Times New Roman" w:hAnsi="Times New Roman"/>
          <w:noProof/>
        </w:rPr>
        <w:t xml:space="preserve"> o dok</w:t>
      </w:r>
      <w:r>
        <w:rPr>
          <w:rFonts w:ascii="Times New Roman" w:hAnsi="Times New Roman"/>
          <w:noProof/>
        </w:rPr>
        <w:t>onanie oceny, czy doszło do nieproporcjonalnego wzrostu liczby takich transakcji</w:t>
      </w:r>
      <w:r w:rsidR="001B0DFF">
        <w:rPr>
          <w:rFonts w:ascii="Times New Roman" w:hAnsi="Times New Roman"/>
          <w:noProof/>
        </w:rPr>
        <w:t xml:space="preserve"> i czy</w:t>
      </w:r>
      <w:r>
        <w:rPr>
          <w:rFonts w:ascii="Times New Roman" w:hAnsi="Times New Roman"/>
          <w:noProof/>
        </w:rPr>
        <w:t xml:space="preserve"> taki wzrost wynikał</w:t>
      </w:r>
      <w:r w:rsidR="001B0DFF">
        <w:rPr>
          <w:rFonts w:ascii="Times New Roman" w:hAnsi="Times New Roman"/>
          <w:noProof/>
        </w:rPr>
        <w:t xml:space="preserve"> z chę</w:t>
      </w:r>
      <w:r>
        <w:rPr>
          <w:rFonts w:ascii="Times New Roman" w:hAnsi="Times New Roman"/>
          <w:noProof/>
        </w:rPr>
        <w:t>ci obejścia obowiązków dotyczących przejrzystości transakcji publicznych</w:t>
      </w:r>
      <w:r w:rsidR="001B0DFF">
        <w:rPr>
          <w:rFonts w:ascii="Times New Roman" w:hAnsi="Times New Roman"/>
          <w:noProof/>
        </w:rPr>
        <w:t>. W tym</w:t>
      </w:r>
      <w:r>
        <w:rPr>
          <w:rFonts w:ascii="Times New Roman" w:hAnsi="Times New Roman"/>
          <w:noProof/>
        </w:rPr>
        <w:t xml:space="preserve"> kontekście wzrost liczby takich transakcji może być „nieproporcjonalny”, jeżeli zachodzi podejrzenie, że sekurytyzacje prywatne zastępują transakcje, których</w:t>
      </w:r>
      <w:r w:rsidR="001B0DFF">
        <w:rPr>
          <w:rFonts w:ascii="Times New Roman" w:hAnsi="Times New Roman"/>
          <w:noProof/>
        </w:rPr>
        <w:t xml:space="preserve"> w prz</w:t>
      </w:r>
      <w:r>
        <w:rPr>
          <w:rFonts w:ascii="Times New Roman" w:hAnsi="Times New Roman"/>
          <w:noProof/>
        </w:rPr>
        <w:t xml:space="preserve">eciwnym razie dokonywano by publicznie. </w:t>
      </w:r>
    </w:p>
    <w:p w14:paraId="715DE580" w14:textId="29771E00" w:rsidR="004D621C" w:rsidRPr="003C0D71" w:rsidRDefault="004D621C" w:rsidP="004D621C">
      <w:pPr>
        <w:jc w:val="both"/>
        <w:rPr>
          <w:rFonts w:ascii="Times New Roman" w:eastAsia="Times New Roman" w:hAnsi="Times New Roman" w:cs="Times New Roman"/>
          <w:noProof/>
        </w:rPr>
      </w:pPr>
      <w:r>
        <w:rPr>
          <w:rFonts w:ascii="Times New Roman" w:hAnsi="Times New Roman"/>
          <w:noProof/>
        </w:rPr>
        <w:t>W sprawozdaniu Wspólnego Komitetu wskazano, że liczba prywatnych sekurytyzacji STS faktycznie znacznie wzrosła od marca 20</w:t>
      </w:r>
      <w:r w:rsidRPr="001B0DFF">
        <w:rPr>
          <w:rFonts w:ascii="Times New Roman" w:hAnsi="Times New Roman"/>
          <w:noProof/>
        </w:rPr>
        <w:t>19</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Sekurytyzacje prywatne stanowiły trzy czwarte wszystkich sekurytyzacji STS</w:t>
      </w:r>
      <w:r w:rsidR="001B0DFF">
        <w:rPr>
          <w:rFonts w:ascii="Times New Roman" w:hAnsi="Times New Roman"/>
          <w:noProof/>
        </w:rPr>
        <w:t xml:space="preserve"> w 2</w:t>
      </w:r>
      <w:r>
        <w:rPr>
          <w:rFonts w:ascii="Times New Roman" w:hAnsi="Times New Roman"/>
          <w:noProof/>
        </w:rPr>
        <w:t>0</w:t>
      </w:r>
      <w:r w:rsidRPr="001B0DFF">
        <w:rPr>
          <w:rFonts w:ascii="Times New Roman" w:hAnsi="Times New Roman"/>
          <w:noProof/>
        </w:rPr>
        <w:t>20</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podczas gdy</w:t>
      </w:r>
      <w:r w:rsidR="001B0DFF">
        <w:rPr>
          <w:rFonts w:ascii="Times New Roman" w:hAnsi="Times New Roman"/>
          <w:noProof/>
        </w:rPr>
        <w:t xml:space="preserve"> w 2</w:t>
      </w:r>
      <w:r>
        <w:rPr>
          <w:rFonts w:ascii="Times New Roman" w:hAnsi="Times New Roman"/>
          <w:noProof/>
        </w:rPr>
        <w:t>0</w:t>
      </w:r>
      <w:r w:rsidRPr="001B0DFF">
        <w:rPr>
          <w:rFonts w:ascii="Times New Roman" w:hAnsi="Times New Roman"/>
          <w:noProof/>
        </w:rPr>
        <w:t>19</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 jedynie jedną trzecią wszystkich sekurytyzacji STS. Zgodnie</w:t>
      </w:r>
      <w:r w:rsidR="001B0DFF">
        <w:rPr>
          <w:rFonts w:ascii="Times New Roman" w:hAnsi="Times New Roman"/>
          <w:noProof/>
        </w:rPr>
        <w:t xml:space="preserve"> z inf</w:t>
      </w:r>
      <w:r>
        <w:rPr>
          <w:rFonts w:ascii="Times New Roman" w:hAnsi="Times New Roman"/>
          <w:noProof/>
        </w:rPr>
        <w:t>ormacjami na temat sekurytyzacji STS opublikowanymi na stronie internetowej ESMA liczba transakcji prywatnych była ponownie niższa</w:t>
      </w:r>
      <w:r w:rsidR="001B0DFF">
        <w:rPr>
          <w:rFonts w:ascii="Times New Roman" w:hAnsi="Times New Roman"/>
          <w:noProof/>
        </w:rPr>
        <w:t xml:space="preserve"> w 2</w:t>
      </w:r>
      <w:r>
        <w:rPr>
          <w:rFonts w:ascii="Times New Roman" w:hAnsi="Times New Roman"/>
          <w:noProof/>
        </w:rPr>
        <w:t>0</w:t>
      </w:r>
      <w:r w:rsidRPr="001B0DFF">
        <w:rPr>
          <w:rFonts w:ascii="Times New Roman" w:hAnsi="Times New Roman"/>
          <w:noProof/>
        </w:rPr>
        <w:t>21</w:t>
      </w:r>
      <w:r w:rsidR="001B0DFF" w:rsidRPr="001B0DFF">
        <w:rPr>
          <w:rFonts w:ascii="Times New Roman" w:hAnsi="Times New Roman"/>
          <w:noProof/>
        </w:rPr>
        <w:t> </w:t>
      </w:r>
      <w:r w:rsidRPr="001B0DFF">
        <w:rPr>
          <w:rFonts w:ascii="Times New Roman" w:hAnsi="Times New Roman"/>
          <w:noProof/>
        </w:rPr>
        <w:t>r.</w:t>
      </w:r>
      <w:r w:rsidR="001B0DFF">
        <w:rPr>
          <w:rFonts w:ascii="Times New Roman" w:hAnsi="Times New Roman"/>
          <w:noProof/>
        </w:rPr>
        <w:t xml:space="preserve"> i sta</w:t>
      </w:r>
      <w:r>
        <w:rPr>
          <w:rFonts w:ascii="Times New Roman" w:hAnsi="Times New Roman"/>
          <w:noProof/>
        </w:rPr>
        <w:t>nowiła mniej niż 6</w:t>
      </w:r>
      <w:r w:rsidRPr="001B0DFF">
        <w:rPr>
          <w:rFonts w:ascii="Times New Roman" w:hAnsi="Times New Roman"/>
          <w:noProof/>
        </w:rPr>
        <w:t>0</w:t>
      </w:r>
      <w:r w:rsidR="001B0DFF" w:rsidRPr="001B0DFF">
        <w:rPr>
          <w:rFonts w:ascii="Times New Roman" w:hAnsi="Times New Roman"/>
          <w:noProof/>
        </w:rPr>
        <w:t> </w:t>
      </w:r>
      <w:r w:rsidRPr="001B0DFF">
        <w:rPr>
          <w:rFonts w:ascii="Times New Roman" w:hAnsi="Times New Roman"/>
          <w:noProof/>
        </w:rPr>
        <w:t>%</w:t>
      </w:r>
      <w:r>
        <w:rPr>
          <w:rFonts w:ascii="Times New Roman" w:hAnsi="Times New Roman"/>
          <w:noProof/>
        </w:rPr>
        <w:t xml:space="preserve"> wszystkich sekurytyzacji STS. Sprawozdanie Wspólnego Komitetu nie zawierało jednak danych dotyczących liczby</w:t>
      </w:r>
      <w:r w:rsidR="001B0DFF">
        <w:rPr>
          <w:rFonts w:ascii="Times New Roman" w:hAnsi="Times New Roman"/>
          <w:noProof/>
        </w:rPr>
        <w:t xml:space="preserve"> i wie</w:t>
      </w:r>
      <w:r>
        <w:rPr>
          <w:rFonts w:ascii="Times New Roman" w:hAnsi="Times New Roman"/>
          <w:noProof/>
        </w:rPr>
        <w:t xml:space="preserve">lkości transakcji innych niż STS. </w:t>
      </w:r>
    </w:p>
    <w:p w14:paraId="3A3A58A9" w14:textId="58E2A679" w:rsidR="004D469C" w:rsidRPr="001B0DFF" w:rsidRDefault="004D621C" w:rsidP="004D469C">
      <w:pPr>
        <w:jc w:val="both"/>
        <w:rPr>
          <w:rFonts w:ascii="Times New Roman" w:eastAsia="Times New Roman" w:hAnsi="Times New Roman" w:cs="Times New Roman"/>
          <w:noProof/>
        </w:rPr>
      </w:pPr>
      <w:r>
        <w:rPr>
          <w:rFonts w:ascii="Times New Roman" w:hAnsi="Times New Roman"/>
          <w:noProof/>
        </w:rPr>
        <w:t>Przedstawiciele branży, którzy uczestniczyli</w:t>
      </w:r>
      <w:r w:rsidR="001B0DFF">
        <w:rPr>
          <w:rFonts w:ascii="Times New Roman" w:hAnsi="Times New Roman"/>
          <w:noProof/>
        </w:rPr>
        <w:t xml:space="preserve"> w kon</w:t>
      </w:r>
      <w:r>
        <w:rPr>
          <w:rFonts w:ascii="Times New Roman" w:hAnsi="Times New Roman"/>
          <w:noProof/>
        </w:rPr>
        <w:t>sultacjach, byli zdania, że te dane dotyczące prywatnych sekurytyzacji STS wprowadzają</w:t>
      </w:r>
      <w:r w:rsidR="001B0DFF">
        <w:rPr>
          <w:rFonts w:ascii="Times New Roman" w:hAnsi="Times New Roman"/>
          <w:noProof/>
        </w:rPr>
        <w:t xml:space="preserve"> w błą</w:t>
      </w:r>
      <w:r>
        <w:rPr>
          <w:rFonts w:ascii="Times New Roman" w:hAnsi="Times New Roman"/>
          <w:noProof/>
        </w:rPr>
        <w:t>d</w:t>
      </w:r>
      <w:r w:rsidR="001B0DFF">
        <w:rPr>
          <w:rFonts w:ascii="Times New Roman" w:hAnsi="Times New Roman"/>
          <w:noProof/>
        </w:rPr>
        <w:t xml:space="preserve"> i sta</w:t>
      </w:r>
      <w:r>
        <w:rPr>
          <w:rFonts w:ascii="Times New Roman" w:hAnsi="Times New Roman"/>
          <w:noProof/>
        </w:rPr>
        <w:t>nowią konsekwencję nowych ram regulacyjnych, co uzasadniali, przedstawiając następujące argumenty: po pierwsze, ze względu na bardzo szeroką definicję sekurytyzacji stosowaną</w:t>
      </w:r>
      <w:r w:rsidR="001B0DFF">
        <w:rPr>
          <w:rFonts w:ascii="Times New Roman" w:hAnsi="Times New Roman"/>
          <w:noProof/>
        </w:rPr>
        <w:t xml:space="preserve"> w roz</w:t>
      </w:r>
      <w:r>
        <w:rPr>
          <w:rFonts w:ascii="Times New Roman" w:hAnsi="Times New Roman"/>
          <w:noProof/>
        </w:rPr>
        <w:t>porządzeniu</w:t>
      </w:r>
      <w:r w:rsidR="001B0DFF">
        <w:rPr>
          <w:rFonts w:ascii="Times New Roman" w:hAnsi="Times New Roman"/>
          <w:noProof/>
        </w:rPr>
        <w:t xml:space="preserve"> w spr</w:t>
      </w:r>
      <w:r>
        <w:rPr>
          <w:rFonts w:ascii="Times New Roman" w:hAnsi="Times New Roman"/>
          <w:noProof/>
        </w:rPr>
        <w:t>awie sekurytyzacji za sekurytyzacje prywatne uznano niektóre transakcje, które wcześniej były uznawane za kredyty bankowe. Po drugie, większość transakcji prywatnych,</w:t>
      </w:r>
      <w:r w:rsidR="001B0DFF">
        <w:rPr>
          <w:rFonts w:ascii="Times New Roman" w:hAnsi="Times New Roman"/>
          <w:noProof/>
        </w:rPr>
        <w:t xml:space="preserve"> a zwł</w:t>
      </w:r>
      <w:r>
        <w:rPr>
          <w:rFonts w:ascii="Times New Roman" w:hAnsi="Times New Roman"/>
          <w:noProof/>
        </w:rPr>
        <w:t>aszcza transakcji na papierach dłużnych przedsiębiorstw zabezpieczonych aktywami (transakcje ABCP) wielokrotnie odnawiano/rolowano,</w:t>
      </w:r>
      <w:r w:rsidR="001B0DFF">
        <w:rPr>
          <w:rFonts w:ascii="Times New Roman" w:hAnsi="Times New Roman"/>
          <w:noProof/>
        </w:rPr>
        <w:t xml:space="preserve"> a obe</w:t>
      </w:r>
      <w:r>
        <w:rPr>
          <w:rFonts w:ascii="Times New Roman" w:hAnsi="Times New Roman"/>
          <w:noProof/>
        </w:rPr>
        <w:t>cnie są widoczne, ponieważ zostały przekształcone</w:t>
      </w:r>
      <w:r w:rsidR="001B0DFF">
        <w:rPr>
          <w:rFonts w:ascii="Times New Roman" w:hAnsi="Times New Roman"/>
          <w:noProof/>
        </w:rPr>
        <w:t xml:space="preserve"> w dro</w:t>
      </w:r>
      <w:r>
        <w:rPr>
          <w:rFonts w:ascii="Times New Roman" w:hAnsi="Times New Roman"/>
          <w:noProof/>
        </w:rPr>
        <w:t>dze restrukturyzacji</w:t>
      </w:r>
      <w:r w:rsidR="001B0DFF">
        <w:rPr>
          <w:rFonts w:ascii="Times New Roman" w:hAnsi="Times New Roman"/>
          <w:noProof/>
        </w:rPr>
        <w:t xml:space="preserve"> w tra</w:t>
      </w:r>
      <w:r>
        <w:rPr>
          <w:rFonts w:ascii="Times New Roman" w:hAnsi="Times New Roman"/>
          <w:noProof/>
        </w:rPr>
        <w:t>nsakcje STS</w:t>
      </w:r>
      <w:r w:rsidR="001B0DFF">
        <w:rPr>
          <w:rFonts w:ascii="Times New Roman" w:hAnsi="Times New Roman"/>
          <w:noProof/>
        </w:rPr>
        <w:t xml:space="preserve"> i tym</w:t>
      </w:r>
      <w:r>
        <w:rPr>
          <w:rFonts w:ascii="Times New Roman" w:hAnsi="Times New Roman"/>
          <w:noProof/>
        </w:rPr>
        <w:t xml:space="preserve"> samym pojawiają się</w:t>
      </w:r>
      <w:r w:rsidR="001B0DFF">
        <w:rPr>
          <w:rFonts w:ascii="Times New Roman" w:hAnsi="Times New Roman"/>
          <w:noProof/>
        </w:rPr>
        <w:t xml:space="preserve"> w rej</w:t>
      </w:r>
      <w:r>
        <w:rPr>
          <w:rFonts w:ascii="Times New Roman" w:hAnsi="Times New Roman"/>
          <w:noProof/>
        </w:rPr>
        <w:t>estrze ESMA.</w:t>
      </w:r>
    </w:p>
    <w:p w14:paraId="6B6825D5" w14:textId="28BF7CFC" w:rsidR="004D621C" w:rsidRPr="000146AB" w:rsidRDefault="004D621C" w:rsidP="002064A8">
      <w:pPr>
        <w:jc w:val="both"/>
        <w:rPr>
          <w:rFonts w:ascii="Times New Roman" w:hAnsi="Times New Roman" w:cs="Times New Roman"/>
          <w:b/>
          <w:noProof/>
          <w:sz w:val="24"/>
        </w:rPr>
      </w:pPr>
      <w:r w:rsidRPr="001B0DFF">
        <w:rPr>
          <w:rFonts w:ascii="Times New Roman" w:hAnsi="Times New Roman"/>
          <w:b/>
          <w:noProof/>
          <w:sz w:val="24"/>
        </w:rPr>
        <w:t>O</w:t>
      </w:r>
      <w:r>
        <w:rPr>
          <w:rFonts w:ascii="Times New Roman" w:hAnsi="Times New Roman"/>
          <w:b/>
          <w:noProof/>
          <w:sz w:val="24"/>
        </w:rPr>
        <w:t>cena</w:t>
      </w:r>
      <w:r>
        <w:rPr>
          <w:rFonts w:ascii="Times New Roman" w:hAnsi="Times New Roman"/>
          <w:b/>
          <w:noProof/>
        </w:rPr>
        <w:t xml:space="preserve"> Komisji</w:t>
      </w:r>
    </w:p>
    <w:p w14:paraId="15803F70" w14:textId="352987E9" w:rsidR="00381223" w:rsidRPr="003C0D71" w:rsidRDefault="004D621C" w:rsidP="004D621C">
      <w:pPr>
        <w:jc w:val="both"/>
        <w:rPr>
          <w:rFonts w:ascii="Times New Roman" w:eastAsia="Times New Roman" w:hAnsi="Times New Roman" w:cs="Times New Roman"/>
          <w:noProof/>
        </w:rPr>
      </w:pPr>
      <w:r>
        <w:rPr>
          <w:rFonts w:ascii="Times New Roman" w:hAnsi="Times New Roman"/>
          <w:noProof/>
        </w:rPr>
        <w:t>Komisja przyznaje, że dostosowania do nowych ram regulacyjnych mogą przyczyniać się do wzrostu liczby sekurytyzacji prywatnych od daty rozpoczęcia stosowania nowych ram sekurytyzacji</w:t>
      </w:r>
      <w:r w:rsidR="001B0DFF">
        <w:rPr>
          <w:rFonts w:ascii="Times New Roman" w:hAnsi="Times New Roman"/>
          <w:noProof/>
        </w:rPr>
        <w:t>. W tym</w:t>
      </w:r>
      <w:r>
        <w:rPr>
          <w:rFonts w:ascii="Times New Roman" w:hAnsi="Times New Roman"/>
          <w:noProof/>
        </w:rPr>
        <w:t xml:space="preserve"> kontekście uznaje się, że okres dwóch lat jest niewystarczający do ustalenia</w:t>
      </w:r>
      <w:r w:rsidR="001B0DFF">
        <w:rPr>
          <w:rFonts w:ascii="Times New Roman" w:hAnsi="Times New Roman"/>
          <w:noProof/>
        </w:rPr>
        <w:t xml:space="preserve"> z abs</w:t>
      </w:r>
      <w:r>
        <w:rPr>
          <w:rFonts w:ascii="Times New Roman" w:hAnsi="Times New Roman"/>
          <w:noProof/>
        </w:rPr>
        <w:t xml:space="preserve">olutną pewnością, czy faktycznie odchodzi się od transakcji publicznych na rzecz transakcji prywatnych. Komisja zauważa ponadto, że dane na temat liczby prywatnych transakcji innych niż STS są niedostępne, podobnie jak dane dotyczące wielkości transakcji, co utrudnia dokonanie kompleksowej oceny zmian na rynku transakcji prywatnych. </w:t>
      </w:r>
    </w:p>
    <w:p w14:paraId="740E6441" w14:textId="6FB68C06" w:rsidR="004D621C" w:rsidRPr="003C0D71" w:rsidRDefault="00F70773" w:rsidP="004D621C">
      <w:pPr>
        <w:jc w:val="both"/>
        <w:rPr>
          <w:rFonts w:ascii="Times New Roman" w:eastAsia="Times New Roman" w:hAnsi="Times New Roman" w:cs="Times New Roman"/>
          <w:noProof/>
        </w:rPr>
      </w:pPr>
      <w:r>
        <w:rPr>
          <w:rFonts w:ascii="Times New Roman" w:hAnsi="Times New Roman"/>
          <w:noProof/>
        </w:rPr>
        <w:t>Chociaż nie można jednoznacznie stwierdzić, czy zachodzi stały znaczny wzrost liczby</w:t>
      </w:r>
      <w:r w:rsidR="001B0DFF">
        <w:rPr>
          <w:rFonts w:ascii="Times New Roman" w:hAnsi="Times New Roman"/>
          <w:noProof/>
        </w:rPr>
        <w:t xml:space="preserve"> i wie</w:t>
      </w:r>
      <w:r>
        <w:rPr>
          <w:rFonts w:ascii="Times New Roman" w:hAnsi="Times New Roman"/>
          <w:noProof/>
        </w:rPr>
        <w:t>lkości sekurytyzacji prywatnych bez jednoczesnego proporcjonalnego wzrostu transakcji publicznych, Komisja nie jest</w:t>
      </w:r>
      <w:r w:rsidR="001B0DFF">
        <w:rPr>
          <w:rFonts w:ascii="Times New Roman" w:hAnsi="Times New Roman"/>
          <w:noProof/>
        </w:rPr>
        <w:t xml:space="preserve"> w sta</w:t>
      </w:r>
      <w:r>
        <w:rPr>
          <w:rFonts w:ascii="Times New Roman" w:hAnsi="Times New Roman"/>
          <w:noProof/>
        </w:rPr>
        <w:t>nie ocenić, czy taki wzrost wynika</w:t>
      </w:r>
      <w:r w:rsidR="001B0DFF">
        <w:rPr>
          <w:rFonts w:ascii="Times New Roman" w:hAnsi="Times New Roman"/>
          <w:noProof/>
        </w:rPr>
        <w:t xml:space="preserve"> z chę</w:t>
      </w:r>
      <w:r>
        <w:rPr>
          <w:rFonts w:ascii="Times New Roman" w:hAnsi="Times New Roman"/>
          <w:noProof/>
        </w:rPr>
        <w:t>ci uniknięcia konieczności spełnienia obowiązków dotyczących przejrzystości transakcji publicznych. Komisja zachęca zatem Wspólny Komitet do dalszego monitorowania zmian wielkości transakcji prywatnych</w:t>
      </w:r>
      <w:r w:rsidR="001B0DFF">
        <w:rPr>
          <w:rFonts w:ascii="Times New Roman" w:hAnsi="Times New Roman"/>
          <w:noProof/>
        </w:rPr>
        <w:t xml:space="preserve"> i pub</w:t>
      </w:r>
      <w:r>
        <w:rPr>
          <w:rFonts w:ascii="Times New Roman" w:hAnsi="Times New Roman"/>
          <w:noProof/>
        </w:rPr>
        <w:t>licznych oraz do ustalenia wielkości transakcji innych niż STS</w:t>
      </w:r>
      <w:r w:rsidR="001B0DFF">
        <w:rPr>
          <w:rFonts w:ascii="Times New Roman" w:hAnsi="Times New Roman"/>
          <w:noProof/>
        </w:rPr>
        <w:t xml:space="preserve"> i cał</w:t>
      </w:r>
      <w:r>
        <w:rPr>
          <w:rFonts w:ascii="Times New Roman" w:hAnsi="Times New Roman"/>
          <w:noProof/>
        </w:rPr>
        <w:t xml:space="preserve">kowitej wielkości transakcji. Na podstawie tych dodatkowych danych Komisja we właściwym czasie ponownie przeanalizuje tę kwestię. </w:t>
      </w:r>
    </w:p>
    <w:p w14:paraId="67291722" w14:textId="4EF709DC" w:rsidR="004D621C" w:rsidRPr="003C0D71" w:rsidRDefault="004134D0" w:rsidP="004D621C">
      <w:pPr>
        <w:pStyle w:val="Heading2"/>
        <w:rPr>
          <w:rFonts w:ascii="Times New Roman" w:hAnsi="Times New Roman" w:cs="Times New Roman"/>
          <w:noProof/>
          <w:color w:val="auto"/>
        </w:rPr>
      </w:pPr>
      <w:bookmarkStart w:id="33" w:name="_Toc104283068"/>
      <w:bookmarkStart w:id="34" w:name="_Toc104286136"/>
      <w:bookmarkStart w:id="35" w:name="_Toc104297341"/>
      <w:bookmarkStart w:id="36" w:name="_Toc115361591"/>
      <w:r>
        <w:rPr>
          <w:rFonts w:ascii="Times New Roman" w:hAnsi="Times New Roman"/>
          <w:noProof/>
          <w:color w:val="auto"/>
        </w:rPr>
        <w:t>6.2 Czy inwestorzy</w:t>
      </w:r>
      <w:r w:rsidR="001B0DFF">
        <w:rPr>
          <w:rFonts w:ascii="Times New Roman" w:hAnsi="Times New Roman"/>
          <w:noProof/>
          <w:color w:val="auto"/>
        </w:rPr>
        <w:t xml:space="preserve"> i org</w:t>
      </w:r>
      <w:r>
        <w:rPr>
          <w:rFonts w:ascii="Times New Roman" w:hAnsi="Times New Roman"/>
          <w:noProof/>
          <w:color w:val="auto"/>
        </w:rPr>
        <w:t>any nadzoru dysponują wystarczającymi informacjami na temat sekurytyzacji prywatnych?</w:t>
      </w:r>
      <w:bookmarkEnd w:id="33"/>
      <w:bookmarkEnd w:id="34"/>
      <w:bookmarkEnd w:id="35"/>
      <w:bookmarkEnd w:id="36"/>
      <w:r>
        <w:rPr>
          <w:rFonts w:ascii="Times New Roman" w:hAnsi="Times New Roman"/>
          <w:noProof/>
          <w:color w:val="auto"/>
        </w:rPr>
        <w:t xml:space="preserve"> </w:t>
      </w:r>
    </w:p>
    <w:p w14:paraId="1CB6F4F4" w14:textId="51CB1560" w:rsidR="004D621C" w:rsidRPr="003C0D71" w:rsidRDefault="004D621C" w:rsidP="000D4664">
      <w:pPr>
        <w:rPr>
          <w:rFonts w:ascii="Times New Roman" w:hAnsi="Times New Roman" w:cs="Times New Roman"/>
          <w:b/>
          <w:noProof/>
          <w:sz w:val="24"/>
        </w:rPr>
      </w:pPr>
      <w:r>
        <w:rPr>
          <w:rFonts w:ascii="Times New Roman" w:hAnsi="Times New Roman"/>
          <w:b/>
          <w:noProof/>
          <w:sz w:val="24"/>
        </w:rPr>
        <w:t>Kontekst</w:t>
      </w:r>
      <w:r w:rsidR="001B0DFF">
        <w:rPr>
          <w:rFonts w:ascii="Times New Roman" w:hAnsi="Times New Roman"/>
          <w:b/>
          <w:noProof/>
          <w:sz w:val="24"/>
        </w:rPr>
        <w:t xml:space="preserve"> i ust</w:t>
      </w:r>
      <w:r>
        <w:rPr>
          <w:rFonts w:ascii="Times New Roman" w:hAnsi="Times New Roman"/>
          <w:b/>
          <w:noProof/>
          <w:sz w:val="24"/>
        </w:rPr>
        <w:t>alenia</w:t>
      </w:r>
    </w:p>
    <w:p w14:paraId="31DFEEDC" w14:textId="4179AE43" w:rsidR="004D621C" w:rsidRPr="003C0D71" w:rsidRDefault="004D621C" w:rsidP="004D621C">
      <w:pPr>
        <w:jc w:val="both"/>
        <w:rPr>
          <w:rFonts w:ascii="Times New Roman" w:eastAsia="Times New Roman" w:hAnsi="Times New Roman" w:cs="Times New Roman"/>
          <w:noProof/>
        </w:rPr>
      </w:pPr>
      <w:r>
        <w:rPr>
          <w:rFonts w:ascii="Times New Roman" w:hAnsi="Times New Roman"/>
          <w:noProof/>
        </w:rPr>
        <w:t>Obecnie nie istnieje specjalny szablon dotyczący sekurytyzacji prywatnych, ale jednostki inicjujące, jednostki sponsorujące lub SSPE zaangażowane</w:t>
      </w:r>
      <w:r w:rsidR="001B0DFF">
        <w:rPr>
          <w:rFonts w:ascii="Times New Roman" w:hAnsi="Times New Roman"/>
          <w:noProof/>
        </w:rPr>
        <w:t xml:space="preserve"> w sek</w:t>
      </w:r>
      <w:r>
        <w:rPr>
          <w:rFonts w:ascii="Times New Roman" w:hAnsi="Times New Roman"/>
          <w:noProof/>
        </w:rPr>
        <w:t>urytyzacje prywatne muszą wypełniać obszerne szablony stosowane również</w:t>
      </w:r>
      <w:r w:rsidR="001B0DFF">
        <w:rPr>
          <w:rFonts w:ascii="Times New Roman" w:hAnsi="Times New Roman"/>
          <w:noProof/>
        </w:rPr>
        <w:t xml:space="preserve"> w prz</w:t>
      </w:r>
      <w:r>
        <w:rPr>
          <w:rFonts w:ascii="Times New Roman" w:hAnsi="Times New Roman"/>
          <w:noProof/>
        </w:rPr>
        <w:t>ypadku sekurytyzacji publicznych, chociaż szablony te nie muszą być dostarczane za pośrednictwem repozytorium sekurytyzacji. Niektóre właściwe organy krajowe żądają przedstawienia podstawowych informacji na temat transakcji prywatnych za pośrednictwem indywidualnych formularzy.</w:t>
      </w:r>
    </w:p>
    <w:p w14:paraId="76DB4CEE" w14:textId="08ED4C3A" w:rsidR="004D621C" w:rsidRPr="003C0D71" w:rsidRDefault="004D621C" w:rsidP="004D621C">
      <w:pPr>
        <w:jc w:val="both"/>
        <w:rPr>
          <w:rFonts w:ascii="Times New Roman" w:eastAsia="Times New Roman" w:hAnsi="Times New Roman" w:cs="Times New Roman"/>
          <w:noProof/>
        </w:rPr>
      </w:pPr>
      <w:r>
        <w:rPr>
          <w:rFonts w:ascii="Times New Roman" w:hAnsi="Times New Roman"/>
          <w:noProof/>
        </w:rPr>
        <w:t>Opinie</w:t>
      </w:r>
      <w:r w:rsidR="001B0DFF">
        <w:rPr>
          <w:rFonts w:ascii="Times New Roman" w:hAnsi="Times New Roman"/>
          <w:noProof/>
        </w:rPr>
        <w:t xml:space="preserve"> w kwe</w:t>
      </w:r>
      <w:r>
        <w:rPr>
          <w:rFonts w:ascii="Times New Roman" w:hAnsi="Times New Roman"/>
          <w:noProof/>
        </w:rPr>
        <w:t>stii, czy szablony wnoszą wartość dodaną</w:t>
      </w:r>
      <w:r w:rsidR="001B0DFF">
        <w:rPr>
          <w:rFonts w:ascii="Times New Roman" w:hAnsi="Times New Roman"/>
          <w:noProof/>
        </w:rPr>
        <w:t xml:space="preserve"> w prz</w:t>
      </w:r>
      <w:r>
        <w:rPr>
          <w:rFonts w:ascii="Times New Roman" w:hAnsi="Times New Roman"/>
          <w:noProof/>
        </w:rPr>
        <w:t>ypadku sekurytyzacji prywatnych, były podzielone: korzyści wynikające</w:t>
      </w:r>
      <w:r w:rsidR="001B0DFF">
        <w:rPr>
          <w:rFonts w:ascii="Times New Roman" w:hAnsi="Times New Roman"/>
          <w:noProof/>
        </w:rPr>
        <w:t xml:space="preserve"> z uje</w:t>
      </w:r>
      <w:r>
        <w:rPr>
          <w:rFonts w:ascii="Times New Roman" w:hAnsi="Times New Roman"/>
          <w:noProof/>
        </w:rPr>
        <w:t>dnoliconych szablonów zostały dostrzeżone przez niektórych respondentów</w:t>
      </w:r>
      <w:r w:rsidR="001B0DFF">
        <w:rPr>
          <w:rFonts w:ascii="Times New Roman" w:hAnsi="Times New Roman"/>
          <w:noProof/>
        </w:rPr>
        <w:t xml:space="preserve"> z bra</w:t>
      </w:r>
      <w:r>
        <w:rPr>
          <w:rFonts w:ascii="Times New Roman" w:hAnsi="Times New Roman"/>
          <w:noProof/>
        </w:rPr>
        <w:t>nży (niezależnie, czy na rynku sekurytyzacji występują oni</w:t>
      </w:r>
      <w:r w:rsidR="001B0DFF">
        <w:rPr>
          <w:rFonts w:ascii="Times New Roman" w:hAnsi="Times New Roman"/>
          <w:noProof/>
        </w:rPr>
        <w:t xml:space="preserve"> w cha</w:t>
      </w:r>
      <w:r>
        <w:rPr>
          <w:rFonts w:ascii="Times New Roman" w:hAnsi="Times New Roman"/>
          <w:noProof/>
        </w:rPr>
        <w:t>rakterze inwestora czy jednostki inicjującej)</w:t>
      </w:r>
      <w:r w:rsidR="001B0DFF">
        <w:rPr>
          <w:rFonts w:ascii="Times New Roman" w:hAnsi="Times New Roman"/>
          <w:noProof/>
        </w:rPr>
        <w:t xml:space="preserve"> i wię</w:t>
      </w:r>
      <w:r>
        <w:rPr>
          <w:rFonts w:ascii="Times New Roman" w:hAnsi="Times New Roman"/>
          <w:noProof/>
        </w:rPr>
        <w:t>kszość organów publicznych. Inni respondenci zakwestionowali przydatność szablonów do celów zapewnienia przejrzystości sekurytyzacji prywatnych,</w:t>
      </w:r>
      <w:r w:rsidR="001B0DFF">
        <w:rPr>
          <w:rFonts w:ascii="Times New Roman" w:hAnsi="Times New Roman"/>
          <w:noProof/>
        </w:rPr>
        <w:t xml:space="preserve"> w szc</w:t>
      </w:r>
      <w:r>
        <w:rPr>
          <w:rFonts w:ascii="Times New Roman" w:hAnsi="Times New Roman"/>
          <w:noProof/>
        </w:rPr>
        <w:t>zególności</w:t>
      </w:r>
      <w:r w:rsidR="001B0DFF">
        <w:rPr>
          <w:rFonts w:ascii="Times New Roman" w:hAnsi="Times New Roman"/>
          <w:noProof/>
        </w:rPr>
        <w:t xml:space="preserve"> w prz</w:t>
      </w:r>
      <w:r>
        <w:rPr>
          <w:rFonts w:ascii="Times New Roman" w:hAnsi="Times New Roman"/>
          <w:noProof/>
        </w:rPr>
        <w:t>ypadku prywatnych transakcji syntetycznych,</w:t>
      </w:r>
      <w:r w:rsidR="001B0DFF">
        <w:rPr>
          <w:rFonts w:ascii="Times New Roman" w:hAnsi="Times New Roman"/>
          <w:noProof/>
        </w:rPr>
        <w:t xml:space="preserve"> w prz</w:t>
      </w:r>
      <w:r>
        <w:rPr>
          <w:rFonts w:ascii="Times New Roman" w:hAnsi="Times New Roman"/>
          <w:noProof/>
        </w:rPr>
        <w:t>ypadku których potrzeby</w:t>
      </w:r>
      <w:r w:rsidR="001B0DFF">
        <w:rPr>
          <w:rFonts w:ascii="Times New Roman" w:hAnsi="Times New Roman"/>
          <w:noProof/>
        </w:rPr>
        <w:t xml:space="preserve"> w zak</w:t>
      </w:r>
      <w:r>
        <w:rPr>
          <w:rFonts w:ascii="Times New Roman" w:hAnsi="Times New Roman"/>
          <w:noProof/>
        </w:rPr>
        <w:t>resie informacji są ściśle określone.</w:t>
      </w:r>
    </w:p>
    <w:p w14:paraId="56232C96" w14:textId="63D7B3F3" w:rsidR="004D621C" w:rsidRPr="003C0D71" w:rsidRDefault="00DF40FC" w:rsidP="004D621C">
      <w:pPr>
        <w:jc w:val="both"/>
        <w:rPr>
          <w:rFonts w:ascii="Times New Roman" w:eastAsia="Times New Roman" w:hAnsi="Times New Roman" w:cs="Times New Roman"/>
          <w:noProof/>
        </w:rPr>
      </w:pPr>
      <w:r>
        <w:rPr>
          <w:rFonts w:ascii="Times New Roman" w:hAnsi="Times New Roman"/>
          <w:noProof/>
        </w:rPr>
        <w:t>Większość respondentów</w:t>
      </w:r>
      <w:r w:rsidR="001B0DFF">
        <w:rPr>
          <w:rFonts w:ascii="Times New Roman" w:hAnsi="Times New Roman"/>
          <w:noProof/>
        </w:rPr>
        <w:t xml:space="preserve"> z bra</w:t>
      </w:r>
      <w:r>
        <w:rPr>
          <w:rFonts w:ascii="Times New Roman" w:hAnsi="Times New Roman"/>
          <w:noProof/>
        </w:rPr>
        <w:t>nży twierdziła, że</w:t>
      </w:r>
      <w:r w:rsidR="001B0DFF">
        <w:rPr>
          <w:rFonts w:ascii="Times New Roman" w:hAnsi="Times New Roman"/>
          <w:noProof/>
        </w:rPr>
        <w:t xml:space="preserve"> w ram</w:t>
      </w:r>
      <w:r>
        <w:rPr>
          <w:rFonts w:ascii="Times New Roman" w:hAnsi="Times New Roman"/>
          <w:noProof/>
        </w:rPr>
        <w:t>ach obecnego systemu organy nadzoru</w:t>
      </w:r>
      <w:r w:rsidR="001B0DFF">
        <w:rPr>
          <w:rFonts w:ascii="Times New Roman" w:hAnsi="Times New Roman"/>
          <w:noProof/>
        </w:rPr>
        <w:t xml:space="preserve"> i inw</w:t>
      </w:r>
      <w:r>
        <w:rPr>
          <w:rFonts w:ascii="Times New Roman" w:hAnsi="Times New Roman"/>
          <w:noProof/>
        </w:rPr>
        <w:t>estorzy posiadają wystarczające informacje, aby odpowiednio monitorować zmiany na rynku</w:t>
      </w:r>
      <w:r w:rsidR="001B0DFF">
        <w:rPr>
          <w:rFonts w:ascii="Times New Roman" w:hAnsi="Times New Roman"/>
          <w:noProof/>
        </w:rPr>
        <w:t xml:space="preserve"> i prz</w:t>
      </w:r>
      <w:r>
        <w:rPr>
          <w:rFonts w:ascii="Times New Roman" w:hAnsi="Times New Roman"/>
          <w:noProof/>
        </w:rPr>
        <w:t xml:space="preserve">eprowadzać rzetelną analizę </w:t>
      </w:r>
      <w:r>
        <w:rPr>
          <w:rFonts w:ascii="Times New Roman" w:hAnsi="Times New Roman"/>
          <w:i/>
          <w:noProof/>
        </w:rPr>
        <w:t>due diligence</w:t>
      </w:r>
      <w:r>
        <w:rPr>
          <w:rFonts w:ascii="Times New Roman" w:hAnsi="Times New Roman"/>
          <w:noProof/>
        </w:rPr>
        <w:t xml:space="preserve">. </w:t>
      </w:r>
    </w:p>
    <w:p w14:paraId="1E726683" w14:textId="23716835" w:rsidR="004D621C" w:rsidRDefault="004D621C" w:rsidP="004D621C">
      <w:pPr>
        <w:jc w:val="both"/>
        <w:rPr>
          <w:rFonts w:ascii="Times New Roman" w:eastAsia="Times New Roman" w:hAnsi="Times New Roman" w:cs="Times New Roman"/>
          <w:noProof/>
        </w:rPr>
      </w:pPr>
      <w:r>
        <w:rPr>
          <w:rFonts w:ascii="Times New Roman" w:hAnsi="Times New Roman"/>
          <w:noProof/>
        </w:rPr>
        <w:t>O ile respondenci</w:t>
      </w:r>
      <w:r w:rsidR="001B0DFF">
        <w:rPr>
          <w:rFonts w:ascii="Times New Roman" w:hAnsi="Times New Roman"/>
          <w:noProof/>
        </w:rPr>
        <w:t xml:space="preserve"> z bra</w:t>
      </w:r>
      <w:r>
        <w:rPr>
          <w:rFonts w:ascii="Times New Roman" w:hAnsi="Times New Roman"/>
          <w:noProof/>
        </w:rPr>
        <w:t xml:space="preserve">nży uważali, że obecnie stosowane szablony na podstawie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xml:space="preserve"> powinny również zawierać wystarczające informacje na temat sekurytyzacji prywatnych na potrzeby organów nadzoru, opinie na ten temat wyrażone</w:t>
      </w:r>
      <w:r w:rsidR="001B0DFF">
        <w:rPr>
          <w:rFonts w:ascii="Times New Roman" w:hAnsi="Times New Roman"/>
          <w:noProof/>
        </w:rPr>
        <w:t xml:space="preserve"> w inf</w:t>
      </w:r>
      <w:r>
        <w:rPr>
          <w:rFonts w:ascii="Times New Roman" w:hAnsi="Times New Roman"/>
          <w:noProof/>
        </w:rPr>
        <w:t>ormacjach zwrotnych od organów publicznych były podzielone. Dwa organy nadzoru zasadniczo wyraziły podobną opinię, natomiast większość organów nadzoru poparła opinie wyrażone</w:t>
      </w:r>
      <w:r w:rsidR="001B0DFF">
        <w:rPr>
          <w:rFonts w:ascii="Times New Roman" w:hAnsi="Times New Roman"/>
          <w:noProof/>
        </w:rPr>
        <w:t xml:space="preserve"> w spr</w:t>
      </w:r>
      <w:r>
        <w:rPr>
          <w:rFonts w:ascii="Times New Roman" w:hAnsi="Times New Roman"/>
          <w:noProof/>
        </w:rPr>
        <w:t>awozdaniu Wspólnego Komitetu,</w:t>
      </w:r>
      <w:r w:rsidR="001B0DFF">
        <w:rPr>
          <w:rFonts w:ascii="Times New Roman" w:hAnsi="Times New Roman"/>
          <w:noProof/>
        </w:rPr>
        <w:t xml:space="preserve"> w któ</w:t>
      </w:r>
      <w:r>
        <w:rPr>
          <w:rFonts w:ascii="Times New Roman" w:hAnsi="Times New Roman"/>
          <w:noProof/>
        </w:rPr>
        <w:t>rym odnotowano, że organy nadzoru mają trudności</w:t>
      </w:r>
      <w:r w:rsidR="001B0DFF">
        <w:rPr>
          <w:rFonts w:ascii="Times New Roman" w:hAnsi="Times New Roman"/>
          <w:noProof/>
        </w:rPr>
        <w:t xml:space="preserve"> w uzy</w:t>
      </w:r>
      <w:r>
        <w:rPr>
          <w:rFonts w:ascii="Times New Roman" w:hAnsi="Times New Roman"/>
          <w:noProof/>
        </w:rPr>
        <w:t>skaniu wystarczających informacji na temat istnienia</w:t>
      </w:r>
      <w:r w:rsidR="001B0DFF">
        <w:rPr>
          <w:rFonts w:ascii="Times New Roman" w:hAnsi="Times New Roman"/>
          <w:noProof/>
        </w:rPr>
        <w:t xml:space="preserve"> i par</w:t>
      </w:r>
      <w:r>
        <w:rPr>
          <w:rFonts w:ascii="Times New Roman" w:hAnsi="Times New Roman"/>
          <w:noProof/>
        </w:rPr>
        <w:t xml:space="preserve">ametrów transakcji. </w:t>
      </w:r>
    </w:p>
    <w:p w14:paraId="3F76F148" w14:textId="512E0630" w:rsidR="004D621C" w:rsidRPr="003C0D71" w:rsidRDefault="000146AB" w:rsidP="000D4664">
      <w:pPr>
        <w:rPr>
          <w:rFonts w:ascii="Times New Roman" w:hAnsi="Times New Roman" w:cs="Times New Roman"/>
          <w:b/>
          <w:noProof/>
          <w:sz w:val="24"/>
        </w:rPr>
      </w:pPr>
      <w:r>
        <w:rPr>
          <w:rFonts w:ascii="Times New Roman" w:hAnsi="Times New Roman"/>
          <w:b/>
          <w:noProof/>
          <w:sz w:val="24"/>
        </w:rPr>
        <w:t>Ocena Komisji</w:t>
      </w:r>
    </w:p>
    <w:p w14:paraId="51131C50" w14:textId="14496A45" w:rsidR="004D621C" w:rsidRPr="003C0D71" w:rsidRDefault="004D621C" w:rsidP="004D621C">
      <w:pPr>
        <w:jc w:val="both"/>
        <w:rPr>
          <w:rFonts w:ascii="Times New Roman" w:eastAsia="Times New Roman" w:hAnsi="Times New Roman" w:cs="Times New Roman"/>
          <w:noProof/>
        </w:rPr>
      </w:pPr>
      <w:r>
        <w:rPr>
          <w:rFonts w:ascii="Times New Roman" w:hAnsi="Times New Roman"/>
          <w:noProof/>
        </w:rPr>
        <w:t>Komisja zgadza się</w:t>
      </w:r>
      <w:r w:rsidR="001B0DFF">
        <w:rPr>
          <w:rFonts w:ascii="Times New Roman" w:hAnsi="Times New Roman"/>
          <w:noProof/>
        </w:rPr>
        <w:t xml:space="preserve"> z opi</w:t>
      </w:r>
      <w:r>
        <w:rPr>
          <w:rFonts w:ascii="Times New Roman" w:hAnsi="Times New Roman"/>
          <w:noProof/>
        </w:rPr>
        <w:t>nią, że ujednolicone szablony ułatwiają udzielanie informacji, które mają wystarczająco wysoką jakość i są wystarczająco łatwe do przetwarzania przez poszczególnych odbiorców. Jednocześnie Komisja przyznaje, że ze względu na indywidualny charakter sekurytyzacji prywatnej inwestorzy uczestniczący</w:t>
      </w:r>
      <w:r w:rsidR="001B0DFF">
        <w:rPr>
          <w:rFonts w:ascii="Times New Roman" w:hAnsi="Times New Roman"/>
          <w:noProof/>
        </w:rPr>
        <w:t xml:space="preserve"> w tak</w:t>
      </w:r>
      <w:r>
        <w:rPr>
          <w:rFonts w:ascii="Times New Roman" w:hAnsi="Times New Roman"/>
          <w:noProof/>
        </w:rPr>
        <w:t>ich transakcjach potrzebują bardziej dostosowanych informacji</w:t>
      </w:r>
      <w:r w:rsidR="001B0DFF">
        <w:rPr>
          <w:rFonts w:ascii="Times New Roman" w:hAnsi="Times New Roman"/>
          <w:noProof/>
        </w:rPr>
        <w:t xml:space="preserve"> w por</w:t>
      </w:r>
      <w:r>
        <w:rPr>
          <w:rFonts w:ascii="Times New Roman" w:hAnsi="Times New Roman"/>
          <w:noProof/>
        </w:rPr>
        <w:t>ównaniu</w:t>
      </w:r>
      <w:r w:rsidR="001B0DFF">
        <w:rPr>
          <w:rFonts w:ascii="Times New Roman" w:hAnsi="Times New Roman"/>
          <w:noProof/>
        </w:rPr>
        <w:t xml:space="preserve"> z inf</w:t>
      </w:r>
      <w:r>
        <w:rPr>
          <w:rFonts w:ascii="Times New Roman" w:hAnsi="Times New Roman"/>
          <w:noProof/>
        </w:rPr>
        <w:t>ormacjami, jakie można zebrać za pomocą szablonów ESMA. Komisja nie ma powodów kwestionować twierdzenie respondentów</w:t>
      </w:r>
      <w:r w:rsidR="001B0DFF">
        <w:rPr>
          <w:rFonts w:ascii="Times New Roman" w:hAnsi="Times New Roman"/>
          <w:noProof/>
        </w:rPr>
        <w:t xml:space="preserve"> z bra</w:t>
      </w:r>
      <w:r>
        <w:rPr>
          <w:rFonts w:ascii="Times New Roman" w:hAnsi="Times New Roman"/>
          <w:noProof/>
        </w:rPr>
        <w:t>nży, że inwestorzy angażujący się</w:t>
      </w:r>
      <w:r w:rsidR="001B0DFF">
        <w:rPr>
          <w:rFonts w:ascii="Times New Roman" w:hAnsi="Times New Roman"/>
          <w:noProof/>
        </w:rPr>
        <w:t xml:space="preserve"> w tra</w:t>
      </w:r>
      <w:r>
        <w:rPr>
          <w:rFonts w:ascii="Times New Roman" w:hAnsi="Times New Roman"/>
          <w:noProof/>
        </w:rPr>
        <w:t xml:space="preserve">nsakcje prywatne mają na tyle strukturalnie silną pozycję, aby móc żądać wszystkich informacji, jakich potrzebują do przeprowadzenia szczegółowej analizy </w:t>
      </w:r>
      <w:r>
        <w:rPr>
          <w:rFonts w:ascii="Times New Roman" w:hAnsi="Times New Roman"/>
          <w:i/>
          <w:noProof/>
        </w:rPr>
        <w:t>due diligence</w:t>
      </w:r>
      <w:r>
        <w:rPr>
          <w:rFonts w:ascii="Times New Roman" w:hAnsi="Times New Roman"/>
          <w:noProof/>
        </w:rPr>
        <w:t>, oraz że otrzymują takie informacje. Niemniej jednak,</w:t>
      </w:r>
      <w:r w:rsidR="001B0DFF">
        <w:rPr>
          <w:rFonts w:ascii="Times New Roman" w:hAnsi="Times New Roman"/>
          <w:noProof/>
        </w:rPr>
        <w:t xml:space="preserve"> o ile</w:t>
      </w:r>
      <w:r>
        <w:rPr>
          <w:rFonts w:ascii="Times New Roman" w:hAnsi="Times New Roman"/>
          <w:noProof/>
        </w:rPr>
        <w:t xml:space="preserve"> informacje przekazywane za pomocą szablonów ESMA mogą mieć mniejsze znaczenie dla inwestorów niż początkowo zakładali współustawodawcy, ujednolicone informacje na temat istnienia transakcji prywatnych</w:t>
      </w:r>
      <w:r w:rsidR="001B0DFF">
        <w:rPr>
          <w:rFonts w:ascii="Times New Roman" w:hAnsi="Times New Roman"/>
          <w:noProof/>
        </w:rPr>
        <w:t xml:space="preserve"> i tak</w:t>
      </w:r>
      <w:r>
        <w:rPr>
          <w:rFonts w:ascii="Times New Roman" w:hAnsi="Times New Roman"/>
          <w:noProof/>
        </w:rPr>
        <w:t xml:space="preserve"> są bardzo potrzebne organom nadzoru do szybkiego zorientowania się</w:t>
      </w:r>
      <w:r w:rsidR="001B0DFF">
        <w:rPr>
          <w:rFonts w:ascii="Times New Roman" w:hAnsi="Times New Roman"/>
          <w:noProof/>
        </w:rPr>
        <w:t xml:space="preserve"> w zmi</w:t>
      </w:r>
      <w:r>
        <w:rPr>
          <w:rFonts w:ascii="Times New Roman" w:hAnsi="Times New Roman"/>
          <w:noProof/>
        </w:rPr>
        <w:t>anach na rynku</w:t>
      </w:r>
      <w:r w:rsidR="001B0DFF">
        <w:rPr>
          <w:rFonts w:ascii="Times New Roman" w:hAnsi="Times New Roman"/>
          <w:noProof/>
        </w:rPr>
        <w:t xml:space="preserve"> i szy</w:t>
      </w:r>
      <w:r>
        <w:rPr>
          <w:rFonts w:ascii="Times New Roman" w:hAnsi="Times New Roman"/>
          <w:noProof/>
        </w:rPr>
        <w:t>bkiej identyfikacji transakcji, które mogą chcieć poddać szczegółowej kontroli nadzorczej</w:t>
      </w:r>
      <w:r w:rsidR="001B0DFF">
        <w:rPr>
          <w:rFonts w:ascii="Times New Roman" w:hAnsi="Times New Roman"/>
          <w:noProof/>
        </w:rPr>
        <w:t>. Z pos</w:t>
      </w:r>
      <w:r>
        <w:rPr>
          <w:rFonts w:ascii="Times New Roman" w:hAnsi="Times New Roman"/>
          <w:noProof/>
        </w:rPr>
        <w:t xml:space="preserve">zczególnych formularzy </w:t>
      </w:r>
      <w:r>
        <w:rPr>
          <w:rFonts w:ascii="Times New Roman" w:hAnsi="Times New Roman"/>
          <w:i/>
          <w:noProof/>
        </w:rPr>
        <w:t>ad hoc</w:t>
      </w:r>
      <w:r>
        <w:rPr>
          <w:rFonts w:ascii="Times New Roman" w:hAnsi="Times New Roman"/>
          <w:noProof/>
        </w:rPr>
        <w:t>, które</w:t>
      </w:r>
      <w:r w:rsidR="001B0DFF">
        <w:rPr>
          <w:rFonts w:ascii="Times New Roman" w:hAnsi="Times New Roman"/>
          <w:noProof/>
        </w:rPr>
        <w:t xml:space="preserve"> w tym</w:t>
      </w:r>
      <w:r>
        <w:rPr>
          <w:rFonts w:ascii="Times New Roman" w:hAnsi="Times New Roman"/>
          <w:noProof/>
        </w:rPr>
        <w:t xml:space="preserve"> celu zostały opracowane przez kilka organów nadzoru, wynika, iż obecnie stosowany szczegółowy szablon ESMA może nie być</w:t>
      </w:r>
      <w:r w:rsidR="001B0DFF">
        <w:rPr>
          <w:rFonts w:ascii="Times New Roman" w:hAnsi="Times New Roman"/>
          <w:noProof/>
        </w:rPr>
        <w:t xml:space="preserve"> w peł</w:t>
      </w:r>
      <w:r>
        <w:rPr>
          <w:rFonts w:ascii="Times New Roman" w:hAnsi="Times New Roman"/>
          <w:noProof/>
        </w:rPr>
        <w:t xml:space="preserve">ni odpowiedni do celów łatwego uzyskania obrazu sytuacji na rynku sekurytyzacji prywatnych. </w:t>
      </w:r>
    </w:p>
    <w:p w14:paraId="65321C00" w14:textId="0BB6D054" w:rsidR="001E6354" w:rsidRDefault="004D621C" w:rsidP="004D621C">
      <w:pPr>
        <w:jc w:val="both"/>
        <w:rPr>
          <w:rFonts w:ascii="Times New Roman" w:eastAsia="Times New Roman" w:hAnsi="Times New Roman" w:cs="Times New Roman"/>
          <w:noProof/>
        </w:rPr>
      </w:pPr>
      <w:r>
        <w:rPr>
          <w:rFonts w:ascii="Times New Roman" w:hAnsi="Times New Roman"/>
          <w:noProof/>
        </w:rPr>
        <w:t>W związku</w:t>
      </w:r>
      <w:r w:rsidR="001B0DFF">
        <w:rPr>
          <w:rFonts w:ascii="Times New Roman" w:hAnsi="Times New Roman"/>
          <w:noProof/>
        </w:rPr>
        <w:t xml:space="preserve"> z pow</w:t>
      </w:r>
      <w:r>
        <w:rPr>
          <w:rFonts w:ascii="Times New Roman" w:hAnsi="Times New Roman"/>
          <w:noProof/>
        </w:rPr>
        <w:t>yższym Komisja zachęca ESMA do sporządzenia specjalnego szablonu dotyczącego prywatnych transakcji sekurytyzacyjnych, dostosowanego</w:t>
      </w:r>
      <w:r w:rsidR="001B0DFF">
        <w:rPr>
          <w:rFonts w:ascii="Times New Roman" w:hAnsi="Times New Roman"/>
          <w:noProof/>
        </w:rPr>
        <w:t xml:space="preserve"> w szc</w:t>
      </w:r>
      <w:r>
        <w:rPr>
          <w:rFonts w:ascii="Times New Roman" w:hAnsi="Times New Roman"/>
          <w:noProof/>
        </w:rPr>
        <w:t>zególności do potrzeb organów nadzoru, aby zyskać obraz sytuacji na rynku</w:t>
      </w:r>
      <w:r w:rsidR="001B0DFF">
        <w:rPr>
          <w:rFonts w:ascii="Times New Roman" w:hAnsi="Times New Roman"/>
          <w:noProof/>
        </w:rPr>
        <w:t xml:space="preserve"> i prz</w:t>
      </w:r>
      <w:r>
        <w:rPr>
          <w:rFonts w:ascii="Times New Roman" w:hAnsi="Times New Roman"/>
          <w:noProof/>
        </w:rPr>
        <w:t>egląd głównych cech transakcji prywatnych. Funkcjonowanie różnych szablonów</w:t>
      </w:r>
      <w:r w:rsidR="001B0DFF">
        <w:rPr>
          <w:rFonts w:ascii="Times New Roman" w:hAnsi="Times New Roman"/>
          <w:noProof/>
        </w:rPr>
        <w:t xml:space="preserve"> w odn</w:t>
      </w:r>
      <w:r>
        <w:rPr>
          <w:rFonts w:ascii="Times New Roman" w:hAnsi="Times New Roman"/>
          <w:noProof/>
        </w:rPr>
        <w:t>iesieniu do sekurytyzacji prywatnych</w:t>
      </w:r>
      <w:r w:rsidR="001B0DFF">
        <w:rPr>
          <w:rFonts w:ascii="Times New Roman" w:hAnsi="Times New Roman"/>
          <w:noProof/>
        </w:rPr>
        <w:t xml:space="preserve"> i pub</w:t>
      </w:r>
      <w:r>
        <w:rPr>
          <w:rFonts w:ascii="Times New Roman" w:hAnsi="Times New Roman"/>
          <w:noProof/>
        </w:rPr>
        <w:t>licznych jest również możliwe</w:t>
      </w:r>
      <w:r w:rsidR="001B0DFF">
        <w:rPr>
          <w:rFonts w:ascii="Times New Roman" w:hAnsi="Times New Roman"/>
          <w:noProof/>
        </w:rPr>
        <w:t xml:space="preserve"> w świ</w:t>
      </w:r>
      <w:r>
        <w:rPr>
          <w:rFonts w:ascii="Times New Roman" w:hAnsi="Times New Roman"/>
          <w:noProof/>
        </w:rPr>
        <w:t>etle prawa, ponieważ</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xml:space="preserve">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3</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 xml:space="preserve">awie sekurytyzacji przewidziano opracowanie szablonów „z uwzględnieniem użyteczności informacji dla posiadacza pozycji sekurytyzacyjnej”. Oczekuje się, że stosowanie specjalnego szablonu dotyczącego sekurytyzacji prywatnych znacznie uprości wymogi dotyczące przejrzystości sekurytyzacji prywatnych. Jednocześnie za jego sprawą organy nadzoru uzyskają potrzebne im wystarczające informacje na temat transakcji prywatnych. </w:t>
      </w:r>
    </w:p>
    <w:p w14:paraId="4E691E44" w14:textId="6BCCE72A" w:rsidR="004D621C" w:rsidRPr="003C0D71" w:rsidRDefault="008E7227" w:rsidP="004D621C">
      <w:pPr>
        <w:jc w:val="both"/>
        <w:rPr>
          <w:rFonts w:ascii="Times New Roman" w:eastAsia="Times New Roman" w:hAnsi="Times New Roman" w:cs="Times New Roman"/>
          <w:noProof/>
        </w:rPr>
      </w:pPr>
      <w:r>
        <w:rPr>
          <w:rFonts w:ascii="Times New Roman" w:hAnsi="Times New Roman"/>
          <w:noProof/>
        </w:rPr>
        <w:t>Taki nowy szablon może zastąpić stosowane obecnie szablony</w:t>
      </w:r>
      <w:r w:rsidR="001B0DFF">
        <w:rPr>
          <w:rFonts w:ascii="Times New Roman" w:hAnsi="Times New Roman"/>
          <w:noProof/>
        </w:rPr>
        <w:t xml:space="preserve"> w odn</w:t>
      </w:r>
      <w:r>
        <w:rPr>
          <w:rFonts w:ascii="Times New Roman" w:hAnsi="Times New Roman"/>
          <w:noProof/>
        </w:rPr>
        <w:t>iesieniu do wszystkich sekurytyzacji prywatnych. Dzięki niemu zapewniono by, aby organy nadzoru otrzymywały potrzebne im informacje,</w:t>
      </w:r>
      <w:r w:rsidR="001B0DFF">
        <w:rPr>
          <w:rFonts w:ascii="Times New Roman" w:hAnsi="Times New Roman"/>
          <w:noProof/>
        </w:rPr>
        <w:t xml:space="preserve"> a inw</w:t>
      </w:r>
      <w:r>
        <w:rPr>
          <w:rFonts w:ascii="Times New Roman" w:hAnsi="Times New Roman"/>
          <w:noProof/>
        </w:rPr>
        <w:t>estorzy zaangażowani</w:t>
      </w:r>
      <w:r w:rsidR="001B0DFF">
        <w:rPr>
          <w:rFonts w:ascii="Times New Roman" w:hAnsi="Times New Roman"/>
          <w:noProof/>
        </w:rPr>
        <w:t xml:space="preserve"> w sek</w:t>
      </w:r>
      <w:r>
        <w:rPr>
          <w:rFonts w:ascii="Times New Roman" w:hAnsi="Times New Roman"/>
          <w:noProof/>
        </w:rPr>
        <w:t>urytyzacje prywatne mogli uzyskać wszelkie dodatkowe informacje, których wymagają,</w:t>
      </w:r>
      <w:r w:rsidR="001B0DFF">
        <w:rPr>
          <w:rFonts w:ascii="Times New Roman" w:hAnsi="Times New Roman"/>
          <w:noProof/>
        </w:rPr>
        <w:t xml:space="preserve"> w uzg</w:t>
      </w:r>
      <w:r>
        <w:rPr>
          <w:rFonts w:ascii="Times New Roman" w:hAnsi="Times New Roman"/>
          <w:noProof/>
        </w:rPr>
        <w:t>odnionych przez obie strony formatach, bez ograniczeń wynikających</w:t>
      </w:r>
      <w:r w:rsidR="001B0DFF">
        <w:rPr>
          <w:rFonts w:ascii="Times New Roman" w:hAnsi="Times New Roman"/>
          <w:noProof/>
        </w:rPr>
        <w:t xml:space="preserve"> z tre</w:t>
      </w:r>
      <w:r>
        <w:rPr>
          <w:rFonts w:ascii="Times New Roman" w:hAnsi="Times New Roman"/>
          <w:noProof/>
        </w:rPr>
        <w:t>ści ujednoliconych szablonów. Chociaż emitenci nie muszą przekazywać szablonów dotyczących sekurytyzacji prywatnych do repozytorium, Komisja uważa, że nic nie stoi na przeszkodzie, aby organy nadzoru otrzymywały te informacje, ponieważ</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xml:space="preserve"> wymaga się, aby emitenci udostępniali te informacje organom nadzoru. Komisja jest zdania, że organy nadzoru powinny egzekwować ten obowiązek</w:t>
      </w:r>
      <w:r w:rsidR="001B0DFF">
        <w:rPr>
          <w:rFonts w:ascii="Times New Roman" w:hAnsi="Times New Roman"/>
          <w:noProof/>
        </w:rPr>
        <w:t xml:space="preserve"> i wyk</w:t>
      </w:r>
      <w:r>
        <w:rPr>
          <w:rFonts w:ascii="Times New Roman" w:hAnsi="Times New Roman"/>
          <w:noProof/>
        </w:rPr>
        <w:t>orzystywać informacje zawarte</w:t>
      </w:r>
      <w:r w:rsidR="001B0DFF">
        <w:rPr>
          <w:rFonts w:ascii="Times New Roman" w:hAnsi="Times New Roman"/>
          <w:noProof/>
        </w:rPr>
        <w:t xml:space="preserve"> w sza</w:t>
      </w:r>
      <w:r>
        <w:rPr>
          <w:rFonts w:ascii="Times New Roman" w:hAnsi="Times New Roman"/>
          <w:noProof/>
        </w:rPr>
        <w:t>blonach</w:t>
      </w:r>
      <w:r w:rsidR="001B0DFF">
        <w:rPr>
          <w:rFonts w:ascii="Times New Roman" w:hAnsi="Times New Roman"/>
          <w:noProof/>
        </w:rPr>
        <w:t xml:space="preserve"> w swo</w:t>
      </w:r>
      <w:r>
        <w:rPr>
          <w:rFonts w:ascii="Times New Roman" w:hAnsi="Times New Roman"/>
          <w:noProof/>
        </w:rPr>
        <w:t>jej pracy. Europejskie Urzędy Nadzoru mogłyby wykorzystywać swoje obecnie posiadane uprawnienia do zapewnienia, aby informacje otrzymywane przez organy nadzoru przekazywano</w:t>
      </w:r>
      <w:r w:rsidR="001B0DFF">
        <w:rPr>
          <w:rFonts w:ascii="Times New Roman" w:hAnsi="Times New Roman"/>
          <w:noProof/>
        </w:rPr>
        <w:t xml:space="preserve"> w spo</w:t>
      </w:r>
      <w:r>
        <w:rPr>
          <w:rFonts w:ascii="Times New Roman" w:hAnsi="Times New Roman"/>
          <w:noProof/>
        </w:rPr>
        <w:t>sób umożliwiający ich łatwe wykorzystanie.</w:t>
      </w:r>
    </w:p>
    <w:p w14:paraId="31BAF09E" w14:textId="347FB500" w:rsidR="004D621C" w:rsidRPr="003C0D71" w:rsidRDefault="007F1316" w:rsidP="004D621C">
      <w:pPr>
        <w:jc w:val="both"/>
        <w:rPr>
          <w:rFonts w:ascii="Times New Roman" w:eastAsia="Times New Roman" w:hAnsi="Times New Roman" w:cs="Times New Roman"/>
          <w:noProof/>
        </w:rPr>
      </w:pPr>
      <w:r>
        <w:rPr>
          <w:rFonts w:ascii="Times New Roman" w:hAnsi="Times New Roman"/>
          <w:noProof/>
        </w:rPr>
        <w:t>Możliwe, że przetwarzanie powiadomień przekazywanych indywidualnie przez jednostki inicjujące, jednostki sponsorujące lub SSPE,</w:t>
      </w:r>
      <w:r w:rsidR="001B0DFF">
        <w:rPr>
          <w:rFonts w:ascii="Times New Roman" w:hAnsi="Times New Roman"/>
          <w:noProof/>
        </w:rPr>
        <w:t xml:space="preserve"> a nie</w:t>
      </w:r>
      <w:r>
        <w:rPr>
          <w:rFonts w:ascii="Times New Roman" w:hAnsi="Times New Roman"/>
          <w:noProof/>
        </w:rPr>
        <w:t xml:space="preserve"> za pośrednictwem repozytoriów sekurytyzacji, jest znacznie trudniejsze, a do zapewnienia wysokiej jakości danych konieczne mogą okazać się kontrole jakości repozytoriów sekurytyzacji. Jeżeli taka sytuacja faktycznie ma miejsce, to</w:t>
      </w:r>
      <w:r w:rsidR="001B0DFF">
        <w:rPr>
          <w:rFonts w:ascii="Times New Roman" w:hAnsi="Times New Roman"/>
          <w:noProof/>
        </w:rPr>
        <w:t xml:space="preserve"> w dłu</w:t>
      </w:r>
      <w:r>
        <w:rPr>
          <w:rFonts w:ascii="Times New Roman" w:hAnsi="Times New Roman"/>
          <w:noProof/>
        </w:rPr>
        <w:t>ższej perspektywie dobrym rozwiązaniem może być zalecenie</w:t>
      </w:r>
      <w:r w:rsidR="001B0DFF">
        <w:rPr>
          <w:rFonts w:ascii="Times New Roman" w:hAnsi="Times New Roman"/>
          <w:noProof/>
        </w:rPr>
        <w:t xml:space="preserve"> w spr</w:t>
      </w:r>
      <w:r>
        <w:rPr>
          <w:rFonts w:ascii="Times New Roman" w:hAnsi="Times New Roman"/>
          <w:noProof/>
        </w:rPr>
        <w:t>awozdaniu, aby rejestrować informacje dotyczące transakcji prywatnych za pośrednictwem repozytoriów sekurytyzacji</w:t>
      </w:r>
      <w:r w:rsidR="001B0DFF">
        <w:rPr>
          <w:rFonts w:ascii="Times New Roman" w:hAnsi="Times New Roman"/>
          <w:noProof/>
        </w:rPr>
        <w:t xml:space="preserve"> z kor</w:t>
      </w:r>
      <w:r>
        <w:rPr>
          <w:rFonts w:ascii="Times New Roman" w:hAnsi="Times New Roman"/>
          <w:noProof/>
        </w:rPr>
        <w:t>zyścią dla organów nadzoru, po podjęciu przez Komisję decyzji</w:t>
      </w:r>
      <w:r w:rsidR="001B0DFF">
        <w:rPr>
          <w:rFonts w:ascii="Times New Roman" w:hAnsi="Times New Roman"/>
          <w:noProof/>
        </w:rPr>
        <w:t xml:space="preserve"> o prz</w:t>
      </w:r>
      <w:r>
        <w:rPr>
          <w:rFonts w:ascii="Times New Roman" w:hAnsi="Times New Roman"/>
          <w:noProof/>
        </w:rPr>
        <w:t>edstawieniu wniosku dotyczącego zmiany rozporządzenia</w:t>
      </w:r>
      <w:r w:rsidR="001B0DFF">
        <w:rPr>
          <w:rFonts w:ascii="Times New Roman" w:hAnsi="Times New Roman"/>
          <w:noProof/>
        </w:rPr>
        <w:t xml:space="preserve"> w spr</w:t>
      </w:r>
      <w:r>
        <w:rPr>
          <w:rFonts w:ascii="Times New Roman" w:hAnsi="Times New Roman"/>
          <w:noProof/>
        </w:rPr>
        <w:t>awie sekurytyzacji.</w:t>
      </w:r>
    </w:p>
    <w:p w14:paraId="6BADB609" w14:textId="77777777" w:rsidR="004D621C" w:rsidRPr="003C0D71" w:rsidRDefault="004134D0" w:rsidP="004D621C">
      <w:pPr>
        <w:pStyle w:val="Heading2"/>
        <w:rPr>
          <w:rFonts w:ascii="Times New Roman" w:hAnsi="Times New Roman" w:cs="Times New Roman"/>
          <w:noProof/>
          <w:color w:val="auto"/>
        </w:rPr>
      </w:pPr>
      <w:bookmarkStart w:id="37" w:name="_Toc104283069"/>
      <w:bookmarkStart w:id="38" w:name="_Toc104286137"/>
      <w:bookmarkStart w:id="39" w:name="_Toc104297342"/>
      <w:bookmarkStart w:id="40" w:name="_Toc115361592"/>
      <w:r>
        <w:rPr>
          <w:rFonts w:ascii="Times New Roman" w:hAnsi="Times New Roman"/>
          <w:noProof/>
          <w:color w:val="auto"/>
        </w:rPr>
        <w:t>6.3 Definicja sekurytyzacji prywatnej</w:t>
      </w:r>
      <w:bookmarkEnd w:id="37"/>
      <w:bookmarkEnd w:id="38"/>
      <w:bookmarkEnd w:id="39"/>
      <w:bookmarkEnd w:id="40"/>
      <w:r>
        <w:rPr>
          <w:rFonts w:ascii="Times New Roman" w:hAnsi="Times New Roman"/>
          <w:noProof/>
          <w:color w:val="auto"/>
        </w:rPr>
        <w:t xml:space="preserve"> </w:t>
      </w:r>
    </w:p>
    <w:p w14:paraId="022D72E8" w14:textId="55716051" w:rsidR="004D621C" w:rsidRPr="003C0D71" w:rsidRDefault="004D621C" w:rsidP="000D4664">
      <w:pPr>
        <w:rPr>
          <w:rFonts w:ascii="Times New Roman" w:hAnsi="Times New Roman" w:cs="Times New Roman"/>
          <w:b/>
          <w:noProof/>
          <w:sz w:val="24"/>
        </w:rPr>
      </w:pPr>
      <w:r>
        <w:rPr>
          <w:rFonts w:ascii="Times New Roman" w:hAnsi="Times New Roman"/>
          <w:b/>
          <w:noProof/>
          <w:sz w:val="24"/>
        </w:rPr>
        <w:t>Kontekst</w:t>
      </w:r>
      <w:r w:rsidR="001B0DFF">
        <w:rPr>
          <w:rFonts w:ascii="Times New Roman" w:hAnsi="Times New Roman"/>
          <w:b/>
          <w:noProof/>
          <w:sz w:val="24"/>
        </w:rPr>
        <w:t xml:space="preserve"> i ust</w:t>
      </w:r>
      <w:r>
        <w:rPr>
          <w:rFonts w:ascii="Times New Roman" w:hAnsi="Times New Roman"/>
          <w:b/>
          <w:noProof/>
          <w:sz w:val="24"/>
        </w:rPr>
        <w:t xml:space="preserve">alenia </w:t>
      </w:r>
    </w:p>
    <w:p w14:paraId="249DD6AB" w14:textId="2D6E4E48" w:rsidR="004D621C" w:rsidRPr="003C0D71" w:rsidRDefault="004D621C" w:rsidP="004D621C">
      <w:pPr>
        <w:jc w:val="both"/>
        <w:rPr>
          <w:rFonts w:ascii="Times New Roman" w:eastAsia="Times New Roman" w:hAnsi="Times New Roman" w:cs="Times New Roman"/>
          <w:noProof/>
        </w:rPr>
      </w:pPr>
      <w:r>
        <w:rPr>
          <w:rFonts w:ascii="Times New Roman" w:hAnsi="Times New Roman"/>
          <w:noProof/>
        </w:rPr>
        <w:t>Zdecydowana większość respondentów, którzy wzięli udział</w:t>
      </w:r>
      <w:r w:rsidR="001B0DFF">
        <w:rPr>
          <w:rFonts w:ascii="Times New Roman" w:hAnsi="Times New Roman"/>
          <w:noProof/>
        </w:rPr>
        <w:t xml:space="preserve"> w kon</w:t>
      </w:r>
      <w:r>
        <w:rPr>
          <w:rFonts w:ascii="Times New Roman" w:hAnsi="Times New Roman"/>
          <w:noProof/>
        </w:rPr>
        <w:t>sultacjach, poparła zmianę definicji transakcji stanowiących sekurytyzację prywatną. Wśród tych respondentów wielu opowiedziało się jednak za inną definicją, zakładając, że niektóre transakcje oznakowane jako prywatne można zupełnie wyłączyć</w:t>
      </w:r>
      <w:r w:rsidR="001B0DFF">
        <w:rPr>
          <w:rFonts w:ascii="Times New Roman" w:hAnsi="Times New Roman"/>
          <w:noProof/>
        </w:rPr>
        <w:t xml:space="preserve"> z wym</w:t>
      </w:r>
      <w:r>
        <w:rPr>
          <w:rFonts w:ascii="Times New Roman" w:hAnsi="Times New Roman"/>
          <w:noProof/>
        </w:rPr>
        <w:t>ogów dotyczących przejrzystości. Podobnie</w:t>
      </w:r>
      <w:r w:rsidR="001B0DFF">
        <w:rPr>
          <w:rFonts w:ascii="Times New Roman" w:hAnsi="Times New Roman"/>
          <w:noProof/>
        </w:rPr>
        <w:t xml:space="preserve"> w spr</w:t>
      </w:r>
      <w:r>
        <w:rPr>
          <w:rFonts w:ascii="Times New Roman" w:hAnsi="Times New Roman"/>
          <w:noProof/>
        </w:rPr>
        <w:t>awozdaniu Wspólnego Komitetu również poparto zmianę tej definicji</w:t>
      </w:r>
      <w:r w:rsidR="001B0DFF">
        <w:rPr>
          <w:rFonts w:ascii="Times New Roman" w:hAnsi="Times New Roman"/>
          <w:noProof/>
        </w:rPr>
        <w:t xml:space="preserve"> w cel</w:t>
      </w:r>
      <w:r>
        <w:rPr>
          <w:rFonts w:ascii="Times New Roman" w:hAnsi="Times New Roman"/>
          <w:noProof/>
        </w:rPr>
        <w:t>u jej doprecyzowania</w:t>
      </w:r>
      <w:r w:rsidR="001B0DFF">
        <w:rPr>
          <w:rFonts w:ascii="Times New Roman" w:hAnsi="Times New Roman"/>
          <w:noProof/>
        </w:rPr>
        <w:t xml:space="preserve"> i cał</w:t>
      </w:r>
      <w:r>
        <w:rPr>
          <w:rFonts w:ascii="Times New Roman" w:hAnsi="Times New Roman"/>
          <w:noProof/>
        </w:rPr>
        <w:t>kowitego wyłączenia</w:t>
      </w:r>
      <w:r w:rsidR="001B0DFF">
        <w:rPr>
          <w:rFonts w:ascii="Times New Roman" w:hAnsi="Times New Roman"/>
          <w:noProof/>
        </w:rPr>
        <w:t xml:space="preserve"> z wym</w:t>
      </w:r>
      <w:r>
        <w:rPr>
          <w:rFonts w:ascii="Times New Roman" w:hAnsi="Times New Roman"/>
          <w:noProof/>
        </w:rPr>
        <w:t xml:space="preserve">ogów dotyczących przejrzystości określonej podgrupy transakcji obecnie uznawanych za transakcje prywatne (np. transakcji dokonywanych wewnątrz grupy bez udziału inwestora zewnętrznego). </w:t>
      </w:r>
    </w:p>
    <w:p w14:paraId="32FE8D03" w14:textId="77777777" w:rsidR="00325EBC" w:rsidRDefault="00325EBC" w:rsidP="004D621C">
      <w:pPr>
        <w:jc w:val="both"/>
        <w:rPr>
          <w:rFonts w:ascii="Times New Roman" w:hAnsi="Times New Roman" w:cs="Times New Roman"/>
          <w:b/>
          <w:noProof/>
          <w:sz w:val="24"/>
        </w:rPr>
      </w:pPr>
    </w:p>
    <w:p w14:paraId="10A50B45" w14:textId="77777777" w:rsidR="00325EBC" w:rsidRDefault="00325EBC" w:rsidP="004D621C">
      <w:pPr>
        <w:jc w:val="both"/>
        <w:rPr>
          <w:rFonts w:ascii="Times New Roman" w:hAnsi="Times New Roman" w:cs="Times New Roman"/>
          <w:b/>
          <w:noProof/>
          <w:sz w:val="24"/>
        </w:rPr>
      </w:pPr>
    </w:p>
    <w:p w14:paraId="5641344A" w14:textId="6A747478" w:rsidR="009327AF" w:rsidRDefault="000146AB" w:rsidP="004D621C">
      <w:pPr>
        <w:jc w:val="both"/>
        <w:rPr>
          <w:rFonts w:ascii="Times New Roman" w:hAnsi="Times New Roman" w:cs="Times New Roman"/>
          <w:b/>
          <w:noProof/>
          <w:sz w:val="24"/>
        </w:rPr>
      </w:pPr>
      <w:r>
        <w:rPr>
          <w:rFonts w:ascii="Times New Roman" w:hAnsi="Times New Roman"/>
          <w:b/>
          <w:noProof/>
          <w:sz w:val="24"/>
        </w:rPr>
        <w:t xml:space="preserve">Ocena Komisji </w:t>
      </w:r>
    </w:p>
    <w:p w14:paraId="2BDC4EAE" w14:textId="3C1D5696" w:rsidR="004D621C" w:rsidRPr="003C0D71" w:rsidRDefault="004D621C" w:rsidP="004D621C">
      <w:pPr>
        <w:jc w:val="both"/>
        <w:rPr>
          <w:rFonts w:ascii="Times New Roman" w:eastAsia="Times New Roman" w:hAnsi="Times New Roman" w:cs="Times New Roman"/>
          <w:noProof/>
        </w:rPr>
      </w:pPr>
      <w:r>
        <w:rPr>
          <w:rFonts w:ascii="Times New Roman" w:hAnsi="Times New Roman"/>
          <w:noProof/>
        </w:rPr>
        <w:t>Zdaniem Komisji wydaje się, że nie należy zmieniać definicji sekurytyzacji prywatnej zawartej</w:t>
      </w:r>
      <w:r w:rsidR="001B0DFF">
        <w:rPr>
          <w:rFonts w:ascii="Times New Roman" w:hAnsi="Times New Roman"/>
          <w:noProof/>
        </w:rPr>
        <w:t xml:space="preserve"> w roz</w:t>
      </w:r>
      <w:r>
        <w:rPr>
          <w:rFonts w:ascii="Times New Roman" w:hAnsi="Times New Roman"/>
          <w:noProof/>
        </w:rPr>
        <w:t>porządzeniu</w:t>
      </w:r>
      <w:r w:rsidR="001B0DFF">
        <w:rPr>
          <w:rFonts w:ascii="Times New Roman" w:hAnsi="Times New Roman"/>
          <w:noProof/>
        </w:rPr>
        <w:t xml:space="preserve"> w spr</w:t>
      </w:r>
      <w:r>
        <w:rPr>
          <w:rFonts w:ascii="Times New Roman" w:hAnsi="Times New Roman"/>
          <w:noProof/>
        </w:rPr>
        <w:t>awie sekurytyzacji. Chociaż definicję tę można by doprecyzować, to jest ona przejrzysta</w:t>
      </w:r>
      <w:r w:rsidR="001B0DFF">
        <w:rPr>
          <w:rFonts w:ascii="Times New Roman" w:hAnsi="Times New Roman"/>
          <w:noProof/>
        </w:rPr>
        <w:t xml:space="preserve"> i zas</w:t>
      </w:r>
      <w:r>
        <w:rPr>
          <w:rFonts w:ascii="Times New Roman" w:hAnsi="Times New Roman"/>
          <w:noProof/>
        </w:rPr>
        <w:t>adniczo funkcjonuje prawidłowo. Strony popierające określenie nowej definicji przyznają, że sformułowanie lepszej definicji sekurytyzacji prywatnej może być trudne,</w:t>
      </w:r>
      <w:r w:rsidR="001B0DFF">
        <w:rPr>
          <w:rFonts w:ascii="Times New Roman" w:hAnsi="Times New Roman"/>
          <w:noProof/>
        </w:rPr>
        <w:t xml:space="preserve"> i z teg</w:t>
      </w:r>
      <w:r>
        <w:rPr>
          <w:rFonts w:ascii="Times New Roman" w:hAnsi="Times New Roman"/>
          <w:noProof/>
        </w:rPr>
        <w:t>o względu niektórzy nie proponują alternatywnej definicji, tylko opowiadają się za otwartą dyskusją po przeprowadzeniu oceny skutków</w:t>
      </w:r>
      <w:r w:rsidR="001B0DFF">
        <w:rPr>
          <w:rFonts w:ascii="Times New Roman" w:hAnsi="Times New Roman"/>
          <w:noProof/>
        </w:rPr>
        <w:t xml:space="preserve"> i kon</w:t>
      </w:r>
      <w:r>
        <w:rPr>
          <w:rFonts w:ascii="Times New Roman" w:hAnsi="Times New Roman"/>
          <w:noProof/>
        </w:rPr>
        <w:t xml:space="preserve">sultacji. </w:t>
      </w:r>
    </w:p>
    <w:p w14:paraId="3DC325E7" w14:textId="7A0D96DB" w:rsidR="004D621C" w:rsidRPr="003C0D71" w:rsidRDefault="004D621C" w:rsidP="004D621C">
      <w:pPr>
        <w:jc w:val="both"/>
        <w:rPr>
          <w:rFonts w:ascii="Times New Roman" w:eastAsia="Times New Roman" w:hAnsi="Times New Roman" w:cs="Times New Roman"/>
          <w:noProof/>
        </w:rPr>
      </w:pPr>
      <w:r>
        <w:rPr>
          <w:rFonts w:ascii="Times New Roman" w:hAnsi="Times New Roman"/>
          <w:noProof/>
        </w:rPr>
        <w:t>Komisja zauważa, że głosy za innym ustaleniem, które transakcje uznaje się za sekurytyzację prywatną, prawie zawsze wiążą się</w:t>
      </w:r>
      <w:r w:rsidR="001B0DFF">
        <w:rPr>
          <w:rFonts w:ascii="Times New Roman" w:hAnsi="Times New Roman"/>
          <w:noProof/>
        </w:rPr>
        <w:t xml:space="preserve"> z oba</w:t>
      </w:r>
      <w:r>
        <w:rPr>
          <w:rFonts w:ascii="Times New Roman" w:hAnsi="Times New Roman"/>
          <w:noProof/>
        </w:rPr>
        <w:t>wą, że wymogi dotyczące przejrzystości transakcji prywatnych są zbyt nakazowe</w:t>
      </w:r>
      <w:r w:rsidR="001B0DFF">
        <w:rPr>
          <w:rFonts w:ascii="Times New Roman" w:hAnsi="Times New Roman"/>
          <w:noProof/>
        </w:rPr>
        <w:t xml:space="preserve"> i w pra</w:t>
      </w:r>
      <w:r>
        <w:rPr>
          <w:rFonts w:ascii="Times New Roman" w:hAnsi="Times New Roman"/>
          <w:noProof/>
        </w:rPr>
        <w:t>ktyce nie mają większego znaczenia</w:t>
      </w:r>
      <w:r w:rsidR="001B0DFF">
        <w:rPr>
          <w:rFonts w:ascii="Times New Roman" w:hAnsi="Times New Roman"/>
          <w:noProof/>
        </w:rPr>
        <w:t xml:space="preserve"> z pun</w:t>
      </w:r>
      <w:r>
        <w:rPr>
          <w:rFonts w:ascii="Times New Roman" w:hAnsi="Times New Roman"/>
          <w:noProof/>
        </w:rPr>
        <w:t>ktu widzenia inwestorów</w:t>
      </w:r>
      <w:r w:rsidR="001B0DFF">
        <w:rPr>
          <w:rFonts w:ascii="Times New Roman" w:hAnsi="Times New Roman"/>
          <w:noProof/>
        </w:rPr>
        <w:t xml:space="preserve"> i pot</w:t>
      </w:r>
      <w:r>
        <w:rPr>
          <w:rFonts w:ascii="Times New Roman" w:hAnsi="Times New Roman"/>
          <w:noProof/>
        </w:rPr>
        <w:t>encjalnych inwestorów. Podnoszony jest argument, że inwestorzy angażujący się</w:t>
      </w:r>
      <w:r w:rsidR="001B0DFF">
        <w:rPr>
          <w:rFonts w:ascii="Times New Roman" w:hAnsi="Times New Roman"/>
          <w:noProof/>
        </w:rPr>
        <w:t xml:space="preserve"> w tra</w:t>
      </w:r>
      <w:r>
        <w:rPr>
          <w:rFonts w:ascii="Times New Roman" w:hAnsi="Times New Roman"/>
          <w:noProof/>
        </w:rPr>
        <w:t>nsakcje prywatne mogą żądać dostosowanych informacji, których potrzebują od uczestników transakcji po stronie sprzedaży,</w:t>
      </w:r>
      <w:r w:rsidR="001B0DFF">
        <w:rPr>
          <w:rFonts w:ascii="Times New Roman" w:hAnsi="Times New Roman"/>
          <w:noProof/>
        </w:rPr>
        <w:t xml:space="preserve"> i sta</w:t>
      </w:r>
      <w:r>
        <w:rPr>
          <w:rFonts w:ascii="Times New Roman" w:hAnsi="Times New Roman"/>
          <w:noProof/>
        </w:rPr>
        <w:t>le otrzymują takie informacje. Wygląda zatem na to, że wyłączną motywacją zainteresowanych stron, które chcą zmiany tej definicji, jest złagodzenie wymogów dotyczących przejrzystości transakcji prywatnych. Komisja uważa, że kwestię tę można rozwiązać</w:t>
      </w:r>
      <w:r w:rsidR="001B0DFF">
        <w:rPr>
          <w:rFonts w:ascii="Times New Roman" w:hAnsi="Times New Roman"/>
          <w:noProof/>
        </w:rPr>
        <w:t xml:space="preserve"> w dro</w:t>
      </w:r>
      <w:r>
        <w:rPr>
          <w:rFonts w:ascii="Times New Roman" w:hAnsi="Times New Roman"/>
          <w:noProof/>
        </w:rPr>
        <w:t>dze szczegółowej analizy obowiązujących obecnie przepisów</w:t>
      </w:r>
      <w:r w:rsidR="001B0DFF">
        <w:rPr>
          <w:rFonts w:ascii="Times New Roman" w:hAnsi="Times New Roman"/>
          <w:noProof/>
        </w:rPr>
        <w:t xml:space="preserve"> i sza</w:t>
      </w:r>
      <w:r>
        <w:rPr>
          <w:rFonts w:ascii="Times New Roman" w:hAnsi="Times New Roman"/>
          <w:noProof/>
        </w:rPr>
        <w:t xml:space="preserve">blonów oraz oceny ich skuteczności (zob. poprzednią sekcję). </w:t>
      </w:r>
    </w:p>
    <w:p w14:paraId="0291EDB5" w14:textId="77777777" w:rsidR="001C3BBD" w:rsidRPr="003C0D71" w:rsidRDefault="2603B6C4" w:rsidP="001C3BBD">
      <w:pPr>
        <w:pStyle w:val="Heading1"/>
        <w:numPr>
          <w:ilvl w:val="0"/>
          <w:numId w:val="2"/>
        </w:numPr>
        <w:rPr>
          <w:rFonts w:ascii="Times New Roman" w:hAnsi="Times New Roman" w:cs="Times New Roman"/>
          <w:noProof/>
          <w:color w:val="auto"/>
        </w:rPr>
      </w:pPr>
      <w:bookmarkStart w:id="41" w:name="_Toc104283070"/>
      <w:bookmarkStart w:id="42" w:name="_Toc104286138"/>
      <w:bookmarkStart w:id="43" w:name="_Toc104297343"/>
      <w:bookmarkStart w:id="44" w:name="_Toc115361593"/>
      <w:r>
        <w:rPr>
          <w:rFonts w:ascii="Times New Roman" w:hAnsi="Times New Roman"/>
          <w:noProof/>
          <w:color w:val="auto"/>
        </w:rPr>
        <w:t>Równoważność STS</w:t>
      </w:r>
      <w:bookmarkEnd w:id="41"/>
      <w:bookmarkEnd w:id="42"/>
      <w:bookmarkEnd w:id="43"/>
      <w:bookmarkEnd w:id="44"/>
      <w:r>
        <w:rPr>
          <w:rFonts w:ascii="Times New Roman" w:hAnsi="Times New Roman"/>
          <w:noProof/>
          <w:color w:val="auto"/>
        </w:rPr>
        <w:t xml:space="preserve"> </w:t>
      </w:r>
    </w:p>
    <w:p w14:paraId="3358E39D" w14:textId="4E0CE21D" w:rsidR="001C3BBD" w:rsidRPr="003C0D71" w:rsidRDefault="2603B6C4" w:rsidP="000D4664">
      <w:pPr>
        <w:rPr>
          <w:rFonts w:ascii="Times New Roman" w:hAnsi="Times New Roman" w:cs="Times New Roman"/>
          <w:b/>
          <w:noProof/>
          <w:sz w:val="24"/>
        </w:rPr>
      </w:pPr>
      <w:r>
        <w:rPr>
          <w:rFonts w:ascii="Times New Roman" w:hAnsi="Times New Roman"/>
          <w:b/>
          <w:noProof/>
          <w:sz w:val="24"/>
        </w:rPr>
        <w:t>Kontekst</w:t>
      </w:r>
      <w:r w:rsidR="001B0DFF">
        <w:rPr>
          <w:rFonts w:ascii="Times New Roman" w:hAnsi="Times New Roman"/>
          <w:b/>
          <w:noProof/>
          <w:sz w:val="24"/>
        </w:rPr>
        <w:t xml:space="preserve"> i ust</w:t>
      </w:r>
      <w:r>
        <w:rPr>
          <w:rFonts w:ascii="Times New Roman" w:hAnsi="Times New Roman"/>
          <w:b/>
          <w:noProof/>
          <w:sz w:val="24"/>
        </w:rPr>
        <w:t>alenia</w:t>
      </w:r>
    </w:p>
    <w:p w14:paraId="7420D3FA" w14:textId="654F0CD3" w:rsidR="001C3BBD" w:rsidRPr="00647E9A" w:rsidRDefault="2603B6C4" w:rsidP="2603B6C4">
      <w:pPr>
        <w:jc w:val="both"/>
        <w:rPr>
          <w:rFonts w:ascii="Times New Roman" w:hAnsi="Times New Roman" w:cs="Times New Roman"/>
          <w:noProof/>
        </w:rPr>
      </w:pPr>
      <w:r>
        <w:rPr>
          <w:rFonts w:ascii="Times New Roman" w:hAnsi="Times New Roman"/>
          <w:noProof/>
        </w:rPr>
        <w:t>Równoważność to mechanizm, dzięki któremu UE może uznać standardy regulacyjne spoza UE</w:t>
      </w:r>
      <w:r w:rsidR="001B0DFF">
        <w:rPr>
          <w:rFonts w:ascii="Times New Roman" w:hAnsi="Times New Roman"/>
          <w:noProof/>
        </w:rPr>
        <w:t xml:space="preserve"> w dan</w:t>
      </w:r>
      <w:r>
        <w:rPr>
          <w:rFonts w:ascii="Times New Roman" w:hAnsi="Times New Roman"/>
          <w:noProof/>
        </w:rPr>
        <w:t>ym obszarze za równoważne standardom unijnym</w:t>
      </w:r>
      <w:r>
        <w:rPr>
          <w:rStyle w:val="FootnoteReference"/>
          <w:rFonts w:ascii="Times New Roman" w:hAnsi="Times New Roman" w:cs="Times New Roman"/>
          <w:noProof/>
        </w:rPr>
        <w:footnoteReference w:id="25"/>
      </w:r>
      <w:r>
        <w:rPr>
          <w:rFonts w:ascii="Times New Roman" w:hAnsi="Times New Roman"/>
          <w:noProof/>
        </w:rPr>
        <w:t>. Aby można było uznać równoważność standardów państwa trzeciego</w:t>
      </w:r>
      <w:r w:rsidR="001B0DFF">
        <w:rPr>
          <w:rFonts w:ascii="Times New Roman" w:hAnsi="Times New Roman"/>
          <w:noProof/>
        </w:rPr>
        <w:t xml:space="preserve"> w dan</w:t>
      </w:r>
      <w:r>
        <w:rPr>
          <w:rFonts w:ascii="Times New Roman" w:hAnsi="Times New Roman"/>
          <w:noProof/>
        </w:rPr>
        <w:t>ym sektorze, przepisy</w:t>
      </w:r>
      <w:r w:rsidR="001B0DFF">
        <w:rPr>
          <w:rFonts w:ascii="Times New Roman" w:hAnsi="Times New Roman"/>
          <w:noProof/>
        </w:rPr>
        <w:t xml:space="preserve"> i nad</w:t>
      </w:r>
      <w:r>
        <w:rPr>
          <w:rFonts w:ascii="Times New Roman" w:hAnsi="Times New Roman"/>
          <w:noProof/>
        </w:rPr>
        <w:t>zór muszą być równoważne przepisom</w:t>
      </w:r>
      <w:r w:rsidR="001B0DFF">
        <w:rPr>
          <w:rFonts w:ascii="Times New Roman" w:hAnsi="Times New Roman"/>
          <w:noProof/>
        </w:rPr>
        <w:t xml:space="preserve"> i nad</w:t>
      </w:r>
      <w:r>
        <w:rPr>
          <w:rFonts w:ascii="Times New Roman" w:hAnsi="Times New Roman"/>
          <w:noProof/>
        </w:rPr>
        <w:t>zorowi w UE. Uznanie równoważności może stanowić ułatwienie regulacyjne dzięki wyeliminowaniu dublujących się wymogów dotyczących transakcji transgranicznych</w:t>
      </w:r>
      <w:r w:rsidR="001B0DFF">
        <w:rPr>
          <w:rFonts w:ascii="Times New Roman" w:hAnsi="Times New Roman"/>
          <w:noProof/>
        </w:rPr>
        <w:t xml:space="preserve"> i dos</w:t>
      </w:r>
      <w:r>
        <w:rPr>
          <w:rFonts w:ascii="Times New Roman" w:hAnsi="Times New Roman"/>
          <w:noProof/>
        </w:rPr>
        <w:t>tosowaniu ostrożnościowego traktowania ekspozycji transgranicznych do traktowania stosowanego</w:t>
      </w:r>
      <w:r w:rsidR="001B0DFF">
        <w:rPr>
          <w:rFonts w:ascii="Times New Roman" w:hAnsi="Times New Roman"/>
          <w:noProof/>
        </w:rPr>
        <w:t xml:space="preserve"> w prz</w:t>
      </w:r>
      <w:r>
        <w:rPr>
          <w:rFonts w:ascii="Times New Roman" w:hAnsi="Times New Roman"/>
          <w:noProof/>
        </w:rPr>
        <w:t xml:space="preserve">ypadku ekspozycji krajowych. </w:t>
      </w:r>
    </w:p>
    <w:p w14:paraId="504361CE" w14:textId="17BC8E17" w:rsidR="0050116D" w:rsidRPr="003C0D71" w:rsidRDefault="006B1C4F" w:rsidP="2603B6C4">
      <w:pPr>
        <w:jc w:val="both"/>
        <w:rPr>
          <w:rFonts w:ascii="Times New Roman" w:hAnsi="Times New Roman" w:cs="Times New Roman"/>
          <w:noProof/>
        </w:rPr>
      </w:pPr>
      <w:r>
        <w:rPr>
          <w:rFonts w:ascii="Times New Roman" w:hAnsi="Times New Roman"/>
          <w:noProof/>
        </w:rPr>
        <w:t>W toku konsultacji większość uczestników rynku opowiedziało się za dopuszczeniem emisji sekurytyzacji STS przez podmioty spoza UE</w:t>
      </w:r>
      <w:r w:rsidR="001B0DFF">
        <w:rPr>
          <w:rFonts w:ascii="Times New Roman" w:hAnsi="Times New Roman"/>
          <w:noProof/>
        </w:rPr>
        <w:t>. Z kol</w:t>
      </w:r>
      <w:r>
        <w:rPr>
          <w:rFonts w:ascii="Times New Roman" w:hAnsi="Times New Roman"/>
          <w:noProof/>
        </w:rPr>
        <w:t>ei organy publiczne niemal jednogłośnie były przeciwne ustanowieniu systemu równoważności.</w:t>
      </w:r>
    </w:p>
    <w:p w14:paraId="440C04BC" w14:textId="37BA9A2E" w:rsidR="001C3BBD" w:rsidRPr="003C0D71" w:rsidRDefault="000146AB" w:rsidP="000D4664">
      <w:pPr>
        <w:rPr>
          <w:rFonts w:ascii="Times New Roman" w:hAnsi="Times New Roman" w:cs="Times New Roman"/>
          <w:b/>
          <w:noProof/>
          <w:sz w:val="24"/>
        </w:rPr>
      </w:pPr>
      <w:r>
        <w:rPr>
          <w:rFonts w:ascii="Times New Roman" w:hAnsi="Times New Roman"/>
          <w:b/>
          <w:noProof/>
          <w:sz w:val="24"/>
        </w:rPr>
        <w:t>Ocena Komisji</w:t>
      </w:r>
    </w:p>
    <w:p w14:paraId="1C1E8587" w14:textId="3124BE60" w:rsidR="001C3BBD" w:rsidRPr="003C0D71" w:rsidRDefault="2603B6C4" w:rsidP="2603B6C4">
      <w:pPr>
        <w:jc w:val="both"/>
        <w:rPr>
          <w:rFonts w:ascii="Times New Roman" w:hAnsi="Times New Roman" w:cs="Times New Roman"/>
          <w:noProof/>
        </w:rPr>
      </w:pPr>
      <w:r>
        <w:rPr>
          <w:rFonts w:ascii="Times New Roman" w:hAnsi="Times New Roman"/>
          <w:noProof/>
        </w:rPr>
        <w:t>Unijne ramy sekurytyzacji STS opierają się na wymagającym zestawie wymogów, zwłaszcza jeżeli chodzi</w:t>
      </w:r>
      <w:r w:rsidR="001B0DFF">
        <w:rPr>
          <w:rFonts w:ascii="Times New Roman" w:hAnsi="Times New Roman"/>
          <w:noProof/>
        </w:rPr>
        <w:t xml:space="preserve"> o uja</w:t>
      </w:r>
      <w:r>
        <w:rPr>
          <w:rFonts w:ascii="Times New Roman" w:hAnsi="Times New Roman"/>
          <w:noProof/>
        </w:rPr>
        <w:t>wnianie informacji. Komisja odnotowuje, że do tej pory żaden system sekurytyzacji obowiązujący</w:t>
      </w:r>
      <w:r w:rsidR="001B0DFF">
        <w:rPr>
          <w:rFonts w:ascii="Times New Roman" w:hAnsi="Times New Roman"/>
          <w:noProof/>
        </w:rPr>
        <w:t xml:space="preserve"> w jur</w:t>
      </w:r>
      <w:r>
        <w:rPr>
          <w:rFonts w:ascii="Times New Roman" w:hAnsi="Times New Roman"/>
          <w:noProof/>
        </w:rPr>
        <w:t>ysdykcji państwa trzeciego nie osiągnął poziomu zbliżonego do poziomu równoważnego unijnym ramom STS. System STS poza UE istnieje jedynie</w:t>
      </w:r>
      <w:r w:rsidR="001B0DFF">
        <w:rPr>
          <w:rFonts w:ascii="Times New Roman" w:hAnsi="Times New Roman"/>
          <w:noProof/>
        </w:rPr>
        <w:t xml:space="preserve"> w Zje</w:t>
      </w:r>
      <w:r>
        <w:rPr>
          <w:rFonts w:ascii="Times New Roman" w:hAnsi="Times New Roman"/>
          <w:noProof/>
        </w:rPr>
        <w:t xml:space="preserve">dnoczonym Królestwie, które po opuszczeniu UE przyjęło własny unijny system STS. </w:t>
      </w:r>
    </w:p>
    <w:p w14:paraId="59F54EBA" w14:textId="5E6327C8" w:rsidR="00B17379" w:rsidRPr="003C0D71" w:rsidRDefault="00EC4C4A" w:rsidP="2603B6C4">
      <w:pPr>
        <w:jc w:val="both"/>
        <w:rPr>
          <w:rFonts w:ascii="Times New Roman" w:hAnsi="Times New Roman" w:cs="Times New Roman"/>
          <w:noProof/>
        </w:rPr>
      </w:pPr>
      <w:r>
        <w:rPr>
          <w:rFonts w:ascii="Times New Roman" w:hAnsi="Times New Roman"/>
          <w:noProof/>
        </w:rPr>
        <w:t>W związku</w:t>
      </w:r>
      <w:r w:rsidR="001B0DFF">
        <w:rPr>
          <w:rFonts w:ascii="Times New Roman" w:hAnsi="Times New Roman"/>
          <w:noProof/>
        </w:rPr>
        <w:t xml:space="preserve"> z pow</w:t>
      </w:r>
      <w:r>
        <w:rPr>
          <w:rFonts w:ascii="Times New Roman" w:hAnsi="Times New Roman"/>
          <w:noProof/>
        </w:rPr>
        <w:t>yższym Komisja uważa, że obecnie jest jeszcze za wcześnie na wprowadzenie systemu równoważności STS. Unijny system STS nadal się rozwija, a UE niedawno wprowadziła system sekurytyzacji bilansowych STS, który nie istnieje</w:t>
      </w:r>
      <w:r w:rsidR="001B0DFF">
        <w:rPr>
          <w:rFonts w:ascii="Times New Roman" w:hAnsi="Times New Roman"/>
          <w:noProof/>
        </w:rPr>
        <w:t xml:space="preserve"> w Zje</w:t>
      </w:r>
      <w:r>
        <w:rPr>
          <w:rFonts w:ascii="Times New Roman" w:hAnsi="Times New Roman"/>
          <w:noProof/>
        </w:rPr>
        <w:t>dnoczonym Królestwie. Ponadto dokonanie oceny praktyk nadzorczych państw trzecich będzie możliwe dopiero, gdy nastąpi dalszy rozwój unijnych praktyk nadzorczych</w:t>
      </w:r>
      <w:r w:rsidR="001B0DFF">
        <w:rPr>
          <w:rFonts w:ascii="Times New Roman" w:hAnsi="Times New Roman"/>
          <w:noProof/>
        </w:rPr>
        <w:t xml:space="preserve"> i sta</w:t>
      </w:r>
      <w:r>
        <w:rPr>
          <w:rFonts w:ascii="Times New Roman" w:hAnsi="Times New Roman"/>
          <w:noProof/>
        </w:rPr>
        <w:t>ną się</w:t>
      </w:r>
      <w:r w:rsidR="001B0DFF">
        <w:rPr>
          <w:rFonts w:ascii="Times New Roman" w:hAnsi="Times New Roman"/>
          <w:noProof/>
        </w:rPr>
        <w:t xml:space="preserve"> w peł</w:t>
      </w:r>
      <w:r>
        <w:rPr>
          <w:rFonts w:ascii="Times New Roman" w:hAnsi="Times New Roman"/>
          <w:noProof/>
        </w:rPr>
        <w:t>ni zbieżne wśród unijnych organów nadzoru</w:t>
      </w:r>
      <w:r w:rsidR="001B0DFF">
        <w:rPr>
          <w:rFonts w:ascii="Times New Roman" w:hAnsi="Times New Roman"/>
          <w:noProof/>
        </w:rPr>
        <w:t>. W tym</w:t>
      </w:r>
      <w:r>
        <w:rPr>
          <w:rFonts w:ascii="Times New Roman" w:hAnsi="Times New Roman"/>
          <w:noProof/>
        </w:rPr>
        <w:t xml:space="preserve"> kontekście wzajemna ocena wdrażania wymogów STS ma podstawowe znaczenie</w:t>
      </w:r>
      <w:r w:rsidR="001B0DFF">
        <w:rPr>
          <w:rFonts w:ascii="Times New Roman" w:hAnsi="Times New Roman"/>
          <w:noProof/>
        </w:rPr>
        <w:t xml:space="preserve"> z pun</w:t>
      </w:r>
      <w:r>
        <w:rPr>
          <w:rFonts w:ascii="Times New Roman" w:hAnsi="Times New Roman"/>
          <w:noProof/>
        </w:rPr>
        <w:t>ktu widzenia uzyskania obrazu sytuacji, jeżeli chodzi</w:t>
      </w:r>
      <w:r w:rsidR="001B0DFF">
        <w:rPr>
          <w:rFonts w:ascii="Times New Roman" w:hAnsi="Times New Roman"/>
          <w:noProof/>
        </w:rPr>
        <w:t xml:space="preserve"> o nad</w:t>
      </w:r>
      <w:r>
        <w:rPr>
          <w:rFonts w:ascii="Times New Roman" w:hAnsi="Times New Roman"/>
          <w:noProof/>
        </w:rPr>
        <w:t xml:space="preserve">zór nad systemem STS w UE. Tę wzajemną ocenę, która pierwotnie miała zostać przeprowadzona </w:t>
      </w:r>
      <w:r w:rsidRPr="001B0DFF">
        <w:rPr>
          <w:rFonts w:ascii="Times New Roman" w:hAnsi="Times New Roman"/>
          <w:noProof/>
        </w:rPr>
        <w:t>do</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 xml:space="preserve"> stycznia 20</w:t>
      </w:r>
      <w:r w:rsidRPr="001B0DFF">
        <w:rPr>
          <w:rFonts w:ascii="Times New Roman" w:hAnsi="Times New Roman"/>
          <w:noProof/>
        </w:rPr>
        <w:t>22</w:t>
      </w:r>
      <w:r w:rsidR="001B0DFF" w:rsidRPr="001B0DFF">
        <w:rPr>
          <w:rFonts w:ascii="Times New Roman" w:hAnsi="Times New Roman"/>
          <w:noProof/>
        </w:rPr>
        <w:t> </w:t>
      </w:r>
      <w:r w:rsidRPr="001B0DFF">
        <w:rPr>
          <w:rFonts w:ascii="Times New Roman" w:hAnsi="Times New Roman"/>
          <w:noProof/>
        </w:rPr>
        <w:t>r.</w:t>
      </w:r>
      <w:r>
        <w:rPr>
          <w:rStyle w:val="FootnoteReference"/>
          <w:rFonts w:ascii="Times New Roman" w:hAnsi="Times New Roman" w:cs="Times New Roman"/>
          <w:noProof/>
        </w:rPr>
        <w:footnoteReference w:id="26"/>
      </w:r>
      <w:r>
        <w:rPr>
          <w:rFonts w:ascii="Times New Roman" w:hAnsi="Times New Roman"/>
          <w:noProof/>
        </w:rPr>
        <w:t xml:space="preserve">, przełożono </w:t>
      </w:r>
      <w:r w:rsidRPr="001B0DFF">
        <w:rPr>
          <w:rFonts w:ascii="Times New Roman" w:hAnsi="Times New Roman"/>
          <w:noProof/>
        </w:rPr>
        <w:t>na</w:t>
      </w:r>
      <w:r w:rsidR="001B0DFF" w:rsidRPr="001B0DFF">
        <w:rPr>
          <w:rFonts w:ascii="Times New Roman" w:hAnsi="Times New Roman"/>
          <w:noProof/>
        </w:rPr>
        <w:t> </w:t>
      </w:r>
      <w:r w:rsidRPr="001B0DFF">
        <w:rPr>
          <w:rFonts w:ascii="Times New Roman" w:hAnsi="Times New Roman"/>
          <w:noProof/>
        </w:rPr>
        <w:t>2</w:t>
      </w:r>
      <w:r>
        <w:rPr>
          <w:rFonts w:ascii="Times New Roman" w:hAnsi="Times New Roman"/>
          <w:noProof/>
        </w:rPr>
        <w:t>0</w:t>
      </w:r>
      <w:r w:rsidRPr="001B0DFF">
        <w:rPr>
          <w:rFonts w:ascii="Times New Roman" w:hAnsi="Times New Roman"/>
          <w:noProof/>
        </w:rPr>
        <w:t>24</w:t>
      </w:r>
      <w:r w:rsidR="001B0DFF" w:rsidRPr="001B0DFF">
        <w:rPr>
          <w:rFonts w:ascii="Times New Roman" w:hAnsi="Times New Roman"/>
          <w:noProof/>
        </w:rPr>
        <w:t> </w:t>
      </w:r>
      <w:r w:rsidRPr="001B0DFF">
        <w:rPr>
          <w:rFonts w:ascii="Times New Roman" w:hAnsi="Times New Roman"/>
          <w:noProof/>
        </w:rPr>
        <w:t>r.</w:t>
      </w:r>
    </w:p>
    <w:p w14:paraId="32DA28BC" w14:textId="146E761E" w:rsidR="0077092A" w:rsidRDefault="008148BD" w:rsidP="2603B6C4">
      <w:pPr>
        <w:jc w:val="both"/>
        <w:rPr>
          <w:rFonts w:ascii="Times New Roman" w:hAnsi="Times New Roman" w:cs="Times New Roman"/>
          <w:noProof/>
        </w:rPr>
      </w:pPr>
      <w:r>
        <w:rPr>
          <w:rFonts w:ascii="Times New Roman" w:hAnsi="Times New Roman"/>
          <w:noProof/>
        </w:rPr>
        <w:t>Niezależnie od tego Komisja nadal będzie monitorować istotne zmiany regulacyjne</w:t>
      </w:r>
      <w:r w:rsidR="001B0DFF">
        <w:rPr>
          <w:rFonts w:ascii="Times New Roman" w:hAnsi="Times New Roman"/>
          <w:noProof/>
        </w:rPr>
        <w:t xml:space="preserve"> w jur</w:t>
      </w:r>
      <w:r>
        <w:rPr>
          <w:rFonts w:ascii="Times New Roman" w:hAnsi="Times New Roman"/>
          <w:noProof/>
        </w:rPr>
        <w:t>ysdykcjach państw trzecich, które to zmiany mogą skutkować przyjęciem podobnych systemów sekurytyzacji zgodnie ze standardem – opracowanym przez Bazylejski Komitet Nadzoru Bankowego</w:t>
      </w:r>
      <w:r w:rsidR="001B0DFF">
        <w:rPr>
          <w:rFonts w:ascii="Times New Roman" w:hAnsi="Times New Roman"/>
          <w:noProof/>
        </w:rPr>
        <w:t xml:space="preserve"> i Mię</w:t>
      </w:r>
      <w:r>
        <w:rPr>
          <w:rFonts w:ascii="Times New Roman" w:hAnsi="Times New Roman"/>
          <w:noProof/>
        </w:rPr>
        <w:t>dzynarodową Organizację Komisji Papierów Wartościowych – dotyczącym prostych, przejrzystych</w:t>
      </w:r>
      <w:r w:rsidR="001B0DFF">
        <w:rPr>
          <w:rFonts w:ascii="Times New Roman" w:hAnsi="Times New Roman"/>
          <w:noProof/>
        </w:rPr>
        <w:t xml:space="preserve"> i por</w:t>
      </w:r>
      <w:r>
        <w:rPr>
          <w:rFonts w:ascii="Times New Roman" w:hAnsi="Times New Roman"/>
          <w:noProof/>
        </w:rPr>
        <w:t xml:space="preserve">ównywalnych sekurytyzacji, na którym opiera się unijny system STS. </w:t>
      </w:r>
    </w:p>
    <w:p w14:paraId="5149CD94" w14:textId="7DE23159" w:rsidR="00130B54" w:rsidRPr="003C0D71" w:rsidRDefault="00130B54" w:rsidP="00130B54">
      <w:pPr>
        <w:jc w:val="both"/>
        <w:rPr>
          <w:rFonts w:ascii="Times New Roman" w:hAnsi="Times New Roman" w:cs="Times New Roman"/>
          <w:noProof/>
        </w:rPr>
      </w:pPr>
      <w:r>
        <w:rPr>
          <w:rFonts w:ascii="Times New Roman" w:hAnsi="Times New Roman"/>
          <w:noProof/>
        </w:rPr>
        <w:t>Z przypadku zmiany obecnej sytuacji Komisja może ponownie rozważyć konieczność</w:t>
      </w:r>
      <w:r w:rsidR="001B0DFF">
        <w:rPr>
          <w:rFonts w:ascii="Times New Roman" w:hAnsi="Times New Roman"/>
          <w:noProof/>
        </w:rPr>
        <w:t xml:space="preserve"> i ade</w:t>
      </w:r>
      <w:r>
        <w:rPr>
          <w:rFonts w:ascii="Times New Roman" w:hAnsi="Times New Roman"/>
          <w:noProof/>
        </w:rPr>
        <w:t>kwatność wprowadzenia systemu równoważności STS.</w:t>
      </w:r>
    </w:p>
    <w:p w14:paraId="7659951A" w14:textId="77777777" w:rsidR="005D192F" w:rsidRPr="003C0D71" w:rsidRDefault="2603B6C4" w:rsidP="005D192F">
      <w:pPr>
        <w:pStyle w:val="Heading1"/>
        <w:numPr>
          <w:ilvl w:val="0"/>
          <w:numId w:val="2"/>
        </w:numPr>
        <w:rPr>
          <w:rFonts w:ascii="Times New Roman" w:hAnsi="Times New Roman" w:cs="Times New Roman"/>
          <w:noProof/>
          <w:color w:val="auto"/>
        </w:rPr>
      </w:pPr>
      <w:bookmarkStart w:id="45" w:name="_Toc104283071"/>
      <w:bookmarkStart w:id="46" w:name="_Toc104286139"/>
      <w:bookmarkStart w:id="47" w:name="_Toc104297344"/>
      <w:bookmarkStart w:id="48" w:name="_Toc115361594"/>
      <w:r>
        <w:rPr>
          <w:rFonts w:ascii="Times New Roman" w:hAnsi="Times New Roman"/>
          <w:noProof/>
          <w:color w:val="auto"/>
        </w:rPr>
        <w:t>Zrównoważona sekurytyzacja</w:t>
      </w:r>
      <w:bookmarkEnd w:id="45"/>
      <w:bookmarkEnd w:id="46"/>
      <w:bookmarkEnd w:id="47"/>
      <w:bookmarkEnd w:id="48"/>
    </w:p>
    <w:p w14:paraId="65B9FA5B" w14:textId="4B7B4EE8" w:rsidR="00AA1401" w:rsidRPr="003C0D71" w:rsidRDefault="2603B6C4" w:rsidP="000D4664">
      <w:pPr>
        <w:rPr>
          <w:rFonts w:ascii="Times New Roman" w:hAnsi="Times New Roman" w:cs="Times New Roman"/>
          <w:b/>
          <w:noProof/>
          <w:sz w:val="24"/>
        </w:rPr>
      </w:pPr>
      <w:r>
        <w:rPr>
          <w:rFonts w:ascii="Times New Roman" w:hAnsi="Times New Roman"/>
          <w:b/>
          <w:noProof/>
          <w:sz w:val="24"/>
        </w:rPr>
        <w:t>Kontekst</w:t>
      </w:r>
      <w:r w:rsidR="001B0DFF">
        <w:rPr>
          <w:rFonts w:ascii="Times New Roman" w:hAnsi="Times New Roman"/>
          <w:b/>
          <w:noProof/>
          <w:sz w:val="24"/>
        </w:rPr>
        <w:t xml:space="preserve"> i ust</w:t>
      </w:r>
      <w:r>
        <w:rPr>
          <w:rFonts w:ascii="Times New Roman" w:hAnsi="Times New Roman"/>
          <w:b/>
          <w:noProof/>
          <w:sz w:val="24"/>
        </w:rPr>
        <w:t>alenia</w:t>
      </w:r>
    </w:p>
    <w:p w14:paraId="2AC67543" w14:textId="1839924B" w:rsidR="00CC215D" w:rsidRPr="003C0D71" w:rsidRDefault="2603B6C4" w:rsidP="2603B6C4">
      <w:pPr>
        <w:jc w:val="both"/>
        <w:rPr>
          <w:rFonts w:ascii="Times New Roman" w:hAnsi="Times New Roman" w:cs="Times New Roman"/>
          <w:noProof/>
        </w:rPr>
      </w:pPr>
      <w:r>
        <w:rPr>
          <w:rFonts w:ascii="Times New Roman" w:hAnsi="Times New Roman"/>
          <w:noProof/>
        </w:rPr>
        <w:t>W rozporządzeniu</w:t>
      </w:r>
      <w:r w:rsidR="001B0DFF">
        <w:rPr>
          <w:rFonts w:ascii="Times New Roman" w:hAnsi="Times New Roman"/>
          <w:noProof/>
        </w:rPr>
        <w:t xml:space="preserve"> w spr</w:t>
      </w:r>
      <w:r>
        <w:rPr>
          <w:rFonts w:ascii="Times New Roman" w:hAnsi="Times New Roman"/>
          <w:noProof/>
        </w:rPr>
        <w:t>awie sekurytyzacji wprowadzono jedynie ograniczony obowiązek ujawniania informacji dotyczących zrównoważonego rozwoju</w:t>
      </w:r>
      <w:r w:rsidR="001B0DFF">
        <w:rPr>
          <w:rFonts w:ascii="Times New Roman" w:hAnsi="Times New Roman"/>
          <w:noProof/>
        </w:rPr>
        <w:t>. W prz</w:t>
      </w:r>
      <w:r>
        <w:rPr>
          <w:rFonts w:ascii="Times New Roman" w:hAnsi="Times New Roman"/>
          <w:noProof/>
        </w:rPr>
        <w:t>ypadku sekurytyzacji STS strona dokonująca sprzedaży musi opublikować dostępne informacje związane</w:t>
      </w:r>
      <w:r w:rsidR="001B0DFF">
        <w:rPr>
          <w:rFonts w:ascii="Times New Roman" w:hAnsi="Times New Roman"/>
          <w:noProof/>
        </w:rPr>
        <w:t xml:space="preserve"> z efe</w:t>
      </w:r>
      <w:r>
        <w:rPr>
          <w:rFonts w:ascii="Times New Roman" w:hAnsi="Times New Roman"/>
          <w:noProof/>
        </w:rPr>
        <w:t>ktywnością środowiskową aktywów finansowanych przez kredyty na nieruchomości mieszkalne, kredyty na zakup samochodu lub umowy leasingu samochodów</w:t>
      </w:r>
      <w:r w:rsidR="001B0DFF">
        <w:rPr>
          <w:rFonts w:ascii="Times New Roman" w:hAnsi="Times New Roman"/>
          <w:noProof/>
        </w:rPr>
        <w:t>. W ram</w:t>
      </w:r>
      <w:r>
        <w:rPr>
          <w:rFonts w:ascii="Times New Roman" w:hAnsi="Times New Roman"/>
          <w:noProof/>
        </w:rPr>
        <w:t>ach zmian wprowadzonych</w:t>
      </w:r>
      <w:r w:rsidR="001B0DFF">
        <w:rPr>
          <w:rFonts w:ascii="Times New Roman" w:hAnsi="Times New Roman"/>
          <w:noProof/>
        </w:rPr>
        <w:t xml:space="preserve"> w dro</w:t>
      </w:r>
      <w:r>
        <w:rPr>
          <w:rFonts w:ascii="Times New Roman" w:hAnsi="Times New Roman"/>
          <w:noProof/>
        </w:rPr>
        <w:t>dze pakietu na rzecz odbudowy rynków kapitałowych przewidziano dodatkowo, że jednostki inicjujące alternatywnie mogą publikować dostępne informacje dotyczące głównych niekorzystnych skutków związanych</w:t>
      </w:r>
      <w:r w:rsidR="001B0DFF">
        <w:rPr>
          <w:rFonts w:ascii="Times New Roman" w:hAnsi="Times New Roman"/>
          <w:noProof/>
        </w:rPr>
        <w:t xml:space="preserve"> z akt</w:t>
      </w:r>
      <w:r>
        <w:rPr>
          <w:rFonts w:ascii="Times New Roman" w:hAnsi="Times New Roman"/>
          <w:noProof/>
        </w:rPr>
        <w:t>ywami finansowanymi przez ekspozycje bazowe dla czynników zrównoważonego rozwoju.</w:t>
      </w:r>
    </w:p>
    <w:p w14:paraId="1A8D5D04" w14:textId="4D9FC4FB" w:rsidR="008461C3" w:rsidRPr="003C0D71" w:rsidRDefault="00363206" w:rsidP="2603B6C4">
      <w:pPr>
        <w:jc w:val="both"/>
        <w:rPr>
          <w:rFonts w:ascii="Times New Roman" w:hAnsi="Times New Roman" w:cs="Times New Roman"/>
          <w:noProof/>
        </w:rPr>
      </w:pPr>
      <w:r>
        <w:rPr>
          <w:rFonts w:ascii="Times New Roman" w:hAnsi="Times New Roman"/>
          <w:noProof/>
        </w:rPr>
        <w:t>Oprócz upoważnienia przewidzianego</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4</w:t>
      </w:r>
      <w:r>
        <w:rPr>
          <w:rFonts w:ascii="Times New Roman" w:hAnsi="Times New Roman"/>
          <w:noProof/>
        </w:rPr>
        <w:t xml:space="preserve">6 </w:t>
      </w:r>
      <w:r w:rsidRPr="001B0DFF">
        <w:rPr>
          <w:rFonts w:ascii="Times New Roman" w:hAnsi="Times New Roman"/>
          <w:noProof/>
        </w:rPr>
        <w:t>lit.</w:t>
      </w:r>
      <w:r w:rsidR="001B0DFF" w:rsidRPr="001B0DFF">
        <w:rPr>
          <w:rFonts w:ascii="Times New Roman" w:hAnsi="Times New Roman"/>
          <w:noProof/>
        </w:rPr>
        <w:t> </w:t>
      </w:r>
      <w:r w:rsidRPr="001B0DFF">
        <w:rPr>
          <w:rFonts w:ascii="Times New Roman" w:hAnsi="Times New Roman"/>
          <w:noProof/>
        </w:rPr>
        <w:t>e)</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4</w:t>
      </w:r>
      <w:r>
        <w:rPr>
          <w:rFonts w:ascii="Times New Roman" w:hAnsi="Times New Roman"/>
          <w:noProof/>
        </w:rPr>
        <w:t xml:space="preserve">5a </w:t>
      </w:r>
      <w:r w:rsidRPr="001B0DFF">
        <w:rPr>
          <w:rFonts w:ascii="Times New Roman" w:hAnsi="Times New Roman"/>
          <w:noProof/>
        </w:rPr>
        <w:t>lit.</w:t>
      </w:r>
      <w:r w:rsidR="001B0DFF" w:rsidRPr="001B0DFF">
        <w:rPr>
          <w:rFonts w:ascii="Times New Roman" w:hAnsi="Times New Roman"/>
          <w:noProof/>
        </w:rPr>
        <w:t> </w:t>
      </w:r>
      <w:r w:rsidRPr="001B0DFF">
        <w:rPr>
          <w:rFonts w:ascii="Times New Roman" w:hAnsi="Times New Roman"/>
          <w:noProof/>
        </w:rPr>
        <w:t>e)</w:t>
      </w:r>
      <w:r>
        <w:rPr>
          <w:rFonts w:ascii="Times New Roman" w:hAnsi="Times New Roman"/>
          <w:noProof/>
        </w:rPr>
        <w:t xml:space="preserve"> wymaga się, aby Komisja przedstawiała sprawozdanie na temat ustanowienia szczegółowych ram zrównoważonej sekurytyzacji na podstawie sprawozdania EUNB („sprawozdanie EUNB”)</w:t>
      </w:r>
      <w:r>
        <w:rPr>
          <w:rStyle w:val="FootnoteReference"/>
          <w:rFonts w:ascii="Times New Roman" w:hAnsi="Times New Roman" w:cs="Times New Roman"/>
          <w:noProof/>
        </w:rPr>
        <w:footnoteReference w:id="27"/>
      </w:r>
      <w:r>
        <w:rPr>
          <w:rFonts w:ascii="Times New Roman" w:hAnsi="Times New Roman"/>
          <w:noProof/>
        </w:rPr>
        <w:t>. EUNB opublikował swoje sprawozdanie 2 marca 20</w:t>
      </w:r>
      <w:r w:rsidRPr="001B0DFF">
        <w:rPr>
          <w:rFonts w:ascii="Times New Roman" w:hAnsi="Times New Roman"/>
          <w:noProof/>
        </w:rPr>
        <w:t>22</w:t>
      </w:r>
      <w:r w:rsidR="001B0DFF" w:rsidRPr="001B0DFF">
        <w:rPr>
          <w:rFonts w:ascii="Times New Roman" w:hAnsi="Times New Roman"/>
          <w:noProof/>
        </w:rPr>
        <w:t> </w:t>
      </w:r>
      <w:r w:rsidRPr="001B0DFF">
        <w:rPr>
          <w:rFonts w:ascii="Times New Roman" w:hAnsi="Times New Roman"/>
          <w:noProof/>
        </w:rPr>
        <w:t>r.</w:t>
      </w:r>
      <w:r>
        <w:rPr>
          <w:rStyle w:val="FootnoteReference"/>
          <w:rFonts w:ascii="Times New Roman" w:hAnsi="Times New Roman" w:cs="Times New Roman"/>
          <w:noProof/>
        </w:rPr>
        <w:footnoteReference w:id="28"/>
      </w:r>
    </w:p>
    <w:p w14:paraId="3C36157B" w14:textId="53A0D1CF" w:rsidR="00D54BFC" w:rsidRPr="003C0D71" w:rsidRDefault="004100C8" w:rsidP="004100C8">
      <w:pPr>
        <w:rPr>
          <w:rFonts w:ascii="Times New Roman" w:hAnsi="Times New Roman" w:cs="Times New Roman"/>
          <w:b/>
          <w:i/>
          <w:noProof/>
          <w:sz w:val="24"/>
        </w:rPr>
      </w:pPr>
      <w:r>
        <w:rPr>
          <w:rFonts w:ascii="Times New Roman" w:hAnsi="Times New Roman"/>
          <w:b/>
          <w:i/>
          <w:noProof/>
          <w:sz w:val="24"/>
        </w:rPr>
        <w:t xml:space="preserve">Rozszerzenie zakresu obowiązujących obecnie wymogów dotyczących ujawniania informacji na temat zrównoważenia środowiskowego </w:t>
      </w:r>
    </w:p>
    <w:p w14:paraId="01E2DDEA" w14:textId="5E57B4B7" w:rsidR="00CC215D" w:rsidRPr="003C0D71" w:rsidRDefault="00A8455E" w:rsidP="2603B6C4">
      <w:pPr>
        <w:jc w:val="both"/>
        <w:rPr>
          <w:rFonts w:ascii="Times New Roman" w:hAnsi="Times New Roman" w:cs="Times New Roman"/>
          <w:noProof/>
        </w:rPr>
      </w:pPr>
      <w:r>
        <w:rPr>
          <w:rFonts w:ascii="Times New Roman" w:hAnsi="Times New Roman"/>
          <w:noProof/>
        </w:rPr>
        <w:t>W toku konsultacji większość respondentów zasadniczo poparła twierdzenie, że rozszerzenie obecnie obowiązującego wymogu dotyczącego ujawniania informacji</w:t>
      </w:r>
      <w:r w:rsidR="001B0DFF">
        <w:rPr>
          <w:rFonts w:ascii="Times New Roman" w:hAnsi="Times New Roman"/>
          <w:noProof/>
        </w:rPr>
        <w:t xml:space="preserve"> i sto</w:t>
      </w:r>
      <w:r>
        <w:rPr>
          <w:rFonts w:ascii="Times New Roman" w:hAnsi="Times New Roman"/>
          <w:noProof/>
        </w:rPr>
        <w:t>sowanie go wobec innych klas aktywów</w:t>
      </w:r>
      <w:r>
        <w:rPr>
          <w:rStyle w:val="FootnoteReference"/>
          <w:rFonts w:ascii="Times New Roman" w:hAnsi="Times New Roman" w:cs="Times New Roman"/>
          <w:noProof/>
          <w:lang w:val="en-IE"/>
        </w:rPr>
        <w:footnoteReference w:id="29"/>
      </w:r>
      <w:r>
        <w:rPr>
          <w:rFonts w:ascii="Times New Roman" w:hAnsi="Times New Roman"/>
          <w:noProof/>
        </w:rPr>
        <w:t xml:space="preserve"> może wnieść wartość dodaną</w:t>
      </w:r>
      <w:r w:rsidR="001B0DFF">
        <w:rPr>
          <w:rFonts w:ascii="Times New Roman" w:hAnsi="Times New Roman"/>
          <w:noProof/>
        </w:rPr>
        <w:t xml:space="preserve"> z pun</w:t>
      </w:r>
      <w:r>
        <w:rPr>
          <w:rFonts w:ascii="Times New Roman" w:hAnsi="Times New Roman"/>
          <w:noProof/>
        </w:rPr>
        <w:t>ktu widzenia inwestorów, którym takie informacje przydałyby się do pomiaru własnego udziału inwestycji związanych</w:t>
      </w:r>
      <w:r w:rsidR="001B0DFF">
        <w:rPr>
          <w:rFonts w:ascii="Times New Roman" w:hAnsi="Times New Roman"/>
          <w:noProof/>
        </w:rPr>
        <w:t xml:space="preserve"> z kwe</w:t>
      </w:r>
      <w:r>
        <w:rPr>
          <w:rFonts w:ascii="Times New Roman" w:hAnsi="Times New Roman"/>
          <w:noProof/>
        </w:rPr>
        <w:t>stiami środowiskowymi</w:t>
      </w:r>
      <w:r w:rsidR="001B0DFF">
        <w:rPr>
          <w:rFonts w:ascii="Times New Roman" w:hAnsi="Times New Roman"/>
          <w:noProof/>
        </w:rPr>
        <w:t xml:space="preserve"> i spo</w:t>
      </w:r>
      <w:r>
        <w:rPr>
          <w:rFonts w:ascii="Times New Roman" w:hAnsi="Times New Roman"/>
          <w:noProof/>
        </w:rPr>
        <w:t>łecznymi oraz</w:t>
      </w:r>
      <w:r w:rsidR="001B0DFF">
        <w:rPr>
          <w:rFonts w:ascii="Times New Roman" w:hAnsi="Times New Roman"/>
          <w:noProof/>
        </w:rPr>
        <w:t xml:space="preserve"> z ład</w:t>
      </w:r>
      <w:r>
        <w:rPr>
          <w:rFonts w:ascii="Times New Roman" w:hAnsi="Times New Roman"/>
          <w:noProof/>
        </w:rPr>
        <w:t>em korporacyjnym, do oceny ryzyka</w:t>
      </w:r>
      <w:r w:rsidR="001B0DFF">
        <w:rPr>
          <w:rFonts w:ascii="Times New Roman" w:hAnsi="Times New Roman"/>
          <w:noProof/>
        </w:rPr>
        <w:t xml:space="preserve"> z zak</w:t>
      </w:r>
      <w:r>
        <w:rPr>
          <w:rFonts w:ascii="Times New Roman" w:hAnsi="Times New Roman"/>
          <w:noProof/>
        </w:rPr>
        <w:t>resu ochrony środowiska, polityki społecznej</w:t>
      </w:r>
      <w:r w:rsidR="001B0DFF">
        <w:rPr>
          <w:rFonts w:ascii="Times New Roman" w:hAnsi="Times New Roman"/>
          <w:noProof/>
        </w:rPr>
        <w:t xml:space="preserve"> i ład</w:t>
      </w:r>
      <w:r>
        <w:rPr>
          <w:rFonts w:ascii="Times New Roman" w:hAnsi="Times New Roman"/>
          <w:noProof/>
        </w:rPr>
        <w:t xml:space="preserve">u korporacyjnego (ryzyka ESG) oraz jako narzędzie umożliwiające porównanie. Inwestorzy wyrazili ubolewanie, że informacje te nie są jeszcze dostępne, gdyż będą ich potrzebować do spełnienia własnych wymogów dotyczących ujawniania informacji. </w:t>
      </w:r>
    </w:p>
    <w:p w14:paraId="7767FF65" w14:textId="46DCAF58" w:rsidR="00CC215D" w:rsidRPr="003C0D71" w:rsidRDefault="00B14603" w:rsidP="2603B6C4">
      <w:pPr>
        <w:jc w:val="both"/>
        <w:rPr>
          <w:rFonts w:ascii="Times New Roman" w:hAnsi="Times New Roman" w:cs="Times New Roman"/>
          <w:noProof/>
        </w:rPr>
      </w:pPr>
      <w:r>
        <w:rPr>
          <w:rFonts w:ascii="Times New Roman" w:hAnsi="Times New Roman"/>
          <w:noProof/>
        </w:rPr>
        <w:t>Respondenci stwierdzili jednak, że przydatność takiego rozszerzenia wymogów dotyczących ujawniania informacji na inne klasy aktywów zależy od tego, czy ocena poszczególnych elementów efektywności środowiskowej opiera się na wystarczająco przejrzystych</w:t>
      </w:r>
      <w:r w:rsidR="001B0DFF">
        <w:rPr>
          <w:rFonts w:ascii="Times New Roman" w:hAnsi="Times New Roman"/>
          <w:noProof/>
        </w:rPr>
        <w:t xml:space="preserve"> i ade</w:t>
      </w:r>
      <w:r>
        <w:rPr>
          <w:rFonts w:ascii="Times New Roman" w:hAnsi="Times New Roman"/>
          <w:noProof/>
        </w:rPr>
        <w:t>kwatnych parametrach. Zdaniem większości respondentów nie osiągnięto jeszcze tego</w:t>
      </w:r>
      <w:r w:rsidR="001B0DFF">
        <w:rPr>
          <w:rFonts w:ascii="Times New Roman" w:hAnsi="Times New Roman"/>
          <w:noProof/>
        </w:rPr>
        <w:t xml:space="preserve"> w prz</w:t>
      </w:r>
      <w:r>
        <w:rPr>
          <w:rFonts w:ascii="Times New Roman" w:hAnsi="Times New Roman"/>
          <w:noProof/>
        </w:rPr>
        <w:t>ypadku wszystkich klas aktywów</w:t>
      </w:r>
      <w:r>
        <w:rPr>
          <w:rStyle w:val="FootnoteReference"/>
          <w:rFonts w:ascii="Times New Roman" w:hAnsi="Times New Roman" w:cs="Times New Roman"/>
          <w:noProof/>
        </w:rPr>
        <w:footnoteReference w:id="30"/>
      </w:r>
      <w:r>
        <w:rPr>
          <w:noProof/>
        </w:rPr>
        <w:t>.</w:t>
      </w:r>
      <w:r>
        <w:rPr>
          <w:rFonts w:ascii="Times New Roman" w:hAnsi="Times New Roman"/>
          <w:noProof/>
        </w:rPr>
        <w:t xml:space="preserve"> </w:t>
      </w:r>
    </w:p>
    <w:p w14:paraId="6BBDB808" w14:textId="788CBB38" w:rsidR="00CC215D" w:rsidRPr="003C0D71" w:rsidRDefault="2603B6C4" w:rsidP="2603B6C4">
      <w:pPr>
        <w:jc w:val="both"/>
        <w:rPr>
          <w:rFonts w:ascii="Times New Roman" w:hAnsi="Times New Roman" w:cs="Times New Roman"/>
          <w:noProof/>
        </w:rPr>
      </w:pPr>
      <w:r>
        <w:rPr>
          <w:rFonts w:ascii="Times New Roman" w:hAnsi="Times New Roman"/>
          <w:noProof/>
        </w:rPr>
        <w:t>Aby zwiększyć dostępność danych,</w:t>
      </w:r>
      <w:r w:rsidR="001B0DFF">
        <w:rPr>
          <w:rFonts w:ascii="Times New Roman" w:hAnsi="Times New Roman"/>
          <w:noProof/>
        </w:rPr>
        <w:t xml:space="preserve"> w spr</w:t>
      </w:r>
      <w:r>
        <w:rPr>
          <w:rFonts w:ascii="Times New Roman" w:hAnsi="Times New Roman"/>
          <w:noProof/>
        </w:rPr>
        <w:t>awozdaniu EUNB zalecono rozszerzenie wymogu ujawniania informacji na temat głównych niekorzystnych skutków</w:t>
      </w:r>
      <w:r w:rsidR="001B0DFF">
        <w:rPr>
          <w:rFonts w:ascii="Times New Roman" w:hAnsi="Times New Roman"/>
          <w:noProof/>
        </w:rPr>
        <w:t xml:space="preserve"> i obj</w:t>
      </w:r>
      <w:r>
        <w:rPr>
          <w:rFonts w:ascii="Times New Roman" w:hAnsi="Times New Roman"/>
          <w:noProof/>
        </w:rPr>
        <w:t>ęcie nim sekurytyzacji innych niż sekurytyzacje STS oraz wprowadzenie obowiązkowego ujawniania informacji na temat głównych niekorzystnych skutków</w:t>
      </w:r>
      <w:r w:rsidR="001B0DFF">
        <w:rPr>
          <w:rFonts w:ascii="Times New Roman" w:hAnsi="Times New Roman"/>
          <w:noProof/>
        </w:rPr>
        <w:t xml:space="preserve"> w per</w:t>
      </w:r>
      <w:r>
        <w:rPr>
          <w:rFonts w:ascii="Times New Roman" w:hAnsi="Times New Roman"/>
          <w:noProof/>
        </w:rPr>
        <w:t xml:space="preserve">spektywie średnioterminowej. </w:t>
      </w:r>
    </w:p>
    <w:p w14:paraId="7DCACA00" w14:textId="77777777" w:rsidR="00325EBC" w:rsidRDefault="00325EBC" w:rsidP="004100C8">
      <w:pPr>
        <w:rPr>
          <w:rFonts w:ascii="Times New Roman" w:hAnsi="Times New Roman" w:cs="Times New Roman"/>
          <w:b/>
          <w:i/>
          <w:noProof/>
          <w:sz w:val="24"/>
        </w:rPr>
      </w:pPr>
    </w:p>
    <w:p w14:paraId="0E47D54B" w14:textId="77777777" w:rsidR="00325EBC" w:rsidRDefault="00325EBC" w:rsidP="004100C8">
      <w:pPr>
        <w:rPr>
          <w:rFonts w:ascii="Times New Roman" w:hAnsi="Times New Roman" w:cs="Times New Roman"/>
          <w:b/>
          <w:i/>
          <w:noProof/>
          <w:sz w:val="24"/>
        </w:rPr>
      </w:pPr>
    </w:p>
    <w:p w14:paraId="2B1C0CA1" w14:textId="77777777" w:rsidR="00325EBC" w:rsidRDefault="00325EBC" w:rsidP="004100C8">
      <w:pPr>
        <w:rPr>
          <w:rFonts w:ascii="Times New Roman" w:hAnsi="Times New Roman" w:cs="Times New Roman"/>
          <w:b/>
          <w:i/>
          <w:noProof/>
          <w:sz w:val="24"/>
        </w:rPr>
      </w:pPr>
    </w:p>
    <w:p w14:paraId="684A02DD" w14:textId="74CE583D" w:rsidR="00CC215D" w:rsidRPr="003C0D71" w:rsidRDefault="004100C8" w:rsidP="004100C8">
      <w:pPr>
        <w:rPr>
          <w:rFonts w:ascii="Times New Roman" w:hAnsi="Times New Roman" w:cs="Times New Roman"/>
          <w:b/>
          <w:i/>
          <w:noProof/>
          <w:sz w:val="24"/>
        </w:rPr>
      </w:pPr>
      <w:r>
        <w:rPr>
          <w:rFonts w:ascii="Times New Roman" w:hAnsi="Times New Roman"/>
          <w:b/>
          <w:i/>
          <w:noProof/>
          <w:sz w:val="24"/>
        </w:rPr>
        <w:t xml:space="preserve">Utworzenie szczegółowych ram zrównoważonej sekurytyzacji </w:t>
      </w:r>
    </w:p>
    <w:p w14:paraId="7A5CD124" w14:textId="1D898817" w:rsidR="00CC215D" w:rsidRPr="003C0D71" w:rsidRDefault="73F03011" w:rsidP="2603B6C4">
      <w:pPr>
        <w:jc w:val="both"/>
        <w:rPr>
          <w:rFonts w:ascii="Times New Roman" w:hAnsi="Times New Roman" w:cs="Times New Roman"/>
          <w:noProof/>
        </w:rPr>
      </w:pPr>
      <w:r>
        <w:rPr>
          <w:rFonts w:ascii="Times New Roman" w:hAnsi="Times New Roman"/>
          <w:noProof/>
        </w:rPr>
        <w:t>Obecny wniosek dotyczący europejskiego standardu zielonych obligacji (EU-GBS) – opublikowany</w:t>
      </w:r>
      <w:r w:rsidR="001B0DFF">
        <w:rPr>
          <w:rFonts w:ascii="Times New Roman" w:hAnsi="Times New Roman"/>
          <w:noProof/>
        </w:rPr>
        <w:t xml:space="preserve"> w lip</w:t>
      </w:r>
      <w:r>
        <w:rPr>
          <w:rFonts w:ascii="Times New Roman" w:hAnsi="Times New Roman"/>
          <w:noProof/>
        </w:rPr>
        <w:t>cu 20</w:t>
      </w:r>
      <w:r w:rsidRPr="001B0DFF">
        <w:rPr>
          <w:rFonts w:ascii="Times New Roman" w:hAnsi="Times New Roman"/>
          <w:noProof/>
        </w:rPr>
        <w:t>21</w:t>
      </w:r>
      <w:r w:rsidR="001B0DFF" w:rsidRPr="001B0DFF">
        <w:rPr>
          <w:rFonts w:ascii="Times New Roman" w:hAnsi="Times New Roman"/>
          <w:noProof/>
        </w:rPr>
        <w:t> </w:t>
      </w:r>
      <w:r w:rsidRPr="001B0DFF">
        <w:rPr>
          <w:rFonts w:ascii="Times New Roman" w:hAnsi="Times New Roman"/>
          <w:noProof/>
        </w:rPr>
        <w:t>r.</w:t>
      </w:r>
      <w:r w:rsidR="001B0DFF">
        <w:rPr>
          <w:rFonts w:ascii="Times New Roman" w:hAnsi="Times New Roman"/>
          <w:noProof/>
        </w:rPr>
        <w:t xml:space="preserve"> i nad</w:t>
      </w:r>
      <w:r>
        <w:rPr>
          <w:rFonts w:ascii="Times New Roman" w:hAnsi="Times New Roman"/>
          <w:noProof/>
        </w:rPr>
        <w:t>al będący przedmiotem negocjacji</w:t>
      </w:r>
      <w:r>
        <w:rPr>
          <w:rStyle w:val="FootnoteReference"/>
          <w:rFonts w:ascii="Times New Roman" w:hAnsi="Times New Roman" w:cs="Times New Roman"/>
          <w:noProof/>
        </w:rPr>
        <w:footnoteReference w:id="31"/>
      </w:r>
      <w:r>
        <w:rPr>
          <w:rFonts w:ascii="Times New Roman" w:hAnsi="Times New Roman"/>
          <w:noProof/>
        </w:rPr>
        <w:t xml:space="preserve"> – ma na celu opracowanie ram dotyczących zielonych obligacji,</w:t>
      </w:r>
      <w:r w:rsidR="001B0DFF">
        <w:rPr>
          <w:rFonts w:ascii="Times New Roman" w:hAnsi="Times New Roman"/>
          <w:noProof/>
        </w:rPr>
        <w:t xml:space="preserve"> w tym</w:t>
      </w:r>
      <w:r>
        <w:rPr>
          <w:rFonts w:ascii="Times New Roman" w:hAnsi="Times New Roman"/>
          <w:noProof/>
        </w:rPr>
        <w:t xml:space="preserve"> obligacji emitowanych przez spółkę celową</w:t>
      </w:r>
      <w:r w:rsidR="001B0DFF">
        <w:rPr>
          <w:rFonts w:ascii="Times New Roman" w:hAnsi="Times New Roman"/>
          <w:noProof/>
        </w:rPr>
        <w:t xml:space="preserve"> w kon</w:t>
      </w:r>
      <w:r>
        <w:rPr>
          <w:rFonts w:ascii="Times New Roman" w:hAnsi="Times New Roman"/>
          <w:noProof/>
        </w:rPr>
        <w:t>tekście transakcji sekurytyzacyjnej. Oby uzyskać oznakowanie zielonej obligacji, emitent musi zobowiązać się do wykorzystania przychodów</w:t>
      </w:r>
      <w:r w:rsidR="001B0DFF">
        <w:rPr>
          <w:rFonts w:ascii="Times New Roman" w:hAnsi="Times New Roman"/>
          <w:noProof/>
        </w:rPr>
        <w:t xml:space="preserve"> z emi</w:t>
      </w:r>
      <w:r>
        <w:rPr>
          <w:rFonts w:ascii="Times New Roman" w:hAnsi="Times New Roman"/>
          <w:noProof/>
        </w:rPr>
        <w:t>sji na finansowanie, refinansowanie lub nabywanie aktywów zgodnych</w:t>
      </w:r>
      <w:r w:rsidR="001B0DFF">
        <w:rPr>
          <w:rFonts w:ascii="Times New Roman" w:hAnsi="Times New Roman"/>
          <w:noProof/>
        </w:rPr>
        <w:t xml:space="preserve"> z uni</w:t>
      </w:r>
      <w:r>
        <w:rPr>
          <w:rFonts w:ascii="Times New Roman" w:hAnsi="Times New Roman"/>
          <w:noProof/>
        </w:rPr>
        <w:t xml:space="preserve">jną systematyką. </w:t>
      </w:r>
    </w:p>
    <w:p w14:paraId="55D051C1" w14:textId="167174A6" w:rsidR="00B97F15" w:rsidRPr="003C0D71" w:rsidRDefault="001D0EC9" w:rsidP="2603B6C4">
      <w:pPr>
        <w:jc w:val="both"/>
        <w:rPr>
          <w:rFonts w:ascii="Times New Roman" w:hAnsi="Times New Roman" w:cs="Times New Roman"/>
          <w:noProof/>
        </w:rPr>
      </w:pPr>
      <w:r>
        <w:rPr>
          <w:rFonts w:ascii="Times New Roman" w:hAnsi="Times New Roman"/>
          <w:noProof/>
        </w:rPr>
        <w:t>W sprawozdaniu EUNB nie zaleca się ustanowienia specjalnych ram dotyczących zielonej sekurytyzacji na tym etapie</w:t>
      </w:r>
      <w:r w:rsidR="001B0DFF">
        <w:rPr>
          <w:rFonts w:ascii="Times New Roman" w:hAnsi="Times New Roman"/>
          <w:noProof/>
        </w:rPr>
        <w:t xml:space="preserve"> z uwa</w:t>
      </w:r>
      <w:r>
        <w:rPr>
          <w:rFonts w:ascii="Times New Roman" w:hAnsi="Times New Roman"/>
          <w:noProof/>
        </w:rPr>
        <w:t>gi na nadal nieznaczną ilość zielonych aktywów, które mogą stanowić podstawę sekurytyzacji</w:t>
      </w:r>
      <w:r>
        <w:rPr>
          <w:rStyle w:val="FootnoteReference"/>
          <w:rFonts w:ascii="Times New Roman" w:hAnsi="Times New Roman" w:cs="Times New Roman"/>
          <w:noProof/>
          <w:lang w:val="en-IE"/>
        </w:rPr>
        <w:footnoteReference w:id="32"/>
      </w:r>
      <w:r>
        <w:rPr>
          <w:rFonts w:ascii="Times New Roman" w:hAnsi="Times New Roman"/>
          <w:noProof/>
        </w:rPr>
        <w:t>, oraz fakt, iż rynek zrównoważonych sekurytyzacji nadal jest stosunkowo nowy</w:t>
      </w:r>
      <w:r w:rsidR="001B0DFF">
        <w:rPr>
          <w:rFonts w:ascii="Times New Roman" w:hAnsi="Times New Roman"/>
          <w:noProof/>
        </w:rPr>
        <w:t>. W spr</w:t>
      </w:r>
      <w:r>
        <w:rPr>
          <w:rFonts w:ascii="Times New Roman" w:hAnsi="Times New Roman"/>
          <w:noProof/>
        </w:rPr>
        <w:t>awozdaniu tym zaleca się, aby utworzenie specjalnych ram rozważono dopiero po dokonaniu większych postępów</w:t>
      </w:r>
      <w:r w:rsidR="001B0DFF">
        <w:rPr>
          <w:rFonts w:ascii="Times New Roman" w:hAnsi="Times New Roman"/>
          <w:noProof/>
        </w:rPr>
        <w:t xml:space="preserve"> w kie</w:t>
      </w:r>
      <w:r>
        <w:rPr>
          <w:rFonts w:ascii="Times New Roman" w:hAnsi="Times New Roman"/>
          <w:noProof/>
        </w:rPr>
        <w:t>runku zielonej transakcji gospodarki UE.</w:t>
      </w:r>
    </w:p>
    <w:p w14:paraId="33DD46BC" w14:textId="29AFF630" w:rsidR="00C704A3" w:rsidRPr="003C0D71" w:rsidRDefault="2603B6C4" w:rsidP="2603B6C4">
      <w:pPr>
        <w:jc w:val="both"/>
        <w:rPr>
          <w:rFonts w:ascii="Times New Roman" w:hAnsi="Times New Roman" w:cs="Times New Roman"/>
          <w:noProof/>
        </w:rPr>
      </w:pPr>
      <w:r>
        <w:rPr>
          <w:rFonts w:ascii="Times New Roman" w:hAnsi="Times New Roman"/>
          <w:noProof/>
        </w:rPr>
        <w:t>W sprawozdaniu EUNB zalecono natomiast dostosowanie standardu EU-GBS tak, aby lepiej dostosować go do sekurytyzacji</w:t>
      </w:r>
      <w:r w:rsidR="001B0DFF">
        <w:rPr>
          <w:rFonts w:ascii="Times New Roman" w:hAnsi="Times New Roman"/>
          <w:noProof/>
        </w:rPr>
        <w:t xml:space="preserve"> w okr</w:t>
      </w:r>
      <w:r>
        <w:rPr>
          <w:rFonts w:ascii="Times New Roman" w:hAnsi="Times New Roman"/>
          <w:noProof/>
        </w:rPr>
        <w:t>esie przejściowym (zob. ramka poniżej). EUNB zaleca wyłączenie sekurytyzacji syntetycznej</w:t>
      </w:r>
      <w:r w:rsidR="001B0DFF">
        <w:rPr>
          <w:rFonts w:ascii="Times New Roman" w:hAnsi="Times New Roman"/>
          <w:noProof/>
        </w:rPr>
        <w:t xml:space="preserve"> z zak</w:t>
      </w:r>
      <w:r>
        <w:rPr>
          <w:rFonts w:ascii="Times New Roman" w:hAnsi="Times New Roman"/>
          <w:noProof/>
        </w:rPr>
        <w:t>resu oznakowania zielonej sekurytyzacji (czy to oznakowania EU-GBS, czy też odrębnego specjalnego oznakowania), ponieważ nie istnieje jeszcze powszechnie uznana metodyka pomiaru ponownego wykorzystania kapitału uwolnionego</w:t>
      </w:r>
      <w:r w:rsidR="001B0DFF">
        <w:rPr>
          <w:rFonts w:ascii="Times New Roman" w:hAnsi="Times New Roman"/>
          <w:noProof/>
        </w:rPr>
        <w:t xml:space="preserve"> w wyn</w:t>
      </w:r>
      <w:r>
        <w:rPr>
          <w:rFonts w:ascii="Times New Roman" w:hAnsi="Times New Roman"/>
          <w:noProof/>
        </w:rPr>
        <w:t>iku transakcji na cele ekologiczne.</w:t>
      </w:r>
    </w:p>
    <w:p w14:paraId="4AEF6A2C" w14:textId="302C83A4" w:rsidR="00034915" w:rsidRPr="003C0D71" w:rsidRDefault="00034967" w:rsidP="00034915">
      <w:pPr>
        <w:jc w:val="both"/>
        <w:rPr>
          <w:rFonts w:ascii="Times New Roman" w:hAnsi="Times New Roman" w:cs="Times New Roman"/>
          <w:noProof/>
        </w:rPr>
      </w:pPr>
      <w:r>
        <w:rPr>
          <w:rFonts w:ascii="Times New Roman" w:hAnsi="Times New Roman"/>
          <w:noProof/>
        </w:rPr>
        <w:t>W ramach konsultacji większość respondentów ostrzegła przed stosowaniem kilku różnych oznakowań do celów klasyfikacji zielonej sekurytyzacji</w:t>
      </w:r>
      <w:r w:rsidR="001B0DFF">
        <w:rPr>
          <w:rFonts w:ascii="Times New Roman" w:hAnsi="Times New Roman"/>
          <w:noProof/>
        </w:rPr>
        <w:t xml:space="preserve"> i wyr</w:t>
      </w:r>
      <w:r>
        <w:rPr>
          <w:rFonts w:ascii="Times New Roman" w:hAnsi="Times New Roman"/>
          <w:noProof/>
        </w:rPr>
        <w:t>aźnie opowiedziała się za stosowaniem</w:t>
      </w:r>
      <w:r w:rsidR="001B0DFF">
        <w:rPr>
          <w:rFonts w:ascii="Times New Roman" w:hAnsi="Times New Roman"/>
          <w:noProof/>
        </w:rPr>
        <w:t xml:space="preserve"> w prz</w:t>
      </w:r>
      <w:r>
        <w:rPr>
          <w:rFonts w:ascii="Times New Roman" w:hAnsi="Times New Roman"/>
          <w:noProof/>
        </w:rPr>
        <w:t>ewidywalnej przyszłości oznakowań EU-GBS zamiast tworzenia odrębnych ram</w:t>
      </w:r>
      <w:r w:rsidR="001B0DFF">
        <w:rPr>
          <w:rFonts w:ascii="Times New Roman" w:hAnsi="Times New Roman"/>
          <w:noProof/>
        </w:rPr>
        <w:t>. W inf</w:t>
      </w:r>
      <w:r>
        <w:rPr>
          <w:rFonts w:ascii="Times New Roman" w:hAnsi="Times New Roman"/>
          <w:noProof/>
        </w:rPr>
        <w:t>ormacjach zwrotnych podzielono obawy EUNB dotyczące wymogu dostosowania puli aktywów bazowych do systematyki, ponieważ spowodowałoby to nierówne traktowanie sekurytyzacji</w:t>
      </w:r>
      <w:r w:rsidR="001B0DFF">
        <w:rPr>
          <w:rFonts w:ascii="Times New Roman" w:hAnsi="Times New Roman"/>
          <w:noProof/>
        </w:rPr>
        <w:t xml:space="preserve"> w sto</w:t>
      </w:r>
      <w:r>
        <w:rPr>
          <w:rFonts w:ascii="Times New Roman" w:hAnsi="Times New Roman"/>
          <w:noProof/>
        </w:rPr>
        <w:t>sunku do innych porównywalnych bankowych instrumentów finansowania, takich jak obligacje zabezpieczone. Sekurytyzacja nie byłaby wówczas prawdopodobnie</w:t>
      </w:r>
      <w:r w:rsidR="001B0DFF">
        <w:rPr>
          <w:rFonts w:ascii="Times New Roman" w:hAnsi="Times New Roman"/>
          <w:noProof/>
        </w:rPr>
        <w:t xml:space="preserve"> w sta</w:t>
      </w:r>
      <w:r>
        <w:rPr>
          <w:rFonts w:ascii="Times New Roman" w:hAnsi="Times New Roman"/>
          <w:noProof/>
        </w:rPr>
        <w:t>nie przyczynić się do finansowania przejścia na zieloną gospodarkę, biorąc pod uwagę obecny niedobór aktywów zgodnych</w:t>
      </w:r>
      <w:r w:rsidR="001B0DFF">
        <w:rPr>
          <w:rFonts w:ascii="Times New Roman" w:hAnsi="Times New Roman"/>
          <w:noProof/>
        </w:rPr>
        <w:t xml:space="preserve"> z sys</w:t>
      </w:r>
      <w:r>
        <w:rPr>
          <w:rFonts w:ascii="Times New Roman" w:hAnsi="Times New Roman"/>
          <w:noProof/>
        </w:rPr>
        <w:t>tematyką. Jeżeli chodzi</w:t>
      </w:r>
      <w:r w:rsidR="001B0DFF">
        <w:rPr>
          <w:rFonts w:ascii="Times New Roman" w:hAnsi="Times New Roman"/>
          <w:noProof/>
        </w:rPr>
        <w:t xml:space="preserve"> o pod</w:t>
      </w:r>
      <w:r>
        <w:rPr>
          <w:rFonts w:ascii="Times New Roman" w:hAnsi="Times New Roman"/>
          <w:noProof/>
        </w:rPr>
        <w:t>miot odpowiedzialny za sprawozdawczość, wielu respondentów preferowało jednostki inicjujące,</w:t>
      </w:r>
      <w:r w:rsidR="001B0DFF">
        <w:rPr>
          <w:rFonts w:ascii="Times New Roman" w:hAnsi="Times New Roman"/>
          <w:noProof/>
        </w:rPr>
        <w:t xml:space="preserve"> a nie</w:t>
      </w:r>
      <w:r>
        <w:rPr>
          <w:rFonts w:ascii="Times New Roman" w:hAnsi="Times New Roman"/>
          <w:noProof/>
        </w:rPr>
        <w:t xml:space="preserve"> emitentów, ponieważ upoważnienie emitentów, którzy nie kontrolują aktywów, byłoby niepraktyczne. </w:t>
      </w:r>
    </w:p>
    <w:p w14:paraId="5DC8E596" w14:textId="0C5C00B4" w:rsidR="008E37D1" w:rsidRPr="003C0D71" w:rsidRDefault="000A06C6" w:rsidP="00034915">
      <w:pPr>
        <w:jc w:val="both"/>
        <w:rPr>
          <w:rFonts w:ascii="Times New Roman" w:hAnsi="Times New Roman" w:cs="Times New Roman"/>
          <w:noProof/>
        </w:rPr>
      </w:pPr>
      <w:r>
        <w:rPr>
          <w:rFonts w:ascii="Times New Roman" w:hAnsi="Times New Roman"/>
          <w:noProof/>
        </w:rPr>
        <w:t>Jeżeli chodzi</w:t>
      </w:r>
      <w:r w:rsidR="001B0DFF">
        <w:rPr>
          <w:rFonts w:ascii="Times New Roman" w:hAnsi="Times New Roman"/>
          <w:noProof/>
        </w:rPr>
        <w:t xml:space="preserve"> o uja</w:t>
      </w:r>
      <w:r>
        <w:rPr>
          <w:rFonts w:ascii="Times New Roman" w:hAnsi="Times New Roman"/>
          <w:noProof/>
        </w:rPr>
        <w:t>wnianie informacji, które muszą kwalifikować się jako związane ze zrównoważonym rozwojem, argumentuje się, że zbyt opisowy system przyniósłby efekt przeciwny do zamierzonego, biorąc pod uwagę szeroki zakres działalności związanej</w:t>
      </w:r>
      <w:r w:rsidR="001B0DFF">
        <w:rPr>
          <w:rFonts w:ascii="Times New Roman" w:hAnsi="Times New Roman"/>
          <w:noProof/>
        </w:rPr>
        <w:t xml:space="preserve"> z eks</w:t>
      </w:r>
      <w:r>
        <w:rPr>
          <w:rFonts w:ascii="Times New Roman" w:hAnsi="Times New Roman"/>
          <w:noProof/>
        </w:rPr>
        <w:t>pozycjami stanowiącymi podstawę transakcji sekurytyzacyjnych.</w:t>
      </w:r>
    </w:p>
    <w:tbl>
      <w:tblPr>
        <w:tblStyle w:val="TableGrid"/>
        <w:tblW w:w="0" w:type="auto"/>
        <w:shd w:val="clear" w:color="auto" w:fill="F2F2F2" w:themeFill="background1" w:themeFillShade="F2"/>
        <w:tblLook w:val="04A0" w:firstRow="1" w:lastRow="0" w:firstColumn="1" w:lastColumn="0" w:noHBand="0" w:noVBand="1"/>
      </w:tblPr>
      <w:tblGrid>
        <w:gridCol w:w="9242"/>
      </w:tblGrid>
      <w:tr w:rsidR="003C0D71" w:rsidRPr="003C0D71" w14:paraId="1428CAB2" w14:textId="77777777" w:rsidTr="2603B6C4">
        <w:tc>
          <w:tcPr>
            <w:tcW w:w="9242" w:type="dxa"/>
            <w:shd w:val="clear" w:color="auto" w:fill="F2F2F2" w:themeFill="background1" w:themeFillShade="F2"/>
          </w:tcPr>
          <w:p w14:paraId="7F1C8FE4" w14:textId="1031D35C" w:rsidR="00265216" w:rsidRPr="003C0D71" w:rsidRDefault="2603B6C4" w:rsidP="2603B6C4">
            <w:pPr>
              <w:spacing w:after="120"/>
              <w:jc w:val="both"/>
              <w:rPr>
                <w:rFonts w:ascii="Times New Roman" w:hAnsi="Times New Roman" w:cs="Times New Roman"/>
                <w:b/>
                <w:bCs/>
                <w:noProof/>
              </w:rPr>
            </w:pPr>
            <w:r>
              <w:rPr>
                <w:rFonts w:ascii="Times New Roman" w:hAnsi="Times New Roman"/>
                <w:b/>
                <w:noProof/>
              </w:rPr>
              <w:t>Zalecenie zawarte</w:t>
            </w:r>
            <w:r w:rsidR="001B0DFF">
              <w:rPr>
                <w:rFonts w:ascii="Times New Roman" w:hAnsi="Times New Roman"/>
                <w:b/>
                <w:noProof/>
              </w:rPr>
              <w:t xml:space="preserve"> w spr</w:t>
            </w:r>
            <w:r>
              <w:rPr>
                <w:rFonts w:ascii="Times New Roman" w:hAnsi="Times New Roman"/>
                <w:b/>
                <w:noProof/>
              </w:rPr>
              <w:t>awozdaniu EUNB dotyczące dostosowania europejskiego standardu zielonych obligacji (EU-GBS)</w:t>
            </w:r>
          </w:p>
          <w:p w14:paraId="05C92D52" w14:textId="7C5282CF" w:rsidR="00B22AB2" w:rsidRPr="003C0D71" w:rsidRDefault="2603B6C4" w:rsidP="2603B6C4">
            <w:pPr>
              <w:jc w:val="both"/>
              <w:rPr>
                <w:rFonts w:ascii="Times New Roman" w:hAnsi="Times New Roman" w:cs="Times New Roman"/>
                <w:noProof/>
              </w:rPr>
            </w:pPr>
            <w:r>
              <w:rPr>
                <w:rFonts w:ascii="Times New Roman" w:hAnsi="Times New Roman"/>
                <w:noProof/>
              </w:rPr>
              <w:t>W ramach propozycji</w:t>
            </w:r>
            <w:r w:rsidR="001B0DFF">
              <w:rPr>
                <w:rFonts w:ascii="Times New Roman" w:hAnsi="Times New Roman"/>
                <w:noProof/>
              </w:rPr>
              <w:t xml:space="preserve"> w spr</w:t>
            </w:r>
            <w:r>
              <w:rPr>
                <w:rFonts w:ascii="Times New Roman" w:hAnsi="Times New Roman"/>
                <w:noProof/>
              </w:rPr>
              <w:t>awie EU-GBS ustanawia się dobrowolny standard finansowania zrównoważonych inwestycji</w:t>
            </w:r>
            <w:r w:rsidR="001B0DFF">
              <w:rPr>
                <w:rFonts w:ascii="Times New Roman" w:hAnsi="Times New Roman"/>
                <w:noProof/>
              </w:rPr>
              <w:t xml:space="preserve"> i zez</w:t>
            </w:r>
            <w:r>
              <w:rPr>
                <w:rFonts w:ascii="Times New Roman" w:hAnsi="Times New Roman"/>
                <w:noProof/>
              </w:rPr>
              <w:t>wala emitentowi obligacji na stosowanie oznakowania zielonej obligacji,</w:t>
            </w:r>
            <w:r w:rsidR="001B0DFF">
              <w:rPr>
                <w:rFonts w:ascii="Times New Roman" w:hAnsi="Times New Roman"/>
                <w:noProof/>
              </w:rPr>
              <w:t xml:space="preserve"> o ile</w:t>
            </w:r>
            <w:r>
              <w:rPr>
                <w:rFonts w:ascii="Times New Roman" w:hAnsi="Times New Roman"/>
                <w:noProof/>
              </w:rPr>
              <w:t xml:space="preserve"> pełne wpływy</w:t>
            </w:r>
            <w:r w:rsidR="001B0DFF">
              <w:rPr>
                <w:rFonts w:ascii="Times New Roman" w:hAnsi="Times New Roman"/>
                <w:noProof/>
              </w:rPr>
              <w:t xml:space="preserve"> z emi</w:t>
            </w:r>
            <w:r>
              <w:rPr>
                <w:rFonts w:ascii="Times New Roman" w:hAnsi="Times New Roman"/>
                <w:noProof/>
              </w:rPr>
              <w:t>sji obligacji wykorzystuje się na cele</w:t>
            </w:r>
            <w:r w:rsidR="001B0DFF">
              <w:rPr>
                <w:rFonts w:ascii="Times New Roman" w:hAnsi="Times New Roman"/>
                <w:noProof/>
              </w:rPr>
              <w:t xml:space="preserve"> w peł</w:t>
            </w:r>
            <w:r>
              <w:rPr>
                <w:rFonts w:ascii="Times New Roman" w:hAnsi="Times New Roman"/>
                <w:noProof/>
              </w:rPr>
              <w:t>ni zgodne</w:t>
            </w:r>
            <w:r w:rsidR="001B0DFF">
              <w:rPr>
                <w:rFonts w:ascii="Times New Roman" w:hAnsi="Times New Roman"/>
                <w:noProof/>
              </w:rPr>
              <w:t xml:space="preserve"> z sys</w:t>
            </w:r>
            <w:r>
              <w:rPr>
                <w:rFonts w:ascii="Times New Roman" w:hAnsi="Times New Roman"/>
                <w:noProof/>
              </w:rPr>
              <w:t>tematyką. Oznacza to, że ekspozycje bazowe sekurytyzacji posiadane przez SSPE musiałyby być zgodne</w:t>
            </w:r>
            <w:r w:rsidR="001B0DFF">
              <w:rPr>
                <w:rFonts w:ascii="Times New Roman" w:hAnsi="Times New Roman"/>
                <w:noProof/>
              </w:rPr>
              <w:t xml:space="preserve"> z sys</w:t>
            </w:r>
            <w:r>
              <w:rPr>
                <w:rFonts w:ascii="Times New Roman" w:hAnsi="Times New Roman"/>
                <w:noProof/>
              </w:rPr>
              <w:t>tematyką.</w:t>
            </w:r>
          </w:p>
          <w:p w14:paraId="11DC5046" w14:textId="77777777" w:rsidR="003A7447" w:rsidRPr="00346C1E" w:rsidRDefault="003A7447" w:rsidP="00265216">
            <w:pPr>
              <w:jc w:val="both"/>
              <w:rPr>
                <w:rFonts w:ascii="Times New Roman" w:hAnsi="Times New Roman" w:cs="Times New Roman"/>
                <w:noProof/>
              </w:rPr>
            </w:pPr>
          </w:p>
          <w:p w14:paraId="4C004AB8" w14:textId="17406B65" w:rsidR="003A7447" w:rsidRPr="003C0D71" w:rsidRDefault="2603B6C4" w:rsidP="2603B6C4">
            <w:pPr>
              <w:jc w:val="both"/>
              <w:rPr>
                <w:rFonts w:ascii="Times New Roman" w:hAnsi="Times New Roman" w:cs="Times New Roman"/>
                <w:noProof/>
              </w:rPr>
            </w:pPr>
            <w:r>
              <w:rPr>
                <w:rFonts w:ascii="Times New Roman" w:hAnsi="Times New Roman"/>
                <w:noProof/>
              </w:rPr>
              <w:t>W swoim sprawozdaniu EUNB ostrzega, że podejście to stawia sekurytyzacje (i inne instrumenty finansowe emitowane przez spółkę celową)</w:t>
            </w:r>
            <w:r w:rsidR="001B0DFF">
              <w:rPr>
                <w:rFonts w:ascii="Times New Roman" w:hAnsi="Times New Roman"/>
                <w:noProof/>
              </w:rPr>
              <w:t xml:space="preserve"> w inn</w:t>
            </w:r>
            <w:r>
              <w:rPr>
                <w:rFonts w:ascii="Times New Roman" w:hAnsi="Times New Roman"/>
                <w:noProof/>
              </w:rPr>
              <w:t>ym położeniu niż papiery wartościowe, które nie są emitowane przez spółkę celową. EUNB zwraca uwagę na fakt, że obecne podejście wymagałoby, aby sekurytyzacje zgodne z EU-GBS zostały zabezpieczone aktywami zgodnymi</w:t>
            </w:r>
            <w:r w:rsidR="001B0DFF">
              <w:rPr>
                <w:rFonts w:ascii="Times New Roman" w:hAnsi="Times New Roman"/>
                <w:noProof/>
              </w:rPr>
              <w:t xml:space="preserve"> z sys</w:t>
            </w:r>
            <w:r>
              <w:rPr>
                <w:rFonts w:ascii="Times New Roman" w:hAnsi="Times New Roman"/>
                <w:noProof/>
              </w:rPr>
              <w:t>tematyką. Nie uniemożliwiałoby ono jednak jednostce inicjującej, jako ostatecznemu beneficjentowi wpływów</w:t>
            </w:r>
            <w:r w:rsidR="001B0DFF">
              <w:rPr>
                <w:rFonts w:ascii="Times New Roman" w:hAnsi="Times New Roman"/>
                <w:noProof/>
              </w:rPr>
              <w:t xml:space="preserve"> z emi</w:t>
            </w:r>
            <w:r>
              <w:rPr>
                <w:rFonts w:ascii="Times New Roman" w:hAnsi="Times New Roman"/>
                <w:noProof/>
              </w:rPr>
              <w:t>sji obligacji sekurytyzacyjnych, wykorzystania tych wpływów do celów innych niż ekologiczne. EUNB uznał to podejście za niezgodne</w:t>
            </w:r>
            <w:r w:rsidR="001B0DFF">
              <w:rPr>
                <w:rFonts w:ascii="Times New Roman" w:hAnsi="Times New Roman"/>
                <w:noProof/>
              </w:rPr>
              <w:t xml:space="preserve"> z zam</w:t>
            </w:r>
            <w:r>
              <w:rPr>
                <w:rFonts w:ascii="Times New Roman" w:hAnsi="Times New Roman"/>
                <w:noProof/>
              </w:rPr>
              <w:t>iarem politycznym polegającym na kierowaniu nowych środków finansowych na finansowanie przejścia na ekologiczną</w:t>
            </w:r>
            <w:r w:rsidR="001B0DFF">
              <w:rPr>
                <w:rFonts w:ascii="Times New Roman" w:hAnsi="Times New Roman"/>
                <w:noProof/>
              </w:rPr>
              <w:t xml:space="preserve"> i zró</w:t>
            </w:r>
            <w:r>
              <w:rPr>
                <w:rFonts w:ascii="Times New Roman" w:hAnsi="Times New Roman"/>
                <w:noProof/>
              </w:rPr>
              <w:t>wnoważoną gospodarkę UE. Ze względu na obecny niedobór aktywów zgodnych</w:t>
            </w:r>
            <w:r w:rsidR="001B0DFF">
              <w:rPr>
                <w:rFonts w:ascii="Times New Roman" w:hAnsi="Times New Roman"/>
                <w:noProof/>
              </w:rPr>
              <w:t xml:space="preserve"> z sys</w:t>
            </w:r>
            <w:r>
              <w:rPr>
                <w:rFonts w:ascii="Times New Roman" w:hAnsi="Times New Roman"/>
                <w:noProof/>
              </w:rPr>
              <w:t>tematyką dostępnych do sekurytyzacji, zdaniem EUNB ograniczyłoby to również znacznie potencjał rynku sekurytyzacji EU-GBS. Ponadto</w:t>
            </w:r>
            <w:r w:rsidR="001B0DFF">
              <w:rPr>
                <w:rFonts w:ascii="Times New Roman" w:hAnsi="Times New Roman"/>
                <w:noProof/>
              </w:rPr>
              <w:t xml:space="preserve"> w spr</w:t>
            </w:r>
            <w:r>
              <w:rPr>
                <w:rFonts w:ascii="Times New Roman" w:hAnsi="Times New Roman"/>
                <w:noProof/>
              </w:rPr>
              <w:t>awozdaniu EUNB wskazano, że SSPE mają ograniczony ekonomiczny charakter transakcji</w:t>
            </w:r>
            <w:r w:rsidR="001B0DFF">
              <w:rPr>
                <w:rFonts w:ascii="Times New Roman" w:hAnsi="Times New Roman"/>
                <w:noProof/>
              </w:rPr>
              <w:t xml:space="preserve"> i w zwi</w:t>
            </w:r>
            <w:r>
              <w:rPr>
                <w:rFonts w:ascii="Times New Roman" w:hAnsi="Times New Roman"/>
                <w:noProof/>
              </w:rPr>
              <w:t>ązku</w:t>
            </w:r>
            <w:r w:rsidR="001B0DFF">
              <w:rPr>
                <w:rFonts w:ascii="Times New Roman" w:hAnsi="Times New Roman"/>
                <w:noProof/>
              </w:rPr>
              <w:t xml:space="preserve"> z tym</w:t>
            </w:r>
            <w:r>
              <w:rPr>
                <w:rFonts w:ascii="Times New Roman" w:hAnsi="Times New Roman"/>
                <w:noProof/>
              </w:rPr>
              <w:t xml:space="preserve"> rynek sekurytyzacji EU-GBS byłby niepraktyczny, nawet gdyby SSPE miały być jedynymi podmiotami ponoszącymi odpowiedzialność prawną.</w:t>
            </w:r>
          </w:p>
          <w:p w14:paraId="423F6503" w14:textId="77777777" w:rsidR="003A7447" w:rsidRPr="00346C1E" w:rsidRDefault="003A7447" w:rsidP="00265216">
            <w:pPr>
              <w:jc w:val="both"/>
              <w:rPr>
                <w:rFonts w:ascii="Times New Roman" w:hAnsi="Times New Roman" w:cs="Times New Roman"/>
                <w:noProof/>
              </w:rPr>
            </w:pPr>
          </w:p>
          <w:p w14:paraId="1512FAB6" w14:textId="068D3D01" w:rsidR="00610938" w:rsidRPr="003C0D71" w:rsidRDefault="2603B6C4" w:rsidP="00FC32BB">
            <w:pPr>
              <w:jc w:val="both"/>
              <w:rPr>
                <w:rFonts w:ascii="Times New Roman" w:hAnsi="Times New Roman" w:cs="Times New Roman"/>
                <w:noProof/>
              </w:rPr>
            </w:pPr>
            <w:r>
              <w:rPr>
                <w:rFonts w:ascii="Times New Roman" w:hAnsi="Times New Roman"/>
                <w:noProof/>
              </w:rPr>
              <w:t>W sprawozdaniu EUNB zaleca się zatem, aby wymogi dotyczące EU-GBS miały zastosowanie do jednostki inicjującej sekurytyzację,</w:t>
            </w:r>
            <w:r w:rsidR="001B0DFF">
              <w:rPr>
                <w:rFonts w:ascii="Times New Roman" w:hAnsi="Times New Roman"/>
                <w:noProof/>
              </w:rPr>
              <w:t xml:space="preserve"> a nie</w:t>
            </w:r>
            <w:r>
              <w:rPr>
                <w:rFonts w:ascii="Times New Roman" w:hAnsi="Times New Roman"/>
                <w:noProof/>
              </w:rPr>
              <w:t xml:space="preserve"> do SSPE. EUNB przyznaje, że stosowanie wymogów dotyczących wykorzystania wpływów na poziomie jednostki inicjującej,</w:t>
            </w:r>
            <w:r w:rsidR="001B0DFF">
              <w:rPr>
                <w:rFonts w:ascii="Times New Roman" w:hAnsi="Times New Roman"/>
                <w:noProof/>
              </w:rPr>
              <w:t xml:space="preserve"> a nie</w:t>
            </w:r>
            <w:r>
              <w:rPr>
                <w:rFonts w:ascii="Times New Roman" w:hAnsi="Times New Roman"/>
                <w:noProof/>
              </w:rPr>
              <w:t xml:space="preserve"> na poziomie SSPE, nie wydaje się być oczywistym rozwiązaniem</w:t>
            </w:r>
            <w:r w:rsidR="001B0DFF">
              <w:rPr>
                <w:rFonts w:ascii="Times New Roman" w:hAnsi="Times New Roman"/>
                <w:noProof/>
              </w:rPr>
              <w:t xml:space="preserve"> w prz</w:t>
            </w:r>
            <w:r>
              <w:rPr>
                <w:rFonts w:ascii="Times New Roman" w:hAnsi="Times New Roman"/>
                <w:noProof/>
              </w:rPr>
              <w:t>ypadku sekurytyzacji, ponieważ</w:t>
            </w:r>
            <w:r w:rsidR="001B0DFF">
              <w:rPr>
                <w:rFonts w:ascii="Times New Roman" w:hAnsi="Times New Roman"/>
                <w:noProof/>
              </w:rPr>
              <w:t xml:space="preserve"> z rac</w:t>
            </w:r>
            <w:r>
              <w:rPr>
                <w:rFonts w:ascii="Times New Roman" w:hAnsi="Times New Roman"/>
                <w:noProof/>
              </w:rPr>
              <w:t>ji zabezpieczenia aktywami nie korzysta ona</w:t>
            </w:r>
            <w:r w:rsidR="001B0DFF">
              <w:rPr>
                <w:rFonts w:ascii="Times New Roman" w:hAnsi="Times New Roman"/>
                <w:noProof/>
              </w:rPr>
              <w:t xml:space="preserve"> z pod</w:t>
            </w:r>
            <w:r>
              <w:rPr>
                <w:rFonts w:ascii="Times New Roman" w:hAnsi="Times New Roman"/>
                <w:noProof/>
              </w:rPr>
              <w:t>wójnego regresu. Może to również skutkować sekurytyzacją EU-GBS</w:t>
            </w:r>
            <w:r w:rsidR="001B0DFF">
              <w:rPr>
                <w:rFonts w:ascii="Times New Roman" w:hAnsi="Times New Roman"/>
                <w:noProof/>
              </w:rPr>
              <w:t xml:space="preserve"> z akt</w:t>
            </w:r>
            <w:r>
              <w:rPr>
                <w:rFonts w:ascii="Times New Roman" w:hAnsi="Times New Roman"/>
                <w:noProof/>
              </w:rPr>
              <w:t>ywami bazowymi, które nie są „ekologiczne”. EUNB uważa jednak, że jest to najbardziej skuteczne</w:t>
            </w:r>
            <w:r w:rsidR="001B0DFF">
              <w:rPr>
                <w:rFonts w:ascii="Times New Roman" w:hAnsi="Times New Roman"/>
                <w:noProof/>
              </w:rPr>
              <w:t xml:space="preserve"> i pra</w:t>
            </w:r>
            <w:r>
              <w:rPr>
                <w:rFonts w:ascii="Times New Roman" w:hAnsi="Times New Roman"/>
                <w:noProof/>
              </w:rPr>
              <w:t>gmatyczne podejście</w:t>
            </w:r>
            <w:r w:rsidR="001B0DFF">
              <w:rPr>
                <w:rFonts w:ascii="Times New Roman" w:hAnsi="Times New Roman"/>
                <w:noProof/>
              </w:rPr>
              <w:t xml:space="preserve"> w okr</w:t>
            </w:r>
            <w:r>
              <w:rPr>
                <w:rFonts w:ascii="Times New Roman" w:hAnsi="Times New Roman"/>
                <w:noProof/>
              </w:rPr>
              <w:t>esie przejściowym</w:t>
            </w:r>
            <w:r w:rsidR="001B0DFF">
              <w:rPr>
                <w:rFonts w:ascii="Times New Roman" w:hAnsi="Times New Roman"/>
                <w:noProof/>
              </w:rPr>
              <w:t xml:space="preserve"> i zar</w:t>
            </w:r>
            <w:r>
              <w:rPr>
                <w:rFonts w:ascii="Times New Roman" w:hAnsi="Times New Roman"/>
                <w:noProof/>
              </w:rPr>
              <w:t>azem sposób na zapewnienie równego traktowania sekurytyzacji</w:t>
            </w:r>
            <w:r w:rsidR="001B0DFF">
              <w:rPr>
                <w:rFonts w:ascii="Times New Roman" w:hAnsi="Times New Roman"/>
                <w:noProof/>
              </w:rPr>
              <w:t xml:space="preserve"> z inn</w:t>
            </w:r>
            <w:r>
              <w:rPr>
                <w:rFonts w:ascii="Times New Roman" w:hAnsi="Times New Roman"/>
                <w:noProof/>
              </w:rPr>
              <w:t>ymi rodzajami papierów wartościowych zabezpieczonych aktywami. EUNB zaleca, aby przeniesieniu wymogów dotyczących EU-GBS na jednostkę inicjującą towarzyszyły dodatkowe środki na rzecz przejrzystości</w:t>
            </w:r>
            <w:r w:rsidR="001B0DFF">
              <w:rPr>
                <w:rFonts w:ascii="Times New Roman" w:hAnsi="Times New Roman"/>
                <w:noProof/>
              </w:rPr>
              <w:t xml:space="preserve"> w cel</w:t>
            </w:r>
            <w:r>
              <w:rPr>
                <w:rFonts w:ascii="Times New Roman" w:hAnsi="Times New Roman"/>
                <w:noProof/>
              </w:rPr>
              <w:t>u poinformowania inwestorów,</w:t>
            </w:r>
            <w:r w:rsidR="001B0DFF">
              <w:rPr>
                <w:rFonts w:ascii="Times New Roman" w:hAnsi="Times New Roman"/>
                <w:noProof/>
              </w:rPr>
              <w:t xml:space="preserve"> w jak</w:t>
            </w:r>
            <w:r>
              <w:rPr>
                <w:rFonts w:ascii="Times New Roman" w:hAnsi="Times New Roman"/>
                <w:noProof/>
              </w:rPr>
              <w:t>im stopniu pula aktywów jest zgodna</w:t>
            </w:r>
            <w:r w:rsidR="001B0DFF">
              <w:rPr>
                <w:rFonts w:ascii="Times New Roman" w:hAnsi="Times New Roman"/>
                <w:noProof/>
              </w:rPr>
              <w:t xml:space="preserve"> z sys</w:t>
            </w:r>
            <w:r>
              <w:rPr>
                <w:rFonts w:ascii="Times New Roman" w:hAnsi="Times New Roman"/>
                <w:noProof/>
              </w:rPr>
              <w:t>tematyką. Podejście to należy uzupełnić</w:t>
            </w:r>
            <w:r w:rsidR="001B0DFF">
              <w:rPr>
                <w:rFonts w:ascii="Times New Roman" w:hAnsi="Times New Roman"/>
                <w:noProof/>
              </w:rPr>
              <w:t xml:space="preserve"> o zab</w:t>
            </w:r>
            <w:r>
              <w:rPr>
                <w:rFonts w:ascii="Times New Roman" w:hAnsi="Times New Roman"/>
                <w:noProof/>
              </w:rPr>
              <w:t>ezpieczenia uniemożliwiające jednostce inicjującej wybór aktywów do sekurytyzacji</w:t>
            </w:r>
            <w:r w:rsidR="001B0DFF">
              <w:rPr>
                <w:rFonts w:ascii="Times New Roman" w:hAnsi="Times New Roman"/>
                <w:noProof/>
              </w:rPr>
              <w:t xml:space="preserve"> w spo</w:t>
            </w:r>
            <w:r>
              <w:rPr>
                <w:rFonts w:ascii="Times New Roman" w:hAnsi="Times New Roman"/>
                <w:noProof/>
              </w:rPr>
              <w:t>sób, który można by uznać za pseudoekologiczny marketing.</w:t>
            </w:r>
          </w:p>
        </w:tc>
      </w:tr>
    </w:tbl>
    <w:p w14:paraId="7BF4D970" w14:textId="77777777" w:rsidR="009C15E5" w:rsidRPr="003C0D71" w:rsidRDefault="009C15E5" w:rsidP="00B33592">
      <w:pPr>
        <w:spacing w:after="0"/>
        <w:jc w:val="both"/>
        <w:rPr>
          <w:rFonts w:ascii="Times New Roman" w:hAnsi="Times New Roman" w:cs="Times New Roman"/>
          <w:noProof/>
        </w:rPr>
      </w:pPr>
    </w:p>
    <w:p w14:paraId="7B46A887" w14:textId="76122D85" w:rsidR="00D44008" w:rsidRPr="003C0D71" w:rsidRDefault="00421C74" w:rsidP="2603B6C4">
      <w:pPr>
        <w:jc w:val="both"/>
        <w:rPr>
          <w:rFonts w:ascii="Times New Roman" w:hAnsi="Times New Roman" w:cs="Times New Roman"/>
          <w:noProof/>
        </w:rPr>
      </w:pPr>
      <w:r>
        <w:rPr>
          <w:rFonts w:ascii="Times New Roman" w:hAnsi="Times New Roman"/>
          <w:noProof/>
        </w:rPr>
        <w:t>Ponadto</w:t>
      </w:r>
      <w:r w:rsidR="001B0DFF">
        <w:rPr>
          <w:rFonts w:ascii="Times New Roman" w:hAnsi="Times New Roman"/>
          <w:noProof/>
        </w:rPr>
        <w:t xml:space="preserve"> w odn</w:t>
      </w:r>
      <w:r>
        <w:rPr>
          <w:rFonts w:ascii="Times New Roman" w:hAnsi="Times New Roman"/>
          <w:noProof/>
        </w:rPr>
        <w:t>iesieniu do ujawniania informacji dotyczących zrównoważonych sekurytyzacji, zgodnie</w:t>
      </w:r>
      <w:r w:rsidR="001B0DFF">
        <w:rPr>
          <w:rFonts w:ascii="Times New Roman" w:hAnsi="Times New Roman"/>
          <w:noProof/>
        </w:rPr>
        <w:t xml:space="preserve"> z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4</w:t>
      </w:r>
      <w:r>
        <w:rPr>
          <w:rFonts w:ascii="Times New Roman" w:hAnsi="Times New Roman"/>
          <w:noProof/>
        </w:rPr>
        <w:t>5a rozporządzenia</w:t>
      </w:r>
      <w:r w:rsidR="001B0DFF">
        <w:rPr>
          <w:rFonts w:ascii="Times New Roman" w:hAnsi="Times New Roman"/>
          <w:noProof/>
        </w:rPr>
        <w:t xml:space="preserve"> w spr</w:t>
      </w:r>
      <w:r>
        <w:rPr>
          <w:rFonts w:ascii="Times New Roman" w:hAnsi="Times New Roman"/>
          <w:noProof/>
        </w:rPr>
        <w:t>awie sekurytyzacji,</w:t>
      </w:r>
      <w:r w:rsidR="001B0DFF">
        <w:rPr>
          <w:rFonts w:ascii="Times New Roman" w:hAnsi="Times New Roman"/>
          <w:noProof/>
        </w:rPr>
        <w:t xml:space="preserve"> w spr</w:t>
      </w:r>
      <w:r>
        <w:rPr>
          <w:rFonts w:ascii="Times New Roman" w:hAnsi="Times New Roman"/>
          <w:noProof/>
        </w:rPr>
        <w:t>awozdaniu EUNB zbadano,</w:t>
      </w:r>
      <w:r w:rsidR="001B0DFF">
        <w:rPr>
          <w:rFonts w:ascii="Times New Roman" w:hAnsi="Times New Roman"/>
          <w:noProof/>
        </w:rPr>
        <w:t xml:space="preserve"> w jak</w:t>
      </w:r>
      <w:r>
        <w:rPr>
          <w:rFonts w:ascii="Times New Roman" w:hAnsi="Times New Roman"/>
          <w:noProof/>
        </w:rPr>
        <w:t>i sposób włączyć do rozporządzenia</w:t>
      </w:r>
      <w:r w:rsidR="001B0DFF">
        <w:rPr>
          <w:rFonts w:ascii="Times New Roman" w:hAnsi="Times New Roman"/>
          <w:noProof/>
        </w:rPr>
        <w:t xml:space="preserve"> w spr</w:t>
      </w:r>
      <w:r>
        <w:rPr>
          <w:rFonts w:ascii="Times New Roman" w:hAnsi="Times New Roman"/>
          <w:noProof/>
        </w:rPr>
        <w:t>awie sekurytyzacji ujawnianie informacji związanych ze zrównoważonym rozwojem, opierając się na rozporządzeniu</w:t>
      </w:r>
      <w:r w:rsidR="001B0DFF">
        <w:rPr>
          <w:rFonts w:ascii="Times New Roman" w:hAnsi="Times New Roman"/>
          <w:noProof/>
        </w:rPr>
        <w:t xml:space="preserve"> w spr</w:t>
      </w:r>
      <w:r>
        <w:rPr>
          <w:rFonts w:ascii="Times New Roman" w:hAnsi="Times New Roman"/>
          <w:noProof/>
        </w:rPr>
        <w:t>awie ujawniania informacji związanych ze zrównoważonym rozwojem</w:t>
      </w:r>
      <w:r w:rsidR="001B0DFF">
        <w:rPr>
          <w:rFonts w:ascii="Times New Roman" w:hAnsi="Times New Roman"/>
          <w:noProof/>
        </w:rPr>
        <w:t xml:space="preserve"> w sek</w:t>
      </w:r>
      <w:r>
        <w:rPr>
          <w:rFonts w:ascii="Times New Roman" w:hAnsi="Times New Roman"/>
          <w:noProof/>
        </w:rPr>
        <w:t>torze usług finansowych</w:t>
      </w:r>
      <w:r>
        <w:rPr>
          <w:rStyle w:val="FootnoteReference"/>
          <w:rFonts w:ascii="Times New Roman" w:hAnsi="Times New Roman" w:cs="Times New Roman"/>
          <w:noProof/>
        </w:rPr>
        <w:footnoteReference w:id="33"/>
      </w:r>
      <w:r w:rsidR="001B0DFF">
        <w:rPr>
          <w:rFonts w:ascii="Times New Roman" w:hAnsi="Times New Roman"/>
          <w:noProof/>
        </w:rPr>
        <w:t>. W roz</w:t>
      </w:r>
      <w:r>
        <w:rPr>
          <w:rFonts w:ascii="Times New Roman" w:hAnsi="Times New Roman"/>
          <w:noProof/>
        </w:rPr>
        <w:t>porządzeniu</w:t>
      </w:r>
      <w:r w:rsidR="001B0DFF">
        <w:rPr>
          <w:rFonts w:ascii="Times New Roman" w:hAnsi="Times New Roman"/>
          <w:noProof/>
        </w:rPr>
        <w:t xml:space="preserve"> w spr</w:t>
      </w:r>
      <w:r>
        <w:rPr>
          <w:rFonts w:ascii="Times New Roman" w:hAnsi="Times New Roman"/>
          <w:noProof/>
        </w:rPr>
        <w:t>awie ujawniania informacji związanych ze zrównoważonym rozwojem</w:t>
      </w:r>
      <w:r w:rsidR="001B0DFF">
        <w:rPr>
          <w:rFonts w:ascii="Times New Roman" w:hAnsi="Times New Roman"/>
          <w:noProof/>
        </w:rPr>
        <w:t xml:space="preserve"> w sek</w:t>
      </w:r>
      <w:r>
        <w:rPr>
          <w:rFonts w:ascii="Times New Roman" w:hAnsi="Times New Roman"/>
          <w:noProof/>
        </w:rPr>
        <w:t>torze usług finansowych określono obowiązki uczestników rynku finansowego</w:t>
      </w:r>
      <w:r w:rsidR="001B0DFF">
        <w:rPr>
          <w:rFonts w:ascii="Times New Roman" w:hAnsi="Times New Roman"/>
          <w:noProof/>
        </w:rPr>
        <w:t xml:space="preserve"> i dor</w:t>
      </w:r>
      <w:r>
        <w:rPr>
          <w:rFonts w:ascii="Times New Roman" w:hAnsi="Times New Roman"/>
          <w:noProof/>
        </w:rPr>
        <w:t>adców finansowych</w:t>
      </w:r>
      <w:r w:rsidR="001B0DFF">
        <w:rPr>
          <w:rFonts w:ascii="Times New Roman" w:hAnsi="Times New Roman"/>
          <w:noProof/>
        </w:rPr>
        <w:t xml:space="preserve"> w zak</w:t>
      </w:r>
      <w:r>
        <w:rPr>
          <w:rFonts w:ascii="Times New Roman" w:hAnsi="Times New Roman"/>
          <w:noProof/>
        </w:rPr>
        <w:t>resie ujawniania informacji związanych ze zrównoważonym rozwojem</w:t>
      </w:r>
      <w:r w:rsidR="001B0DFF">
        <w:rPr>
          <w:rFonts w:ascii="Times New Roman" w:hAnsi="Times New Roman"/>
          <w:noProof/>
        </w:rPr>
        <w:t xml:space="preserve"> w odn</w:t>
      </w:r>
      <w:r>
        <w:rPr>
          <w:rFonts w:ascii="Times New Roman" w:hAnsi="Times New Roman"/>
          <w:noProof/>
        </w:rPr>
        <w:t>iesieniu do inwestorów końcowych</w:t>
      </w:r>
      <w:r w:rsidR="001B0DFF">
        <w:rPr>
          <w:rFonts w:ascii="Times New Roman" w:hAnsi="Times New Roman"/>
          <w:noProof/>
        </w:rPr>
        <w:t>. W swo</w:t>
      </w:r>
      <w:r>
        <w:rPr>
          <w:rFonts w:ascii="Times New Roman" w:hAnsi="Times New Roman"/>
          <w:noProof/>
        </w:rPr>
        <w:t>im sprawozdaniu EUNB zwraca uwagę, że chociaż inwestorzy działający na rynku sekurytyzacji są objęci systemem określonym</w:t>
      </w:r>
      <w:r w:rsidR="001B0DFF">
        <w:rPr>
          <w:rFonts w:ascii="Times New Roman" w:hAnsi="Times New Roman"/>
          <w:noProof/>
        </w:rPr>
        <w:t xml:space="preserve"> w roz</w:t>
      </w:r>
      <w:r>
        <w:rPr>
          <w:rFonts w:ascii="Times New Roman" w:hAnsi="Times New Roman"/>
          <w:noProof/>
        </w:rPr>
        <w:t>porządzeniu</w:t>
      </w:r>
      <w:r w:rsidR="001B0DFF">
        <w:rPr>
          <w:rFonts w:ascii="Times New Roman" w:hAnsi="Times New Roman"/>
          <w:noProof/>
        </w:rPr>
        <w:t xml:space="preserve"> w spr</w:t>
      </w:r>
      <w:r>
        <w:rPr>
          <w:rFonts w:ascii="Times New Roman" w:hAnsi="Times New Roman"/>
          <w:noProof/>
        </w:rPr>
        <w:t>awie ujawniania informacji związanych ze zrównoważonym rozwojem</w:t>
      </w:r>
      <w:r w:rsidR="001B0DFF">
        <w:rPr>
          <w:rFonts w:ascii="Times New Roman" w:hAnsi="Times New Roman"/>
          <w:noProof/>
        </w:rPr>
        <w:t xml:space="preserve"> w sek</w:t>
      </w:r>
      <w:r>
        <w:rPr>
          <w:rFonts w:ascii="Times New Roman" w:hAnsi="Times New Roman"/>
          <w:noProof/>
        </w:rPr>
        <w:t>torze usług finansowych, produkty sekurytyzacyjne nie wchodzą</w:t>
      </w:r>
      <w:r w:rsidR="001B0DFF">
        <w:rPr>
          <w:rFonts w:ascii="Times New Roman" w:hAnsi="Times New Roman"/>
          <w:noProof/>
        </w:rPr>
        <w:t xml:space="preserve"> w zak</w:t>
      </w:r>
      <w:r>
        <w:rPr>
          <w:rFonts w:ascii="Times New Roman" w:hAnsi="Times New Roman"/>
          <w:noProof/>
        </w:rPr>
        <w:t>res tego rozporządzenia, ponieważ nie są uznawane za produkty finansowe</w:t>
      </w:r>
      <w:r w:rsidR="001B0DFF">
        <w:rPr>
          <w:rFonts w:ascii="Times New Roman" w:hAnsi="Times New Roman"/>
          <w:noProof/>
        </w:rPr>
        <w:t xml:space="preserve"> w roz</w:t>
      </w:r>
      <w:r>
        <w:rPr>
          <w:rFonts w:ascii="Times New Roman" w:hAnsi="Times New Roman"/>
          <w:noProof/>
        </w:rPr>
        <w:t xml:space="preserve">umieniu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2</w:t>
      </w:r>
      <w:r>
        <w:rPr>
          <w:rFonts w:ascii="Times New Roman" w:hAnsi="Times New Roman"/>
          <w:noProof/>
        </w:rPr>
        <w:t xml:space="preserve"> tego rozporządzenia</w:t>
      </w:r>
      <w:r w:rsidR="001B0DFF">
        <w:rPr>
          <w:rFonts w:ascii="Times New Roman" w:hAnsi="Times New Roman"/>
          <w:noProof/>
        </w:rPr>
        <w:t>. W rez</w:t>
      </w:r>
      <w:r>
        <w:rPr>
          <w:rFonts w:ascii="Times New Roman" w:hAnsi="Times New Roman"/>
          <w:noProof/>
        </w:rPr>
        <w:t>ultacie inwestorzy mogą nie być</w:t>
      </w:r>
      <w:r w:rsidR="001B0DFF">
        <w:rPr>
          <w:rFonts w:ascii="Times New Roman" w:hAnsi="Times New Roman"/>
          <w:noProof/>
        </w:rPr>
        <w:t xml:space="preserve"> w sta</w:t>
      </w:r>
      <w:r>
        <w:rPr>
          <w:rFonts w:ascii="Times New Roman" w:hAnsi="Times New Roman"/>
          <w:noProof/>
        </w:rPr>
        <w:t>nie uwzględnić ekspozycji sekurytyzacyjnych</w:t>
      </w:r>
      <w:r w:rsidR="001B0DFF">
        <w:rPr>
          <w:rFonts w:ascii="Times New Roman" w:hAnsi="Times New Roman"/>
          <w:noProof/>
        </w:rPr>
        <w:t xml:space="preserve"> w swo</w:t>
      </w:r>
      <w:r>
        <w:rPr>
          <w:rFonts w:ascii="Times New Roman" w:hAnsi="Times New Roman"/>
          <w:noProof/>
        </w:rPr>
        <w:t>ich strategiach inwestycyjnych</w:t>
      </w:r>
      <w:r w:rsidR="001B0DFF">
        <w:rPr>
          <w:rFonts w:ascii="Times New Roman" w:hAnsi="Times New Roman"/>
          <w:noProof/>
        </w:rPr>
        <w:t xml:space="preserve"> z zak</w:t>
      </w:r>
      <w:r>
        <w:rPr>
          <w:rFonts w:ascii="Times New Roman" w:hAnsi="Times New Roman"/>
          <w:noProof/>
        </w:rPr>
        <w:t>resu ochrony środowiska, polityki społecznej</w:t>
      </w:r>
      <w:r w:rsidR="001B0DFF">
        <w:rPr>
          <w:rFonts w:ascii="Times New Roman" w:hAnsi="Times New Roman"/>
          <w:noProof/>
        </w:rPr>
        <w:t xml:space="preserve"> i ład</w:t>
      </w:r>
      <w:r>
        <w:rPr>
          <w:rFonts w:ascii="Times New Roman" w:hAnsi="Times New Roman"/>
          <w:noProof/>
        </w:rPr>
        <w:t>u korporacyjnego.</w:t>
      </w:r>
    </w:p>
    <w:p w14:paraId="60BC3335" w14:textId="0EDDBE83" w:rsidR="00C704A3" w:rsidRPr="003C0D71" w:rsidRDefault="00421C74" w:rsidP="2603B6C4">
      <w:pPr>
        <w:jc w:val="both"/>
        <w:rPr>
          <w:rFonts w:ascii="Times New Roman" w:hAnsi="Times New Roman" w:cs="Times New Roman"/>
          <w:noProof/>
        </w:rPr>
      </w:pPr>
      <w:r>
        <w:rPr>
          <w:rFonts w:ascii="Times New Roman" w:hAnsi="Times New Roman"/>
          <w:noProof/>
        </w:rPr>
        <w:t>Wspólny Komitet Europejskich Urzędów Nadzoru ma za zadanie opracowanie regulacyjnych standardów technicznych, które określają informacje, jakie należy przedstawić na temat głównych niekorzystnych skutków niektórych rodzajów aktywów bazowych</w:t>
      </w:r>
      <w:r w:rsidR="001B0DFF">
        <w:rPr>
          <w:rFonts w:ascii="Times New Roman" w:hAnsi="Times New Roman"/>
          <w:noProof/>
        </w:rPr>
        <w:t xml:space="preserve"> w tra</w:t>
      </w:r>
      <w:r>
        <w:rPr>
          <w:rFonts w:ascii="Times New Roman" w:hAnsi="Times New Roman"/>
          <w:noProof/>
        </w:rPr>
        <w:t>nsakcjach STS</w:t>
      </w:r>
      <w:r>
        <w:rPr>
          <w:rStyle w:val="FootnoteReference"/>
          <w:rFonts w:ascii="Times New Roman" w:hAnsi="Times New Roman" w:cs="Times New Roman"/>
          <w:noProof/>
        </w:rPr>
        <w:footnoteReference w:id="34"/>
      </w:r>
      <w:r>
        <w:rPr>
          <w:rFonts w:ascii="Times New Roman" w:hAnsi="Times New Roman"/>
          <w:noProof/>
        </w:rPr>
        <w:t>. Chociaż zaspokoiłoby to zapotrzebowanie na informacje inwestorów skupionych na produktach powiązanych</w:t>
      </w:r>
      <w:r w:rsidR="001B0DFF">
        <w:rPr>
          <w:rFonts w:ascii="Times New Roman" w:hAnsi="Times New Roman"/>
          <w:noProof/>
        </w:rPr>
        <w:t xml:space="preserve"> z och</w:t>
      </w:r>
      <w:r>
        <w:rPr>
          <w:rFonts w:ascii="Times New Roman" w:hAnsi="Times New Roman"/>
          <w:noProof/>
        </w:rPr>
        <w:t>roną środowiska, polityką społeczną</w:t>
      </w:r>
      <w:r w:rsidR="001B0DFF">
        <w:rPr>
          <w:rFonts w:ascii="Times New Roman" w:hAnsi="Times New Roman"/>
          <w:noProof/>
        </w:rPr>
        <w:t xml:space="preserve"> i ład</w:t>
      </w:r>
      <w:r>
        <w:rPr>
          <w:rFonts w:ascii="Times New Roman" w:hAnsi="Times New Roman"/>
          <w:noProof/>
        </w:rPr>
        <w:t>em korporacyjnym, EUNB zaleca rozszerzenie zakresu ujawniania informacji</w:t>
      </w:r>
      <w:r w:rsidR="001B0DFF">
        <w:rPr>
          <w:rFonts w:ascii="Times New Roman" w:hAnsi="Times New Roman"/>
          <w:noProof/>
        </w:rPr>
        <w:t xml:space="preserve"> o głó</w:t>
      </w:r>
      <w:r>
        <w:rPr>
          <w:rFonts w:ascii="Times New Roman" w:hAnsi="Times New Roman"/>
          <w:noProof/>
        </w:rPr>
        <w:t>wnych niekorzystnych skutkach: (i)</w:t>
      </w:r>
      <w:r w:rsidR="001B0DFF">
        <w:rPr>
          <w:rFonts w:ascii="Times New Roman" w:hAnsi="Times New Roman"/>
          <w:noProof/>
        </w:rPr>
        <w:t xml:space="preserve"> w per</w:t>
      </w:r>
      <w:r>
        <w:rPr>
          <w:rFonts w:ascii="Times New Roman" w:hAnsi="Times New Roman"/>
          <w:noProof/>
        </w:rPr>
        <w:t>spektywie krótkoterminowej – na sekurytyzacje niebędące STS, które są zabezpieczone tymi samymi rodzajami aktywów, co sekurytyzacje objęte istniejącym wymogiem dotyczącym ujawniania informacji o STS; oraz (ii)</w:t>
      </w:r>
      <w:r w:rsidR="001B0DFF">
        <w:rPr>
          <w:rFonts w:ascii="Times New Roman" w:hAnsi="Times New Roman"/>
          <w:noProof/>
        </w:rPr>
        <w:t xml:space="preserve"> w per</w:t>
      </w:r>
      <w:r>
        <w:rPr>
          <w:rFonts w:ascii="Times New Roman" w:hAnsi="Times New Roman"/>
          <w:noProof/>
        </w:rPr>
        <w:t xml:space="preserve">spektywie średnioterminowej – na wszystkie sekurytyzacje. </w:t>
      </w:r>
    </w:p>
    <w:p w14:paraId="2F057550" w14:textId="4791B0E9" w:rsidR="00AA1401" w:rsidRPr="003C0D71" w:rsidRDefault="000146AB" w:rsidP="000D4664">
      <w:pPr>
        <w:rPr>
          <w:rFonts w:ascii="Times New Roman" w:hAnsi="Times New Roman" w:cs="Times New Roman"/>
          <w:b/>
          <w:noProof/>
          <w:sz w:val="24"/>
        </w:rPr>
      </w:pPr>
      <w:r>
        <w:rPr>
          <w:rFonts w:ascii="Times New Roman" w:hAnsi="Times New Roman"/>
          <w:b/>
          <w:noProof/>
          <w:sz w:val="24"/>
        </w:rPr>
        <w:t>Ocena Komisji</w:t>
      </w:r>
    </w:p>
    <w:p w14:paraId="7F72379B" w14:textId="534ECC1B" w:rsidR="00BD72E5" w:rsidRPr="003C0D71" w:rsidRDefault="00BD72E5" w:rsidP="00E14EB1">
      <w:pPr>
        <w:jc w:val="both"/>
        <w:rPr>
          <w:rFonts w:ascii="Times New Roman" w:hAnsi="Times New Roman" w:cs="Times New Roman"/>
          <w:noProof/>
        </w:rPr>
      </w:pPr>
      <w:r>
        <w:rPr>
          <w:rFonts w:ascii="Times New Roman" w:hAnsi="Times New Roman"/>
          <w:noProof/>
        </w:rPr>
        <w:t>Komisja</w:t>
      </w:r>
      <w:r w:rsidR="001B0DFF">
        <w:rPr>
          <w:rFonts w:ascii="Times New Roman" w:hAnsi="Times New Roman"/>
          <w:noProof/>
        </w:rPr>
        <w:t xml:space="preserve"> z zad</w:t>
      </w:r>
      <w:r>
        <w:rPr>
          <w:rFonts w:ascii="Times New Roman" w:hAnsi="Times New Roman"/>
          <w:noProof/>
        </w:rPr>
        <w:t>owoleniem przyjmuje obszerne</w:t>
      </w:r>
      <w:r w:rsidR="001B0DFF">
        <w:rPr>
          <w:rFonts w:ascii="Times New Roman" w:hAnsi="Times New Roman"/>
          <w:noProof/>
        </w:rPr>
        <w:t xml:space="preserve"> i dob</w:t>
      </w:r>
      <w:r>
        <w:rPr>
          <w:rFonts w:ascii="Times New Roman" w:hAnsi="Times New Roman"/>
          <w:noProof/>
        </w:rPr>
        <w:t>rze uzasadnione sprawozdanie EUNB jako istotny wkład</w:t>
      </w:r>
      <w:r w:rsidR="001B0DFF">
        <w:rPr>
          <w:rFonts w:ascii="Times New Roman" w:hAnsi="Times New Roman"/>
          <w:noProof/>
        </w:rPr>
        <w:t xml:space="preserve"> w opr</w:t>
      </w:r>
      <w:r>
        <w:rPr>
          <w:rFonts w:ascii="Times New Roman" w:hAnsi="Times New Roman"/>
          <w:noProof/>
        </w:rPr>
        <w:t>acowanie ram zrównoważonej sekurytyzacji. Komisja zgadza się z EUNB, że przynajmniej</w:t>
      </w:r>
      <w:r w:rsidR="001B0DFF">
        <w:rPr>
          <w:rFonts w:ascii="Times New Roman" w:hAnsi="Times New Roman"/>
          <w:noProof/>
        </w:rPr>
        <w:t xml:space="preserve"> w per</w:t>
      </w:r>
      <w:r>
        <w:rPr>
          <w:rFonts w:ascii="Times New Roman" w:hAnsi="Times New Roman"/>
          <w:noProof/>
        </w:rPr>
        <w:t>spektywie krótko-</w:t>
      </w:r>
      <w:r w:rsidR="001B0DFF">
        <w:rPr>
          <w:rFonts w:ascii="Times New Roman" w:hAnsi="Times New Roman"/>
          <w:noProof/>
        </w:rPr>
        <w:t xml:space="preserve"> i śre</w:t>
      </w:r>
      <w:r>
        <w:rPr>
          <w:rFonts w:ascii="Times New Roman" w:hAnsi="Times New Roman"/>
          <w:noProof/>
        </w:rPr>
        <w:t>dnioterminowej nie ma podstaw do stworzenia specjalnego oznakowania dotyczącego zrównoważonego rozwoju</w:t>
      </w:r>
      <w:r w:rsidR="001B0DFF">
        <w:rPr>
          <w:rFonts w:ascii="Times New Roman" w:hAnsi="Times New Roman"/>
          <w:noProof/>
        </w:rPr>
        <w:t xml:space="preserve"> w odn</w:t>
      </w:r>
      <w:r>
        <w:rPr>
          <w:rFonts w:ascii="Times New Roman" w:hAnsi="Times New Roman"/>
          <w:noProof/>
        </w:rPr>
        <w:t>iesieniu do sekurytyzacji, zważywszy</w:t>
      </w:r>
      <w:r w:rsidR="001B0DFF">
        <w:rPr>
          <w:rFonts w:ascii="Times New Roman" w:hAnsi="Times New Roman"/>
          <w:noProof/>
        </w:rPr>
        <w:t xml:space="preserve"> w szc</w:t>
      </w:r>
      <w:r>
        <w:rPr>
          <w:rFonts w:ascii="Times New Roman" w:hAnsi="Times New Roman"/>
          <w:noProof/>
        </w:rPr>
        <w:t>zególności na niewielką ilość zielonych aktywów dostępnych do sekurytyzacji</w:t>
      </w:r>
      <w:r w:rsidR="001B0DFF">
        <w:rPr>
          <w:rFonts w:ascii="Times New Roman" w:hAnsi="Times New Roman"/>
          <w:noProof/>
        </w:rPr>
        <w:t>. W zwi</w:t>
      </w:r>
      <w:r>
        <w:rPr>
          <w:rFonts w:ascii="Times New Roman" w:hAnsi="Times New Roman"/>
          <w:noProof/>
        </w:rPr>
        <w:t>ązku</w:t>
      </w:r>
      <w:r w:rsidR="001B0DFF">
        <w:rPr>
          <w:rFonts w:ascii="Times New Roman" w:hAnsi="Times New Roman"/>
          <w:noProof/>
        </w:rPr>
        <w:t xml:space="preserve"> z tym</w:t>
      </w:r>
      <w:r>
        <w:rPr>
          <w:rFonts w:ascii="Times New Roman" w:hAnsi="Times New Roman"/>
          <w:noProof/>
        </w:rPr>
        <w:t xml:space="preserve"> Komisja zwraca się do Parlamentu Europejskiego</w:t>
      </w:r>
      <w:r w:rsidR="001B0DFF">
        <w:rPr>
          <w:rFonts w:ascii="Times New Roman" w:hAnsi="Times New Roman"/>
          <w:noProof/>
        </w:rPr>
        <w:t xml:space="preserve"> i Rad</w:t>
      </w:r>
      <w:r>
        <w:rPr>
          <w:rFonts w:ascii="Times New Roman" w:hAnsi="Times New Roman"/>
          <w:noProof/>
        </w:rPr>
        <w:t>y</w:t>
      </w:r>
      <w:r w:rsidR="001B0DFF">
        <w:rPr>
          <w:rFonts w:ascii="Times New Roman" w:hAnsi="Times New Roman"/>
          <w:noProof/>
        </w:rPr>
        <w:t xml:space="preserve"> o uwz</w:t>
      </w:r>
      <w:r>
        <w:rPr>
          <w:rFonts w:ascii="Times New Roman" w:hAnsi="Times New Roman"/>
          <w:noProof/>
        </w:rPr>
        <w:t>ględnienie zalecenia EUNB</w:t>
      </w:r>
      <w:r w:rsidR="001B0DFF">
        <w:rPr>
          <w:rFonts w:ascii="Times New Roman" w:hAnsi="Times New Roman"/>
          <w:noProof/>
        </w:rPr>
        <w:t xml:space="preserve"> w kon</w:t>
      </w:r>
      <w:r>
        <w:rPr>
          <w:rFonts w:ascii="Times New Roman" w:hAnsi="Times New Roman"/>
          <w:noProof/>
        </w:rPr>
        <w:t>tekście trwających negocjacji</w:t>
      </w:r>
      <w:r w:rsidR="001B0DFF">
        <w:rPr>
          <w:rFonts w:ascii="Times New Roman" w:hAnsi="Times New Roman"/>
          <w:noProof/>
        </w:rPr>
        <w:t xml:space="preserve"> w spr</w:t>
      </w:r>
      <w:r>
        <w:rPr>
          <w:rFonts w:ascii="Times New Roman" w:hAnsi="Times New Roman"/>
          <w:noProof/>
        </w:rPr>
        <w:t>awie EU-GBS</w:t>
      </w:r>
      <w:r w:rsidR="001B0DFF">
        <w:rPr>
          <w:rFonts w:ascii="Times New Roman" w:hAnsi="Times New Roman"/>
          <w:noProof/>
        </w:rPr>
        <w:t xml:space="preserve"> i wyr</w:t>
      </w:r>
      <w:r>
        <w:rPr>
          <w:rFonts w:ascii="Times New Roman" w:hAnsi="Times New Roman"/>
          <w:noProof/>
        </w:rPr>
        <w:t>aża gotowość do pomocy</w:t>
      </w:r>
      <w:r w:rsidR="001B0DFF">
        <w:rPr>
          <w:rFonts w:ascii="Times New Roman" w:hAnsi="Times New Roman"/>
          <w:noProof/>
        </w:rPr>
        <w:t xml:space="preserve"> w pra</w:t>
      </w:r>
      <w:r>
        <w:rPr>
          <w:rFonts w:ascii="Times New Roman" w:hAnsi="Times New Roman"/>
          <w:noProof/>
        </w:rPr>
        <w:t>cach nad określeniem szczegółów sekurytyzacji</w:t>
      </w:r>
      <w:r w:rsidR="001B0DFF">
        <w:rPr>
          <w:rFonts w:ascii="Times New Roman" w:hAnsi="Times New Roman"/>
          <w:noProof/>
        </w:rPr>
        <w:t xml:space="preserve"> w ram</w:t>
      </w:r>
      <w:r>
        <w:rPr>
          <w:rFonts w:ascii="Times New Roman" w:hAnsi="Times New Roman"/>
          <w:noProof/>
        </w:rPr>
        <w:t>ach EU-GBS.</w:t>
      </w:r>
    </w:p>
    <w:p w14:paraId="5BCC2254" w14:textId="58F44D91" w:rsidR="005A612D" w:rsidRPr="003C0D71" w:rsidRDefault="008E582D" w:rsidP="00E14EB1">
      <w:pPr>
        <w:jc w:val="both"/>
        <w:rPr>
          <w:rFonts w:ascii="Times New Roman" w:hAnsi="Times New Roman" w:cs="Times New Roman"/>
          <w:noProof/>
        </w:rPr>
      </w:pPr>
      <w:r>
        <w:rPr>
          <w:rFonts w:ascii="Times New Roman" w:hAnsi="Times New Roman"/>
          <w:noProof/>
        </w:rPr>
        <w:t>Jeżeli chodzi</w:t>
      </w:r>
      <w:r w:rsidR="001B0DFF">
        <w:rPr>
          <w:rFonts w:ascii="Times New Roman" w:hAnsi="Times New Roman"/>
          <w:noProof/>
        </w:rPr>
        <w:t xml:space="preserve"> o uja</w:t>
      </w:r>
      <w:r>
        <w:rPr>
          <w:rFonts w:ascii="Times New Roman" w:hAnsi="Times New Roman"/>
          <w:noProof/>
        </w:rPr>
        <w:t>wnianie informacji związanych ze zrównoważonym rozwojem, Komisja uznaje potrzebę opracowania informacji</w:t>
      </w:r>
      <w:r w:rsidR="001B0DFF">
        <w:rPr>
          <w:rFonts w:ascii="Times New Roman" w:hAnsi="Times New Roman"/>
          <w:noProof/>
        </w:rPr>
        <w:t xml:space="preserve"> o głó</w:t>
      </w:r>
      <w:r>
        <w:rPr>
          <w:rFonts w:ascii="Times New Roman" w:hAnsi="Times New Roman"/>
          <w:noProof/>
        </w:rPr>
        <w:t>wnych niekorzystnych skutkach</w:t>
      </w:r>
      <w:r w:rsidR="001B0DFF">
        <w:rPr>
          <w:rFonts w:ascii="Times New Roman" w:hAnsi="Times New Roman"/>
          <w:noProof/>
        </w:rPr>
        <w:t xml:space="preserve"> i uwa</w:t>
      </w:r>
      <w:r>
        <w:rPr>
          <w:rFonts w:ascii="Times New Roman" w:hAnsi="Times New Roman"/>
          <w:noProof/>
        </w:rPr>
        <w:t>ża, że zakres regulacyjnego standardu technicznego, który ma zostać wkrótce opracowany przez Wspólny Komitet, powinien być jak najszerszy.</w:t>
      </w:r>
    </w:p>
    <w:p w14:paraId="62024397" w14:textId="29A7F459" w:rsidR="005D192F" w:rsidRPr="003C0D71" w:rsidRDefault="2603B6C4" w:rsidP="005D192F">
      <w:pPr>
        <w:pStyle w:val="Heading1"/>
        <w:numPr>
          <w:ilvl w:val="0"/>
          <w:numId w:val="2"/>
        </w:numPr>
        <w:rPr>
          <w:rFonts w:ascii="Times New Roman" w:hAnsi="Times New Roman" w:cs="Times New Roman"/>
          <w:noProof/>
          <w:color w:val="auto"/>
        </w:rPr>
      </w:pPr>
      <w:bookmarkStart w:id="49" w:name="_Toc104283072"/>
      <w:bookmarkStart w:id="50" w:name="_Toc104286140"/>
      <w:bookmarkStart w:id="51" w:name="_Toc104297345"/>
      <w:bookmarkStart w:id="52" w:name="_Toc115361595"/>
      <w:r>
        <w:rPr>
          <w:rFonts w:ascii="Times New Roman" w:hAnsi="Times New Roman"/>
          <w:noProof/>
          <w:color w:val="auto"/>
        </w:rPr>
        <w:t>Weryfikacja kryteriów STS przez osobę trzecią</w:t>
      </w:r>
      <w:bookmarkEnd w:id="49"/>
      <w:bookmarkEnd w:id="50"/>
      <w:bookmarkEnd w:id="51"/>
      <w:bookmarkEnd w:id="52"/>
    </w:p>
    <w:p w14:paraId="0BE7D525" w14:textId="3C5D2441" w:rsidR="00D57961" w:rsidRPr="003C0D71" w:rsidRDefault="2603B6C4" w:rsidP="000D4664">
      <w:pPr>
        <w:rPr>
          <w:rFonts w:ascii="Times New Roman" w:hAnsi="Times New Roman" w:cs="Times New Roman"/>
          <w:b/>
          <w:noProof/>
          <w:sz w:val="24"/>
        </w:rPr>
      </w:pPr>
      <w:r>
        <w:rPr>
          <w:rFonts w:ascii="Times New Roman" w:hAnsi="Times New Roman"/>
          <w:b/>
          <w:noProof/>
          <w:sz w:val="24"/>
        </w:rPr>
        <w:t>Kontekst</w:t>
      </w:r>
      <w:r w:rsidR="001B0DFF">
        <w:rPr>
          <w:rFonts w:ascii="Times New Roman" w:hAnsi="Times New Roman"/>
          <w:b/>
          <w:noProof/>
          <w:sz w:val="24"/>
        </w:rPr>
        <w:t xml:space="preserve"> i ust</w:t>
      </w:r>
      <w:r>
        <w:rPr>
          <w:rFonts w:ascii="Times New Roman" w:hAnsi="Times New Roman"/>
          <w:b/>
          <w:noProof/>
          <w:sz w:val="24"/>
        </w:rPr>
        <w:t>alenia</w:t>
      </w:r>
    </w:p>
    <w:p w14:paraId="57E8A563" w14:textId="39AE8EDF" w:rsidR="005666C6" w:rsidRPr="003C0D71" w:rsidRDefault="2603B6C4" w:rsidP="2603B6C4">
      <w:pPr>
        <w:jc w:val="both"/>
        <w:rPr>
          <w:rFonts w:ascii="Times New Roman" w:hAnsi="Times New Roman" w:cs="Times New Roman"/>
          <w:noProof/>
        </w:rPr>
      </w:pPr>
      <w:r>
        <w:rPr>
          <w:rFonts w:ascii="Times New Roman" w:hAnsi="Times New Roman"/>
          <w:noProof/>
        </w:rPr>
        <w:t>Rozporządzeniem</w:t>
      </w:r>
      <w:r w:rsidR="001B0DFF">
        <w:rPr>
          <w:rFonts w:ascii="Times New Roman" w:hAnsi="Times New Roman"/>
          <w:noProof/>
        </w:rPr>
        <w:t xml:space="preserve"> w spr</w:t>
      </w:r>
      <w:r>
        <w:rPr>
          <w:rFonts w:ascii="Times New Roman" w:hAnsi="Times New Roman"/>
          <w:noProof/>
        </w:rPr>
        <w:t>awie sekurytyzacji ustanowiono system podmiotów weryfikujących będących osobami trzecimi, które mają pomagać zarówno emitentom, jak</w:t>
      </w:r>
      <w:r w:rsidR="001B0DFF">
        <w:rPr>
          <w:rFonts w:ascii="Times New Roman" w:hAnsi="Times New Roman"/>
          <w:noProof/>
        </w:rPr>
        <w:t xml:space="preserve"> i inw</w:t>
      </w:r>
      <w:r>
        <w:rPr>
          <w:rFonts w:ascii="Times New Roman" w:hAnsi="Times New Roman"/>
          <w:noProof/>
        </w:rPr>
        <w:t>estorom, na zasadzie dobrowolności,</w:t>
      </w:r>
      <w:r w:rsidR="001B0DFF">
        <w:rPr>
          <w:rFonts w:ascii="Times New Roman" w:hAnsi="Times New Roman"/>
          <w:noProof/>
        </w:rPr>
        <w:t xml:space="preserve"> w oce</w:t>
      </w:r>
      <w:r>
        <w:rPr>
          <w:rFonts w:ascii="Times New Roman" w:hAnsi="Times New Roman"/>
          <w:noProof/>
        </w:rPr>
        <w:t>nie zgodności transakcji</w:t>
      </w:r>
      <w:r w:rsidR="001B0DFF">
        <w:rPr>
          <w:rFonts w:ascii="Times New Roman" w:hAnsi="Times New Roman"/>
          <w:noProof/>
        </w:rPr>
        <w:t xml:space="preserve"> z kry</w:t>
      </w:r>
      <w:r>
        <w:rPr>
          <w:rFonts w:ascii="Times New Roman" w:hAnsi="Times New Roman"/>
          <w:noProof/>
        </w:rPr>
        <w:t>teriami STS. Zaangażowanie takich podmiotów weryfikujących nie zwalnia jednak jednostek inicjujących, sponsorujących</w:t>
      </w:r>
      <w:r w:rsidR="001B0DFF">
        <w:rPr>
          <w:rFonts w:ascii="Times New Roman" w:hAnsi="Times New Roman"/>
          <w:noProof/>
        </w:rPr>
        <w:t xml:space="preserve"> i inw</w:t>
      </w:r>
      <w:r>
        <w:rPr>
          <w:rFonts w:ascii="Times New Roman" w:hAnsi="Times New Roman"/>
          <w:noProof/>
        </w:rPr>
        <w:t>estorów instytucjonalnych</w:t>
      </w:r>
      <w:r w:rsidR="001B0DFF">
        <w:rPr>
          <w:rFonts w:ascii="Times New Roman" w:hAnsi="Times New Roman"/>
          <w:noProof/>
        </w:rPr>
        <w:t xml:space="preserve"> z odp</w:t>
      </w:r>
      <w:r>
        <w:rPr>
          <w:rFonts w:ascii="Times New Roman" w:hAnsi="Times New Roman"/>
          <w:noProof/>
        </w:rPr>
        <w:t>owiedzialności prawnej za traktowanie transakcji sekurytyzacyjnej jako STS. Te podmioty weryfikujące będące osobami trzecimi są upoważnione przez ESMA</w:t>
      </w:r>
      <w:r w:rsidR="001B0DFF">
        <w:rPr>
          <w:rFonts w:ascii="Times New Roman" w:hAnsi="Times New Roman"/>
          <w:noProof/>
        </w:rPr>
        <w:t xml:space="preserve"> i nad</w:t>
      </w:r>
      <w:r>
        <w:rPr>
          <w:rFonts w:ascii="Times New Roman" w:hAnsi="Times New Roman"/>
          <w:noProof/>
        </w:rPr>
        <w:t>zorowane przez odpowiedni właściwy organ krajowy państwa członkowskiego,</w:t>
      </w:r>
      <w:r w:rsidR="001B0DFF">
        <w:rPr>
          <w:rFonts w:ascii="Times New Roman" w:hAnsi="Times New Roman"/>
          <w:noProof/>
        </w:rPr>
        <w:t xml:space="preserve"> w któ</w:t>
      </w:r>
      <w:r>
        <w:rPr>
          <w:rFonts w:ascii="Times New Roman" w:hAnsi="Times New Roman"/>
          <w:noProof/>
        </w:rPr>
        <w:t>rym są zarejestrowane. ESMA udzielił dotychczas upoważnienia dwóm podmiotom weryfikującym będącym osobami trzecimi. Do tej pory przy większości transakcji STS korzystano</w:t>
      </w:r>
      <w:r w:rsidR="001B0DFF">
        <w:rPr>
          <w:rFonts w:ascii="Times New Roman" w:hAnsi="Times New Roman"/>
          <w:noProof/>
        </w:rPr>
        <w:t xml:space="preserve"> z usł</w:t>
      </w:r>
      <w:r>
        <w:rPr>
          <w:rFonts w:ascii="Times New Roman" w:hAnsi="Times New Roman"/>
          <w:noProof/>
        </w:rPr>
        <w:t>ug jednego</w:t>
      </w:r>
      <w:r w:rsidR="001B0DFF">
        <w:rPr>
          <w:rFonts w:ascii="Times New Roman" w:hAnsi="Times New Roman"/>
          <w:noProof/>
        </w:rPr>
        <w:t xml:space="preserve"> z dwó</w:t>
      </w:r>
      <w:r>
        <w:rPr>
          <w:rFonts w:ascii="Times New Roman" w:hAnsi="Times New Roman"/>
          <w:noProof/>
        </w:rPr>
        <w:t>ch podmiotów weryfikujących będących osobami trzecimi.</w:t>
      </w:r>
    </w:p>
    <w:p w14:paraId="131DA29B" w14:textId="60D9D7F6" w:rsidR="006D3080" w:rsidRPr="003C0D71" w:rsidRDefault="2603B6C4" w:rsidP="2603B6C4">
      <w:pPr>
        <w:jc w:val="both"/>
        <w:rPr>
          <w:rFonts w:ascii="Times New Roman" w:hAnsi="Times New Roman" w:cs="Times New Roman"/>
          <w:noProof/>
        </w:rPr>
      </w:pPr>
      <w:r>
        <w:rPr>
          <w:rFonts w:ascii="Times New Roman" w:hAnsi="Times New Roman"/>
          <w:noProof/>
        </w:rPr>
        <w:t>W sprawozdaniu Wspólnego Komitetu przeanalizowano rolę podmiotów weryfikujących będących osobami trzecimi na rynku STS. Wspólny Komitet zauważył, że rynek uznaje te podmioty za pomocne,</w:t>
      </w:r>
      <w:r w:rsidR="001B0DFF">
        <w:rPr>
          <w:rFonts w:ascii="Times New Roman" w:hAnsi="Times New Roman"/>
          <w:noProof/>
        </w:rPr>
        <w:t xml:space="preserve"> w szc</w:t>
      </w:r>
      <w:r>
        <w:rPr>
          <w:rFonts w:ascii="Times New Roman" w:hAnsi="Times New Roman"/>
          <w:noProof/>
        </w:rPr>
        <w:t>zególności</w:t>
      </w:r>
      <w:r w:rsidR="001B0DFF">
        <w:rPr>
          <w:rFonts w:ascii="Times New Roman" w:hAnsi="Times New Roman"/>
          <w:noProof/>
        </w:rPr>
        <w:t xml:space="preserve"> w prz</w:t>
      </w:r>
      <w:r>
        <w:rPr>
          <w:rFonts w:ascii="Times New Roman" w:hAnsi="Times New Roman"/>
          <w:noProof/>
        </w:rPr>
        <w:t>ypadku mniej doświadczonych uczestników rynku, zwłaszcza</w:t>
      </w:r>
      <w:r w:rsidR="001B0DFF">
        <w:rPr>
          <w:rFonts w:ascii="Times New Roman" w:hAnsi="Times New Roman"/>
          <w:noProof/>
        </w:rPr>
        <w:t xml:space="preserve"> w zak</w:t>
      </w:r>
      <w:r>
        <w:rPr>
          <w:rFonts w:ascii="Times New Roman" w:hAnsi="Times New Roman"/>
          <w:noProof/>
        </w:rPr>
        <w:t>resie zapewniania wsparcia</w:t>
      </w:r>
      <w:r w:rsidR="001B0DFF">
        <w:rPr>
          <w:rFonts w:ascii="Times New Roman" w:hAnsi="Times New Roman"/>
          <w:noProof/>
        </w:rPr>
        <w:t xml:space="preserve"> w świ</w:t>
      </w:r>
      <w:r>
        <w:rPr>
          <w:rFonts w:ascii="Times New Roman" w:hAnsi="Times New Roman"/>
          <w:noProof/>
        </w:rPr>
        <w:t>etle sankcji finansowych nakładanych za błędne informacje</w:t>
      </w:r>
      <w:r w:rsidR="001B0DFF">
        <w:rPr>
          <w:rFonts w:ascii="Times New Roman" w:hAnsi="Times New Roman"/>
          <w:noProof/>
        </w:rPr>
        <w:t xml:space="preserve"> w zgł</w:t>
      </w:r>
      <w:r>
        <w:rPr>
          <w:rFonts w:ascii="Times New Roman" w:hAnsi="Times New Roman"/>
          <w:noProof/>
        </w:rPr>
        <w:t>oszeniu STS. Wspólny Komitet stwierdził, że interakcje między podmiotami weryfikującymi będącymi osobami trzecimi</w:t>
      </w:r>
      <w:r w:rsidR="001B0DFF">
        <w:rPr>
          <w:rFonts w:ascii="Times New Roman" w:hAnsi="Times New Roman"/>
          <w:noProof/>
        </w:rPr>
        <w:t xml:space="preserve"> a wła</w:t>
      </w:r>
      <w:r>
        <w:rPr>
          <w:rFonts w:ascii="Times New Roman" w:hAnsi="Times New Roman"/>
          <w:noProof/>
        </w:rPr>
        <w:t>ściwymi organami krajowymi były dotychczas ograniczone. Biorąc pod uwagę oczywiste znaczenie podmiotów weryfikujących dla rynku STS oraz koncentrację na bardzo niewielu podmiotach, może to prowadzić do potencjalnych rozbieżności między organami nadzoru</w:t>
      </w:r>
      <w:r w:rsidR="001B0DFF">
        <w:rPr>
          <w:rFonts w:ascii="Times New Roman" w:hAnsi="Times New Roman"/>
          <w:noProof/>
        </w:rPr>
        <w:t xml:space="preserve"> a pod</w:t>
      </w:r>
      <w:r>
        <w:rPr>
          <w:rFonts w:ascii="Times New Roman" w:hAnsi="Times New Roman"/>
          <w:noProof/>
        </w:rPr>
        <w:t>miotami weryfikującymi</w:t>
      </w:r>
      <w:r w:rsidR="001B0DFF">
        <w:rPr>
          <w:rFonts w:ascii="Times New Roman" w:hAnsi="Times New Roman"/>
          <w:noProof/>
        </w:rPr>
        <w:t xml:space="preserve"> w zak</w:t>
      </w:r>
      <w:r>
        <w:rPr>
          <w:rFonts w:ascii="Times New Roman" w:hAnsi="Times New Roman"/>
          <w:noProof/>
        </w:rPr>
        <w:t>resie interpretacji kryteriów STS. Ponadto</w:t>
      </w:r>
      <w:r w:rsidR="001B0DFF">
        <w:rPr>
          <w:rFonts w:ascii="Times New Roman" w:hAnsi="Times New Roman"/>
          <w:noProof/>
        </w:rPr>
        <w:t xml:space="preserve"> w swo</w:t>
      </w:r>
      <w:r>
        <w:rPr>
          <w:rFonts w:ascii="Times New Roman" w:hAnsi="Times New Roman"/>
          <w:noProof/>
        </w:rPr>
        <w:t>im sprawozdaniu Wspólny Komitet zauważył, że dotychczas nie istniało wspólne podejście do nadzoru nad podmiotami weryfikującymi STS.</w:t>
      </w:r>
    </w:p>
    <w:p w14:paraId="72F3CD67" w14:textId="61F2EF28" w:rsidR="002A1356" w:rsidRPr="003C0D71" w:rsidRDefault="000146AB" w:rsidP="000D4664">
      <w:pPr>
        <w:rPr>
          <w:rFonts w:ascii="Times New Roman" w:hAnsi="Times New Roman" w:cs="Times New Roman"/>
          <w:b/>
          <w:noProof/>
          <w:sz w:val="24"/>
        </w:rPr>
      </w:pPr>
      <w:r>
        <w:rPr>
          <w:rFonts w:ascii="Times New Roman" w:hAnsi="Times New Roman"/>
          <w:b/>
          <w:noProof/>
          <w:sz w:val="24"/>
        </w:rPr>
        <w:t>Ocena Komisji</w:t>
      </w:r>
    </w:p>
    <w:p w14:paraId="0E1BD1FF" w14:textId="2616460C" w:rsidR="00FA78CC" w:rsidRPr="003C0D71" w:rsidRDefault="00FA78CC" w:rsidP="00FA78CC">
      <w:pPr>
        <w:jc w:val="both"/>
        <w:rPr>
          <w:rFonts w:ascii="Times New Roman" w:hAnsi="Times New Roman" w:cs="Times New Roman"/>
          <w:noProof/>
        </w:rPr>
      </w:pPr>
      <w:r>
        <w:rPr>
          <w:rFonts w:ascii="Times New Roman" w:hAnsi="Times New Roman"/>
          <w:noProof/>
        </w:rPr>
        <w:t>System weryfikacji przez osoby trzecie wydaje się funkcjonować zgodnie</w:t>
      </w:r>
      <w:r w:rsidR="001B0DFF">
        <w:rPr>
          <w:rFonts w:ascii="Times New Roman" w:hAnsi="Times New Roman"/>
          <w:noProof/>
        </w:rPr>
        <w:t xml:space="preserve"> z zał</w:t>
      </w:r>
      <w:r>
        <w:rPr>
          <w:rFonts w:ascii="Times New Roman" w:hAnsi="Times New Roman"/>
          <w:noProof/>
        </w:rPr>
        <w:t>ożeniami</w:t>
      </w:r>
      <w:r w:rsidR="001B0DFF">
        <w:rPr>
          <w:rFonts w:ascii="Times New Roman" w:hAnsi="Times New Roman"/>
          <w:noProof/>
        </w:rPr>
        <w:t xml:space="preserve"> i Kom</w:t>
      </w:r>
      <w:r>
        <w:rPr>
          <w:rFonts w:ascii="Times New Roman" w:hAnsi="Times New Roman"/>
          <w:noProof/>
        </w:rPr>
        <w:t>isja nie widzi potrzeby zmiany przepisów regulujących ten system. Jak wskazano</w:t>
      </w:r>
      <w:r w:rsidR="001B0DFF">
        <w:rPr>
          <w:rFonts w:ascii="Times New Roman" w:hAnsi="Times New Roman"/>
          <w:noProof/>
        </w:rPr>
        <w:t xml:space="preserve"> w spr</w:t>
      </w:r>
      <w:r>
        <w:rPr>
          <w:rFonts w:ascii="Times New Roman" w:hAnsi="Times New Roman"/>
          <w:noProof/>
        </w:rPr>
        <w:t>awozdaniu Wspólnego Komitetu, dialog pomiędzy właściwymi organami krajowymi</w:t>
      </w:r>
      <w:r w:rsidR="001B0DFF">
        <w:rPr>
          <w:rFonts w:ascii="Times New Roman" w:hAnsi="Times New Roman"/>
          <w:noProof/>
        </w:rPr>
        <w:t xml:space="preserve"> a fir</w:t>
      </w:r>
      <w:r>
        <w:rPr>
          <w:rFonts w:ascii="Times New Roman" w:hAnsi="Times New Roman"/>
          <w:noProof/>
        </w:rPr>
        <w:t>mami weryfikującymi będącymi osobami trzecimi powinien odbywać się</w:t>
      </w:r>
      <w:r w:rsidR="001B0DFF">
        <w:rPr>
          <w:rFonts w:ascii="Times New Roman" w:hAnsi="Times New Roman"/>
          <w:noProof/>
        </w:rPr>
        <w:t xml:space="preserve"> z odp</w:t>
      </w:r>
      <w:r>
        <w:rPr>
          <w:rFonts w:ascii="Times New Roman" w:hAnsi="Times New Roman"/>
          <w:noProof/>
        </w:rPr>
        <w:t>owiednią częstotliwością, co pozwoli uniknąć niespójnej interpretacji kryteriów STS na niekorzyść emitentów</w:t>
      </w:r>
      <w:r w:rsidR="001B0DFF">
        <w:rPr>
          <w:rFonts w:ascii="Times New Roman" w:hAnsi="Times New Roman"/>
          <w:noProof/>
        </w:rPr>
        <w:t xml:space="preserve"> i inw</w:t>
      </w:r>
      <w:r>
        <w:rPr>
          <w:rFonts w:ascii="Times New Roman" w:hAnsi="Times New Roman"/>
          <w:noProof/>
        </w:rPr>
        <w:t xml:space="preserve">estorów. </w:t>
      </w:r>
    </w:p>
    <w:p w14:paraId="5C53D490" w14:textId="529905FA" w:rsidR="009F3791" w:rsidRPr="003C0D71" w:rsidRDefault="009F3791" w:rsidP="009F3791">
      <w:pPr>
        <w:jc w:val="both"/>
        <w:rPr>
          <w:rFonts w:ascii="Times New Roman" w:hAnsi="Times New Roman" w:cs="Times New Roman"/>
          <w:noProof/>
        </w:rPr>
      </w:pPr>
      <w:r>
        <w:rPr>
          <w:rFonts w:ascii="Times New Roman" w:hAnsi="Times New Roman"/>
          <w:noProof/>
        </w:rPr>
        <w:t>Jeżeli chodzi</w:t>
      </w:r>
      <w:r w:rsidR="001B0DFF">
        <w:rPr>
          <w:rFonts w:ascii="Times New Roman" w:hAnsi="Times New Roman"/>
          <w:noProof/>
        </w:rPr>
        <w:t xml:space="preserve"> o kon</w:t>
      </w:r>
      <w:r>
        <w:rPr>
          <w:rFonts w:ascii="Times New Roman" w:hAnsi="Times New Roman"/>
          <w:noProof/>
        </w:rPr>
        <w:t>kurencję,</w:t>
      </w:r>
      <w:r w:rsidR="001B0DFF">
        <w:rPr>
          <w:rFonts w:ascii="Times New Roman" w:hAnsi="Times New Roman"/>
          <w:noProof/>
        </w:rPr>
        <w:t xml:space="preserve"> w swo</w:t>
      </w:r>
      <w:r>
        <w:rPr>
          <w:rFonts w:ascii="Times New Roman" w:hAnsi="Times New Roman"/>
          <w:noProof/>
        </w:rPr>
        <w:t>im sprawozdaniu Wspólny Komitet nie wskazuje, że niewielka liczba upoważnionych podmiotów weryfikujących będących osobami trzecimi jest wynikiem regulacyjnej bariery wejścia na rynek lub niewystarczającej konkurencji</w:t>
      </w:r>
      <w:r w:rsidR="001B0DFF">
        <w:rPr>
          <w:rFonts w:ascii="Times New Roman" w:hAnsi="Times New Roman"/>
          <w:noProof/>
        </w:rPr>
        <w:t>. W zwi</w:t>
      </w:r>
      <w:r>
        <w:rPr>
          <w:rFonts w:ascii="Times New Roman" w:hAnsi="Times New Roman"/>
          <w:noProof/>
        </w:rPr>
        <w:t>ązku</w:t>
      </w:r>
      <w:r w:rsidR="001B0DFF">
        <w:rPr>
          <w:rFonts w:ascii="Times New Roman" w:hAnsi="Times New Roman"/>
          <w:noProof/>
        </w:rPr>
        <w:t xml:space="preserve"> z tym</w:t>
      </w:r>
      <w:r>
        <w:rPr>
          <w:rFonts w:ascii="Times New Roman" w:hAnsi="Times New Roman"/>
          <w:noProof/>
        </w:rPr>
        <w:t xml:space="preserve"> Komisja nie widzi obecnie potrzeby interwencji.</w:t>
      </w:r>
    </w:p>
    <w:p w14:paraId="170E899B" w14:textId="77777777" w:rsidR="005D192F" w:rsidRPr="003C0D71" w:rsidRDefault="2603B6C4" w:rsidP="005D192F">
      <w:pPr>
        <w:pStyle w:val="Heading1"/>
        <w:numPr>
          <w:ilvl w:val="0"/>
          <w:numId w:val="2"/>
        </w:numPr>
        <w:rPr>
          <w:rFonts w:ascii="Times New Roman" w:hAnsi="Times New Roman" w:cs="Times New Roman"/>
          <w:noProof/>
          <w:color w:val="auto"/>
        </w:rPr>
      </w:pPr>
      <w:bookmarkStart w:id="53" w:name="_Toc104283073"/>
      <w:bookmarkStart w:id="54" w:name="_Toc104286141"/>
      <w:bookmarkStart w:id="55" w:name="_Toc104297346"/>
      <w:bookmarkStart w:id="56" w:name="_Toc115361596"/>
      <w:r>
        <w:rPr>
          <w:rFonts w:ascii="Times New Roman" w:hAnsi="Times New Roman"/>
          <w:noProof/>
          <w:color w:val="auto"/>
        </w:rPr>
        <w:t>Jednostki specjalnego przeznaczenia do celów sekurytyzacji (SSPE)</w:t>
      </w:r>
      <w:bookmarkEnd w:id="53"/>
      <w:bookmarkEnd w:id="54"/>
      <w:bookmarkEnd w:id="55"/>
      <w:bookmarkEnd w:id="56"/>
    </w:p>
    <w:p w14:paraId="23C1CB5D" w14:textId="75919648" w:rsidR="73F03011" w:rsidRPr="003C0D71" w:rsidRDefault="2603B6C4" w:rsidP="000D4664">
      <w:pPr>
        <w:rPr>
          <w:rFonts w:ascii="Times New Roman" w:hAnsi="Times New Roman" w:cs="Times New Roman"/>
          <w:b/>
          <w:noProof/>
          <w:sz w:val="24"/>
        </w:rPr>
      </w:pPr>
      <w:r>
        <w:rPr>
          <w:rFonts w:ascii="Times New Roman" w:hAnsi="Times New Roman"/>
          <w:b/>
          <w:noProof/>
          <w:sz w:val="24"/>
        </w:rPr>
        <w:t>Kontekst</w:t>
      </w:r>
      <w:r w:rsidR="001B0DFF">
        <w:rPr>
          <w:rFonts w:ascii="Times New Roman" w:hAnsi="Times New Roman"/>
          <w:b/>
          <w:noProof/>
          <w:sz w:val="24"/>
        </w:rPr>
        <w:t xml:space="preserve"> i ust</w:t>
      </w:r>
      <w:r>
        <w:rPr>
          <w:rFonts w:ascii="Times New Roman" w:hAnsi="Times New Roman"/>
          <w:b/>
          <w:noProof/>
          <w:sz w:val="24"/>
        </w:rPr>
        <w:t>alenia</w:t>
      </w:r>
    </w:p>
    <w:p w14:paraId="5CA37045" w14:textId="0A189F71" w:rsidR="73F03011" w:rsidRPr="003C0D71" w:rsidRDefault="00AD264D" w:rsidP="2603B6C4">
      <w:pPr>
        <w:jc w:val="both"/>
        <w:rPr>
          <w:rFonts w:ascii="Times New Roman" w:hAnsi="Times New Roman" w:cs="Times New Roman"/>
          <w:noProof/>
        </w:rPr>
      </w:pPr>
      <w:r>
        <w:rPr>
          <w:rFonts w:ascii="Times New Roman" w:hAnsi="Times New Roman"/>
          <w:noProof/>
        </w:rPr>
        <w:t>W odniesieniu do sekurytyzacji typu „prawdziwa sprzedaż”, SSPE stanowią kluczowe narzędzie zarządzania transakcjami</w:t>
      </w:r>
      <w:r w:rsidR="001B0DFF">
        <w:rPr>
          <w:rFonts w:ascii="Times New Roman" w:hAnsi="Times New Roman"/>
          <w:noProof/>
        </w:rPr>
        <w:t xml:space="preserve"> i uzy</w:t>
      </w:r>
      <w:r>
        <w:rPr>
          <w:rFonts w:ascii="Times New Roman" w:hAnsi="Times New Roman"/>
          <w:noProof/>
        </w:rPr>
        <w:t>skiwania pożądanych efektów,</w:t>
      </w:r>
      <w:r w:rsidR="001B0DFF">
        <w:rPr>
          <w:rFonts w:ascii="Times New Roman" w:hAnsi="Times New Roman"/>
          <w:noProof/>
        </w:rPr>
        <w:t xml:space="preserve"> w szc</w:t>
      </w:r>
      <w:r>
        <w:rPr>
          <w:rFonts w:ascii="Times New Roman" w:hAnsi="Times New Roman"/>
          <w:noProof/>
        </w:rPr>
        <w:t>zególności ulgi kapitałowej dla banków inicjujących transakcje: SSPE oddziela aktywa od jednostki inicjującej</w:t>
      </w:r>
      <w:r w:rsidR="001B0DFF">
        <w:rPr>
          <w:rFonts w:ascii="Times New Roman" w:hAnsi="Times New Roman"/>
          <w:noProof/>
        </w:rPr>
        <w:t xml:space="preserve"> i chr</w:t>
      </w:r>
      <w:r>
        <w:rPr>
          <w:rFonts w:ascii="Times New Roman" w:hAnsi="Times New Roman"/>
          <w:noProof/>
        </w:rPr>
        <w:t>oni tę jednostkę przed ryzykiem związanym</w:t>
      </w:r>
      <w:r w:rsidR="001B0DFF">
        <w:rPr>
          <w:rFonts w:ascii="Times New Roman" w:hAnsi="Times New Roman"/>
          <w:noProof/>
        </w:rPr>
        <w:t xml:space="preserve"> z tym</w:t>
      </w:r>
      <w:r>
        <w:rPr>
          <w:rFonts w:ascii="Times New Roman" w:hAnsi="Times New Roman"/>
          <w:noProof/>
        </w:rPr>
        <w:t>i aktywami. Działalność SSPE ogranicza się do osiągnięcia tych celów. Rozporządzenie</w:t>
      </w:r>
      <w:r w:rsidR="001B0DFF">
        <w:rPr>
          <w:rFonts w:ascii="Times New Roman" w:hAnsi="Times New Roman"/>
          <w:noProof/>
        </w:rPr>
        <w:t xml:space="preserve"> w spr</w:t>
      </w:r>
      <w:r>
        <w:rPr>
          <w:rFonts w:ascii="Times New Roman" w:hAnsi="Times New Roman"/>
          <w:noProof/>
        </w:rPr>
        <w:t xml:space="preserve">awie sekurytyzacji zawiera pełny zestaw wymogów mających zastosowanie do SSPE. </w:t>
      </w:r>
    </w:p>
    <w:p w14:paraId="0516FDD5" w14:textId="1AFEA4B1" w:rsidR="73F03011" w:rsidRPr="003C0D71" w:rsidDel="006F6701" w:rsidRDefault="2603B6C4" w:rsidP="2603B6C4">
      <w:pPr>
        <w:jc w:val="both"/>
        <w:rPr>
          <w:rFonts w:ascii="Times New Roman" w:hAnsi="Times New Roman" w:cs="Times New Roman"/>
          <w:noProof/>
        </w:rPr>
      </w:pPr>
      <w:r>
        <w:rPr>
          <w:rFonts w:ascii="Times New Roman" w:hAnsi="Times New Roman"/>
          <w:noProof/>
        </w:rPr>
        <w:t xml:space="preserve">W świetle mandatu udzielonego na mocy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4</w:t>
      </w:r>
      <w:r>
        <w:rPr>
          <w:rFonts w:ascii="Times New Roman" w:hAnsi="Times New Roman"/>
          <w:noProof/>
        </w:rPr>
        <w:t xml:space="preserve">6 </w:t>
      </w:r>
      <w:r w:rsidRPr="001B0DFF">
        <w:rPr>
          <w:rFonts w:ascii="Times New Roman" w:hAnsi="Times New Roman"/>
          <w:noProof/>
        </w:rPr>
        <w:t>lit.</w:t>
      </w:r>
      <w:r w:rsidR="001B0DFF" w:rsidRPr="001B0DFF">
        <w:rPr>
          <w:rFonts w:ascii="Times New Roman" w:hAnsi="Times New Roman"/>
          <w:noProof/>
        </w:rPr>
        <w:t> </w:t>
      </w:r>
      <w:r w:rsidRPr="001B0DFF">
        <w:rPr>
          <w:rFonts w:ascii="Times New Roman" w:hAnsi="Times New Roman"/>
          <w:noProof/>
        </w:rPr>
        <w:t>h)</w:t>
      </w:r>
      <w:r>
        <w:rPr>
          <w:rFonts w:ascii="Times New Roman" w:hAnsi="Times New Roman"/>
          <w:noProof/>
        </w:rPr>
        <w:t xml:space="preserve"> Komisja zapytała</w:t>
      </w:r>
      <w:r w:rsidR="001B0DFF">
        <w:rPr>
          <w:rFonts w:ascii="Times New Roman" w:hAnsi="Times New Roman"/>
          <w:noProof/>
        </w:rPr>
        <w:t xml:space="preserve"> w ram</w:t>
      </w:r>
      <w:r>
        <w:rPr>
          <w:rFonts w:ascii="Times New Roman" w:hAnsi="Times New Roman"/>
          <w:noProof/>
        </w:rPr>
        <w:t>ach konsultacji, czy system banków licencjonowanych</w:t>
      </w:r>
      <w:r w:rsidR="001B0DFF">
        <w:rPr>
          <w:rFonts w:ascii="Times New Roman" w:hAnsi="Times New Roman"/>
          <w:noProof/>
        </w:rPr>
        <w:t xml:space="preserve"> w ogr</w:t>
      </w:r>
      <w:r>
        <w:rPr>
          <w:rFonts w:ascii="Times New Roman" w:hAnsi="Times New Roman"/>
          <w:noProof/>
        </w:rPr>
        <w:t>aniczonym zakresie, wykonujących funkcje SSPE, stanowiłby wartość dodaną do ram sekurytyzacji.</w:t>
      </w:r>
    </w:p>
    <w:p w14:paraId="5E148408" w14:textId="331BC1BF" w:rsidR="73F03011" w:rsidRPr="003C0D71" w:rsidRDefault="2603B6C4" w:rsidP="2603B6C4">
      <w:pPr>
        <w:jc w:val="both"/>
        <w:rPr>
          <w:rFonts w:ascii="Times New Roman" w:hAnsi="Times New Roman" w:cs="Times New Roman"/>
          <w:noProof/>
        </w:rPr>
      </w:pPr>
      <w:r>
        <w:rPr>
          <w:rFonts w:ascii="Times New Roman" w:hAnsi="Times New Roman"/>
          <w:noProof/>
        </w:rPr>
        <w:t>Przeważająca większość respondentów, zarówno</w:t>
      </w:r>
      <w:r w:rsidR="001B0DFF">
        <w:rPr>
          <w:rFonts w:ascii="Times New Roman" w:hAnsi="Times New Roman"/>
          <w:noProof/>
        </w:rPr>
        <w:t xml:space="preserve"> z bra</w:t>
      </w:r>
      <w:r>
        <w:rPr>
          <w:rFonts w:ascii="Times New Roman" w:hAnsi="Times New Roman"/>
          <w:noProof/>
        </w:rPr>
        <w:t>nży, jak</w:t>
      </w:r>
      <w:r w:rsidR="001B0DFF">
        <w:rPr>
          <w:rFonts w:ascii="Times New Roman" w:hAnsi="Times New Roman"/>
          <w:noProof/>
        </w:rPr>
        <w:t xml:space="preserve"> i z org</w:t>
      </w:r>
      <w:r>
        <w:rPr>
          <w:rFonts w:ascii="Times New Roman" w:hAnsi="Times New Roman"/>
          <w:noProof/>
        </w:rPr>
        <w:t>anów publicznych, ostrzegała przed wprowadzeniem takiego systemu</w:t>
      </w:r>
      <w:r w:rsidR="001B0DFF">
        <w:rPr>
          <w:rFonts w:ascii="Times New Roman" w:hAnsi="Times New Roman"/>
          <w:noProof/>
        </w:rPr>
        <w:t xml:space="preserve"> i wpł</w:t>
      </w:r>
      <w:r>
        <w:rPr>
          <w:rFonts w:ascii="Times New Roman" w:hAnsi="Times New Roman"/>
          <w:noProof/>
        </w:rPr>
        <w:t>ywem, jaki mógłby on mieć na rynek. Wielu</w:t>
      </w:r>
      <w:r w:rsidR="001B0DFF">
        <w:rPr>
          <w:rFonts w:ascii="Times New Roman" w:hAnsi="Times New Roman"/>
          <w:noProof/>
        </w:rPr>
        <w:t xml:space="preserve"> z nic</w:t>
      </w:r>
      <w:r>
        <w:rPr>
          <w:rFonts w:ascii="Times New Roman" w:hAnsi="Times New Roman"/>
          <w:noProof/>
        </w:rPr>
        <w:t>h podkreśliło, że SSPE są już objęte wymogiem posiadania zezwolenia</w:t>
      </w:r>
      <w:r w:rsidR="001B0DFF">
        <w:rPr>
          <w:rFonts w:ascii="Times New Roman" w:hAnsi="Times New Roman"/>
          <w:noProof/>
        </w:rPr>
        <w:t xml:space="preserve"> i nad</w:t>
      </w:r>
      <w:r>
        <w:rPr>
          <w:rFonts w:ascii="Times New Roman" w:hAnsi="Times New Roman"/>
          <w:noProof/>
        </w:rPr>
        <w:t>zoru ze strony odpowiedniego właściwego organu, co pozwala na ich odpowiedni nadzór</w:t>
      </w:r>
      <w:r w:rsidR="001B0DFF">
        <w:rPr>
          <w:rFonts w:ascii="Times New Roman" w:hAnsi="Times New Roman"/>
          <w:noProof/>
        </w:rPr>
        <w:t xml:space="preserve"> i wła</w:t>
      </w:r>
      <w:r>
        <w:rPr>
          <w:rFonts w:ascii="Times New Roman" w:hAnsi="Times New Roman"/>
          <w:noProof/>
        </w:rPr>
        <w:t>ściwe monitorowanie ryzyka.</w:t>
      </w:r>
      <w:r>
        <w:rPr>
          <w:rFonts w:ascii="Times New Roman" w:hAnsi="Times New Roman"/>
          <w:b/>
          <w:noProof/>
          <w:sz w:val="28"/>
        </w:rPr>
        <w:t xml:space="preserve"> </w:t>
      </w:r>
    </w:p>
    <w:p w14:paraId="541A14D3" w14:textId="377DAE5B" w:rsidR="73F03011" w:rsidRDefault="2603B6C4" w:rsidP="002952F9">
      <w:pPr>
        <w:jc w:val="both"/>
        <w:rPr>
          <w:rFonts w:ascii="Times New Roman" w:eastAsia="Calibri" w:hAnsi="Times New Roman" w:cs="Times New Roman"/>
          <w:noProof/>
        </w:rPr>
      </w:pPr>
      <w:r>
        <w:rPr>
          <w:rFonts w:ascii="Times New Roman" w:hAnsi="Times New Roman"/>
          <w:noProof/>
        </w:rPr>
        <w:t>System banków licencjonowanych</w:t>
      </w:r>
      <w:r w:rsidR="001B0DFF">
        <w:rPr>
          <w:rFonts w:ascii="Times New Roman" w:hAnsi="Times New Roman"/>
          <w:noProof/>
        </w:rPr>
        <w:t xml:space="preserve"> w ogr</w:t>
      </w:r>
      <w:r>
        <w:rPr>
          <w:rFonts w:ascii="Times New Roman" w:hAnsi="Times New Roman"/>
          <w:noProof/>
        </w:rPr>
        <w:t>aniczonym zakresie był postrzegany jako szkodliwy dla niezależności SSPE jako takich, gdyż ostatecznie więcej podmiotów zarządza funduszami sekurytyzacyjnymi</w:t>
      </w:r>
      <w:r w:rsidR="001B0DFF">
        <w:rPr>
          <w:rFonts w:ascii="Times New Roman" w:hAnsi="Times New Roman"/>
          <w:noProof/>
        </w:rPr>
        <w:t xml:space="preserve"> w odd</w:t>
      </w:r>
      <w:r>
        <w:rPr>
          <w:rFonts w:ascii="Times New Roman" w:hAnsi="Times New Roman"/>
          <w:noProof/>
        </w:rPr>
        <w:t>zielnym podmiocie należącym do tej samej skonsolidowanej grupy. Zamiast tego priorytetem powinno być zapewnienie niezależności</w:t>
      </w:r>
      <w:r w:rsidR="001B0DFF">
        <w:rPr>
          <w:rFonts w:ascii="Times New Roman" w:hAnsi="Times New Roman"/>
          <w:noProof/>
        </w:rPr>
        <w:t xml:space="preserve"> w zak</w:t>
      </w:r>
      <w:r>
        <w:rPr>
          <w:rFonts w:ascii="Times New Roman" w:hAnsi="Times New Roman"/>
          <w:noProof/>
        </w:rPr>
        <w:t>resie kontroli, zarządzania</w:t>
      </w:r>
      <w:r w:rsidR="001B0DFF">
        <w:rPr>
          <w:rFonts w:ascii="Times New Roman" w:hAnsi="Times New Roman"/>
          <w:noProof/>
        </w:rPr>
        <w:t xml:space="preserve"> i spr</w:t>
      </w:r>
      <w:r>
        <w:rPr>
          <w:rFonts w:ascii="Times New Roman" w:hAnsi="Times New Roman"/>
          <w:noProof/>
        </w:rPr>
        <w:t>awozdawczości</w:t>
      </w:r>
      <w:r w:rsidR="001B0DFF">
        <w:rPr>
          <w:rFonts w:ascii="Times New Roman" w:hAnsi="Times New Roman"/>
          <w:noProof/>
        </w:rPr>
        <w:t xml:space="preserve"> w odn</w:t>
      </w:r>
      <w:r>
        <w:rPr>
          <w:rFonts w:ascii="Times New Roman" w:hAnsi="Times New Roman"/>
          <w:noProof/>
        </w:rPr>
        <w:t>iesieniu do transakcji sekurytyzacyjnej</w:t>
      </w:r>
      <w:r w:rsidR="001B0DFF">
        <w:rPr>
          <w:rFonts w:ascii="Times New Roman" w:hAnsi="Times New Roman"/>
          <w:noProof/>
        </w:rPr>
        <w:t xml:space="preserve"> w sto</w:t>
      </w:r>
      <w:r>
        <w:rPr>
          <w:rFonts w:ascii="Times New Roman" w:hAnsi="Times New Roman"/>
          <w:noProof/>
        </w:rPr>
        <w:t>sunku do jednostek inicjujących, jednostek sponsorujących</w:t>
      </w:r>
      <w:r w:rsidR="001B0DFF">
        <w:rPr>
          <w:rFonts w:ascii="Times New Roman" w:hAnsi="Times New Roman"/>
          <w:noProof/>
        </w:rPr>
        <w:t xml:space="preserve"> i inw</w:t>
      </w:r>
      <w:r>
        <w:rPr>
          <w:rFonts w:ascii="Times New Roman" w:hAnsi="Times New Roman"/>
          <w:noProof/>
        </w:rPr>
        <w:t>estorów. Ponadto respondenci zauważyli potencjalne ryzyko wynikające</w:t>
      </w:r>
      <w:r w:rsidR="001B0DFF">
        <w:rPr>
          <w:rFonts w:ascii="Times New Roman" w:hAnsi="Times New Roman"/>
          <w:noProof/>
        </w:rPr>
        <w:t xml:space="preserve"> z sys</w:t>
      </w:r>
      <w:r>
        <w:rPr>
          <w:rFonts w:ascii="Times New Roman" w:hAnsi="Times New Roman"/>
          <w:noProof/>
        </w:rPr>
        <w:t>temu banków licencjonowanych</w:t>
      </w:r>
      <w:r w:rsidR="001B0DFF">
        <w:rPr>
          <w:rFonts w:ascii="Times New Roman" w:hAnsi="Times New Roman"/>
          <w:noProof/>
        </w:rPr>
        <w:t xml:space="preserve"> w ogr</w:t>
      </w:r>
      <w:r>
        <w:rPr>
          <w:rFonts w:ascii="Times New Roman" w:hAnsi="Times New Roman"/>
          <w:noProof/>
        </w:rPr>
        <w:t>aniczonym zakresie. Ostrzegli, że doprowadziłoby to do większej koncentracji ryzyka. Taka dynamika byłaby sprzeczna</w:t>
      </w:r>
      <w:r w:rsidR="001B0DFF">
        <w:rPr>
          <w:rFonts w:ascii="Times New Roman" w:hAnsi="Times New Roman"/>
          <w:noProof/>
        </w:rPr>
        <w:t xml:space="preserve"> z sam</w:t>
      </w:r>
      <w:r>
        <w:rPr>
          <w:rFonts w:ascii="Times New Roman" w:hAnsi="Times New Roman"/>
          <w:noProof/>
        </w:rPr>
        <w:t>ą logiką dywersyfikacji</w:t>
      </w:r>
      <w:r w:rsidR="001B0DFF">
        <w:rPr>
          <w:rFonts w:ascii="Times New Roman" w:hAnsi="Times New Roman"/>
          <w:noProof/>
        </w:rPr>
        <w:t xml:space="preserve"> i ogr</w:t>
      </w:r>
      <w:r>
        <w:rPr>
          <w:rFonts w:ascii="Times New Roman" w:hAnsi="Times New Roman"/>
          <w:noProof/>
        </w:rPr>
        <w:t>aniczania ryzyka, która leży</w:t>
      </w:r>
      <w:r w:rsidR="001B0DFF">
        <w:rPr>
          <w:rFonts w:ascii="Times New Roman" w:hAnsi="Times New Roman"/>
          <w:noProof/>
        </w:rPr>
        <w:t xml:space="preserve"> u pod</w:t>
      </w:r>
      <w:r>
        <w:rPr>
          <w:rFonts w:ascii="Times New Roman" w:hAnsi="Times New Roman"/>
          <w:noProof/>
        </w:rPr>
        <w:t>staw rynku sekurytyzacji.</w:t>
      </w:r>
    </w:p>
    <w:p w14:paraId="079DCE67" w14:textId="0DC689C9" w:rsidR="73F03011" w:rsidRPr="003C0D71" w:rsidRDefault="000146AB" w:rsidP="000D4664">
      <w:pPr>
        <w:rPr>
          <w:rFonts w:ascii="Times New Roman" w:hAnsi="Times New Roman" w:cs="Times New Roman"/>
          <w:b/>
          <w:noProof/>
          <w:sz w:val="24"/>
        </w:rPr>
      </w:pPr>
      <w:r>
        <w:rPr>
          <w:rFonts w:ascii="Times New Roman" w:hAnsi="Times New Roman"/>
          <w:b/>
          <w:noProof/>
          <w:sz w:val="24"/>
        </w:rPr>
        <w:t>Ocena Komisji</w:t>
      </w:r>
    </w:p>
    <w:p w14:paraId="4C040089" w14:textId="50BA73B1" w:rsidR="73F03011" w:rsidRPr="001B0DFF" w:rsidRDefault="00325A76" w:rsidP="009800AD">
      <w:pPr>
        <w:jc w:val="both"/>
        <w:rPr>
          <w:rFonts w:ascii="Times New Roman" w:eastAsia="Calibri" w:hAnsi="Times New Roman" w:cs="Times New Roman"/>
          <w:noProof/>
        </w:rPr>
      </w:pPr>
      <w:r>
        <w:rPr>
          <w:rFonts w:ascii="Times New Roman" w:hAnsi="Times New Roman"/>
          <w:noProof/>
        </w:rPr>
        <w:t>Komisja uważa, że obecne ramy funkcjonują</w:t>
      </w:r>
      <w:r w:rsidR="001B0DFF">
        <w:rPr>
          <w:rFonts w:ascii="Times New Roman" w:hAnsi="Times New Roman"/>
          <w:noProof/>
        </w:rPr>
        <w:t xml:space="preserve"> w odp</w:t>
      </w:r>
      <w:r>
        <w:rPr>
          <w:rFonts w:ascii="Times New Roman" w:hAnsi="Times New Roman"/>
          <w:noProof/>
        </w:rPr>
        <w:t>owiedni sposób, ponieważ nie stwierdzono żadnych niedociągnięć ani kwestii wymagających rozwiązania</w:t>
      </w:r>
      <w:r w:rsidR="001B0DFF">
        <w:rPr>
          <w:rFonts w:ascii="Times New Roman" w:hAnsi="Times New Roman"/>
          <w:noProof/>
        </w:rPr>
        <w:t xml:space="preserve"> w odn</w:t>
      </w:r>
      <w:r>
        <w:rPr>
          <w:rFonts w:ascii="Times New Roman" w:hAnsi="Times New Roman"/>
          <w:noProof/>
        </w:rPr>
        <w:t>iesieniu do SSPE</w:t>
      </w:r>
      <w:r w:rsidR="001B0DFF">
        <w:rPr>
          <w:rFonts w:ascii="Times New Roman" w:hAnsi="Times New Roman"/>
          <w:noProof/>
        </w:rPr>
        <w:t>. W zwi</w:t>
      </w:r>
      <w:r>
        <w:rPr>
          <w:rFonts w:ascii="Times New Roman" w:hAnsi="Times New Roman"/>
          <w:noProof/>
        </w:rPr>
        <w:t>ązku</w:t>
      </w:r>
      <w:r w:rsidR="001B0DFF">
        <w:rPr>
          <w:rFonts w:ascii="Times New Roman" w:hAnsi="Times New Roman"/>
          <w:noProof/>
        </w:rPr>
        <w:t xml:space="preserve"> z tym</w:t>
      </w:r>
      <w:r>
        <w:rPr>
          <w:rFonts w:ascii="Times New Roman" w:hAnsi="Times New Roman"/>
          <w:noProof/>
        </w:rPr>
        <w:t xml:space="preserve"> nie ma potrzeby uzupełniania ram poprzez ustanowienie systemu banków licencjonowanych</w:t>
      </w:r>
      <w:r w:rsidR="001B0DFF">
        <w:rPr>
          <w:rFonts w:ascii="Times New Roman" w:hAnsi="Times New Roman"/>
          <w:noProof/>
        </w:rPr>
        <w:t xml:space="preserve"> w ogr</w:t>
      </w:r>
      <w:r>
        <w:rPr>
          <w:rFonts w:ascii="Times New Roman" w:hAnsi="Times New Roman"/>
          <w:noProof/>
        </w:rPr>
        <w:t>aniczonym zakresie, które wykonywałyby funkcje SSPE</w:t>
      </w:r>
      <w:r w:rsidR="001B0DFF">
        <w:rPr>
          <w:rFonts w:ascii="Times New Roman" w:hAnsi="Times New Roman"/>
          <w:noProof/>
        </w:rPr>
        <w:t xml:space="preserve"> i pos</w:t>
      </w:r>
      <w:r>
        <w:rPr>
          <w:rFonts w:ascii="Times New Roman" w:hAnsi="Times New Roman"/>
          <w:noProof/>
        </w:rPr>
        <w:t>iadałyby wyłączne prawo do kupowania ekspozycji od jednostek inicjujących</w:t>
      </w:r>
      <w:r w:rsidR="001B0DFF">
        <w:rPr>
          <w:rFonts w:ascii="Times New Roman" w:hAnsi="Times New Roman"/>
          <w:noProof/>
        </w:rPr>
        <w:t xml:space="preserve"> i spr</w:t>
      </w:r>
      <w:r>
        <w:rPr>
          <w:rFonts w:ascii="Times New Roman" w:hAnsi="Times New Roman"/>
          <w:noProof/>
        </w:rPr>
        <w:t xml:space="preserve">zedaży inwestorom roszczeń zabezpieczonych kupionymi ekspozycjami. </w:t>
      </w:r>
    </w:p>
    <w:p w14:paraId="50956DAC" w14:textId="552AA6C3" w:rsidR="009E344D" w:rsidRPr="003C0D71" w:rsidRDefault="00664673" w:rsidP="00354F72">
      <w:pPr>
        <w:pStyle w:val="ListParagraph"/>
        <w:keepNext/>
        <w:keepLines/>
        <w:numPr>
          <w:ilvl w:val="0"/>
          <w:numId w:val="33"/>
        </w:numPr>
        <w:spacing w:before="240"/>
        <w:outlineLvl w:val="0"/>
        <w:rPr>
          <w:rFonts w:ascii="Times New Roman" w:eastAsia="Times New Roman" w:hAnsi="Times New Roman" w:cs="Times New Roman"/>
          <w:noProof/>
          <w:sz w:val="32"/>
          <w:szCs w:val="32"/>
        </w:rPr>
      </w:pPr>
      <w:bookmarkStart w:id="57" w:name="_Toc104283074"/>
      <w:bookmarkStart w:id="58" w:name="_Toc104286142"/>
      <w:bookmarkStart w:id="59" w:name="_Toc104297347"/>
      <w:bookmarkStart w:id="60" w:name="_Toc115361597"/>
      <w:r w:rsidRPr="001B0DFF">
        <w:rPr>
          <w:rFonts w:ascii="Times New Roman" w:hAnsi="Times New Roman"/>
          <w:noProof/>
          <w:sz w:val="32"/>
        </w:rPr>
        <w:t>Z</w:t>
      </w:r>
      <w:r>
        <w:rPr>
          <w:rFonts w:ascii="Times New Roman" w:hAnsi="Times New Roman"/>
          <w:noProof/>
          <w:sz w:val="32"/>
        </w:rPr>
        <w:t>akres jurysdykcji</w:t>
      </w:r>
      <w:bookmarkEnd w:id="57"/>
      <w:bookmarkEnd w:id="58"/>
      <w:bookmarkEnd w:id="59"/>
      <w:bookmarkEnd w:id="60"/>
    </w:p>
    <w:p w14:paraId="0F9D3A87" w14:textId="05CBBEC0" w:rsidR="009E344D" w:rsidRPr="003C0D71" w:rsidRDefault="009E344D" w:rsidP="009E344D">
      <w:pPr>
        <w:jc w:val="both"/>
        <w:rPr>
          <w:rFonts w:ascii="Times New Roman" w:eastAsia="Calibri" w:hAnsi="Times New Roman" w:cs="Times New Roman"/>
          <w:noProof/>
        </w:rPr>
      </w:pPr>
      <w:r>
        <w:rPr>
          <w:rFonts w:ascii="Times New Roman" w:hAnsi="Times New Roman"/>
          <w:noProof/>
        </w:rPr>
        <w:t>Rozporządzenie</w:t>
      </w:r>
      <w:r w:rsidR="001B0DFF">
        <w:rPr>
          <w:rFonts w:ascii="Times New Roman" w:hAnsi="Times New Roman"/>
          <w:noProof/>
        </w:rPr>
        <w:t xml:space="preserve"> w spr</w:t>
      </w:r>
      <w:r>
        <w:rPr>
          <w:rFonts w:ascii="Times New Roman" w:hAnsi="Times New Roman"/>
          <w:noProof/>
        </w:rPr>
        <w:t>awie sekurytyzacji jest</w:t>
      </w:r>
      <w:r w:rsidR="001B0DFF">
        <w:rPr>
          <w:rFonts w:ascii="Times New Roman" w:hAnsi="Times New Roman"/>
          <w:noProof/>
        </w:rPr>
        <w:t xml:space="preserve"> w prz</w:t>
      </w:r>
      <w:r>
        <w:rPr>
          <w:rFonts w:ascii="Times New Roman" w:hAnsi="Times New Roman"/>
          <w:noProof/>
        </w:rPr>
        <w:t>eważającej mierze rozporządzeniem dotyczącym działalności,</w:t>
      </w:r>
      <w:r w:rsidR="001B0DFF">
        <w:rPr>
          <w:rFonts w:ascii="Times New Roman" w:hAnsi="Times New Roman"/>
          <w:noProof/>
        </w:rPr>
        <w:t xml:space="preserve"> a nie</w:t>
      </w:r>
      <w:r>
        <w:rPr>
          <w:rFonts w:ascii="Times New Roman" w:hAnsi="Times New Roman"/>
          <w:noProof/>
        </w:rPr>
        <w:t xml:space="preserve"> rozporządzeniem dotyczącym wyłącznie produktów. Nakłada się</w:t>
      </w:r>
      <w:r w:rsidR="001B0DFF">
        <w:rPr>
          <w:rFonts w:ascii="Times New Roman" w:hAnsi="Times New Roman"/>
          <w:noProof/>
        </w:rPr>
        <w:t xml:space="preserve"> w nim</w:t>
      </w:r>
      <w:r>
        <w:rPr>
          <w:rFonts w:ascii="Times New Roman" w:hAnsi="Times New Roman"/>
          <w:noProof/>
        </w:rPr>
        <w:t xml:space="preserve"> głównie obowiązki na stronę sprzedającą (jednostkę inicjującą, pierwotnego kredytodawcę, jednostkę sponsorującą i SSPE) oraz stronę kupującą (inwestor instytucjonalny) zaangażowane</w:t>
      </w:r>
      <w:r w:rsidR="001B0DFF">
        <w:rPr>
          <w:rFonts w:ascii="Times New Roman" w:hAnsi="Times New Roman"/>
          <w:noProof/>
        </w:rPr>
        <w:t xml:space="preserve"> w sek</w:t>
      </w:r>
      <w:r>
        <w:rPr>
          <w:rFonts w:ascii="Times New Roman" w:hAnsi="Times New Roman"/>
          <w:noProof/>
        </w:rPr>
        <w:t>urytyzację</w:t>
      </w:r>
      <w:r w:rsidR="001B0DFF">
        <w:rPr>
          <w:rFonts w:ascii="Times New Roman" w:hAnsi="Times New Roman"/>
          <w:noProof/>
        </w:rPr>
        <w:t>. W roz</w:t>
      </w:r>
      <w:r>
        <w:rPr>
          <w:rFonts w:ascii="Times New Roman" w:hAnsi="Times New Roman"/>
          <w:noProof/>
        </w:rPr>
        <w:t>porządzeniu</w:t>
      </w:r>
      <w:r w:rsidR="001B0DFF">
        <w:rPr>
          <w:rFonts w:ascii="Times New Roman" w:hAnsi="Times New Roman"/>
          <w:noProof/>
        </w:rPr>
        <w:t xml:space="preserve"> w spr</w:t>
      </w:r>
      <w:r>
        <w:rPr>
          <w:rFonts w:ascii="Times New Roman" w:hAnsi="Times New Roman"/>
          <w:noProof/>
        </w:rPr>
        <w:t>awie sekurytyzacji nie rozróżnia się unijnych sekurytyzacji od sekurytyzacji,</w:t>
      </w:r>
      <w:r w:rsidR="001B0DFF">
        <w:rPr>
          <w:rFonts w:ascii="Times New Roman" w:hAnsi="Times New Roman"/>
          <w:noProof/>
        </w:rPr>
        <w:t xml:space="preserve"> w któ</w:t>
      </w:r>
      <w:r>
        <w:rPr>
          <w:rFonts w:ascii="Times New Roman" w:hAnsi="Times New Roman"/>
          <w:noProof/>
        </w:rPr>
        <w:t>rych jedna ze stron ma siedzibę</w:t>
      </w:r>
      <w:r w:rsidR="001B0DFF">
        <w:rPr>
          <w:rFonts w:ascii="Times New Roman" w:hAnsi="Times New Roman"/>
          <w:noProof/>
        </w:rPr>
        <w:t xml:space="preserve"> w pań</w:t>
      </w:r>
      <w:r>
        <w:rPr>
          <w:rFonts w:ascii="Times New Roman" w:hAnsi="Times New Roman"/>
          <w:noProof/>
        </w:rPr>
        <w:t>stwie trzecim. Fakt, że przynajmniej jedna strona transakcji ma siedzibę</w:t>
      </w:r>
      <w:r w:rsidR="001B0DFF">
        <w:rPr>
          <w:rFonts w:ascii="Times New Roman" w:hAnsi="Times New Roman"/>
          <w:noProof/>
        </w:rPr>
        <w:t xml:space="preserve"> w pań</w:t>
      </w:r>
      <w:r>
        <w:rPr>
          <w:rFonts w:ascii="Times New Roman" w:hAnsi="Times New Roman"/>
          <w:noProof/>
        </w:rPr>
        <w:t>stwie trzecim może jednak rodzić pytania o to,</w:t>
      </w:r>
      <w:r w:rsidR="001B0DFF">
        <w:rPr>
          <w:rFonts w:ascii="Times New Roman" w:hAnsi="Times New Roman"/>
          <w:noProof/>
        </w:rPr>
        <w:t xml:space="preserve"> w jak</w:t>
      </w:r>
      <w:r>
        <w:rPr>
          <w:rFonts w:ascii="Times New Roman" w:hAnsi="Times New Roman"/>
          <w:noProof/>
        </w:rPr>
        <w:t>i sposób unijne strony transakcji mają</w:t>
      </w:r>
      <w:r w:rsidR="001B0DFF">
        <w:rPr>
          <w:rFonts w:ascii="Times New Roman" w:hAnsi="Times New Roman"/>
          <w:noProof/>
        </w:rPr>
        <w:t xml:space="preserve"> w pra</w:t>
      </w:r>
      <w:r>
        <w:rPr>
          <w:rFonts w:ascii="Times New Roman" w:hAnsi="Times New Roman"/>
          <w:noProof/>
        </w:rPr>
        <w:t xml:space="preserve">ktyce spełniać wymogi systemu UE. </w:t>
      </w:r>
    </w:p>
    <w:p w14:paraId="1DDAF4C2" w14:textId="59E55603" w:rsidR="009E344D" w:rsidRPr="003C0D71" w:rsidRDefault="009E344D" w:rsidP="009E344D">
      <w:pPr>
        <w:jc w:val="both"/>
        <w:rPr>
          <w:rFonts w:ascii="Times New Roman" w:eastAsia="Calibri" w:hAnsi="Times New Roman" w:cs="Times New Roman"/>
          <w:noProof/>
        </w:rPr>
      </w:pPr>
      <w:r>
        <w:rPr>
          <w:rFonts w:ascii="Times New Roman" w:hAnsi="Times New Roman"/>
          <w:noProof/>
        </w:rPr>
        <w:t>W opinii Wspólnego Komitetu odnotowano trudności związane</w:t>
      </w:r>
      <w:r w:rsidR="001B0DFF">
        <w:rPr>
          <w:rFonts w:ascii="Times New Roman" w:hAnsi="Times New Roman"/>
          <w:noProof/>
        </w:rPr>
        <w:t xml:space="preserve"> z zak</w:t>
      </w:r>
      <w:r>
        <w:rPr>
          <w:rFonts w:ascii="Times New Roman" w:hAnsi="Times New Roman"/>
          <w:noProof/>
        </w:rPr>
        <w:t>resem jurysdykcyjnym rozporządzenia</w:t>
      </w:r>
      <w:r w:rsidR="001B0DFF">
        <w:rPr>
          <w:rFonts w:ascii="Times New Roman" w:hAnsi="Times New Roman"/>
          <w:noProof/>
        </w:rPr>
        <w:t xml:space="preserve"> w spr</w:t>
      </w:r>
      <w:r>
        <w:rPr>
          <w:rFonts w:ascii="Times New Roman" w:hAnsi="Times New Roman"/>
          <w:noProof/>
        </w:rPr>
        <w:t>awie sekurytyzacji. Znaczna większość respondentów biorących udział</w:t>
      </w:r>
      <w:r w:rsidR="001B0DFF">
        <w:rPr>
          <w:rFonts w:ascii="Times New Roman" w:hAnsi="Times New Roman"/>
          <w:noProof/>
        </w:rPr>
        <w:t xml:space="preserve"> w kon</w:t>
      </w:r>
      <w:r>
        <w:rPr>
          <w:rFonts w:ascii="Times New Roman" w:hAnsi="Times New Roman"/>
          <w:noProof/>
        </w:rPr>
        <w:t xml:space="preserve">sultacjach potwierdziła to ustalenie. </w:t>
      </w:r>
    </w:p>
    <w:p w14:paraId="73EC744A" w14:textId="450AE6E8" w:rsidR="009E344D" w:rsidRPr="003C0D71" w:rsidRDefault="009E344D" w:rsidP="009E344D">
      <w:pPr>
        <w:jc w:val="both"/>
        <w:rPr>
          <w:rFonts w:ascii="Times New Roman" w:eastAsia="Calibri" w:hAnsi="Times New Roman" w:cs="Times New Roman"/>
          <w:noProof/>
        </w:rPr>
      </w:pPr>
      <w:r>
        <w:rPr>
          <w:rFonts w:ascii="Times New Roman" w:hAnsi="Times New Roman"/>
          <w:noProof/>
        </w:rPr>
        <w:t>Komisja przyjmuje do wiadomości zgłoszone trudności</w:t>
      </w:r>
      <w:r w:rsidR="001B0DFF">
        <w:rPr>
          <w:rFonts w:ascii="Times New Roman" w:hAnsi="Times New Roman"/>
          <w:noProof/>
        </w:rPr>
        <w:t xml:space="preserve"> i wyk</w:t>
      </w:r>
      <w:r>
        <w:rPr>
          <w:rFonts w:ascii="Times New Roman" w:hAnsi="Times New Roman"/>
          <w:noProof/>
        </w:rPr>
        <w:t>orzysta poniższe podpunkty niniejszego sprawozdania, aby przedstawić pewne wskazówki interpretacyjne</w:t>
      </w:r>
      <w:r w:rsidR="001B0DFF">
        <w:rPr>
          <w:rFonts w:ascii="Times New Roman" w:hAnsi="Times New Roman"/>
          <w:noProof/>
        </w:rPr>
        <w:t xml:space="preserve"> w tej</w:t>
      </w:r>
      <w:r>
        <w:rPr>
          <w:rFonts w:ascii="Times New Roman" w:hAnsi="Times New Roman"/>
          <w:noProof/>
        </w:rPr>
        <w:t xml:space="preserve"> kwestii, zgodnie</w:t>
      </w:r>
      <w:r w:rsidR="001B0DFF">
        <w:rPr>
          <w:rFonts w:ascii="Times New Roman" w:hAnsi="Times New Roman"/>
          <w:noProof/>
        </w:rPr>
        <w:t xml:space="preserve"> z wni</w:t>
      </w:r>
      <w:r>
        <w:rPr>
          <w:rFonts w:ascii="Times New Roman" w:hAnsi="Times New Roman"/>
          <w:noProof/>
        </w:rPr>
        <w:t>oskiem Wspólnego Komitetu</w:t>
      </w:r>
      <w:r w:rsidR="001B0DFF">
        <w:rPr>
          <w:rFonts w:ascii="Times New Roman" w:hAnsi="Times New Roman"/>
          <w:noProof/>
        </w:rPr>
        <w:t xml:space="preserve"> i zai</w:t>
      </w:r>
      <w:r>
        <w:rPr>
          <w:rFonts w:ascii="Times New Roman" w:hAnsi="Times New Roman"/>
          <w:noProof/>
        </w:rPr>
        <w:t xml:space="preserve">nteresowanych stron. </w:t>
      </w:r>
    </w:p>
    <w:p w14:paraId="51363577" w14:textId="3D681E52" w:rsidR="009E344D" w:rsidRPr="003C0D71" w:rsidRDefault="009E344D" w:rsidP="000D4664">
      <w:pPr>
        <w:pStyle w:val="Heading2"/>
        <w:rPr>
          <w:rFonts w:ascii="Times New Roman" w:eastAsia="Times New Roman" w:hAnsi="Times New Roman" w:cs="Times New Roman"/>
          <w:noProof/>
          <w:color w:val="auto"/>
          <w:sz w:val="32"/>
          <w:szCs w:val="32"/>
        </w:rPr>
      </w:pPr>
      <w:bookmarkStart w:id="61" w:name="_Toc104283076"/>
      <w:bookmarkStart w:id="62" w:name="_Toc104286144"/>
      <w:bookmarkStart w:id="63" w:name="_Toc104297348"/>
      <w:bookmarkStart w:id="64" w:name="_Toc115361598"/>
      <w:r>
        <w:rPr>
          <w:rFonts w:ascii="Times New Roman" w:hAnsi="Times New Roman"/>
          <w:noProof/>
          <w:color w:val="auto"/>
        </w:rPr>
        <w:t>11.1 Obowiązki strony sprzedającej</w:t>
      </w:r>
      <w:bookmarkEnd w:id="61"/>
      <w:bookmarkEnd w:id="62"/>
      <w:bookmarkEnd w:id="63"/>
      <w:bookmarkEnd w:id="64"/>
    </w:p>
    <w:p w14:paraId="27ADF65E" w14:textId="245828D7" w:rsidR="009E344D" w:rsidRPr="003C0D71" w:rsidRDefault="009E344D" w:rsidP="000D4664">
      <w:pPr>
        <w:rPr>
          <w:rFonts w:ascii="Times New Roman" w:hAnsi="Times New Roman" w:cs="Times New Roman"/>
          <w:b/>
          <w:noProof/>
          <w:sz w:val="24"/>
        </w:rPr>
      </w:pPr>
      <w:r>
        <w:rPr>
          <w:rFonts w:ascii="Times New Roman" w:hAnsi="Times New Roman"/>
          <w:b/>
          <w:noProof/>
          <w:sz w:val="24"/>
        </w:rPr>
        <w:t>Kontekst</w:t>
      </w:r>
      <w:r w:rsidR="001B0DFF">
        <w:rPr>
          <w:rFonts w:ascii="Times New Roman" w:hAnsi="Times New Roman"/>
          <w:b/>
          <w:noProof/>
          <w:sz w:val="24"/>
        </w:rPr>
        <w:t xml:space="preserve"> i ust</w:t>
      </w:r>
      <w:r>
        <w:rPr>
          <w:rFonts w:ascii="Times New Roman" w:hAnsi="Times New Roman"/>
          <w:b/>
          <w:noProof/>
          <w:sz w:val="24"/>
        </w:rPr>
        <w:t>alenia</w:t>
      </w:r>
    </w:p>
    <w:p w14:paraId="57D12959" w14:textId="73C42598" w:rsidR="00A70EA8" w:rsidRPr="003C0D71" w:rsidRDefault="00A70EA8" w:rsidP="00A70EA8">
      <w:pPr>
        <w:jc w:val="both"/>
        <w:rPr>
          <w:rFonts w:ascii="Times New Roman" w:eastAsia="Calibri" w:hAnsi="Times New Roman" w:cs="Times New Roman"/>
          <w:noProof/>
        </w:rPr>
      </w:pPr>
      <w:r>
        <w:rPr>
          <w:rFonts w:ascii="Times New Roman" w:hAnsi="Times New Roman"/>
          <w:noProof/>
        </w:rPr>
        <w:t xml:space="preserve">W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6</w:t>
      </w:r>
      <w:r>
        <w:rPr>
          <w:rFonts w:ascii="Times New Roman" w:hAnsi="Times New Roman"/>
          <w:noProof/>
        </w:rPr>
        <w:t>, 7</w:t>
      </w:r>
      <w:r w:rsidR="001B0DFF">
        <w:rPr>
          <w:rFonts w:ascii="Times New Roman" w:hAnsi="Times New Roman"/>
          <w:noProof/>
        </w:rPr>
        <w:t xml:space="preserve"> i 9</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awie sekurytyzacji określono pewne podstawowe obowiązki, których – jako naukę wyniesioną</w:t>
      </w:r>
      <w:r w:rsidR="001B0DFF">
        <w:rPr>
          <w:rFonts w:ascii="Times New Roman" w:hAnsi="Times New Roman"/>
          <w:noProof/>
        </w:rPr>
        <w:t xml:space="preserve"> z wie</w:t>
      </w:r>
      <w:r>
        <w:rPr>
          <w:rFonts w:ascii="Times New Roman" w:hAnsi="Times New Roman"/>
          <w:noProof/>
        </w:rPr>
        <w:t>lkiego kryzysu finansowego – muszą przestrzegać wszystkie strony sekurytyzacji. Przepisy,</w:t>
      </w:r>
      <w:r w:rsidR="001B0DFF">
        <w:rPr>
          <w:rFonts w:ascii="Times New Roman" w:hAnsi="Times New Roman"/>
          <w:noProof/>
        </w:rPr>
        <w:t xml:space="preserve"> o któ</w:t>
      </w:r>
      <w:r>
        <w:rPr>
          <w:rFonts w:ascii="Times New Roman" w:hAnsi="Times New Roman"/>
          <w:noProof/>
        </w:rPr>
        <w:t>rych mowa, nie uwzględniają tego, czy strona zobowiązana znajduje się w UE, czy poza UE:</w:t>
      </w:r>
    </w:p>
    <w:p w14:paraId="0E2C13D3" w14:textId="2C11403B" w:rsidR="00A70EA8" w:rsidRPr="003C0D71" w:rsidRDefault="00A70EA8" w:rsidP="00A70EA8">
      <w:pPr>
        <w:numPr>
          <w:ilvl w:val="0"/>
          <w:numId w:val="21"/>
        </w:numPr>
        <w:contextualSpacing/>
        <w:jc w:val="both"/>
        <w:rPr>
          <w:rFonts w:ascii="Times New Roman" w:eastAsia="Calibri" w:hAnsi="Times New Roman" w:cs="Times New Roman"/>
          <w:noProof/>
        </w:rPr>
      </w:pPr>
      <w:r>
        <w:rPr>
          <w:rFonts w:ascii="Times New Roman" w:hAnsi="Times New Roman"/>
          <w:noProof/>
        </w:rPr>
        <w:t xml:space="preserve">na mocy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6</w:t>
      </w:r>
      <w:r>
        <w:rPr>
          <w:rFonts w:ascii="Times New Roman" w:hAnsi="Times New Roman"/>
          <w:noProof/>
        </w:rPr>
        <w:t xml:space="preserve"> jednostka inicjująca, jednostka sponsorująca lub pierwotny kredytodawca są zobowiązani do zatrzymania części ryzyka transakcji (udział gospodarczy netto</w:t>
      </w:r>
      <w:r w:rsidR="001B0DFF">
        <w:rPr>
          <w:rFonts w:ascii="Times New Roman" w:hAnsi="Times New Roman"/>
          <w:noProof/>
        </w:rPr>
        <w:t xml:space="preserve"> w wys</w:t>
      </w:r>
      <w:r>
        <w:rPr>
          <w:rFonts w:ascii="Times New Roman" w:hAnsi="Times New Roman"/>
          <w:noProof/>
        </w:rPr>
        <w:t xml:space="preserve">okości nie mniejszej niż </w:t>
      </w:r>
      <w:r w:rsidRPr="001B0DFF">
        <w:rPr>
          <w:rFonts w:ascii="Times New Roman" w:hAnsi="Times New Roman"/>
          <w:noProof/>
        </w:rPr>
        <w:t>5</w:t>
      </w:r>
      <w:r w:rsidR="001B0DFF" w:rsidRPr="001B0DFF">
        <w:rPr>
          <w:rFonts w:ascii="Times New Roman" w:hAnsi="Times New Roman"/>
          <w:noProof/>
        </w:rPr>
        <w:t> </w:t>
      </w:r>
      <w:r w:rsidRPr="001B0DFF">
        <w:rPr>
          <w:rFonts w:ascii="Times New Roman" w:hAnsi="Times New Roman"/>
          <w:noProof/>
        </w:rPr>
        <w:t>%</w:t>
      </w:r>
      <w:r>
        <w:rPr>
          <w:rFonts w:ascii="Times New Roman" w:hAnsi="Times New Roman"/>
          <w:noProof/>
        </w:rPr>
        <w:t xml:space="preserve">); </w:t>
      </w:r>
    </w:p>
    <w:p w14:paraId="4C014CFC" w14:textId="6000A0E5" w:rsidR="00A70EA8" w:rsidRPr="003C0D71" w:rsidRDefault="00A70EA8" w:rsidP="00A70EA8">
      <w:pPr>
        <w:numPr>
          <w:ilvl w:val="0"/>
          <w:numId w:val="21"/>
        </w:numPr>
        <w:contextualSpacing/>
        <w:jc w:val="both"/>
        <w:rPr>
          <w:rFonts w:ascii="Times New Roman" w:eastAsia="Calibri" w:hAnsi="Times New Roman" w:cs="Times New Roman"/>
          <w:noProof/>
        </w:rPr>
      </w:pPr>
      <w:r>
        <w:rPr>
          <w:rFonts w:ascii="Times New Roman" w:hAnsi="Times New Roman"/>
          <w:noProof/>
        </w:rPr>
        <w:t xml:space="preserve">w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xml:space="preserve"> zobowiązuje się jednostkę inicjującą, jednostkę sponsorującą i SSPE do dostarczenia wymienionych informacji inwestorowi, właściwym organom oraz, na żądanie, potencjalnym inwestorom;</w:t>
      </w:r>
    </w:p>
    <w:p w14:paraId="68F33663" w14:textId="312F3BEA" w:rsidR="00A70EA8" w:rsidRPr="003C0D71" w:rsidRDefault="00A70EA8" w:rsidP="00A70EA8">
      <w:pPr>
        <w:numPr>
          <w:ilvl w:val="0"/>
          <w:numId w:val="21"/>
        </w:numPr>
        <w:contextualSpacing/>
        <w:jc w:val="both"/>
        <w:rPr>
          <w:rFonts w:ascii="Times New Roman" w:eastAsia="Calibri" w:hAnsi="Times New Roman" w:cs="Times New Roman"/>
          <w:noProof/>
        </w:rPr>
      </w:pPr>
      <w:r>
        <w:rPr>
          <w:rFonts w:ascii="Times New Roman" w:hAnsi="Times New Roman"/>
          <w:noProof/>
        </w:rPr>
        <w:t>aby uniemożliwić</w:t>
      </w:r>
      <w:r w:rsidR="001B0DFF">
        <w:rPr>
          <w:rFonts w:ascii="Times New Roman" w:hAnsi="Times New Roman"/>
          <w:noProof/>
        </w:rPr>
        <w:t xml:space="preserve"> w prz</w:t>
      </w:r>
      <w:r>
        <w:rPr>
          <w:rFonts w:ascii="Times New Roman" w:hAnsi="Times New Roman"/>
          <w:noProof/>
        </w:rPr>
        <w:t>yszłości stosowanie problematycznego modelu „udzielasz</w:t>
      </w:r>
      <w:r w:rsidR="001B0DFF">
        <w:rPr>
          <w:rFonts w:ascii="Times New Roman" w:hAnsi="Times New Roman"/>
          <w:noProof/>
        </w:rPr>
        <w:t xml:space="preserve"> i uci</w:t>
      </w:r>
      <w:r>
        <w:rPr>
          <w:rFonts w:ascii="Times New Roman" w:hAnsi="Times New Roman"/>
          <w:noProof/>
        </w:rPr>
        <w:t>ekasz”,</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9</w:t>
      </w:r>
      <w:r>
        <w:rPr>
          <w:rFonts w:ascii="Times New Roman" w:hAnsi="Times New Roman"/>
          <w:noProof/>
        </w:rPr>
        <w:t xml:space="preserve"> zobowiązuje się jednostki inicjujące, sponsorujące</w:t>
      </w:r>
      <w:r w:rsidR="001B0DFF">
        <w:rPr>
          <w:rFonts w:ascii="Times New Roman" w:hAnsi="Times New Roman"/>
          <w:noProof/>
        </w:rPr>
        <w:t xml:space="preserve"> i pie</w:t>
      </w:r>
      <w:r>
        <w:rPr>
          <w:rFonts w:ascii="Times New Roman" w:hAnsi="Times New Roman"/>
          <w:noProof/>
        </w:rPr>
        <w:t>rwotni kredytodawcy do stosowania wobec sekurytyzowanych ekspozycji tych samych solidnych kryteriów przyznawania kredytu, które stosują wobec niesekurytyzowanych ekspozycji.</w:t>
      </w:r>
    </w:p>
    <w:p w14:paraId="557A61CF" w14:textId="77777777" w:rsidR="00A70EA8" w:rsidRPr="003C0D71" w:rsidRDefault="00A70EA8" w:rsidP="00A70EA8">
      <w:pPr>
        <w:ind w:left="720"/>
        <w:contextualSpacing/>
        <w:jc w:val="both"/>
        <w:rPr>
          <w:rFonts w:ascii="Times New Roman" w:eastAsia="Calibri" w:hAnsi="Times New Roman" w:cs="Times New Roman"/>
          <w:noProof/>
        </w:rPr>
      </w:pPr>
    </w:p>
    <w:p w14:paraId="530726FA" w14:textId="3D684741" w:rsidR="00A70EA8" w:rsidRPr="003C0D71" w:rsidRDefault="00A70EA8" w:rsidP="00A70EA8">
      <w:pPr>
        <w:jc w:val="both"/>
        <w:rPr>
          <w:rFonts w:ascii="Times New Roman" w:eastAsia="Calibri" w:hAnsi="Times New Roman" w:cs="Times New Roman"/>
          <w:noProof/>
        </w:rPr>
      </w:pPr>
      <w:r>
        <w:rPr>
          <w:rFonts w:ascii="Times New Roman" w:hAnsi="Times New Roman"/>
          <w:noProof/>
        </w:rPr>
        <w:t>W swojej opinii Wspólny Komitet wyraził obawę, że</w:t>
      </w:r>
      <w:r w:rsidR="001B0DFF">
        <w:rPr>
          <w:rFonts w:ascii="Times New Roman" w:hAnsi="Times New Roman"/>
          <w:noProof/>
        </w:rPr>
        <w:t xml:space="preserve"> w prz</w:t>
      </w:r>
      <w:r>
        <w:rPr>
          <w:rFonts w:ascii="Times New Roman" w:hAnsi="Times New Roman"/>
          <w:noProof/>
        </w:rPr>
        <w:t>ypadku transakcji,</w:t>
      </w:r>
      <w:r w:rsidR="001B0DFF">
        <w:rPr>
          <w:rFonts w:ascii="Times New Roman" w:hAnsi="Times New Roman"/>
          <w:noProof/>
        </w:rPr>
        <w:t xml:space="preserve"> w któ</w:t>
      </w:r>
      <w:r>
        <w:rPr>
          <w:rFonts w:ascii="Times New Roman" w:hAnsi="Times New Roman"/>
          <w:noProof/>
        </w:rPr>
        <w:t>rej biorą udział strony sprzedające</w:t>
      </w:r>
      <w:r w:rsidR="001B0DFF">
        <w:rPr>
          <w:rFonts w:ascii="Times New Roman" w:hAnsi="Times New Roman"/>
          <w:noProof/>
        </w:rPr>
        <w:t xml:space="preserve"> z sie</w:t>
      </w:r>
      <w:r>
        <w:rPr>
          <w:rFonts w:ascii="Times New Roman" w:hAnsi="Times New Roman"/>
          <w:noProof/>
        </w:rPr>
        <w:t>dzibą w UE</w:t>
      </w:r>
      <w:r w:rsidR="001B0DFF">
        <w:rPr>
          <w:rFonts w:ascii="Times New Roman" w:hAnsi="Times New Roman"/>
          <w:noProof/>
        </w:rPr>
        <w:t xml:space="preserve"> i poz</w:t>
      </w:r>
      <w:r>
        <w:rPr>
          <w:rFonts w:ascii="Times New Roman" w:hAnsi="Times New Roman"/>
          <w:noProof/>
        </w:rPr>
        <w:t>a nią, podmioty sprzedające mogą uniknąć wywiązywania się</w:t>
      </w:r>
      <w:r w:rsidR="001B0DFF">
        <w:rPr>
          <w:rFonts w:ascii="Times New Roman" w:hAnsi="Times New Roman"/>
          <w:noProof/>
        </w:rPr>
        <w:t xml:space="preserve"> z tyc</w:t>
      </w:r>
      <w:r>
        <w:rPr>
          <w:rFonts w:ascii="Times New Roman" w:hAnsi="Times New Roman"/>
          <w:noProof/>
        </w:rPr>
        <w:t>h podstawowych obowiązków, ponieważ organy nadzoru UE nie mogą pociągnąć do odpowiedzialności stron</w:t>
      </w:r>
      <w:r w:rsidR="001B0DFF">
        <w:rPr>
          <w:rFonts w:ascii="Times New Roman" w:hAnsi="Times New Roman"/>
          <w:noProof/>
        </w:rPr>
        <w:t xml:space="preserve"> z sie</w:t>
      </w:r>
      <w:r>
        <w:rPr>
          <w:rFonts w:ascii="Times New Roman" w:hAnsi="Times New Roman"/>
          <w:noProof/>
        </w:rPr>
        <w:t>dzibą</w:t>
      </w:r>
      <w:r w:rsidR="001B0DFF">
        <w:rPr>
          <w:rFonts w:ascii="Times New Roman" w:hAnsi="Times New Roman"/>
          <w:noProof/>
        </w:rPr>
        <w:t xml:space="preserve"> w kra</w:t>
      </w:r>
      <w:r>
        <w:rPr>
          <w:rFonts w:ascii="Times New Roman" w:hAnsi="Times New Roman"/>
          <w:noProof/>
        </w:rPr>
        <w:t>jach trzecich</w:t>
      </w:r>
      <w:r w:rsidR="001B0DFF">
        <w:rPr>
          <w:rFonts w:ascii="Times New Roman" w:hAnsi="Times New Roman"/>
          <w:noProof/>
        </w:rPr>
        <w:t xml:space="preserve"> w prz</w:t>
      </w:r>
      <w:r>
        <w:rPr>
          <w:rFonts w:ascii="Times New Roman" w:hAnsi="Times New Roman"/>
          <w:noProof/>
        </w:rPr>
        <w:t>ypadku naruszenia tych obowiązków</w:t>
      </w:r>
      <w:r w:rsidR="001B0DFF">
        <w:rPr>
          <w:rFonts w:ascii="Times New Roman" w:hAnsi="Times New Roman"/>
          <w:noProof/>
        </w:rPr>
        <w:t>. W zwi</w:t>
      </w:r>
      <w:r>
        <w:rPr>
          <w:rFonts w:ascii="Times New Roman" w:hAnsi="Times New Roman"/>
          <w:noProof/>
        </w:rPr>
        <w:t>ązku</w:t>
      </w:r>
      <w:r w:rsidR="001B0DFF">
        <w:rPr>
          <w:rFonts w:ascii="Times New Roman" w:hAnsi="Times New Roman"/>
          <w:noProof/>
        </w:rPr>
        <w:t xml:space="preserve"> z tym</w:t>
      </w:r>
      <w:r>
        <w:rPr>
          <w:rFonts w:ascii="Times New Roman" w:hAnsi="Times New Roman"/>
          <w:noProof/>
        </w:rPr>
        <w:t xml:space="preserve"> Wspólny Komitet był zdania, że przepisy te należy interpretować</w:t>
      </w:r>
      <w:r w:rsidR="001B0DFF">
        <w:rPr>
          <w:rFonts w:ascii="Times New Roman" w:hAnsi="Times New Roman"/>
          <w:noProof/>
        </w:rPr>
        <w:t xml:space="preserve"> w tak</w:t>
      </w:r>
      <w:r>
        <w:rPr>
          <w:rFonts w:ascii="Times New Roman" w:hAnsi="Times New Roman"/>
          <w:noProof/>
        </w:rPr>
        <w:t xml:space="preserve">i sposób, aby: </w:t>
      </w:r>
    </w:p>
    <w:p w14:paraId="546F2A6C" w14:textId="35DF88CD" w:rsidR="00A70EA8" w:rsidRPr="003C0D71" w:rsidRDefault="00A70EA8" w:rsidP="00A70EA8">
      <w:pPr>
        <w:numPr>
          <w:ilvl w:val="0"/>
          <w:numId w:val="31"/>
        </w:numPr>
        <w:contextualSpacing/>
        <w:jc w:val="both"/>
        <w:rPr>
          <w:rFonts w:ascii="Times New Roman" w:eastAsia="Calibri" w:hAnsi="Times New Roman" w:cs="Times New Roman"/>
          <w:noProof/>
        </w:rPr>
      </w:pPr>
      <w:r>
        <w:rPr>
          <w:rFonts w:ascii="Times New Roman" w:hAnsi="Times New Roman"/>
          <w:noProof/>
        </w:rPr>
        <w:t>tylko podmiot</w:t>
      </w:r>
      <w:r w:rsidR="001B0DFF">
        <w:rPr>
          <w:rFonts w:ascii="Times New Roman" w:hAnsi="Times New Roman"/>
          <w:noProof/>
        </w:rPr>
        <w:t xml:space="preserve"> z sie</w:t>
      </w:r>
      <w:r>
        <w:rPr>
          <w:rFonts w:ascii="Times New Roman" w:hAnsi="Times New Roman"/>
          <w:noProof/>
        </w:rPr>
        <w:t>dzibą w UE miał możliwość zatrzymania ryzyka;</w:t>
      </w:r>
    </w:p>
    <w:p w14:paraId="47BB56C3" w14:textId="0BEB774F" w:rsidR="00A70EA8" w:rsidRPr="003C0D71" w:rsidRDefault="00A70EA8" w:rsidP="00A70EA8">
      <w:pPr>
        <w:numPr>
          <w:ilvl w:val="0"/>
          <w:numId w:val="31"/>
        </w:numPr>
        <w:contextualSpacing/>
        <w:jc w:val="both"/>
        <w:rPr>
          <w:rFonts w:ascii="Times New Roman" w:eastAsia="Calibri" w:hAnsi="Times New Roman" w:cs="Times New Roman"/>
          <w:noProof/>
        </w:rPr>
      </w:pPr>
      <w:r>
        <w:rPr>
          <w:rFonts w:ascii="Times New Roman" w:hAnsi="Times New Roman"/>
          <w:noProof/>
        </w:rPr>
        <w:t>strony były zobowiązane do wyboru podmiotu</w:t>
      </w:r>
      <w:r w:rsidR="001B0DFF">
        <w:rPr>
          <w:rFonts w:ascii="Times New Roman" w:hAnsi="Times New Roman"/>
          <w:noProof/>
        </w:rPr>
        <w:t xml:space="preserve"> z sie</w:t>
      </w:r>
      <w:r>
        <w:rPr>
          <w:rFonts w:ascii="Times New Roman" w:hAnsi="Times New Roman"/>
          <w:noProof/>
        </w:rPr>
        <w:t>dzibą w UE jako wyznaczonego podmiotu sprawozdawczego;</w:t>
      </w:r>
    </w:p>
    <w:p w14:paraId="78FC5565" w14:textId="3799BDCA" w:rsidR="00A70EA8" w:rsidRDefault="00A70EA8" w:rsidP="00A70EA8">
      <w:pPr>
        <w:numPr>
          <w:ilvl w:val="0"/>
          <w:numId w:val="31"/>
        </w:numPr>
        <w:contextualSpacing/>
        <w:jc w:val="both"/>
        <w:rPr>
          <w:rFonts w:ascii="Times New Roman" w:eastAsia="Calibri" w:hAnsi="Times New Roman" w:cs="Times New Roman"/>
          <w:noProof/>
        </w:rPr>
      </w:pPr>
      <w:r>
        <w:rPr>
          <w:rFonts w:ascii="Times New Roman" w:hAnsi="Times New Roman"/>
          <w:noProof/>
        </w:rPr>
        <w:t>podmiot</w:t>
      </w:r>
      <w:r w:rsidR="001B0DFF">
        <w:rPr>
          <w:rFonts w:ascii="Times New Roman" w:hAnsi="Times New Roman"/>
          <w:noProof/>
        </w:rPr>
        <w:t xml:space="preserve"> z sie</w:t>
      </w:r>
      <w:r>
        <w:rPr>
          <w:rFonts w:ascii="Times New Roman" w:hAnsi="Times New Roman"/>
          <w:noProof/>
        </w:rPr>
        <w:t>dzibą w UE był odpowiedzialny za zapewnienie, aby te same solidne</w:t>
      </w:r>
      <w:r w:rsidR="001B0DFF">
        <w:rPr>
          <w:rFonts w:ascii="Times New Roman" w:hAnsi="Times New Roman"/>
          <w:noProof/>
        </w:rPr>
        <w:t xml:space="preserve"> i dob</w:t>
      </w:r>
      <w:r>
        <w:rPr>
          <w:rFonts w:ascii="Times New Roman" w:hAnsi="Times New Roman"/>
          <w:noProof/>
        </w:rPr>
        <w:t>rze zdefiniowane kryteria przyznawania kredytów miały zastosowanie zarówno do sekurytyzowanych, jak</w:t>
      </w:r>
      <w:r w:rsidR="001B0DFF">
        <w:rPr>
          <w:rFonts w:ascii="Times New Roman" w:hAnsi="Times New Roman"/>
          <w:noProof/>
        </w:rPr>
        <w:t xml:space="preserve"> i nie</w:t>
      </w:r>
      <w:r>
        <w:rPr>
          <w:rFonts w:ascii="Times New Roman" w:hAnsi="Times New Roman"/>
          <w:noProof/>
        </w:rPr>
        <w:t>sekurytyzowanych ekspozycji, oraz aby sekurytyzowane ekspozycje podlegały tym samym procesom zatwierdzania</w:t>
      </w:r>
      <w:r w:rsidR="001B0DFF">
        <w:rPr>
          <w:rFonts w:ascii="Times New Roman" w:hAnsi="Times New Roman"/>
          <w:noProof/>
        </w:rPr>
        <w:t xml:space="preserve"> i odn</w:t>
      </w:r>
      <w:r>
        <w:rPr>
          <w:rFonts w:ascii="Times New Roman" w:hAnsi="Times New Roman"/>
          <w:noProof/>
        </w:rPr>
        <w:t xml:space="preserve">awiania kredytów, co niesekurytyzowane ekspozycje. </w:t>
      </w:r>
    </w:p>
    <w:p w14:paraId="03650CBD" w14:textId="77777777" w:rsidR="000A06C6" w:rsidRPr="003C0D71" w:rsidRDefault="000A06C6" w:rsidP="006177AD">
      <w:pPr>
        <w:contextualSpacing/>
        <w:jc w:val="both"/>
        <w:rPr>
          <w:rFonts w:ascii="Times New Roman" w:eastAsia="Calibri" w:hAnsi="Times New Roman" w:cs="Times New Roman"/>
          <w:noProof/>
        </w:rPr>
      </w:pPr>
    </w:p>
    <w:p w14:paraId="3DD9C519" w14:textId="666B263F" w:rsidR="007C01AE" w:rsidRDefault="00412782" w:rsidP="00A70EA8">
      <w:pPr>
        <w:contextualSpacing/>
        <w:jc w:val="both"/>
        <w:rPr>
          <w:rFonts w:ascii="Times New Roman" w:eastAsia="Calibri" w:hAnsi="Times New Roman" w:cs="Times New Roman"/>
          <w:noProof/>
        </w:rPr>
      </w:pPr>
      <w:r>
        <w:rPr>
          <w:rFonts w:ascii="Times New Roman" w:hAnsi="Times New Roman"/>
          <w:noProof/>
        </w:rPr>
        <w:t>Wspólny Komitet zasugerował, że przepisy te powinny zostać odpowiednio doprecyzowane.</w:t>
      </w:r>
    </w:p>
    <w:p w14:paraId="37A73ABE" w14:textId="77777777" w:rsidR="007C01AE" w:rsidRDefault="007C01AE" w:rsidP="00A70EA8">
      <w:pPr>
        <w:contextualSpacing/>
        <w:jc w:val="both"/>
        <w:rPr>
          <w:rFonts w:ascii="Times New Roman" w:eastAsia="Calibri" w:hAnsi="Times New Roman" w:cs="Times New Roman"/>
          <w:noProof/>
        </w:rPr>
      </w:pPr>
    </w:p>
    <w:p w14:paraId="376398E4" w14:textId="47C9E740" w:rsidR="00A70EA8" w:rsidRDefault="00A70EA8" w:rsidP="00A70EA8">
      <w:pPr>
        <w:contextualSpacing/>
        <w:jc w:val="both"/>
        <w:rPr>
          <w:rFonts w:ascii="Times New Roman" w:eastAsia="Calibri" w:hAnsi="Times New Roman" w:cs="Times New Roman"/>
          <w:noProof/>
        </w:rPr>
      </w:pPr>
      <w:r>
        <w:rPr>
          <w:rFonts w:ascii="Times New Roman" w:hAnsi="Times New Roman"/>
          <w:noProof/>
        </w:rPr>
        <w:t xml:space="preserve">Wspólny Komitet wskazał ponadto niespójność pomiędzy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5</w:t>
      </w:r>
      <w:r>
        <w:rPr>
          <w:rFonts w:ascii="Times New Roman" w:hAnsi="Times New Roman"/>
          <w:noProof/>
        </w:rPr>
        <w:t xml:space="preserve">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 xml:space="preserve"> </w:t>
      </w:r>
      <w:r w:rsidRPr="001B0DFF">
        <w:rPr>
          <w:rFonts w:ascii="Times New Roman" w:hAnsi="Times New Roman"/>
          <w:noProof/>
        </w:rPr>
        <w:t>lit.</w:t>
      </w:r>
      <w:r w:rsidR="001B0DFF" w:rsidRPr="001B0DFF">
        <w:rPr>
          <w:rFonts w:ascii="Times New Roman" w:hAnsi="Times New Roman"/>
          <w:noProof/>
        </w:rPr>
        <w:t> </w:t>
      </w:r>
      <w:r w:rsidRPr="001B0DFF">
        <w:rPr>
          <w:rFonts w:ascii="Times New Roman" w:hAnsi="Times New Roman"/>
          <w:noProof/>
        </w:rPr>
        <w:t>b)</w:t>
      </w:r>
      <w:r w:rsidR="001B0DFF">
        <w:rPr>
          <w:rFonts w:ascii="Times New Roman" w:hAnsi="Times New Roman"/>
          <w:noProof/>
        </w:rPr>
        <w:t xml:space="preserve"> i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9</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 xml:space="preserve">awie sekurytyzacji, jednak nie wydał jednoznacznego zalecenia na temat sposobu jej usunięcia: W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9</w:t>
      </w:r>
      <w:r>
        <w:rPr>
          <w:rFonts w:ascii="Times New Roman" w:hAnsi="Times New Roman"/>
          <w:noProof/>
        </w:rPr>
        <w:t xml:space="preserve"> zobowiązano również jednostkę sponsorującą do stosowania należytych kryteriów przyznawania kredytu, natomiast</w:t>
      </w:r>
      <w:r w:rsidR="001B0DFF">
        <w:rPr>
          <w:rFonts w:ascii="Times New Roman" w:hAnsi="Times New Roman"/>
          <w:noProof/>
        </w:rPr>
        <w:t xml:space="preserve"> w odp</w:t>
      </w:r>
      <w:r>
        <w:rPr>
          <w:rFonts w:ascii="Times New Roman" w:hAnsi="Times New Roman"/>
          <w:noProof/>
        </w:rPr>
        <w:t>owiednim wymogu dotyczącym należytej staranności określonym</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5</w:t>
      </w:r>
      <w:r>
        <w:rPr>
          <w:rFonts w:ascii="Times New Roman" w:hAnsi="Times New Roman"/>
          <w:noProof/>
        </w:rPr>
        <w:t xml:space="preserve">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 xml:space="preserve"> </w:t>
      </w:r>
      <w:r w:rsidRPr="001B0DFF">
        <w:rPr>
          <w:rFonts w:ascii="Times New Roman" w:hAnsi="Times New Roman"/>
          <w:noProof/>
        </w:rPr>
        <w:t>lit.</w:t>
      </w:r>
      <w:r w:rsidR="001B0DFF" w:rsidRPr="001B0DFF">
        <w:rPr>
          <w:rFonts w:ascii="Times New Roman" w:hAnsi="Times New Roman"/>
          <w:noProof/>
        </w:rPr>
        <w:t> </w:t>
      </w:r>
      <w:r w:rsidRPr="001B0DFF">
        <w:rPr>
          <w:rFonts w:ascii="Times New Roman" w:hAnsi="Times New Roman"/>
          <w:noProof/>
        </w:rPr>
        <w:t>b)</w:t>
      </w:r>
      <w:r>
        <w:rPr>
          <w:rFonts w:ascii="Times New Roman" w:hAnsi="Times New Roman"/>
          <w:noProof/>
        </w:rPr>
        <w:t xml:space="preserve"> nie wspomniano</w:t>
      </w:r>
      <w:r w:rsidR="001B0DFF">
        <w:rPr>
          <w:rFonts w:ascii="Times New Roman" w:hAnsi="Times New Roman"/>
          <w:noProof/>
        </w:rPr>
        <w:t xml:space="preserve"> o jed</w:t>
      </w:r>
      <w:r>
        <w:rPr>
          <w:rFonts w:ascii="Times New Roman" w:hAnsi="Times New Roman"/>
          <w:noProof/>
        </w:rPr>
        <w:t>nostce sponsorującej.</w:t>
      </w:r>
    </w:p>
    <w:p w14:paraId="0AEE1347" w14:textId="77777777" w:rsidR="007C01AE" w:rsidRPr="003C0D71" w:rsidRDefault="007C01AE" w:rsidP="00A70EA8">
      <w:pPr>
        <w:contextualSpacing/>
        <w:jc w:val="both"/>
        <w:rPr>
          <w:rFonts w:ascii="Times New Roman" w:eastAsia="Calibri" w:hAnsi="Times New Roman" w:cs="Times New Roman"/>
          <w:noProof/>
        </w:rPr>
      </w:pPr>
    </w:p>
    <w:p w14:paraId="02ED3567" w14:textId="38B4E62D" w:rsidR="00A70EA8" w:rsidRPr="003C0D71" w:rsidRDefault="00A70EA8" w:rsidP="00A70EA8">
      <w:pPr>
        <w:jc w:val="both"/>
        <w:rPr>
          <w:rFonts w:ascii="Times New Roman" w:eastAsia="Calibri" w:hAnsi="Times New Roman" w:cs="Times New Roman"/>
          <w:noProof/>
        </w:rPr>
      </w:pPr>
      <w:r>
        <w:rPr>
          <w:rFonts w:ascii="Times New Roman" w:hAnsi="Times New Roman"/>
          <w:noProof/>
        </w:rPr>
        <w:t>Respondenci biorący udział</w:t>
      </w:r>
      <w:r w:rsidR="001B0DFF">
        <w:rPr>
          <w:rFonts w:ascii="Times New Roman" w:hAnsi="Times New Roman"/>
          <w:noProof/>
        </w:rPr>
        <w:t xml:space="preserve"> w kon</w:t>
      </w:r>
      <w:r>
        <w:rPr>
          <w:rFonts w:ascii="Times New Roman" w:hAnsi="Times New Roman"/>
          <w:noProof/>
        </w:rPr>
        <w:t>sultacjach odnieśli się do sugestii Wspólnego Komitetu</w:t>
      </w:r>
      <w:r w:rsidR="001B0DFF">
        <w:rPr>
          <w:rFonts w:ascii="Times New Roman" w:hAnsi="Times New Roman"/>
          <w:noProof/>
        </w:rPr>
        <w:t xml:space="preserve"> w nas</w:t>
      </w:r>
      <w:r>
        <w:rPr>
          <w:rFonts w:ascii="Times New Roman" w:hAnsi="Times New Roman"/>
          <w:noProof/>
        </w:rPr>
        <w:t xml:space="preserve">tępujący sposób: </w:t>
      </w:r>
    </w:p>
    <w:p w14:paraId="61266A56" w14:textId="7EC6F249" w:rsidR="00A70EA8" w:rsidRPr="009751B2" w:rsidRDefault="00A70EA8" w:rsidP="00A70EA8">
      <w:pPr>
        <w:numPr>
          <w:ilvl w:val="0"/>
          <w:numId w:val="32"/>
        </w:numPr>
        <w:contextualSpacing/>
        <w:jc w:val="both"/>
        <w:rPr>
          <w:rFonts w:ascii="Times New Roman" w:eastAsia="Calibri" w:hAnsi="Times New Roman" w:cs="Times New Roman"/>
          <w:noProof/>
        </w:rPr>
      </w:pPr>
      <w:r>
        <w:rPr>
          <w:rFonts w:ascii="Times New Roman" w:hAnsi="Times New Roman"/>
          <w:noProof/>
        </w:rPr>
        <w:t>uczestnicy rynku opowiedzieli się przeciwko ograniczeniu zatrzymywania ryzyka wyłącznie do podmiotów</w:t>
      </w:r>
      <w:r w:rsidR="001B0DFF">
        <w:rPr>
          <w:rFonts w:ascii="Times New Roman" w:hAnsi="Times New Roman"/>
          <w:noProof/>
        </w:rPr>
        <w:t xml:space="preserve"> z sie</w:t>
      </w:r>
      <w:r>
        <w:rPr>
          <w:rFonts w:ascii="Times New Roman" w:hAnsi="Times New Roman"/>
          <w:noProof/>
        </w:rPr>
        <w:t>dzibą w UE. Podmiotami zatrzymującymi ryzyko powinny być podmioty sprawujące faktyczną</w:t>
      </w:r>
      <w:r w:rsidR="001B0DFF">
        <w:rPr>
          <w:rFonts w:ascii="Times New Roman" w:hAnsi="Times New Roman"/>
          <w:noProof/>
        </w:rPr>
        <w:t xml:space="preserve"> i wys</w:t>
      </w:r>
      <w:r>
        <w:rPr>
          <w:rFonts w:ascii="Times New Roman" w:hAnsi="Times New Roman"/>
          <w:noProof/>
        </w:rPr>
        <w:t>tarczającą kontrolę nad portfelem objętym sekurytyzacją</w:t>
      </w:r>
      <w:r w:rsidR="001B0DFF">
        <w:rPr>
          <w:rFonts w:ascii="Times New Roman" w:hAnsi="Times New Roman"/>
          <w:noProof/>
        </w:rPr>
        <w:t xml:space="preserve"> i maj</w:t>
      </w:r>
      <w:r>
        <w:rPr>
          <w:rFonts w:ascii="Times New Roman" w:hAnsi="Times New Roman"/>
          <w:noProof/>
        </w:rPr>
        <w:t>ące</w:t>
      </w:r>
      <w:r w:rsidR="001B0DFF">
        <w:rPr>
          <w:rFonts w:ascii="Times New Roman" w:hAnsi="Times New Roman"/>
          <w:noProof/>
        </w:rPr>
        <w:t xml:space="preserve"> w nim</w:t>
      </w:r>
      <w:r>
        <w:rPr>
          <w:rFonts w:ascii="Times New Roman" w:hAnsi="Times New Roman"/>
          <w:noProof/>
        </w:rPr>
        <w:t xml:space="preserve"> udział; jurysdykcja nie powinna mieć znaczenia;</w:t>
      </w:r>
    </w:p>
    <w:p w14:paraId="19CA4EBF" w14:textId="0D47B9EF" w:rsidR="00A70EA8" w:rsidRPr="00647E9A" w:rsidRDefault="00A70EA8" w:rsidP="00A70EA8">
      <w:pPr>
        <w:numPr>
          <w:ilvl w:val="0"/>
          <w:numId w:val="32"/>
        </w:numPr>
        <w:contextualSpacing/>
        <w:jc w:val="both"/>
        <w:rPr>
          <w:rFonts w:ascii="Times New Roman" w:eastAsia="Calibri" w:hAnsi="Times New Roman" w:cs="Times New Roman"/>
          <w:noProof/>
        </w:rPr>
      </w:pPr>
      <w:r>
        <w:rPr>
          <w:rFonts w:ascii="Times New Roman" w:hAnsi="Times New Roman"/>
          <w:noProof/>
        </w:rPr>
        <w:t>również</w:t>
      </w:r>
      <w:r w:rsidR="001B0DFF">
        <w:rPr>
          <w:rFonts w:ascii="Times New Roman" w:hAnsi="Times New Roman"/>
          <w:noProof/>
        </w:rPr>
        <w:t xml:space="preserve"> w odn</w:t>
      </w:r>
      <w:r>
        <w:rPr>
          <w:rFonts w:ascii="Times New Roman" w:hAnsi="Times New Roman"/>
          <w:noProof/>
        </w:rPr>
        <w:t>iesieniu do wymogów dotyczących przejrzystości określonych</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awie sekurytyzacji zdecydowana większość, głównie przedstawiciele sektora, sprzeciwiła się nałożeniu na podmiot</w:t>
      </w:r>
      <w:r w:rsidR="001B0DFF">
        <w:rPr>
          <w:rFonts w:ascii="Times New Roman" w:hAnsi="Times New Roman"/>
          <w:noProof/>
        </w:rPr>
        <w:t xml:space="preserve"> z sie</w:t>
      </w:r>
      <w:r>
        <w:rPr>
          <w:rFonts w:ascii="Times New Roman" w:hAnsi="Times New Roman"/>
          <w:noProof/>
        </w:rPr>
        <w:t xml:space="preserve">dzibą w UE obowiązku ujawniania informacji, podkreślając, że najbardziej właściwy podmiot sprawozdawczy może nie znajdować się w UE. Większość organów nadzoru, które udzieliły odpowiedzi, opowiedziała się raczej za sugestią Wspólnego Komitetu. Należy jednak zauważyć, że odpowiedzi udzieliła tylko niewielka liczba organów nadzoru; </w:t>
      </w:r>
    </w:p>
    <w:p w14:paraId="013BB647" w14:textId="2059DB06" w:rsidR="00A70EA8" w:rsidRDefault="00A70EA8" w:rsidP="00A70EA8">
      <w:pPr>
        <w:numPr>
          <w:ilvl w:val="0"/>
          <w:numId w:val="32"/>
        </w:numPr>
        <w:contextualSpacing/>
        <w:jc w:val="both"/>
        <w:rPr>
          <w:rFonts w:ascii="Times New Roman" w:eastAsia="Calibri" w:hAnsi="Times New Roman" w:cs="Times New Roman"/>
          <w:noProof/>
        </w:rPr>
      </w:pPr>
      <w:r>
        <w:rPr>
          <w:rFonts w:ascii="Times New Roman" w:hAnsi="Times New Roman"/>
          <w:noProof/>
        </w:rPr>
        <w:t>opinie były również podzielone co do tego, czy weryfikacji norm przyznawania kredytu zgodnie</w:t>
      </w:r>
      <w:r w:rsidR="001B0DFF">
        <w:rPr>
          <w:rFonts w:ascii="Times New Roman" w:hAnsi="Times New Roman"/>
          <w:noProof/>
        </w:rPr>
        <w:t xml:space="preserve"> z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9</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awie sekurytyzacji powinien obowiązkowo dokonywać podmiot</w:t>
      </w:r>
      <w:r w:rsidR="001B0DFF">
        <w:rPr>
          <w:rFonts w:ascii="Times New Roman" w:hAnsi="Times New Roman"/>
          <w:noProof/>
        </w:rPr>
        <w:t xml:space="preserve"> z sie</w:t>
      </w:r>
      <w:r>
        <w:rPr>
          <w:rFonts w:ascii="Times New Roman" w:hAnsi="Times New Roman"/>
          <w:noProof/>
        </w:rPr>
        <w:t>dzibą w UE. Trzy czwarte respondentów (w tym większość respondentów</w:t>
      </w:r>
      <w:r w:rsidR="001B0DFF">
        <w:rPr>
          <w:rFonts w:ascii="Times New Roman" w:hAnsi="Times New Roman"/>
          <w:noProof/>
        </w:rPr>
        <w:t xml:space="preserve"> z sek</w:t>
      </w:r>
      <w:r>
        <w:rPr>
          <w:rFonts w:ascii="Times New Roman" w:hAnsi="Times New Roman"/>
          <w:noProof/>
        </w:rPr>
        <w:t>tora) opowiedziało się przeciwko przeniesieniu tych obowiązków</w:t>
      </w:r>
      <w:r w:rsidR="001B0DFF">
        <w:rPr>
          <w:rFonts w:ascii="Times New Roman" w:hAnsi="Times New Roman"/>
          <w:noProof/>
        </w:rPr>
        <w:t xml:space="preserve"> z wła</w:t>
      </w:r>
      <w:r>
        <w:rPr>
          <w:rFonts w:ascii="Times New Roman" w:hAnsi="Times New Roman"/>
          <w:noProof/>
        </w:rPr>
        <w:t>ściwego podmiotu na podmiot</w:t>
      </w:r>
      <w:r w:rsidR="001B0DFF">
        <w:rPr>
          <w:rFonts w:ascii="Times New Roman" w:hAnsi="Times New Roman"/>
          <w:noProof/>
        </w:rPr>
        <w:t xml:space="preserve"> z sie</w:t>
      </w:r>
      <w:r>
        <w:rPr>
          <w:rFonts w:ascii="Times New Roman" w:hAnsi="Times New Roman"/>
          <w:noProof/>
        </w:rPr>
        <w:t>dzibą w UE.</w:t>
      </w:r>
    </w:p>
    <w:p w14:paraId="6ACC80CE" w14:textId="77777777" w:rsidR="00A6598B" w:rsidRPr="003C0D71" w:rsidRDefault="00A6598B" w:rsidP="00A6598B">
      <w:pPr>
        <w:ind w:left="720"/>
        <w:contextualSpacing/>
        <w:jc w:val="both"/>
        <w:rPr>
          <w:rFonts w:ascii="Times New Roman" w:eastAsia="Calibri" w:hAnsi="Times New Roman" w:cs="Times New Roman"/>
          <w:noProof/>
        </w:rPr>
      </w:pPr>
    </w:p>
    <w:p w14:paraId="427655D3" w14:textId="7E3AFC5C" w:rsidR="00A70EA8" w:rsidRPr="003C0D71" w:rsidRDefault="00A6598B" w:rsidP="00A70EA8">
      <w:pPr>
        <w:jc w:val="both"/>
        <w:rPr>
          <w:rFonts w:ascii="Times New Roman" w:eastAsia="Calibri" w:hAnsi="Times New Roman" w:cs="Times New Roman"/>
          <w:noProof/>
        </w:rPr>
      </w:pPr>
      <w:r>
        <w:rPr>
          <w:rFonts w:ascii="Times New Roman" w:hAnsi="Times New Roman"/>
          <w:noProof/>
        </w:rPr>
        <w:t xml:space="preserve">Z konsultacji wynika ponadto, że wśród respondentów panuje powszechna zgoda, że należy usunąć wskazaną niespójność pomiędzy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5</w:t>
      </w:r>
      <w:r>
        <w:rPr>
          <w:rFonts w:ascii="Times New Roman" w:hAnsi="Times New Roman"/>
          <w:noProof/>
        </w:rPr>
        <w:t xml:space="preserve">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 xml:space="preserve"> </w:t>
      </w:r>
      <w:r w:rsidRPr="001B0DFF">
        <w:rPr>
          <w:rFonts w:ascii="Times New Roman" w:hAnsi="Times New Roman"/>
          <w:noProof/>
        </w:rPr>
        <w:t>lit.</w:t>
      </w:r>
      <w:r w:rsidR="001B0DFF" w:rsidRPr="001B0DFF">
        <w:rPr>
          <w:rFonts w:ascii="Times New Roman" w:hAnsi="Times New Roman"/>
          <w:noProof/>
        </w:rPr>
        <w:t> </w:t>
      </w:r>
      <w:r w:rsidRPr="001B0DFF">
        <w:rPr>
          <w:rFonts w:ascii="Times New Roman" w:hAnsi="Times New Roman"/>
          <w:noProof/>
        </w:rPr>
        <w:t>b)</w:t>
      </w:r>
      <w:r w:rsidR="001B0DFF">
        <w:rPr>
          <w:rFonts w:ascii="Times New Roman" w:hAnsi="Times New Roman"/>
          <w:noProof/>
        </w:rPr>
        <w:t xml:space="preserve"> i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9</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 xml:space="preserve">awie sekurytyzacji. </w:t>
      </w:r>
    </w:p>
    <w:p w14:paraId="50C74FC0" w14:textId="6999CD33" w:rsidR="009E344D" w:rsidRPr="003C0D71" w:rsidRDefault="000146AB" w:rsidP="000D4664">
      <w:pPr>
        <w:rPr>
          <w:rFonts w:ascii="Times New Roman" w:hAnsi="Times New Roman" w:cs="Times New Roman"/>
          <w:b/>
          <w:noProof/>
          <w:sz w:val="24"/>
        </w:rPr>
      </w:pPr>
      <w:r>
        <w:rPr>
          <w:rFonts w:ascii="Times New Roman" w:hAnsi="Times New Roman"/>
          <w:b/>
          <w:noProof/>
          <w:sz w:val="24"/>
        </w:rPr>
        <w:t>Ocena Komisji</w:t>
      </w:r>
    </w:p>
    <w:p w14:paraId="094B5943" w14:textId="608A6ED7" w:rsidR="00A70EA8" w:rsidRPr="003C0D71" w:rsidRDefault="00A70EA8" w:rsidP="00A70EA8">
      <w:pPr>
        <w:jc w:val="both"/>
        <w:rPr>
          <w:rFonts w:ascii="Times New Roman" w:eastAsia="Calibri" w:hAnsi="Times New Roman" w:cs="Times New Roman"/>
          <w:noProof/>
        </w:rPr>
      </w:pPr>
      <w:r>
        <w:rPr>
          <w:rFonts w:ascii="Times New Roman" w:hAnsi="Times New Roman"/>
          <w:noProof/>
        </w:rPr>
        <w:t xml:space="preserve">Komisja stwierdza, że interpretacja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6</w:t>
      </w:r>
      <w:r>
        <w:rPr>
          <w:rFonts w:ascii="Times New Roman" w:hAnsi="Times New Roman"/>
          <w:noProof/>
        </w:rPr>
        <w:t>, 7</w:t>
      </w:r>
      <w:r w:rsidR="001B0DFF">
        <w:rPr>
          <w:rFonts w:ascii="Times New Roman" w:hAnsi="Times New Roman"/>
          <w:noProof/>
        </w:rPr>
        <w:t xml:space="preserve"> i 9</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awie sekurytyzacji zaproponowana przez Wspólny Komitet nie znajduje potwierdzenia</w:t>
      </w:r>
      <w:r w:rsidR="001B0DFF">
        <w:rPr>
          <w:rFonts w:ascii="Times New Roman" w:hAnsi="Times New Roman"/>
          <w:noProof/>
        </w:rPr>
        <w:t xml:space="preserve"> w tek</w:t>
      </w:r>
      <w:r>
        <w:rPr>
          <w:rFonts w:ascii="Times New Roman" w:hAnsi="Times New Roman"/>
          <w:noProof/>
        </w:rPr>
        <w:t xml:space="preserve">ście prawnym. Komisja uważa, że taka wąska interpretacja nie jest również niezbędna do zrealizowania intencji ustawodawcy dotyczącej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6</w:t>
      </w:r>
      <w:r>
        <w:rPr>
          <w:rFonts w:ascii="Times New Roman" w:hAnsi="Times New Roman"/>
          <w:noProof/>
        </w:rPr>
        <w:t>, 7</w:t>
      </w:r>
      <w:r w:rsidR="001B0DFF">
        <w:rPr>
          <w:rFonts w:ascii="Times New Roman" w:hAnsi="Times New Roman"/>
          <w:noProof/>
        </w:rPr>
        <w:t xml:space="preserve"> i 9</w:t>
      </w:r>
      <w:r>
        <w:rPr>
          <w:rFonts w:ascii="Times New Roman" w:hAnsi="Times New Roman"/>
          <w:noProof/>
        </w:rPr>
        <w:t>,</w:t>
      </w:r>
      <w:r w:rsidR="001B0DFF">
        <w:rPr>
          <w:rFonts w:ascii="Times New Roman" w:hAnsi="Times New Roman"/>
          <w:noProof/>
        </w:rPr>
        <w:t xml:space="preserve"> a mia</w:t>
      </w:r>
      <w:r>
        <w:rPr>
          <w:rFonts w:ascii="Times New Roman" w:hAnsi="Times New Roman"/>
          <w:noProof/>
        </w:rPr>
        <w:t>nowicie zapewnienia, aby wszystkie sekurytyzacje</w:t>
      </w:r>
      <w:r w:rsidR="001B0DFF">
        <w:rPr>
          <w:rFonts w:ascii="Times New Roman" w:hAnsi="Times New Roman"/>
          <w:noProof/>
        </w:rPr>
        <w:t xml:space="preserve"> z udz</w:t>
      </w:r>
      <w:r>
        <w:rPr>
          <w:rFonts w:ascii="Times New Roman" w:hAnsi="Times New Roman"/>
          <w:noProof/>
        </w:rPr>
        <w:t>iałem osób z UE spełniały określone wymogi strukturalne</w:t>
      </w:r>
      <w:r w:rsidR="001B0DFF">
        <w:rPr>
          <w:rFonts w:ascii="Times New Roman" w:hAnsi="Times New Roman"/>
          <w:noProof/>
        </w:rPr>
        <w:t xml:space="preserve"> i jak</w:t>
      </w:r>
      <w:r>
        <w:rPr>
          <w:rFonts w:ascii="Times New Roman" w:hAnsi="Times New Roman"/>
          <w:noProof/>
        </w:rPr>
        <w:t>ościowe. Chociaż</w:t>
      </w:r>
      <w:r w:rsidR="001B0DFF">
        <w:rPr>
          <w:rFonts w:ascii="Times New Roman" w:hAnsi="Times New Roman"/>
          <w:noProof/>
        </w:rPr>
        <w:t xml:space="preserve"> z pew</w:t>
      </w:r>
      <w:r>
        <w:rPr>
          <w:rFonts w:ascii="Times New Roman" w:hAnsi="Times New Roman"/>
          <w:noProof/>
        </w:rPr>
        <w:t>nością najbardziej pożądane jest, aby wymogi te były egzekwowane bezpośrednio przez organy nadzoru UE, należy pamiętać, że cel ten jest również skutecznie realizowany za pośrednictwem obowiązków inwestora instytucjonalnego dotyczących należytej staranności określonych</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5</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awie sekurytyzacji. Zgodnie</w:t>
      </w:r>
      <w:r w:rsidR="001B0DFF">
        <w:rPr>
          <w:rFonts w:ascii="Times New Roman" w:hAnsi="Times New Roman"/>
          <w:noProof/>
        </w:rPr>
        <w:t xml:space="preserve"> z tym</w:t>
      </w:r>
      <w:r>
        <w:rPr>
          <w:rFonts w:ascii="Times New Roman" w:hAnsi="Times New Roman"/>
          <w:noProof/>
        </w:rPr>
        <w:t>i obowiązkami inwestorzy instytucjonalni muszą przed zainwestowaniem</w:t>
      </w:r>
      <w:r w:rsidR="001B0DFF">
        <w:rPr>
          <w:rFonts w:ascii="Times New Roman" w:hAnsi="Times New Roman"/>
          <w:noProof/>
        </w:rPr>
        <w:t xml:space="preserve"> w dan</w:t>
      </w:r>
      <w:r>
        <w:rPr>
          <w:rFonts w:ascii="Times New Roman" w:hAnsi="Times New Roman"/>
          <w:noProof/>
        </w:rPr>
        <w:t>ą sekurytyzację sprawdzić, czy strony transakcji dokonujące sprzedaży, niezależnie od ich lokalizacji, spełniają odpowiednie obowiązki wynikające</w:t>
      </w:r>
      <w:r w:rsidR="001B0DFF">
        <w:rPr>
          <w:rFonts w:ascii="Times New Roman" w:hAnsi="Times New Roman"/>
          <w:noProof/>
        </w:rPr>
        <w:t xml:space="preserve"> z teg</w:t>
      </w:r>
      <w:r>
        <w:rPr>
          <w:rFonts w:ascii="Times New Roman" w:hAnsi="Times New Roman"/>
          <w:noProof/>
        </w:rPr>
        <w:t>o rozporządzenia. Unijni inwestorzy instytucjonalni nie mogą inwestować</w:t>
      </w:r>
      <w:r w:rsidR="001B0DFF">
        <w:rPr>
          <w:rFonts w:ascii="Times New Roman" w:hAnsi="Times New Roman"/>
          <w:noProof/>
        </w:rPr>
        <w:t xml:space="preserve"> w sek</w:t>
      </w:r>
      <w:r>
        <w:rPr>
          <w:rFonts w:ascii="Times New Roman" w:hAnsi="Times New Roman"/>
          <w:noProof/>
        </w:rPr>
        <w:t xml:space="preserve">urytyzacje, jeśli okaże się, że podmioty dokonujące sprzedaży nie spełniają tych obowiązków. Mówiąc bardziej szczegółowo: </w:t>
      </w:r>
    </w:p>
    <w:p w14:paraId="2AAC1105" w14:textId="77BC7F25" w:rsidR="00A70EA8" w:rsidRPr="003C0D71" w:rsidRDefault="00A70EA8" w:rsidP="00C16759">
      <w:pPr>
        <w:pStyle w:val="ListParagraph"/>
        <w:numPr>
          <w:ilvl w:val="0"/>
          <w:numId w:val="36"/>
        </w:numPr>
        <w:jc w:val="both"/>
        <w:rPr>
          <w:rFonts w:ascii="Times New Roman" w:eastAsia="Calibri" w:hAnsi="Times New Roman" w:cs="Times New Roman"/>
          <w:noProof/>
        </w:rPr>
      </w:pPr>
      <w:r>
        <w:rPr>
          <w:rFonts w:ascii="Times New Roman" w:hAnsi="Times New Roman"/>
          <w:noProof/>
        </w:rPr>
        <w:t>głównym celem wymogu zatrzymania ryzyka określonego</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6</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awie sekurytyzacji jest wyrównanie interesów emitenta</w:t>
      </w:r>
      <w:r w:rsidR="001B0DFF">
        <w:rPr>
          <w:rFonts w:ascii="Times New Roman" w:hAnsi="Times New Roman"/>
          <w:noProof/>
        </w:rPr>
        <w:t xml:space="preserve"> i inw</w:t>
      </w:r>
      <w:r>
        <w:rPr>
          <w:rFonts w:ascii="Times New Roman" w:hAnsi="Times New Roman"/>
          <w:noProof/>
        </w:rPr>
        <w:t>estora danej sekurytyzacji. Przepis ten leży zatem</w:t>
      </w:r>
      <w:r w:rsidR="001B0DFF">
        <w:rPr>
          <w:rFonts w:ascii="Times New Roman" w:hAnsi="Times New Roman"/>
          <w:noProof/>
        </w:rPr>
        <w:t xml:space="preserve"> w int</w:t>
      </w:r>
      <w:r>
        <w:rPr>
          <w:rFonts w:ascii="Times New Roman" w:hAnsi="Times New Roman"/>
          <w:noProof/>
        </w:rPr>
        <w:t xml:space="preserve">eresie inwestora. Wąska interpretacja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6</w:t>
      </w:r>
      <w:r>
        <w:rPr>
          <w:rFonts w:ascii="Times New Roman" w:hAnsi="Times New Roman"/>
          <w:noProof/>
        </w:rPr>
        <w:t xml:space="preserve"> zaproponowana przez Wspólny Komitet nie wydaje się zatem konieczna, ponieważ obowiązek weryfikacji inwestorów określony</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5</w:t>
      </w:r>
      <w:r>
        <w:rPr>
          <w:rFonts w:ascii="Times New Roman" w:hAnsi="Times New Roman"/>
          <w:noProof/>
        </w:rPr>
        <w:t xml:space="preserve"> skutecznie zapewnia przestrzeganie zasady zatrzymania ryzyka</w:t>
      </w:r>
      <w:r w:rsidR="001B0DFF">
        <w:rPr>
          <w:rFonts w:ascii="Times New Roman" w:hAnsi="Times New Roman"/>
          <w:noProof/>
        </w:rPr>
        <w:t xml:space="preserve"> w prz</w:t>
      </w:r>
      <w:r>
        <w:rPr>
          <w:rFonts w:ascii="Times New Roman" w:hAnsi="Times New Roman"/>
          <w:noProof/>
        </w:rPr>
        <w:t>ypadku wszystkich sekurytyzacji nabywanych przez inwestorów w UE. Jeżeli cel przepisu dotyczącego zatrzymania ryzyka można osiągnąć</w:t>
      </w:r>
      <w:r w:rsidR="001B0DFF">
        <w:rPr>
          <w:rFonts w:ascii="Times New Roman" w:hAnsi="Times New Roman"/>
          <w:noProof/>
        </w:rPr>
        <w:t xml:space="preserve"> w ten</w:t>
      </w:r>
      <w:r>
        <w:rPr>
          <w:rFonts w:ascii="Times New Roman" w:hAnsi="Times New Roman"/>
          <w:noProof/>
        </w:rPr>
        <w:t xml:space="preserve"> sposób, bardziej rygorystyczna interpretacja Wspólnego Komitetu lub zmiana rozporządzenia</w:t>
      </w:r>
      <w:r w:rsidR="001B0DFF">
        <w:rPr>
          <w:rFonts w:ascii="Times New Roman" w:hAnsi="Times New Roman"/>
          <w:noProof/>
        </w:rPr>
        <w:t xml:space="preserve"> w spr</w:t>
      </w:r>
      <w:r>
        <w:rPr>
          <w:rFonts w:ascii="Times New Roman" w:hAnsi="Times New Roman"/>
          <w:noProof/>
        </w:rPr>
        <w:t>awie sekurytyzacji</w:t>
      </w:r>
      <w:r w:rsidR="001B0DFF">
        <w:rPr>
          <w:rFonts w:ascii="Times New Roman" w:hAnsi="Times New Roman"/>
          <w:noProof/>
        </w:rPr>
        <w:t xml:space="preserve"> w tym</w:t>
      </w:r>
      <w:r>
        <w:rPr>
          <w:rFonts w:ascii="Times New Roman" w:hAnsi="Times New Roman"/>
          <w:noProof/>
        </w:rPr>
        <w:t xml:space="preserve"> zakresie wydają się zbędne; </w:t>
      </w:r>
    </w:p>
    <w:p w14:paraId="2615B0B4" w14:textId="52C7C061" w:rsidR="00A70EA8" w:rsidRPr="003C0D71" w:rsidRDefault="00325A76" w:rsidP="00C16759">
      <w:pPr>
        <w:pStyle w:val="ListParagraph"/>
        <w:numPr>
          <w:ilvl w:val="0"/>
          <w:numId w:val="36"/>
        </w:numPr>
        <w:jc w:val="both"/>
        <w:rPr>
          <w:rFonts w:ascii="Times New Roman" w:eastAsia="Calibri" w:hAnsi="Times New Roman" w:cs="Times New Roman"/>
          <w:noProof/>
        </w:rPr>
      </w:pPr>
      <w:r>
        <w:rPr>
          <w:rFonts w:ascii="Times New Roman" w:hAnsi="Times New Roman"/>
          <w:noProof/>
        </w:rPr>
        <w:t>obowiązki określone</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awie sekurytyzacji są wspólnymi obowiązkami, za które</w:t>
      </w:r>
      <w:r w:rsidR="001B0DFF">
        <w:rPr>
          <w:rFonts w:ascii="Times New Roman" w:hAnsi="Times New Roman"/>
          <w:noProof/>
        </w:rPr>
        <w:t xml:space="preserve"> w peł</w:t>
      </w:r>
      <w:r>
        <w:rPr>
          <w:rFonts w:ascii="Times New Roman" w:hAnsi="Times New Roman"/>
          <w:noProof/>
        </w:rPr>
        <w:t>ni odpowiada każdy podmiot, niezależnie od tego, czy jest on jednostką inicjującą, jednostką sponsorującą czy SSPE</w:t>
      </w:r>
      <w:r w:rsidR="001B0DFF">
        <w:rPr>
          <w:rFonts w:ascii="Times New Roman" w:hAnsi="Times New Roman"/>
          <w:noProof/>
        </w:rPr>
        <w:t xml:space="preserve"> w ram</w:t>
      </w:r>
      <w:r>
        <w:rPr>
          <w:rFonts w:ascii="Times New Roman" w:hAnsi="Times New Roman"/>
          <w:noProof/>
        </w:rPr>
        <w:t>ach sekurytyzacji</w:t>
      </w:r>
      <w:r w:rsidR="001B0DFF">
        <w:rPr>
          <w:rFonts w:ascii="Times New Roman" w:hAnsi="Times New Roman"/>
          <w:noProof/>
        </w:rPr>
        <w:t>. W zwi</w:t>
      </w:r>
      <w:r>
        <w:rPr>
          <w:rFonts w:ascii="Times New Roman" w:hAnsi="Times New Roman"/>
          <w:noProof/>
        </w:rPr>
        <w:t>ązku</w:t>
      </w:r>
      <w:r w:rsidR="001B0DFF">
        <w:rPr>
          <w:rFonts w:ascii="Times New Roman" w:hAnsi="Times New Roman"/>
          <w:noProof/>
        </w:rPr>
        <w:t xml:space="preserve"> z tym</w:t>
      </w:r>
      <w:r>
        <w:rPr>
          <w:rFonts w:ascii="Times New Roman" w:hAnsi="Times New Roman"/>
          <w:noProof/>
        </w:rPr>
        <w:t>, jeżeli tylko jeden</w:t>
      </w:r>
      <w:r w:rsidR="001B0DFF">
        <w:rPr>
          <w:rFonts w:ascii="Times New Roman" w:hAnsi="Times New Roman"/>
          <w:noProof/>
        </w:rPr>
        <w:t xml:space="preserve"> z tyc</w:t>
      </w:r>
      <w:r>
        <w:rPr>
          <w:rFonts w:ascii="Times New Roman" w:hAnsi="Times New Roman"/>
          <w:noProof/>
        </w:rPr>
        <w:t xml:space="preserve">h podmiotów dokonujących sprzedaży ma siedzibę w UE, jest on prawnie zobowiązany do ujawnienia wszystkich informacji wymaganych na podstawie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nawet jeżeli nie jest to podmiot wyznaczony do celów spełnienia wymogów dotyczących ujawniania informacji. Obowiązek ten może być egzekwowany wobec unijnych podmiotów dokonujących sprzedaży, nawet jeśli podmiot odpowiedzialny za przekazywanie informacji ma siedzibę poza UE;</w:t>
      </w:r>
    </w:p>
    <w:p w14:paraId="2928B299" w14:textId="62A9B10D" w:rsidR="00A70EA8" w:rsidRPr="001B0DFF" w:rsidRDefault="0067716E" w:rsidP="00C16759">
      <w:pPr>
        <w:pStyle w:val="ListParagraph"/>
        <w:numPr>
          <w:ilvl w:val="0"/>
          <w:numId w:val="36"/>
        </w:numPr>
        <w:jc w:val="both"/>
        <w:rPr>
          <w:rFonts w:ascii="Times New Roman" w:eastAsia="Calibri" w:hAnsi="Times New Roman" w:cs="Times New Roman"/>
          <w:noProof/>
        </w:rPr>
      </w:pPr>
      <w:r>
        <w:rPr>
          <w:rFonts w:ascii="Times New Roman" w:hAnsi="Times New Roman"/>
          <w:noProof/>
        </w:rPr>
        <w:t>Komisja uważa, że obowiązek wynikający</w:t>
      </w:r>
      <w:r w:rsidR="001B0DFF">
        <w:rPr>
          <w:rFonts w:ascii="Times New Roman" w:hAnsi="Times New Roman"/>
          <w:noProof/>
        </w:rPr>
        <w:t xml:space="preserve"> z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9</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awie sekurytyzacji może być faktycznie spełniony jedynie przez podmiot przyznający kredyt</w:t>
      </w:r>
      <w:r w:rsidR="001B0DFF">
        <w:rPr>
          <w:rFonts w:ascii="Times New Roman" w:hAnsi="Times New Roman"/>
          <w:noProof/>
        </w:rPr>
        <w:t xml:space="preserve"> w ram</w:t>
      </w:r>
      <w:r>
        <w:rPr>
          <w:rFonts w:ascii="Times New Roman" w:hAnsi="Times New Roman"/>
          <w:noProof/>
        </w:rPr>
        <w:t>ach tego procesu, niezależnie od tego, czy ma on siedzibę w UE, czy nie. Komisja zgadza się, że</w:t>
      </w:r>
      <w:r w:rsidR="001B0DFF">
        <w:rPr>
          <w:rFonts w:ascii="Times New Roman" w:hAnsi="Times New Roman"/>
          <w:noProof/>
        </w:rPr>
        <w:t xml:space="preserve"> w ide</w:t>
      </w:r>
      <w:r>
        <w:rPr>
          <w:rFonts w:ascii="Times New Roman" w:hAnsi="Times New Roman"/>
          <w:noProof/>
        </w:rPr>
        <w:t>alnym przypadku obowiązek ten powinien być nadzorowany</w:t>
      </w:r>
      <w:r w:rsidR="001B0DFF">
        <w:rPr>
          <w:rFonts w:ascii="Times New Roman" w:hAnsi="Times New Roman"/>
          <w:noProof/>
        </w:rPr>
        <w:t xml:space="preserve"> i egz</w:t>
      </w:r>
      <w:r>
        <w:rPr>
          <w:rFonts w:ascii="Times New Roman" w:hAnsi="Times New Roman"/>
          <w:noProof/>
        </w:rPr>
        <w:t>ekwowany wobec podmiotu unijnego,</w:t>
      </w:r>
      <w:r w:rsidR="001B0DFF">
        <w:rPr>
          <w:rFonts w:ascii="Times New Roman" w:hAnsi="Times New Roman"/>
          <w:noProof/>
        </w:rPr>
        <w:t xml:space="preserve"> i zau</w:t>
      </w:r>
      <w:r>
        <w:rPr>
          <w:rFonts w:ascii="Times New Roman" w:hAnsi="Times New Roman"/>
          <w:noProof/>
        </w:rPr>
        <w:t>waża, że inwestorzy unijni muszą mieć na uwadze, że</w:t>
      </w:r>
      <w:r w:rsidR="001B0DFF">
        <w:rPr>
          <w:rFonts w:ascii="Times New Roman" w:hAnsi="Times New Roman"/>
          <w:noProof/>
        </w:rPr>
        <w:t xml:space="preserve"> w nie</w:t>
      </w:r>
      <w:r>
        <w:rPr>
          <w:rFonts w:ascii="Times New Roman" w:hAnsi="Times New Roman"/>
          <w:noProof/>
        </w:rPr>
        <w:t>których sytuacjach może nie być to możliwe. Inwestor</w:t>
      </w:r>
      <w:r w:rsidR="001B0DFF">
        <w:rPr>
          <w:rFonts w:ascii="Times New Roman" w:hAnsi="Times New Roman"/>
          <w:noProof/>
        </w:rPr>
        <w:t xml:space="preserve"> z sie</w:t>
      </w:r>
      <w:r>
        <w:rPr>
          <w:rFonts w:ascii="Times New Roman" w:hAnsi="Times New Roman"/>
          <w:noProof/>
        </w:rPr>
        <w:t>dzibą w UE może inwestować jedynie</w:t>
      </w:r>
      <w:r w:rsidR="001B0DFF">
        <w:rPr>
          <w:rFonts w:ascii="Times New Roman" w:hAnsi="Times New Roman"/>
          <w:noProof/>
        </w:rPr>
        <w:t xml:space="preserve"> w tra</w:t>
      </w:r>
      <w:r>
        <w:rPr>
          <w:rFonts w:ascii="Times New Roman" w:hAnsi="Times New Roman"/>
          <w:noProof/>
        </w:rPr>
        <w:t>nsakcje,</w:t>
      </w:r>
      <w:r w:rsidR="001B0DFF">
        <w:rPr>
          <w:rFonts w:ascii="Times New Roman" w:hAnsi="Times New Roman"/>
          <w:noProof/>
        </w:rPr>
        <w:t xml:space="preserve"> w prz</w:t>
      </w:r>
      <w:r>
        <w:rPr>
          <w:rFonts w:ascii="Times New Roman" w:hAnsi="Times New Roman"/>
          <w:noProof/>
        </w:rPr>
        <w:t>ypadku których można sprawdzić, czy spełniają one obowiązki określone</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9.</w:t>
      </w:r>
      <w:r w:rsidR="001B0DFF" w:rsidRPr="001B0DFF">
        <w:rPr>
          <w:rFonts w:ascii="Times New Roman" w:hAnsi="Times New Roman"/>
          <w:noProof/>
        </w:rPr>
        <w:t xml:space="preserve"> </w:t>
      </w:r>
    </w:p>
    <w:p w14:paraId="19585CD2" w14:textId="641A3A9E" w:rsidR="009E344D" w:rsidRPr="003C0D71" w:rsidRDefault="00A63DF3" w:rsidP="009E344D">
      <w:pPr>
        <w:jc w:val="both"/>
        <w:rPr>
          <w:rFonts w:ascii="Times New Roman" w:eastAsia="Calibri" w:hAnsi="Times New Roman" w:cs="Times New Roman"/>
          <w:noProof/>
        </w:rPr>
      </w:pPr>
      <w:r>
        <w:rPr>
          <w:rFonts w:ascii="Times New Roman" w:hAnsi="Times New Roman"/>
          <w:noProof/>
        </w:rPr>
        <w:t xml:space="preserve">Wreszcie, Komisja zauważa niespójność między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5</w:t>
      </w:r>
      <w:r>
        <w:rPr>
          <w:rFonts w:ascii="Times New Roman" w:hAnsi="Times New Roman"/>
          <w:noProof/>
        </w:rPr>
        <w:t xml:space="preserve">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 xml:space="preserve"> </w:t>
      </w:r>
      <w:r w:rsidRPr="001B0DFF">
        <w:rPr>
          <w:rFonts w:ascii="Times New Roman" w:hAnsi="Times New Roman"/>
          <w:noProof/>
        </w:rPr>
        <w:t>lit.</w:t>
      </w:r>
      <w:r w:rsidR="001B0DFF" w:rsidRPr="001B0DFF">
        <w:rPr>
          <w:rFonts w:ascii="Times New Roman" w:hAnsi="Times New Roman"/>
          <w:noProof/>
        </w:rPr>
        <w:t> </w:t>
      </w:r>
      <w:r w:rsidRPr="001B0DFF">
        <w:rPr>
          <w:rFonts w:ascii="Times New Roman" w:hAnsi="Times New Roman"/>
          <w:noProof/>
        </w:rPr>
        <w:t>b)</w:t>
      </w:r>
      <w:r w:rsidR="001B0DFF">
        <w:rPr>
          <w:rFonts w:ascii="Times New Roman" w:hAnsi="Times New Roman"/>
          <w:noProof/>
        </w:rPr>
        <w:t xml:space="preserve"> a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9</w:t>
      </w:r>
      <w:r w:rsidR="001B0DFF">
        <w:rPr>
          <w:rFonts w:ascii="Times New Roman" w:hAnsi="Times New Roman"/>
          <w:noProof/>
        </w:rPr>
        <w:t xml:space="preserve"> i zam</w:t>
      </w:r>
      <w:r>
        <w:rPr>
          <w:rFonts w:ascii="Times New Roman" w:hAnsi="Times New Roman"/>
          <w:noProof/>
        </w:rPr>
        <w:t>ierza rozwiązać ten problem</w:t>
      </w:r>
      <w:r w:rsidR="001B0DFF">
        <w:rPr>
          <w:rFonts w:ascii="Times New Roman" w:hAnsi="Times New Roman"/>
          <w:noProof/>
        </w:rPr>
        <w:t xml:space="preserve"> w ram</w:t>
      </w:r>
      <w:r>
        <w:rPr>
          <w:rFonts w:ascii="Times New Roman" w:hAnsi="Times New Roman"/>
          <w:noProof/>
        </w:rPr>
        <w:t>ach kolejnej zmiany rozporządzenia</w:t>
      </w:r>
      <w:r w:rsidR="001B0DFF">
        <w:rPr>
          <w:rFonts w:ascii="Times New Roman" w:hAnsi="Times New Roman"/>
          <w:noProof/>
        </w:rPr>
        <w:t xml:space="preserve"> w spr</w:t>
      </w:r>
      <w:r>
        <w:rPr>
          <w:rFonts w:ascii="Times New Roman" w:hAnsi="Times New Roman"/>
          <w:noProof/>
        </w:rPr>
        <w:t>awie sekurytyzacji. Komisja zwraca uwagę, że niespójność ta</w:t>
      </w:r>
      <w:r w:rsidR="001B0DFF">
        <w:rPr>
          <w:rFonts w:ascii="Times New Roman" w:hAnsi="Times New Roman"/>
          <w:noProof/>
        </w:rPr>
        <w:t xml:space="preserve"> w pra</w:t>
      </w:r>
      <w:r>
        <w:rPr>
          <w:rFonts w:ascii="Times New Roman" w:hAnsi="Times New Roman"/>
          <w:noProof/>
        </w:rPr>
        <w:t>ktyce nie wywołuje żadnych szkodliwych skutków. Jeżeli prawdą jest, że jednostka sponsorująca (w rozumieniu rozporządzenia</w:t>
      </w:r>
      <w:r w:rsidR="001B0DFF">
        <w:rPr>
          <w:rFonts w:ascii="Times New Roman" w:hAnsi="Times New Roman"/>
          <w:noProof/>
        </w:rPr>
        <w:t xml:space="preserve"> w spr</w:t>
      </w:r>
      <w:r>
        <w:rPr>
          <w:rFonts w:ascii="Times New Roman" w:hAnsi="Times New Roman"/>
          <w:noProof/>
        </w:rPr>
        <w:t xml:space="preserve">awie sekurytyzacji) nie stosuje żadnych norm przyznawania kredytu, ponieważ nie udziela kredytów na własny rachunek,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9</w:t>
      </w:r>
      <w:r>
        <w:rPr>
          <w:rFonts w:ascii="Times New Roman" w:hAnsi="Times New Roman"/>
          <w:noProof/>
        </w:rPr>
        <w:t xml:space="preserve">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 xml:space="preserve"> nie może</w:t>
      </w:r>
      <w:r w:rsidR="001B0DFF">
        <w:rPr>
          <w:rFonts w:ascii="Times New Roman" w:hAnsi="Times New Roman"/>
          <w:noProof/>
        </w:rPr>
        <w:t xml:space="preserve"> w pra</w:t>
      </w:r>
      <w:r>
        <w:rPr>
          <w:rFonts w:ascii="Times New Roman" w:hAnsi="Times New Roman"/>
          <w:noProof/>
        </w:rPr>
        <w:t xml:space="preserve">ktyce nakładać na jednostkę sponsorującą ważnego bezpośredniego zobowiązania. </w:t>
      </w:r>
    </w:p>
    <w:p w14:paraId="6DED9178" w14:textId="77777777" w:rsidR="009E344D" w:rsidRPr="003C0D71" w:rsidRDefault="009E344D" w:rsidP="000D4664">
      <w:pPr>
        <w:pStyle w:val="Heading2"/>
        <w:rPr>
          <w:rFonts w:ascii="Times New Roman" w:hAnsi="Times New Roman" w:cs="Times New Roman"/>
          <w:noProof/>
          <w:color w:val="auto"/>
        </w:rPr>
      </w:pPr>
      <w:bookmarkStart w:id="65" w:name="_Toc104283077"/>
      <w:bookmarkStart w:id="66" w:name="_Toc104286145"/>
      <w:bookmarkStart w:id="67" w:name="_Toc104297349"/>
      <w:bookmarkStart w:id="68" w:name="_Toc115361599"/>
      <w:r>
        <w:rPr>
          <w:rFonts w:ascii="Times New Roman" w:hAnsi="Times New Roman"/>
          <w:noProof/>
          <w:color w:val="auto"/>
        </w:rPr>
        <w:t>11.2 Obowiązki strony kupującej – dostępność ujawnionych informacji</w:t>
      </w:r>
      <w:bookmarkEnd w:id="65"/>
      <w:bookmarkEnd w:id="66"/>
      <w:bookmarkEnd w:id="67"/>
      <w:bookmarkEnd w:id="68"/>
    </w:p>
    <w:p w14:paraId="4DF296BD" w14:textId="665306B7" w:rsidR="009E344D" w:rsidRPr="003C0D71" w:rsidRDefault="009E344D" w:rsidP="000D4664">
      <w:pPr>
        <w:rPr>
          <w:rFonts w:ascii="Times New Roman" w:hAnsi="Times New Roman" w:cs="Times New Roman"/>
          <w:b/>
          <w:noProof/>
          <w:sz w:val="24"/>
        </w:rPr>
      </w:pPr>
      <w:r>
        <w:rPr>
          <w:rFonts w:ascii="Times New Roman" w:hAnsi="Times New Roman"/>
          <w:b/>
          <w:noProof/>
          <w:sz w:val="24"/>
        </w:rPr>
        <w:t>Kontekst</w:t>
      </w:r>
      <w:r w:rsidR="001B0DFF">
        <w:rPr>
          <w:rFonts w:ascii="Times New Roman" w:hAnsi="Times New Roman"/>
          <w:b/>
          <w:noProof/>
          <w:sz w:val="24"/>
        </w:rPr>
        <w:t xml:space="preserve"> i ust</w:t>
      </w:r>
      <w:r>
        <w:rPr>
          <w:rFonts w:ascii="Times New Roman" w:hAnsi="Times New Roman"/>
          <w:b/>
          <w:noProof/>
          <w:sz w:val="24"/>
        </w:rPr>
        <w:t>alenia</w:t>
      </w:r>
    </w:p>
    <w:p w14:paraId="6E8DAB19" w14:textId="7A040640" w:rsidR="00A70EA8" w:rsidRPr="003C0D71" w:rsidRDefault="00A70EA8" w:rsidP="00A70EA8">
      <w:pPr>
        <w:jc w:val="both"/>
        <w:rPr>
          <w:rFonts w:ascii="Times New Roman" w:eastAsia="Calibri" w:hAnsi="Times New Roman" w:cs="Times New Roman"/>
          <w:noProof/>
        </w:rPr>
      </w:pPr>
      <w:r>
        <w:rPr>
          <w:rFonts w:ascii="Times New Roman" w:hAnsi="Times New Roman"/>
          <w:noProof/>
        </w:rPr>
        <w:t>Zgodnie</w:t>
      </w:r>
      <w:r w:rsidR="001B0DFF">
        <w:rPr>
          <w:rFonts w:ascii="Times New Roman" w:hAnsi="Times New Roman"/>
          <w:noProof/>
        </w:rPr>
        <w:t xml:space="preserve"> z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5</w:t>
      </w:r>
      <w:r>
        <w:rPr>
          <w:rFonts w:ascii="Times New Roman" w:hAnsi="Times New Roman"/>
          <w:noProof/>
        </w:rPr>
        <w:t xml:space="preserve">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 xml:space="preserve"> </w:t>
      </w:r>
      <w:r w:rsidRPr="001B0DFF">
        <w:rPr>
          <w:rFonts w:ascii="Times New Roman" w:hAnsi="Times New Roman"/>
          <w:noProof/>
        </w:rPr>
        <w:t>lit.</w:t>
      </w:r>
      <w:r w:rsidR="001B0DFF" w:rsidRPr="001B0DFF">
        <w:rPr>
          <w:rFonts w:ascii="Times New Roman" w:hAnsi="Times New Roman"/>
          <w:noProof/>
        </w:rPr>
        <w:t> </w:t>
      </w:r>
      <w:r w:rsidRPr="001B0DFF">
        <w:rPr>
          <w:rFonts w:ascii="Times New Roman" w:hAnsi="Times New Roman"/>
          <w:noProof/>
        </w:rPr>
        <w:t>e)</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awie sekurytyzacji, przed dokonaniem inwestycji</w:t>
      </w:r>
      <w:r w:rsidR="001B0DFF">
        <w:rPr>
          <w:rFonts w:ascii="Times New Roman" w:hAnsi="Times New Roman"/>
          <w:noProof/>
        </w:rPr>
        <w:t xml:space="preserve"> w sek</w:t>
      </w:r>
      <w:r>
        <w:rPr>
          <w:rFonts w:ascii="Times New Roman" w:hAnsi="Times New Roman"/>
          <w:noProof/>
        </w:rPr>
        <w:t xml:space="preserve">urytyzację inwestorzy instytucjonalni muszą sprawdzić, czy informacje wymagane na podstawie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xml:space="preserve"> tego rozporządzenia zostały udostępnione</w:t>
      </w:r>
      <w:r w:rsidR="001B0DFF">
        <w:rPr>
          <w:rFonts w:ascii="Times New Roman" w:hAnsi="Times New Roman"/>
          <w:noProof/>
        </w:rPr>
        <w:t xml:space="preserve"> z czę</w:t>
      </w:r>
      <w:r>
        <w:rPr>
          <w:rFonts w:ascii="Times New Roman" w:hAnsi="Times New Roman"/>
          <w:noProof/>
        </w:rPr>
        <w:t>stotliwością</w:t>
      </w:r>
      <w:r w:rsidR="001B0DFF">
        <w:rPr>
          <w:rFonts w:ascii="Times New Roman" w:hAnsi="Times New Roman"/>
          <w:noProof/>
        </w:rPr>
        <w:t xml:space="preserve"> i zgo</w:t>
      </w:r>
      <w:r>
        <w:rPr>
          <w:rFonts w:ascii="Times New Roman" w:hAnsi="Times New Roman"/>
          <w:noProof/>
        </w:rPr>
        <w:t>dnie</w:t>
      </w:r>
      <w:r w:rsidR="001B0DFF">
        <w:rPr>
          <w:rFonts w:ascii="Times New Roman" w:hAnsi="Times New Roman"/>
          <w:noProof/>
        </w:rPr>
        <w:t xml:space="preserve"> z zas</w:t>
      </w:r>
      <w:r>
        <w:rPr>
          <w:rFonts w:ascii="Times New Roman" w:hAnsi="Times New Roman"/>
          <w:noProof/>
        </w:rPr>
        <w:t>adami przewidzianymi</w:t>
      </w:r>
      <w:r w:rsidR="001B0DFF">
        <w:rPr>
          <w:rFonts w:ascii="Times New Roman" w:hAnsi="Times New Roman"/>
          <w:noProof/>
        </w:rPr>
        <w:t xml:space="preserve"> w tym</w:t>
      </w:r>
      <w:r>
        <w:rPr>
          <w:rFonts w:ascii="Times New Roman" w:hAnsi="Times New Roman"/>
          <w:noProof/>
        </w:rPr>
        <w:t xml:space="preserve"> artykule</w:t>
      </w:r>
      <w:r w:rsidR="001B0DFF">
        <w:rPr>
          <w:rFonts w:ascii="Times New Roman" w:hAnsi="Times New Roman"/>
          <w:noProof/>
        </w:rPr>
        <w:t>. W prz</w:t>
      </w:r>
      <w:r>
        <w:rPr>
          <w:rFonts w:ascii="Times New Roman" w:hAnsi="Times New Roman"/>
          <w:noProof/>
        </w:rPr>
        <w:t>ypadku inwestycji</w:t>
      </w:r>
      <w:r w:rsidR="001B0DFF">
        <w:rPr>
          <w:rFonts w:ascii="Times New Roman" w:hAnsi="Times New Roman"/>
          <w:noProof/>
        </w:rPr>
        <w:t xml:space="preserve"> w sek</w:t>
      </w:r>
      <w:r>
        <w:rPr>
          <w:rFonts w:ascii="Times New Roman" w:hAnsi="Times New Roman"/>
          <w:noProof/>
        </w:rPr>
        <w:t>urytyzacje</w:t>
      </w:r>
      <w:r w:rsidR="001B0DFF">
        <w:rPr>
          <w:rFonts w:ascii="Times New Roman" w:hAnsi="Times New Roman"/>
          <w:noProof/>
        </w:rPr>
        <w:t xml:space="preserve"> w pań</w:t>
      </w:r>
      <w:r>
        <w:rPr>
          <w:rFonts w:ascii="Times New Roman" w:hAnsi="Times New Roman"/>
          <w:noProof/>
        </w:rPr>
        <w:t>stwach trzecich,</w:t>
      </w:r>
      <w:r w:rsidR="001B0DFF">
        <w:rPr>
          <w:rFonts w:ascii="Times New Roman" w:hAnsi="Times New Roman"/>
          <w:noProof/>
        </w:rPr>
        <w:t xml:space="preserve"> w któ</w:t>
      </w:r>
      <w:r>
        <w:rPr>
          <w:rFonts w:ascii="Times New Roman" w:hAnsi="Times New Roman"/>
          <w:noProof/>
        </w:rPr>
        <w:t>rych żadna ze stron dokonujących sprzedaży nie ma siedziby w UE, powstaje pytanie, czy inwestycje te są dopuszczalne tylko wtedy, gdy informacje wymienione</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xml:space="preserve"> zostaną udostępnione za pośrednictwem szablonów ESMA,</w:t>
      </w:r>
      <w:r w:rsidR="001B0DFF">
        <w:rPr>
          <w:rFonts w:ascii="Times New Roman" w:hAnsi="Times New Roman"/>
          <w:noProof/>
        </w:rPr>
        <w:t xml:space="preserve"> a w prz</w:t>
      </w:r>
      <w:r>
        <w:rPr>
          <w:rFonts w:ascii="Times New Roman" w:hAnsi="Times New Roman"/>
          <w:noProof/>
        </w:rPr>
        <w:t>ypadku sekurytyzacji publicznych – repozytorium sekurytyzacji. Ponadto powstaje pytanie, czy należy sprawdzać, czy przekazywane informacje</w:t>
      </w:r>
      <w:r w:rsidR="001B0DFF">
        <w:rPr>
          <w:rFonts w:ascii="Times New Roman" w:hAnsi="Times New Roman"/>
          <w:noProof/>
        </w:rPr>
        <w:t xml:space="preserve"> w peł</w:t>
      </w:r>
      <w:r>
        <w:rPr>
          <w:rFonts w:ascii="Times New Roman" w:hAnsi="Times New Roman"/>
          <w:noProof/>
        </w:rPr>
        <w:t>ni odpowiadają wymogom określonym</w:t>
      </w:r>
      <w:r w:rsidR="001B0DFF">
        <w:rPr>
          <w:rFonts w:ascii="Times New Roman" w:hAnsi="Times New Roman"/>
          <w:noProof/>
        </w:rPr>
        <w:t xml:space="preserve"> w reg</w:t>
      </w:r>
      <w:r>
        <w:rPr>
          <w:rFonts w:ascii="Times New Roman" w:hAnsi="Times New Roman"/>
          <w:noProof/>
        </w:rPr>
        <w:t>ulacyjnym standardzie technicznym ESMA dotyczącym ujawniania informacji</w:t>
      </w:r>
      <w:r>
        <w:rPr>
          <w:rStyle w:val="FootnoteReference"/>
          <w:rFonts w:ascii="Times New Roman" w:eastAsia="Calibri" w:hAnsi="Times New Roman" w:cs="Times New Roman"/>
          <w:noProof/>
        </w:rPr>
        <w:footnoteReference w:id="35"/>
      </w:r>
      <w:r>
        <w:rPr>
          <w:rFonts w:ascii="Times New Roman" w:hAnsi="Times New Roman"/>
          <w:noProof/>
        </w:rPr>
        <w:t>,</w:t>
      </w:r>
      <w:r w:rsidR="001B0DFF">
        <w:rPr>
          <w:rFonts w:ascii="Times New Roman" w:hAnsi="Times New Roman"/>
          <w:noProof/>
        </w:rPr>
        <w:t xml:space="preserve"> a w szc</w:t>
      </w:r>
      <w:r>
        <w:rPr>
          <w:rFonts w:ascii="Times New Roman" w:hAnsi="Times New Roman"/>
          <w:noProof/>
        </w:rPr>
        <w:t>zególności, czy dane dotyczące poszczególnych kredytów są udostępniane</w:t>
      </w:r>
      <w:r w:rsidR="001B0DFF">
        <w:rPr>
          <w:rFonts w:ascii="Times New Roman" w:hAnsi="Times New Roman"/>
          <w:noProof/>
        </w:rPr>
        <w:t xml:space="preserve"> w odn</w:t>
      </w:r>
      <w:r>
        <w:rPr>
          <w:rFonts w:ascii="Times New Roman" w:hAnsi="Times New Roman"/>
          <w:noProof/>
        </w:rPr>
        <w:t xml:space="preserve">iesieniu do wszystkich ekspozycji stanowiących podstawę sekurytyzacji. Taka interpretacja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5</w:t>
      </w:r>
      <w:r>
        <w:rPr>
          <w:rFonts w:ascii="Times New Roman" w:hAnsi="Times New Roman"/>
          <w:noProof/>
        </w:rPr>
        <w:t xml:space="preserve">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 xml:space="preserve"> </w:t>
      </w:r>
      <w:r w:rsidRPr="001B0DFF">
        <w:rPr>
          <w:rFonts w:ascii="Times New Roman" w:hAnsi="Times New Roman"/>
          <w:noProof/>
        </w:rPr>
        <w:t>lit.</w:t>
      </w:r>
      <w:r w:rsidR="001B0DFF" w:rsidRPr="001B0DFF">
        <w:rPr>
          <w:rFonts w:ascii="Times New Roman" w:hAnsi="Times New Roman"/>
          <w:noProof/>
        </w:rPr>
        <w:t> </w:t>
      </w:r>
      <w:r w:rsidRPr="001B0DFF">
        <w:rPr>
          <w:rFonts w:ascii="Times New Roman" w:hAnsi="Times New Roman"/>
          <w:noProof/>
        </w:rPr>
        <w:t>e)</w:t>
      </w:r>
      <w:r>
        <w:rPr>
          <w:rFonts w:ascii="Times New Roman" w:hAnsi="Times New Roman"/>
          <w:noProof/>
        </w:rPr>
        <w:t xml:space="preserve"> uniemożliwiłaby unijnym inwestorom instytucjonalnym inwestowanie</w:t>
      </w:r>
      <w:r w:rsidR="001B0DFF">
        <w:rPr>
          <w:rFonts w:ascii="Times New Roman" w:hAnsi="Times New Roman"/>
          <w:noProof/>
        </w:rPr>
        <w:t xml:space="preserve"> w sek</w:t>
      </w:r>
      <w:r>
        <w:rPr>
          <w:rFonts w:ascii="Times New Roman" w:hAnsi="Times New Roman"/>
          <w:noProof/>
        </w:rPr>
        <w:t>urytyzacje</w:t>
      </w:r>
      <w:r w:rsidR="001B0DFF">
        <w:rPr>
          <w:rFonts w:ascii="Times New Roman" w:hAnsi="Times New Roman"/>
          <w:noProof/>
        </w:rPr>
        <w:t xml:space="preserve"> w pań</w:t>
      </w:r>
      <w:r>
        <w:rPr>
          <w:rFonts w:ascii="Times New Roman" w:hAnsi="Times New Roman"/>
          <w:noProof/>
        </w:rPr>
        <w:t>stwach trzecich, które nie spełniają tych warunków</w:t>
      </w:r>
      <w:r w:rsidR="001B0DFF">
        <w:rPr>
          <w:rFonts w:ascii="Times New Roman" w:hAnsi="Times New Roman"/>
          <w:noProof/>
        </w:rPr>
        <w:t>. Z uwa</w:t>
      </w:r>
      <w:r>
        <w:rPr>
          <w:rFonts w:ascii="Times New Roman" w:hAnsi="Times New Roman"/>
          <w:noProof/>
        </w:rPr>
        <w:t>g Wspólnego Komitetu oraz informacji zwrotnych otrzymanych</w:t>
      </w:r>
      <w:r w:rsidR="001B0DFF">
        <w:rPr>
          <w:rFonts w:ascii="Times New Roman" w:hAnsi="Times New Roman"/>
          <w:noProof/>
        </w:rPr>
        <w:t xml:space="preserve"> w ram</w:t>
      </w:r>
      <w:r>
        <w:rPr>
          <w:rFonts w:ascii="Times New Roman" w:hAnsi="Times New Roman"/>
          <w:noProof/>
        </w:rPr>
        <w:t>ach konsultacji wyraźnie wynika, że</w:t>
      </w:r>
      <w:r w:rsidR="001B0DFF">
        <w:rPr>
          <w:rFonts w:ascii="Times New Roman" w:hAnsi="Times New Roman"/>
          <w:noProof/>
        </w:rPr>
        <w:t xml:space="preserve"> w chw</w:t>
      </w:r>
      <w:r>
        <w:rPr>
          <w:rFonts w:ascii="Times New Roman" w:hAnsi="Times New Roman"/>
          <w:noProof/>
        </w:rPr>
        <w:t>ili obecnej uczestnicy rynku różnie interpretują</w:t>
      </w:r>
      <w:r w:rsidR="001B0DFF">
        <w:rPr>
          <w:rFonts w:ascii="Times New Roman" w:hAnsi="Times New Roman"/>
          <w:noProof/>
        </w:rPr>
        <w:t xml:space="preserve"> i sto</w:t>
      </w:r>
      <w:r>
        <w:rPr>
          <w:rFonts w:ascii="Times New Roman" w:hAnsi="Times New Roman"/>
          <w:noProof/>
        </w:rPr>
        <w:t xml:space="preserve">sują wymogi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5</w:t>
      </w:r>
      <w:r>
        <w:rPr>
          <w:rFonts w:ascii="Times New Roman" w:hAnsi="Times New Roman"/>
          <w:noProof/>
        </w:rPr>
        <w:t xml:space="preserve">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 xml:space="preserve"> </w:t>
      </w:r>
      <w:r w:rsidRPr="001B0DFF">
        <w:rPr>
          <w:rFonts w:ascii="Times New Roman" w:hAnsi="Times New Roman"/>
          <w:noProof/>
        </w:rPr>
        <w:t>lit.</w:t>
      </w:r>
      <w:r w:rsidR="001B0DFF" w:rsidRPr="001B0DFF">
        <w:rPr>
          <w:rFonts w:ascii="Times New Roman" w:hAnsi="Times New Roman"/>
          <w:noProof/>
        </w:rPr>
        <w:t> </w:t>
      </w:r>
      <w:r w:rsidRPr="001B0DFF">
        <w:rPr>
          <w:rFonts w:ascii="Times New Roman" w:hAnsi="Times New Roman"/>
          <w:noProof/>
        </w:rPr>
        <w:t>e)</w:t>
      </w:r>
      <w:r>
        <w:rPr>
          <w:rFonts w:ascii="Times New Roman" w:hAnsi="Times New Roman"/>
          <w:noProof/>
        </w:rPr>
        <w:t xml:space="preserve">. </w:t>
      </w:r>
    </w:p>
    <w:p w14:paraId="4BE9C123" w14:textId="64B16EE5" w:rsidR="00A70EA8" w:rsidRPr="003C0D71" w:rsidRDefault="00A70EA8" w:rsidP="00A70EA8">
      <w:pPr>
        <w:jc w:val="both"/>
        <w:rPr>
          <w:rFonts w:ascii="Times New Roman" w:eastAsia="Calibri" w:hAnsi="Times New Roman" w:cs="Times New Roman"/>
          <w:noProof/>
        </w:rPr>
      </w:pPr>
      <w:r>
        <w:rPr>
          <w:rFonts w:ascii="Times New Roman" w:hAnsi="Times New Roman"/>
          <w:noProof/>
        </w:rPr>
        <w:t>Wspólnego Komitetu opowiedział się za większą elastycznością, tak aby</w:t>
      </w:r>
      <w:r w:rsidR="001B0DFF">
        <w:rPr>
          <w:rFonts w:ascii="Times New Roman" w:hAnsi="Times New Roman"/>
          <w:noProof/>
        </w:rPr>
        <w:t xml:space="preserve"> w prz</w:t>
      </w:r>
      <w:r>
        <w:rPr>
          <w:rFonts w:ascii="Times New Roman" w:hAnsi="Times New Roman"/>
          <w:noProof/>
        </w:rPr>
        <w:t>ypadku sekurytyzacji</w:t>
      </w:r>
      <w:r w:rsidR="001B0DFF">
        <w:rPr>
          <w:rFonts w:ascii="Times New Roman" w:hAnsi="Times New Roman"/>
          <w:noProof/>
        </w:rPr>
        <w:t xml:space="preserve"> w pań</w:t>
      </w:r>
      <w:r>
        <w:rPr>
          <w:rFonts w:ascii="Times New Roman" w:hAnsi="Times New Roman"/>
          <w:noProof/>
        </w:rPr>
        <w:t>stwie trzecim można było założyć, że weryfikacja została zakończona, nawet jeśli nie wszystkie unijne wymogi dotyczące przejrzystości zostały spełnione</w:t>
      </w:r>
      <w:r w:rsidR="001B0DFF">
        <w:rPr>
          <w:rFonts w:ascii="Times New Roman" w:hAnsi="Times New Roman"/>
          <w:noProof/>
        </w:rPr>
        <w:t xml:space="preserve"> w każ</w:t>
      </w:r>
      <w:r>
        <w:rPr>
          <w:rFonts w:ascii="Times New Roman" w:hAnsi="Times New Roman"/>
          <w:noProof/>
        </w:rPr>
        <w:t>dym szczególe</w:t>
      </w:r>
      <w:r w:rsidR="001B0DFF">
        <w:rPr>
          <w:rFonts w:ascii="Times New Roman" w:hAnsi="Times New Roman"/>
          <w:noProof/>
        </w:rPr>
        <w:t>. W tym</w:t>
      </w:r>
      <w:r>
        <w:rPr>
          <w:rFonts w:ascii="Times New Roman" w:hAnsi="Times New Roman"/>
          <w:noProof/>
        </w:rPr>
        <w:t xml:space="preserve"> celu Wspólny Komitet zaproponował ustanowienie „systemu równoważności</w:t>
      </w:r>
      <w:r w:rsidR="001B0DFF">
        <w:rPr>
          <w:rFonts w:ascii="Times New Roman" w:hAnsi="Times New Roman"/>
          <w:noProof/>
        </w:rPr>
        <w:t xml:space="preserve"> z pań</w:t>
      </w:r>
      <w:r>
        <w:rPr>
          <w:rFonts w:ascii="Times New Roman" w:hAnsi="Times New Roman"/>
          <w:noProof/>
        </w:rPr>
        <w:t>stwami trzecimi</w:t>
      </w:r>
      <w:r w:rsidR="001B0DFF">
        <w:rPr>
          <w:rFonts w:ascii="Times New Roman" w:hAnsi="Times New Roman"/>
          <w:noProof/>
        </w:rPr>
        <w:t xml:space="preserve"> w zak</w:t>
      </w:r>
      <w:r>
        <w:rPr>
          <w:rFonts w:ascii="Times New Roman" w:hAnsi="Times New Roman"/>
          <w:noProof/>
        </w:rPr>
        <w:t>resie wymogów dotyczących przejrzystości”</w:t>
      </w:r>
      <w:r w:rsidR="001B0DFF">
        <w:rPr>
          <w:rFonts w:ascii="Times New Roman" w:hAnsi="Times New Roman"/>
          <w:noProof/>
        </w:rPr>
        <w:t xml:space="preserve"> w odn</w:t>
      </w:r>
      <w:r>
        <w:rPr>
          <w:rFonts w:ascii="Times New Roman" w:hAnsi="Times New Roman"/>
          <w:noProof/>
        </w:rPr>
        <w:t>iesieniu do sekurytyzacji</w:t>
      </w:r>
      <w:r w:rsidR="001B0DFF">
        <w:rPr>
          <w:rFonts w:ascii="Times New Roman" w:hAnsi="Times New Roman"/>
          <w:noProof/>
        </w:rPr>
        <w:t xml:space="preserve"> w pań</w:t>
      </w:r>
      <w:r>
        <w:rPr>
          <w:rFonts w:ascii="Times New Roman" w:hAnsi="Times New Roman"/>
          <w:noProof/>
        </w:rPr>
        <w:t>stwach trzecich. Umożliwiłoby to weryfikację zgodności sekurytyzacji</w:t>
      </w:r>
      <w:r w:rsidR="001B0DFF">
        <w:rPr>
          <w:rFonts w:ascii="Times New Roman" w:hAnsi="Times New Roman"/>
          <w:noProof/>
        </w:rPr>
        <w:t xml:space="preserve"> w pań</w:t>
      </w:r>
      <w:r>
        <w:rPr>
          <w:rFonts w:ascii="Times New Roman" w:hAnsi="Times New Roman"/>
          <w:noProof/>
        </w:rPr>
        <w:t>stwach trzecich</w:t>
      </w:r>
      <w:r w:rsidR="001B0DFF">
        <w:rPr>
          <w:rFonts w:ascii="Times New Roman" w:hAnsi="Times New Roman"/>
          <w:noProof/>
        </w:rPr>
        <w:t xml:space="preserve"> z wym</w:t>
      </w:r>
      <w:r>
        <w:rPr>
          <w:rFonts w:ascii="Times New Roman" w:hAnsi="Times New Roman"/>
          <w:noProof/>
        </w:rPr>
        <w:t>ogami dotyczącymi przejrzystości określonymi</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jeżeli jedna ze stron sprzedających</w:t>
      </w:r>
      <w:r w:rsidR="001B0DFF">
        <w:rPr>
          <w:rFonts w:ascii="Times New Roman" w:hAnsi="Times New Roman"/>
          <w:noProof/>
        </w:rPr>
        <w:t xml:space="preserve"> z pań</w:t>
      </w:r>
      <w:r>
        <w:rPr>
          <w:rFonts w:ascii="Times New Roman" w:hAnsi="Times New Roman"/>
          <w:noProof/>
        </w:rPr>
        <w:t>stwa trzeciego przekazała informacje na temat sekurytyzacji zgodnie</w:t>
      </w:r>
      <w:r w:rsidR="001B0DFF">
        <w:rPr>
          <w:rFonts w:ascii="Times New Roman" w:hAnsi="Times New Roman"/>
          <w:noProof/>
        </w:rPr>
        <w:t xml:space="preserve"> z wym</w:t>
      </w:r>
      <w:r>
        <w:rPr>
          <w:rFonts w:ascii="Times New Roman" w:hAnsi="Times New Roman"/>
          <w:noProof/>
        </w:rPr>
        <w:t>ogami dotyczącymi sekurytyzacji obowiązującymi</w:t>
      </w:r>
      <w:r w:rsidR="001B0DFF">
        <w:rPr>
          <w:rFonts w:ascii="Times New Roman" w:hAnsi="Times New Roman"/>
          <w:noProof/>
        </w:rPr>
        <w:t xml:space="preserve"> w jej</w:t>
      </w:r>
      <w:r>
        <w:rPr>
          <w:rFonts w:ascii="Times New Roman" w:hAnsi="Times New Roman"/>
          <w:noProof/>
        </w:rPr>
        <w:t xml:space="preserve"> państwie oraz jeżeli system przejrzystości tego państwa został uznany za równoważny</w:t>
      </w:r>
      <w:r w:rsidR="001B0DFF">
        <w:rPr>
          <w:rFonts w:ascii="Times New Roman" w:hAnsi="Times New Roman"/>
          <w:noProof/>
        </w:rPr>
        <w:t xml:space="preserve"> z uni</w:t>
      </w:r>
      <w:r>
        <w:rPr>
          <w:rFonts w:ascii="Times New Roman" w:hAnsi="Times New Roman"/>
          <w:noProof/>
        </w:rPr>
        <w:t xml:space="preserve">jnymi zasadami przejrzystości. </w:t>
      </w:r>
    </w:p>
    <w:p w14:paraId="61A33AA6" w14:textId="5066C57D" w:rsidR="00A70EA8" w:rsidRPr="003C0D71" w:rsidRDefault="00A70EA8" w:rsidP="00A70EA8">
      <w:pPr>
        <w:jc w:val="both"/>
        <w:rPr>
          <w:rFonts w:ascii="Times New Roman" w:eastAsia="Calibri" w:hAnsi="Times New Roman" w:cs="Times New Roman"/>
          <w:noProof/>
        </w:rPr>
      </w:pPr>
      <w:r>
        <w:rPr>
          <w:rFonts w:ascii="Times New Roman" w:hAnsi="Times New Roman"/>
          <w:noProof/>
        </w:rPr>
        <w:t>W trakcie konsultacji zdecydowana większość zainteresowanych stron</w:t>
      </w:r>
      <w:r w:rsidR="001B0DFF">
        <w:rPr>
          <w:rFonts w:ascii="Times New Roman" w:hAnsi="Times New Roman"/>
          <w:noProof/>
        </w:rPr>
        <w:t xml:space="preserve"> z sek</w:t>
      </w:r>
      <w:r>
        <w:rPr>
          <w:rFonts w:ascii="Times New Roman" w:hAnsi="Times New Roman"/>
          <w:noProof/>
        </w:rPr>
        <w:t xml:space="preserve">tora przyłączyła się do wezwania do zwiększenia elastyczności. Twierdziły one, że interpretacja prawna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5</w:t>
      </w:r>
      <w:r>
        <w:rPr>
          <w:rFonts w:ascii="Times New Roman" w:hAnsi="Times New Roman"/>
          <w:noProof/>
        </w:rPr>
        <w:t xml:space="preserve">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 xml:space="preserve"> </w:t>
      </w:r>
      <w:r w:rsidRPr="001B0DFF">
        <w:rPr>
          <w:rFonts w:ascii="Times New Roman" w:hAnsi="Times New Roman"/>
          <w:noProof/>
        </w:rPr>
        <w:t>lit.</w:t>
      </w:r>
      <w:r w:rsidR="001B0DFF" w:rsidRPr="001B0DFF">
        <w:rPr>
          <w:rFonts w:ascii="Times New Roman" w:hAnsi="Times New Roman"/>
          <w:noProof/>
        </w:rPr>
        <w:t> </w:t>
      </w:r>
      <w:r w:rsidRPr="001B0DFF">
        <w:rPr>
          <w:rFonts w:ascii="Times New Roman" w:hAnsi="Times New Roman"/>
          <w:noProof/>
        </w:rPr>
        <w:t>e)</w:t>
      </w:r>
      <w:r>
        <w:rPr>
          <w:rFonts w:ascii="Times New Roman" w:hAnsi="Times New Roman"/>
          <w:noProof/>
        </w:rPr>
        <w:t>, zgodnie</w:t>
      </w:r>
      <w:r w:rsidR="001B0DFF">
        <w:rPr>
          <w:rFonts w:ascii="Times New Roman" w:hAnsi="Times New Roman"/>
          <w:noProof/>
        </w:rPr>
        <w:t xml:space="preserve"> z któ</w:t>
      </w:r>
      <w:r>
        <w:rPr>
          <w:rFonts w:ascii="Times New Roman" w:hAnsi="Times New Roman"/>
          <w:noProof/>
        </w:rPr>
        <w:t>rą inwestorzy instytucjonalni inwestujący</w:t>
      </w:r>
      <w:r w:rsidR="001B0DFF">
        <w:rPr>
          <w:rFonts w:ascii="Times New Roman" w:hAnsi="Times New Roman"/>
          <w:noProof/>
        </w:rPr>
        <w:t xml:space="preserve"> w sek</w:t>
      </w:r>
      <w:r>
        <w:rPr>
          <w:rFonts w:ascii="Times New Roman" w:hAnsi="Times New Roman"/>
          <w:noProof/>
        </w:rPr>
        <w:t>urytyzację</w:t>
      </w:r>
      <w:r w:rsidR="001B0DFF">
        <w:rPr>
          <w:rFonts w:ascii="Times New Roman" w:hAnsi="Times New Roman"/>
          <w:noProof/>
        </w:rPr>
        <w:t xml:space="preserve"> w pań</w:t>
      </w:r>
      <w:r>
        <w:rPr>
          <w:rFonts w:ascii="Times New Roman" w:hAnsi="Times New Roman"/>
          <w:noProof/>
        </w:rPr>
        <w:t>stwie trzecim muszą sprawdzić, czy otrzymali wszystkie informacje zgodnie</w:t>
      </w:r>
      <w:r w:rsidR="001B0DFF">
        <w:rPr>
          <w:rFonts w:ascii="Times New Roman" w:hAnsi="Times New Roman"/>
          <w:noProof/>
        </w:rPr>
        <w:t xml:space="preserve"> z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stwarza niekorzystne warunki konkurencji dla unijnych inwestorów instytucjonalnych. Bardzo niewielu respondentów poparło pomysł ustanowienia systemu równoważności przedstawiony</w:t>
      </w:r>
      <w:r w:rsidR="001B0DFF">
        <w:rPr>
          <w:rFonts w:ascii="Times New Roman" w:hAnsi="Times New Roman"/>
          <w:noProof/>
        </w:rPr>
        <w:t xml:space="preserve"> w opi</w:t>
      </w:r>
      <w:r>
        <w:rPr>
          <w:rFonts w:ascii="Times New Roman" w:hAnsi="Times New Roman"/>
          <w:noProof/>
        </w:rPr>
        <w:t>nii Wspólnego Komitetu. Niektórzy respondenci spoza sektora byli przeciwni większej elastyczności</w:t>
      </w:r>
      <w:r w:rsidR="001B0DFF">
        <w:rPr>
          <w:rFonts w:ascii="Times New Roman" w:hAnsi="Times New Roman"/>
          <w:noProof/>
        </w:rPr>
        <w:t xml:space="preserve"> w prz</w:t>
      </w:r>
      <w:r>
        <w:rPr>
          <w:rFonts w:ascii="Times New Roman" w:hAnsi="Times New Roman"/>
          <w:noProof/>
        </w:rPr>
        <w:t>ypadku inwestycji</w:t>
      </w:r>
      <w:r w:rsidR="001B0DFF">
        <w:rPr>
          <w:rFonts w:ascii="Times New Roman" w:hAnsi="Times New Roman"/>
          <w:noProof/>
        </w:rPr>
        <w:t xml:space="preserve"> w sek</w:t>
      </w:r>
      <w:r>
        <w:rPr>
          <w:rFonts w:ascii="Times New Roman" w:hAnsi="Times New Roman"/>
          <w:noProof/>
        </w:rPr>
        <w:t>urytyzacje</w:t>
      </w:r>
      <w:r w:rsidR="001B0DFF">
        <w:rPr>
          <w:rFonts w:ascii="Times New Roman" w:hAnsi="Times New Roman"/>
          <w:noProof/>
        </w:rPr>
        <w:t xml:space="preserve"> w pań</w:t>
      </w:r>
      <w:r>
        <w:rPr>
          <w:rFonts w:ascii="Times New Roman" w:hAnsi="Times New Roman"/>
          <w:noProof/>
        </w:rPr>
        <w:t>stwach trzecich, ale zalecili ogólne uproszczenie wymogów informacyjnych.</w:t>
      </w:r>
    </w:p>
    <w:p w14:paraId="4E0DD177" w14:textId="2554FF18" w:rsidR="009E344D" w:rsidRPr="003C0D71" w:rsidRDefault="000146AB" w:rsidP="000D4664">
      <w:pPr>
        <w:rPr>
          <w:rFonts w:ascii="Times New Roman" w:hAnsi="Times New Roman" w:cs="Times New Roman"/>
          <w:b/>
          <w:noProof/>
          <w:sz w:val="24"/>
        </w:rPr>
      </w:pPr>
      <w:r>
        <w:rPr>
          <w:rFonts w:ascii="Times New Roman" w:hAnsi="Times New Roman"/>
          <w:b/>
          <w:noProof/>
          <w:sz w:val="24"/>
        </w:rPr>
        <w:t>Ocena Komisji</w:t>
      </w:r>
    </w:p>
    <w:p w14:paraId="03298FEF" w14:textId="2D98BD17" w:rsidR="00A70EA8" w:rsidRPr="003C0D71" w:rsidRDefault="00A70EA8" w:rsidP="00A70EA8">
      <w:pPr>
        <w:jc w:val="both"/>
        <w:rPr>
          <w:rFonts w:ascii="Times New Roman" w:eastAsia="Calibri" w:hAnsi="Times New Roman" w:cs="Times New Roman"/>
          <w:noProof/>
        </w:rPr>
      </w:pPr>
      <w:bookmarkStart w:id="69" w:name="_Toc104283078"/>
      <w:bookmarkStart w:id="70" w:name="_Toc104286146"/>
      <w:bookmarkStart w:id="71" w:name="_Toc104297350"/>
      <w:r>
        <w:rPr>
          <w:rFonts w:ascii="Times New Roman" w:hAnsi="Times New Roman"/>
          <w:noProof/>
        </w:rPr>
        <w:t xml:space="preserve">Komisja przyznaje, że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5</w:t>
      </w:r>
      <w:r>
        <w:rPr>
          <w:rFonts w:ascii="Times New Roman" w:hAnsi="Times New Roman"/>
          <w:noProof/>
        </w:rPr>
        <w:t xml:space="preserve">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 xml:space="preserve"> </w:t>
      </w:r>
      <w:r w:rsidRPr="001B0DFF">
        <w:rPr>
          <w:rFonts w:ascii="Times New Roman" w:hAnsi="Times New Roman"/>
          <w:noProof/>
        </w:rPr>
        <w:t>lit.</w:t>
      </w:r>
      <w:r w:rsidR="001B0DFF" w:rsidRPr="001B0DFF">
        <w:rPr>
          <w:rFonts w:ascii="Times New Roman" w:hAnsi="Times New Roman"/>
          <w:noProof/>
        </w:rPr>
        <w:t> </w:t>
      </w:r>
      <w:r w:rsidRPr="001B0DFF">
        <w:rPr>
          <w:rFonts w:ascii="Times New Roman" w:hAnsi="Times New Roman"/>
          <w:noProof/>
        </w:rPr>
        <w:t>e)</w:t>
      </w:r>
      <w:r>
        <w:rPr>
          <w:rFonts w:ascii="Times New Roman" w:hAnsi="Times New Roman"/>
          <w:noProof/>
        </w:rPr>
        <w:t xml:space="preserve"> budzi wątpliwości co do interpretacji prawnej,</w:t>
      </w:r>
      <w:r w:rsidR="001B0DFF">
        <w:rPr>
          <w:rFonts w:ascii="Times New Roman" w:hAnsi="Times New Roman"/>
          <w:noProof/>
        </w:rPr>
        <w:t xml:space="preserve"> i odn</w:t>
      </w:r>
      <w:r>
        <w:rPr>
          <w:rFonts w:ascii="Times New Roman" w:hAnsi="Times New Roman"/>
          <w:noProof/>
        </w:rPr>
        <w:t>otowuje różne interpretacje</w:t>
      </w:r>
      <w:r w:rsidR="001B0DFF">
        <w:rPr>
          <w:rFonts w:ascii="Times New Roman" w:hAnsi="Times New Roman"/>
          <w:noProof/>
        </w:rPr>
        <w:t xml:space="preserve"> w tej</w:t>
      </w:r>
      <w:r>
        <w:rPr>
          <w:rFonts w:ascii="Times New Roman" w:hAnsi="Times New Roman"/>
          <w:noProof/>
        </w:rPr>
        <w:t xml:space="preserve"> kwestii. Komisja jest jednak zdania, że kluczowe znaczenie dla interpretacji tego przepisu ma intencja ustawodawcy dotycząca obowiązku weryfikacji na podstawie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5</w:t>
      </w:r>
      <w:r>
        <w:rPr>
          <w:rFonts w:ascii="Times New Roman" w:hAnsi="Times New Roman"/>
          <w:noProof/>
        </w:rPr>
        <w:t xml:space="preserve">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 xml:space="preserve"> </w:t>
      </w:r>
      <w:r w:rsidRPr="001B0DFF">
        <w:rPr>
          <w:rFonts w:ascii="Times New Roman" w:hAnsi="Times New Roman"/>
          <w:noProof/>
        </w:rPr>
        <w:t>lit.</w:t>
      </w:r>
      <w:r w:rsidR="001B0DFF" w:rsidRPr="001B0DFF">
        <w:rPr>
          <w:rFonts w:ascii="Times New Roman" w:hAnsi="Times New Roman"/>
          <w:noProof/>
        </w:rPr>
        <w:t> </w:t>
      </w:r>
      <w:r w:rsidRPr="001B0DFF">
        <w:rPr>
          <w:rFonts w:ascii="Times New Roman" w:hAnsi="Times New Roman"/>
          <w:noProof/>
        </w:rPr>
        <w:t>e)</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awie sekurytyzacji. Mając na uwadze doświadczenia wyniesione</w:t>
      </w:r>
      <w:r w:rsidR="001B0DFF">
        <w:rPr>
          <w:rFonts w:ascii="Times New Roman" w:hAnsi="Times New Roman"/>
          <w:noProof/>
        </w:rPr>
        <w:t xml:space="preserve"> z wie</w:t>
      </w:r>
      <w:r>
        <w:rPr>
          <w:rFonts w:ascii="Times New Roman" w:hAnsi="Times New Roman"/>
          <w:noProof/>
        </w:rPr>
        <w:t>lkiego kryzysu finansowego, prawodawcy Unii pragnęli zapewnić, aby</w:t>
      </w:r>
      <w:r w:rsidR="001B0DFF">
        <w:rPr>
          <w:rFonts w:ascii="Times New Roman" w:hAnsi="Times New Roman"/>
          <w:noProof/>
        </w:rPr>
        <w:t xml:space="preserve"> w prz</w:t>
      </w:r>
      <w:r>
        <w:rPr>
          <w:rFonts w:ascii="Times New Roman" w:hAnsi="Times New Roman"/>
          <w:noProof/>
        </w:rPr>
        <w:t>yszłości unijni inwestorzy instytucjonalni inwestujący</w:t>
      </w:r>
      <w:r w:rsidR="001B0DFF">
        <w:rPr>
          <w:rFonts w:ascii="Times New Roman" w:hAnsi="Times New Roman"/>
          <w:noProof/>
        </w:rPr>
        <w:t xml:space="preserve"> w sek</w:t>
      </w:r>
      <w:r>
        <w:rPr>
          <w:rFonts w:ascii="Times New Roman" w:hAnsi="Times New Roman"/>
          <w:noProof/>
        </w:rPr>
        <w:t xml:space="preserve">urytyzacje przeprowadzali dokładną analizę </w:t>
      </w:r>
      <w:r>
        <w:rPr>
          <w:rFonts w:ascii="Times New Roman" w:hAnsi="Times New Roman"/>
          <w:i/>
          <w:noProof/>
        </w:rPr>
        <w:t>due diligence</w:t>
      </w:r>
      <w:r>
        <w:rPr>
          <w:rFonts w:ascii="Times New Roman" w:hAnsi="Times New Roman"/>
          <w:noProof/>
        </w:rPr>
        <w:t xml:space="preserve"> przed każdą inwestycją oraz aby dysponowali wszystkimi niezbędnymi informacjami. Współustawodawcy określili</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xml:space="preserve"> informacje, które muszą być ujawniane inwestorom. Stąd różnicowanie zakresu informacji, które mają być przekazywane,</w:t>
      </w:r>
      <w:r w:rsidR="001B0DFF">
        <w:rPr>
          <w:rFonts w:ascii="Times New Roman" w:hAnsi="Times New Roman"/>
          <w:noProof/>
        </w:rPr>
        <w:t xml:space="preserve"> w zal</w:t>
      </w:r>
      <w:r>
        <w:rPr>
          <w:rFonts w:ascii="Times New Roman" w:hAnsi="Times New Roman"/>
          <w:noProof/>
        </w:rPr>
        <w:t>eżności od tego, czy sekurytyzację emitują podmioty z UE, czy podmioty</w:t>
      </w:r>
      <w:r w:rsidR="001B0DFF">
        <w:rPr>
          <w:rFonts w:ascii="Times New Roman" w:hAnsi="Times New Roman"/>
          <w:noProof/>
        </w:rPr>
        <w:t xml:space="preserve"> z sie</w:t>
      </w:r>
      <w:r>
        <w:rPr>
          <w:rFonts w:ascii="Times New Roman" w:hAnsi="Times New Roman"/>
          <w:noProof/>
        </w:rPr>
        <w:t>dzibami</w:t>
      </w:r>
      <w:r w:rsidR="001B0DFF">
        <w:rPr>
          <w:rFonts w:ascii="Times New Roman" w:hAnsi="Times New Roman"/>
          <w:noProof/>
        </w:rPr>
        <w:t xml:space="preserve"> w pań</w:t>
      </w:r>
      <w:r>
        <w:rPr>
          <w:rFonts w:ascii="Times New Roman" w:hAnsi="Times New Roman"/>
          <w:noProof/>
        </w:rPr>
        <w:t>stwach trzecich, nie jest zgodne</w:t>
      </w:r>
      <w:r w:rsidR="001B0DFF">
        <w:rPr>
          <w:rFonts w:ascii="Times New Roman" w:hAnsi="Times New Roman"/>
          <w:noProof/>
        </w:rPr>
        <w:t xml:space="preserve"> z int</w:t>
      </w:r>
      <w:r>
        <w:rPr>
          <w:rFonts w:ascii="Times New Roman" w:hAnsi="Times New Roman"/>
          <w:noProof/>
        </w:rPr>
        <w:t xml:space="preserve">encją ustawodawcy, ponieważ dla prawidłowego przeprowadzenia analizy </w:t>
      </w:r>
      <w:r>
        <w:rPr>
          <w:rFonts w:ascii="Times New Roman" w:hAnsi="Times New Roman"/>
          <w:i/>
          <w:noProof/>
        </w:rPr>
        <w:t>due diligence</w:t>
      </w:r>
      <w:r>
        <w:rPr>
          <w:rFonts w:ascii="Times New Roman" w:hAnsi="Times New Roman"/>
          <w:noProof/>
        </w:rPr>
        <w:t xml:space="preserve"> przez inwestorów instytucjonalnych</w:t>
      </w:r>
      <w:r w:rsidR="001B0DFF">
        <w:rPr>
          <w:rFonts w:ascii="Times New Roman" w:hAnsi="Times New Roman"/>
          <w:noProof/>
        </w:rPr>
        <w:t xml:space="preserve"> z sie</w:t>
      </w:r>
      <w:r>
        <w:rPr>
          <w:rFonts w:ascii="Times New Roman" w:hAnsi="Times New Roman"/>
          <w:noProof/>
        </w:rPr>
        <w:t>dzibą w UE nie ma znaczenia, czy sekurytyzacja powstała w UE, czy poza nią</w:t>
      </w:r>
      <w:r w:rsidR="001B0DFF">
        <w:rPr>
          <w:rFonts w:ascii="Times New Roman" w:hAnsi="Times New Roman"/>
          <w:noProof/>
        </w:rPr>
        <w:t>. W zwi</w:t>
      </w:r>
      <w:r>
        <w:rPr>
          <w:rFonts w:ascii="Times New Roman" w:hAnsi="Times New Roman"/>
          <w:noProof/>
        </w:rPr>
        <w:t>ązku</w:t>
      </w:r>
      <w:r w:rsidR="001B0DFF">
        <w:rPr>
          <w:rFonts w:ascii="Times New Roman" w:hAnsi="Times New Roman"/>
          <w:noProof/>
        </w:rPr>
        <w:t xml:space="preserve"> z tym</w:t>
      </w:r>
      <w:r>
        <w:rPr>
          <w:rFonts w:ascii="Times New Roman" w:hAnsi="Times New Roman"/>
          <w:noProof/>
        </w:rPr>
        <w:t xml:space="preserve"> bez zmiany przepisu prawnego nie należy interpretować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5</w:t>
      </w:r>
      <w:r>
        <w:rPr>
          <w:rFonts w:ascii="Times New Roman" w:hAnsi="Times New Roman"/>
          <w:noProof/>
        </w:rPr>
        <w:t xml:space="preserve">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 xml:space="preserve"> </w:t>
      </w:r>
      <w:r w:rsidRPr="001B0DFF">
        <w:rPr>
          <w:rFonts w:ascii="Times New Roman" w:hAnsi="Times New Roman"/>
          <w:noProof/>
        </w:rPr>
        <w:t>lit.</w:t>
      </w:r>
      <w:r w:rsidR="001B0DFF" w:rsidRPr="001B0DFF">
        <w:rPr>
          <w:rFonts w:ascii="Times New Roman" w:hAnsi="Times New Roman"/>
          <w:noProof/>
        </w:rPr>
        <w:t> </w:t>
      </w:r>
      <w:r w:rsidRPr="001B0DFF">
        <w:rPr>
          <w:rFonts w:ascii="Times New Roman" w:hAnsi="Times New Roman"/>
          <w:noProof/>
        </w:rPr>
        <w:t>e)</w:t>
      </w:r>
      <w:r w:rsidR="001B0DFF">
        <w:rPr>
          <w:rFonts w:ascii="Times New Roman" w:hAnsi="Times New Roman"/>
          <w:noProof/>
        </w:rPr>
        <w:t xml:space="preserve"> w spo</w:t>
      </w:r>
      <w:r>
        <w:rPr>
          <w:rFonts w:ascii="Times New Roman" w:hAnsi="Times New Roman"/>
          <w:noProof/>
        </w:rPr>
        <w:t xml:space="preserve">sób, który pozostawiałby inwestorom instytucjonalnym swobodę decyzji, bez względu na to, czy otrzymali oni informacje faktycznie porównywalne, czy też nie. </w:t>
      </w:r>
    </w:p>
    <w:p w14:paraId="6C838529" w14:textId="268E8AB2" w:rsidR="00A70EA8" w:rsidRPr="003C0D71" w:rsidRDefault="00A70EA8" w:rsidP="00A70EA8">
      <w:pPr>
        <w:jc w:val="both"/>
        <w:rPr>
          <w:rFonts w:ascii="Times New Roman" w:eastAsia="Calibri" w:hAnsi="Times New Roman" w:cs="Times New Roman"/>
          <w:noProof/>
        </w:rPr>
      </w:pPr>
      <w:r>
        <w:rPr>
          <w:rFonts w:ascii="Times New Roman" w:hAnsi="Times New Roman"/>
          <w:noProof/>
        </w:rPr>
        <w:t xml:space="preserve">Niezależnie od powyższego Komisja jest świadoma, że obecna treść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5</w:t>
      </w:r>
      <w:r>
        <w:rPr>
          <w:rFonts w:ascii="Times New Roman" w:hAnsi="Times New Roman"/>
          <w:noProof/>
        </w:rPr>
        <w:t xml:space="preserve">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 xml:space="preserve"> </w:t>
      </w:r>
      <w:r w:rsidRPr="001B0DFF">
        <w:rPr>
          <w:rFonts w:ascii="Times New Roman" w:hAnsi="Times New Roman"/>
          <w:noProof/>
        </w:rPr>
        <w:t>lit.</w:t>
      </w:r>
      <w:r w:rsidR="001B0DFF" w:rsidRPr="001B0DFF">
        <w:rPr>
          <w:rFonts w:ascii="Times New Roman" w:hAnsi="Times New Roman"/>
          <w:noProof/>
        </w:rPr>
        <w:t> </w:t>
      </w:r>
      <w:r w:rsidRPr="001B0DFF">
        <w:rPr>
          <w:rFonts w:ascii="Times New Roman" w:hAnsi="Times New Roman"/>
          <w:noProof/>
        </w:rPr>
        <w:t>e)</w:t>
      </w:r>
      <w:r w:rsidR="001B0DFF">
        <w:rPr>
          <w:rFonts w:ascii="Times New Roman" w:hAnsi="Times New Roman"/>
          <w:noProof/>
        </w:rPr>
        <w:t xml:space="preserve"> w zwi</w:t>
      </w:r>
      <w:r>
        <w:rPr>
          <w:rFonts w:ascii="Times New Roman" w:hAnsi="Times New Roman"/>
          <w:noProof/>
        </w:rPr>
        <w:t>ązku</w:t>
      </w:r>
      <w:r w:rsidR="001B0DFF">
        <w:rPr>
          <w:rFonts w:ascii="Times New Roman" w:hAnsi="Times New Roman"/>
          <w:noProof/>
        </w:rPr>
        <w:t xml:space="preserve"> z zas</w:t>
      </w:r>
      <w:r>
        <w:rPr>
          <w:rFonts w:ascii="Times New Roman" w:hAnsi="Times New Roman"/>
          <w:noProof/>
        </w:rPr>
        <w:t>adami określonymi</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xml:space="preserve"> (i</w:t>
      </w:r>
      <w:r w:rsidR="001B0DFF">
        <w:rPr>
          <w:rFonts w:ascii="Times New Roman" w:hAnsi="Times New Roman"/>
          <w:noProof/>
        </w:rPr>
        <w:t xml:space="preserve"> z kol</w:t>
      </w:r>
      <w:r>
        <w:rPr>
          <w:rFonts w:ascii="Times New Roman" w:hAnsi="Times New Roman"/>
          <w:noProof/>
        </w:rPr>
        <w:t>ei</w:t>
      </w:r>
      <w:r w:rsidR="001B0DFF">
        <w:rPr>
          <w:rFonts w:ascii="Times New Roman" w:hAnsi="Times New Roman"/>
          <w:noProof/>
        </w:rPr>
        <w:t xml:space="preserve"> w zwi</w:t>
      </w:r>
      <w:r>
        <w:rPr>
          <w:rFonts w:ascii="Times New Roman" w:hAnsi="Times New Roman"/>
          <w:noProof/>
        </w:rPr>
        <w:t>ązku</w:t>
      </w:r>
      <w:r w:rsidR="001B0DFF">
        <w:rPr>
          <w:rFonts w:ascii="Times New Roman" w:hAnsi="Times New Roman"/>
          <w:noProof/>
        </w:rPr>
        <w:t xml:space="preserve"> z odp</w:t>
      </w:r>
      <w:r>
        <w:rPr>
          <w:rFonts w:ascii="Times New Roman" w:hAnsi="Times New Roman"/>
          <w:noProof/>
        </w:rPr>
        <w:t xml:space="preserve">owiednim standardem technicznym) </w:t>
      </w:r>
      <w:r>
        <w:rPr>
          <w:rFonts w:ascii="Times New Roman" w:hAnsi="Times New Roman"/>
          <w:i/>
          <w:noProof/>
        </w:rPr>
        <w:t>de facto</w:t>
      </w:r>
      <w:r>
        <w:rPr>
          <w:rFonts w:ascii="Times New Roman" w:hAnsi="Times New Roman"/>
          <w:noProof/>
        </w:rPr>
        <w:t xml:space="preserve"> wyklucza unijnych inwestorów instytucjonalnych</w:t>
      </w:r>
      <w:r w:rsidR="001B0DFF">
        <w:rPr>
          <w:rFonts w:ascii="Times New Roman" w:hAnsi="Times New Roman"/>
          <w:noProof/>
        </w:rPr>
        <w:t xml:space="preserve"> z inw</w:t>
      </w:r>
      <w:r>
        <w:rPr>
          <w:rFonts w:ascii="Times New Roman" w:hAnsi="Times New Roman"/>
          <w:noProof/>
        </w:rPr>
        <w:t>estowania</w:t>
      </w:r>
      <w:r w:rsidR="001B0DFF">
        <w:rPr>
          <w:rFonts w:ascii="Times New Roman" w:hAnsi="Times New Roman"/>
          <w:noProof/>
        </w:rPr>
        <w:t xml:space="preserve"> w nie</w:t>
      </w:r>
      <w:r>
        <w:rPr>
          <w:rFonts w:ascii="Times New Roman" w:hAnsi="Times New Roman"/>
          <w:noProof/>
        </w:rPr>
        <w:t>które sekurytyzacje</w:t>
      </w:r>
      <w:r w:rsidR="001B0DFF">
        <w:rPr>
          <w:rFonts w:ascii="Times New Roman" w:hAnsi="Times New Roman"/>
          <w:noProof/>
        </w:rPr>
        <w:t xml:space="preserve"> w pań</w:t>
      </w:r>
      <w:r>
        <w:rPr>
          <w:rFonts w:ascii="Times New Roman" w:hAnsi="Times New Roman"/>
          <w:noProof/>
        </w:rPr>
        <w:t>stwach trzecich. Dzieje się tak nie dlatego, że transakcje te nie byłyby</w:t>
      </w:r>
      <w:r w:rsidR="001B0DFF">
        <w:rPr>
          <w:rFonts w:ascii="Times New Roman" w:hAnsi="Times New Roman"/>
          <w:noProof/>
        </w:rPr>
        <w:t xml:space="preserve"> w sta</w:t>
      </w:r>
      <w:r>
        <w:rPr>
          <w:rFonts w:ascii="Times New Roman" w:hAnsi="Times New Roman"/>
          <w:noProof/>
        </w:rPr>
        <w:t>nie</w:t>
      </w:r>
      <w:r w:rsidR="001B0DFF">
        <w:rPr>
          <w:rFonts w:ascii="Times New Roman" w:hAnsi="Times New Roman"/>
          <w:noProof/>
        </w:rPr>
        <w:t xml:space="preserve"> w ist</w:t>
      </w:r>
      <w:r>
        <w:rPr>
          <w:rFonts w:ascii="Times New Roman" w:hAnsi="Times New Roman"/>
          <w:noProof/>
        </w:rPr>
        <w:t>otny sposób spełnić wymogów unijnych ram regulacyjnych, ale po prostu dlatego, że strony sprzedające</w:t>
      </w:r>
      <w:r w:rsidR="001B0DFF">
        <w:rPr>
          <w:rFonts w:ascii="Times New Roman" w:hAnsi="Times New Roman"/>
          <w:noProof/>
        </w:rPr>
        <w:t xml:space="preserve"> z pań</w:t>
      </w:r>
      <w:r>
        <w:rPr>
          <w:rFonts w:ascii="Times New Roman" w:hAnsi="Times New Roman"/>
          <w:noProof/>
        </w:rPr>
        <w:t>stw trzecich mogłyby nie być zainteresowane dostarczaniem niezbędnych informacji zgodnie</w:t>
      </w:r>
      <w:r w:rsidR="001B0DFF">
        <w:rPr>
          <w:rFonts w:ascii="Times New Roman" w:hAnsi="Times New Roman"/>
          <w:noProof/>
        </w:rPr>
        <w:t xml:space="preserve"> z pro</w:t>
      </w:r>
      <w:r>
        <w:rPr>
          <w:rFonts w:ascii="Times New Roman" w:hAnsi="Times New Roman"/>
          <w:noProof/>
        </w:rPr>
        <w:t>cedurami określonymi</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Chociaż kwestia ta może wymagać dokładnego rozważenia</w:t>
      </w:r>
      <w:r w:rsidR="001B0DFF">
        <w:rPr>
          <w:rFonts w:ascii="Times New Roman" w:hAnsi="Times New Roman"/>
          <w:noProof/>
        </w:rPr>
        <w:t xml:space="preserve"> w kon</w:t>
      </w:r>
      <w:r>
        <w:rPr>
          <w:rFonts w:ascii="Times New Roman" w:hAnsi="Times New Roman"/>
          <w:noProof/>
        </w:rPr>
        <w:t>tekście przyszłych zmian rozporządzenia</w:t>
      </w:r>
      <w:r w:rsidR="001B0DFF">
        <w:rPr>
          <w:rFonts w:ascii="Times New Roman" w:hAnsi="Times New Roman"/>
          <w:noProof/>
        </w:rPr>
        <w:t xml:space="preserve"> w spr</w:t>
      </w:r>
      <w:r>
        <w:rPr>
          <w:rFonts w:ascii="Times New Roman" w:hAnsi="Times New Roman"/>
          <w:noProof/>
        </w:rPr>
        <w:t>awie sekurytyzacji, Komisja uważa, że przewidywane środki mające na celu zmianę standardów technicznych określających wymogi dotyczące przejrzystości zawarte</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xml:space="preserve"> (zob. sekcje 5</w:t>
      </w:r>
      <w:r w:rsidR="001B0DFF">
        <w:rPr>
          <w:rFonts w:ascii="Times New Roman" w:hAnsi="Times New Roman"/>
          <w:noProof/>
        </w:rPr>
        <w:t xml:space="preserve"> i 6</w:t>
      </w:r>
      <w:r>
        <w:rPr>
          <w:rFonts w:ascii="Times New Roman" w:hAnsi="Times New Roman"/>
          <w:noProof/>
        </w:rPr>
        <w:t>) mogą pomóc</w:t>
      </w:r>
      <w:r w:rsidR="001B0DFF">
        <w:rPr>
          <w:rFonts w:ascii="Times New Roman" w:hAnsi="Times New Roman"/>
          <w:noProof/>
        </w:rPr>
        <w:t xml:space="preserve"> w ogr</w:t>
      </w:r>
      <w:r>
        <w:rPr>
          <w:rFonts w:ascii="Times New Roman" w:hAnsi="Times New Roman"/>
          <w:noProof/>
        </w:rPr>
        <w:t>aniczeniu niekorzystnych warunków konkurencji</w:t>
      </w:r>
      <w:r w:rsidR="001B0DFF">
        <w:rPr>
          <w:rFonts w:ascii="Times New Roman" w:hAnsi="Times New Roman"/>
          <w:noProof/>
        </w:rPr>
        <w:t xml:space="preserve"> w prz</w:t>
      </w:r>
      <w:r>
        <w:rPr>
          <w:rFonts w:ascii="Times New Roman" w:hAnsi="Times New Roman"/>
          <w:noProof/>
        </w:rPr>
        <w:t>ypadku inwestorów instytucjonalnych z UE. Ułatwi to bowiem dostarczanie wymaganych informacji również stronom sprzedającym</w:t>
      </w:r>
      <w:r w:rsidR="001B0DFF">
        <w:rPr>
          <w:rFonts w:ascii="Times New Roman" w:hAnsi="Times New Roman"/>
          <w:noProof/>
        </w:rPr>
        <w:t xml:space="preserve"> z pań</w:t>
      </w:r>
      <w:r>
        <w:rPr>
          <w:rFonts w:ascii="Times New Roman" w:hAnsi="Times New Roman"/>
          <w:noProof/>
        </w:rPr>
        <w:t>stw trzecich.</w:t>
      </w:r>
    </w:p>
    <w:p w14:paraId="0C985EBA" w14:textId="238CC584" w:rsidR="008F6FAB" w:rsidRPr="003C0D71" w:rsidRDefault="008F6FAB" w:rsidP="000D4664">
      <w:pPr>
        <w:pStyle w:val="Heading2"/>
        <w:rPr>
          <w:rFonts w:ascii="Times New Roman" w:hAnsi="Times New Roman" w:cs="Times New Roman"/>
          <w:noProof/>
          <w:color w:val="auto"/>
        </w:rPr>
      </w:pPr>
      <w:bookmarkStart w:id="72" w:name="_Toc115361600"/>
      <w:r>
        <w:rPr>
          <w:rFonts w:ascii="Times New Roman" w:hAnsi="Times New Roman"/>
          <w:noProof/>
          <w:color w:val="auto"/>
        </w:rPr>
        <w:t>11.3 Obowiązki strony kupującej – inwestorzy ZAFI</w:t>
      </w:r>
      <w:bookmarkEnd w:id="69"/>
      <w:bookmarkEnd w:id="70"/>
      <w:bookmarkEnd w:id="71"/>
      <w:bookmarkEnd w:id="72"/>
    </w:p>
    <w:p w14:paraId="4C76AE1B" w14:textId="78A06F2D" w:rsidR="009E344D" w:rsidRPr="003C0D71" w:rsidRDefault="009E344D" w:rsidP="000D4664">
      <w:pPr>
        <w:rPr>
          <w:rFonts w:ascii="Times New Roman" w:hAnsi="Times New Roman" w:cs="Times New Roman"/>
          <w:b/>
          <w:noProof/>
          <w:sz w:val="24"/>
        </w:rPr>
      </w:pPr>
      <w:r>
        <w:rPr>
          <w:rFonts w:ascii="Times New Roman" w:hAnsi="Times New Roman"/>
          <w:b/>
          <w:noProof/>
          <w:sz w:val="24"/>
        </w:rPr>
        <w:t>Kontekst</w:t>
      </w:r>
      <w:r w:rsidR="001B0DFF">
        <w:rPr>
          <w:rFonts w:ascii="Times New Roman" w:hAnsi="Times New Roman"/>
          <w:b/>
          <w:noProof/>
          <w:sz w:val="24"/>
        </w:rPr>
        <w:t xml:space="preserve"> i ust</w:t>
      </w:r>
      <w:r>
        <w:rPr>
          <w:rFonts w:ascii="Times New Roman" w:hAnsi="Times New Roman"/>
          <w:b/>
          <w:noProof/>
          <w:sz w:val="24"/>
        </w:rPr>
        <w:t>alenia</w:t>
      </w:r>
    </w:p>
    <w:p w14:paraId="000225EB" w14:textId="30BB5B82" w:rsidR="00A70EA8" w:rsidRPr="003C0D71" w:rsidRDefault="00A70EA8" w:rsidP="00A70EA8">
      <w:pPr>
        <w:jc w:val="both"/>
        <w:rPr>
          <w:rFonts w:ascii="Times New Roman" w:eastAsia="Calibri" w:hAnsi="Times New Roman" w:cs="Times New Roman"/>
          <w:noProof/>
        </w:rPr>
      </w:pPr>
      <w:r>
        <w:rPr>
          <w:rFonts w:ascii="Times New Roman" w:hAnsi="Times New Roman"/>
          <w:noProof/>
        </w:rPr>
        <w:t>Wspólny Komitet wskazał, że potrzebne jest pewne doprecyzowanie przepisów dotyczących zarządzających alternatywnymi funduszami inwestycyjnymi (ZAFI) działających</w:t>
      </w:r>
      <w:r w:rsidR="001B0DFF">
        <w:rPr>
          <w:rFonts w:ascii="Times New Roman" w:hAnsi="Times New Roman"/>
          <w:noProof/>
        </w:rPr>
        <w:t xml:space="preserve"> w cha</w:t>
      </w:r>
      <w:r>
        <w:rPr>
          <w:rFonts w:ascii="Times New Roman" w:hAnsi="Times New Roman"/>
          <w:noProof/>
        </w:rPr>
        <w:t>rakterze inwestorów instytucjonalnych inwestujących</w:t>
      </w:r>
      <w:r w:rsidR="001B0DFF">
        <w:rPr>
          <w:rFonts w:ascii="Times New Roman" w:hAnsi="Times New Roman"/>
          <w:noProof/>
        </w:rPr>
        <w:t xml:space="preserve"> w sek</w:t>
      </w:r>
      <w:r>
        <w:rPr>
          <w:rFonts w:ascii="Times New Roman" w:hAnsi="Times New Roman"/>
          <w:noProof/>
        </w:rPr>
        <w:t>urytyzacje. Po pierwsze, nie było jasne, czy ZAFI spoza UE, który zarządza alternatywnymi funduszami inwestycyjnymi (AFI) lub wprowadza je do obrotu w UE, byłby objęty zakresem definicji inwestora instytucjonalnego zawartej</w:t>
      </w:r>
      <w:r w:rsidR="001B0DFF">
        <w:rPr>
          <w:rFonts w:ascii="Times New Roman" w:hAnsi="Times New Roman"/>
          <w:noProof/>
        </w:rPr>
        <w:t xml:space="preserve"> w roz</w:t>
      </w:r>
      <w:r>
        <w:rPr>
          <w:rFonts w:ascii="Times New Roman" w:hAnsi="Times New Roman"/>
          <w:noProof/>
        </w:rPr>
        <w:t>porządzeniu</w:t>
      </w:r>
      <w:r w:rsidR="001B0DFF">
        <w:rPr>
          <w:rFonts w:ascii="Times New Roman" w:hAnsi="Times New Roman"/>
          <w:noProof/>
        </w:rPr>
        <w:t xml:space="preserve"> w spr</w:t>
      </w:r>
      <w:r>
        <w:rPr>
          <w:rFonts w:ascii="Times New Roman" w:hAnsi="Times New Roman"/>
          <w:noProof/>
        </w:rPr>
        <w:t>awie sekurytyzacji, nawet jeśli wprowadzanie do obrotu w UE odbywa się jedynie na zasadzie oferty na rynku niepublicznym. Po drugie, nie było jasne, czy definicja inwestora instytucjonalnego (który podlega wielu wymogom dotyczącym należytej staranności) obejmuje również „podprogowe” ZAFI</w:t>
      </w:r>
      <w:r>
        <w:rPr>
          <w:rStyle w:val="FootnoteReference"/>
          <w:rFonts w:ascii="Times New Roman" w:eastAsia="Calibri" w:hAnsi="Times New Roman" w:cs="Times New Roman"/>
          <w:noProof/>
        </w:rPr>
        <w:footnoteReference w:id="36"/>
      </w:r>
      <w:r>
        <w:rPr>
          <w:rFonts w:ascii="Times New Roman" w:hAnsi="Times New Roman"/>
          <w:noProof/>
        </w:rPr>
        <w:t>.</w:t>
      </w:r>
    </w:p>
    <w:p w14:paraId="6D754F42" w14:textId="328538F1" w:rsidR="00A70EA8" w:rsidRPr="003C0D71" w:rsidRDefault="00A70EA8" w:rsidP="00A70EA8">
      <w:pPr>
        <w:jc w:val="both"/>
        <w:rPr>
          <w:rFonts w:ascii="Times New Roman" w:eastAsia="Calibri" w:hAnsi="Times New Roman" w:cs="Times New Roman"/>
          <w:noProof/>
        </w:rPr>
      </w:pPr>
      <w:r>
        <w:rPr>
          <w:rFonts w:ascii="Times New Roman" w:hAnsi="Times New Roman"/>
          <w:noProof/>
        </w:rPr>
        <w:t>Z konsultacji wynikło, że wyraźna większość opowiedziała się za doprecyzowaniem przepisów, aczkolwiek wyrażono sprzeczne opinie na temat kształtu tego doprecyzowania. Zwolennicy uwzględnienia zarówno ZAFI podprogowych, jak i ZAFI</w:t>
      </w:r>
      <w:r w:rsidR="001B0DFF">
        <w:rPr>
          <w:rFonts w:ascii="Times New Roman" w:hAnsi="Times New Roman"/>
          <w:noProof/>
        </w:rPr>
        <w:t xml:space="preserve"> z pań</w:t>
      </w:r>
      <w:r>
        <w:rPr>
          <w:rFonts w:ascii="Times New Roman" w:hAnsi="Times New Roman"/>
          <w:noProof/>
        </w:rPr>
        <w:t>stw trzecich, które wprowadzają AFI do obrotu</w:t>
      </w:r>
      <w:r w:rsidR="001B0DFF">
        <w:rPr>
          <w:rFonts w:ascii="Times New Roman" w:hAnsi="Times New Roman"/>
          <w:noProof/>
        </w:rPr>
        <w:t xml:space="preserve"> i zar</w:t>
      </w:r>
      <w:r>
        <w:rPr>
          <w:rFonts w:ascii="Times New Roman" w:hAnsi="Times New Roman"/>
          <w:noProof/>
        </w:rPr>
        <w:t xml:space="preserve">ządzają nimi w UE, podkreślają potrzebę zapewnienia równych szans wszystkim ZAFI działającym na rynku sekurytyzacji. </w:t>
      </w:r>
    </w:p>
    <w:p w14:paraId="486E7B3B" w14:textId="72D942C9" w:rsidR="00A70EA8" w:rsidRPr="003C0D71" w:rsidRDefault="00A70EA8" w:rsidP="00A70EA8">
      <w:pPr>
        <w:jc w:val="both"/>
        <w:rPr>
          <w:rFonts w:ascii="Times New Roman" w:eastAsia="Calibri" w:hAnsi="Times New Roman" w:cs="Times New Roman"/>
          <w:noProof/>
        </w:rPr>
      </w:pPr>
      <w:r>
        <w:rPr>
          <w:rFonts w:ascii="Times New Roman" w:hAnsi="Times New Roman"/>
          <w:noProof/>
        </w:rPr>
        <w:t>Z drugiej strony niektórzy respondenci kwestionowali proporcjonalność uwzględnienia ZAFI podprogowych. Respondenci, którzy opowiadali się przeciwko stosowaniu unijnych wymogów dotyczących należytej staranności wobec ZAFI</w:t>
      </w:r>
      <w:r w:rsidR="001B0DFF">
        <w:rPr>
          <w:rFonts w:ascii="Times New Roman" w:hAnsi="Times New Roman"/>
          <w:noProof/>
        </w:rPr>
        <w:t xml:space="preserve"> z pań</w:t>
      </w:r>
      <w:r>
        <w:rPr>
          <w:rFonts w:ascii="Times New Roman" w:hAnsi="Times New Roman"/>
          <w:noProof/>
        </w:rPr>
        <w:t>stw trzecich zarządzających funduszami lub wprowadzających je do obrotu w UE, podkreślali, że taka interpretacja spowodowałaby, że rozporządzenie</w:t>
      </w:r>
      <w:r w:rsidR="001B0DFF">
        <w:rPr>
          <w:rFonts w:ascii="Times New Roman" w:hAnsi="Times New Roman"/>
          <w:noProof/>
        </w:rPr>
        <w:t xml:space="preserve"> w spr</w:t>
      </w:r>
      <w:r>
        <w:rPr>
          <w:rFonts w:ascii="Times New Roman" w:hAnsi="Times New Roman"/>
          <w:noProof/>
        </w:rPr>
        <w:t>awie sekurytyzacji stałoby się eksterytorialne. Sugerowali również, że doprowadziłoby to do nieuzasadnionej różnicy między traktowaniem funduszy</w:t>
      </w:r>
      <w:r w:rsidR="001B0DFF">
        <w:rPr>
          <w:rFonts w:ascii="Times New Roman" w:hAnsi="Times New Roman"/>
          <w:noProof/>
        </w:rPr>
        <w:t xml:space="preserve"> a inn</w:t>
      </w:r>
      <w:r>
        <w:rPr>
          <w:rFonts w:ascii="Times New Roman" w:hAnsi="Times New Roman"/>
          <w:noProof/>
        </w:rPr>
        <w:t>ych produktów,</w:t>
      </w:r>
      <w:r w:rsidR="001B0DFF">
        <w:rPr>
          <w:rFonts w:ascii="Times New Roman" w:hAnsi="Times New Roman"/>
          <w:noProof/>
        </w:rPr>
        <w:t xml:space="preserve"> w prz</w:t>
      </w:r>
      <w:r>
        <w:rPr>
          <w:rFonts w:ascii="Times New Roman" w:hAnsi="Times New Roman"/>
          <w:noProof/>
        </w:rPr>
        <w:t>ypadku których wymogi dotyczące należytej staranności są regulowane przez rodzimy organ regulacyjny inwestora instytucjonalnego. Ponadto szereg respondentów zauważył, że tekst prawny</w:t>
      </w:r>
      <w:r w:rsidR="001B0DFF">
        <w:rPr>
          <w:rFonts w:ascii="Times New Roman" w:hAnsi="Times New Roman"/>
          <w:noProof/>
        </w:rPr>
        <w:t xml:space="preserve"> w obe</w:t>
      </w:r>
      <w:r>
        <w:rPr>
          <w:rFonts w:ascii="Times New Roman" w:hAnsi="Times New Roman"/>
          <w:noProof/>
        </w:rPr>
        <w:t>cnym brzmieniu nie jest jasny</w:t>
      </w:r>
      <w:r w:rsidR="001B0DFF">
        <w:rPr>
          <w:rFonts w:ascii="Times New Roman" w:hAnsi="Times New Roman"/>
          <w:noProof/>
        </w:rPr>
        <w:t xml:space="preserve"> w kwe</w:t>
      </w:r>
      <w:r>
        <w:rPr>
          <w:rFonts w:ascii="Times New Roman" w:hAnsi="Times New Roman"/>
          <w:noProof/>
        </w:rPr>
        <w:t>stii, czy wymóg stosowania przez ZAFI</w:t>
      </w:r>
      <w:r w:rsidR="001B0DFF">
        <w:rPr>
          <w:rFonts w:ascii="Times New Roman" w:hAnsi="Times New Roman"/>
          <w:noProof/>
        </w:rPr>
        <w:t xml:space="preserve"> z pań</w:t>
      </w:r>
      <w:r>
        <w:rPr>
          <w:rFonts w:ascii="Times New Roman" w:hAnsi="Times New Roman"/>
          <w:noProof/>
        </w:rPr>
        <w:t xml:space="preserve">stwa trzeciego unijnych zasad dotyczących </w:t>
      </w:r>
      <w:r>
        <w:rPr>
          <w:rFonts w:ascii="Times New Roman" w:hAnsi="Times New Roman"/>
          <w:i/>
          <w:noProof/>
        </w:rPr>
        <w:t>due diligence</w:t>
      </w:r>
      <w:r>
        <w:rPr>
          <w:rFonts w:ascii="Times New Roman" w:hAnsi="Times New Roman"/>
          <w:noProof/>
        </w:rPr>
        <w:t xml:space="preserve"> będzie ograniczony do funduszy zarządzanych</w:t>
      </w:r>
      <w:r w:rsidR="001B0DFF">
        <w:rPr>
          <w:rFonts w:ascii="Times New Roman" w:hAnsi="Times New Roman"/>
          <w:noProof/>
        </w:rPr>
        <w:t xml:space="preserve"> i wpr</w:t>
      </w:r>
      <w:r>
        <w:rPr>
          <w:rFonts w:ascii="Times New Roman" w:hAnsi="Times New Roman"/>
          <w:noProof/>
        </w:rPr>
        <w:t>owadzanych do obrotu w UE, czy też, gdy ZAFI zarządza jednym funduszem lub wprowadza go do obrotu w UE, obowiązek ten rozciąga się na wszystkie fundusze wprowadzane do obrotu lub zarządzane przez tego ZAFI</w:t>
      </w:r>
      <w:r w:rsidR="001B0DFF">
        <w:rPr>
          <w:rFonts w:ascii="Times New Roman" w:hAnsi="Times New Roman"/>
          <w:noProof/>
        </w:rPr>
        <w:t xml:space="preserve"> z pań</w:t>
      </w:r>
      <w:r>
        <w:rPr>
          <w:rFonts w:ascii="Times New Roman" w:hAnsi="Times New Roman"/>
          <w:noProof/>
        </w:rPr>
        <w:t xml:space="preserve">stwa trzeciego. </w:t>
      </w:r>
    </w:p>
    <w:p w14:paraId="517A6F8F" w14:textId="4EB5097E" w:rsidR="009E344D" w:rsidRPr="003C0D71" w:rsidRDefault="000146AB" w:rsidP="000D4664">
      <w:pPr>
        <w:rPr>
          <w:rFonts w:ascii="Times New Roman" w:hAnsi="Times New Roman" w:cs="Times New Roman"/>
          <w:b/>
          <w:noProof/>
          <w:sz w:val="24"/>
        </w:rPr>
      </w:pPr>
      <w:r>
        <w:rPr>
          <w:rFonts w:ascii="Times New Roman" w:hAnsi="Times New Roman"/>
          <w:b/>
          <w:noProof/>
          <w:sz w:val="24"/>
        </w:rPr>
        <w:t>Ocena Komisji</w:t>
      </w:r>
    </w:p>
    <w:p w14:paraId="611694B8" w14:textId="5D8479B3" w:rsidR="00A70EA8" w:rsidRPr="003C0D71" w:rsidRDefault="00A70EA8" w:rsidP="00A70EA8">
      <w:pPr>
        <w:jc w:val="both"/>
        <w:rPr>
          <w:rFonts w:ascii="Times New Roman" w:eastAsia="Calibri" w:hAnsi="Times New Roman" w:cs="Times New Roman"/>
          <w:noProof/>
        </w:rPr>
      </w:pPr>
      <w:bookmarkStart w:id="73" w:name="_Toc104283079"/>
      <w:bookmarkStart w:id="74" w:name="_Toc104286147"/>
      <w:bookmarkStart w:id="75" w:name="_Toc104297351"/>
      <w:r>
        <w:rPr>
          <w:rFonts w:ascii="Times New Roman" w:hAnsi="Times New Roman"/>
          <w:noProof/>
        </w:rPr>
        <w:t xml:space="preserve">Komisja zauważa, że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2</w:t>
      </w:r>
      <w:r>
        <w:rPr>
          <w:rFonts w:ascii="Times New Roman" w:hAnsi="Times New Roman"/>
          <w:noProof/>
        </w:rPr>
        <w:t xml:space="preserve">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2, tj. przepis definiujący inwestorów instytucjonalnych do celów rozporządzenia</w:t>
      </w:r>
      <w:r w:rsidR="001B0DFF">
        <w:rPr>
          <w:rFonts w:ascii="Times New Roman" w:hAnsi="Times New Roman"/>
          <w:noProof/>
        </w:rPr>
        <w:t xml:space="preserve"> w spr</w:t>
      </w:r>
      <w:r>
        <w:rPr>
          <w:rFonts w:ascii="Times New Roman" w:hAnsi="Times New Roman"/>
          <w:noProof/>
        </w:rPr>
        <w:t>awie sekurytyzacji,</w:t>
      </w:r>
      <w:r w:rsidR="001B0DFF">
        <w:rPr>
          <w:rFonts w:ascii="Times New Roman" w:hAnsi="Times New Roman"/>
          <w:noProof/>
        </w:rPr>
        <w:t xml:space="preserve"> w </w:t>
      </w:r>
      <w:r w:rsidR="001B0DFF" w:rsidRPr="001B0DFF">
        <w:rPr>
          <w:rFonts w:ascii="Times New Roman" w:hAnsi="Times New Roman"/>
          <w:noProof/>
        </w:rPr>
        <w:t>lit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d)</w:t>
      </w:r>
      <w:r>
        <w:rPr>
          <w:rFonts w:ascii="Times New Roman" w:hAnsi="Times New Roman"/>
          <w:noProof/>
        </w:rPr>
        <w:t xml:space="preserve"> odnosi się konkretnie do przepisu dyrektywy</w:t>
      </w:r>
      <w:r w:rsidR="001B0DFF">
        <w:rPr>
          <w:rFonts w:ascii="Times New Roman" w:hAnsi="Times New Roman"/>
          <w:noProof/>
        </w:rPr>
        <w:t xml:space="preserve"> w spr</w:t>
      </w:r>
      <w:r>
        <w:rPr>
          <w:rFonts w:ascii="Times New Roman" w:hAnsi="Times New Roman"/>
          <w:noProof/>
        </w:rPr>
        <w:t>awie zarządzających alternatywnymi funduszami inwestycyjnymi (ZAFI),</w:t>
      </w:r>
      <w:r w:rsidR="001B0DFF">
        <w:rPr>
          <w:rFonts w:ascii="Times New Roman" w:hAnsi="Times New Roman"/>
          <w:noProof/>
        </w:rPr>
        <w:t xml:space="preserve"> w któ</w:t>
      </w:r>
      <w:r>
        <w:rPr>
          <w:rFonts w:ascii="Times New Roman" w:hAnsi="Times New Roman"/>
          <w:noProof/>
        </w:rPr>
        <w:t>rym zdefiniowano ZAFI bez rozróżnienia na podmioty powyżej lub poniżej wspomnianego progu</w:t>
      </w:r>
      <w:r w:rsidR="001B0DFF">
        <w:rPr>
          <w:rFonts w:ascii="Times New Roman" w:hAnsi="Times New Roman"/>
          <w:noProof/>
        </w:rPr>
        <w:t>. Z brz</w:t>
      </w:r>
      <w:r>
        <w:rPr>
          <w:rFonts w:ascii="Times New Roman" w:hAnsi="Times New Roman"/>
          <w:noProof/>
        </w:rPr>
        <w:t>mienia przepisów wynika zatem jednoznacznie, że również ZAFI podprogowych należy uznać za inwestorów instytucjonalnych</w:t>
      </w:r>
      <w:r w:rsidR="001B0DFF">
        <w:rPr>
          <w:rFonts w:ascii="Times New Roman" w:hAnsi="Times New Roman"/>
          <w:noProof/>
        </w:rPr>
        <w:t xml:space="preserve"> w roz</w:t>
      </w:r>
      <w:r>
        <w:rPr>
          <w:rFonts w:ascii="Times New Roman" w:hAnsi="Times New Roman"/>
          <w:noProof/>
        </w:rPr>
        <w:t>umieniu rozporządzenia</w:t>
      </w:r>
      <w:r w:rsidR="001B0DFF">
        <w:rPr>
          <w:rFonts w:ascii="Times New Roman" w:hAnsi="Times New Roman"/>
          <w:noProof/>
        </w:rPr>
        <w:t xml:space="preserve"> w spr</w:t>
      </w:r>
      <w:r>
        <w:rPr>
          <w:rFonts w:ascii="Times New Roman" w:hAnsi="Times New Roman"/>
          <w:noProof/>
        </w:rPr>
        <w:t>awie sekurytyzacji. Za taką interpretacją przemawia również intencja ustawodawcy</w:t>
      </w:r>
      <w:r w:rsidR="001B0DFF">
        <w:rPr>
          <w:rFonts w:ascii="Times New Roman" w:hAnsi="Times New Roman"/>
          <w:noProof/>
        </w:rPr>
        <w:t xml:space="preserve"> w zak</w:t>
      </w:r>
      <w:r>
        <w:rPr>
          <w:rFonts w:ascii="Times New Roman" w:hAnsi="Times New Roman"/>
          <w:noProof/>
        </w:rPr>
        <w:t>resie wymogów dotyczących należytej staranności zawartych</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5</w:t>
      </w:r>
      <w:r>
        <w:rPr>
          <w:rFonts w:ascii="Times New Roman" w:hAnsi="Times New Roman"/>
          <w:noProof/>
        </w:rPr>
        <w:t>, która zakłada ochronę inwestorów z UE przed przyszłą ekspozycją</w:t>
      </w:r>
      <w:r w:rsidR="001B0DFF">
        <w:rPr>
          <w:rFonts w:ascii="Times New Roman" w:hAnsi="Times New Roman"/>
          <w:noProof/>
        </w:rPr>
        <w:t xml:space="preserve"> w ram</w:t>
      </w:r>
      <w:r>
        <w:rPr>
          <w:rFonts w:ascii="Times New Roman" w:hAnsi="Times New Roman"/>
          <w:noProof/>
        </w:rPr>
        <w:t xml:space="preserve">ach inwestycji sekurytyzacyjnych podjętych bez uprzedniego przeprowadzenia analizy </w:t>
      </w:r>
      <w:r>
        <w:rPr>
          <w:rFonts w:ascii="Times New Roman" w:hAnsi="Times New Roman"/>
          <w:i/>
          <w:noProof/>
        </w:rPr>
        <w:t>due diligence</w:t>
      </w:r>
      <w:r w:rsidR="001B0DFF">
        <w:rPr>
          <w:rFonts w:ascii="Times New Roman" w:hAnsi="Times New Roman"/>
          <w:noProof/>
        </w:rPr>
        <w:t xml:space="preserve"> i wła</w:t>
      </w:r>
      <w:r>
        <w:rPr>
          <w:rFonts w:ascii="Times New Roman" w:hAnsi="Times New Roman"/>
          <w:noProof/>
        </w:rPr>
        <w:t xml:space="preserve">ściwe zrozumienie charakteru nabywanego produktu. </w:t>
      </w:r>
    </w:p>
    <w:p w14:paraId="3A543388" w14:textId="775C7770" w:rsidR="00A70EA8" w:rsidRPr="003C0D71" w:rsidRDefault="00A70EA8" w:rsidP="00A70EA8">
      <w:pPr>
        <w:jc w:val="both"/>
        <w:rPr>
          <w:rFonts w:ascii="Times New Roman" w:eastAsia="Calibri" w:hAnsi="Times New Roman" w:cs="Times New Roman"/>
          <w:noProof/>
        </w:rPr>
      </w:pPr>
      <w:r>
        <w:rPr>
          <w:rFonts w:ascii="Times New Roman" w:hAnsi="Times New Roman"/>
          <w:noProof/>
        </w:rPr>
        <w:t>Intencja ustawodawcy jest również źródłem mocnych argumentów na rzecz interpretacji Komisji, zgodnie</w:t>
      </w:r>
      <w:r w:rsidR="001B0DFF">
        <w:rPr>
          <w:rFonts w:ascii="Times New Roman" w:hAnsi="Times New Roman"/>
          <w:noProof/>
        </w:rPr>
        <w:t xml:space="preserve"> z któ</w:t>
      </w:r>
      <w:r>
        <w:rPr>
          <w:rFonts w:ascii="Times New Roman" w:hAnsi="Times New Roman"/>
          <w:noProof/>
        </w:rPr>
        <w:t>rą ZAFI</w:t>
      </w:r>
      <w:r w:rsidR="001B0DFF">
        <w:rPr>
          <w:rFonts w:ascii="Times New Roman" w:hAnsi="Times New Roman"/>
          <w:noProof/>
        </w:rPr>
        <w:t xml:space="preserve"> z pań</w:t>
      </w:r>
      <w:r>
        <w:rPr>
          <w:rFonts w:ascii="Times New Roman" w:hAnsi="Times New Roman"/>
          <w:noProof/>
        </w:rPr>
        <w:t>stw trzecich, którzy wprowadzają do obrotu</w:t>
      </w:r>
      <w:r w:rsidR="001B0DFF">
        <w:rPr>
          <w:rFonts w:ascii="Times New Roman" w:hAnsi="Times New Roman"/>
          <w:noProof/>
        </w:rPr>
        <w:t xml:space="preserve"> i zar</w:t>
      </w:r>
      <w:r>
        <w:rPr>
          <w:rFonts w:ascii="Times New Roman" w:hAnsi="Times New Roman"/>
          <w:noProof/>
        </w:rPr>
        <w:t>ządzają funduszami w UE, muszą spełniać wymogi dotyczące należytej staranności określone</w:t>
      </w:r>
      <w:r w:rsidR="001B0DFF">
        <w:rPr>
          <w:rFonts w:ascii="Times New Roman" w:hAnsi="Times New Roman"/>
          <w:noProof/>
        </w:rPr>
        <w:t xml:space="preserve"> w roz</w:t>
      </w:r>
      <w:r>
        <w:rPr>
          <w:rFonts w:ascii="Times New Roman" w:hAnsi="Times New Roman"/>
          <w:noProof/>
        </w:rPr>
        <w:t>porządzeniu</w:t>
      </w:r>
      <w:r w:rsidR="001B0DFF">
        <w:rPr>
          <w:rFonts w:ascii="Times New Roman" w:hAnsi="Times New Roman"/>
          <w:noProof/>
        </w:rPr>
        <w:t xml:space="preserve"> w spr</w:t>
      </w:r>
      <w:r>
        <w:rPr>
          <w:rFonts w:ascii="Times New Roman" w:hAnsi="Times New Roman"/>
          <w:noProof/>
        </w:rPr>
        <w:t>awie sekurytyzacji</w:t>
      </w:r>
      <w:r w:rsidR="001B0DFF">
        <w:rPr>
          <w:rFonts w:ascii="Times New Roman" w:hAnsi="Times New Roman"/>
          <w:noProof/>
        </w:rPr>
        <w:t xml:space="preserve"> w odn</w:t>
      </w:r>
      <w:r>
        <w:rPr>
          <w:rFonts w:ascii="Times New Roman" w:hAnsi="Times New Roman"/>
          <w:noProof/>
        </w:rPr>
        <w:t>iesieniu do wszystkich swoich inwestycji sekurytyzacyjnych. Gdyby ZAFI</w:t>
      </w:r>
      <w:r w:rsidR="001B0DFF">
        <w:rPr>
          <w:rFonts w:ascii="Times New Roman" w:hAnsi="Times New Roman"/>
          <w:noProof/>
        </w:rPr>
        <w:t xml:space="preserve"> z pań</w:t>
      </w:r>
      <w:r>
        <w:rPr>
          <w:rFonts w:ascii="Times New Roman" w:hAnsi="Times New Roman"/>
          <w:noProof/>
        </w:rPr>
        <w:t>stw trzecich wprowadzający fundusze do obrotu w UE byli uznawani za zwolnionych</w:t>
      </w:r>
      <w:r w:rsidR="001B0DFF">
        <w:rPr>
          <w:rFonts w:ascii="Times New Roman" w:hAnsi="Times New Roman"/>
          <w:noProof/>
        </w:rPr>
        <w:t xml:space="preserve"> z zas</w:t>
      </w:r>
      <w:r>
        <w:rPr>
          <w:rFonts w:ascii="Times New Roman" w:hAnsi="Times New Roman"/>
          <w:noProof/>
        </w:rPr>
        <w:t xml:space="preserve">ad należytej staranności, mogłoby to podważyć kompleksową ochronę inwestorów, którą chcieli zapewnić ustawodawcy. Taka interpretacja nie sprawia, że przepisy te stają się „eksterytorialne”, ponieważ regulują one działalność – zarządzanie funduszem lub wprowadzanie go do obrotu w UE – która ma miejsce w UE. Biorąc pod uwagę intencje ustawodawcy, staje się ponadto jasne, że szerokie brzmienie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2</w:t>
      </w:r>
      <w:r>
        <w:rPr>
          <w:rFonts w:ascii="Times New Roman" w:hAnsi="Times New Roman"/>
          <w:noProof/>
        </w:rPr>
        <w:t xml:space="preserve">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 xml:space="preserve">2 </w:t>
      </w:r>
      <w:r w:rsidRPr="001B0DFF">
        <w:rPr>
          <w:rFonts w:ascii="Times New Roman" w:hAnsi="Times New Roman"/>
          <w:noProof/>
        </w:rPr>
        <w:t>lit.</w:t>
      </w:r>
      <w:r w:rsidR="001B0DFF" w:rsidRPr="001B0DFF">
        <w:rPr>
          <w:rFonts w:ascii="Times New Roman" w:hAnsi="Times New Roman"/>
          <w:noProof/>
        </w:rPr>
        <w:t> </w:t>
      </w:r>
      <w:r w:rsidRPr="001B0DFF">
        <w:rPr>
          <w:rFonts w:ascii="Times New Roman" w:hAnsi="Times New Roman"/>
          <w:noProof/>
        </w:rPr>
        <w:t>d)</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awie sekurytyzacji powinno mieć zastosowanie wyłącznie do funduszy, które ZAFI</w:t>
      </w:r>
      <w:r w:rsidR="001B0DFF">
        <w:rPr>
          <w:rFonts w:ascii="Times New Roman" w:hAnsi="Times New Roman"/>
          <w:noProof/>
        </w:rPr>
        <w:t xml:space="preserve"> z pań</w:t>
      </w:r>
      <w:r>
        <w:rPr>
          <w:rFonts w:ascii="Times New Roman" w:hAnsi="Times New Roman"/>
          <w:noProof/>
        </w:rPr>
        <w:t>stwa trzeciego wprowadza do obrotu</w:t>
      </w:r>
      <w:r w:rsidR="001B0DFF">
        <w:rPr>
          <w:rFonts w:ascii="Times New Roman" w:hAnsi="Times New Roman"/>
          <w:noProof/>
        </w:rPr>
        <w:t xml:space="preserve"> i któ</w:t>
      </w:r>
      <w:r>
        <w:rPr>
          <w:rFonts w:ascii="Times New Roman" w:hAnsi="Times New Roman"/>
          <w:noProof/>
        </w:rPr>
        <w:t>rymi zarządza w UE, ale nie powinno być interpretowane jako obejmujące również działalność</w:t>
      </w:r>
      <w:r w:rsidR="001B0DFF">
        <w:rPr>
          <w:rFonts w:ascii="Times New Roman" w:hAnsi="Times New Roman"/>
          <w:noProof/>
        </w:rPr>
        <w:t xml:space="preserve"> w zak</w:t>
      </w:r>
      <w:r>
        <w:rPr>
          <w:rFonts w:ascii="Times New Roman" w:hAnsi="Times New Roman"/>
          <w:noProof/>
        </w:rPr>
        <w:t>resie zarządzania</w:t>
      </w:r>
      <w:r w:rsidR="001B0DFF">
        <w:rPr>
          <w:rFonts w:ascii="Times New Roman" w:hAnsi="Times New Roman"/>
          <w:noProof/>
        </w:rPr>
        <w:t xml:space="preserve"> i wpr</w:t>
      </w:r>
      <w:r>
        <w:rPr>
          <w:rFonts w:ascii="Times New Roman" w:hAnsi="Times New Roman"/>
          <w:noProof/>
        </w:rPr>
        <w:t>owadzania do obrotu prowadzoną przez tego samego ZAFI, który nie ma powiązań z UE</w:t>
      </w:r>
      <w:r w:rsidR="001B0DFF">
        <w:rPr>
          <w:rFonts w:ascii="Times New Roman" w:hAnsi="Times New Roman"/>
          <w:noProof/>
        </w:rPr>
        <w:t>. W prz</w:t>
      </w:r>
      <w:r>
        <w:rPr>
          <w:rFonts w:ascii="Times New Roman" w:hAnsi="Times New Roman"/>
          <w:noProof/>
        </w:rPr>
        <w:t>yszłym wniosku dotyczącym zmiany rozporządzenia</w:t>
      </w:r>
      <w:r w:rsidR="001B0DFF">
        <w:rPr>
          <w:rFonts w:ascii="Times New Roman" w:hAnsi="Times New Roman"/>
          <w:noProof/>
        </w:rPr>
        <w:t xml:space="preserve"> w spr</w:t>
      </w:r>
      <w:r>
        <w:rPr>
          <w:rFonts w:ascii="Times New Roman" w:hAnsi="Times New Roman"/>
          <w:noProof/>
        </w:rPr>
        <w:t xml:space="preserve">awie sekurytyzacji Komisja rozważy zmianę brzmienia </w:t>
      </w:r>
      <w:r w:rsidRPr="001B0DFF">
        <w:rPr>
          <w:rFonts w:ascii="Times New Roman" w:hAnsi="Times New Roman"/>
          <w:noProof/>
        </w:rPr>
        <w:t>art.</w:t>
      </w:r>
      <w:r w:rsidR="001B0DFF" w:rsidRPr="001B0DFF">
        <w:rPr>
          <w:rFonts w:ascii="Times New Roman" w:hAnsi="Times New Roman"/>
          <w:noProof/>
        </w:rPr>
        <w:t> </w:t>
      </w:r>
      <w:r w:rsidRPr="001B0DFF">
        <w:rPr>
          <w:rFonts w:ascii="Times New Roman" w:hAnsi="Times New Roman"/>
          <w:noProof/>
        </w:rPr>
        <w:t>2</w:t>
      </w:r>
      <w:r>
        <w:rPr>
          <w:rFonts w:ascii="Times New Roman" w:hAnsi="Times New Roman"/>
          <w:noProof/>
        </w:rPr>
        <w:t xml:space="preserve">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 xml:space="preserve">2 </w:t>
      </w:r>
      <w:r w:rsidRPr="001B0DFF">
        <w:rPr>
          <w:rFonts w:ascii="Times New Roman" w:hAnsi="Times New Roman"/>
          <w:noProof/>
        </w:rPr>
        <w:t>lit.</w:t>
      </w:r>
      <w:r w:rsidR="001B0DFF" w:rsidRPr="001B0DFF">
        <w:rPr>
          <w:rFonts w:ascii="Times New Roman" w:hAnsi="Times New Roman"/>
          <w:noProof/>
        </w:rPr>
        <w:t> </w:t>
      </w:r>
      <w:r w:rsidRPr="001B0DFF">
        <w:rPr>
          <w:rFonts w:ascii="Times New Roman" w:hAnsi="Times New Roman"/>
          <w:noProof/>
        </w:rPr>
        <w:t>d)</w:t>
      </w:r>
      <w:r w:rsidR="001B0DFF">
        <w:rPr>
          <w:rFonts w:ascii="Times New Roman" w:hAnsi="Times New Roman"/>
          <w:noProof/>
        </w:rPr>
        <w:t xml:space="preserve"> w cel</w:t>
      </w:r>
      <w:r>
        <w:rPr>
          <w:rFonts w:ascii="Times New Roman" w:hAnsi="Times New Roman"/>
          <w:noProof/>
        </w:rPr>
        <w:t xml:space="preserve">u usunięcia wszelkiego rodzaju braku pewności prawa. </w:t>
      </w:r>
    </w:p>
    <w:p w14:paraId="4B49B655" w14:textId="77777777" w:rsidR="002064A8" w:rsidRPr="003C0D71" w:rsidRDefault="002064A8" w:rsidP="00A70EA8">
      <w:pPr>
        <w:jc w:val="both"/>
        <w:rPr>
          <w:rFonts w:ascii="Times New Roman" w:eastAsia="Calibri" w:hAnsi="Times New Roman" w:cs="Times New Roman"/>
          <w:noProof/>
        </w:rPr>
      </w:pPr>
    </w:p>
    <w:p w14:paraId="65E4B11F" w14:textId="77777777" w:rsidR="00DE73BB" w:rsidRPr="003C0D71" w:rsidRDefault="009E344D" w:rsidP="004100C8">
      <w:pPr>
        <w:pStyle w:val="Heading1"/>
        <w:rPr>
          <w:rStyle w:val="Heading1Char"/>
          <w:rFonts w:ascii="Times New Roman" w:hAnsi="Times New Roman" w:cs="Times New Roman"/>
          <w:noProof/>
          <w:color w:val="auto"/>
        </w:rPr>
      </w:pPr>
      <w:bookmarkStart w:id="76" w:name="_Toc115361601"/>
      <w:r>
        <w:rPr>
          <w:rStyle w:val="Heading1Char"/>
          <w:rFonts w:ascii="Times New Roman" w:hAnsi="Times New Roman"/>
          <w:noProof/>
          <w:color w:val="auto"/>
        </w:rPr>
        <w:t xml:space="preserve">12. </w:t>
      </w:r>
      <w:r>
        <w:rPr>
          <w:rFonts w:ascii="Times New Roman" w:hAnsi="Times New Roman"/>
          <w:noProof/>
          <w:color w:val="auto"/>
        </w:rPr>
        <w:t>Nadzór</w:t>
      </w:r>
      <w:r>
        <w:rPr>
          <w:rStyle w:val="Heading1Char"/>
          <w:rFonts w:ascii="Times New Roman" w:hAnsi="Times New Roman"/>
          <w:noProof/>
          <w:color w:val="auto"/>
        </w:rPr>
        <w:t xml:space="preserve"> </w:t>
      </w:r>
      <w:r>
        <w:rPr>
          <w:rFonts w:ascii="Times New Roman" w:hAnsi="Times New Roman"/>
          <w:noProof/>
          <w:color w:val="auto"/>
        </w:rPr>
        <w:t>nad</w:t>
      </w:r>
      <w:r>
        <w:rPr>
          <w:rStyle w:val="Heading1Char"/>
          <w:rFonts w:ascii="Times New Roman" w:hAnsi="Times New Roman"/>
          <w:noProof/>
          <w:color w:val="auto"/>
        </w:rPr>
        <w:t xml:space="preserve"> sekurytyzacją</w:t>
      </w:r>
      <w:bookmarkEnd w:id="73"/>
      <w:bookmarkEnd w:id="74"/>
      <w:bookmarkEnd w:id="75"/>
      <w:bookmarkEnd w:id="76"/>
    </w:p>
    <w:p w14:paraId="116BCEBA" w14:textId="4341D902" w:rsidR="00DE73BB" w:rsidRPr="003C0D71" w:rsidRDefault="2603B6C4" w:rsidP="000D4664">
      <w:pPr>
        <w:rPr>
          <w:rFonts w:ascii="Times New Roman" w:hAnsi="Times New Roman" w:cs="Times New Roman"/>
          <w:b/>
          <w:noProof/>
          <w:sz w:val="24"/>
        </w:rPr>
      </w:pPr>
      <w:r>
        <w:rPr>
          <w:rFonts w:ascii="Times New Roman" w:hAnsi="Times New Roman"/>
          <w:b/>
          <w:noProof/>
          <w:sz w:val="24"/>
        </w:rPr>
        <w:t>Kontekst</w:t>
      </w:r>
      <w:r w:rsidR="001B0DFF">
        <w:rPr>
          <w:rFonts w:ascii="Times New Roman" w:hAnsi="Times New Roman"/>
          <w:b/>
          <w:noProof/>
          <w:sz w:val="24"/>
        </w:rPr>
        <w:t xml:space="preserve"> i ust</w:t>
      </w:r>
      <w:r>
        <w:rPr>
          <w:rFonts w:ascii="Times New Roman" w:hAnsi="Times New Roman"/>
          <w:b/>
          <w:noProof/>
          <w:sz w:val="24"/>
        </w:rPr>
        <w:t>alenia</w:t>
      </w:r>
    </w:p>
    <w:p w14:paraId="6FE66E97" w14:textId="521F109C" w:rsidR="00DE73BB" w:rsidRPr="003C0D71" w:rsidRDefault="00BD4356" w:rsidP="00DE73BB">
      <w:pPr>
        <w:jc w:val="both"/>
        <w:rPr>
          <w:rFonts w:ascii="Times New Roman" w:eastAsia="Times New Roman" w:hAnsi="Times New Roman" w:cs="Times New Roman"/>
          <w:noProof/>
        </w:rPr>
      </w:pPr>
      <w:r>
        <w:rPr>
          <w:rFonts w:ascii="Times New Roman" w:hAnsi="Times New Roman"/>
          <w:noProof/>
        </w:rPr>
        <w:t>W sprawozdaniu Wspólnego Komitetu skoncentrowano się na nadzorze</w:t>
      </w:r>
      <w:r w:rsidR="001B0DFF">
        <w:rPr>
          <w:rFonts w:ascii="Times New Roman" w:hAnsi="Times New Roman"/>
          <w:noProof/>
        </w:rPr>
        <w:t xml:space="preserve"> w zak</w:t>
      </w:r>
      <w:r>
        <w:rPr>
          <w:rFonts w:ascii="Times New Roman" w:hAnsi="Times New Roman"/>
          <w:noProof/>
        </w:rPr>
        <w:t>resie należytej staranności, zatrzymywania ryzyka, przejrzystości, sekurytyzacji prywatnej</w:t>
      </w:r>
      <w:r w:rsidR="001B0DFF">
        <w:rPr>
          <w:rFonts w:ascii="Times New Roman" w:hAnsi="Times New Roman"/>
          <w:noProof/>
        </w:rPr>
        <w:t xml:space="preserve"> i wym</w:t>
      </w:r>
      <w:r>
        <w:rPr>
          <w:rFonts w:ascii="Times New Roman" w:hAnsi="Times New Roman"/>
          <w:noProof/>
        </w:rPr>
        <w:t>ogów STS. Chociaż wskazano pewne możliwe problemy</w:t>
      </w:r>
      <w:r w:rsidR="001B0DFF">
        <w:rPr>
          <w:rFonts w:ascii="Times New Roman" w:hAnsi="Times New Roman"/>
          <w:noProof/>
        </w:rPr>
        <w:t xml:space="preserve"> w zak</w:t>
      </w:r>
      <w:r>
        <w:rPr>
          <w:rFonts w:ascii="Times New Roman" w:hAnsi="Times New Roman"/>
          <w:noProof/>
        </w:rPr>
        <w:t>resie nadzoru nad rynkiem, nie wezwano do wprowadzenia zmian legislacyjnych, ale zalecono zapewnienie organom nadzoru dalszych wytycznych</w:t>
      </w:r>
      <w:r w:rsidR="001B0DFF">
        <w:rPr>
          <w:rFonts w:ascii="Times New Roman" w:hAnsi="Times New Roman"/>
          <w:noProof/>
        </w:rPr>
        <w:t xml:space="preserve"> i jas</w:t>
      </w:r>
      <w:r>
        <w:rPr>
          <w:rFonts w:ascii="Times New Roman" w:hAnsi="Times New Roman"/>
          <w:noProof/>
        </w:rPr>
        <w:t>ności</w:t>
      </w:r>
      <w:r w:rsidR="001B0DFF">
        <w:rPr>
          <w:rFonts w:ascii="Times New Roman" w:hAnsi="Times New Roman"/>
          <w:noProof/>
        </w:rPr>
        <w:t xml:space="preserve"> w cel</w:t>
      </w:r>
      <w:r>
        <w:rPr>
          <w:rFonts w:ascii="Times New Roman" w:hAnsi="Times New Roman"/>
          <w:noProof/>
        </w:rPr>
        <w:t>u zagwarantowania skutecznego</w:t>
      </w:r>
      <w:r w:rsidR="001B0DFF">
        <w:rPr>
          <w:rFonts w:ascii="Times New Roman" w:hAnsi="Times New Roman"/>
          <w:noProof/>
        </w:rPr>
        <w:t xml:space="preserve"> i spó</w:t>
      </w:r>
      <w:r>
        <w:rPr>
          <w:rFonts w:ascii="Times New Roman" w:hAnsi="Times New Roman"/>
          <w:noProof/>
        </w:rPr>
        <w:t>jnego wdrożenia rozporządzenia</w:t>
      </w:r>
      <w:r w:rsidR="001B0DFF">
        <w:rPr>
          <w:rFonts w:ascii="Times New Roman" w:hAnsi="Times New Roman"/>
          <w:noProof/>
        </w:rPr>
        <w:t xml:space="preserve"> w spr</w:t>
      </w:r>
      <w:r>
        <w:rPr>
          <w:rFonts w:ascii="Times New Roman" w:hAnsi="Times New Roman"/>
          <w:noProof/>
        </w:rPr>
        <w:t>awie sekurytyzacji. Ponadto</w:t>
      </w:r>
      <w:r w:rsidR="001B0DFF">
        <w:rPr>
          <w:rFonts w:ascii="Times New Roman" w:hAnsi="Times New Roman"/>
          <w:noProof/>
        </w:rPr>
        <w:t xml:space="preserve"> w spr</w:t>
      </w:r>
      <w:r>
        <w:rPr>
          <w:rFonts w:ascii="Times New Roman" w:hAnsi="Times New Roman"/>
          <w:noProof/>
        </w:rPr>
        <w:t>awozdaniu Wspólnego Komitetu stwierdzono, że organy nadzoru mają trudności</w:t>
      </w:r>
      <w:r w:rsidR="001B0DFF">
        <w:rPr>
          <w:rFonts w:ascii="Times New Roman" w:hAnsi="Times New Roman"/>
          <w:noProof/>
        </w:rPr>
        <w:t xml:space="preserve"> z dos</w:t>
      </w:r>
      <w:r>
        <w:rPr>
          <w:rFonts w:ascii="Times New Roman" w:hAnsi="Times New Roman"/>
          <w:noProof/>
        </w:rPr>
        <w:t xml:space="preserve">tępem do informacji dotyczących sekurytyzacji prywatnej, ponieważ nie są one udostępniane za pośrednictwem repozytorium sekurytyzacji. </w:t>
      </w:r>
    </w:p>
    <w:p w14:paraId="49997F34" w14:textId="50AFBCF7" w:rsidR="00BD4356" w:rsidRPr="003C0D71" w:rsidRDefault="00BE7676" w:rsidP="00987443">
      <w:pPr>
        <w:jc w:val="both"/>
        <w:rPr>
          <w:rFonts w:ascii="Times New Roman" w:eastAsia="Times New Roman" w:hAnsi="Times New Roman" w:cs="Times New Roman"/>
          <w:noProof/>
        </w:rPr>
      </w:pPr>
      <w:r>
        <w:rPr>
          <w:rFonts w:ascii="Times New Roman" w:hAnsi="Times New Roman"/>
          <w:noProof/>
        </w:rPr>
        <w:t>W ramach konsultacji uczestnicy rynku zgłaszali różnice</w:t>
      </w:r>
      <w:r w:rsidR="001B0DFF">
        <w:rPr>
          <w:rFonts w:ascii="Times New Roman" w:hAnsi="Times New Roman"/>
          <w:noProof/>
        </w:rPr>
        <w:t xml:space="preserve"> w pod</w:t>
      </w:r>
      <w:r>
        <w:rPr>
          <w:rFonts w:ascii="Times New Roman" w:hAnsi="Times New Roman"/>
          <w:noProof/>
        </w:rPr>
        <w:t>ejściach nadzorczych państw członkowskich</w:t>
      </w:r>
      <w:r w:rsidR="001B0DFF">
        <w:rPr>
          <w:rFonts w:ascii="Times New Roman" w:hAnsi="Times New Roman"/>
          <w:noProof/>
        </w:rPr>
        <w:t xml:space="preserve"> i pod</w:t>
      </w:r>
      <w:r>
        <w:rPr>
          <w:rFonts w:ascii="Times New Roman" w:hAnsi="Times New Roman"/>
          <w:noProof/>
        </w:rPr>
        <w:t>kreślali, że może to zwiększać niepewność. Wspomniano, że właściwe organy różnie interpretują rozporządzenie</w:t>
      </w:r>
      <w:r w:rsidR="001B0DFF">
        <w:rPr>
          <w:rFonts w:ascii="Times New Roman" w:hAnsi="Times New Roman"/>
          <w:noProof/>
        </w:rPr>
        <w:t xml:space="preserve"> w spr</w:t>
      </w:r>
      <w:r>
        <w:rPr>
          <w:rFonts w:ascii="Times New Roman" w:hAnsi="Times New Roman"/>
          <w:noProof/>
        </w:rPr>
        <w:t>awie sekurytyzacji</w:t>
      </w:r>
      <w:r w:rsidR="001B0DFF">
        <w:rPr>
          <w:rFonts w:ascii="Times New Roman" w:hAnsi="Times New Roman"/>
          <w:noProof/>
        </w:rPr>
        <w:t xml:space="preserve"> i w róż</w:t>
      </w:r>
      <w:r>
        <w:rPr>
          <w:rFonts w:ascii="Times New Roman" w:hAnsi="Times New Roman"/>
          <w:noProof/>
        </w:rPr>
        <w:t>nym stopniu angażują się</w:t>
      </w:r>
      <w:r w:rsidR="001B0DFF">
        <w:rPr>
          <w:rFonts w:ascii="Times New Roman" w:hAnsi="Times New Roman"/>
          <w:noProof/>
        </w:rPr>
        <w:t xml:space="preserve"> w pro</w:t>
      </w:r>
      <w:r>
        <w:rPr>
          <w:rFonts w:ascii="Times New Roman" w:hAnsi="Times New Roman"/>
          <w:noProof/>
        </w:rPr>
        <w:t xml:space="preserve">ces nadzoru. </w:t>
      </w:r>
    </w:p>
    <w:p w14:paraId="20B1D7EB" w14:textId="5EE32F10" w:rsidR="3246A694" w:rsidRPr="003C0D71" w:rsidRDefault="2603B6C4" w:rsidP="00987443">
      <w:pPr>
        <w:jc w:val="both"/>
        <w:rPr>
          <w:noProof/>
        </w:rPr>
      </w:pPr>
      <w:r>
        <w:rPr>
          <w:rFonts w:ascii="Times New Roman" w:hAnsi="Times New Roman"/>
          <w:noProof/>
        </w:rPr>
        <w:t>Ogólnie rzecz biorąc, zainteresowane strony wezwały do zapewnienia spójności, większej koordynacji między organami nadzoru (biorąc pod uwagę, że</w:t>
      </w:r>
      <w:r w:rsidR="001B0DFF">
        <w:rPr>
          <w:rFonts w:ascii="Times New Roman" w:hAnsi="Times New Roman"/>
          <w:noProof/>
        </w:rPr>
        <w:t xml:space="preserve"> w nad</w:t>
      </w:r>
      <w:r>
        <w:rPr>
          <w:rFonts w:ascii="Times New Roman" w:hAnsi="Times New Roman"/>
          <w:noProof/>
        </w:rPr>
        <w:t>zór nad jedną transakcją zaangażowany jest często szereg właściwych organów)</w:t>
      </w:r>
      <w:r w:rsidR="001B0DFF">
        <w:rPr>
          <w:rFonts w:ascii="Times New Roman" w:hAnsi="Times New Roman"/>
          <w:noProof/>
        </w:rPr>
        <w:t xml:space="preserve"> i pro</w:t>
      </w:r>
      <w:r>
        <w:rPr>
          <w:rFonts w:ascii="Times New Roman" w:hAnsi="Times New Roman"/>
          <w:noProof/>
        </w:rPr>
        <w:t>porcjonalnego podejścia</w:t>
      </w:r>
      <w:r w:rsidR="001B0DFF">
        <w:rPr>
          <w:rFonts w:ascii="Times New Roman" w:hAnsi="Times New Roman"/>
          <w:noProof/>
        </w:rPr>
        <w:t xml:space="preserve"> w cel</w:t>
      </w:r>
      <w:r>
        <w:rPr>
          <w:rFonts w:ascii="Times New Roman" w:hAnsi="Times New Roman"/>
          <w:noProof/>
        </w:rPr>
        <w:t>u uniknięcia stosowania rozbieżnych praktyk. Podkreśliły, że nie są potrzebne żadne dodatkowe wymogi, nawet</w:t>
      </w:r>
      <w:r w:rsidR="001B0DFF">
        <w:rPr>
          <w:rFonts w:ascii="Times New Roman" w:hAnsi="Times New Roman"/>
          <w:noProof/>
        </w:rPr>
        <w:t xml:space="preserve"> w pos</w:t>
      </w:r>
      <w:r>
        <w:rPr>
          <w:rFonts w:ascii="Times New Roman" w:hAnsi="Times New Roman"/>
          <w:noProof/>
        </w:rPr>
        <w:t>taci regulacyjnych standardów technicznych, preferując natomiast, aby Wspólny Komitet Europejskich Urzędów Nadzoru wydał wytyczne dotyczące nadzoru</w:t>
      </w:r>
      <w:r>
        <w:rPr>
          <w:noProof/>
        </w:rPr>
        <w:t>.</w:t>
      </w:r>
    </w:p>
    <w:p w14:paraId="61B506AB" w14:textId="2C8F3681" w:rsidR="00BD4356" w:rsidRPr="003C0D71" w:rsidRDefault="00721A1A" w:rsidP="00987443">
      <w:pPr>
        <w:jc w:val="both"/>
        <w:rPr>
          <w:rFonts w:ascii="Times New Roman" w:eastAsia="Times New Roman" w:hAnsi="Times New Roman" w:cs="Times New Roman"/>
          <w:noProof/>
        </w:rPr>
      </w:pPr>
      <w:r>
        <w:rPr>
          <w:rFonts w:ascii="Times New Roman" w:hAnsi="Times New Roman"/>
          <w:noProof/>
        </w:rPr>
        <w:t>Wreszcie kilka właściwych organów opowiedziało się za wskazaniem wiodącego organu nadzoru, wybranego spośród właściwych organów zajmujących się sekurytyzacją. Ich zdaniem wiodący organ nadzoru koordynowałby wymianę informacji między organami nadzoru,</w:t>
      </w:r>
      <w:r w:rsidR="001B0DFF">
        <w:rPr>
          <w:rFonts w:ascii="Times New Roman" w:hAnsi="Times New Roman"/>
          <w:noProof/>
        </w:rPr>
        <w:t xml:space="preserve"> w szc</w:t>
      </w:r>
      <w:r>
        <w:rPr>
          <w:rFonts w:ascii="Times New Roman" w:hAnsi="Times New Roman"/>
          <w:noProof/>
        </w:rPr>
        <w:t>zególności</w:t>
      </w:r>
      <w:r w:rsidR="001B0DFF">
        <w:rPr>
          <w:rFonts w:ascii="Times New Roman" w:hAnsi="Times New Roman"/>
          <w:noProof/>
        </w:rPr>
        <w:t xml:space="preserve"> w syt</w:t>
      </w:r>
      <w:r>
        <w:rPr>
          <w:rFonts w:ascii="Times New Roman" w:hAnsi="Times New Roman"/>
          <w:noProof/>
        </w:rPr>
        <w:t>uacji, gdy</w:t>
      </w:r>
      <w:r w:rsidR="001B0DFF">
        <w:rPr>
          <w:rFonts w:ascii="Times New Roman" w:hAnsi="Times New Roman"/>
          <w:noProof/>
        </w:rPr>
        <w:t xml:space="preserve"> w spr</w:t>
      </w:r>
      <w:r>
        <w:rPr>
          <w:rFonts w:ascii="Times New Roman" w:hAnsi="Times New Roman"/>
          <w:noProof/>
        </w:rPr>
        <w:t>awdzanie zgodności</w:t>
      </w:r>
      <w:r w:rsidR="001B0DFF">
        <w:rPr>
          <w:rFonts w:ascii="Times New Roman" w:hAnsi="Times New Roman"/>
          <w:noProof/>
        </w:rPr>
        <w:t xml:space="preserve"> z pos</w:t>
      </w:r>
      <w:r>
        <w:rPr>
          <w:rFonts w:ascii="Times New Roman" w:hAnsi="Times New Roman"/>
          <w:noProof/>
        </w:rPr>
        <w:t>zczególnymi wymogami rozporządzenia</w:t>
      </w:r>
      <w:r w:rsidR="001B0DFF">
        <w:rPr>
          <w:rFonts w:ascii="Times New Roman" w:hAnsi="Times New Roman"/>
          <w:noProof/>
        </w:rPr>
        <w:t xml:space="preserve"> w spr</w:t>
      </w:r>
      <w:r>
        <w:rPr>
          <w:rFonts w:ascii="Times New Roman" w:hAnsi="Times New Roman"/>
          <w:noProof/>
        </w:rPr>
        <w:t>awie sekurytyzacji zaangażowane są różne organy nadzoru.</w:t>
      </w:r>
    </w:p>
    <w:p w14:paraId="78CDC614" w14:textId="6F008D50" w:rsidR="00BD4356" w:rsidRPr="003C0D71" w:rsidRDefault="000146AB" w:rsidP="000D4664">
      <w:pPr>
        <w:rPr>
          <w:rFonts w:ascii="Times New Roman" w:hAnsi="Times New Roman" w:cs="Times New Roman"/>
          <w:b/>
          <w:noProof/>
          <w:sz w:val="24"/>
        </w:rPr>
      </w:pPr>
      <w:r>
        <w:rPr>
          <w:rFonts w:ascii="Times New Roman" w:hAnsi="Times New Roman"/>
          <w:b/>
          <w:noProof/>
          <w:sz w:val="24"/>
        </w:rPr>
        <w:t>Ocena Komisji</w:t>
      </w:r>
    </w:p>
    <w:p w14:paraId="0934E60E" w14:textId="00D55645" w:rsidR="00BD4356" w:rsidRPr="003C0D71" w:rsidRDefault="00647E9A" w:rsidP="00E14EB1">
      <w:pPr>
        <w:jc w:val="both"/>
        <w:rPr>
          <w:rFonts w:ascii="Times New Roman" w:eastAsia="Times New Roman" w:hAnsi="Times New Roman" w:cs="Times New Roman"/>
          <w:noProof/>
        </w:rPr>
      </w:pPr>
      <w:r>
        <w:rPr>
          <w:rFonts w:ascii="Times New Roman" w:hAnsi="Times New Roman"/>
          <w:noProof/>
        </w:rPr>
        <w:t>Komisja przyznaje, że właściwe organy mogą potrzebować więcej czasu na zdobycie wystarczającego doświadczenia, częściowo</w:t>
      </w:r>
      <w:r w:rsidR="001B0DFF">
        <w:rPr>
          <w:rFonts w:ascii="Times New Roman" w:hAnsi="Times New Roman"/>
          <w:noProof/>
        </w:rPr>
        <w:t xml:space="preserve"> z pow</w:t>
      </w:r>
      <w:r>
        <w:rPr>
          <w:rFonts w:ascii="Times New Roman" w:hAnsi="Times New Roman"/>
          <w:noProof/>
        </w:rPr>
        <w:t>odu późnego przyjęcia niektórych regulacyjnych standardów technicznych. Niemniej jednak do tej pory nie zgłoszono żadnych poważnych niedociągnięć</w:t>
      </w:r>
      <w:r w:rsidR="001B0DFF">
        <w:rPr>
          <w:rFonts w:ascii="Times New Roman" w:hAnsi="Times New Roman"/>
          <w:noProof/>
        </w:rPr>
        <w:t xml:space="preserve"> w zak</w:t>
      </w:r>
      <w:r>
        <w:rPr>
          <w:rFonts w:ascii="Times New Roman" w:hAnsi="Times New Roman"/>
          <w:noProof/>
        </w:rPr>
        <w:t>resie nadzoru,</w:t>
      </w:r>
      <w:r w:rsidR="001B0DFF">
        <w:rPr>
          <w:rFonts w:ascii="Times New Roman" w:hAnsi="Times New Roman"/>
          <w:noProof/>
        </w:rPr>
        <w:t xml:space="preserve"> a w szc</w:t>
      </w:r>
      <w:r>
        <w:rPr>
          <w:rFonts w:ascii="Times New Roman" w:hAnsi="Times New Roman"/>
          <w:noProof/>
        </w:rPr>
        <w:t>zególności żadnych kwestii wymagających zmiany przepisów. Zdaniem Komisji wynika</w:t>
      </w:r>
      <w:r w:rsidR="001B0DFF">
        <w:rPr>
          <w:rFonts w:ascii="Times New Roman" w:hAnsi="Times New Roman"/>
          <w:noProof/>
        </w:rPr>
        <w:t xml:space="preserve"> z teg</w:t>
      </w:r>
      <w:r>
        <w:rPr>
          <w:rFonts w:ascii="Times New Roman" w:hAnsi="Times New Roman"/>
          <w:noProof/>
        </w:rPr>
        <w:t xml:space="preserve">o, że ramy nadzorcze są zasadniczo adekwatne. </w:t>
      </w:r>
    </w:p>
    <w:p w14:paraId="0301A4EC" w14:textId="2D73C5FF" w:rsidR="00BD4356" w:rsidRPr="003C0D71" w:rsidRDefault="00BD4356" w:rsidP="00E14EB1">
      <w:pPr>
        <w:jc w:val="both"/>
        <w:rPr>
          <w:rFonts w:ascii="Times New Roman" w:eastAsia="Times New Roman" w:hAnsi="Times New Roman" w:cs="Times New Roman"/>
          <w:noProof/>
        </w:rPr>
      </w:pPr>
      <w:r>
        <w:rPr>
          <w:rFonts w:ascii="Times New Roman" w:hAnsi="Times New Roman"/>
          <w:noProof/>
        </w:rPr>
        <w:t>Na obecnym etapie wskazano jednak kilka kwestii,</w:t>
      </w:r>
      <w:r w:rsidR="001B0DFF">
        <w:rPr>
          <w:rFonts w:ascii="Times New Roman" w:hAnsi="Times New Roman"/>
          <w:noProof/>
        </w:rPr>
        <w:t xml:space="preserve"> w prz</w:t>
      </w:r>
      <w:r>
        <w:rPr>
          <w:rFonts w:ascii="Times New Roman" w:hAnsi="Times New Roman"/>
          <w:noProof/>
        </w:rPr>
        <w:t>ypadku których korzystna byłaby większa konwergencja</w:t>
      </w:r>
      <w:r w:rsidR="001B0DFF">
        <w:rPr>
          <w:rFonts w:ascii="Times New Roman" w:hAnsi="Times New Roman"/>
          <w:noProof/>
        </w:rPr>
        <w:t xml:space="preserve"> i wię</w:t>
      </w:r>
      <w:r>
        <w:rPr>
          <w:rFonts w:ascii="Times New Roman" w:hAnsi="Times New Roman"/>
          <w:noProof/>
        </w:rPr>
        <w:t>ksza koordynacja między organami nadzoru. Komisja uważa, że rozbieżne praktyki nadzorcze</w:t>
      </w:r>
      <w:r w:rsidR="001B0DFF">
        <w:rPr>
          <w:rFonts w:ascii="Times New Roman" w:hAnsi="Times New Roman"/>
          <w:noProof/>
        </w:rPr>
        <w:t xml:space="preserve"> i wyn</w:t>
      </w:r>
      <w:r>
        <w:rPr>
          <w:rFonts w:ascii="Times New Roman" w:hAnsi="Times New Roman"/>
          <w:noProof/>
        </w:rPr>
        <w:t>ikający</w:t>
      </w:r>
      <w:r w:rsidR="001B0DFF">
        <w:rPr>
          <w:rFonts w:ascii="Times New Roman" w:hAnsi="Times New Roman"/>
          <w:noProof/>
        </w:rPr>
        <w:t xml:space="preserve"> z nic</w:t>
      </w:r>
      <w:r>
        <w:rPr>
          <w:rFonts w:ascii="Times New Roman" w:hAnsi="Times New Roman"/>
          <w:noProof/>
        </w:rPr>
        <w:t>h brak pewności prawa mogą potencjalnie prowadzić do powstania nierównych warunków działania i są szkodliwe dla rozwoju rynku sekurytyzacji. Należy zapewnić wytyczne, aby zapobiec różnicom</w:t>
      </w:r>
      <w:r w:rsidR="001B0DFF">
        <w:rPr>
          <w:rFonts w:ascii="Times New Roman" w:hAnsi="Times New Roman"/>
          <w:noProof/>
        </w:rPr>
        <w:t xml:space="preserve"> w int</w:t>
      </w:r>
      <w:r>
        <w:rPr>
          <w:rFonts w:ascii="Times New Roman" w:hAnsi="Times New Roman"/>
          <w:noProof/>
        </w:rPr>
        <w:t>erpretacji rozporządzenia</w:t>
      </w:r>
      <w:r w:rsidR="001B0DFF">
        <w:rPr>
          <w:rFonts w:ascii="Times New Roman" w:hAnsi="Times New Roman"/>
          <w:noProof/>
        </w:rPr>
        <w:t xml:space="preserve"> w spr</w:t>
      </w:r>
      <w:r>
        <w:rPr>
          <w:rFonts w:ascii="Times New Roman" w:hAnsi="Times New Roman"/>
          <w:noProof/>
        </w:rPr>
        <w:t>awie sekurytyzacji oraz</w:t>
      </w:r>
      <w:r w:rsidR="001B0DFF">
        <w:rPr>
          <w:rFonts w:ascii="Times New Roman" w:hAnsi="Times New Roman"/>
          <w:noProof/>
        </w:rPr>
        <w:t xml:space="preserve"> w zaa</w:t>
      </w:r>
      <w:r>
        <w:rPr>
          <w:rFonts w:ascii="Times New Roman" w:hAnsi="Times New Roman"/>
          <w:noProof/>
        </w:rPr>
        <w:t>ngażowaniu właściwych organów</w:t>
      </w:r>
      <w:r w:rsidR="001B0DFF">
        <w:rPr>
          <w:rFonts w:ascii="Times New Roman" w:hAnsi="Times New Roman"/>
          <w:noProof/>
        </w:rPr>
        <w:t xml:space="preserve"> w pro</w:t>
      </w:r>
      <w:r>
        <w:rPr>
          <w:rFonts w:ascii="Times New Roman" w:hAnsi="Times New Roman"/>
          <w:noProof/>
        </w:rPr>
        <w:t>ces nadzoru</w:t>
      </w:r>
      <w:r w:rsidR="001B0DFF">
        <w:rPr>
          <w:rFonts w:ascii="Times New Roman" w:hAnsi="Times New Roman"/>
          <w:noProof/>
        </w:rPr>
        <w:t>. W szc</w:t>
      </w:r>
      <w:r>
        <w:rPr>
          <w:rFonts w:ascii="Times New Roman" w:hAnsi="Times New Roman"/>
          <w:noProof/>
        </w:rPr>
        <w:t>zególności należy zapewnić, aby właściwe organy stosowały bardziej zharmonizowane podejście do monitorowania zgodności</w:t>
      </w:r>
      <w:r w:rsidR="001B0DFF">
        <w:rPr>
          <w:rFonts w:ascii="Times New Roman" w:hAnsi="Times New Roman"/>
          <w:noProof/>
        </w:rPr>
        <w:t xml:space="preserve"> z wym</w:t>
      </w:r>
      <w:r>
        <w:rPr>
          <w:rFonts w:ascii="Times New Roman" w:hAnsi="Times New Roman"/>
          <w:noProof/>
        </w:rPr>
        <w:t>ogami STS. Takie wytyczne mógłby przedstawić Wspólny Komitet</w:t>
      </w:r>
      <w:r w:rsidR="001B0DFF">
        <w:rPr>
          <w:rFonts w:ascii="Times New Roman" w:hAnsi="Times New Roman"/>
          <w:noProof/>
        </w:rPr>
        <w:t xml:space="preserve"> w cel</w:t>
      </w:r>
      <w:r>
        <w:rPr>
          <w:rFonts w:ascii="Times New Roman" w:hAnsi="Times New Roman"/>
          <w:noProof/>
        </w:rPr>
        <w:t>u dalszego rozwoju wspólnego rozumienia przepisów, najlepszych praktyk</w:t>
      </w:r>
      <w:r w:rsidR="001B0DFF">
        <w:rPr>
          <w:rFonts w:ascii="Times New Roman" w:hAnsi="Times New Roman"/>
          <w:noProof/>
        </w:rPr>
        <w:t xml:space="preserve"> i nar</w:t>
      </w:r>
      <w:r>
        <w:rPr>
          <w:rFonts w:ascii="Times New Roman" w:hAnsi="Times New Roman"/>
          <w:noProof/>
        </w:rPr>
        <w:t>zędzi nadzorczych, aby zapewnić wspólne podejście nadzorcze na poziomie UE.</w:t>
      </w:r>
    </w:p>
    <w:p w14:paraId="71209ADE" w14:textId="5E9EBCAC" w:rsidR="00970C63" w:rsidRPr="003C0D71" w:rsidRDefault="00BD4356" w:rsidP="00E14EB1">
      <w:pPr>
        <w:jc w:val="both"/>
        <w:rPr>
          <w:rFonts w:ascii="Times New Roman" w:eastAsia="Times New Roman" w:hAnsi="Times New Roman" w:cs="Times New Roman"/>
          <w:noProof/>
        </w:rPr>
      </w:pPr>
      <w:r>
        <w:rPr>
          <w:rFonts w:ascii="Times New Roman" w:hAnsi="Times New Roman"/>
          <w:noProof/>
        </w:rPr>
        <w:t>Komisja jest świadoma, że rynek sekurytyzacji nie jest jednakowo rozwinięty</w:t>
      </w:r>
      <w:r w:rsidR="001B0DFF">
        <w:rPr>
          <w:rFonts w:ascii="Times New Roman" w:hAnsi="Times New Roman"/>
          <w:noProof/>
        </w:rPr>
        <w:t xml:space="preserve"> w cał</w:t>
      </w:r>
      <w:r>
        <w:rPr>
          <w:rFonts w:ascii="Times New Roman" w:hAnsi="Times New Roman"/>
          <w:noProof/>
        </w:rPr>
        <w:t>ej UE i że ma to wpływ na poziom doświadczenia poszczególnych organów nadzoru. Stąd też Komisja zgadza się</w:t>
      </w:r>
      <w:r w:rsidR="001B0DFF">
        <w:rPr>
          <w:rFonts w:ascii="Times New Roman" w:hAnsi="Times New Roman"/>
          <w:noProof/>
        </w:rPr>
        <w:t xml:space="preserve"> z zal</w:t>
      </w:r>
      <w:r>
        <w:rPr>
          <w:rFonts w:ascii="Times New Roman" w:hAnsi="Times New Roman"/>
          <w:noProof/>
        </w:rPr>
        <w:t>eceniem zawartym</w:t>
      </w:r>
      <w:r w:rsidR="001B0DFF">
        <w:rPr>
          <w:rFonts w:ascii="Times New Roman" w:hAnsi="Times New Roman"/>
          <w:noProof/>
        </w:rPr>
        <w:t xml:space="preserve"> w spr</w:t>
      </w:r>
      <w:r>
        <w:rPr>
          <w:rFonts w:ascii="Times New Roman" w:hAnsi="Times New Roman"/>
          <w:noProof/>
        </w:rPr>
        <w:t xml:space="preserve">awozdaniu Wspólnego Komitetu, aby opracować wspólny unijny przewodnik po najlepszych praktykach skierowany do krajowych organów nadzoru. </w:t>
      </w:r>
    </w:p>
    <w:p w14:paraId="0AE22C24" w14:textId="4A404652" w:rsidR="00BD4356" w:rsidRPr="003C0D71" w:rsidRDefault="00970C63" w:rsidP="00E14EB1">
      <w:pPr>
        <w:jc w:val="both"/>
        <w:rPr>
          <w:rFonts w:ascii="Times New Roman" w:eastAsia="Times New Roman" w:hAnsi="Times New Roman" w:cs="Times New Roman"/>
          <w:noProof/>
        </w:rPr>
      </w:pPr>
      <w:r>
        <w:rPr>
          <w:rFonts w:ascii="Times New Roman" w:hAnsi="Times New Roman"/>
          <w:noProof/>
        </w:rPr>
        <w:t>Kolejnym ważnym</w:t>
      </w:r>
      <w:r w:rsidR="001B0DFF">
        <w:rPr>
          <w:rFonts w:ascii="Times New Roman" w:hAnsi="Times New Roman"/>
          <w:noProof/>
        </w:rPr>
        <w:t xml:space="preserve"> i sku</w:t>
      </w:r>
      <w:r>
        <w:rPr>
          <w:rFonts w:ascii="Times New Roman" w:hAnsi="Times New Roman"/>
          <w:noProof/>
        </w:rPr>
        <w:t>tecznym narzędziem zwiększania konwergencji są wzajemne oceny – mogą one być źródłem istotnych informacji na temat różnych praktyk stosowanych przez właściwe organy</w:t>
      </w:r>
      <w:r w:rsidR="001B0DFF">
        <w:rPr>
          <w:rFonts w:ascii="Times New Roman" w:hAnsi="Times New Roman"/>
          <w:noProof/>
        </w:rPr>
        <w:t xml:space="preserve"> w zak</w:t>
      </w:r>
      <w:r>
        <w:rPr>
          <w:rFonts w:ascii="Times New Roman" w:hAnsi="Times New Roman"/>
          <w:noProof/>
        </w:rPr>
        <w:t>resie kryteriów STS zgłoszonych przez zainteresowane strony</w:t>
      </w:r>
      <w:r w:rsidR="001B0DFF">
        <w:rPr>
          <w:rFonts w:ascii="Times New Roman" w:hAnsi="Times New Roman"/>
          <w:noProof/>
        </w:rPr>
        <w:t>. W zwi</w:t>
      </w:r>
      <w:r>
        <w:rPr>
          <w:rFonts w:ascii="Times New Roman" w:hAnsi="Times New Roman"/>
          <w:noProof/>
        </w:rPr>
        <w:t>ązku</w:t>
      </w:r>
      <w:r w:rsidR="001B0DFF">
        <w:rPr>
          <w:rFonts w:ascii="Times New Roman" w:hAnsi="Times New Roman"/>
          <w:noProof/>
        </w:rPr>
        <w:t xml:space="preserve"> z tym</w:t>
      </w:r>
      <w:r>
        <w:rPr>
          <w:rFonts w:ascii="Times New Roman" w:hAnsi="Times New Roman"/>
          <w:noProof/>
        </w:rPr>
        <w:t xml:space="preserve"> Komisja wyraża ubolewanie, że nie przeprowadzono ani nie zaplanowano</w:t>
      </w:r>
      <w:r w:rsidR="001B0DFF">
        <w:rPr>
          <w:rFonts w:ascii="Times New Roman" w:hAnsi="Times New Roman"/>
          <w:noProof/>
        </w:rPr>
        <w:t xml:space="preserve"> w naj</w:t>
      </w:r>
      <w:r>
        <w:rPr>
          <w:rFonts w:ascii="Times New Roman" w:hAnsi="Times New Roman"/>
          <w:noProof/>
        </w:rPr>
        <w:t>bliższej przyszłości wzajemnych ocen</w:t>
      </w:r>
      <w:r w:rsidR="001B0DFF">
        <w:rPr>
          <w:rFonts w:ascii="Times New Roman" w:hAnsi="Times New Roman"/>
          <w:noProof/>
        </w:rPr>
        <w:t xml:space="preserve"> w zak</w:t>
      </w:r>
      <w:r>
        <w:rPr>
          <w:rFonts w:ascii="Times New Roman" w:hAnsi="Times New Roman"/>
          <w:noProof/>
        </w:rPr>
        <w:t>resie wdrażania kryteriów STS, chociaż określono taki obowiązek</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3</w:t>
      </w:r>
      <w:r>
        <w:rPr>
          <w:rFonts w:ascii="Times New Roman" w:hAnsi="Times New Roman"/>
          <w:noProof/>
        </w:rPr>
        <w:t xml:space="preserve">6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awie sekurytyzacji. Proces pytań</w:t>
      </w:r>
      <w:r w:rsidR="001B0DFF">
        <w:rPr>
          <w:rFonts w:ascii="Times New Roman" w:hAnsi="Times New Roman"/>
          <w:noProof/>
        </w:rPr>
        <w:t xml:space="preserve"> i odp</w:t>
      </w:r>
      <w:r>
        <w:rPr>
          <w:rFonts w:ascii="Times New Roman" w:hAnsi="Times New Roman"/>
          <w:noProof/>
        </w:rPr>
        <w:t>owiedzi okazał się skutecznym narzędziem zapewniającym konwergencję</w:t>
      </w:r>
      <w:r w:rsidR="001B0DFF">
        <w:rPr>
          <w:rFonts w:ascii="Times New Roman" w:hAnsi="Times New Roman"/>
          <w:noProof/>
        </w:rPr>
        <w:t xml:space="preserve"> i nal</w:t>
      </w:r>
      <w:r>
        <w:rPr>
          <w:rFonts w:ascii="Times New Roman" w:hAnsi="Times New Roman"/>
          <w:noProof/>
        </w:rPr>
        <w:t xml:space="preserve">eży dopilnować, aby jak najszybciej udzielano odpowiedzi na zadawane pytania. </w:t>
      </w:r>
    </w:p>
    <w:p w14:paraId="21C42471" w14:textId="64F65275" w:rsidR="00BD4356" w:rsidRPr="003C0D71" w:rsidRDefault="00FA34EC" w:rsidP="00E14EB1">
      <w:pPr>
        <w:jc w:val="both"/>
        <w:rPr>
          <w:rFonts w:ascii="Times New Roman" w:eastAsia="Times New Roman" w:hAnsi="Times New Roman" w:cs="Times New Roman"/>
          <w:noProof/>
        </w:rPr>
      </w:pPr>
      <w:r>
        <w:rPr>
          <w:rFonts w:ascii="Times New Roman" w:hAnsi="Times New Roman"/>
          <w:noProof/>
        </w:rPr>
        <w:t>Jak również wskazano</w:t>
      </w:r>
      <w:r w:rsidR="001B0DFF">
        <w:rPr>
          <w:rFonts w:ascii="Times New Roman" w:hAnsi="Times New Roman"/>
          <w:noProof/>
        </w:rPr>
        <w:t xml:space="preserve"> w spr</w:t>
      </w:r>
      <w:r>
        <w:rPr>
          <w:rFonts w:ascii="Times New Roman" w:hAnsi="Times New Roman"/>
          <w:noProof/>
        </w:rPr>
        <w:t>awozdaniu Wspólnego Komitetu</w:t>
      </w:r>
      <w:r w:rsidR="001B0DFF">
        <w:rPr>
          <w:rFonts w:ascii="Times New Roman" w:hAnsi="Times New Roman"/>
          <w:noProof/>
        </w:rPr>
        <w:t xml:space="preserve"> w spr</w:t>
      </w:r>
      <w:r>
        <w:rPr>
          <w:rFonts w:ascii="Times New Roman" w:hAnsi="Times New Roman"/>
          <w:noProof/>
        </w:rPr>
        <w:t>awie wymogów STS, rozdrobnienie odpowiedzialności nadzorczej</w:t>
      </w:r>
      <w:r w:rsidR="001B0DFF">
        <w:rPr>
          <w:rFonts w:ascii="Times New Roman" w:hAnsi="Times New Roman"/>
          <w:noProof/>
        </w:rPr>
        <w:t xml:space="preserve"> w pew</w:t>
      </w:r>
      <w:r>
        <w:rPr>
          <w:rFonts w:ascii="Times New Roman" w:hAnsi="Times New Roman"/>
          <w:noProof/>
        </w:rPr>
        <w:t>nym stopniu utrudnia gromadzenie wiedzy fachowej</w:t>
      </w:r>
      <w:r w:rsidR="001B0DFF">
        <w:rPr>
          <w:rFonts w:ascii="Times New Roman" w:hAnsi="Times New Roman"/>
          <w:noProof/>
        </w:rPr>
        <w:t xml:space="preserve"> i doś</w:t>
      </w:r>
      <w:r>
        <w:rPr>
          <w:rFonts w:ascii="Times New Roman" w:hAnsi="Times New Roman"/>
          <w:noProof/>
        </w:rPr>
        <w:t>wiadczenia</w:t>
      </w:r>
      <w:r w:rsidR="001B0DFF">
        <w:rPr>
          <w:rFonts w:ascii="Times New Roman" w:hAnsi="Times New Roman"/>
          <w:noProof/>
        </w:rPr>
        <w:t xml:space="preserve"> w zak</w:t>
      </w:r>
      <w:r>
        <w:rPr>
          <w:rFonts w:ascii="Times New Roman" w:hAnsi="Times New Roman"/>
          <w:noProof/>
        </w:rPr>
        <w:t>resie nadzoru</w:t>
      </w:r>
      <w:r w:rsidR="001B0DFF">
        <w:rPr>
          <w:rFonts w:ascii="Times New Roman" w:hAnsi="Times New Roman"/>
          <w:noProof/>
        </w:rPr>
        <w:t>. W tym</w:t>
      </w:r>
      <w:r>
        <w:rPr>
          <w:rFonts w:ascii="Times New Roman" w:hAnsi="Times New Roman"/>
          <w:noProof/>
        </w:rPr>
        <w:t xml:space="preserve"> względzie,</w:t>
      </w:r>
      <w:r w:rsidR="001B0DFF">
        <w:rPr>
          <w:rFonts w:ascii="Times New Roman" w:hAnsi="Times New Roman"/>
          <w:noProof/>
        </w:rPr>
        <w:t xml:space="preserve"> w per</w:t>
      </w:r>
      <w:r>
        <w:rPr>
          <w:rFonts w:ascii="Times New Roman" w:hAnsi="Times New Roman"/>
          <w:noProof/>
        </w:rPr>
        <w:t>spektywie długoterminowej, Komisja uważa, że dokładne zbadanie możliwości wprowadzenia wiodącego organu nadzoru byłoby korzystne</w:t>
      </w:r>
      <w:r w:rsidR="001B0DFF">
        <w:rPr>
          <w:rFonts w:ascii="Times New Roman" w:hAnsi="Times New Roman"/>
          <w:noProof/>
        </w:rPr>
        <w:t>. W ram</w:t>
      </w:r>
      <w:r>
        <w:rPr>
          <w:rFonts w:ascii="Times New Roman" w:hAnsi="Times New Roman"/>
          <w:noProof/>
        </w:rPr>
        <w:t>ach tej oceny należy również rozważyć, jakie narzędzie byłoby najwłaściwsze do realizacji tego celu, np. wytyczne dla organów nadzoru, czy zmiana rozporządzenia</w:t>
      </w:r>
      <w:r w:rsidR="001B0DFF">
        <w:rPr>
          <w:rFonts w:ascii="Times New Roman" w:hAnsi="Times New Roman"/>
          <w:noProof/>
        </w:rPr>
        <w:t xml:space="preserve"> w spr</w:t>
      </w:r>
      <w:r>
        <w:rPr>
          <w:rFonts w:ascii="Times New Roman" w:hAnsi="Times New Roman"/>
          <w:noProof/>
        </w:rPr>
        <w:t xml:space="preserve">awie sekurytyzacji. </w:t>
      </w:r>
    </w:p>
    <w:p w14:paraId="7CB6C1D6" w14:textId="348EC4F6" w:rsidR="00B06CA7" w:rsidRPr="003C0D71" w:rsidRDefault="004A6691" w:rsidP="00E14EB1">
      <w:pPr>
        <w:jc w:val="both"/>
        <w:rPr>
          <w:rFonts w:ascii="Times New Roman" w:eastAsia="Times New Roman" w:hAnsi="Times New Roman" w:cs="Times New Roman"/>
          <w:noProof/>
        </w:rPr>
      </w:pPr>
      <w:r>
        <w:rPr>
          <w:rFonts w:ascii="Times New Roman" w:hAnsi="Times New Roman"/>
          <w:noProof/>
        </w:rPr>
        <w:t>Wreszcie, jeśli chodzi</w:t>
      </w:r>
      <w:r w:rsidR="001B0DFF">
        <w:rPr>
          <w:rFonts w:ascii="Times New Roman" w:hAnsi="Times New Roman"/>
          <w:noProof/>
        </w:rPr>
        <w:t xml:space="preserve"> o rze</w:t>
      </w:r>
      <w:r>
        <w:rPr>
          <w:rFonts w:ascii="Times New Roman" w:hAnsi="Times New Roman"/>
          <w:noProof/>
        </w:rPr>
        <w:t>kome trudności organów nadzoru</w:t>
      </w:r>
      <w:r w:rsidR="001B0DFF">
        <w:rPr>
          <w:rFonts w:ascii="Times New Roman" w:hAnsi="Times New Roman"/>
          <w:noProof/>
        </w:rPr>
        <w:t xml:space="preserve"> w dos</w:t>
      </w:r>
      <w:r>
        <w:rPr>
          <w:rFonts w:ascii="Times New Roman" w:hAnsi="Times New Roman"/>
          <w:noProof/>
        </w:rPr>
        <w:t>tępie do informacji na temat sekurytyzacji prywatnych, Komisja zauważa, że wymóg prawny dotyczący udostępniania organowi nadzoru informacji przez stronę sprzedającą zgodnie</w:t>
      </w:r>
      <w:r w:rsidR="001B0DFF">
        <w:rPr>
          <w:rFonts w:ascii="Times New Roman" w:hAnsi="Times New Roman"/>
          <w:noProof/>
        </w:rPr>
        <w:t xml:space="preserve"> z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7</w:t>
      </w:r>
      <w:r>
        <w:rPr>
          <w:rFonts w:ascii="Times New Roman" w:hAnsi="Times New Roman"/>
          <w:noProof/>
        </w:rPr>
        <w:t xml:space="preserve"> nie zawiera rozróżnienia na transakcje prywatne</w:t>
      </w:r>
      <w:r w:rsidR="001B0DFF">
        <w:rPr>
          <w:rFonts w:ascii="Times New Roman" w:hAnsi="Times New Roman"/>
          <w:noProof/>
        </w:rPr>
        <w:t xml:space="preserve"> i pub</w:t>
      </w:r>
      <w:r>
        <w:rPr>
          <w:rFonts w:ascii="Times New Roman" w:hAnsi="Times New Roman"/>
          <w:noProof/>
        </w:rPr>
        <w:t>liczne. Ponadto Komisja jest zdania, że rozporządzenie</w:t>
      </w:r>
      <w:r w:rsidR="001B0DFF">
        <w:rPr>
          <w:rFonts w:ascii="Times New Roman" w:hAnsi="Times New Roman"/>
          <w:noProof/>
        </w:rPr>
        <w:t xml:space="preserve"> w spr</w:t>
      </w:r>
      <w:r>
        <w:rPr>
          <w:rFonts w:ascii="Times New Roman" w:hAnsi="Times New Roman"/>
          <w:noProof/>
        </w:rPr>
        <w:t xml:space="preserve">awie sekurytyzacji przewiduje wszystkie narzędzia nadzorcze, które mogą być potrzebne do egzekwowania tego obowiązku. </w:t>
      </w:r>
    </w:p>
    <w:p w14:paraId="0A373731" w14:textId="77777777" w:rsidR="000A49A7" w:rsidRPr="003C0D71" w:rsidRDefault="009E344D" w:rsidP="004100C8">
      <w:pPr>
        <w:pStyle w:val="Heading1"/>
        <w:rPr>
          <w:rFonts w:ascii="Times New Roman" w:hAnsi="Times New Roman" w:cs="Times New Roman"/>
          <w:noProof/>
          <w:color w:val="auto"/>
        </w:rPr>
      </w:pPr>
      <w:bookmarkStart w:id="77" w:name="_Toc104283080"/>
      <w:bookmarkStart w:id="78" w:name="_Toc104286148"/>
      <w:bookmarkStart w:id="79" w:name="_Toc104297352"/>
      <w:bookmarkStart w:id="80" w:name="_Toc115361602"/>
      <w:r>
        <w:rPr>
          <w:rFonts w:ascii="Times New Roman" w:hAnsi="Times New Roman"/>
          <w:noProof/>
          <w:color w:val="auto"/>
        </w:rPr>
        <w:t>13. Ostrożnościowe podejście do sekurytyzacji</w:t>
      </w:r>
      <w:bookmarkEnd w:id="77"/>
      <w:bookmarkEnd w:id="78"/>
      <w:bookmarkEnd w:id="79"/>
      <w:bookmarkEnd w:id="80"/>
    </w:p>
    <w:p w14:paraId="034CFD70" w14:textId="709E3BE7" w:rsidR="00C2333B" w:rsidRPr="003C0D71" w:rsidRDefault="00C2333B" w:rsidP="00C2333B">
      <w:pPr>
        <w:jc w:val="both"/>
        <w:rPr>
          <w:rFonts w:ascii="Times New Roman" w:eastAsia="Times New Roman" w:hAnsi="Times New Roman" w:cs="Times New Roman"/>
          <w:noProof/>
        </w:rPr>
      </w:pPr>
      <w:r>
        <w:rPr>
          <w:rFonts w:ascii="Times New Roman" w:hAnsi="Times New Roman"/>
          <w:noProof/>
        </w:rPr>
        <w:t>Zgodnie</w:t>
      </w:r>
      <w:r w:rsidR="001B0DFF">
        <w:rPr>
          <w:rFonts w:ascii="Times New Roman" w:hAnsi="Times New Roman"/>
          <w:noProof/>
        </w:rPr>
        <w:t xml:space="preserve"> z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5</w:t>
      </w:r>
      <w:r>
        <w:rPr>
          <w:rFonts w:ascii="Times New Roman" w:hAnsi="Times New Roman"/>
          <w:noProof/>
        </w:rPr>
        <w:t xml:space="preserve">19 </w:t>
      </w:r>
      <w:r w:rsidRPr="001B0DFF">
        <w:rPr>
          <w:rFonts w:ascii="Times New Roman" w:hAnsi="Times New Roman"/>
          <w:noProof/>
        </w:rPr>
        <w:t>lit.</w:t>
      </w:r>
      <w:r w:rsidR="001B0DFF" w:rsidRPr="001B0DFF">
        <w:rPr>
          <w:rFonts w:ascii="Times New Roman" w:hAnsi="Times New Roman"/>
          <w:noProof/>
        </w:rPr>
        <w:t> </w:t>
      </w:r>
      <w:r w:rsidRPr="001B0DFF">
        <w:rPr>
          <w:rFonts w:ascii="Times New Roman" w:hAnsi="Times New Roman"/>
          <w:noProof/>
        </w:rPr>
        <w:t>a)</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awie wymogów kapitałowych (CRR) Komisja jest zobowiązana do przedstawienia współustawodawcom sprawozdania ze stosowania niektórych przepisów części tego rozporządzenia dotyczącej sekurytyzacji „w świetle rozwoju sytuacji na rynkach sekurytyzacyjnych,</w:t>
      </w:r>
      <w:r w:rsidR="001B0DFF">
        <w:rPr>
          <w:rFonts w:ascii="Times New Roman" w:hAnsi="Times New Roman"/>
          <w:noProof/>
        </w:rPr>
        <w:t xml:space="preserve"> w tym z per</w:t>
      </w:r>
      <w:r>
        <w:rPr>
          <w:rFonts w:ascii="Times New Roman" w:hAnsi="Times New Roman"/>
          <w:noProof/>
        </w:rPr>
        <w:t>spektywy makroostrożnościowej</w:t>
      </w:r>
      <w:r w:rsidR="001B0DFF">
        <w:rPr>
          <w:rFonts w:ascii="Times New Roman" w:hAnsi="Times New Roman"/>
          <w:noProof/>
        </w:rPr>
        <w:t xml:space="preserve"> i eko</w:t>
      </w:r>
      <w:r>
        <w:rPr>
          <w:rFonts w:ascii="Times New Roman" w:hAnsi="Times New Roman"/>
          <w:noProof/>
        </w:rPr>
        <w:t>nomicznej”</w:t>
      </w:r>
      <w:r w:rsidR="001B0DFF">
        <w:rPr>
          <w:rFonts w:ascii="Times New Roman" w:hAnsi="Times New Roman"/>
          <w:noProof/>
        </w:rPr>
        <w:t>. W sto</w:t>
      </w:r>
      <w:r>
        <w:rPr>
          <w:rFonts w:ascii="Times New Roman" w:hAnsi="Times New Roman"/>
          <w:noProof/>
        </w:rPr>
        <w:t>sownych przypadkach sprawozdaniu powinien towarzyszyć wniosek ustawodawczy. Przygotowując takie sprawozdanie, Komisja uznała za stosowne przeprowadzenie szerokiej oceny funkcjonowania ram ostrożnościowych</w:t>
      </w:r>
      <w:r w:rsidR="001B0DFF">
        <w:rPr>
          <w:rFonts w:ascii="Times New Roman" w:hAnsi="Times New Roman"/>
          <w:noProof/>
        </w:rPr>
        <w:t xml:space="preserve"> w zak</w:t>
      </w:r>
      <w:r>
        <w:rPr>
          <w:rFonts w:ascii="Times New Roman" w:hAnsi="Times New Roman"/>
          <w:noProof/>
        </w:rPr>
        <w:t>resie sekurytyzacji jako całości,</w:t>
      </w:r>
      <w:r w:rsidR="001B0DFF">
        <w:rPr>
          <w:rFonts w:ascii="Times New Roman" w:hAnsi="Times New Roman"/>
          <w:noProof/>
        </w:rPr>
        <w:t xml:space="preserve"> w świ</w:t>
      </w:r>
      <w:r>
        <w:rPr>
          <w:rFonts w:ascii="Times New Roman" w:hAnsi="Times New Roman"/>
          <w:noProof/>
        </w:rPr>
        <w:t>etle trudnych warunków rynkowych</w:t>
      </w:r>
      <w:r w:rsidR="001B0DFF">
        <w:rPr>
          <w:rFonts w:ascii="Times New Roman" w:hAnsi="Times New Roman"/>
          <w:noProof/>
        </w:rPr>
        <w:t xml:space="preserve"> w ost</w:t>
      </w:r>
      <w:r>
        <w:rPr>
          <w:rFonts w:ascii="Times New Roman" w:hAnsi="Times New Roman"/>
          <w:noProof/>
        </w:rPr>
        <w:t xml:space="preserve">atnich latach. </w:t>
      </w:r>
    </w:p>
    <w:p w14:paraId="3BA372BA" w14:textId="034A12F2" w:rsidR="00363206" w:rsidRPr="003C0D71" w:rsidRDefault="00363206" w:rsidP="00363206">
      <w:pPr>
        <w:rPr>
          <w:rFonts w:ascii="Times New Roman" w:hAnsi="Times New Roman" w:cs="Times New Roman"/>
          <w:b/>
          <w:i/>
          <w:noProof/>
          <w:sz w:val="24"/>
        </w:rPr>
      </w:pPr>
      <w:r>
        <w:rPr>
          <w:rFonts w:ascii="Times New Roman" w:hAnsi="Times New Roman"/>
          <w:b/>
          <w:i/>
          <w:noProof/>
          <w:sz w:val="24"/>
        </w:rPr>
        <w:t>Wniosek</w:t>
      </w:r>
      <w:r w:rsidR="001B0DFF">
        <w:rPr>
          <w:rFonts w:ascii="Times New Roman" w:hAnsi="Times New Roman"/>
          <w:b/>
          <w:i/>
          <w:noProof/>
          <w:sz w:val="24"/>
        </w:rPr>
        <w:t xml:space="preserve"> o prz</w:t>
      </w:r>
      <w:r>
        <w:rPr>
          <w:rFonts w:ascii="Times New Roman" w:hAnsi="Times New Roman"/>
          <w:b/>
          <w:i/>
          <w:noProof/>
          <w:sz w:val="24"/>
        </w:rPr>
        <w:t>edstawienie opinii</w:t>
      </w:r>
    </w:p>
    <w:p w14:paraId="08751687" w14:textId="7688BD14" w:rsidR="000A49A7" w:rsidRPr="003C0D71" w:rsidRDefault="00C2333B" w:rsidP="00EE5635">
      <w:pPr>
        <w:jc w:val="both"/>
        <w:rPr>
          <w:rFonts w:ascii="Times New Roman" w:eastAsia="Times New Roman" w:hAnsi="Times New Roman" w:cs="Times New Roman"/>
          <w:noProof/>
        </w:rPr>
      </w:pPr>
      <w:r>
        <w:rPr>
          <w:rFonts w:ascii="Times New Roman" w:hAnsi="Times New Roman"/>
          <w:noProof/>
        </w:rPr>
        <w:t>W tym kontekście konsultacje obejmowały różne pytania dotyczące funkcjonowania unijnych ram ostrożnościowych</w:t>
      </w:r>
      <w:r w:rsidR="001B0DFF">
        <w:rPr>
          <w:rFonts w:ascii="Times New Roman" w:hAnsi="Times New Roman"/>
          <w:noProof/>
        </w:rPr>
        <w:t xml:space="preserve"> w zak</w:t>
      </w:r>
      <w:r>
        <w:rPr>
          <w:rFonts w:ascii="Times New Roman" w:hAnsi="Times New Roman"/>
          <w:noProof/>
        </w:rPr>
        <w:t>resie sekurytyzacji. Ponadto 17 października 20</w:t>
      </w:r>
      <w:r w:rsidRPr="001B0DFF">
        <w:rPr>
          <w:rFonts w:ascii="Times New Roman" w:hAnsi="Times New Roman"/>
          <w:noProof/>
        </w:rPr>
        <w:t>21</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Komisja skierowała do Wspólnego Komitetu Europejskich Urzędów Nadzoru wniosek</w:t>
      </w:r>
      <w:r w:rsidR="001B0DFF">
        <w:rPr>
          <w:rFonts w:ascii="Times New Roman" w:hAnsi="Times New Roman"/>
          <w:noProof/>
        </w:rPr>
        <w:t xml:space="preserve"> o prz</w:t>
      </w:r>
      <w:r>
        <w:rPr>
          <w:rFonts w:ascii="Times New Roman" w:hAnsi="Times New Roman"/>
          <w:noProof/>
        </w:rPr>
        <w:t>edstawienie opinii,</w:t>
      </w:r>
      <w:r w:rsidR="001B0DFF">
        <w:rPr>
          <w:rFonts w:ascii="Times New Roman" w:hAnsi="Times New Roman"/>
          <w:noProof/>
        </w:rPr>
        <w:t xml:space="preserve"> w któ</w:t>
      </w:r>
      <w:r>
        <w:rPr>
          <w:rFonts w:ascii="Times New Roman" w:hAnsi="Times New Roman"/>
          <w:noProof/>
        </w:rPr>
        <w:t>rym zwróciła się</w:t>
      </w:r>
      <w:r w:rsidR="001B0DFF">
        <w:rPr>
          <w:rFonts w:ascii="Times New Roman" w:hAnsi="Times New Roman"/>
          <w:noProof/>
        </w:rPr>
        <w:t xml:space="preserve"> o oce</w:t>
      </w:r>
      <w:r>
        <w:rPr>
          <w:rFonts w:ascii="Times New Roman" w:hAnsi="Times New Roman"/>
          <w:noProof/>
        </w:rPr>
        <w:t>nę, czy ramy ostrożnościowe</w:t>
      </w:r>
      <w:r w:rsidR="001B0DFF">
        <w:rPr>
          <w:rFonts w:ascii="Times New Roman" w:hAnsi="Times New Roman"/>
          <w:noProof/>
        </w:rPr>
        <w:t xml:space="preserve"> w zak</w:t>
      </w:r>
      <w:r>
        <w:rPr>
          <w:rFonts w:ascii="Times New Roman" w:hAnsi="Times New Roman"/>
          <w:noProof/>
        </w:rPr>
        <w:t>resie sekurytyzacji spełniły swój zamierzony cel, jakim jest wsparcie ożywienia unijnego rynku sekurytyzacji przy jednoczesnym zachowaniu odpowiedniego poziomu ostrożności. Wspólny Komitet poproszono</w:t>
      </w:r>
      <w:r w:rsidR="001B0DFF">
        <w:rPr>
          <w:rFonts w:ascii="Times New Roman" w:hAnsi="Times New Roman"/>
          <w:noProof/>
        </w:rPr>
        <w:t xml:space="preserve"> o prz</w:t>
      </w:r>
      <w:r>
        <w:rPr>
          <w:rFonts w:ascii="Times New Roman" w:hAnsi="Times New Roman"/>
          <w:noProof/>
        </w:rPr>
        <w:t xml:space="preserve">edstawienie opinii </w:t>
      </w:r>
      <w:r w:rsidRPr="001B0DFF">
        <w:rPr>
          <w:rFonts w:ascii="Times New Roman" w:hAnsi="Times New Roman"/>
          <w:noProof/>
        </w:rPr>
        <w:t>do</w:t>
      </w:r>
      <w:r w:rsidR="001B0DFF" w:rsidRPr="001B0DFF">
        <w:rPr>
          <w:rFonts w:ascii="Times New Roman" w:hAnsi="Times New Roman"/>
          <w:noProof/>
        </w:rPr>
        <w:t> </w:t>
      </w:r>
      <w:r w:rsidRPr="001B0DFF">
        <w:rPr>
          <w:rFonts w:ascii="Times New Roman" w:hAnsi="Times New Roman"/>
          <w:noProof/>
        </w:rPr>
        <w:t>1</w:t>
      </w:r>
      <w:r>
        <w:rPr>
          <w:rFonts w:ascii="Times New Roman" w:hAnsi="Times New Roman"/>
          <w:noProof/>
        </w:rPr>
        <w:t xml:space="preserve"> września 20</w:t>
      </w:r>
      <w:r w:rsidRPr="001B0DFF">
        <w:rPr>
          <w:rFonts w:ascii="Times New Roman" w:hAnsi="Times New Roman"/>
          <w:noProof/>
        </w:rPr>
        <w:t>22</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w:t>
      </w:r>
    </w:p>
    <w:p w14:paraId="0EEDF211" w14:textId="1AA626CC" w:rsidR="00B305D5" w:rsidRPr="003C0D71" w:rsidDel="00B305D5" w:rsidRDefault="00B305D5" w:rsidP="00B305D5">
      <w:pPr>
        <w:jc w:val="both"/>
        <w:rPr>
          <w:rFonts w:ascii="Times New Roman" w:eastAsia="Times New Roman" w:hAnsi="Times New Roman" w:cs="Times New Roman"/>
          <w:noProof/>
        </w:rPr>
      </w:pPr>
      <w:r>
        <w:rPr>
          <w:rFonts w:ascii="Times New Roman" w:hAnsi="Times New Roman"/>
          <w:noProof/>
        </w:rPr>
        <w:t>Komisja ocenia również stosowność kalibracji wymogów kapitałowych dotyczących inwestycji</w:t>
      </w:r>
      <w:r w:rsidR="001B0DFF">
        <w:rPr>
          <w:rFonts w:ascii="Times New Roman" w:hAnsi="Times New Roman"/>
          <w:noProof/>
        </w:rPr>
        <w:t xml:space="preserve"> w tra</w:t>
      </w:r>
      <w:r>
        <w:rPr>
          <w:rFonts w:ascii="Times New Roman" w:hAnsi="Times New Roman"/>
          <w:noProof/>
        </w:rPr>
        <w:t>nsze sekurytyzacyjne dokonywanych przez zakłady ubezpieczeń</w:t>
      </w:r>
      <w:r w:rsidR="001B0DFF">
        <w:rPr>
          <w:rFonts w:ascii="Times New Roman" w:hAnsi="Times New Roman"/>
          <w:noProof/>
        </w:rPr>
        <w:t xml:space="preserve"> i zak</w:t>
      </w:r>
      <w:r>
        <w:rPr>
          <w:rFonts w:ascii="Times New Roman" w:hAnsi="Times New Roman"/>
          <w:noProof/>
        </w:rPr>
        <w:t>łady reasekuracji. Kwestie te stanowiły również część wspomnianych konsultacji</w:t>
      </w:r>
      <w:r w:rsidR="001B0DFF">
        <w:rPr>
          <w:rFonts w:ascii="Times New Roman" w:hAnsi="Times New Roman"/>
          <w:noProof/>
        </w:rPr>
        <w:t xml:space="preserve"> i wni</w:t>
      </w:r>
      <w:r>
        <w:rPr>
          <w:rFonts w:ascii="Times New Roman" w:hAnsi="Times New Roman"/>
          <w:noProof/>
        </w:rPr>
        <w:t>osku</w:t>
      </w:r>
      <w:r w:rsidR="001B0DFF">
        <w:rPr>
          <w:rFonts w:ascii="Times New Roman" w:hAnsi="Times New Roman"/>
          <w:noProof/>
        </w:rPr>
        <w:t xml:space="preserve"> o prz</w:t>
      </w:r>
      <w:r>
        <w:rPr>
          <w:rFonts w:ascii="Times New Roman" w:hAnsi="Times New Roman"/>
          <w:noProof/>
        </w:rPr>
        <w:t xml:space="preserve">edstawienie opinii skierowanego do Wspólnego Komitetu Europejskich Urzędów Nadzoru. </w:t>
      </w:r>
    </w:p>
    <w:p w14:paraId="596C326B" w14:textId="66A9C092" w:rsidR="00C2333B" w:rsidRPr="003C0D71" w:rsidRDefault="00C2333B" w:rsidP="00C2333B">
      <w:pPr>
        <w:jc w:val="both"/>
        <w:rPr>
          <w:rFonts w:ascii="Times New Roman" w:eastAsia="Times New Roman" w:hAnsi="Times New Roman" w:cs="Times New Roman"/>
          <w:noProof/>
        </w:rPr>
      </w:pPr>
      <w:r>
        <w:rPr>
          <w:rFonts w:ascii="Times New Roman" w:hAnsi="Times New Roman"/>
          <w:noProof/>
        </w:rPr>
        <w:t>Komisja będzie oczekiwać na opinie</w:t>
      </w:r>
      <w:r w:rsidR="001B0DFF">
        <w:rPr>
          <w:rFonts w:ascii="Times New Roman" w:hAnsi="Times New Roman"/>
          <w:noProof/>
        </w:rPr>
        <w:t xml:space="preserve"> i zal</w:t>
      </w:r>
      <w:r>
        <w:rPr>
          <w:rFonts w:ascii="Times New Roman" w:hAnsi="Times New Roman"/>
          <w:noProof/>
        </w:rPr>
        <w:t>ecenia Wspólnego Komitetu. Po uwzględnieniu opinii</w:t>
      </w:r>
      <w:r w:rsidR="001B0DFF">
        <w:rPr>
          <w:rFonts w:ascii="Times New Roman" w:hAnsi="Times New Roman"/>
          <w:noProof/>
        </w:rPr>
        <w:t xml:space="preserve"> i inf</w:t>
      </w:r>
      <w:r>
        <w:rPr>
          <w:rFonts w:ascii="Times New Roman" w:hAnsi="Times New Roman"/>
          <w:noProof/>
        </w:rPr>
        <w:t>ormacji zwrotnych otrzymanych</w:t>
      </w:r>
      <w:r w:rsidR="001B0DFF">
        <w:rPr>
          <w:rFonts w:ascii="Times New Roman" w:hAnsi="Times New Roman"/>
          <w:noProof/>
        </w:rPr>
        <w:t xml:space="preserve"> w ram</w:t>
      </w:r>
      <w:r>
        <w:rPr>
          <w:rFonts w:ascii="Times New Roman" w:hAnsi="Times New Roman"/>
          <w:noProof/>
        </w:rPr>
        <w:t>ach konsultacji Komisja oceni stosowność</w:t>
      </w:r>
      <w:r w:rsidR="001B0DFF">
        <w:rPr>
          <w:rFonts w:ascii="Times New Roman" w:hAnsi="Times New Roman"/>
          <w:noProof/>
        </w:rPr>
        <w:t xml:space="preserve"> i pra</w:t>
      </w:r>
      <w:r>
        <w:rPr>
          <w:rFonts w:ascii="Times New Roman" w:hAnsi="Times New Roman"/>
          <w:noProof/>
        </w:rPr>
        <w:t>ktyczność ewentualnych zmian</w:t>
      </w:r>
      <w:r w:rsidR="001B0DFF">
        <w:rPr>
          <w:rFonts w:ascii="Times New Roman" w:hAnsi="Times New Roman"/>
          <w:noProof/>
        </w:rPr>
        <w:t xml:space="preserve"> w ram</w:t>
      </w:r>
      <w:r>
        <w:rPr>
          <w:rFonts w:ascii="Times New Roman" w:hAnsi="Times New Roman"/>
          <w:noProof/>
        </w:rPr>
        <w:t>ach ostrożnościowych</w:t>
      </w:r>
      <w:r w:rsidR="001B0DFF">
        <w:rPr>
          <w:rFonts w:ascii="Times New Roman" w:hAnsi="Times New Roman"/>
          <w:noProof/>
        </w:rPr>
        <w:t xml:space="preserve"> w zak</w:t>
      </w:r>
      <w:r>
        <w:rPr>
          <w:rFonts w:ascii="Times New Roman" w:hAnsi="Times New Roman"/>
          <w:noProof/>
        </w:rPr>
        <w:t>resie sekurytyzacji.</w:t>
      </w:r>
    </w:p>
    <w:p w14:paraId="2348F134" w14:textId="307BCC7A" w:rsidR="00A5153D" w:rsidRPr="003C0D71" w:rsidRDefault="000A49A7" w:rsidP="00C2333B">
      <w:pPr>
        <w:rPr>
          <w:rFonts w:ascii="Times New Roman" w:hAnsi="Times New Roman" w:cs="Times New Roman"/>
          <w:b/>
          <w:i/>
          <w:noProof/>
          <w:sz w:val="24"/>
        </w:rPr>
      </w:pPr>
      <w:r>
        <w:rPr>
          <w:rFonts w:ascii="Times New Roman" w:hAnsi="Times New Roman"/>
          <w:b/>
          <w:i/>
          <w:noProof/>
          <w:sz w:val="24"/>
        </w:rPr>
        <w:t>Przeniesienie istotnej części ryzyka</w:t>
      </w:r>
    </w:p>
    <w:p w14:paraId="405A2B96" w14:textId="07771777" w:rsidR="000A49A7" w:rsidRPr="003C0D71" w:rsidRDefault="000A49A7" w:rsidP="00EE5635">
      <w:pPr>
        <w:jc w:val="both"/>
        <w:rPr>
          <w:rFonts w:ascii="Times New Roman" w:eastAsia="Times New Roman" w:hAnsi="Times New Roman" w:cs="Times New Roman"/>
          <w:noProof/>
        </w:rPr>
      </w:pPr>
      <w:r>
        <w:rPr>
          <w:rFonts w:ascii="Times New Roman" w:hAnsi="Times New Roman"/>
          <w:noProof/>
        </w:rPr>
        <w:t>Jednym</w:t>
      </w:r>
      <w:r w:rsidR="001B0DFF">
        <w:rPr>
          <w:rFonts w:ascii="Times New Roman" w:hAnsi="Times New Roman"/>
          <w:noProof/>
        </w:rPr>
        <w:t xml:space="preserve"> z głó</w:t>
      </w:r>
      <w:r>
        <w:rPr>
          <w:rFonts w:ascii="Times New Roman" w:hAnsi="Times New Roman"/>
          <w:noProof/>
        </w:rPr>
        <w:t>wnych celów leżących</w:t>
      </w:r>
      <w:r w:rsidR="001B0DFF">
        <w:rPr>
          <w:rFonts w:ascii="Times New Roman" w:hAnsi="Times New Roman"/>
          <w:noProof/>
        </w:rPr>
        <w:t xml:space="preserve"> u pod</w:t>
      </w:r>
      <w:r>
        <w:rPr>
          <w:rFonts w:ascii="Times New Roman" w:hAnsi="Times New Roman"/>
          <w:noProof/>
        </w:rPr>
        <w:t>staw sekurytyzacji</w:t>
      </w:r>
      <w:r w:rsidR="001B0DFF">
        <w:rPr>
          <w:rFonts w:ascii="Times New Roman" w:hAnsi="Times New Roman"/>
          <w:noProof/>
        </w:rPr>
        <w:t xml:space="preserve"> z per</w:t>
      </w:r>
      <w:r>
        <w:rPr>
          <w:rFonts w:ascii="Times New Roman" w:hAnsi="Times New Roman"/>
          <w:noProof/>
        </w:rPr>
        <w:t>spektywy jednostki inicjującej jest uzyskanie ulgi kapitałowej</w:t>
      </w:r>
      <w:r w:rsidR="001B0DFF">
        <w:rPr>
          <w:rFonts w:ascii="Times New Roman" w:hAnsi="Times New Roman"/>
          <w:noProof/>
        </w:rPr>
        <w:t xml:space="preserve"> w odn</w:t>
      </w:r>
      <w:r>
        <w:rPr>
          <w:rFonts w:ascii="Times New Roman" w:hAnsi="Times New Roman"/>
          <w:noProof/>
        </w:rPr>
        <w:t>iesieniu do portfela aktywów sekurytyzowanych</w:t>
      </w:r>
      <w:r w:rsidR="001B0DFF">
        <w:rPr>
          <w:rFonts w:ascii="Times New Roman" w:hAnsi="Times New Roman"/>
          <w:noProof/>
        </w:rPr>
        <w:t xml:space="preserve"> w por</w:t>
      </w:r>
      <w:r>
        <w:rPr>
          <w:rFonts w:ascii="Times New Roman" w:hAnsi="Times New Roman"/>
          <w:noProof/>
        </w:rPr>
        <w:t>ównaniu</w:t>
      </w:r>
      <w:r w:rsidR="001B0DFF">
        <w:rPr>
          <w:rFonts w:ascii="Times New Roman" w:hAnsi="Times New Roman"/>
          <w:noProof/>
        </w:rPr>
        <w:t xml:space="preserve"> z kwo</w:t>
      </w:r>
      <w:r>
        <w:rPr>
          <w:rFonts w:ascii="Times New Roman" w:hAnsi="Times New Roman"/>
          <w:noProof/>
        </w:rPr>
        <w:t>tą kapitału regulacyjnego, którą jednostka inicjująca musi posiadać</w:t>
      </w:r>
      <w:r w:rsidR="001B0DFF">
        <w:rPr>
          <w:rFonts w:ascii="Times New Roman" w:hAnsi="Times New Roman"/>
          <w:noProof/>
        </w:rPr>
        <w:t xml:space="preserve"> w odn</w:t>
      </w:r>
      <w:r>
        <w:rPr>
          <w:rFonts w:ascii="Times New Roman" w:hAnsi="Times New Roman"/>
          <w:noProof/>
        </w:rPr>
        <w:t>iesieniu do tego samego portfela przed przeprowadzeniem sekurytyzacji.</w:t>
      </w:r>
    </w:p>
    <w:p w14:paraId="5E46EF35" w14:textId="641113DF" w:rsidR="000A49A7" w:rsidRPr="003C0D71" w:rsidRDefault="00A3256D" w:rsidP="00EE5635">
      <w:pPr>
        <w:jc w:val="both"/>
        <w:rPr>
          <w:rFonts w:ascii="Times New Roman" w:eastAsia="Times New Roman" w:hAnsi="Times New Roman" w:cs="Times New Roman"/>
          <w:noProof/>
        </w:rPr>
      </w:pPr>
      <w:r>
        <w:rPr>
          <w:rFonts w:ascii="Times New Roman" w:hAnsi="Times New Roman"/>
          <w:noProof/>
        </w:rPr>
        <w:t>Uzyskanie ulgi kapitałowej podlega różnym warunkom ilościowym</w:t>
      </w:r>
      <w:r w:rsidR="001B0DFF">
        <w:rPr>
          <w:rFonts w:ascii="Times New Roman" w:hAnsi="Times New Roman"/>
          <w:noProof/>
        </w:rPr>
        <w:t xml:space="preserve"> i jak</w:t>
      </w:r>
      <w:r>
        <w:rPr>
          <w:rFonts w:ascii="Times New Roman" w:hAnsi="Times New Roman"/>
          <w:noProof/>
        </w:rPr>
        <w:t>ościowym,</w:t>
      </w:r>
      <w:r w:rsidR="001B0DFF">
        <w:rPr>
          <w:rFonts w:ascii="Times New Roman" w:hAnsi="Times New Roman"/>
          <w:noProof/>
        </w:rPr>
        <w:t xml:space="preserve"> o któ</w:t>
      </w:r>
      <w:r>
        <w:rPr>
          <w:rFonts w:ascii="Times New Roman" w:hAnsi="Times New Roman"/>
          <w:noProof/>
        </w:rPr>
        <w:t>rych mowa</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2</w:t>
      </w:r>
      <w:r>
        <w:rPr>
          <w:rFonts w:ascii="Times New Roman" w:hAnsi="Times New Roman"/>
          <w:noProof/>
        </w:rPr>
        <w:t>44</w:t>
      </w:r>
      <w:r w:rsidR="001B0DFF">
        <w:rPr>
          <w:rFonts w:ascii="Times New Roman" w:hAnsi="Times New Roman"/>
          <w:noProof/>
        </w:rPr>
        <w:t xml:space="preserve"> i 2</w:t>
      </w:r>
      <w:r>
        <w:rPr>
          <w:rFonts w:ascii="Times New Roman" w:hAnsi="Times New Roman"/>
          <w:noProof/>
        </w:rPr>
        <w:t>45 rozporządzenia</w:t>
      </w:r>
      <w:r w:rsidR="001B0DFF">
        <w:rPr>
          <w:rFonts w:ascii="Times New Roman" w:hAnsi="Times New Roman"/>
          <w:noProof/>
        </w:rPr>
        <w:t xml:space="preserve"> w spr</w:t>
      </w:r>
      <w:r>
        <w:rPr>
          <w:rFonts w:ascii="Times New Roman" w:hAnsi="Times New Roman"/>
          <w:noProof/>
        </w:rPr>
        <w:t>awie wymogów kapitałowych („ramy przeniesienia istotnej części ryzyka”), które zapewniają, aby jednostka inicjująca nie ponosiła istotnego ryzyka niedokapitalizowania</w:t>
      </w:r>
      <w:r w:rsidR="001B0DFF">
        <w:rPr>
          <w:rFonts w:ascii="Times New Roman" w:hAnsi="Times New Roman"/>
          <w:noProof/>
        </w:rPr>
        <w:t xml:space="preserve"> w odn</w:t>
      </w:r>
      <w:r>
        <w:rPr>
          <w:rFonts w:ascii="Times New Roman" w:hAnsi="Times New Roman"/>
          <w:noProof/>
        </w:rPr>
        <w:t>iesieniu do portfela aktywów sekurytyzowanych. Właściwe organy muszą zatem ocenić, czy sekurytyzacje,</w:t>
      </w:r>
      <w:r w:rsidR="001B0DFF">
        <w:rPr>
          <w:rFonts w:ascii="Times New Roman" w:hAnsi="Times New Roman"/>
          <w:noProof/>
        </w:rPr>
        <w:t xml:space="preserve"> w odn</w:t>
      </w:r>
      <w:r>
        <w:rPr>
          <w:rFonts w:ascii="Times New Roman" w:hAnsi="Times New Roman"/>
          <w:noProof/>
        </w:rPr>
        <w:t>iesieniu do których jednostki inicjujące starają się</w:t>
      </w:r>
      <w:r w:rsidR="001B0DFF">
        <w:rPr>
          <w:rFonts w:ascii="Times New Roman" w:hAnsi="Times New Roman"/>
          <w:noProof/>
        </w:rPr>
        <w:t xml:space="preserve"> o ulg</w:t>
      </w:r>
      <w:r>
        <w:rPr>
          <w:rFonts w:ascii="Times New Roman" w:hAnsi="Times New Roman"/>
          <w:noProof/>
        </w:rPr>
        <w:t>ę kapitałową, spełniają warunki dotyczące przeniesienia istotnej części ryzyka określone</w:t>
      </w:r>
      <w:r w:rsidR="001B0DFF">
        <w:rPr>
          <w:rFonts w:ascii="Times New Roman" w:hAnsi="Times New Roman"/>
          <w:noProof/>
        </w:rPr>
        <w:t xml:space="preserve"> w tyc</w:t>
      </w:r>
      <w:r>
        <w:rPr>
          <w:rFonts w:ascii="Times New Roman" w:hAnsi="Times New Roman"/>
          <w:noProof/>
        </w:rPr>
        <w:t xml:space="preserve">h artykułach. </w:t>
      </w:r>
    </w:p>
    <w:p w14:paraId="6253BCA9" w14:textId="3A913B2A" w:rsidR="00C2333B" w:rsidRPr="003C0D71" w:rsidRDefault="00C2333B" w:rsidP="00C2333B">
      <w:pPr>
        <w:jc w:val="both"/>
        <w:rPr>
          <w:rFonts w:ascii="Times New Roman" w:eastAsia="Times New Roman" w:hAnsi="Times New Roman" w:cs="Times New Roman"/>
          <w:noProof/>
        </w:rPr>
      </w:pPr>
      <w:r>
        <w:rPr>
          <w:rFonts w:ascii="Times New Roman" w:hAnsi="Times New Roman"/>
          <w:noProof/>
        </w:rPr>
        <w:t>Ramy przeniesienia istotnej części ryzyka mają zatem zasadnicze znaczenie dla zagwarantowania bezpieczeństwa</w:t>
      </w:r>
      <w:r w:rsidR="001B0DFF">
        <w:rPr>
          <w:rFonts w:ascii="Times New Roman" w:hAnsi="Times New Roman"/>
          <w:noProof/>
        </w:rPr>
        <w:t xml:space="preserve"> i dob</w:t>
      </w:r>
      <w:r>
        <w:rPr>
          <w:rFonts w:ascii="Times New Roman" w:hAnsi="Times New Roman"/>
          <w:noProof/>
        </w:rPr>
        <w:t xml:space="preserve">rej kondycji jednostek inicjujących będących bankami, jak również dla zwiększania ogólnego zaufania do rynku. </w:t>
      </w:r>
    </w:p>
    <w:p w14:paraId="41799BA0" w14:textId="4DC13E32" w:rsidR="00C2333B" w:rsidRPr="003C0D71" w:rsidRDefault="00C2333B" w:rsidP="00C2333B">
      <w:pPr>
        <w:jc w:val="both"/>
        <w:rPr>
          <w:rFonts w:ascii="Times New Roman" w:eastAsia="Times New Roman" w:hAnsi="Times New Roman" w:cs="Times New Roman"/>
          <w:noProof/>
        </w:rPr>
      </w:pPr>
      <w:r>
        <w:rPr>
          <w:rFonts w:ascii="Times New Roman" w:hAnsi="Times New Roman"/>
          <w:noProof/>
        </w:rPr>
        <w:t>W swoim sprawozdaniu</w:t>
      </w:r>
      <w:r w:rsidR="001B0DFF">
        <w:rPr>
          <w:rFonts w:ascii="Times New Roman" w:hAnsi="Times New Roman"/>
          <w:noProof/>
        </w:rPr>
        <w:t xml:space="preserve"> z 2</w:t>
      </w:r>
      <w:r>
        <w:rPr>
          <w:rFonts w:ascii="Times New Roman" w:hAnsi="Times New Roman"/>
          <w:noProof/>
        </w:rPr>
        <w:t>3 listopada 20</w:t>
      </w:r>
      <w:r w:rsidRPr="001B0DFF">
        <w:rPr>
          <w:rFonts w:ascii="Times New Roman" w:hAnsi="Times New Roman"/>
          <w:noProof/>
        </w:rPr>
        <w:t>20</w:t>
      </w:r>
      <w:r w:rsidR="001B0DFF" w:rsidRPr="001B0DFF">
        <w:rPr>
          <w:rFonts w:ascii="Times New Roman" w:hAnsi="Times New Roman"/>
          <w:noProof/>
        </w:rPr>
        <w:t> </w:t>
      </w:r>
      <w:r w:rsidRPr="001B0DFF">
        <w:rPr>
          <w:rFonts w:ascii="Times New Roman" w:hAnsi="Times New Roman"/>
          <w:noProof/>
        </w:rPr>
        <w:t>r.</w:t>
      </w:r>
      <w:r>
        <w:rPr>
          <w:rStyle w:val="FootnoteReference"/>
          <w:rFonts w:ascii="Times New Roman" w:eastAsia="Times New Roman" w:hAnsi="Times New Roman" w:cs="Times New Roman"/>
          <w:noProof/>
        </w:rPr>
        <w:footnoteReference w:id="37"/>
      </w:r>
      <w:r>
        <w:rPr>
          <w:rFonts w:ascii="Times New Roman" w:hAnsi="Times New Roman"/>
          <w:noProof/>
        </w:rPr>
        <w:t xml:space="preserve"> EUNB przedstawił Komisji szereg zaleceń dotyczących harmonizacji praktyk</w:t>
      </w:r>
      <w:r w:rsidR="001B0DFF">
        <w:rPr>
          <w:rFonts w:ascii="Times New Roman" w:hAnsi="Times New Roman"/>
          <w:noProof/>
        </w:rPr>
        <w:t xml:space="preserve"> i pro</w:t>
      </w:r>
      <w:r>
        <w:rPr>
          <w:rFonts w:ascii="Times New Roman" w:hAnsi="Times New Roman"/>
          <w:noProof/>
        </w:rPr>
        <w:t>cesów oceny przeniesienia istotnej części ryzyka. EUNB uwzględnił również zalecenia dotyczące uproszczenia</w:t>
      </w:r>
      <w:r w:rsidR="001B0DFF">
        <w:rPr>
          <w:rFonts w:ascii="Times New Roman" w:hAnsi="Times New Roman"/>
          <w:noProof/>
        </w:rPr>
        <w:t xml:space="preserve"> i udo</w:t>
      </w:r>
      <w:r>
        <w:rPr>
          <w:rFonts w:ascii="Times New Roman" w:hAnsi="Times New Roman"/>
          <w:noProof/>
        </w:rPr>
        <w:t>skonalenia testów przeniesienia istotnej części ryzyka określonych</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2</w:t>
      </w:r>
      <w:r>
        <w:rPr>
          <w:rFonts w:ascii="Times New Roman" w:hAnsi="Times New Roman"/>
          <w:noProof/>
        </w:rPr>
        <w:t>45</w:t>
      </w:r>
      <w:r w:rsidR="001B0DFF">
        <w:rPr>
          <w:rFonts w:ascii="Times New Roman" w:hAnsi="Times New Roman"/>
          <w:noProof/>
        </w:rPr>
        <w:t xml:space="preserve"> i 2</w:t>
      </w:r>
      <w:r>
        <w:rPr>
          <w:rFonts w:ascii="Times New Roman" w:hAnsi="Times New Roman"/>
          <w:noProof/>
        </w:rPr>
        <w:t>46 rozporządzenia</w:t>
      </w:r>
      <w:r w:rsidR="001B0DFF">
        <w:rPr>
          <w:rFonts w:ascii="Times New Roman" w:hAnsi="Times New Roman"/>
          <w:noProof/>
        </w:rPr>
        <w:t xml:space="preserve"> w spr</w:t>
      </w:r>
      <w:r>
        <w:rPr>
          <w:rFonts w:ascii="Times New Roman" w:hAnsi="Times New Roman"/>
          <w:noProof/>
        </w:rPr>
        <w:t>awie wymogów kapitałowych.</w:t>
      </w:r>
    </w:p>
    <w:p w14:paraId="7154291B" w14:textId="70BC2AF0" w:rsidR="00C2333B" w:rsidRPr="003C0D71" w:rsidRDefault="00C2333B" w:rsidP="00C2333B">
      <w:pPr>
        <w:jc w:val="both"/>
        <w:rPr>
          <w:rFonts w:ascii="Times New Roman" w:eastAsia="Times New Roman" w:hAnsi="Times New Roman" w:cs="Times New Roman"/>
          <w:noProof/>
        </w:rPr>
      </w:pPr>
      <w:r>
        <w:rPr>
          <w:rFonts w:ascii="Times New Roman" w:hAnsi="Times New Roman"/>
          <w:noProof/>
        </w:rPr>
        <w:t>Przedstawiciele sektora zwrócili uwagę, że ramy przeniesienia istotnej części ryzyka stwarzają szereg przeszkód dla sprawnego</w:t>
      </w:r>
      <w:r w:rsidR="001B0DFF">
        <w:rPr>
          <w:rFonts w:ascii="Times New Roman" w:hAnsi="Times New Roman"/>
          <w:noProof/>
        </w:rPr>
        <w:t xml:space="preserve"> i sku</w:t>
      </w:r>
      <w:r>
        <w:rPr>
          <w:rFonts w:ascii="Times New Roman" w:hAnsi="Times New Roman"/>
          <w:noProof/>
        </w:rPr>
        <w:t>tecznego funkcjonowania rynku sekurytyzacji,</w:t>
      </w:r>
      <w:r w:rsidR="001B0DFF">
        <w:rPr>
          <w:rFonts w:ascii="Times New Roman" w:hAnsi="Times New Roman"/>
          <w:noProof/>
        </w:rPr>
        <w:t xml:space="preserve"> i opo</w:t>
      </w:r>
      <w:r>
        <w:rPr>
          <w:rFonts w:ascii="Times New Roman" w:hAnsi="Times New Roman"/>
          <w:noProof/>
        </w:rPr>
        <w:t>wiedzieli się za stosowaniem tych ram</w:t>
      </w:r>
      <w:r w:rsidR="001B0DFF">
        <w:rPr>
          <w:rFonts w:ascii="Times New Roman" w:hAnsi="Times New Roman"/>
          <w:noProof/>
        </w:rPr>
        <w:t xml:space="preserve"> w spo</w:t>
      </w:r>
      <w:r>
        <w:rPr>
          <w:rFonts w:ascii="Times New Roman" w:hAnsi="Times New Roman"/>
          <w:noProof/>
        </w:rPr>
        <w:t>sób bardziej przejrzysty, spójny</w:t>
      </w:r>
      <w:r w:rsidR="001B0DFF">
        <w:rPr>
          <w:rFonts w:ascii="Times New Roman" w:hAnsi="Times New Roman"/>
          <w:noProof/>
        </w:rPr>
        <w:t xml:space="preserve"> i sku</w:t>
      </w:r>
      <w:r>
        <w:rPr>
          <w:rFonts w:ascii="Times New Roman" w:hAnsi="Times New Roman"/>
          <w:noProof/>
        </w:rPr>
        <w:t>teczny</w:t>
      </w:r>
      <w:r w:rsidR="001B0DFF">
        <w:rPr>
          <w:rFonts w:ascii="Times New Roman" w:hAnsi="Times New Roman"/>
          <w:noProof/>
        </w:rPr>
        <w:t>. W ram</w:t>
      </w:r>
      <w:r>
        <w:rPr>
          <w:rFonts w:ascii="Times New Roman" w:hAnsi="Times New Roman"/>
          <w:noProof/>
        </w:rPr>
        <w:t>ach konsultacji Komisja zebrała od przedstawicieli sektora informacje zwrotne na temat wybranych aspektów sprawozdania EUNB</w:t>
      </w:r>
      <w:r w:rsidR="001B0DFF">
        <w:rPr>
          <w:rFonts w:ascii="Times New Roman" w:hAnsi="Times New Roman"/>
          <w:noProof/>
        </w:rPr>
        <w:t xml:space="preserve"> w spr</w:t>
      </w:r>
      <w:r>
        <w:rPr>
          <w:rFonts w:ascii="Times New Roman" w:hAnsi="Times New Roman"/>
          <w:noProof/>
        </w:rPr>
        <w:t xml:space="preserve">awie przeniesienia istotnej części ryzyka. </w:t>
      </w:r>
    </w:p>
    <w:p w14:paraId="44B9E4CC" w14:textId="31DA9CA6" w:rsidR="00DA16A7" w:rsidRPr="003C0D71" w:rsidRDefault="00C2333B" w:rsidP="00C2333B">
      <w:pPr>
        <w:jc w:val="both"/>
        <w:rPr>
          <w:rFonts w:ascii="Times New Roman" w:eastAsia="Times New Roman" w:hAnsi="Times New Roman" w:cs="Times New Roman"/>
          <w:noProof/>
        </w:rPr>
      </w:pPr>
      <w:r>
        <w:rPr>
          <w:rFonts w:ascii="Times New Roman" w:hAnsi="Times New Roman"/>
          <w:noProof/>
        </w:rPr>
        <w:t>W świetle zaleceń EUNB</w:t>
      </w:r>
      <w:r w:rsidR="001B0DFF">
        <w:rPr>
          <w:rFonts w:ascii="Times New Roman" w:hAnsi="Times New Roman"/>
          <w:noProof/>
        </w:rPr>
        <w:t xml:space="preserve"> i inf</w:t>
      </w:r>
      <w:r>
        <w:rPr>
          <w:rFonts w:ascii="Times New Roman" w:hAnsi="Times New Roman"/>
          <w:noProof/>
        </w:rPr>
        <w:t>ormacji zwrotnych od przedstawicieli sektora Komisja rozważa obecnie stosowność</w:t>
      </w:r>
      <w:r w:rsidR="001B0DFF">
        <w:rPr>
          <w:rFonts w:ascii="Times New Roman" w:hAnsi="Times New Roman"/>
          <w:noProof/>
        </w:rPr>
        <w:t xml:space="preserve"> i pra</w:t>
      </w:r>
      <w:r>
        <w:rPr>
          <w:rFonts w:ascii="Times New Roman" w:hAnsi="Times New Roman"/>
          <w:noProof/>
        </w:rPr>
        <w:t>ktyczność wykorzystania uprawnień określonych</w:t>
      </w:r>
      <w:r w:rsidR="001B0DFF">
        <w:rPr>
          <w:rFonts w:ascii="Times New Roman" w:hAnsi="Times New Roman"/>
          <w:noProof/>
        </w:rPr>
        <w:t xml:space="preserve"> w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2</w:t>
      </w:r>
      <w:r>
        <w:rPr>
          <w:rFonts w:ascii="Times New Roman" w:hAnsi="Times New Roman"/>
          <w:noProof/>
        </w:rPr>
        <w:t xml:space="preserve">44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6</w:t>
      </w:r>
      <w:r w:rsidR="001B0DFF">
        <w:rPr>
          <w:rFonts w:ascii="Times New Roman" w:hAnsi="Times New Roman"/>
          <w:noProof/>
        </w:rPr>
        <w:t xml:space="preserve"> i </w:t>
      </w:r>
      <w:r w:rsidR="001B0DFF" w:rsidRPr="001B0DFF">
        <w:rPr>
          <w:rFonts w:ascii="Times New Roman" w:hAnsi="Times New Roman"/>
          <w:noProof/>
        </w:rPr>
        <w:t>art</w:t>
      </w:r>
      <w:r w:rsidRPr="001B0DFF">
        <w:rPr>
          <w:rFonts w:ascii="Times New Roman" w:hAnsi="Times New Roman"/>
          <w:noProof/>
        </w:rPr>
        <w:t>.</w:t>
      </w:r>
      <w:r w:rsidR="001B0DFF" w:rsidRPr="001B0DFF">
        <w:rPr>
          <w:rFonts w:ascii="Times New Roman" w:hAnsi="Times New Roman"/>
          <w:noProof/>
        </w:rPr>
        <w:t> </w:t>
      </w:r>
      <w:r w:rsidRPr="001B0DFF">
        <w:rPr>
          <w:rFonts w:ascii="Times New Roman" w:hAnsi="Times New Roman"/>
          <w:noProof/>
        </w:rPr>
        <w:t>2</w:t>
      </w:r>
      <w:r>
        <w:rPr>
          <w:rFonts w:ascii="Times New Roman" w:hAnsi="Times New Roman"/>
          <w:noProof/>
        </w:rPr>
        <w:t xml:space="preserve">45 </w:t>
      </w:r>
      <w:r w:rsidRPr="001B0DFF">
        <w:rPr>
          <w:rFonts w:ascii="Times New Roman" w:hAnsi="Times New Roman"/>
          <w:noProof/>
        </w:rPr>
        <w:t>ust.</w:t>
      </w:r>
      <w:r w:rsidR="001B0DFF" w:rsidRPr="001B0DFF">
        <w:rPr>
          <w:rFonts w:ascii="Times New Roman" w:hAnsi="Times New Roman"/>
          <w:noProof/>
        </w:rPr>
        <w:t> </w:t>
      </w:r>
      <w:r w:rsidRPr="001B0DFF">
        <w:rPr>
          <w:rFonts w:ascii="Times New Roman" w:hAnsi="Times New Roman"/>
          <w:noProof/>
        </w:rPr>
        <w:t>6</w:t>
      </w:r>
      <w:r>
        <w:rPr>
          <w:rFonts w:ascii="Times New Roman" w:hAnsi="Times New Roman"/>
          <w:noProof/>
        </w:rPr>
        <w:t xml:space="preserve"> rozporządzenia</w:t>
      </w:r>
      <w:r w:rsidR="001B0DFF">
        <w:rPr>
          <w:rFonts w:ascii="Times New Roman" w:hAnsi="Times New Roman"/>
          <w:noProof/>
        </w:rPr>
        <w:t xml:space="preserve"> w spr</w:t>
      </w:r>
      <w:r>
        <w:rPr>
          <w:rFonts w:ascii="Times New Roman" w:hAnsi="Times New Roman"/>
          <w:noProof/>
        </w:rPr>
        <w:t>awie wymogów kapitałowych</w:t>
      </w:r>
      <w:r w:rsidR="001B0DFF">
        <w:rPr>
          <w:rFonts w:ascii="Times New Roman" w:hAnsi="Times New Roman"/>
          <w:noProof/>
        </w:rPr>
        <w:t xml:space="preserve"> w cel</w:t>
      </w:r>
      <w:r>
        <w:rPr>
          <w:rFonts w:ascii="Times New Roman" w:hAnsi="Times New Roman"/>
          <w:noProof/>
        </w:rPr>
        <w:t>u zwiększenia harmonizacji ram przeniesienia istotnej części ryzyka, aby uczynić je bardziej skutecznymi, przejrzystymi</w:t>
      </w:r>
      <w:r w:rsidR="001B0DFF">
        <w:rPr>
          <w:rFonts w:ascii="Times New Roman" w:hAnsi="Times New Roman"/>
          <w:noProof/>
        </w:rPr>
        <w:t xml:space="preserve"> i spó</w:t>
      </w:r>
      <w:r>
        <w:rPr>
          <w:rFonts w:ascii="Times New Roman" w:hAnsi="Times New Roman"/>
          <w:noProof/>
        </w:rPr>
        <w:t>jnymi.</w:t>
      </w:r>
    </w:p>
    <w:p w14:paraId="2A8B46D8" w14:textId="77777777" w:rsidR="00C75810" w:rsidRPr="003C0D71" w:rsidRDefault="00363206" w:rsidP="00363206">
      <w:pPr>
        <w:pStyle w:val="Heading1"/>
        <w:rPr>
          <w:rFonts w:ascii="Times New Roman" w:hAnsi="Times New Roman" w:cs="Times New Roman"/>
          <w:noProof/>
          <w:color w:val="auto"/>
        </w:rPr>
      </w:pPr>
      <w:bookmarkStart w:id="81" w:name="_Toc104283081"/>
      <w:bookmarkStart w:id="82" w:name="_Toc104286149"/>
      <w:bookmarkStart w:id="83" w:name="_Toc104297353"/>
      <w:bookmarkStart w:id="84" w:name="_Toc115361603"/>
      <w:r>
        <w:rPr>
          <w:rFonts w:ascii="Times New Roman" w:hAnsi="Times New Roman"/>
          <w:noProof/>
          <w:color w:val="auto"/>
        </w:rPr>
        <w:t>14. Wnioski</w:t>
      </w:r>
      <w:bookmarkEnd w:id="81"/>
      <w:bookmarkEnd w:id="82"/>
      <w:bookmarkEnd w:id="83"/>
      <w:bookmarkEnd w:id="84"/>
    </w:p>
    <w:p w14:paraId="3C29930D" w14:textId="0FE45B5F" w:rsidR="004100C8" w:rsidRPr="003C0D71" w:rsidRDefault="004100C8" w:rsidP="004100C8">
      <w:pPr>
        <w:jc w:val="both"/>
        <w:rPr>
          <w:rFonts w:ascii="Times New Roman" w:eastAsia="Calibri" w:hAnsi="Times New Roman" w:cs="Times New Roman"/>
          <w:noProof/>
        </w:rPr>
      </w:pPr>
      <w:r>
        <w:rPr>
          <w:rFonts w:ascii="Times New Roman" w:hAnsi="Times New Roman"/>
          <w:noProof/>
        </w:rPr>
        <w:t>Nowe unijne ramy sekurytyzacji zaczęły obowiązywać dopiero</w:t>
      </w:r>
      <w:r w:rsidR="001B0DFF">
        <w:rPr>
          <w:rFonts w:ascii="Times New Roman" w:hAnsi="Times New Roman"/>
          <w:noProof/>
        </w:rPr>
        <w:t xml:space="preserve"> w 2</w:t>
      </w:r>
      <w:r>
        <w:rPr>
          <w:rFonts w:ascii="Times New Roman" w:hAnsi="Times New Roman"/>
          <w:noProof/>
        </w:rPr>
        <w:t>0</w:t>
      </w:r>
      <w:r w:rsidRPr="001B0DFF">
        <w:rPr>
          <w:rFonts w:ascii="Times New Roman" w:hAnsi="Times New Roman"/>
          <w:noProof/>
        </w:rPr>
        <w:t>19</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w:t>
      </w:r>
      <w:r w:rsidR="001B0DFF">
        <w:rPr>
          <w:rFonts w:ascii="Times New Roman" w:hAnsi="Times New Roman"/>
          <w:noProof/>
        </w:rPr>
        <w:t xml:space="preserve"> a nie</w:t>
      </w:r>
      <w:r>
        <w:rPr>
          <w:rFonts w:ascii="Times New Roman" w:hAnsi="Times New Roman"/>
          <w:noProof/>
        </w:rPr>
        <w:t>które nowe elementy dodano dopiero</w:t>
      </w:r>
      <w:r w:rsidR="001B0DFF">
        <w:rPr>
          <w:rFonts w:ascii="Times New Roman" w:hAnsi="Times New Roman"/>
          <w:noProof/>
        </w:rPr>
        <w:t xml:space="preserve"> w kwi</w:t>
      </w:r>
      <w:r>
        <w:rPr>
          <w:rFonts w:ascii="Times New Roman" w:hAnsi="Times New Roman"/>
          <w:noProof/>
        </w:rPr>
        <w:t>etniu 20</w:t>
      </w:r>
      <w:r w:rsidRPr="001B0DFF">
        <w:rPr>
          <w:rFonts w:ascii="Times New Roman" w:hAnsi="Times New Roman"/>
          <w:noProof/>
        </w:rPr>
        <w:t>21</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xml:space="preserve"> Pełne wdrażanie ram nadal trwa,</w:t>
      </w:r>
      <w:r w:rsidR="001B0DFF">
        <w:rPr>
          <w:rFonts w:ascii="Times New Roman" w:hAnsi="Times New Roman"/>
          <w:noProof/>
        </w:rPr>
        <w:t xml:space="preserve"> a kil</w:t>
      </w:r>
      <w:r>
        <w:rPr>
          <w:rFonts w:ascii="Times New Roman" w:hAnsi="Times New Roman"/>
          <w:noProof/>
        </w:rPr>
        <w:t>ka regulacyjnych standardów technicznych jest jeszcze na etapie opracowywania. Podobnie, jak wynika na przykład</w:t>
      </w:r>
      <w:r w:rsidR="001B0DFF">
        <w:rPr>
          <w:rFonts w:ascii="Times New Roman" w:hAnsi="Times New Roman"/>
          <w:noProof/>
        </w:rPr>
        <w:t xml:space="preserve"> z pyt</w:t>
      </w:r>
      <w:r>
        <w:rPr>
          <w:rFonts w:ascii="Times New Roman" w:hAnsi="Times New Roman"/>
          <w:noProof/>
        </w:rPr>
        <w:t>ań dotyczących zakresu jurysdykcji, zarówno uczestnicy rynku, jak</w:t>
      </w:r>
      <w:r w:rsidR="001B0DFF">
        <w:rPr>
          <w:rFonts w:ascii="Times New Roman" w:hAnsi="Times New Roman"/>
          <w:noProof/>
        </w:rPr>
        <w:t xml:space="preserve"> i org</w:t>
      </w:r>
      <w:r>
        <w:rPr>
          <w:rFonts w:ascii="Times New Roman" w:hAnsi="Times New Roman"/>
          <w:noProof/>
        </w:rPr>
        <w:t>any nadzoru nadal pracują nad zastosowaniem przepisów prawnych</w:t>
      </w:r>
      <w:r w:rsidR="001B0DFF">
        <w:rPr>
          <w:rFonts w:ascii="Times New Roman" w:hAnsi="Times New Roman"/>
          <w:noProof/>
        </w:rPr>
        <w:t xml:space="preserve"> w pra</w:t>
      </w:r>
      <w:r>
        <w:rPr>
          <w:rFonts w:ascii="Times New Roman" w:hAnsi="Times New Roman"/>
          <w:noProof/>
        </w:rPr>
        <w:t xml:space="preserve">ktyce. </w:t>
      </w:r>
    </w:p>
    <w:p w14:paraId="21FB379C" w14:textId="16520A4F" w:rsidR="004100C8" w:rsidRPr="003C0D71" w:rsidRDefault="004100C8" w:rsidP="004100C8">
      <w:pPr>
        <w:jc w:val="both"/>
        <w:rPr>
          <w:rFonts w:ascii="Times New Roman" w:eastAsia="Calibri" w:hAnsi="Times New Roman" w:cs="Times New Roman"/>
          <w:noProof/>
        </w:rPr>
      </w:pPr>
      <w:r>
        <w:rPr>
          <w:rFonts w:ascii="Times New Roman" w:hAnsi="Times New Roman"/>
          <w:noProof/>
        </w:rPr>
        <w:t>Komisja uważa więc, że potrzeba więcej czasu, aby</w:t>
      </w:r>
      <w:r w:rsidR="001B0DFF">
        <w:rPr>
          <w:rFonts w:ascii="Times New Roman" w:hAnsi="Times New Roman"/>
          <w:noProof/>
        </w:rPr>
        <w:t xml:space="preserve"> w peł</w:t>
      </w:r>
      <w:r>
        <w:rPr>
          <w:rFonts w:ascii="Times New Roman" w:hAnsi="Times New Roman"/>
          <w:noProof/>
        </w:rPr>
        <w:t>ni zrozumieć skutki nowych ram sekurytyzacji. Jest to tym bardziej istotne, że nadzwyczajne czynniki zewnętrzne, takie jak pandemia COVID-19, oraz akomodacyjna polityka pieniężna banków centralnych</w:t>
      </w:r>
      <w:r w:rsidR="001B0DFF">
        <w:rPr>
          <w:rFonts w:ascii="Times New Roman" w:hAnsi="Times New Roman"/>
          <w:noProof/>
        </w:rPr>
        <w:t xml:space="preserve"> w tym</w:t>
      </w:r>
      <w:r>
        <w:rPr>
          <w:rFonts w:ascii="Times New Roman" w:hAnsi="Times New Roman"/>
          <w:noProof/>
        </w:rPr>
        <w:t xml:space="preserve"> okresie mogły odegrać znaczącą rolę</w:t>
      </w:r>
      <w:r w:rsidR="001B0DFF">
        <w:rPr>
          <w:rFonts w:ascii="Times New Roman" w:hAnsi="Times New Roman"/>
          <w:noProof/>
        </w:rPr>
        <w:t xml:space="preserve"> w roz</w:t>
      </w:r>
      <w:r>
        <w:rPr>
          <w:rFonts w:ascii="Times New Roman" w:hAnsi="Times New Roman"/>
          <w:noProof/>
        </w:rPr>
        <w:t>woju lub braku rozwoju unijnego rynku sekurytyzacji po wejściu</w:t>
      </w:r>
      <w:r w:rsidR="001B0DFF">
        <w:rPr>
          <w:rFonts w:ascii="Times New Roman" w:hAnsi="Times New Roman"/>
          <w:noProof/>
        </w:rPr>
        <w:t xml:space="preserve"> w życ</w:t>
      </w:r>
      <w:r>
        <w:rPr>
          <w:rFonts w:ascii="Times New Roman" w:hAnsi="Times New Roman"/>
          <w:noProof/>
        </w:rPr>
        <w:t xml:space="preserve">ie nowych ram. </w:t>
      </w:r>
    </w:p>
    <w:p w14:paraId="3D912600" w14:textId="3CC30E70" w:rsidR="004100C8" w:rsidRPr="003C0D71" w:rsidRDefault="004100C8" w:rsidP="004100C8">
      <w:pPr>
        <w:jc w:val="both"/>
        <w:rPr>
          <w:rFonts w:ascii="Times New Roman" w:eastAsia="Calibri" w:hAnsi="Times New Roman" w:cs="Times New Roman"/>
          <w:noProof/>
        </w:rPr>
      </w:pPr>
      <w:r>
        <w:rPr>
          <w:rFonts w:ascii="Times New Roman" w:hAnsi="Times New Roman"/>
          <w:noProof/>
        </w:rPr>
        <w:t>Mimo to ten wynikający</w:t>
      </w:r>
      <w:r w:rsidR="001B0DFF">
        <w:rPr>
          <w:rFonts w:ascii="Times New Roman" w:hAnsi="Times New Roman"/>
          <w:noProof/>
        </w:rPr>
        <w:t xml:space="preserve"> z obo</w:t>
      </w:r>
      <w:r>
        <w:rPr>
          <w:rFonts w:ascii="Times New Roman" w:hAnsi="Times New Roman"/>
          <w:noProof/>
        </w:rPr>
        <w:t>wiązku prawnego przegląd jest dobrą okazją do opracowania wstępnego podsumowania</w:t>
      </w:r>
      <w:r w:rsidR="001B0DFF">
        <w:rPr>
          <w:rFonts w:ascii="Times New Roman" w:hAnsi="Times New Roman"/>
          <w:noProof/>
        </w:rPr>
        <w:t xml:space="preserve"> i ust</w:t>
      </w:r>
      <w:r>
        <w:rPr>
          <w:rFonts w:ascii="Times New Roman" w:hAnsi="Times New Roman"/>
          <w:noProof/>
        </w:rPr>
        <w:t>alenia, czy istnieją obszary, które wymagają natychmiastowego działania. Biorąc pod uwagę wszystkie otrzymane uwagi, Komisja uważa, że rozporządzenie</w:t>
      </w:r>
      <w:r w:rsidR="001B0DFF">
        <w:rPr>
          <w:rFonts w:ascii="Times New Roman" w:hAnsi="Times New Roman"/>
          <w:noProof/>
        </w:rPr>
        <w:t xml:space="preserve"> w spr</w:t>
      </w:r>
      <w:r>
        <w:rPr>
          <w:rFonts w:ascii="Times New Roman" w:hAnsi="Times New Roman"/>
          <w:noProof/>
        </w:rPr>
        <w:t>awie sekurytyzacji</w:t>
      </w:r>
      <w:r w:rsidR="001B0DFF">
        <w:rPr>
          <w:rFonts w:ascii="Times New Roman" w:hAnsi="Times New Roman"/>
          <w:noProof/>
        </w:rPr>
        <w:t xml:space="preserve"> w zna</w:t>
      </w:r>
      <w:r>
        <w:rPr>
          <w:rFonts w:ascii="Times New Roman" w:hAnsi="Times New Roman"/>
          <w:noProof/>
        </w:rPr>
        <w:t>cznym stopniu przyczynia się do osiągnięcia podstawowego celu przepisów</w:t>
      </w:r>
      <w:r w:rsidR="001B0DFF">
        <w:rPr>
          <w:rFonts w:ascii="Times New Roman" w:hAnsi="Times New Roman"/>
          <w:noProof/>
        </w:rPr>
        <w:t xml:space="preserve"> z 2</w:t>
      </w:r>
      <w:r>
        <w:rPr>
          <w:rFonts w:ascii="Times New Roman" w:hAnsi="Times New Roman"/>
          <w:noProof/>
        </w:rPr>
        <w:t>0</w:t>
      </w:r>
      <w:r w:rsidRPr="001B0DFF">
        <w:rPr>
          <w:rFonts w:ascii="Times New Roman" w:hAnsi="Times New Roman"/>
          <w:noProof/>
        </w:rPr>
        <w:t>17</w:t>
      </w:r>
      <w:r w:rsidR="001B0DFF" w:rsidRPr="001B0DFF">
        <w:rPr>
          <w:rFonts w:ascii="Times New Roman" w:hAnsi="Times New Roman"/>
          <w:noProof/>
        </w:rPr>
        <w:t> </w:t>
      </w:r>
      <w:r w:rsidRPr="001B0DFF">
        <w:rPr>
          <w:rFonts w:ascii="Times New Roman" w:hAnsi="Times New Roman"/>
          <w:noProof/>
        </w:rPr>
        <w:t>r.</w:t>
      </w:r>
      <w:r>
        <w:rPr>
          <w:rFonts w:ascii="Times New Roman" w:hAnsi="Times New Roman"/>
          <w:noProof/>
        </w:rPr>
        <w:t>, jakim jest utworzenie unijnego rynku sekurytyzacji, który pomaga finansować gospodarkę bez tworzenia zagrożeń dla stabilności finansowej. Nowe oznakowanie STS stanowi jeden</w:t>
      </w:r>
      <w:r w:rsidR="001B0DFF">
        <w:rPr>
          <w:rFonts w:ascii="Times New Roman" w:hAnsi="Times New Roman"/>
          <w:noProof/>
        </w:rPr>
        <w:t xml:space="preserve"> z ele</w:t>
      </w:r>
      <w:r>
        <w:rPr>
          <w:rFonts w:ascii="Times New Roman" w:hAnsi="Times New Roman"/>
          <w:noProof/>
        </w:rPr>
        <w:t>mentów dążenia do realizacji tego celu</w:t>
      </w:r>
      <w:r w:rsidR="001B0DFF">
        <w:rPr>
          <w:rFonts w:ascii="Times New Roman" w:hAnsi="Times New Roman"/>
          <w:noProof/>
        </w:rPr>
        <w:t xml:space="preserve"> i pom</w:t>
      </w:r>
      <w:r>
        <w:rPr>
          <w:rFonts w:ascii="Times New Roman" w:hAnsi="Times New Roman"/>
          <w:noProof/>
        </w:rPr>
        <w:t>aga usunąć niekorzystne skojarzenia,</w:t>
      </w:r>
      <w:r w:rsidR="001B0DFF">
        <w:rPr>
          <w:rFonts w:ascii="Times New Roman" w:hAnsi="Times New Roman"/>
          <w:noProof/>
        </w:rPr>
        <w:t xml:space="preserve"> w któ</w:t>
      </w:r>
      <w:r>
        <w:rPr>
          <w:rFonts w:ascii="Times New Roman" w:hAnsi="Times New Roman"/>
          <w:noProof/>
        </w:rPr>
        <w:t>rych cieniu unijne rynki sekurytyzacji funkcjonowały od czasu wielkiego kryzysu finansowego. Ogólnie rzecz biorąc, rynek zdaje się funkcjonować dość dobrze, chociaż wydaje się, że oczekiwania dotyczące bardzo dynamicznego rynku</w:t>
      </w:r>
      <w:r w:rsidR="001B0DFF">
        <w:rPr>
          <w:rFonts w:ascii="Times New Roman" w:hAnsi="Times New Roman"/>
          <w:noProof/>
        </w:rPr>
        <w:t xml:space="preserve"> o ros</w:t>
      </w:r>
      <w:r>
        <w:rPr>
          <w:rFonts w:ascii="Times New Roman" w:hAnsi="Times New Roman"/>
          <w:noProof/>
        </w:rPr>
        <w:t>nących wielkościach transakcji</w:t>
      </w:r>
      <w:r w:rsidR="001B0DFF">
        <w:rPr>
          <w:rFonts w:ascii="Times New Roman" w:hAnsi="Times New Roman"/>
          <w:noProof/>
        </w:rPr>
        <w:t xml:space="preserve"> i ros</w:t>
      </w:r>
      <w:r>
        <w:rPr>
          <w:rFonts w:ascii="Times New Roman" w:hAnsi="Times New Roman"/>
          <w:noProof/>
        </w:rPr>
        <w:t>nącej liczbie uczestników nie zostały jeszcze spełnione.</w:t>
      </w:r>
    </w:p>
    <w:p w14:paraId="046BAF09" w14:textId="0A66C468" w:rsidR="004100C8" w:rsidRPr="003C0D71" w:rsidRDefault="004100C8" w:rsidP="004100C8">
      <w:pPr>
        <w:jc w:val="both"/>
        <w:rPr>
          <w:rFonts w:ascii="Times New Roman" w:eastAsia="Calibri" w:hAnsi="Times New Roman" w:cs="Times New Roman"/>
          <w:noProof/>
        </w:rPr>
      </w:pPr>
      <w:r>
        <w:rPr>
          <w:rFonts w:ascii="Times New Roman" w:hAnsi="Times New Roman"/>
          <w:noProof/>
        </w:rPr>
        <w:t>W tej pierwszej oficjalnej ocenie nowych ram sekurytyzacji poruszono jednak również szereg kwestii związanych</w:t>
      </w:r>
      <w:r w:rsidR="001B0DFF">
        <w:rPr>
          <w:rFonts w:ascii="Times New Roman" w:hAnsi="Times New Roman"/>
          <w:noProof/>
        </w:rPr>
        <w:t xml:space="preserve"> z now</w:t>
      </w:r>
      <w:r>
        <w:rPr>
          <w:rFonts w:ascii="Times New Roman" w:hAnsi="Times New Roman"/>
          <w:noProof/>
        </w:rPr>
        <w:t>ymi ramami prawnymi, które uznaje się za przyczynę tego, że jak dotąd unijny rynek sekurytyzacji nie rozwinął się</w:t>
      </w:r>
      <w:r w:rsidR="001B0DFF">
        <w:rPr>
          <w:rFonts w:ascii="Times New Roman" w:hAnsi="Times New Roman"/>
          <w:noProof/>
        </w:rPr>
        <w:t xml:space="preserve"> w tak</w:t>
      </w:r>
      <w:r>
        <w:rPr>
          <w:rFonts w:ascii="Times New Roman" w:hAnsi="Times New Roman"/>
          <w:noProof/>
        </w:rPr>
        <w:t xml:space="preserve">im stopniu, jakiego oczekiwali inicjatorzy nowych ram. </w:t>
      </w:r>
    </w:p>
    <w:p w14:paraId="3226A85D" w14:textId="4F87B1E6" w:rsidR="00CB2EF4" w:rsidRDefault="000A06C6" w:rsidP="004100C8">
      <w:pPr>
        <w:jc w:val="both"/>
        <w:rPr>
          <w:rFonts w:ascii="Times New Roman" w:eastAsia="Calibri" w:hAnsi="Times New Roman" w:cs="Times New Roman"/>
          <w:noProof/>
        </w:rPr>
      </w:pPr>
      <w:r>
        <w:rPr>
          <w:rFonts w:ascii="Times New Roman" w:hAnsi="Times New Roman"/>
          <w:noProof/>
        </w:rPr>
        <w:t>Jeżeli chodzi</w:t>
      </w:r>
      <w:r w:rsidR="001B0DFF">
        <w:rPr>
          <w:rFonts w:ascii="Times New Roman" w:hAnsi="Times New Roman"/>
          <w:noProof/>
        </w:rPr>
        <w:t xml:space="preserve"> o ost</w:t>
      </w:r>
      <w:r>
        <w:rPr>
          <w:rFonts w:ascii="Times New Roman" w:hAnsi="Times New Roman"/>
          <w:noProof/>
        </w:rPr>
        <w:t>rożnościowe podejście do sekurytyzacji, które zdaniem wielu zainteresowanych stron</w:t>
      </w:r>
      <w:r w:rsidR="001B0DFF">
        <w:rPr>
          <w:rFonts w:ascii="Times New Roman" w:hAnsi="Times New Roman"/>
          <w:noProof/>
        </w:rPr>
        <w:t xml:space="preserve"> z sek</w:t>
      </w:r>
      <w:r>
        <w:rPr>
          <w:rFonts w:ascii="Times New Roman" w:hAnsi="Times New Roman"/>
          <w:noProof/>
        </w:rPr>
        <w:t>tora jest bardziej ostrożne niż</w:t>
      </w:r>
      <w:r w:rsidR="001B0DFF">
        <w:rPr>
          <w:rFonts w:ascii="Times New Roman" w:hAnsi="Times New Roman"/>
          <w:noProof/>
        </w:rPr>
        <w:t xml:space="preserve"> w prz</w:t>
      </w:r>
      <w:r>
        <w:rPr>
          <w:rFonts w:ascii="Times New Roman" w:hAnsi="Times New Roman"/>
          <w:noProof/>
        </w:rPr>
        <w:t>ypadku porównywalnych produktów</w:t>
      </w:r>
      <w:r w:rsidR="001B0DFF">
        <w:rPr>
          <w:rFonts w:ascii="Times New Roman" w:hAnsi="Times New Roman"/>
          <w:noProof/>
        </w:rPr>
        <w:t xml:space="preserve"> o pod</w:t>
      </w:r>
      <w:r>
        <w:rPr>
          <w:rFonts w:ascii="Times New Roman" w:hAnsi="Times New Roman"/>
          <w:noProof/>
        </w:rPr>
        <w:t>obnym profilu ryzyka, Komisja wystosowała wniosek</w:t>
      </w:r>
      <w:r w:rsidR="001B0DFF">
        <w:rPr>
          <w:rFonts w:ascii="Times New Roman" w:hAnsi="Times New Roman"/>
          <w:noProof/>
        </w:rPr>
        <w:t xml:space="preserve"> o prz</w:t>
      </w:r>
      <w:r>
        <w:rPr>
          <w:rFonts w:ascii="Times New Roman" w:hAnsi="Times New Roman"/>
          <w:noProof/>
        </w:rPr>
        <w:t>edstawienie opinii do Wspólnego Komitetu Europejskich Urzędów Nadzoru</w:t>
      </w:r>
      <w:r w:rsidR="001B0DFF">
        <w:rPr>
          <w:rFonts w:ascii="Times New Roman" w:hAnsi="Times New Roman"/>
          <w:noProof/>
        </w:rPr>
        <w:t xml:space="preserve"> w cel</w:t>
      </w:r>
      <w:r>
        <w:rPr>
          <w:rFonts w:ascii="Times New Roman" w:hAnsi="Times New Roman"/>
          <w:noProof/>
        </w:rPr>
        <w:t>u przeprowadzenia bardziej szczegółowej analizy sytuacji. Po otrzymaniu tych informacji Komisja oceni, czy istnieją przesłanki do wprowadzenia zmian.</w:t>
      </w:r>
    </w:p>
    <w:p w14:paraId="1015C530" w14:textId="5F8A04B8" w:rsidR="004100C8" w:rsidRPr="003C0D71" w:rsidRDefault="004100C8" w:rsidP="004100C8">
      <w:pPr>
        <w:jc w:val="both"/>
        <w:rPr>
          <w:rFonts w:ascii="Times New Roman" w:eastAsia="Calibri" w:hAnsi="Times New Roman" w:cs="Times New Roman"/>
          <w:noProof/>
        </w:rPr>
      </w:pPr>
      <w:r>
        <w:rPr>
          <w:rFonts w:ascii="Times New Roman" w:hAnsi="Times New Roman"/>
          <w:noProof/>
        </w:rPr>
        <w:t>Obawy dotyczące drugiej części nowych ram – rozporządzenia</w:t>
      </w:r>
      <w:r w:rsidR="001B0DFF">
        <w:rPr>
          <w:rFonts w:ascii="Times New Roman" w:hAnsi="Times New Roman"/>
          <w:noProof/>
        </w:rPr>
        <w:t xml:space="preserve"> w spr</w:t>
      </w:r>
      <w:r>
        <w:rPr>
          <w:rFonts w:ascii="Times New Roman" w:hAnsi="Times New Roman"/>
          <w:noProof/>
        </w:rPr>
        <w:t>awie sekurytyzacji – koncentrują się głównie na twierdzeniu uczestników rynku, że przestrzeganie obecnych obowiązków</w:t>
      </w:r>
      <w:r w:rsidR="001B0DFF">
        <w:rPr>
          <w:rFonts w:ascii="Times New Roman" w:hAnsi="Times New Roman"/>
          <w:noProof/>
        </w:rPr>
        <w:t xml:space="preserve"> w zak</w:t>
      </w:r>
      <w:r>
        <w:rPr>
          <w:rFonts w:ascii="Times New Roman" w:hAnsi="Times New Roman"/>
          <w:noProof/>
        </w:rPr>
        <w:t>resie przejrzystości wymaga dużych nakładów</w:t>
      </w:r>
      <w:r w:rsidR="001B0DFF">
        <w:rPr>
          <w:rFonts w:ascii="Times New Roman" w:hAnsi="Times New Roman"/>
          <w:noProof/>
        </w:rPr>
        <w:t xml:space="preserve"> i nie</w:t>
      </w:r>
      <w:r>
        <w:rPr>
          <w:rFonts w:ascii="Times New Roman" w:hAnsi="Times New Roman"/>
          <w:noProof/>
        </w:rPr>
        <w:t xml:space="preserve"> przynosi inwestorowi istotnych korzyści,</w:t>
      </w:r>
      <w:r w:rsidR="001B0DFF">
        <w:rPr>
          <w:rFonts w:ascii="Times New Roman" w:hAnsi="Times New Roman"/>
          <w:noProof/>
        </w:rPr>
        <w:t xml:space="preserve"> w szc</w:t>
      </w:r>
      <w:r>
        <w:rPr>
          <w:rFonts w:ascii="Times New Roman" w:hAnsi="Times New Roman"/>
          <w:noProof/>
        </w:rPr>
        <w:t>zególności</w:t>
      </w:r>
      <w:r w:rsidR="001B0DFF">
        <w:rPr>
          <w:rFonts w:ascii="Times New Roman" w:hAnsi="Times New Roman"/>
          <w:noProof/>
        </w:rPr>
        <w:t xml:space="preserve"> w prz</w:t>
      </w:r>
      <w:r>
        <w:rPr>
          <w:rFonts w:ascii="Times New Roman" w:hAnsi="Times New Roman"/>
          <w:noProof/>
        </w:rPr>
        <w:t>ypadku transakcji prywatnych. Podsumowując, Komisja przyznaje, że istnieje możliwość poprawy, ale uważa, że ulepszenia dotyczące niedociągnięć wskazanych</w:t>
      </w:r>
      <w:r w:rsidR="001B0DFF">
        <w:rPr>
          <w:rFonts w:ascii="Times New Roman" w:hAnsi="Times New Roman"/>
          <w:noProof/>
        </w:rPr>
        <w:t xml:space="preserve"> w ram</w:t>
      </w:r>
      <w:r>
        <w:rPr>
          <w:rFonts w:ascii="Times New Roman" w:hAnsi="Times New Roman"/>
          <w:noProof/>
        </w:rPr>
        <w:t>ach przeglądu można wprowadzić bez konieczności zmiany rozporządzenia</w:t>
      </w:r>
      <w:r w:rsidR="001B0DFF">
        <w:rPr>
          <w:rFonts w:ascii="Times New Roman" w:hAnsi="Times New Roman"/>
          <w:noProof/>
        </w:rPr>
        <w:t xml:space="preserve"> w spr</w:t>
      </w:r>
      <w:r>
        <w:rPr>
          <w:rFonts w:ascii="Times New Roman" w:hAnsi="Times New Roman"/>
          <w:noProof/>
        </w:rPr>
        <w:t>awie sekurytyzacji. Mając to na uwadze, Komisja wzywa ESMA do ponownego przeanalizowania regulacyjnych</w:t>
      </w:r>
      <w:r w:rsidR="001B0DFF">
        <w:rPr>
          <w:rFonts w:ascii="Times New Roman" w:hAnsi="Times New Roman"/>
          <w:noProof/>
        </w:rPr>
        <w:t xml:space="preserve"> i wyk</w:t>
      </w:r>
      <w:r>
        <w:rPr>
          <w:rFonts w:ascii="Times New Roman" w:hAnsi="Times New Roman"/>
          <w:noProof/>
        </w:rPr>
        <w:t xml:space="preserve">onawczych standardów technicznych, które określają elementy szczegółowe systemu przejrzystości. </w:t>
      </w:r>
    </w:p>
    <w:p w14:paraId="2E3A8E44" w14:textId="04F0251B" w:rsidR="004100C8" w:rsidRPr="003C0D71" w:rsidRDefault="000A06C6" w:rsidP="004100C8">
      <w:pPr>
        <w:jc w:val="both"/>
        <w:rPr>
          <w:rFonts w:ascii="Times New Roman" w:eastAsia="Calibri" w:hAnsi="Times New Roman" w:cs="Times New Roman"/>
          <w:noProof/>
        </w:rPr>
      </w:pPr>
      <w:r>
        <w:rPr>
          <w:rFonts w:ascii="Times New Roman" w:hAnsi="Times New Roman"/>
          <w:noProof/>
        </w:rPr>
        <w:t>Jeśli chodzi</w:t>
      </w:r>
      <w:r w:rsidR="001B0DFF">
        <w:rPr>
          <w:rFonts w:ascii="Times New Roman" w:hAnsi="Times New Roman"/>
          <w:noProof/>
        </w:rPr>
        <w:t xml:space="preserve"> o ram</w:t>
      </w:r>
      <w:r>
        <w:rPr>
          <w:rFonts w:ascii="Times New Roman" w:hAnsi="Times New Roman"/>
          <w:noProof/>
        </w:rPr>
        <w:t>y zielonej sekurytyzacji, za pomocą przepisów zwrócono uwagę we właściwym momencie na kwestię sposobu,</w:t>
      </w:r>
      <w:r w:rsidR="001B0DFF">
        <w:rPr>
          <w:rFonts w:ascii="Times New Roman" w:hAnsi="Times New Roman"/>
          <w:noProof/>
        </w:rPr>
        <w:t xml:space="preserve"> w jak</w:t>
      </w:r>
      <w:r>
        <w:rPr>
          <w:rFonts w:ascii="Times New Roman" w:hAnsi="Times New Roman"/>
          <w:noProof/>
        </w:rPr>
        <w:t>i można wykorzystać sekurytyzację do wspierania finansowania przejścia na zrównoważoną gospodarkę UE, unikając jednocześnie ryzyka pseudoekologicznego marketingu. Komisja zgadza się ze sprawozdaniem EUNB, że</w:t>
      </w:r>
      <w:r w:rsidR="001B0DFF">
        <w:rPr>
          <w:rFonts w:ascii="Times New Roman" w:hAnsi="Times New Roman"/>
          <w:noProof/>
        </w:rPr>
        <w:t xml:space="preserve"> w per</w:t>
      </w:r>
      <w:r>
        <w:rPr>
          <w:rFonts w:ascii="Times New Roman" w:hAnsi="Times New Roman"/>
          <w:noProof/>
        </w:rPr>
        <w:t>spektywie krótko-</w:t>
      </w:r>
      <w:r w:rsidR="001B0DFF">
        <w:rPr>
          <w:rFonts w:ascii="Times New Roman" w:hAnsi="Times New Roman"/>
          <w:noProof/>
        </w:rPr>
        <w:t xml:space="preserve"> i śre</w:t>
      </w:r>
      <w:r>
        <w:rPr>
          <w:rFonts w:ascii="Times New Roman" w:hAnsi="Times New Roman"/>
          <w:noProof/>
        </w:rPr>
        <w:t>dnioterminowej nie ma potrzeby wprowadzania odrębnego oznakowania zielonej sekurytyzacji, natomiast zachęca współustawodawców do zajęcia się tą kwestią</w:t>
      </w:r>
      <w:r w:rsidR="001B0DFF">
        <w:rPr>
          <w:rFonts w:ascii="Times New Roman" w:hAnsi="Times New Roman"/>
          <w:noProof/>
        </w:rPr>
        <w:t xml:space="preserve"> w odp</w:t>
      </w:r>
      <w:r>
        <w:rPr>
          <w:rFonts w:ascii="Times New Roman" w:hAnsi="Times New Roman"/>
          <w:noProof/>
        </w:rPr>
        <w:t>owiedni sposób</w:t>
      </w:r>
      <w:r w:rsidR="001B0DFF">
        <w:rPr>
          <w:rFonts w:ascii="Times New Roman" w:hAnsi="Times New Roman"/>
          <w:noProof/>
        </w:rPr>
        <w:t xml:space="preserve"> w ram</w:t>
      </w:r>
      <w:r>
        <w:rPr>
          <w:rFonts w:ascii="Times New Roman" w:hAnsi="Times New Roman"/>
          <w:noProof/>
        </w:rPr>
        <w:t>ach trwających negocjacji</w:t>
      </w:r>
      <w:r w:rsidR="001B0DFF">
        <w:rPr>
          <w:rFonts w:ascii="Times New Roman" w:hAnsi="Times New Roman"/>
          <w:noProof/>
        </w:rPr>
        <w:t xml:space="preserve"> w spr</w:t>
      </w:r>
      <w:r>
        <w:rPr>
          <w:rFonts w:ascii="Times New Roman" w:hAnsi="Times New Roman"/>
          <w:noProof/>
        </w:rPr>
        <w:t>awie utworzenia EU-GBS. Zdaniem Komisji zapewnienie rynkowi sekurytyzacji możliwości odegrania roli</w:t>
      </w:r>
      <w:r w:rsidR="001B0DFF">
        <w:rPr>
          <w:rFonts w:ascii="Times New Roman" w:hAnsi="Times New Roman"/>
          <w:noProof/>
        </w:rPr>
        <w:t xml:space="preserve"> w zie</w:t>
      </w:r>
      <w:r>
        <w:rPr>
          <w:rFonts w:ascii="Times New Roman" w:hAnsi="Times New Roman"/>
          <w:noProof/>
        </w:rPr>
        <w:t xml:space="preserve">lonej transformacji jest nie tylko niezbędne do dalszego zwiększania korzyści, jakie sekurytyzacja przynosi społeczeństwu, ale jest również potrzebne do wspierania przyszłego rozwoju samego unijnego rynku sekurytyzacji. </w:t>
      </w:r>
    </w:p>
    <w:p w14:paraId="177099A7" w14:textId="278898C7" w:rsidR="004100C8" w:rsidRPr="003C0D71" w:rsidRDefault="004100C8" w:rsidP="004100C8">
      <w:pPr>
        <w:jc w:val="both"/>
        <w:rPr>
          <w:rFonts w:ascii="Times New Roman" w:eastAsia="Calibri" w:hAnsi="Times New Roman" w:cs="Times New Roman"/>
          <w:noProof/>
        </w:rPr>
      </w:pPr>
      <w:r>
        <w:rPr>
          <w:rFonts w:ascii="Times New Roman" w:hAnsi="Times New Roman"/>
          <w:noProof/>
        </w:rPr>
        <w:t>Komisja pozostaje</w:t>
      </w:r>
      <w:r w:rsidR="001B0DFF">
        <w:rPr>
          <w:rFonts w:ascii="Times New Roman" w:hAnsi="Times New Roman"/>
          <w:noProof/>
        </w:rPr>
        <w:t xml:space="preserve"> w peł</w:t>
      </w:r>
      <w:r>
        <w:rPr>
          <w:rFonts w:ascii="Times New Roman" w:hAnsi="Times New Roman"/>
          <w:noProof/>
        </w:rPr>
        <w:t>ni zaangażowana</w:t>
      </w:r>
      <w:r w:rsidR="001B0DFF">
        <w:rPr>
          <w:rFonts w:ascii="Times New Roman" w:hAnsi="Times New Roman"/>
          <w:noProof/>
        </w:rPr>
        <w:t xml:space="preserve"> w rea</w:t>
      </w:r>
      <w:r>
        <w:rPr>
          <w:rFonts w:ascii="Times New Roman" w:hAnsi="Times New Roman"/>
          <w:noProof/>
        </w:rPr>
        <w:t>lizację celu, jakim jest stworzenie ram dla prężnego</w:t>
      </w:r>
      <w:r w:rsidR="001B0DFF">
        <w:rPr>
          <w:rFonts w:ascii="Times New Roman" w:hAnsi="Times New Roman"/>
          <w:noProof/>
        </w:rPr>
        <w:t xml:space="preserve"> i sta</w:t>
      </w:r>
      <w:r>
        <w:rPr>
          <w:rFonts w:ascii="Times New Roman" w:hAnsi="Times New Roman"/>
          <w:noProof/>
        </w:rPr>
        <w:t>bilnego unijnego rynku sekurytyzacji. Taki rynek jest kluczowym fundamentem faktycznej unii rynków kapitałowych</w:t>
      </w:r>
      <w:r w:rsidR="001B0DFF">
        <w:rPr>
          <w:rFonts w:ascii="Times New Roman" w:hAnsi="Times New Roman"/>
          <w:noProof/>
        </w:rPr>
        <w:t xml:space="preserve"> i moż</w:t>
      </w:r>
      <w:r>
        <w:rPr>
          <w:rFonts w:ascii="Times New Roman" w:hAnsi="Times New Roman"/>
          <w:noProof/>
        </w:rPr>
        <w:t>e stać się jeszcze ważniejszy, jeśli chodzi</w:t>
      </w:r>
      <w:r w:rsidR="001B0DFF">
        <w:rPr>
          <w:rFonts w:ascii="Times New Roman" w:hAnsi="Times New Roman"/>
          <w:noProof/>
        </w:rPr>
        <w:t xml:space="preserve"> o pod</w:t>
      </w:r>
      <w:r>
        <w:rPr>
          <w:rFonts w:ascii="Times New Roman" w:hAnsi="Times New Roman"/>
          <w:noProof/>
        </w:rPr>
        <w:t>ejmowanie wyzwań związanych</w:t>
      </w:r>
      <w:r w:rsidR="001B0DFF">
        <w:rPr>
          <w:rFonts w:ascii="Times New Roman" w:hAnsi="Times New Roman"/>
          <w:noProof/>
        </w:rPr>
        <w:t xml:space="preserve"> z fin</w:t>
      </w:r>
      <w:r>
        <w:rPr>
          <w:rFonts w:ascii="Times New Roman" w:hAnsi="Times New Roman"/>
          <w:noProof/>
        </w:rPr>
        <w:t>ansowaniem działalności gospodarczej</w:t>
      </w:r>
      <w:r w:rsidR="001B0DFF">
        <w:rPr>
          <w:rFonts w:ascii="Times New Roman" w:hAnsi="Times New Roman"/>
          <w:noProof/>
        </w:rPr>
        <w:t xml:space="preserve"> w zna</w:t>
      </w:r>
      <w:r>
        <w:rPr>
          <w:rFonts w:ascii="Times New Roman" w:hAnsi="Times New Roman"/>
          <w:noProof/>
        </w:rPr>
        <w:t>cznie trudniejszym otoczeniu rynkowym, które wydaje się obecnie powstawać. Komisja będzie zatem nadal ściśle monitorować rynek sekurytyzacji</w:t>
      </w:r>
      <w:r w:rsidR="001B0DFF">
        <w:rPr>
          <w:rFonts w:ascii="Times New Roman" w:hAnsi="Times New Roman"/>
          <w:noProof/>
        </w:rPr>
        <w:t xml:space="preserve"> i int</w:t>
      </w:r>
      <w:r>
        <w:rPr>
          <w:rFonts w:ascii="Times New Roman" w:hAnsi="Times New Roman"/>
          <w:noProof/>
        </w:rPr>
        <w:t>erweniować, jeśli</w:t>
      </w:r>
      <w:r w:rsidR="001B0DFF">
        <w:rPr>
          <w:rFonts w:ascii="Times New Roman" w:hAnsi="Times New Roman"/>
          <w:noProof/>
        </w:rPr>
        <w:t xml:space="preserve"> i kie</w:t>
      </w:r>
      <w:r>
        <w:rPr>
          <w:rFonts w:ascii="Times New Roman" w:hAnsi="Times New Roman"/>
          <w:noProof/>
        </w:rPr>
        <w:t>dy uzna to za stosowne, aby</w:t>
      </w:r>
      <w:r w:rsidR="001B0DFF">
        <w:rPr>
          <w:rFonts w:ascii="Times New Roman" w:hAnsi="Times New Roman"/>
          <w:noProof/>
        </w:rPr>
        <w:t xml:space="preserve"> w peł</w:t>
      </w:r>
      <w:r>
        <w:rPr>
          <w:rFonts w:ascii="Times New Roman" w:hAnsi="Times New Roman"/>
          <w:noProof/>
        </w:rPr>
        <w:t>ni czerpać korzyści</w:t>
      </w:r>
      <w:r w:rsidR="001B0DFF">
        <w:rPr>
          <w:rFonts w:ascii="Times New Roman" w:hAnsi="Times New Roman"/>
          <w:noProof/>
        </w:rPr>
        <w:t xml:space="preserve"> z prę</w:t>
      </w:r>
      <w:r>
        <w:rPr>
          <w:rFonts w:ascii="Times New Roman" w:hAnsi="Times New Roman"/>
          <w:noProof/>
        </w:rPr>
        <w:t xml:space="preserve">żnego rynku sekurytyzacji dla UE. </w:t>
      </w:r>
    </w:p>
    <w:p w14:paraId="55C35211" w14:textId="77777777" w:rsidR="405859B4" w:rsidRPr="003C0D71" w:rsidRDefault="405859B4" w:rsidP="004100C8">
      <w:pPr>
        <w:jc w:val="both"/>
        <w:rPr>
          <w:rFonts w:ascii="Times New Roman" w:eastAsia="Times New Roman" w:hAnsi="Times New Roman" w:cs="Times New Roman"/>
          <w:noProof/>
        </w:rPr>
      </w:pPr>
    </w:p>
    <w:sectPr w:rsidR="405859B4" w:rsidRPr="003C0D71" w:rsidSect="006F78EE">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A6653" w14:textId="77777777" w:rsidR="00691BF1" w:rsidRDefault="00691BF1" w:rsidP="00C446BB">
      <w:pPr>
        <w:spacing w:after="0" w:line="240" w:lineRule="auto"/>
      </w:pPr>
      <w:r>
        <w:separator/>
      </w:r>
    </w:p>
  </w:endnote>
  <w:endnote w:type="continuationSeparator" w:id="0">
    <w:p w14:paraId="4BF94C65" w14:textId="77777777" w:rsidR="00691BF1" w:rsidRDefault="00691BF1" w:rsidP="00C446BB">
      <w:pPr>
        <w:spacing w:after="0" w:line="240" w:lineRule="auto"/>
      </w:pPr>
      <w:r>
        <w:continuationSeparator/>
      </w:r>
    </w:p>
  </w:endnote>
  <w:endnote w:type="continuationNotice" w:id="1">
    <w:p w14:paraId="024799B2" w14:textId="77777777" w:rsidR="00691BF1" w:rsidRDefault="00691B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14D61" w14:textId="77777777" w:rsidR="00F94BF3" w:rsidRPr="00F94BF3" w:rsidRDefault="00F94BF3" w:rsidP="00F94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9D3D" w14:textId="1D432999" w:rsidR="00D35227" w:rsidRPr="00F94BF3" w:rsidRDefault="00F94BF3" w:rsidP="00F94BF3">
    <w:pPr>
      <w:pStyle w:val="FooterCoverPage"/>
      <w:rPr>
        <w:rFonts w:ascii="Arial" w:hAnsi="Arial" w:cs="Arial"/>
        <w:b/>
        <w:sz w:val="48"/>
      </w:rPr>
    </w:pPr>
    <w:r w:rsidRPr="00F94BF3">
      <w:rPr>
        <w:rFonts w:ascii="Arial" w:hAnsi="Arial" w:cs="Arial"/>
        <w:b/>
        <w:sz w:val="48"/>
      </w:rPr>
      <w:t>PL</w:t>
    </w:r>
    <w:r w:rsidRPr="00F94BF3">
      <w:rPr>
        <w:rFonts w:ascii="Arial" w:hAnsi="Arial" w:cs="Arial"/>
        <w:b/>
        <w:sz w:val="48"/>
      </w:rPr>
      <w:tab/>
    </w:r>
    <w:r w:rsidRPr="00F94BF3">
      <w:rPr>
        <w:rFonts w:ascii="Arial" w:hAnsi="Arial" w:cs="Arial"/>
        <w:b/>
        <w:sz w:val="48"/>
      </w:rPr>
      <w:tab/>
    </w:r>
    <w:r w:rsidRPr="00F94BF3">
      <w:tab/>
    </w:r>
    <w:r w:rsidRPr="00F94BF3">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A237" w14:textId="77777777" w:rsidR="00F94BF3" w:rsidRPr="00F94BF3" w:rsidRDefault="00F94BF3" w:rsidP="00F94BF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B6D2" w14:textId="77777777" w:rsidR="00CA68B9" w:rsidRDefault="00CA68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350424"/>
      <w:docPartObj>
        <w:docPartGallery w:val="Page Numbers (Bottom of Page)"/>
        <w:docPartUnique/>
      </w:docPartObj>
    </w:sdtPr>
    <w:sdtEndPr>
      <w:rPr>
        <w:noProof/>
      </w:rPr>
    </w:sdtEndPr>
    <w:sdtContent>
      <w:p w14:paraId="0A7B08D1" w14:textId="1DCD4C4A" w:rsidR="00CA68B9" w:rsidRDefault="00CA68B9">
        <w:pPr>
          <w:pStyle w:val="Footer"/>
          <w:jc w:val="center"/>
        </w:pPr>
        <w:r>
          <w:fldChar w:fldCharType="begin"/>
        </w:r>
        <w:r>
          <w:instrText xml:space="preserve"> PAGE   \* MERGEFORMAT </w:instrText>
        </w:r>
        <w:r>
          <w:fldChar w:fldCharType="separate"/>
        </w:r>
        <w:r w:rsidR="00F94BF3">
          <w:rPr>
            <w:noProof/>
          </w:rPr>
          <w:t>1</w:t>
        </w:r>
        <w:r>
          <w:fldChar w:fldCharType="end"/>
        </w:r>
      </w:p>
    </w:sdtContent>
  </w:sdt>
  <w:p w14:paraId="2D0DF2B9" w14:textId="77777777" w:rsidR="00CA68B9" w:rsidRDefault="00CA68B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EB618" w14:textId="77777777" w:rsidR="00CA68B9" w:rsidRDefault="00CA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DCC63" w14:textId="77777777" w:rsidR="00691BF1" w:rsidRDefault="00691BF1" w:rsidP="00C446BB">
      <w:pPr>
        <w:spacing w:after="0" w:line="240" w:lineRule="auto"/>
      </w:pPr>
      <w:r>
        <w:separator/>
      </w:r>
    </w:p>
  </w:footnote>
  <w:footnote w:type="continuationSeparator" w:id="0">
    <w:p w14:paraId="02FDA34C" w14:textId="77777777" w:rsidR="00691BF1" w:rsidRDefault="00691BF1" w:rsidP="00C446BB">
      <w:pPr>
        <w:spacing w:after="0" w:line="240" w:lineRule="auto"/>
      </w:pPr>
      <w:r>
        <w:continuationSeparator/>
      </w:r>
    </w:p>
  </w:footnote>
  <w:footnote w:type="continuationNotice" w:id="1">
    <w:p w14:paraId="4026379A" w14:textId="77777777" w:rsidR="00691BF1" w:rsidRDefault="00691BF1">
      <w:pPr>
        <w:spacing w:after="0" w:line="240" w:lineRule="auto"/>
      </w:pPr>
    </w:p>
  </w:footnote>
  <w:footnote w:id="2">
    <w:p w14:paraId="43C48B4B" w14:textId="5F3B7F33" w:rsidR="00CA68B9" w:rsidRPr="003C0D71" w:rsidRDefault="00CA68B9" w:rsidP="005C29A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bookmarkStart w:id="7" w:name="_Hlk109981037"/>
      <w:r>
        <w:rPr>
          <w:rFonts w:ascii="Times New Roman" w:hAnsi="Times New Roman"/>
        </w:rPr>
        <w:t>Zob. dokument roboczy służb Komisji, Ocena skutków towarzysząca wnioskowi dotyczącemu rozporządzenia Parlamentu Europejskiego</w:t>
      </w:r>
      <w:r w:rsidR="001B0DFF">
        <w:rPr>
          <w:rFonts w:ascii="Times New Roman" w:hAnsi="Times New Roman"/>
        </w:rPr>
        <w:t xml:space="preserve"> i Rad</w:t>
      </w:r>
      <w:r>
        <w:rPr>
          <w:rFonts w:ascii="Times New Roman" w:hAnsi="Times New Roman"/>
        </w:rPr>
        <w:t>y</w:t>
      </w:r>
      <w:r w:rsidR="001B0DFF">
        <w:rPr>
          <w:rFonts w:ascii="Times New Roman" w:hAnsi="Times New Roman"/>
        </w:rPr>
        <w:t xml:space="preserve"> w spr</w:t>
      </w:r>
      <w:r>
        <w:rPr>
          <w:rFonts w:ascii="Times New Roman" w:hAnsi="Times New Roman"/>
        </w:rPr>
        <w:t>awie ustanowienia wspólnych zasad dotyczących sekurytyzacji, utworzenia europejskich ram dla prostych</w:t>
      </w:r>
      <w:r w:rsidR="001B0DFF">
        <w:rPr>
          <w:rFonts w:ascii="Times New Roman" w:hAnsi="Times New Roman"/>
        </w:rPr>
        <w:t xml:space="preserve"> i prz</w:t>
      </w:r>
      <w:r>
        <w:rPr>
          <w:rFonts w:ascii="Times New Roman" w:hAnsi="Times New Roman"/>
        </w:rPr>
        <w:t>ejrzystych sekurytyzacji oraz zmiany dyrektyw 2009/65/WE, 2009/138/WE, 2011/61/UE</w:t>
      </w:r>
      <w:r w:rsidR="001B0DFF">
        <w:rPr>
          <w:rFonts w:ascii="Times New Roman" w:hAnsi="Times New Roman"/>
        </w:rPr>
        <w:t xml:space="preserve"> i roz</w:t>
      </w:r>
      <w:r>
        <w:rPr>
          <w:rFonts w:ascii="Times New Roman" w:hAnsi="Times New Roman"/>
        </w:rPr>
        <w:t xml:space="preserve">porządzeń (WE) </w:t>
      </w:r>
      <w:r w:rsidRPr="001B0DFF">
        <w:rPr>
          <w:rFonts w:ascii="Times New Roman" w:hAnsi="Times New Roman"/>
        </w:rPr>
        <w:t>nr</w:t>
      </w:r>
      <w:r w:rsidR="001B0DFF" w:rsidRPr="001B0DFF">
        <w:rPr>
          <w:rFonts w:ascii="Times New Roman" w:hAnsi="Times New Roman"/>
        </w:rPr>
        <w:t> </w:t>
      </w:r>
      <w:r w:rsidRPr="001B0DFF">
        <w:rPr>
          <w:rFonts w:ascii="Times New Roman" w:hAnsi="Times New Roman"/>
        </w:rPr>
        <w:t>1</w:t>
      </w:r>
      <w:r>
        <w:rPr>
          <w:rFonts w:ascii="Times New Roman" w:hAnsi="Times New Roman"/>
        </w:rPr>
        <w:t xml:space="preserve">060/2009 i (UE) </w:t>
      </w:r>
      <w:r w:rsidRPr="001B0DFF">
        <w:rPr>
          <w:rFonts w:ascii="Times New Roman" w:hAnsi="Times New Roman"/>
        </w:rPr>
        <w:t>nr</w:t>
      </w:r>
      <w:r w:rsidR="001B0DFF" w:rsidRPr="001B0DFF">
        <w:rPr>
          <w:rFonts w:ascii="Times New Roman" w:hAnsi="Times New Roman"/>
        </w:rPr>
        <w:t> </w:t>
      </w:r>
      <w:r w:rsidRPr="001B0DFF">
        <w:rPr>
          <w:rFonts w:ascii="Times New Roman" w:hAnsi="Times New Roman"/>
        </w:rPr>
        <w:t>6</w:t>
      </w:r>
      <w:r>
        <w:rPr>
          <w:rFonts w:ascii="Times New Roman" w:hAnsi="Times New Roman"/>
        </w:rPr>
        <w:t>48/2012 oraz wnioskowi dotyczącemu rozporządzenia Parlamentu Europejskiego</w:t>
      </w:r>
      <w:r w:rsidR="001B0DFF">
        <w:rPr>
          <w:rFonts w:ascii="Times New Roman" w:hAnsi="Times New Roman"/>
        </w:rPr>
        <w:t xml:space="preserve"> i Rad</w:t>
      </w:r>
      <w:r>
        <w:rPr>
          <w:rFonts w:ascii="Times New Roman" w:hAnsi="Times New Roman"/>
        </w:rPr>
        <w:t xml:space="preserve">y zmieniającego rozporządzenie (UE) </w:t>
      </w:r>
      <w:r w:rsidRPr="001B0DFF">
        <w:rPr>
          <w:rFonts w:ascii="Times New Roman" w:hAnsi="Times New Roman"/>
        </w:rPr>
        <w:t>nr</w:t>
      </w:r>
      <w:r w:rsidR="001B0DFF" w:rsidRPr="001B0DFF">
        <w:rPr>
          <w:rFonts w:ascii="Times New Roman" w:hAnsi="Times New Roman"/>
        </w:rPr>
        <w:t> </w:t>
      </w:r>
      <w:r w:rsidRPr="001B0DFF">
        <w:rPr>
          <w:rFonts w:ascii="Times New Roman" w:hAnsi="Times New Roman"/>
        </w:rPr>
        <w:t>5</w:t>
      </w:r>
      <w:r>
        <w:rPr>
          <w:rFonts w:ascii="Times New Roman" w:hAnsi="Times New Roman"/>
        </w:rPr>
        <w:t>75/2013</w:t>
      </w:r>
      <w:r w:rsidR="001B0DFF">
        <w:rPr>
          <w:rFonts w:ascii="Times New Roman" w:hAnsi="Times New Roman"/>
        </w:rPr>
        <w:t xml:space="preserve"> w spr</w:t>
      </w:r>
      <w:r>
        <w:rPr>
          <w:rFonts w:ascii="Times New Roman" w:hAnsi="Times New Roman"/>
        </w:rPr>
        <w:t>awie wymogów ostrożnościowych dla instytucji kredytowych</w:t>
      </w:r>
      <w:r w:rsidR="001B0DFF">
        <w:rPr>
          <w:rFonts w:ascii="Times New Roman" w:hAnsi="Times New Roman"/>
        </w:rPr>
        <w:t xml:space="preserve"> i fir</w:t>
      </w:r>
      <w:r>
        <w:rPr>
          <w:rFonts w:ascii="Times New Roman" w:hAnsi="Times New Roman"/>
        </w:rPr>
        <w:t>m inwestycyjnych, 30.9.2015 (SWD (2015)185 final).</w:t>
      </w:r>
      <w:bookmarkEnd w:id="7"/>
    </w:p>
  </w:footnote>
  <w:footnote w:id="3">
    <w:p w14:paraId="66209DCD" w14:textId="72372709" w:rsidR="00CA68B9" w:rsidRPr="00346C1E" w:rsidRDefault="00CA68B9" w:rsidP="002C55A1">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sidRPr="00346C1E">
        <w:rPr>
          <w:rFonts w:ascii="Times New Roman" w:hAnsi="Times New Roman"/>
          <w:lang w:val="en-GB"/>
        </w:rPr>
        <w:t xml:space="preserve"> The case for</w:t>
      </w:r>
      <w:r w:rsidR="001B0DFF" w:rsidRPr="00346C1E">
        <w:rPr>
          <w:rFonts w:ascii="Times New Roman" w:hAnsi="Times New Roman"/>
          <w:lang w:val="en-GB"/>
        </w:rPr>
        <w:t xml:space="preserve"> a</w:t>
      </w:r>
      <w:r w:rsidR="001B0DFF">
        <w:rPr>
          <w:rFonts w:ascii="Times New Roman" w:hAnsi="Times New Roman"/>
          <w:lang w:val="en-GB"/>
        </w:rPr>
        <w:t> </w:t>
      </w:r>
      <w:r w:rsidR="001B0DFF" w:rsidRPr="00346C1E">
        <w:rPr>
          <w:rFonts w:ascii="Times New Roman" w:hAnsi="Times New Roman"/>
          <w:lang w:val="en-GB"/>
        </w:rPr>
        <w:t>bet</w:t>
      </w:r>
      <w:r w:rsidRPr="00346C1E">
        <w:rPr>
          <w:rFonts w:ascii="Times New Roman" w:hAnsi="Times New Roman"/>
          <w:lang w:val="en-GB"/>
        </w:rPr>
        <w:t>ter functioning securitisation market in the European Union: A discussion paper, Bank of England and the European Central Bank [Warunki lepszego funkcjonowania rynku sekurytyzacji</w:t>
      </w:r>
      <w:r w:rsidR="001B0DFF" w:rsidRPr="00346C1E">
        <w:rPr>
          <w:rFonts w:ascii="Times New Roman" w:hAnsi="Times New Roman"/>
          <w:lang w:val="en-GB"/>
        </w:rPr>
        <w:t xml:space="preserve"> w</w:t>
      </w:r>
      <w:r w:rsidR="001B0DFF">
        <w:rPr>
          <w:rFonts w:ascii="Times New Roman" w:hAnsi="Times New Roman"/>
          <w:lang w:val="en-GB"/>
        </w:rPr>
        <w:t> </w:t>
      </w:r>
      <w:r w:rsidR="001B0DFF" w:rsidRPr="00346C1E">
        <w:rPr>
          <w:rFonts w:ascii="Times New Roman" w:hAnsi="Times New Roman"/>
          <w:lang w:val="en-GB"/>
        </w:rPr>
        <w:t>Uni</w:t>
      </w:r>
      <w:r w:rsidRPr="00346C1E">
        <w:rPr>
          <w:rFonts w:ascii="Times New Roman" w:hAnsi="Times New Roman"/>
          <w:lang w:val="en-GB"/>
        </w:rPr>
        <w:t>i Europejskiej, dokument otwierający debatę, Bank of England</w:t>
      </w:r>
      <w:r w:rsidR="001B0DFF" w:rsidRPr="00346C1E">
        <w:rPr>
          <w:rFonts w:ascii="Times New Roman" w:hAnsi="Times New Roman"/>
          <w:lang w:val="en-GB"/>
        </w:rPr>
        <w:t xml:space="preserve"> i</w:t>
      </w:r>
      <w:r w:rsidR="001B0DFF">
        <w:rPr>
          <w:rFonts w:ascii="Times New Roman" w:hAnsi="Times New Roman"/>
          <w:lang w:val="en-GB"/>
        </w:rPr>
        <w:t> </w:t>
      </w:r>
      <w:r w:rsidR="001B0DFF" w:rsidRPr="00346C1E">
        <w:rPr>
          <w:rFonts w:ascii="Times New Roman" w:hAnsi="Times New Roman"/>
          <w:lang w:val="en-GB"/>
        </w:rPr>
        <w:t>Eur</w:t>
      </w:r>
      <w:r w:rsidRPr="00346C1E">
        <w:rPr>
          <w:rFonts w:ascii="Times New Roman" w:hAnsi="Times New Roman"/>
          <w:lang w:val="en-GB"/>
        </w:rPr>
        <w:t>opejski Bank Centralny],</w:t>
      </w:r>
      <w:hyperlink r:id="rId1" w:history="1">
        <w:r w:rsidRPr="00346C1E">
          <w:rPr>
            <w:rStyle w:val="Hyperlink"/>
            <w:rFonts w:ascii="Times New Roman" w:hAnsi="Times New Roman"/>
            <w:lang w:val="en-GB"/>
          </w:rPr>
          <w:t>https://www.ecb.europa.eu/pub/pdf/other/ecb-boe_case_better_functioning_securitisation_marketen.pdf</w:t>
        </w:r>
      </w:hyperlink>
      <w:r w:rsidRPr="00346C1E">
        <w:rPr>
          <w:rStyle w:val="Hyperlink"/>
          <w:rFonts w:ascii="Times New Roman" w:hAnsi="Times New Roman"/>
          <w:lang w:val="en-GB"/>
        </w:rPr>
        <w:t>.</w:t>
      </w:r>
    </w:p>
  </w:footnote>
  <w:footnote w:id="4">
    <w:p w14:paraId="5AF73CE2" w14:textId="14CE9756" w:rsidR="00CA68B9" w:rsidRPr="003C0D71" w:rsidRDefault="00CA68B9" w:rsidP="00B57204">
      <w:pPr>
        <w:pStyle w:val="CommentText"/>
        <w:spacing w:after="0"/>
        <w:rPr>
          <w:rFonts w:ascii="Times New Roman" w:hAnsi="Times New Roman" w:cs="Times New Roman"/>
        </w:rPr>
      </w:pPr>
      <w:r w:rsidRPr="001B0DFF">
        <w:rPr>
          <w:rStyle w:val="FootnoteReference"/>
          <w:rFonts w:ascii="Times New Roman" w:hAnsi="Times New Roman" w:cs="Times New Roman"/>
        </w:rPr>
        <w:footnoteRef/>
      </w:r>
      <w:r w:rsidR="001B0DFF" w:rsidRPr="001B0DFF">
        <w:rPr>
          <w:rFonts w:ascii="Times New Roman" w:hAnsi="Times New Roman"/>
        </w:rPr>
        <w:t xml:space="preserve"> </w:t>
      </w:r>
      <w:bookmarkStart w:id="8" w:name="_Hlk109981063"/>
      <w:r w:rsidRPr="001B0DFF">
        <w:rPr>
          <w:rFonts w:ascii="Times New Roman" w:hAnsi="Times New Roman"/>
        </w:rPr>
        <w:t>P</w:t>
      </w:r>
      <w:r>
        <w:rPr>
          <w:rFonts w:ascii="Times New Roman" w:hAnsi="Times New Roman"/>
        </w:rPr>
        <w:t>lan działania na rzecz tworzenia unii rynków kapitałowych, 20.9.2015 (COM/2015/0468 final)</w:t>
      </w:r>
      <w:r>
        <w:t xml:space="preserve"> </w:t>
      </w:r>
      <w:bookmarkEnd w:id="8"/>
      <w:r>
        <w:rPr>
          <w:rStyle w:val="Hyperlink"/>
          <w:rFonts w:ascii="Times New Roman" w:hAnsi="Times New Roman" w:cs="Times New Roman"/>
        </w:rPr>
        <w:fldChar w:fldCharType="begin"/>
      </w:r>
      <w:r>
        <w:rPr>
          <w:rStyle w:val="Hyperlink"/>
          <w:rFonts w:ascii="Times New Roman" w:hAnsi="Times New Roman" w:cs="Times New Roman"/>
        </w:rPr>
        <w:instrText xml:space="preserve"> HYPERLINK "https://eur-lex.europa.eu/legal-content/PL/TXT/?uri=CELEX%3A52015DC0468" </w:instrText>
      </w:r>
      <w:r>
        <w:rPr>
          <w:rStyle w:val="Hyperlink"/>
          <w:rFonts w:ascii="Times New Roman" w:hAnsi="Times New Roman" w:cs="Times New Roman"/>
        </w:rPr>
        <w:fldChar w:fldCharType="separate"/>
      </w:r>
      <w:r>
        <w:rPr>
          <w:rStyle w:val="Hyperlink"/>
          <w:rFonts w:ascii="Times New Roman" w:hAnsi="Times New Roman"/>
        </w:rPr>
        <w:t>https://eur-lex.europa.eu/legal-content/PL/TXT/?uri=CELEX%3A52015DC0468</w:t>
      </w:r>
      <w:r>
        <w:rPr>
          <w:rStyle w:val="Hyperlink"/>
          <w:rFonts w:ascii="Times New Roman" w:hAnsi="Times New Roman" w:cs="Times New Roman"/>
        </w:rPr>
        <w:fldChar w:fldCharType="end"/>
      </w:r>
      <w:r>
        <w:rPr>
          <w:rStyle w:val="Hyperlink"/>
          <w:rFonts w:ascii="Times New Roman" w:hAnsi="Times New Roman"/>
        </w:rPr>
        <w:t xml:space="preserve"> </w:t>
      </w:r>
    </w:p>
  </w:footnote>
  <w:footnote w:id="5">
    <w:p w14:paraId="59E79EEA" w14:textId="412E6C84" w:rsidR="00CA68B9" w:rsidRPr="003C0D71" w:rsidRDefault="00CA68B9" w:rsidP="002C55A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Rozporządzenie Parlamentu Europejskiego</w:t>
      </w:r>
      <w:r w:rsidR="001B0DFF">
        <w:rPr>
          <w:rFonts w:ascii="Times New Roman" w:hAnsi="Times New Roman"/>
        </w:rPr>
        <w:t xml:space="preserve"> i Rad</w:t>
      </w:r>
      <w:r>
        <w:rPr>
          <w:rFonts w:ascii="Times New Roman" w:hAnsi="Times New Roman"/>
        </w:rPr>
        <w:t>y (UE) 2017/2402</w:t>
      </w:r>
      <w:r w:rsidR="001B0DFF">
        <w:rPr>
          <w:rFonts w:ascii="Times New Roman" w:hAnsi="Times New Roman"/>
        </w:rPr>
        <w:t xml:space="preserve"> z dni</w:t>
      </w:r>
      <w:r>
        <w:rPr>
          <w:rFonts w:ascii="Times New Roman" w:hAnsi="Times New Roman"/>
        </w:rPr>
        <w:t>a 12 grudnia 20</w:t>
      </w:r>
      <w:r w:rsidRPr="001B0DFF">
        <w:rPr>
          <w:rFonts w:ascii="Times New Roman" w:hAnsi="Times New Roman"/>
        </w:rPr>
        <w:t>17</w:t>
      </w:r>
      <w:r w:rsidR="001B0DFF" w:rsidRPr="001B0DFF">
        <w:rPr>
          <w:rFonts w:ascii="Times New Roman" w:hAnsi="Times New Roman"/>
        </w:rPr>
        <w:t> </w:t>
      </w:r>
      <w:r w:rsidRPr="001B0DFF">
        <w:rPr>
          <w:rFonts w:ascii="Times New Roman" w:hAnsi="Times New Roman"/>
        </w:rPr>
        <w:t>r.</w:t>
      </w:r>
      <w:r w:rsidR="001B0DFF">
        <w:rPr>
          <w:rFonts w:ascii="Times New Roman" w:hAnsi="Times New Roman"/>
        </w:rPr>
        <w:t xml:space="preserve"> w spr</w:t>
      </w:r>
      <w:r>
        <w:rPr>
          <w:rFonts w:ascii="Times New Roman" w:hAnsi="Times New Roman"/>
        </w:rPr>
        <w:t>awie ustanowienia ogólnych ram dla sekurytyzacji oraz utworzenia szczególnych ram dla prostych, przejrzystych</w:t>
      </w:r>
      <w:r w:rsidR="001B0DFF">
        <w:rPr>
          <w:rFonts w:ascii="Times New Roman" w:hAnsi="Times New Roman"/>
        </w:rPr>
        <w:t xml:space="preserve"> i sta</w:t>
      </w:r>
      <w:r>
        <w:rPr>
          <w:rFonts w:ascii="Times New Roman" w:hAnsi="Times New Roman"/>
        </w:rPr>
        <w:t>ndardowych sekurytyzacji,</w:t>
      </w:r>
      <w:r w:rsidR="001B0DFF">
        <w:rPr>
          <w:rFonts w:ascii="Times New Roman" w:hAnsi="Times New Roman"/>
        </w:rPr>
        <w:t xml:space="preserve"> a tak</w:t>
      </w:r>
      <w:r>
        <w:rPr>
          <w:rFonts w:ascii="Times New Roman" w:hAnsi="Times New Roman"/>
        </w:rPr>
        <w:t>że zmieniające dyrektywy 2009/65/WE, 2009/138/WE</w:t>
      </w:r>
      <w:r w:rsidR="001B0DFF">
        <w:rPr>
          <w:rFonts w:ascii="Times New Roman" w:hAnsi="Times New Roman"/>
        </w:rPr>
        <w:t xml:space="preserve"> i 2</w:t>
      </w:r>
      <w:r>
        <w:rPr>
          <w:rFonts w:ascii="Times New Roman" w:hAnsi="Times New Roman"/>
        </w:rPr>
        <w:t xml:space="preserve">011/61/UE oraz rozporządzenia (WE) </w:t>
      </w:r>
      <w:r w:rsidRPr="001B0DFF">
        <w:rPr>
          <w:rFonts w:ascii="Times New Roman" w:hAnsi="Times New Roman"/>
        </w:rPr>
        <w:t>nr</w:t>
      </w:r>
      <w:r w:rsidR="001B0DFF" w:rsidRPr="001B0DFF">
        <w:rPr>
          <w:rFonts w:ascii="Times New Roman" w:hAnsi="Times New Roman"/>
        </w:rPr>
        <w:t> </w:t>
      </w:r>
      <w:r w:rsidRPr="001B0DFF">
        <w:rPr>
          <w:rFonts w:ascii="Times New Roman" w:hAnsi="Times New Roman"/>
        </w:rPr>
        <w:t>1</w:t>
      </w:r>
      <w:r>
        <w:rPr>
          <w:rFonts w:ascii="Times New Roman" w:hAnsi="Times New Roman"/>
        </w:rPr>
        <w:t xml:space="preserve">060/2009 i (UE) </w:t>
      </w:r>
      <w:r w:rsidRPr="001B0DFF">
        <w:rPr>
          <w:rFonts w:ascii="Times New Roman" w:hAnsi="Times New Roman"/>
        </w:rPr>
        <w:t>nr</w:t>
      </w:r>
      <w:r w:rsidR="001B0DFF" w:rsidRPr="001B0DFF">
        <w:rPr>
          <w:rFonts w:ascii="Times New Roman" w:hAnsi="Times New Roman"/>
        </w:rPr>
        <w:t> </w:t>
      </w:r>
      <w:r w:rsidRPr="001B0DFF">
        <w:rPr>
          <w:rFonts w:ascii="Times New Roman" w:hAnsi="Times New Roman"/>
        </w:rPr>
        <w:t>6</w:t>
      </w:r>
      <w:r>
        <w:rPr>
          <w:rFonts w:ascii="Times New Roman" w:hAnsi="Times New Roman"/>
        </w:rPr>
        <w:t xml:space="preserve">48/2012. </w:t>
      </w:r>
    </w:p>
  </w:footnote>
  <w:footnote w:id="6">
    <w:p w14:paraId="25C857AB" w14:textId="5B26D7A8" w:rsidR="00CA68B9" w:rsidRPr="003C0D71" w:rsidRDefault="00CA68B9" w:rsidP="002C55A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Rozporządzenie Parlamentu Europejskiego</w:t>
      </w:r>
      <w:r w:rsidR="001B0DFF">
        <w:rPr>
          <w:rFonts w:ascii="Times New Roman" w:hAnsi="Times New Roman"/>
        </w:rPr>
        <w:t xml:space="preserve"> i Rad</w:t>
      </w:r>
      <w:r>
        <w:rPr>
          <w:rFonts w:ascii="Times New Roman" w:hAnsi="Times New Roman"/>
        </w:rPr>
        <w:t xml:space="preserve">y (UE) </w:t>
      </w:r>
      <w:r w:rsidRPr="001B0DFF">
        <w:rPr>
          <w:rFonts w:ascii="Times New Roman" w:hAnsi="Times New Roman"/>
        </w:rPr>
        <w:t>nr</w:t>
      </w:r>
      <w:r w:rsidR="001B0DFF" w:rsidRPr="001B0DFF">
        <w:rPr>
          <w:rFonts w:ascii="Times New Roman" w:hAnsi="Times New Roman"/>
        </w:rPr>
        <w:t> </w:t>
      </w:r>
      <w:r w:rsidRPr="001B0DFF">
        <w:rPr>
          <w:rFonts w:ascii="Times New Roman" w:hAnsi="Times New Roman"/>
        </w:rPr>
        <w:t>5</w:t>
      </w:r>
      <w:r>
        <w:rPr>
          <w:rFonts w:ascii="Times New Roman" w:hAnsi="Times New Roman"/>
        </w:rPr>
        <w:t>75/2013</w:t>
      </w:r>
      <w:r w:rsidR="001B0DFF">
        <w:rPr>
          <w:rFonts w:ascii="Times New Roman" w:hAnsi="Times New Roman"/>
        </w:rPr>
        <w:t xml:space="preserve"> z dni</w:t>
      </w:r>
      <w:r>
        <w:rPr>
          <w:rFonts w:ascii="Times New Roman" w:hAnsi="Times New Roman"/>
        </w:rPr>
        <w:t>a 26 czerwca 20</w:t>
      </w:r>
      <w:r w:rsidRPr="001B0DFF">
        <w:rPr>
          <w:rFonts w:ascii="Times New Roman" w:hAnsi="Times New Roman"/>
        </w:rPr>
        <w:t>13</w:t>
      </w:r>
      <w:r w:rsidR="001B0DFF" w:rsidRPr="001B0DFF">
        <w:rPr>
          <w:rFonts w:ascii="Times New Roman" w:hAnsi="Times New Roman"/>
        </w:rPr>
        <w:t> </w:t>
      </w:r>
      <w:r w:rsidRPr="001B0DFF">
        <w:rPr>
          <w:rFonts w:ascii="Times New Roman" w:hAnsi="Times New Roman"/>
        </w:rPr>
        <w:t>r.</w:t>
      </w:r>
      <w:r w:rsidR="001B0DFF">
        <w:rPr>
          <w:rFonts w:ascii="Times New Roman" w:hAnsi="Times New Roman"/>
        </w:rPr>
        <w:t xml:space="preserve"> w spr</w:t>
      </w:r>
      <w:r>
        <w:rPr>
          <w:rFonts w:ascii="Times New Roman" w:hAnsi="Times New Roman"/>
        </w:rPr>
        <w:t>awie wymogów ostrożnościowych dla instytucji kredytowych</w:t>
      </w:r>
      <w:r w:rsidR="001B0DFF">
        <w:rPr>
          <w:rFonts w:ascii="Times New Roman" w:hAnsi="Times New Roman"/>
        </w:rPr>
        <w:t xml:space="preserve"> i fir</w:t>
      </w:r>
      <w:r>
        <w:rPr>
          <w:rFonts w:ascii="Times New Roman" w:hAnsi="Times New Roman"/>
        </w:rPr>
        <w:t xml:space="preserve">m inwestycyjnych, zmieniające rozporządzenie (UE) </w:t>
      </w:r>
      <w:r w:rsidRPr="001B0DFF">
        <w:rPr>
          <w:rFonts w:ascii="Times New Roman" w:hAnsi="Times New Roman"/>
        </w:rPr>
        <w:t>nr</w:t>
      </w:r>
      <w:r w:rsidR="001B0DFF" w:rsidRPr="001B0DFF">
        <w:rPr>
          <w:rFonts w:ascii="Times New Roman" w:hAnsi="Times New Roman"/>
        </w:rPr>
        <w:t> </w:t>
      </w:r>
      <w:r w:rsidRPr="001B0DFF">
        <w:rPr>
          <w:rFonts w:ascii="Times New Roman" w:hAnsi="Times New Roman"/>
        </w:rPr>
        <w:t>6</w:t>
      </w:r>
      <w:r>
        <w:rPr>
          <w:rFonts w:ascii="Times New Roman" w:hAnsi="Times New Roman"/>
        </w:rPr>
        <w:t>48/2012 (Dz.U. L 176</w:t>
      </w:r>
      <w:r w:rsidR="001B0DFF">
        <w:rPr>
          <w:rFonts w:ascii="Times New Roman" w:hAnsi="Times New Roman"/>
        </w:rPr>
        <w:t xml:space="preserve"> z 2</w:t>
      </w:r>
      <w:r>
        <w:rPr>
          <w:rFonts w:ascii="Times New Roman" w:hAnsi="Times New Roman"/>
        </w:rPr>
        <w:t xml:space="preserve">7.6.2013, s. 1). </w:t>
      </w:r>
    </w:p>
  </w:footnote>
  <w:footnote w:id="7">
    <w:p w14:paraId="11D7FABD" w14:textId="514A680B" w:rsidR="00CA68B9" w:rsidRPr="003C0D71" w:rsidRDefault="00CA68B9" w:rsidP="002C55A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Dyrektywa Parlamentu Europejskiego</w:t>
      </w:r>
      <w:r w:rsidR="001B0DFF">
        <w:rPr>
          <w:rFonts w:ascii="Times New Roman" w:hAnsi="Times New Roman"/>
        </w:rPr>
        <w:t xml:space="preserve"> i Rad</w:t>
      </w:r>
      <w:r>
        <w:rPr>
          <w:rFonts w:ascii="Times New Roman" w:hAnsi="Times New Roman"/>
        </w:rPr>
        <w:t>y 2009/138/WE</w:t>
      </w:r>
      <w:r w:rsidR="001B0DFF">
        <w:rPr>
          <w:rFonts w:ascii="Times New Roman" w:hAnsi="Times New Roman"/>
        </w:rPr>
        <w:t xml:space="preserve"> z dni</w:t>
      </w:r>
      <w:r>
        <w:rPr>
          <w:rFonts w:ascii="Times New Roman" w:hAnsi="Times New Roman"/>
        </w:rPr>
        <w:t>a 25 listopada 20</w:t>
      </w:r>
      <w:r w:rsidRPr="001B0DFF">
        <w:rPr>
          <w:rFonts w:ascii="Times New Roman" w:hAnsi="Times New Roman"/>
        </w:rPr>
        <w:t>09</w:t>
      </w:r>
      <w:r w:rsidR="001B0DFF" w:rsidRPr="001B0DFF">
        <w:rPr>
          <w:rFonts w:ascii="Times New Roman" w:hAnsi="Times New Roman"/>
        </w:rPr>
        <w:t> </w:t>
      </w:r>
      <w:r w:rsidRPr="001B0DFF">
        <w:rPr>
          <w:rFonts w:ascii="Times New Roman" w:hAnsi="Times New Roman"/>
        </w:rPr>
        <w:t>r.</w:t>
      </w:r>
      <w:r w:rsidR="001B0DFF">
        <w:rPr>
          <w:rFonts w:ascii="Times New Roman" w:hAnsi="Times New Roman"/>
        </w:rPr>
        <w:t xml:space="preserve"> w spr</w:t>
      </w:r>
      <w:r>
        <w:rPr>
          <w:rFonts w:ascii="Times New Roman" w:hAnsi="Times New Roman"/>
        </w:rPr>
        <w:t>awie podejmowania</w:t>
      </w:r>
      <w:r w:rsidR="001B0DFF">
        <w:rPr>
          <w:rFonts w:ascii="Times New Roman" w:hAnsi="Times New Roman"/>
        </w:rPr>
        <w:t xml:space="preserve"> i pro</w:t>
      </w:r>
      <w:r>
        <w:rPr>
          <w:rFonts w:ascii="Times New Roman" w:hAnsi="Times New Roman"/>
        </w:rPr>
        <w:t>wadzenia działalności ubezpieczeniowej</w:t>
      </w:r>
      <w:r w:rsidR="001B0DFF">
        <w:rPr>
          <w:rFonts w:ascii="Times New Roman" w:hAnsi="Times New Roman"/>
        </w:rPr>
        <w:t xml:space="preserve"> i rea</w:t>
      </w:r>
      <w:r>
        <w:rPr>
          <w:rFonts w:ascii="Times New Roman" w:hAnsi="Times New Roman"/>
        </w:rPr>
        <w:t>sekuracyjnej (Wypłacalność II) (Dz.U. L 335</w:t>
      </w:r>
      <w:r w:rsidR="001B0DFF">
        <w:rPr>
          <w:rFonts w:ascii="Times New Roman" w:hAnsi="Times New Roman"/>
        </w:rPr>
        <w:t xml:space="preserve"> z 1</w:t>
      </w:r>
      <w:r>
        <w:rPr>
          <w:rFonts w:ascii="Times New Roman" w:hAnsi="Times New Roman"/>
        </w:rPr>
        <w:t xml:space="preserve">7.12.2009, s. 1). </w:t>
      </w:r>
    </w:p>
  </w:footnote>
  <w:footnote w:id="8">
    <w:p w14:paraId="25BAE04E" w14:textId="669E3CD3" w:rsidR="00CA68B9" w:rsidRPr="003C0D71" w:rsidRDefault="00CA68B9" w:rsidP="00784D53">
      <w:pPr>
        <w:pStyle w:val="FootnoteText"/>
        <w:jc w:val="both"/>
        <w:rPr>
          <w:rFonts w:ascii="Times New Roman" w:hAnsi="Times New Roman" w:cs="Times New Roman"/>
          <w:i/>
          <w:iCs/>
        </w:rPr>
      </w:pPr>
      <w:r>
        <w:rPr>
          <w:rStyle w:val="FootnoteReference"/>
          <w:rFonts w:ascii="Times New Roman" w:hAnsi="Times New Roman" w:cs="Times New Roman"/>
        </w:rPr>
        <w:footnoteRef/>
      </w:r>
      <w:r>
        <w:t xml:space="preserve"> </w:t>
      </w:r>
      <w:r>
        <w:rPr>
          <w:rFonts w:ascii="Times New Roman" w:hAnsi="Times New Roman"/>
        </w:rPr>
        <w:t>Dyrektywa Parlamentu Europejskiego</w:t>
      </w:r>
      <w:r w:rsidR="001B0DFF">
        <w:rPr>
          <w:rFonts w:ascii="Times New Roman" w:hAnsi="Times New Roman"/>
        </w:rPr>
        <w:t xml:space="preserve"> i Rad</w:t>
      </w:r>
      <w:r>
        <w:rPr>
          <w:rFonts w:ascii="Times New Roman" w:hAnsi="Times New Roman"/>
        </w:rPr>
        <w:t>y 2009/65/WE</w:t>
      </w:r>
      <w:r w:rsidR="001B0DFF">
        <w:rPr>
          <w:rFonts w:ascii="Times New Roman" w:hAnsi="Times New Roman"/>
        </w:rPr>
        <w:t xml:space="preserve"> z dni</w:t>
      </w:r>
      <w:r>
        <w:rPr>
          <w:rFonts w:ascii="Times New Roman" w:hAnsi="Times New Roman"/>
        </w:rPr>
        <w:t>a 13 lipca 20</w:t>
      </w:r>
      <w:r w:rsidRPr="001B0DFF">
        <w:rPr>
          <w:rFonts w:ascii="Times New Roman" w:hAnsi="Times New Roman"/>
        </w:rPr>
        <w:t>09</w:t>
      </w:r>
      <w:r w:rsidR="001B0DFF" w:rsidRPr="001B0DFF">
        <w:rPr>
          <w:rFonts w:ascii="Times New Roman" w:hAnsi="Times New Roman"/>
        </w:rPr>
        <w:t> </w:t>
      </w:r>
      <w:r w:rsidRPr="001B0DFF">
        <w:rPr>
          <w:rFonts w:ascii="Times New Roman" w:hAnsi="Times New Roman"/>
        </w:rPr>
        <w:t>r.</w:t>
      </w:r>
      <w:r w:rsidR="001B0DFF">
        <w:rPr>
          <w:rFonts w:ascii="Times New Roman" w:hAnsi="Times New Roman"/>
        </w:rPr>
        <w:t xml:space="preserve"> w spr</w:t>
      </w:r>
      <w:r>
        <w:rPr>
          <w:rFonts w:ascii="Times New Roman" w:hAnsi="Times New Roman"/>
        </w:rPr>
        <w:t>awie koordynacji przepisów ustawowych, wykonawczych</w:t>
      </w:r>
      <w:r w:rsidR="001B0DFF">
        <w:rPr>
          <w:rFonts w:ascii="Times New Roman" w:hAnsi="Times New Roman"/>
        </w:rPr>
        <w:t xml:space="preserve"> i adm</w:t>
      </w:r>
      <w:r>
        <w:rPr>
          <w:rFonts w:ascii="Times New Roman" w:hAnsi="Times New Roman"/>
        </w:rPr>
        <w:t>inistracyjnych odnoszących się do przedsiębiorstw zbiorowego inwestowania</w:t>
      </w:r>
      <w:r w:rsidR="001B0DFF">
        <w:rPr>
          <w:rFonts w:ascii="Times New Roman" w:hAnsi="Times New Roman"/>
        </w:rPr>
        <w:t xml:space="preserve"> w zby</w:t>
      </w:r>
      <w:r>
        <w:rPr>
          <w:rFonts w:ascii="Times New Roman" w:hAnsi="Times New Roman"/>
        </w:rPr>
        <w:t>walne papiery wartościowe (UCITS) (Dz.U. L 302</w:t>
      </w:r>
      <w:r w:rsidR="001B0DFF">
        <w:rPr>
          <w:rFonts w:ascii="Times New Roman" w:hAnsi="Times New Roman"/>
        </w:rPr>
        <w:t xml:space="preserve"> z 1</w:t>
      </w:r>
      <w:r>
        <w:rPr>
          <w:rFonts w:ascii="Times New Roman" w:hAnsi="Times New Roman"/>
        </w:rPr>
        <w:t>7.11.2009, s. 32).</w:t>
      </w:r>
    </w:p>
  </w:footnote>
  <w:footnote w:id="9">
    <w:p w14:paraId="0D3BDA4B" w14:textId="06F34DCA" w:rsidR="00CA68B9" w:rsidRPr="003C0D71" w:rsidRDefault="00CA68B9" w:rsidP="00784D5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Dyrektywa Parlamentu Europejskiego</w:t>
      </w:r>
      <w:r w:rsidR="001B0DFF">
        <w:rPr>
          <w:rFonts w:ascii="Times New Roman" w:hAnsi="Times New Roman"/>
        </w:rPr>
        <w:t xml:space="preserve"> i Rad</w:t>
      </w:r>
      <w:r>
        <w:rPr>
          <w:rFonts w:ascii="Times New Roman" w:hAnsi="Times New Roman"/>
        </w:rPr>
        <w:t>y 2011/61/UE</w:t>
      </w:r>
      <w:r w:rsidR="001B0DFF">
        <w:rPr>
          <w:rFonts w:ascii="Times New Roman" w:hAnsi="Times New Roman"/>
        </w:rPr>
        <w:t xml:space="preserve"> z dni</w:t>
      </w:r>
      <w:r>
        <w:rPr>
          <w:rFonts w:ascii="Times New Roman" w:hAnsi="Times New Roman"/>
        </w:rPr>
        <w:t>a 8 czerwca 20</w:t>
      </w:r>
      <w:r w:rsidRPr="001B0DFF">
        <w:rPr>
          <w:rFonts w:ascii="Times New Roman" w:hAnsi="Times New Roman"/>
        </w:rPr>
        <w:t>11</w:t>
      </w:r>
      <w:r w:rsidR="001B0DFF" w:rsidRPr="001B0DFF">
        <w:rPr>
          <w:rFonts w:ascii="Times New Roman" w:hAnsi="Times New Roman"/>
        </w:rPr>
        <w:t> </w:t>
      </w:r>
      <w:r w:rsidRPr="001B0DFF">
        <w:rPr>
          <w:rFonts w:ascii="Times New Roman" w:hAnsi="Times New Roman"/>
        </w:rPr>
        <w:t>r.</w:t>
      </w:r>
      <w:r w:rsidR="001B0DFF">
        <w:rPr>
          <w:rFonts w:ascii="Times New Roman" w:hAnsi="Times New Roman"/>
        </w:rPr>
        <w:t xml:space="preserve"> w spr</w:t>
      </w:r>
      <w:r>
        <w:rPr>
          <w:rFonts w:ascii="Times New Roman" w:hAnsi="Times New Roman"/>
        </w:rPr>
        <w:t>awie zarządzających alternatywnymi funduszami inwestycyjnymi</w:t>
      </w:r>
      <w:r w:rsidR="001B0DFF">
        <w:rPr>
          <w:rFonts w:ascii="Times New Roman" w:hAnsi="Times New Roman"/>
        </w:rPr>
        <w:t xml:space="preserve"> i zmi</w:t>
      </w:r>
      <w:r>
        <w:rPr>
          <w:rFonts w:ascii="Times New Roman" w:hAnsi="Times New Roman"/>
        </w:rPr>
        <w:t>any dyrektyw 2003/41/WE</w:t>
      </w:r>
      <w:r w:rsidR="001B0DFF">
        <w:rPr>
          <w:rFonts w:ascii="Times New Roman" w:hAnsi="Times New Roman"/>
        </w:rPr>
        <w:t xml:space="preserve"> i 2</w:t>
      </w:r>
      <w:r>
        <w:rPr>
          <w:rFonts w:ascii="Times New Roman" w:hAnsi="Times New Roman"/>
        </w:rPr>
        <w:t xml:space="preserve">009/65/WE oraz rozporządzeń (WE) </w:t>
      </w:r>
      <w:r w:rsidRPr="001B0DFF">
        <w:rPr>
          <w:rFonts w:ascii="Times New Roman" w:hAnsi="Times New Roman"/>
        </w:rPr>
        <w:t>nr</w:t>
      </w:r>
      <w:r w:rsidR="001B0DFF" w:rsidRPr="001B0DFF">
        <w:rPr>
          <w:rFonts w:ascii="Times New Roman" w:hAnsi="Times New Roman"/>
        </w:rPr>
        <w:t> </w:t>
      </w:r>
      <w:r w:rsidRPr="001B0DFF">
        <w:rPr>
          <w:rFonts w:ascii="Times New Roman" w:hAnsi="Times New Roman"/>
        </w:rPr>
        <w:t>1</w:t>
      </w:r>
      <w:r>
        <w:rPr>
          <w:rFonts w:ascii="Times New Roman" w:hAnsi="Times New Roman"/>
        </w:rPr>
        <w:t xml:space="preserve">060/2009 i (UE) </w:t>
      </w:r>
      <w:r w:rsidRPr="001B0DFF">
        <w:rPr>
          <w:rFonts w:ascii="Times New Roman" w:hAnsi="Times New Roman"/>
        </w:rPr>
        <w:t>nr</w:t>
      </w:r>
      <w:r w:rsidR="001B0DFF" w:rsidRPr="001B0DFF">
        <w:rPr>
          <w:rFonts w:ascii="Times New Roman" w:hAnsi="Times New Roman"/>
        </w:rPr>
        <w:t> </w:t>
      </w:r>
      <w:r w:rsidRPr="001B0DFF">
        <w:rPr>
          <w:rFonts w:ascii="Times New Roman" w:hAnsi="Times New Roman"/>
        </w:rPr>
        <w:t>1</w:t>
      </w:r>
      <w:r>
        <w:rPr>
          <w:rFonts w:ascii="Times New Roman" w:hAnsi="Times New Roman"/>
        </w:rPr>
        <w:t>095/2010 (Dz.U. L 174</w:t>
      </w:r>
      <w:r w:rsidR="001B0DFF">
        <w:rPr>
          <w:rFonts w:ascii="Times New Roman" w:hAnsi="Times New Roman"/>
        </w:rPr>
        <w:t xml:space="preserve"> z 1</w:t>
      </w:r>
      <w:r>
        <w:rPr>
          <w:rFonts w:ascii="Times New Roman" w:hAnsi="Times New Roman"/>
        </w:rPr>
        <w:t>.7.2011, s. 1).</w:t>
      </w:r>
      <w:r>
        <w:rPr>
          <w:rFonts w:ascii="Times New Roman" w:hAnsi="Times New Roman"/>
          <w:i/>
        </w:rPr>
        <w:t xml:space="preserve"> </w:t>
      </w:r>
    </w:p>
  </w:footnote>
  <w:footnote w:id="10">
    <w:p w14:paraId="4C322D70" w14:textId="718AFF02" w:rsidR="00CA68B9" w:rsidRPr="003C0D71" w:rsidRDefault="00CA68B9" w:rsidP="00784D5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Sekurytyzacja stanowiąca prawdziwą sprzedaż wiąże się</w:t>
      </w:r>
      <w:r w:rsidR="001B0DFF">
        <w:rPr>
          <w:rFonts w:ascii="Times New Roman" w:hAnsi="Times New Roman"/>
        </w:rPr>
        <w:t xml:space="preserve"> z prz</w:t>
      </w:r>
      <w:r>
        <w:rPr>
          <w:rFonts w:ascii="Times New Roman" w:hAnsi="Times New Roman"/>
        </w:rPr>
        <w:t>eniesieniem udziału gospodarczego</w:t>
      </w:r>
      <w:r w:rsidR="001B0DFF">
        <w:rPr>
          <w:rFonts w:ascii="Times New Roman" w:hAnsi="Times New Roman"/>
        </w:rPr>
        <w:t xml:space="preserve"> w eks</w:t>
      </w:r>
      <w:r>
        <w:rPr>
          <w:rFonts w:ascii="Times New Roman" w:hAnsi="Times New Roman"/>
        </w:rPr>
        <w:t>pozycjach będących przedmiotem sekurytyzacji</w:t>
      </w:r>
      <w:r w:rsidR="001B0DFF">
        <w:rPr>
          <w:rFonts w:ascii="Times New Roman" w:hAnsi="Times New Roman"/>
        </w:rPr>
        <w:t xml:space="preserve"> w dro</w:t>
      </w:r>
      <w:r>
        <w:rPr>
          <w:rFonts w:ascii="Times New Roman" w:hAnsi="Times New Roman"/>
        </w:rPr>
        <w:t>dze przeniesienia własności do tych ekspozycji na rzecz jednostki specjalnego przeznaczenia.</w:t>
      </w:r>
    </w:p>
  </w:footnote>
  <w:footnote w:id="11">
    <w:p w14:paraId="3C05F263" w14:textId="77777777" w:rsidR="00CA68B9" w:rsidRPr="003C0D71" w:rsidRDefault="00CA68B9" w:rsidP="00784D5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Zob. </w:t>
      </w:r>
      <w:hyperlink r:id="rId2" w:history="1">
        <w:r>
          <w:rPr>
            <w:rStyle w:val="Hyperlink"/>
            <w:rFonts w:ascii="Times New Roman" w:hAnsi="Times New Roman"/>
          </w:rPr>
          <w:t>https://ec.europa.eu/info/publications/200722-proposal-capital-markets-recovery_en</w:t>
        </w:r>
      </w:hyperlink>
      <w:r>
        <w:rPr>
          <w:rFonts w:ascii="Times New Roman" w:hAnsi="Times New Roman"/>
        </w:rPr>
        <w:t xml:space="preserve"> </w:t>
      </w:r>
    </w:p>
  </w:footnote>
  <w:footnote w:id="12">
    <w:p w14:paraId="4B308B7E" w14:textId="5139F621" w:rsidR="00CA68B9" w:rsidRPr="003C0D71" w:rsidRDefault="00CA68B9" w:rsidP="00784D5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 przeciwieństwie do sekurytyzacji stanowiących „prawdziwą sprzedaż”</w:t>
      </w:r>
      <w:r w:rsidR="001B0DFF">
        <w:rPr>
          <w:rFonts w:ascii="Times New Roman" w:hAnsi="Times New Roman"/>
        </w:rPr>
        <w:t xml:space="preserve"> w sek</w:t>
      </w:r>
      <w:r>
        <w:rPr>
          <w:rFonts w:ascii="Times New Roman" w:hAnsi="Times New Roman"/>
        </w:rPr>
        <w:t>urytyzacji syntetycznej bazowe ryzyko kredytowe związane</w:t>
      </w:r>
      <w:r w:rsidR="001B0DFF">
        <w:rPr>
          <w:rFonts w:ascii="Times New Roman" w:hAnsi="Times New Roman"/>
        </w:rPr>
        <w:t xml:space="preserve"> z pul</w:t>
      </w:r>
      <w:r>
        <w:rPr>
          <w:rFonts w:ascii="Times New Roman" w:hAnsi="Times New Roman"/>
        </w:rPr>
        <w:t>ą kredytów jest przenoszone</w:t>
      </w:r>
      <w:r w:rsidR="001B0DFF">
        <w:rPr>
          <w:rFonts w:ascii="Times New Roman" w:hAnsi="Times New Roman"/>
        </w:rPr>
        <w:t xml:space="preserve"> w dro</w:t>
      </w:r>
      <w:r>
        <w:rPr>
          <w:rFonts w:ascii="Times New Roman" w:hAnsi="Times New Roman"/>
        </w:rPr>
        <w:t>dze zastosowania kredytowych instrumentów pochodnych lub gwarancji,</w:t>
      </w:r>
      <w:r w:rsidR="001B0DFF">
        <w:rPr>
          <w:rFonts w:ascii="Times New Roman" w:hAnsi="Times New Roman"/>
        </w:rPr>
        <w:t xml:space="preserve"> a sek</w:t>
      </w:r>
      <w:r>
        <w:rPr>
          <w:rFonts w:ascii="Times New Roman" w:hAnsi="Times New Roman"/>
        </w:rPr>
        <w:t>urytyzowane ekspozycje pozostają ekspozycjami jednostki inicjującej.</w:t>
      </w:r>
    </w:p>
  </w:footnote>
  <w:footnote w:id="13">
    <w:p w14:paraId="20643E36" w14:textId="0EA51220"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Działanie 6</w:t>
      </w:r>
      <w:r w:rsidR="001B0DFF">
        <w:rPr>
          <w:rFonts w:ascii="Times New Roman" w:hAnsi="Times New Roman"/>
        </w:rPr>
        <w:t xml:space="preserve"> w ram</w:t>
      </w:r>
      <w:r>
        <w:rPr>
          <w:rFonts w:ascii="Times New Roman" w:hAnsi="Times New Roman"/>
        </w:rPr>
        <w:t xml:space="preserve">ach planu działania: </w:t>
      </w:r>
      <w:hyperlink r:id="rId3" w:history="1">
        <w:r>
          <w:rPr>
            <w:rStyle w:val="Hyperlink"/>
            <w:rFonts w:ascii="Times New Roman" w:hAnsi="Times New Roman"/>
          </w:rPr>
          <w:t>https://eur-lex.europa.eu/legal-content/PL/TXT/?uri=COM:2020:590:FIN</w:t>
        </w:r>
      </w:hyperlink>
      <w:r>
        <w:rPr>
          <w:rFonts w:ascii="Times New Roman" w:hAnsi="Times New Roman"/>
        </w:rPr>
        <w:t xml:space="preserve"> </w:t>
      </w:r>
    </w:p>
  </w:footnote>
  <w:footnote w:id="14">
    <w:p w14:paraId="40B36480" w14:textId="19382339" w:rsidR="00CA68B9" w:rsidRPr="003C0D71" w:rsidRDefault="00CA68B9" w:rsidP="00784D5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Opinia ESA dla Komisji Europejskiej</w:t>
      </w:r>
      <w:r w:rsidR="001B0DFF">
        <w:rPr>
          <w:rFonts w:ascii="Times New Roman" w:hAnsi="Times New Roman"/>
        </w:rPr>
        <w:t xml:space="preserve"> w spr</w:t>
      </w:r>
      <w:r>
        <w:rPr>
          <w:rFonts w:ascii="Times New Roman" w:hAnsi="Times New Roman"/>
        </w:rPr>
        <w:t>awie zakresu jurysdykcji stosowania rozporządzenia</w:t>
      </w:r>
      <w:r w:rsidR="001B0DFF">
        <w:rPr>
          <w:rFonts w:ascii="Times New Roman" w:hAnsi="Times New Roman"/>
        </w:rPr>
        <w:t xml:space="preserve"> w spr</w:t>
      </w:r>
      <w:r>
        <w:rPr>
          <w:rFonts w:ascii="Times New Roman" w:hAnsi="Times New Roman"/>
        </w:rPr>
        <w:t xml:space="preserve">awie sekurytyzacji, JC 2021 16. </w:t>
      </w:r>
      <w:hyperlink r:id="rId4" w:history="1">
        <w:r>
          <w:rPr>
            <w:rStyle w:val="Hyperlink"/>
            <w:rFonts w:ascii="Times New Roman" w:hAnsi="Times New Roman"/>
          </w:rPr>
          <w:t>https://www.esma.europa.eu/sites/default/files/library/jc_2021_16_-_esas_opinion_on_jurisdictional_scope_of_application_of_the_securitisation_regulation_003.pdf</w:t>
        </w:r>
      </w:hyperlink>
    </w:p>
  </w:footnote>
  <w:footnote w:id="15">
    <w:p w14:paraId="3D2355E5" w14:textId="2AD265A1" w:rsidR="00CA68B9" w:rsidRPr="00346C1E" w:rsidRDefault="00CA68B9" w:rsidP="00D338B2">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rPr>
        <w:t xml:space="preserve"> Sprawozdanie końcowe Forum Wysokiego Szczebla</w:t>
      </w:r>
      <w:r w:rsidR="001B0DFF">
        <w:rPr>
          <w:rFonts w:ascii="Times New Roman" w:hAnsi="Times New Roman"/>
        </w:rPr>
        <w:t xml:space="preserve"> w spr</w:t>
      </w:r>
      <w:r>
        <w:rPr>
          <w:rFonts w:ascii="Times New Roman" w:hAnsi="Times New Roman"/>
        </w:rPr>
        <w:t>awie unii rynków kapitałowych – „Nowa wizja rynków kapitałowych Europy” (ang</w:t>
      </w:r>
      <w:r w:rsidR="001B0DFF">
        <w:rPr>
          <w:rFonts w:ascii="Times New Roman" w:hAnsi="Times New Roman"/>
        </w:rPr>
        <w:t xml:space="preserve">. </w:t>
      </w:r>
      <w:r w:rsidR="001B0DFF" w:rsidRPr="00346C1E">
        <w:rPr>
          <w:rFonts w:ascii="Times New Roman" w:hAnsi="Times New Roman"/>
          <w:lang w:val="en-GB"/>
        </w:rPr>
        <w:t>A</w:t>
      </w:r>
      <w:r w:rsidR="001B0DFF">
        <w:rPr>
          <w:rFonts w:ascii="Times New Roman" w:hAnsi="Times New Roman"/>
        </w:rPr>
        <w:t> </w:t>
      </w:r>
      <w:r w:rsidR="001B0DFF" w:rsidRPr="00346C1E">
        <w:rPr>
          <w:rFonts w:ascii="Times New Roman" w:hAnsi="Times New Roman"/>
          <w:lang w:val="en-GB"/>
        </w:rPr>
        <w:t>new</w:t>
      </w:r>
      <w:r w:rsidRPr="00346C1E">
        <w:rPr>
          <w:rFonts w:ascii="Times New Roman" w:hAnsi="Times New Roman"/>
          <w:lang w:val="en-GB"/>
        </w:rPr>
        <w:t xml:space="preserve"> vision for Europe’s capital markets) </w:t>
      </w:r>
      <w:hyperlink r:id="rId5" w:history="1">
        <w:r w:rsidRPr="00346C1E">
          <w:rPr>
            <w:rStyle w:val="Hyperlink"/>
            <w:rFonts w:ascii="Times New Roman" w:hAnsi="Times New Roman"/>
            <w:lang w:val="en-GB"/>
          </w:rPr>
          <w:t>https://ec.europa.eu/info/files/200610-cmu-high-level-forum-final-report_en</w:t>
        </w:r>
      </w:hyperlink>
      <w:r w:rsidRPr="00346C1E">
        <w:rPr>
          <w:rFonts w:ascii="Times New Roman" w:hAnsi="Times New Roman"/>
          <w:lang w:val="en-GB"/>
        </w:rPr>
        <w:t xml:space="preserve"> </w:t>
      </w:r>
    </w:p>
  </w:footnote>
  <w:footnote w:id="16">
    <w:p w14:paraId="0FA31267" w14:textId="3BA9DA6E"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Sprawozdanie Wspólnego Komitetu dotyczące wdrażania</w:t>
      </w:r>
      <w:r w:rsidR="001B0DFF">
        <w:rPr>
          <w:rFonts w:ascii="Times New Roman" w:hAnsi="Times New Roman"/>
        </w:rPr>
        <w:t xml:space="preserve"> i fun</w:t>
      </w:r>
      <w:r>
        <w:rPr>
          <w:rFonts w:ascii="Times New Roman" w:hAnsi="Times New Roman"/>
        </w:rPr>
        <w:t>kcjonowania rozporządzenia</w:t>
      </w:r>
      <w:r w:rsidR="001B0DFF">
        <w:rPr>
          <w:rFonts w:ascii="Times New Roman" w:hAnsi="Times New Roman"/>
        </w:rPr>
        <w:t xml:space="preserve"> w spr</w:t>
      </w:r>
      <w:r>
        <w:rPr>
          <w:rFonts w:ascii="Times New Roman" w:hAnsi="Times New Roman"/>
        </w:rPr>
        <w:t xml:space="preserve">awie sekurytyzacji, JC 2021 31. </w:t>
      </w:r>
      <w:hyperlink r:id="rId6" w:history="1">
        <w:r>
          <w:rPr>
            <w:rStyle w:val="Hyperlink"/>
            <w:rFonts w:ascii="Times New Roman" w:hAnsi="Times New Roman"/>
          </w:rPr>
          <w:t>https://www.eiopa.europa.eu/document-library/report/joint-committee-report-implementation-and-functioning-of-securitisation_en</w:t>
        </w:r>
      </w:hyperlink>
    </w:p>
  </w:footnote>
  <w:footnote w:id="17">
    <w:p w14:paraId="7E05B595" w14:textId="7A6C742D"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https://finance.ec.europa.eu/document/download/4ce4c935-06eb-4a35-a475-3b7224982242_en?filename=2021-eu-securitisation-framework-summary-of-responses_en.pdf</w:t>
        </w:r>
      </w:hyperlink>
      <w:r>
        <w:rPr>
          <w:rFonts w:ascii="Times New Roman" w:hAnsi="Times New Roman"/>
        </w:rPr>
        <w:t xml:space="preserve"> </w:t>
      </w:r>
    </w:p>
  </w:footnote>
  <w:footnote w:id="18">
    <w:p w14:paraId="68B15924" w14:textId="193E0E3F" w:rsidR="00CA68B9" w:rsidRPr="003C0D71" w:rsidRDefault="00CA68B9" w:rsidP="00784D53">
      <w:pPr>
        <w:pStyle w:val="FootnoteText"/>
        <w:rPr>
          <w:rFonts w:ascii="Times New Roman" w:hAnsi="Times New Roman" w:cs="Times New Roman"/>
        </w:rPr>
      </w:pPr>
      <w:r>
        <w:rPr>
          <w:rStyle w:val="FootnoteReference"/>
          <w:rFonts w:ascii="Times New Roman" w:hAnsi="Times New Roman" w:cs="Times New Roman"/>
        </w:rPr>
        <w:footnoteRef/>
      </w:r>
      <w:hyperlink r:id="rId8" w:history="1">
        <w:r>
          <w:rPr>
            <w:rStyle w:val="Hyperlink"/>
            <w:rFonts w:ascii="Times New Roman" w:hAnsi="Times New Roman"/>
          </w:rPr>
          <w:t>https://www.eba.europa.eu/sites/default/documents/files/document_library/About%20Us/Missions%20and%20tasks/Call%20for%20Advice/2021/CfA%20to%20JC%20for%20securitisation%20in%20prudential%20framework%20review/1022482/CfA%20cover%20letter_final.pdf</w:t>
        </w:r>
      </w:hyperlink>
      <w:r>
        <w:rPr>
          <w:rFonts w:ascii="Times New Roman" w:hAnsi="Times New Roman"/>
        </w:rPr>
        <w:t xml:space="preserve"> </w:t>
      </w:r>
    </w:p>
  </w:footnote>
  <w:footnote w:id="19">
    <w:p w14:paraId="76B59B55" w14:textId="23FA834F" w:rsidR="00CA68B9" w:rsidRPr="00346C1E" w:rsidRDefault="00CA68B9" w:rsidP="00175683">
      <w:pPr>
        <w:pStyle w:val="FootnoteText"/>
        <w:rPr>
          <w:rFonts w:ascii="Times New Roman" w:hAnsi="Times New Roman" w:cs="Times New Roman"/>
          <w:b/>
          <w:lang w:val="en-GB"/>
        </w:rPr>
      </w:pPr>
      <w:r>
        <w:rPr>
          <w:rStyle w:val="FootnoteReference"/>
          <w:rFonts w:ascii="Times New Roman" w:hAnsi="Times New Roman" w:cs="Times New Roman"/>
        </w:rPr>
        <w:footnoteRef/>
      </w:r>
      <w:r w:rsidRPr="00346C1E">
        <w:rPr>
          <w:rFonts w:ascii="Times New Roman" w:hAnsi="Times New Roman"/>
          <w:lang w:val="en-GB"/>
        </w:rPr>
        <w:t xml:space="preserve"> European Benchmarking Exercise (EBE) for Private Securitisations, 1 grudnia 20</w:t>
      </w:r>
      <w:r w:rsidRPr="001B0DFF">
        <w:rPr>
          <w:rFonts w:ascii="Times New Roman" w:hAnsi="Times New Roman"/>
        </w:rPr>
        <w:t>21</w:t>
      </w:r>
      <w:r w:rsidR="001B0DFF" w:rsidRPr="001B0DFF">
        <w:rPr>
          <w:rFonts w:ascii="Times New Roman" w:hAnsi="Times New Roman"/>
        </w:rPr>
        <w:t> </w:t>
      </w:r>
      <w:r w:rsidRPr="001B0DFF">
        <w:rPr>
          <w:rFonts w:ascii="Times New Roman" w:hAnsi="Times New Roman"/>
        </w:rPr>
        <w:t>r.</w:t>
      </w:r>
      <w:r w:rsidRPr="00346C1E">
        <w:rPr>
          <w:rFonts w:ascii="Times New Roman" w:hAnsi="Times New Roman"/>
          <w:lang w:val="en-GB"/>
        </w:rPr>
        <w:t xml:space="preserve">, </w:t>
      </w:r>
      <w:hyperlink r:id="rId9" w:history="1">
        <w:r w:rsidRPr="00346C1E">
          <w:rPr>
            <w:rStyle w:val="Hyperlink"/>
            <w:rFonts w:ascii="Times New Roman" w:hAnsi="Times New Roman"/>
            <w:lang w:val="en-GB"/>
          </w:rPr>
          <w:t>https://www.afme.eu/publications/reports/details/European-Benchmarking-Exercise-EBE-for-Private-Securitisations</w:t>
        </w:r>
      </w:hyperlink>
      <w:r w:rsidRPr="00346C1E">
        <w:rPr>
          <w:rFonts w:ascii="Times New Roman" w:hAnsi="Times New Roman"/>
          <w:lang w:val="en-GB"/>
        </w:rPr>
        <w:t xml:space="preserve"> </w:t>
      </w:r>
    </w:p>
  </w:footnote>
  <w:footnote w:id="20">
    <w:p w14:paraId="3015033E" w14:textId="1D306E3A" w:rsidR="00CA68B9" w:rsidRPr="003C0D71" w:rsidRDefault="00CA68B9" w:rsidP="006E419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Dane cyfrowe nie obejmują instrumentów typu CLO. Źródło: Sprawozdanie AFME dotyczące danych sekurytyzacyjnych za IV </w:t>
      </w:r>
      <w:r w:rsidRPr="001B0DFF">
        <w:rPr>
          <w:rFonts w:ascii="Times New Roman" w:hAnsi="Times New Roman"/>
        </w:rPr>
        <w:t>kw.</w:t>
      </w:r>
      <w:r w:rsidR="001B0DFF" w:rsidRPr="001B0DFF">
        <w:rPr>
          <w:rFonts w:ascii="Times New Roman" w:hAnsi="Times New Roman"/>
        </w:rPr>
        <w:t> </w:t>
      </w:r>
      <w:r w:rsidRPr="001B0DFF">
        <w:rPr>
          <w:rFonts w:ascii="Times New Roman" w:hAnsi="Times New Roman"/>
        </w:rPr>
        <w:t>2</w:t>
      </w:r>
      <w:r>
        <w:rPr>
          <w:rFonts w:ascii="Times New Roman" w:hAnsi="Times New Roman"/>
        </w:rPr>
        <w:t>0</w:t>
      </w:r>
      <w:r w:rsidRPr="001B0DFF">
        <w:rPr>
          <w:rFonts w:ascii="Times New Roman" w:hAnsi="Times New Roman"/>
        </w:rPr>
        <w:t>21</w:t>
      </w:r>
      <w:r w:rsidR="001B0DFF" w:rsidRPr="001B0DFF">
        <w:rPr>
          <w:rFonts w:ascii="Times New Roman" w:hAnsi="Times New Roman"/>
        </w:rPr>
        <w:t> </w:t>
      </w:r>
      <w:r w:rsidRPr="001B0DFF">
        <w:rPr>
          <w:rFonts w:ascii="Times New Roman" w:hAnsi="Times New Roman"/>
        </w:rPr>
        <w:t>r.</w:t>
      </w:r>
      <w:r w:rsidR="001B0DFF">
        <w:rPr>
          <w:rFonts w:ascii="Times New Roman" w:hAnsi="Times New Roman"/>
        </w:rPr>
        <w:t xml:space="preserve"> i peł</w:t>
      </w:r>
      <w:r>
        <w:rPr>
          <w:rFonts w:ascii="Times New Roman" w:hAnsi="Times New Roman"/>
        </w:rPr>
        <w:t xml:space="preserve">ny </w:t>
      </w:r>
      <w:r w:rsidRPr="001B0DFF">
        <w:rPr>
          <w:rFonts w:ascii="Times New Roman" w:hAnsi="Times New Roman"/>
        </w:rPr>
        <w:t>rok</w:t>
      </w:r>
      <w:r w:rsidR="001B0DFF" w:rsidRPr="001B0DFF">
        <w:rPr>
          <w:rFonts w:ascii="Times New Roman" w:hAnsi="Times New Roman"/>
        </w:rPr>
        <w:t> </w:t>
      </w:r>
      <w:r w:rsidRPr="001B0DFF">
        <w:rPr>
          <w:rFonts w:ascii="Times New Roman" w:hAnsi="Times New Roman"/>
        </w:rPr>
        <w:t>2</w:t>
      </w:r>
      <w:r>
        <w:rPr>
          <w:rFonts w:ascii="Times New Roman" w:hAnsi="Times New Roman"/>
        </w:rPr>
        <w:t>021, 15 marca 20</w:t>
      </w:r>
      <w:r w:rsidRPr="001B0DFF">
        <w:rPr>
          <w:rFonts w:ascii="Times New Roman" w:hAnsi="Times New Roman"/>
        </w:rPr>
        <w:t>22</w:t>
      </w:r>
      <w:r w:rsidR="001B0DFF" w:rsidRPr="001B0DFF">
        <w:rPr>
          <w:rFonts w:ascii="Times New Roman" w:hAnsi="Times New Roman"/>
        </w:rPr>
        <w:t> </w:t>
      </w:r>
      <w:r w:rsidRPr="001B0DFF">
        <w:rPr>
          <w:rFonts w:ascii="Times New Roman" w:hAnsi="Times New Roman"/>
        </w:rPr>
        <w:t>r.</w:t>
      </w:r>
    </w:p>
  </w:footnote>
  <w:footnote w:id="21">
    <w:p w14:paraId="387F9B23" w14:textId="4305A695" w:rsidR="00CA68B9" w:rsidRPr="003C0D71" w:rsidRDefault="00CA68B9" w:rsidP="005C5C2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Porównanie</w:t>
      </w:r>
      <w:r w:rsidR="001B0DFF">
        <w:rPr>
          <w:rFonts w:ascii="Times New Roman" w:hAnsi="Times New Roman"/>
        </w:rPr>
        <w:t xml:space="preserve"> z ryn</w:t>
      </w:r>
      <w:r>
        <w:rPr>
          <w:rFonts w:ascii="Times New Roman" w:hAnsi="Times New Roman"/>
        </w:rPr>
        <w:t>kiem sekurytyzacji</w:t>
      </w:r>
      <w:r w:rsidR="001B0DFF">
        <w:rPr>
          <w:rFonts w:ascii="Times New Roman" w:hAnsi="Times New Roman"/>
        </w:rPr>
        <w:t xml:space="preserve"> w Sta</w:t>
      </w:r>
      <w:r>
        <w:rPr>
          <w:rFonts w:ascii="Times New Roman" w:hAnsi="Times New Roman"/>
        </w:rPr>
        <w:t>nach Zjednoczonych powinno uwzględniać odmienną strukturę tego rynku, zdominowaną przez działalność jednostek sponsorowanych przez rząd, które stanowią przeważającą większość emisji sekurytyzacyjnych w USA,</w:t>
      </w:r>
      <w:r w:rsidR="001B0DFF">
        <w:rPr>
          <w:rFonts w:ascii="Times New Roman" w:hAnsi="Times New Roman"/>
        </w:rPr>
        <w:t xml:space="preserve"> a tak</w:t>
      </w:r>
      <w:r>
        <w:rPr>
          <w:rFonts w:ascii="Times New Roman" w:hAnsi="Times New Roman"/>
        </w:rPr>
        <w:t>że różnice</w:t>
      </w:r>
      <w:r w:rsidR="001B0DFF">
        <w:rPr>
          <w:rFonts w:ascii="Times New Roman" w:hAnsi="Times New Roman"/>
        </w:rPr>
        <w:t xml:space="preserve"> w zas</w:t>
      </w:r>
      <w:r>
        <w:rPr>
          <w:rFonts w:ascii="Times New Roman" w:hAnsi="Times New Roman"/>
        </w:rPr>
        <w:t>adach rachunkowości</w:t>
      </w:r>
      <w:r w:rsidR="001B0DFF">
        <w:rPr>
          <w:rFonts w:ascii="Times New Roman" w:hAnsi="Times New Roman"/>
        </w:rPr>
        <w:t xml:space="preserve"> i zas</w:t>
      </w:r>
      <w:r>
        <w:rPr>
          <w:rFonts w:ascii="Times New Roman" w:hAnsi="Times New Roman"/>
        </w:rPr>
        <w:t>adach ostrożnościowych.</w:t>
      </w:r>
    </w:p>
  </w:footnote>
  <w:footnote w:id="22">
    <w:p w14:paraId="126F51FA" w14:textId="062F8B1D" w:rsidR="00CA68B9" w:rsidRPr="003C0D71" w:rsidRDefault="00CA68B9" w:rsidP="00384D5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Pierwsze sekurytyzacje bilansowe STS zgłoszono ESMA 22 czerwca 20</w:t>
      </w:r>
      <w:r w:rsidRPr="001B0DFF">
        <w:rPr>
          <w:rFonts w:ascii="Times New Roman" w:hAnsi="Times New Roman"/>
        </w:rPr>
        <w:t>21</w:t>
      </w:r>
      <w:r w:rsidR="001B0DFF" w:rsidRPr="001B0DFF">
        <w:rPr>
          <w:rFonts w:ascii="Times New Roman" w:hAnsi="Times New Roman"/>
        </w:rPr>
        <w:t> </w:t>
      </w:r>
      <w:r w:rsidRPr="001B0DFF">
        <w:rPr>
          <w:rFonts w:ascii="Times New Roman" w:hAnsi="Times New Roman"/>
        </w:rPr>
        <w:t>r.</w:t>
      </w:r>
    </w:p>
  </w:footnote>
  <w:footnote w:id="23">
    <w:p w14:paraId="53A8A981" w14:textId="56CCB89B"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European Data Warehouse (EDW) jest jednym</w:t>
      </w:r>
      <w:r w:rsidR="001B0DFF">
        <w:rPr>
          <w:rFonts w:ascii="Times New Roman" w:hAnsi="Times New Roman"/>
        </w:rPr>
        <w:t xml:space="preserve"> z dwó</w:t>
      </w:r>
      <w:r>
        <w:rPr>
          <w:rFonts w:ascii="Times New Roman" w:hAnsi="Times New Roman"/>
        </w:rPr>
        <w:t>ch repozytoriów sekurytyzacji, które jak dotąd otrzymały zezwolenie. Zadaniem repozytoriów sekurytyzacji jest gromadzenie na szczeblu centralnym danych dotyczących sekurytyzacji w UE</w:t>
      </w:r>
      <w:r w:rsidR="001B0DFF">
        <w:rPr>
          <w:rFonts w:ascii="Times New Roman" w:hAnsi="Times New Roman"/>
        </w:rPr>
        <w:t xml:space="preserve"> i prz</w:t>
      </w:r>
      <w:r>
        <w:rPr>
          <w:rFonts w:ascii="Times New Roman" w:hAnsi="Times New Roman"/>
        </w:rPr>
        <w:t>ekazywanie tych danych inwestorom</w:t>
      </w:r>
      <w:r w:rsidR="001B0DFF">
        <w:rPr>
          <w:rFonts w:ascii="Times New Roman" w:hAnsi="Times New Roman"/>
        </w:rPr>
        <w:t xml:space="preserve"> i org</w:t>
      </w:r>
      <w:r>
        <w:rPr>
          <w:rFonts w:ascii="Times New Roman" w:hAnsi="Times New Roman"/>
        </w:rPr>
        <w:t>anom nadzoru.</w:t>
      </w:r>
    </w:p>
  </w:footnote>
  <w:footnote w:id="24">
    <w:p w14:paraId="087B90DC" w14:textId="1CAD3600"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 wyniku zmian przepisów dotyczących zatrzymania ryzyka, które to zmiany wprowadzono</w:t>
      </w:r>
      <w:r w:rsidR="001B0DFF">
        <w:rPr>
          <w:rFonts w:ascii="Times New Roman" w:hAnsi="Times New Roman"/>
        </w:rPr>
        <w:t xml:space="preserve"> w ram</w:t>
      </w:r>
      <w:r>
        <w:rPr>
          <w:rFonts w:ascii="Times New Roman" w:hAnsi="Times New Roman"/>
        </w:rPr>
        <w:t>ach pakietu na rzecz odbudowy rynków kapitałowych, EUNB niedawno przyjął zaktualizowaną wersję wyżej wskazanych standardów technicznych. Sprawozdanie końcowe przekazano Komisji 12 kwietnia 20</w:t>
      </w:r>
      <w:r w:rsidRPr="001B0DFF">
        <w:rPr>
          <w:rFonts w:ascii="Times New Roman" w:hAnsi="Times New Roman"/>
        </w:rPr>
        <w:t>22</w:t>
      </w:r>
      <w:r w:rsidR="001B0DFF" w:rsidRPr="001B0DFF">
        <w:rPr>
          <w:rFonts w:ascii="Times New Roman" w:hAnsi="Times New Roman"/>
        </w:rPr>
        <w:t> </w:t>
      </w:r>
      <w:r w:rsidRPr="001B0DFF">
        <w:rPr>
          <w:rFonts w:ascii="Times New Roman" w:hAnsi="Times New Roman"/>
        </w:rPr>
        <w:t>r.</w:t>
      </w:r>
    </w:p>
  </w:footnote>
  <w:footnote w:id="25">
    <w:p w14:paraId="0770F6FB" w14:textId="1FC87F30"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Komunikat Komisji do Parlamentu Europejskiego, Rady, Europejskiego Banku Centralnego, Europejskiego Komitetu Ekonomiczno-Społecznego oraz Komitetu Regionów – Równoważność</w:t>
      </w:r>
      <w:r w:rsidR="001B0DFF">
        <w:rPr>
          <w:rFonts w:ascii="Times New Roman" w:hAnsi="Times New Roman"/>
        </w:rPr>
        <w:t xml:space="preserve"> w dzi</w:t>
      </w:r>
      <w:r>
        <w:rPr>
          <w:rFonts w:ascii="Times New Roman" w:hAnsi="Times New Roman"/>
        </w:rPr>
        <w:t>edzinie usług finansowych – COM(2019) 349 final.</w:t>
      </w:r>
    </w:p>
  </w:footnote>
  <w:footnote w:id="26">
    <w:p w14:paraId="13BFB15C" w14:textId="74A7BFD3"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Przewidziana</w:t>
      </w:r>
      <w:r w:rsidR="001B0DFF">
        <w:rPr>
          <w:rFonts w:ascii="Times New Roman" w:hAnsi="Times New Roman"/>
        </w:rPr>
        <w:t xml:space="preserve"> w </w:t>
      </w:r>
      <w:r w:rsidR="001B0DFF" w:rsidRPr="001B0DFF">
        <w:rPr>
          <w:rFonts w:ascii="Times New Roman" w:hAnsi="Times New Roman"/>
        </w:rPr>
        <w:t>art</w:t>
      </w:r>
      <w:r w:rsidRPr="001B0DFF">
        <w:rPr>
          <w:rFonts w:ascii="Times New Roman" w:hAnsi="Times New Roman"/>
        </w:rPr>
        <w:t>.</w:t>
      </w:r>
      <w:r w:rsidR="001B0DFF" w:rsidRPr="001B0DFF">
        <w:rPr>
          <w:rFonts w:ascii="Times New Roman" w:hAnsi="Times New Roman"/>
        </w:rPr>
        <w:t> </w:t>
      </w:r>
      <w:r w:rsidRPr="001B0DFF">
        <w:rPr>
          <w:rFonts w:ascii="Times New Roman" w:hAnsi="Times New Roman"/>
        </w:rPr>
        <w:t>3</w:t>
      </w:r>
      <w:r>
        <w:rPr>
          <w:rFonts w:ascii="Times New Roman" w:hAnsi="Times New Roman"/>
        </w:rPr>
        <w:t xml:space="preserve">6 </w:t>
      </w:r>
      <w:r w:rsidRPr="001B0DFF">
        <w:rPr>
          <w:rFonts w:ascii="Times New Roman" w:hAnsi="Times New Roman"/>
        </w:rPr>
        <w:t>ust.</w:t>
      </w:r>
      <w:r w:rsidR="001B0DFF" w:rsidRPr="001B0DFF">
        <w:rPr>
          <w:rFonts w:ascii="Times New Roman" w:hAnsi="Times New Roman"/>
        </w:rPr>
        <w:t> </w:t>
      </w:r>
      <w:r w:rsidRPr="001B0DFF">
        <w:rPr>
          <w:rFonts w:ascii="Times New Roman" w:hAnsi="Times New Roman"/>
        </w:rPr>
        <w:t>7</w:t>
      </w:r>
      <w:r>
        <w:rPr>
          <w:rFonts w:ascii="Times New Roman" w:hAnsi="Times New Roman"/>
        </w:rPr>
        <w:t xml:space="preserve"> rozporządzenia</w:t>
      </w:r>
      <w:r w:rsidR="001B0DFF">
        <w:rPr>
          <w:rFonts w:ascii="Times New Roman" w:hAnsi="Times New Roman"/>
        </w:rPr>
        <w:t xml:space="preserve"> w spr</w:t>
      </w:r>
      <w:r>
        <w:rPr>
          <w:rFonts w:ascii="Times New Roman" w:hAnsi="Times New Roman"/>
        </w:rPr>
        <w:t>awie sekurytyzacji.</w:t>
      </w:r>
    </w:p>
  </w:footnote>
  <w:footnote w:id="27">
    <w:p w14:paraId="3C03D669" w14:textId="2425F0EF"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hyperlink r:id="rId10" w:history="1">
        <w:r>
          <w:rPr>
            <w:rStyle w:val="Hyperlink"/>
            <w:rFonts w:ascii="Times New Roman" w:hAnsi="Times New Roman"/>
          </w:rPr>
          <w:t>https://www.eba.europa.eu/sites/default/documents/files/document_library/Publications/Reports/2022/1027593/EBA%20report%20on%20sustainable%20securitisation.pdf</w:t>
        </w:r>
      </w:hyperlink>
      <w:r>
        <w:rPr>
          <w:rFonts w:ascii="Times New Roman" w:hAnsi="Times New Roman"/>
        </w:rPr>
        <w:t xml:space="preserve"> </w:t>
      </w:r>
    </w:p>
  </w:footnote>
  <w:footnote w:id="28">
    <w:p w14:paraId="7A4558A0" w14:textId="7DEE1EB0" w:rsidR="00CA68B9" w:rsidRPr="00647E9A"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 w:history="1">
        <w:r>
          <w:rPr>
            <w:rStyle w:val="Hyperlink"/>
            <w:rFonts w:ascii="Times New Roman" w:hAnsi="Times New Roman"/>
          </w:rPr>
          <w:t>EUNB zaleca wprowadzenie</w:t>
        </w:r>
        <w:r w:rsidR="001B0DFF">
          <w:rPr>
            <w:rStyle w:val="Hyperlink"/>
            <w:rFonts w:ascii="Times New Roman" w:hAnsi="Times New Roman"/>
          </w:rPr>
          <w:t xml:space="preserve"> w pro</w:t>
        </w:r>
        <w:r>
          <w:rPr>
            <w:rStyle w:val="Hyperlink"/>
            <w:rFonts w:ascii="Times New Roman" w:hAnsi="Times New Roman"/>
          </w:rPr>
          <w:t>ponowanym europejskim standardzie zielonych obligacji korekt dotyczących transakcji sekurytyzacyjnych |</w:t>
        </w:r>
      </w:hyperlink>
      <w:hyperlink r:id="rId12" w:history="1">
        <w:r>
          <w:rPr>
            <w:rStyle w:val="Hyperlink"/>
            <w:rFonts w:ascii="Times New Roman" w:hAnsi="Times New Roman"/>
          </w:rPr>
          <w:t>Europejski Urząd Nadzoru Bankowego (europa.eu)</w:t>
        </w:r>
      </w:hyperlink>
    </w:p>
  </w:footnote>
  <w:footnote w:id="29">
    <w:p w14:paraId="5165F433" w14:textId="77777777" w:rsidR="00CA68B9" w:rsidRPr="003C0D71" w:rsidRDefault="00CA68B9" w:rsidP="004E342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Wykraczających poza kredyty na nieruchomości mieszkalne, kredyty na zakup samochodu lub umowy leasingu samochodów.</w:t>
      </w:r>
    </w:p>
  </w:footnote>
  <w:footnote w:id="30">
    <w:p w14:paraId="4F562EF4" w14:textId="5E98CFF2"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3" w:history="1">
        <w:r>
          <w:rPr>
            <w:rStyle w:val="Hyperlink"/>
            <w:rFonts w:ascii="Times New Roman" w:hAnsi="Times New Roman"/>
          </w:rPr>
          <w:t>https://eur-lex.europa.eu/legal-content/PL/TXT/?uri=CELEX:52021PC0391</w:t>
        </w:r>
      </w:hyperlink>
      <w:r>
        <w:rPr>
          <w:rFonts w:ascii="Times New Roman" w:hAnsi="Times New Roman"/>
        </w:rPr>
        <w:t xml:space="preserve"> </w:t>
      </w:r>
    </w:p>
  </w:footnote>
  <w:footnote w:id="31">
    <w:p w14:paraId="38542C18" w14:textId="77777777"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hyperlink r:id="rId14" w:history="1">
        <w:r>
          <w:rPr>
            <w:rStyle w:val="Hyperlink"/>
            <w:rFonts w:ascii="Times New Roman" w:hAnsi="Times New Roman"/>
          </w:rPr>
          <w:t>https://ec.europa.eu/info/business-economy-euro/banking-and-finance/sustainable-finance/european-green-bond-standard_en</w:t>
        </w:r>
      </w:hyperlink>
      <w:r>
        <w:rPr>
          <w:rFonts w:ascii="Times New Roman" w:hAnsi="Times New Roman"/>
        </w:rPr>
        <w:t xml:space="preserve"> </w:t>
      </w:r>
    </w:p>
  </w:footnote>
  <w:footnote w:id="32">
    <w:p w14:paraId="102C6C50" w14:textId="71DA3D43"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Z oszacowanej przez EUNB kwoty aktywów zgodnych</w:t>
      </w:r>
      <w:r w:rsidR="001B0DFF">
        <w:rPr>
          <w:rFonts w:ascii="Times New Roman" w:hAnsi="Times New Roman"/>
        </w:rPr>
        <w:t xml:space="preserve"> z sys</w:t>
      </w:r>
      <w:r>
        <w:rPr>
          <w:rFonts w:ascii="Times New Roman" w:hAnsi="Times New Roman"/>
        </w:rPr>
        <w:t>tematyką</w:t>
      </w:r>
      <w:r w:rsidR="001B0DFF">
        <w:rPr>
          <w:rFonts w:ascii="Times New Roman" w:hAnsi="Times New Roman"/>
        </w:rPr>
        <w:t xml:space="preserve"> w ban</w:t>
      </w:r>
      <w:r>
        <w:rPr>
          <w:rFonts w:ascii="Times New Roman" w:hAnsi="Times New Roman"/>
        </w:rPr>
        <w:t>kach UE wynika, że maksymalna roczna pula zielonych sekurytyzacji, zakładając, że są one</w:t>
      </w:r>
      <w:r w:rsidR="001B0DFF">
        <w:rPr>
          <w:rFonts w:ascii="Times New Roman" w:hAnsi="Times New Roman"/>
        </w:rPr>
        <w:t xml:space="preserve"> w peł</w:t>
      </w:r>
      <w:r>
        <w:rPr>
          <w:rFonts w:ascii="Times New Roman" w:hAnsi="Times New Roman"/>
        </w:rPr>
        <w:t>ni zabezpieczone aktywami zgodnymi</w:t>
      </w:r>
      <w:r w:rsidR="001B0DFF">
        <w:rPr>
          <w:rFonts w:ascii="Times New Roman" w:hAnsi="Times New Roman"/>
        </w:rPr>
        <w:t xml:space="preserve"> z sys</w:t>
      </w:r>
      <w:r>
        <w:rPr>
          <w:rFonts w:ascii="Times New Roman" w:hAnsi="Times New Roman"/>
        </w:rPr>
        <w:t>tematyką, wyniosłyby 15,6 mld EUR.</w:t>
      </w:r>
    </w:p>
  </w:footnote>
  <w:footnote w:id="33">
    <w:p w14:paraId="1343F981" w14:textId="6C0CDF4B"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Rozporządzenie Parlamentu Europejskiego</w:t>
      </w:r>
      <w:r w:rsidR="001B0DFF">
        <w:rPr>
          <w:rFonts w:ascii="Times New Roman" w:hAnsi="Times New Roman"/>
        </w:rPr>
        <w:t xml:space="preserve"> i Rad</w:t>
      </w:r>
      <w:r>
        <w:rPr>
          <w:rFonts w:ascii="Times New Roman" w:hAnsi="Times New Roman"/>
        </w:rPr>
        <w:t>y (UE) 2019/2088</w:t>
      </w:r>
      <w:r w:rsidR="001B0DFF">
        <w:rPr>
          <w:rFonts w:ascii="Times New Roman" w:hAnsi="Times New Roman"/>
        </w:rPr>
        <w:t xml:space="preserve"> w spr</w:t>
      </w:r>
      <w:r>
        <w:rPr>
          <w:rFonts w:ascii="Times New Roman" w:hAnsi="Times New Roman"/>
        </w:rPr>
        <w:t>awie ujawniania informacji związanych ze zrównoważonym rozwojem</w:t>
      </w:r>
      <w:r w:rsidR="001B0DFF">
        <w:rPr>
          <w:rFonts w:ascii="Times New Roman" w:hAnsi="Times New Roman"/>
        </w:rPr>
        <w:t xml:space="preserve"> w sek</w:t>
      </w:r>
      <w:r>
        <w:rPr>
          <w:rFonts w:ascii="Times New Roman" w:hAnsi="Times New Roman"/>
        </w:rPr>
        <w:t>torze usług finansowych</w:t>
      </w:r>
      <w:r>
        <w:t>.</w:t>
      </w:r>
    </w:p>
  </w:footnote>
  <w:footnote w:id="34">
    <w:p w14:paraId="31C7856F" w14:textId="096B8E8A" w:rsidR="00CA68B9" w:rsidRPr="003C0D71" w:rsidRDefault="00CA68B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 22 </w:t>
      </w:r>
      <w:r w:rsidRPr="001B0DFF">
        <w:rPr>
          <w:rFonts w:ascii="Times New Roman" w:hAnsi="Times New Roman"/>
        </w:rPr>
        <w:t>ust.</w:t>
      </w:r>
      <w:r w:rsidR="001B0DFF" w:rsidRPr="001B0DFF">
        <w:rPr>
          <w:rFonts w:ascii="Times New Roman" w:hAnsi="Times New Roman"/>
        </w:rPr>
        <w:t> </w:t>
      </w:r>
      <w:r w:rsidRPr="001B0DFF">
        <w:rPr>
          <w:rFonts w:ascii="Times New Roman" w:hAnsi="Times New Roman"/>
        </w:rPr>
        <w:t>6</w:t>
      </w:r>
      <w:r>
        <w:rPr>
          <w:rFonts w:ascii="Times New Roman" w:hAnsi="Times New Roman"/>
        </w:rPr>
        <w:t xml:space="preserve"> rozporządzenia</w:t>
      </w:r>
      <w:r w:rsidR="001B0DFF">
        <w:rPr>
          <w:rFonts w:ascii="Times New Roman" w:hAnsi="Times New Roman"/>
        </w:rPr>
        <w:t xml:space="preserve"> w spr</w:t>
      </w:r>
      <w:r>
        <w:rPr>
          <w:rFonts w:ascii="Times New Roman" w:hAnsi="Times New Roman"/>
        </w:rPr>
        <w:t xml:space="preserve">awie sekurytyzacji. </w:t>
      </w:r>
    </w:p>
  </w:footnote>
  <w:footnote w:id="35">
    <w:p w14:paraId="4E56B64F" w14:textId="42058434" w:rsidR="00CA68B9" w:rsidRPr="003C0D71" w:rsidRDefault="00CA68B9" w:rsidP="002C55A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Rozporządzenie delegowane Komisji (UE) 2020/1224</w:t>
      </w:r>
      <w:r w:rsidR="001B0DFF">
        <w:rPr>
          <w:rFonts w:ascii="Times New Roman" w:hAnsi="Times New Roman"/>
        </w:rPr>
        <w:t xml:space="preserve"> z dni</w:t>
      </w:r>
      <w:r>
        <w:rPr>
          <w:rFonts w:ascii="Times New Roman" w:hAnsi="Times New Roman"/>
        </w:rPr>
        <w:t>a 16 października 20</w:t>
      </w:r>
      <w:r w:rsidRPr="001B0DFF">
        <w:rPr>
          <w:rFonts w:ascii="Times New Roman" w:hAnsi="Times New Roman"/>
        </w:rPr>
        <w:t>19</w:t>
      </w:r>
      <w:r w:rsidR="001B0DFF" w:rsidRPr="001B0DFF">
        <w:rPr>
          <w:rFonts w:ascii="Times New Roman" w:hAnsi="Times New Roman"/>
        </w:rPr>
        <w:t> </w:t>
      </w:r>
      <w:r w:rsidRPr="001B0DFF">
        <w:rPr>
          <w:rFonts w:ascii="Times New Roman" w:hAnsi="Times New Roman"/>
        </w:rPr>
        <w:t>r.</w:t>
      </w:r>
      <w:r>
        <w:rPr>
          <w:rFonts w:ascii="Times New Roman" w:hAnsi="Times New Roman"/>
        </w:rPr>
        <w:t xml:space="preserve"> uzupełniające rozporządzenie Parlamentu Europejskiego</w:t>
      </w:r>
      <w:r w:rsidR="001B0DFF">
        <w:rPr>
          <w:rFonts w:ascii="Times New Roman" w:hAnsi="Times New Roman"/>
        </w:rPr>
        <w:t xml:space="preserve"> i Rad</w:t>
      </w:r>
      <w:r>
        <w:rPr>
          <w:rFonts w:ascii="Times New Roman" w:hAnsi="Times New Roman"/>
        </w:rPr>
        <w:t>y (UE) 2017/2402</w:t>
      </w:r>
      <w:r w:rsidR="001B0DFF">
        <w:rPr>
          <w:rFonts w:ascii="Times New Roman" w:hAnsi="Times New Roman"/>
        </w:rPr>
        <w:t xml:space="preserve"> w odn</w:t>
      </w:r>
      <w:r>
        <w:rPr>
          <w:rFonts w:ascii="Times New Roman" w:hAnsi="Times New Roman"/>
        </w:rPr>
        <w:t>iesieniu do regulacyjnych standardów technicznych określających informacje oraz szczegółowe informacje na temat sekurytyzacji, które mają być udostępniane przez jednostkę inicjującą, jednostkę sponsorującą oraz SSPE, Dz.U. L 289</w:t>
      </w:r>
      <w:r w:rsidR="001B0DFF">
        <w:rPr>
          <w:rFonts w:ascii="Times New Roman" w:hAnsi="Times New Roman"/>
        </w:rPr>
        <w:t xml:space="preserve"> z 3</w:t>
      </w:r>
      <w:r>
        <w:rPr>
          <w:rFonts w:ascii="Times New Roman" w:hAnsi="Times New Roman"/>
        </w:rPr>
        <w:t>.9.2020, s. 1.</w:t>
      </w:r>
    </w:p>
  </w:footnote>
  <w:footnote w:id="36">
    <w:p w14:paraId="6F9CDD5F" w14:textId="71078C65" w:rsidR="00CA68B9" w:rsidRPr="003C0D71" w:rsidRDefault="00CA68B9" w:rsidP="00A70EA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Podprogowy ZAFI to mały ZAFI korzystający</w:t>
      </w:r>
      <w:r w:rsidR="001B0DFF">
        <w:rPr>
          <w:rFonts w:ascii="Times New Roman" w:hAnsi="Times New Roman"/>
        </w:rPr>
        <w:t xml:space="preserve"> z wył</w:t>
      </w:r>
      <w:r>
        <w:rPr>
          <w:rFonts w:ascii="Times New Roman" w:hAnsi="Times New Roman"/>
        </w:rPr>
        <w:t xml:space="preserve">ączenia </w:t>
      </w:r>
      <w:r>
        <w:rPr>
          <w:rFonts w:ascii="Times New Roman" w:hAnsi="Times New Roman"/>
          <w:i/>
        </w:rPr>
        <w:t>de minimis</w:t>
      </w:r>
      <w:r>
        <w:rPr>
          <w:rFonts w:ascii="Times New Roman" w:hAnsi="Times New Roman"/>
        </w:rPr>
        <w:t>, który musi zatem spełniać wymogi dyrektywy</w:t>
      </w:r>
      <w:r w:rsidR="001B0DFF">
        <w:rPr>
          <w:rFonts w:ascii="Times New Roman" w:hAnsi="Times New Roman"/>
        </w:rPr>
        <w:t xml:space="preserve"> w spr</w:t>
      </w:r>
      <w:r>
        <w:rPr>
          <w:rFonts w:ascii="Times New Roman" w:hAnsi="Times New Roman"/>
        </w:rPr>
        <w:t>awie ZAFI (oraz przepisów wykonawczych jego konkretnego państwa członkowskiego) jedynie</w:t>
      </w:r>
      <w:r w:rsidR="001B0DFF">
        <w:rPr>
          <w:rFonts w:ascii="Times New Roman" w:hAnsi="Times New Roman"/>
        </w:rPr>
        <w:t xml:space="preserve"> w zak</w:t>
      </w:r>
      <w:r>
        <w:rPr>
          <w:rFonts w:ascii="Times New Roman" w:hAnsi="Times New Roman"/>
        </w:rPr>
        <w:t>resie obowiązków rejestracyjnych</w:t>
      </w:r>
      <w:r w:rsidR="001B0DFF">
        <w:rPr>
          <w:rFonts w:ascii="Times New Roman" w:hAnsi="Times New Roman"/>
        </w:rPr>
        <w:t xml:space="preserve"> i spr</w:t>
      </w:r>
      <w:r>
        <w:rPr>
          <w:rFonts w:ascii="Times New Roman" w:hAnsi="Times New Roman"/>
        </w:rPr>
        <w:t>awozdawczych, ale nie korzysta</w:t>
      </w:r>
      <w:r w:rsidR="001B0DFF">
        <w:rPr>
          <w:rFonts w:ascii="Times New Roman" w:hAnsi="Times New Roman"/>
        </w:rPr>
        <w:t xml:space="preserve"> z moż</w:t>
      </w:r>
      <w:r>
        <w:rPr>
          <w:rFonts w:ascii="Times New Roman" w:hAnsi="Times New Roman"/>
        </w:rPr>
        <w:t>liwości wprowadzania do obrotu</w:t>
      </w:r>
      <w:r w:rsidR="001B0DFF">
        <w:rPr>
          <w:rFonts w:ascii="Times New Roman" w:hAnsi="Times New Roman"/>
        </w:rPr>
        <w:t xml:space="preserve"> w sys</w:t>
      </w:r>
      <w:r>
        <w:rPr>
          <w:rFonts w:ascii="Times New Roman" w:hAnsi="Times New Roman"/>
        </w:rPr>
        <w:t>temie paszportu.</w:t>
      </w:r>
    </w:p>
  </w:footnote>
  <w:footnote w:id="37">
    <w:p w14:paraId="6FE57C32" w14:textId="2E9E804F" w:rsidR="00CA68B9" w:rsidRPr="003C0D71" w:rsidRDefault="00CA68B9" w:rsidP="00C2333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Sprawozdanie</w:t>
      </w:r>
      <w:r w:rsidR="001B0DFF">
        <w:rPr>
          <w:rFonts w:ascii="Times New Roman" w:hAnsi="Times New Roman"/>
        </w:rPr>
        <w:t xml:space="preserve"> w spr</w:t>
      </w:r>
      <w:r>
        <w:rPr>
          <w:rFonts w:ascii="Times New Roman" w:hAnsi="Times New Roman"/>
        </w:rPr>
        <w:t>awie harmonizacji praktyk</w:t>
      </w:r>
      <w:r w:rsidR="001B0DFF">
        <w:rPr>
          <w:rFonts w:ascii="Times New Roman" w:hAnsi="Times New Roman"/>
        </w:rPr>
        <w:t xml:space="preserve"> i pro</w:t>
      </w:r>
      <w:r>
        <w:rPr>
          <w:rFonts w:ascii="Times New Roman" w:hAnsi="Times New Roman"/>
        </w:rPr>
        <w:t>cesów</w:t>
      </w:r>
      <w:r w:rsidR="001B0DFF">
        <w:rPr>
          <w:rFonts w:ascii="Times New Roman" w:hAnsi="Times New Roman"/>
        </w:rPr>
        <w:t xml:space="preserve"> w zak</w:t>
      </w:r>
      <w:r>
        <w:rPr>
          <w:rFonts w:ascii="Times New Roman" w:hAnsi="Times New Roman"/>
        </w:rPr>
        <w:t>resie przeniesienia istotnej części ryzyka na potrzeby aktu delegowanego,</w:t>
      </w:r>
      <w:r w:rsidR="001B0DFF">
        <w:rPr>
          <w:rFonts w:ascii="Times New Roman" w:hAnsi="Times New Roman"/>
        </w:rPr>
        <w:t xml:space="preserve"> o któ</w:t>
      </w:r>
      <w:r>
        <w:rPr>
          <w:rFonts w:ascii="Times New Roman" w:hAnsi="Times New Roman"/>
        </w:rPr>
        <w:t>rym mowa</w:t>
      </w:r>
      <w:r w:rsidR="001B0DFF">
        <w:rPr>
          <w:rFonts w:ascii="Times New Roman" w:hAnsi="Times New Roman"/>
        </w:rPr>
        <w:t xml:space="preserve"> w </w:t>
      </w:r>
      <w:r w:rsidR="001B0DFF" w:rsidRPr="001B0DFF">
        <w:rPr>
          <w:rFonts w:ascii="Times New Roman" w:hAnsi="Times New Roman"/>
        </w:rPr>
        <w:t>art</w:t>
      </w:r>
      <w:r w:rsidRPr="001B0DFF">
        <w:rPr>
          <w:rFonts w:ascii="Times New Roman" w:hAnsi="Times New Roman"/>
        </w:rPr>
        <w:t>.</w:t>
      </w:r>
      <w:r w:rsidR="001B0DFF" w:rsidRPr="001B0DFF">
        <w:rPr>
          <w:rFonts w:ascii="Times New Roman" w:hAnsi="Times New Roman"/>
        </w:rPr>
        <w:t> </w:t>
      </w:r>
      <w:r w:rsidRPr="001B0DFF">
        <w:rPr>
          <w:rFonts w:ascii="Times New Roman" w:hAnsi="Times New Roman"/>
        </w:rPr>
        <w:t>2</w:t>
      </w:r>
      <w:r>
        <w:rPr>
          <w:rFonts w:ascii="Times New Roman" w:hAnsi="Times New Roman"/>
        </w:rPr>
        <w:t xml:space="preserve">44 </w:t>
      </w:r>
      <w:r w:rsidRPr="001B0DFF">
        <w:rPr>
          <w:rFonts w:ascii="Times New Roman" w:hAnsi="Times New Roman"/>
        </w:rPr>
        <w:t>ust.</w:t>
      </w:r>
      <w:r w:rsidR="001B0DFF" w:rsidRPr="001B0DFF">
        <w:rPr>
          <w:rFonts w:ascii="Times New Roman" w:hAnsi="Times New Roman"/>
        </w:rPr>
        <w:t> </w:t>
      </w:r>
      <w:r w:rsidRPr="001B0DFF">
        <w:rPr>
          <w:rFonts w:ascii="Times New Roman" w:hAnsi="Times New Roman"/>
        </w:rPr>
        <w:t>6</w:t>
      </w:r>
      <w:r w:rsidR="001B0DFF">
        <w:rPr>
          <w:rFonts w:ascii="Times New Roman" w:hAnsi="Times New Roman"/>
        </w:rPr>
        <w:t xml:space="preserve"> i </w:t>
      </w:r>
      <w:r w:rsidR="001B0DFF" w:rsidRPr="001B0DFF">
        <w:rPr>
          <w:rFonts w:ascii="Times New Roman" w:hAnsi="Times New Roman"/>
        </w:rPr>
        <w:t>art</w:t>
      </w:r>
      <w:r w:rsidRPr="001B0DFF">
        <w:rPr>
          <w:rFonts w:ascii="Times New Roman" w:hAnsi="Times New Roman"/>
        </w:rPr>
        <w:t>.</w:t>
      </w:r>
      <w:r w:rsidR="001B0DFF" w:rsidRPr="001B0DFF">
        <w:rPr>
          <w:rFonts w:ascii="Times New Roman" w:hAnsi="Times New Roman"/>
        </w:rPr>
        <w:t> </w:t>
      </w:r>
      <w:r w:rsidRPr="001B0DFF">
        <w:rPr>
          <w:rFonts w:ascii="Times New Roman" w:hAnsi="Times New Roman"/>
        </w:rPr>
        <w:t>2</w:t>
      </w:r>
      <w:r>
        <w:rPr>
          <w:rFonts w:ascii="Times New Roman" w:hAnsi="Times New Roman"/>
        </w:rPr>
        <w:t xml:space="preserve">45 </w:t>
      </w:r>
      <w:r w:rsidRPr="001B0DFF">
        <w:rPr>
          <w:rFonts w:ascii="Times New Roman" w:hAnsi="Times New Roman"/>
        </w:rPr>
        <w:t>ust.</w:t>
      </w:r>
      <w:r w:rsidR="001B0DFF" w:rsidRPr="001B0DFF">
        <w:rPr>
          <w:rFonts w:ascii="Times New Roman" w:hAnsi="Times New Roman"/>
        </w:rPr>
        <w:t> </w:t>
      </w:r>
      <w:r w:rsidRPr="001B0DFF">
        <w:rPr>
          <w:rFonts w:ascii="Times New Roman" w:hAnsi="Times New Roman"/>
        </w:rPr>
        <w:t>6</w:t>
      </w:r>
      <w:r>
        <w:rPr>
          <w:rFonts w:ascii="Times New Roman" w:hAnsi="Times New Roman"/>
        </w:rPr>
        <w:t xml:space="preserve"> rozporządzenia</w:t>
      </w:r>
      <w:r w:rsidR="001B0DFF">
        <w:rPr>
          <w:rFonts w:ascii="Times New Roman" w:hAnsi="Times New Roman"/>
        </w:rPr>
        <w:t xml:space="preserve"> w spr</w:t>
      </w:r>
      <w:r>
        <w:rPr>
          <w:rFonts w:ascii="Times New Roman" w:hAnsi="Times New Roman"/>
        </w:rPr>
        <w:t xml:space="preserve">awie wymogów kapitałowych </w:t>
      </w:r>
      <w:hyperlink r:id="rId15" w:history="1">
        <w:r>
          <w:rPr>
            <w:rStyle w:val="Hyperlink"/>
          </w:rPr>
          <w:t>https://www.eba.europa.eu/eba-calls-european-commission-harmonise-significant-risk-transfer-assessment-securitisation</w:t>
        </w:r>
      </w:hyperlink>
      <w:r>
        <w:t xml:space="preserve"> </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29AF1" w14:textId="77777777" w:rsidR="00F94BF3" w:rsidRPr="00F94BF3" w:rsidRDefault="00F94BF3" w:rsidP="00F94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B16F" w14:textId="77777777" w:rsidR="00F94BF3" w:rsidRPr="00F94BF3" w:rsidRDefault="00F94BF3" w:rsidP="00F94BF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BB55D" w14:textId="77777777" w:rsidR="00F94BF3" w:rsidRPr="00F94BF3" w:rsidRDefault="00F94BF3" w:rsidP="00F94BF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04619" w14:textId="77777777" w:rsidR="00CA68B9" w:rsidRDefault="00CA68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7525" w14:textId="77777777" w:rsidR="00CA68B9" w:rsidRDefault="00CA68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E72E" w14:textId="77777777" w:rsidR="00CA68B9" w:rsidRDefault="00CA6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9D9"/>
    <w:multiLevelType w:val="hybridMultilevel"/>
    <w:tmpl w:val="3CF0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605FF"/>
    <w:multiLevelType w:val="hybridMultilevel"/>
    <w:tmpl w:val="66C2C0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EA56F9"/>
    <w:multiLevelType w:val="hybridMultilevel"/>
    <w:tmpl w:val="098E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A31DD"/>
    <w:multiLevelType w:val="hybridMultilevel"/>
    <w:tmpl w:val="41469B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D2C12BA"/>
    <w:multiLevelType w:val="hybridMultilevel"/>
    <w:tmpl w:val="2E90D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40ADD"/>
    <w:multiLevelType w:val="hybridMultilevel"/>
    <w:tmpl w:val="FE360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E488A"/>
    <w:multiLevelType w:val="hybridMultilevel"/>
    <w:tmpl w:val="3606E9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DD26B48"/>
    <w:multiLevelType w:val="hybridMultilevel"/>
    <w:tmpl w:val="C6B8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A70B06"/>
    <w:multiLevelType w:val="hybridMultilevel"/>
    <w:tmpl w:val="3DFA213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2836B16"/>
    <w:multiLevelType w:val="hybridMultilevel"/>
    <w:tmpl w:val="2A66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41EF7"/>
    <w:multiLevelType w:val="hybridMultilevel"/>
    <w:tmpl w:val="A54C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2522B"/>
    <w:multiLevelType w:val="hybridMultilevel"/>
    <w:tmpl w:val="29D41F6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05712"/>
    <w:multiLevelType w:val="hybridMultilevel"/>
    <w:tmpl w:val="2F88E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5C4A"/>
    <w:multiLevelType w:val="hybridMultilevel"/>
    <w:tmpl w:val="2F48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7492E"/>
    <w:multiLevelType w:val="hybridMultilevel"/>
    <w:tmpl w:val="932A1F32"/>
    <w:lvl w:ilvl="0" w:tplc="3A0E74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50CB9"/>
    <w:multiLevelType w:val="hybridMultilevel"/>
    <w:tmpl w:val="6206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C1F91"/>
    <w:multiLevelType w:val="hybridMultilevel"/>
    <w:tmpl w:val="8A7E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D7E20"/>
    <w:multiLevelType w:val="hybridMultilevel"/>
    <w:tmpl w:val="1804B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54EE918">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6589F"/>
    <w:multiLevelType w:val="hybridMultilevel"/>
    <w:tmpl w:val="B3A8E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507F5"/>
    <w:multiLevelType w:val="hybridMultilevel"/>
    <w:tmpl w:val="046039AE"/>
    <w:lvl w:ilvl="0" w:tplc="67DCE4A0">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72646F5"/>
    <w:multiLevelType w:val="hybridMultilevel"/>
    <w:tmpl w:val="9C70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221721"/>
    <w:multiLevelType w:val="hybridMultilevel"/>
    <w:tmpl w:val="8ED06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3F1281"/>
    <w:multiLevelType w:val="hybridMultilevel"/>
    <w:tmpl w:val="3F061B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F2E5F37"/>
    <w:multiLevelType w:val="hybridMultilevel"/>
    <w:tmpl w:val="2684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AB1F6D"/>
    <w:multiLevelType w:val="hybridMultilevel"/>
    <w:tmpl w:val="99EA4994"/>
    <w:lvl w:ilvl="0" w:tplc="0608A544">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96646E"/>
    <w:multiLevelType w:val="hybridMultilevel"/>
    <w:tmpl w:val="2D22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44966"/>
    <w:multiLevelType w:val="hybridMultilevel"/>
    <w:tmpl w:val="23FC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D855B1"/>
    <w:multiLevelType w:val="hybridMultilevel"/>
    <w:tmpl w:val="80C4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032D3"/>
    <w:multiLevelType w:val="hybridMultilevel"/>
    <w:tmpl w:val="411AF1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E55B3A"/>
    <w:multiLevelType w:val="hybridMultilevel"/>
    <w:tmpl w:val="0288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24B54"/>
    <w:multiLevelType w:val="hybridMultilevel"/>
    <w:tmpl w:val="396C5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F4F3B"/>
    <w:multiLevelType w:val="hybridMultilevel"/>
    <w:tmpl w:val="DDC2D41E"/>
    <w:lvl w:ilvl="0" w:tplc="F67C94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6458E"/>
    <w:multiLevelType w:val="hybridMultilevel"/>
    <w:tmpl w:val="573401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6EE5C62"/>
    <w:multiLevelType w:val="hybridMultilevel"/>
    <w:tmpl w:val="A658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62117"/>
    <w:multiLevelType w:val="hybridMultilevel"/>
    <w:tmpl w:val="422E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E46467"/>
    <w:multiLevelType w:val="multilevel"/>
    <w:tmpl w:val="72EAEF90"/>
    <w:lvl w:ilvl="0">
      <w:start w:val="11"/>
      <w:numFmt w:val="decimal"/>
      <w:lvlText w:val="%1."/>
      <w:lvlJc w:val="left"/>
      <w:pPr>
        <w:ind w:left="400" w:hanging="40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A2C3E83"/>
    <w:multiLevelType w:val="hybridMultilevel"/>
    <w:tmpl w:val="3142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3109D6"/>
    <w:multiLevelType w:val="hybridMultilevel"/>
    <w:tmpl w:val="D746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0"/>
  </w:num>
  <w:num w:numId="4">
    <w:abstractNumId w:val="24"/>
  </w:num>
  <w:num w:numId="5">
    <w:abstractNumId w:val="9"/>
  </w:num>
  <w:num w:numId="6">
    <w:abstractNumId w:val="2"/>
  </w:num>
  <w:num w:numId="7">
    <w:abstractNumId w:val="4"/>
  </w:num>
  <w:num w:numId="8">
    <w:abstractNumId w:val="36"/>
  </w:num>
  <w:num w:numId="9">
    <w:abstractNumId w:val="29"/>
  </w:num>
  <w:num w:numId="10">
    <w:abstractNumId w:val="33"/>
  </w:num>
  <w:num w:numId="11">
    <w:abstractNumId w:val="17"/>
  </w:num>
  <w:num w:numId="12">
    <w:abstractNumId w:val="19"/>
  </w:num>
  <w:num w:numId="13">
    <w:abstractNumId w:val="35"/>
  </w:num>
  <w:num w:numId="14">
    <w:abstractNumId w:val="0"/>
  </w:num>
  <w:num w:numId="15">
    <w:abstractNumId w:val="27"/>
  </w:num>
  <w:num w:numId="16">
    <w:abstractNumId w:val="8"/>
  </w:num>
  <w:num w:numId="17">
    <w:abstractNumId w:val="39"/>
  </w:num>
  <w:num w:numId="18">
    <w:abstractNumId w:val="10"/>
  </w:num>
  <w:num w:numId="19">
    <w:abstractNumId w:val="14"/>
  </w:num>
  <w:num w:numId="20">
    <w:abstractNumId w:val="25"/>
  </w:num>
  <w:num w:numId="21">
    <w:abstractNumId w:val="18"/>
  </w:num>
  <w:num w:numId="22">
    <w:abstractNumId w:val="5"/>
  </w:num>
  <w:num w:numId="23">
    <w:abstractNumId w:val="6"/>
  </w:num>
  <w:num w:numId="24">
    <w:abstractNumId w:val="32"/>
  </w:num>
  <w:num w:numId="25">
    <w:abstractNumId w:val="31"/>
  </w:num>
  <w:num w:numId="26">
    <w:abstractNumId w:val="11"/>
  </w:num>
  <w:num w:numId="27">
    <w:abstractNumId w:val="21"/>
  </w:num>
  <w:num w:numId="28">
    <w:abstractNumId w:val="28"/>
  </w:num>
  <w:num w:numId="29">
    <w:abstractNumId w:val="7"/>
  </w:num>
  <w:num w:numId="30">
    <w:abstractNumId w:val="23"/>
  </w:num>
  <w:num w:numId="31">
    <w:abstractNumId w:val="38"/>
  </w:num>
  <w:num w:numId="32">
    <w:abstractNumId w:val="3"/>
  </w:num>
  <w:num w:numId="33">
    <w:abstractNumId w:val="37"/>
  </w:num>
  <w:num w:numId="34">
    <w:abstractNumId w:val="26"/>
  </w:num>
  <w:num w:numId="35">
    <w:abstractNumId w:val="34"/>
  </w:num>
  <w:num w:numId="36">
    <w:abstractNumId w:val="16"/>
  </w:num>
  <w:num w:numId="37">
    <w:abstractNumId w:val="15"/>
  </w:num>
  <w:num w:numId="38">
    <w:abstractNumId w:val="22"/>
  </w:num>
  <w:num w:numId="39">
    <w:abstractNumId w:val="1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it-IT" w:vendorID="64" w:dllVersion="6" w:nlCheck="1" w:checkStyle="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1F6CDF3A-7868-4AD3-974E-81FA64EB92B2"/>
    <w:docVar w:name="LW_COVERPAGE_TYPE" w:val="1"/>
    <w:docVar w:name="LW_CROSSREFERENCE" w:val="&lt;UNUSED&gt;"/>
    <w:docVar w:name="LW_DocType" w:val="NORMAL"/>
    <w:docVar w:name="LW_EMISSION" w:val="10.10.2022"/>
    <w:docVar w:name="LW_EMISSION_ISODATE" w:val="2022-10-10"/>
    <w:docVar w:name="LW_EMISSION_LOCATION" w:val="BRX"/>
    <w:docVar w:name="LW_EMISSION_PREFIX" w:val="Bruksela, dnia "/>
    <w:docVar w:name="LW_EMISSION_SUFFIX" w:val=" r."/>
    <w:docVar w:name="LW_ID_DOCTYPE_NONLW" w:val="CP-006"/>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2) 5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unkcjonowanie rozporządzenia w sprawie sekurytyzacji"/>
    <w:docVar w:name="LW_TYPE.DOC.CP" w:val="SPRAWOZDANIE KOMISJI DLA PARLAMENTU EUROPEJSKIEGO I RADY"/>
    <w:docVar w:name="LwApiVersions" w:val="LW4CoDe 1.23.2.0; LW 8.0, Build 20211117"/>
  </w:docVars>
  <w:rsids>
    <w:rsidRoot w:val="00FA0965"/>
    <w:rsid w:val="00001486"/>
    <w:rsid w:val="00001E46"/>
    <w:rsid w:val="00003B1A"/>
    <w:rsid w:val="0000404E"/>
    <w:rsid w:val="000053AA"/>
    <w:rsid w:val="00005A08"/>
    <w:rsid w:val="000065ED"/>
    <w:rsid w:val="000065FB"/>
    <w:rsid w:val="00006888"/>
    <w:rsid w:val="00012592"/>
    <w:rsid w:val="000146AB"/>
    <w:rsid w:val="00017FC3"/>
    <w:rsid w:val="000206B5"/>
    <w:rsid w:val="000233FD"/>
    <w:rsid w:val="00024F2B"/>
    <w:rsid w:val="0002619F"/>
    <w:rsid w:val="000315D1"/>
    <w:rsid w:val="00031F18"/>
    <w:rsid w:val="00034915"/>
    <w:rsid w:val="00034967"/>
    <w:rsid w:val="00034A80"/>
    <w:rsid w:val="000363B9"/>
    <w:rsid w:val="00036A70"/>
    <w:rsid w:val="00037CBA"/>
    <w:rsid w:val="00041174"/>
    <w:rsid w:val="00041E59"/>
    <w:rsid w:val="00042B66"/>
    <w:rsid w:val="000464A8"/>
    <w:rsid w:val="00051CAE"/>
    <w:rsid w:val="0005421E"/>
    <w:rsid w:val="000544FF"/>
    <w:rsid w:val="0006355B"/>
    <w:rsid w:val="00063AF5"/>
    <w:rsid w:val="000646D4"/>
    <w:rsid w:val="0006574D"/>
    <w:rsid w:val="00073957"/>
    <w:rsid w:val="00080355"/>
    <w:rsid w:val="00080C24"/>
    <w:rsid w:val="00081B71"/>
    <w:rsid w:val="00082633"/>
    <w:rsid w:val="00083B45"/>
    <w:rsid w:val="000871C8"/>
    <w:rsid w:val="00087F04"/>
    <w:rsid w:val="00092394"/>
    <w:rsid w:val="00092CAC"/>
    <w:rsid w:val="00095A51"/>
    <w:rsid w:val="000A06C6"/>
    <w:rsid w:val="000A0868"/>
    <w:rsid w:val="000A22EB"/>
    <w:rsid w:val="000A49A7"/>
    <w:rsid w:val="000A4BE5"/>
    <w:rsid w:val="000B2AC8"/>
    <w:rsid w:val="000B5426"/>
    <w:rsid w:val="000C3841"/>
    <w:rsid w:val="000C60D2"/>
    <w:rsid w:val="000C63F1"/>
    <w:rsid w:val="000D209C"/>
    <w:rsid w:val="000D4664"/>
    <w:rsid w:val="000E123F"/>
    <w:rsid w:val="000E3E63"/>
    <w:rsid w:val="000E4EA8"/>
    <w:rsid w:val="000E5AC5"/>
    <w:rsid w:val="000E7C5F"/>
    <w:rsid w:val="000F064B"/>
    <w:rsid w:val="000F0689"/>
    <w:rsid w:val="000F0E58"/>
    <w:rsid w:val="000F3481"/>
    <w:rsid w:val="000F39FD"/>
    <w:rsid w:val="000F6E2A"/>
    <w:rsid w:val="000F73FB"/>
    <w:rsid w:val="001017F8"/>
    <w:rsid w:val="001028B0"/>
    <w:rsid w:val="00103B03"/>
    <w:rsid w:val="00105332"/>
    <w:rsid w:val="001059EE"/>
    <w:rsid w:val="00105E22"/>
    <w:rsid w:val="001070AF"/>
    <w:rsid w:val="00107D0F"/>
    <w:rsid w:val="00110101"/>
    <w:rsid w:val="00111024"/>
    <w:rsid w:val="001110F1"/>
    <w:rsid w:val="00112295"/>
    <w:rsid w:val="001127F9"/>
    <w:rsid w:val="001149FE"/>
    <w:rsid w:val="00115166"/>
    <w:rsid w:val="00115F0D"/>
    <w:rsid w:val="00116450"/>
    <w:rsid w:val="0012207D"/>
    <w:rsid w:val="00123AEC"/>
    <w:rsid w:val="00123BA7"/>
    <w:rsid w:val="00123F77"/>
    <w:rsid w:val="001264A9"/>
    <w:rsid w:val="00126A80"/>
    <w:rsid w:val="00127554"/>
    <w:rsid w:val="001275D8"/>
    <w:rsid w:val="00130B54"/>
    <w:rsid w:val="00131D30"/>
    <w:rsid w:val="0013218E"/>
    <w:rsid w:val="001329D2"/>
    <w:rsid w:val="00134A50"/>
    <w:rsid w:val="0013638A"/>
    <w:rsid w:val="00136C15"/>
    <w:rsid w:val="0014049E"/>
    <w:rsid w:val="00142271"/>
    <w:rsid w:val="00145089"/>
    <w:rsid w:val="00146EF2"/>
    <w:rsid w:val="00147354"/>
    <w:rsid w:val="00150D08"/>
    <w:rsid w:val="00151702"/>
    <w:rsid w:val="00152A49"/>
    <w:rsid w:val="001546D4"/>
    <w:rsid w:val="0015535D"/>
    <w:rsid w:val="00156313"/>
    <w:rsid w:val="001573CF"/>
    <w:rsid w:val="00157F5D"/>
    <w:rsid w:val="0016263A"/>
    <w:rsid w:val="00163149"/>
    <w:rsid w:val="00164CF6"/>
    <w:rsid w:val="0016521A"/>
    <w:rsid w:val="0017040A"/>
    <w:rsid w:val="00170A37"/>
    <w:rsid w:val="00171022"/>
    <w:rsid w:val="00171170"/>
    <w:rsid w:val="00175683"/>
    <w:rsid w:val="00181C12"/>
    <w:rsid w:val="00182FA8"/>
    <w:rsid w:val="001858AF"/>
    <w:rsid w:val="001861E3"/>
    <w:rsid w:val="00186C42"/>
    <w:rsid w:val="00187342"/>
    <w:rsid w:val="00187BCB"/>
    <w:rsid w:val="00193793"/>
    <w:rsid w:val="001942B3"/>
    <w:rsid w:val="001952DC"/>
    <w:rsid w:val="001A300A"/>
    <w:rsid w:val="001A3569"/>
    <w:rsid w:val="001A40EB"/>
    <w:rsid w:val="001A5A29"/>
    <w:rsid w:val="001A6A54"/>
    <w:rsid w:val="001B0558"/>
    <w:rsid w:val="001B0DFF"/>
    <w:rsid w:val="001B35B3"/>
    <w:rsid w:val="001B4503"/>
    <w:rsid w:val="001B46B0"/>
    <w:rsid w:val="001B72FF"/>
    <w:rsid w:val="001C3BBD"/>
    <w:rsid w:val="001D02A8"/>
    <w:rsid w:val="001D02F8"/>
    <w:rsid w:val="001D09F5"/>
    <w:rsid w:val="001D0EC9"/>
    <w:rsid w:val="001D1540"/>
    <w:rsid w:val="001D1E86"/>
    <w:rsid w:val="001D39EB"/>
    <w:rsid w:val="001D527A"/>
    <w:rsid w:val="001D5E02"/>
    <w:rsid w:val="001E204D"/>
    <w:rsid w:val="001E2250"/>
    <w:rsid w:val="001E342E"/>
    <w:rsid w:val="001E51EF"/>
    <w:rsid w:val="001E6114"/>
    <w:rsid w:val="001E61D6"/>
    <w:rsid w:val="001E6354"/>
    <w:rsid w:val="001F1725"/>
    <w:rsid w:val="001F3031"/>
    <w:rsid w:val="001F4323"/>
    <w:rsid w:val="001F4B7E"/>
    <w:rsid w:val="001F59A9"/>
    <w:rsid w:val="001F5DD0"/>
    <w:rsid w:val="00201047"/>
    <w:rsid w:val="002027AE"/>
    <w:rsid w:val="002064A8"/>
    <w:rsid w:val="00206D86"/>
    <w:rsid w:val="00210A89"/>
    <w:rsid w:val="00211741"/>
    <w:rsid w:val="00214960"/>
    <w:rsid w:val="00215B99"/>
    <w:rsid w:val="00226AF8"/>
    <w:rsid w:val="00231BB9"/>
    <w:rsid w:val="002322A9"/>
    <w:rsid w:val="00233D8C"/>
    <w:rsid w:val="002350FD"/>
    <w:rsid w:val="002361D6"/>
    <w:rsid w:val="002366EA"/>
    <w:rsid w:val="0024010F"/>
    <w:rsid w:val="00242FC6"/>
    <w:rsid w:val="00243857"/>
    <w:rsid w:val="00245A38"/>
    <w:rsid w:val="002476F7"/>
    <w:rsid w:val="00247FD3"/>
    <w:rsid w:val="00250517"/>
    <w:rsid w:val="00251252"/>
    <w:rsid w:val="00252D5F"/>
    <w:rsid w:val="0025492D"/>
    <w:rsid w:val="00256095"/>
    <w:rsid w:val="00257AD7"/>
    <w:rsid w:val="00260450"/>
    <w:rsid w:val="00264CC3"/>
    <w:rsid w:val="00265216"/>
    <w:rsid w:val="002655FF"/>
    <w:rsid w:val="002663EF"/>
    <w:rsid w:val="00270BF8"/>
    <w:rsid w:val="002744CF"/>
    <w:rsid w:val="0027472C"/>
    <w:rsid w:val="00275199"/>
    <w:rsid w:val="00281A59"/>
    <w:rsid w:val="002851BD"/>
    <w:rsid w:val="00285360"/>
    <w:rsid w:val="00286898"/>
    <w:rsid w:val="002913CC"/>
    <w:rsid w:val="00294553"/>
    <w:rsid w:val="002952F9"/>
    <w:rsid w:val="00296090"/>
    <w:rsid w:val="002962B9"/>
    <w:rsid w:val="002A1356"/>
    <w:rsid w:val="002A178D"/>
    <w:rsid w:val="002A21DE"/>
    <w:rsid w:val="002A32D1"/>
    <w:rsid w:val="002A76BD"/>
    <w:rsid w:val="002A7F87"/>
    <w:rsid w:val="002B0A63"/>
    <w:rsid w:val="002B0D16"/>
    <w:rsid w:val="002B1000"/>
    <w:rsid w:val="002B2ED0"/>
    <w:rsid w:val="002B3B64"/>
    <w:rsid w:val="002B3CD7"/>
    <w:rsid w:val="002B4795"/>
    <w:rsid w:val="002C55A1"/>
    <w:rsid w:val="002C593B"/>
    <w:rsid w:val="002C5C8F"/>
    <w:rsid w:val="002C6D9C"/>
    <w:rsid w:val="002D0D09"/>
    <w:rsid w:val="002D5D87"/>
    <w:rsid w:val="002D78F5"/>
    <w:rsid w:val="002E0F5D"/>
    <w:rsid w:val="002E5705"/>
    <w:rsid w:val="002E6039"/>
    <w:rsid w:val="002E60E9"/>
    <w:rsid w:val="002E60F8"/>
    <w:rsid w:val="002E6AD9"/>
    <w:rsid w:val="002F1C37"/>
    <w:rsid w:val="00300314"/>
    <w:rsid w:val="003003D9"/>
    <w:rsid w:val="0030219E"/>
    <w:rsid w:val="00304F52"/>
    <w:rsid w:val="00305418"/>
    <w:rsid w:val="00305D24"/>
    <w:rsid w:val="003075F5"/>
    <w:rsid w:val="0030779B"/>
    <w:rsid w:val="00307B2C"/>
    <w:rsid w:val="00310329"/>
    <w:rsid w:val="00320EC1"/>
    <w:rsid w:val="00321D16"/>
    <w:rsid w:val="00322556"/>
    <w:rsid w:val="00322CA7"/>
    <w:rsid w:val="00322E2F"/>
    <w:rsid w:val="00325A76"/>
    <w:rsid w:val="00325EBC"/>
    <w:rsid w:val="003269B6"/>
    <w:rsid w:val="00327D3F"/>
    <w:rsid w:val="00331C71"/>
    <w:rsid w:val="00334AB6"/>
    <w:rsid w:val="003404A2"/>
    <w:rsid w:val="003409D4"/>
    <w:rsid w:val="00342131"/>
    <w:rsid w:val="0034293A"/>
    <w:rsid w:val="00343847"/>
    <w:rsid w:val="0034518A"/>
    <w:rsid w:val="00346C1E"/>
    <w:rsid w:val="00347576"/>
    <w:rsid w:val="00347843"/>
    <w:rsid w:val="003516E0"/>
    <w:rsid w:val="003521E2"/>
    <w:rsid w:val="00354F72"/>
    <w:rsid w:val="0035544E"/>
    <w:rsid w:val="003554DE"/>
    <w:rsid w:val="00355AC8"/>
    <w:rsid w:val="00356C4B"/>
    <w:rsid w:val="00356F9F"/>
    <w:rsid w:val="003601A9"/>
    <w:rsid w:val="00363206"/>
    <w:rsid w:val="00364B6F"/>
    <w:rsid w:val="00365A40"/>
    <w:rsid w:val="00365F66"/>
    <w:rsid w:val="00367978"/>
    <w:rsid w:val="00373ED1"/>
    <w:rsid w:val="0037403E"/>
    <w:rsid w:val="003756F9"/>
    <w:rsid w:val="00380775"/>
    <w:rsid w:val="00381223"/>
    <w:rsid w:val="00384D56"/>
    <w:rsid w:val="00386D59"/>
    <w:rsid w:val="00392B84"/>
    <w:rsid w:val="003938A7"/>
    <w:rsid w:val="00394286"/>
    <w:rsid w:val="00394F92"/>
    <w:rsid w:val="003957D4"/>
    <w:rsid w:val="003975FE"/>
    <w:rsid w:val="003A07EE"/>
    <w:rsid w:val="003A0FF5"/>
    <w:rsid w:val="003A1704"/>
    <w:rsid w:val="003A215A"/>
    <w:rsid w:val="003A3011"/>
    <w:rsid w:val="003A4E9A"/>
    <w:rsid w:val="003A4F2A"/>
    <w:rsid w:val="003A6260"/>
    <w:rsid w:val="003A6BC3"/>
    <w:rsid w:val="003A7447"/>
    <w:rsid w:val="003A7758"/>
    <w:rsid w:val="003C0687"/>
    <w:rsid w:val="003C0B43"/>
    <w:rsid w:val="003C0D71"/>
    <w:rsid w:val="003C19C8"/>
    <w:rsid w:val="003C22C2"/>
    <w:rsid w:val="003C2662"/>
    <w:rsid w:val="003C5308"/>
    <w:rsid w:val="003C6402"/>
    <w:rsid w:val="003D1FF8"/>
    <w:rsid w:val="003D2C2D"/>
    <w:rsid w:val="003D32F5"/>
    <w:rsid w:val="003D420A"/>
    <w:rsid w:val="003D4F96"/>
    <w:rsid w:val="003D5FE3"/>
    <w:rsid w:val="003D6721"/>
    <w:rsid w:val="003E0038"/>
    <w:rsid w:val="003E2309"/>
    <w:rsid w:val="003E2A6C"/>
    <w:rsid w:val="003E2D60"/>
    <w:rsid w:val="003E56F3"/>
    <w:rsid w:val="003E69DA"/>
    <w:rsid w:val="003E7EA9"/>
    <w:rsid w:val="003F1AA0"/>
    <w:rsid w:val="003F3769"/>
    <w:rsid w:val="003F49DB"/>
    <w:rsid w:val="003F5037"/>
    <w:rsid w:val="003F7BD4"/>
    <w:rsid w:val="0040120E"/>
    <w:rsid w:val="00401B35"/>
    <w:rsid w:val="00407193"/>
    <w:rsid w:val="004100C8"/>
    <w:rsid w:val="00412782"/>
    <w:rsid w:val="00413335"/>
    <w:rsid w:val="004133B8"/>
    <w:rsid w:val="004134D0"/>
    <w:rsid w:val="00417EB8"/>
    <w:rsid w:val="004211D8"/>
    <w:rsid w:val="00421C74"/>
    <w:rsid w:val="00422A63"/>
    <w:rsid w:val="0042423E"/>
    <w:rsid w:val="00430010"/>
    <w:rsid w:val="00433E53"/>
    <w:rsid w:val="004345EE"/>
    <w:rsid w:val="004351AF"/>
    <w:rsid w:val="00435A82"/>
    <w:rsid w:val="00437A75"/>
    <w:rsid w:val="0044000D"/>
    <w:rsid w:val="00440985"/>
    <w:rsid w:val="00443B8F"/>
    <w:rsid w:val="004460C2"/>
    <w:rsid w:val="0045184E"/>
    <w:rsid w:val="00451FB3"/>
    <w:rsid w:val="00455A61"/>
    <w:rsid w:val="00455CC1"/>
    <w:rsid w:val="00457ACE"/>
    <w:rsid w:val="00465D44"/>
    <w:rsid w:val="00472992"/>
    <w:rsid w:val="004734B9"/>
    <w:rsid w:val="0047381E"/>
    <w:rsid w:val="00475048"/>
    <w:rsid w:val="004774C3"/>
    <w:rsid w:val="00480F6C"/>
    <w:rsid w:val="0048467D"/>
    <w:rsid w:val="004849B6"/>
    <w:rsid w:val="004852E7"/>
    <w:rsid w:val="004932A0"/>
    <w:rsid w:val="00495797"/>
    <w:rsid w:val="00496BD0"/>
    <w:rsid w:val="004A1A55"/>
    <w:rsid w:val="004A4A7F"/>
    <w:rsid w:val="004A6691"/>
    <w:rsid w:val="004A6DA5"/>
    <w:rsid w:val="004B0373"/>
    <w:rsid w:val="004B10BE"/>
    <w:rsid w:val="004B5D57"/>
    <w:rsid w:val="004C18E0"/>
    <w:rsid w:val="004C3691"/>
    <w:rsid w:val="004C5C09"/>
    <w:rsid w:val="004C6C97"/>
    <w:rsid w:val="004D34AD"/>
    <w:rsid w:val="004D469C"/>
    <w:rsid w:val="004D489F"/>
    <w:rsid w:val="004D4DBD"/>
    <w:rsid w:val="004D4F33"/>
    <w:rsid w:val="004D51E5"/>
    <w:rsid w:val="004D621C"/>
    <w:rsid w:val="004E0039"/>
    <w:rsid w:val="004E03A6"/>
    <w:rsid w:val="004E1D20"/>
    <w:rsid w:val="004E27F0"/>
    <w:rsid w:val="004E3428"/>
    <w:rsid w:val="004E53B1"/>
    <w:rsid w:val="004E65BC"/>
    <w:rsid w:val="004E6870"/>
    <w:rsid w:val="004F2360"/>
    <w:rsid w:val="004F27B7"/>
    <w:rsid w:val="004F2FB0"/>
    <w:rsid w:val="004F4F66"/>
    <w:rsid w:val="00500B1E"/>
    <w:rsid w:val="0050116D"/>
    <w:rsid w:val="00503D36"/>
    <w:rsid w:val="00504488"/>
    <w:rsid w:val="00504A98"/>
    <w:rsid w:val="00506E1F"/>
    <w:rsid w:val="00507467"/>
    <w:rsid w:val="00511379"/>
    <w:rsid w:val="00514137"/>
    <w:rsid w:val="00516E31"/>
    <w:rsid w:val="0052141D"/>
    <w:rsid w:val="00522DAB"/>
    <w:rsid w:val="0052456D"/>
    <w:rsid w:val="00524D0D"/>
    <w:rsid w:val="0052650D"/>
    <w:rsid w:val="00533EF2"/>
    <w:rsid w:val="0053752A"/>
    <w:rsid w:val="00540666"/>
    <w:rsid w:val="0054095C"/>
    <w:rsid w:val="00540E9B"/>
    <w:rsid w:val="005427EB"/>
    <w:rsid w:val="005441B9"/>
    <w:rsid w:val="00544325"/>
    <w:rsid w:val="005457D6"/>
    <w:rsid w:val="00546806"/>
    <w:rsid w:val="00546B3E"/>
    <w:rsid w:val="005534EE"/>
    <w:rsid w:val="00554198"/>
    <w:rsid w:val="00561744"/>
    <w:rsid w:val="0056466E"/>
    <w:rsid w:val="00565596"/>
    <w:rsid w:val="005666C6"/>
    <w:rsid w:val="0056711C"/>
    <w:rsid w:val="00577F52"/>
    <w:rsid w:val="00580C29"/>
    <w:rsid w:val="005812C9"/>
    <w:rsid w:val="005813EB"/>
    <w:rsid w:val="00581AF8"/>
    <w:rsid w:val="005836A1"/>
    <w:rsid w:val="00583CDE"/>
    <w:rsid w:val="00586EDB"/>
    <w:rsid w:val="005903EC"/>
    <w:rsid w:val="00591966"/>
    <w:rsid w:val="00593175"/>
    <w:rsid w:val="0059422E"/>
    <w:rsid w:val="0059579F"/>
    <w:rsid w:val="005959F9"/>
    <w:rsid w:val="0059643E"/>
    <w:rsid w:val="0059645F"/>
    <w:rsid w:val="00596557"/>
    <w:rsid w:val="005A01D9"/>
    <w:rsid w:val="005A0B72"/>
    <w:rsid w:val="005A0FFE"/>
    <w:rsid w:val="005A4E98"/>
    <w:rsid w:val="005A5633"/>
    <w:rsid w:val="005A612D"/>
    <w:rsid w:val="005A6291"/>
    <w:rsid w:val="005A78A6"/>
    <w:rsid w:val="005B3936"/>
    <w:rsid w:val="005B5C40"/>
    <w:rsid w:val="005B6232"/>
    <w:rsid w:val="005B6660"/>
    <w:rsid w:val="005C0F5C"/>
    <w:rsid w:val="005C11CD"/>
    <w:rsid w:val="005C29A0"/>
    <w:rsid w:val="005C45FD"/>
    <w:rsid w:val="005C5C27"/>
    <w:rsid w:val="005C6D72"/>
    <w:rsid w:val="005D0A37"/>
    <w:rsid w:val="005D192F"/>
    <w:rsid w:val="005D5673"/>
    <w:rsid w:val="005D6463"/>
    <w:rsid w:val="005D7003"/>
    <w:rsid w:val="005E04CA"/>
    <w:rsid w:val="005E23A5"/>
    <w:rsid w:val="005E6125"/>
    <w:rsid w:val="005F1B46"/>
    <w:rsid w:val="005F33BA"/>
    <w:rsid w:val="005F3FE5"/>
    <w:rsid w:val="005F4643"/>
    <w:rsid w:val="005F483F"/>
    <w:rsid w:val="005F4FD5"/>
    <w:rsid w:val="005F5D7D"/>
    <w:rsid w:val="005F6CFF"/>
    <w:rsid w:val="005F7675"/>
    <w:rsid w:val="006009D6"/>
    <w:rsid w:val="00601595"/>
    <w:rsid w:val="00601DAE"/>
    <w:rsid w:val="00603356"/>
    <w:rsid w:val="006062DE"/>
    <w:rsid w:val="006102B9"/>
    <w:rsid w:val="006106F6"/>
    <w:rsid w:val="00610938"/>
    <w:rsid w:val="00610E99"/>
    <w:rsid w:val="0061225B"/>
    <w:rsid w:val="006137CD"/>
    <w:rsid w:val="006148D9"/>
    <w:rsid w:val="00617602"/>
    <w:rsid w:val="006177AD"/>
    <w:rsid w:val="00617F0D"/>
    <w:rsid w:val="0062136C"/>
    <w:rsid w:val="00621427"/>
    <w:rsid w:val="00622518"/>
    <w:rsid w:val="00626CBD"/>
    <w:rsid w:val="00631113"/>
    <w:rsid w:val="006314C3"/>
    <w:rsid w:val="00633A97"/>
    <w:rsid w:val="00634957"/>
    <w:rsid w:val="00635A11"/>
    <w:rsid w:val="0064098F"/>
    <w:rsid w:val="006419E0"/>
    <w:rsid w:val="00641CC3"/>
    <w:rsid w:val="00641F69"/>
    <w:rsid w:val="00645175"/>
    <w:rsid w:val="00646D94"/>
    <w:rsid w:val="00647877"/>
    <w:rsid w:val="00647AD4"/>
    <w:rsid w:val="00647E9A"/>
    <w:rsid w:val="0065045F"/>
    <w:rsid w:val="0065113B"/>
    <w:rsid w:val="00656C37"/>
    <w:rsid w:val="00657D6C"/>
    <w:rsid w:val="0066430B"/>
    <w:rsid w:val="00664673"/>
    <w:rsid w:val="00667FF2"/>
    <w:rsid w:val="006705EB"/>
    <w:rsid w:val="0067083E"/>
    <w:rsid w:val="0067209F"/>
    <w:rsid w:val="00672C07"/>
    <w:rsid w:val="00674023"/>
    <w:rsid w:val="006756D2"/>
    <w:rsid w:val="00676084"/>
    <w:rsid w:val="0067716E"/>
    <w:rsid w:val="00680A93"/>
    <w:rsid w:val="00686572"/>
    <w:rsid w:val="00686E18"/>
    <w:rsid w:val="00691BF1"/>
    <w:rsid w:val="006944A0"/>
    <w:rsid w:val="00696FB3"/>
    <w:rsid w:val="00697796"/>
    <w:rsid w:val="006A07FA"/>
    <w:rsid w:val="006A1E24"/>
    <w:rsid w:val="006A2157"/>
    <w:rsid w:val="006A251D"/>
    <w:rsid w:val="006A3B7E"/>
    <w:rsid w:val="006A4899"/>
    <w:rsid w:val="006A4B89"/>
    <w:rsid w:val="006A4F02"/>
    <w:rsid w:val="006A5785"/>
    <w:rsid w:val="006B1C4F"/>
    <w:rsid w:val="006B6C8F"/>
    <w:rsid w:val="006B7047"/>
    <w:rsid w:val="006B718C"/>
    <w:rsid w:val="006C10DF"/>
    <w:rsid w:val="006C172B"/>
    <w:rsid w:val="006C20A4"/>
    <w:rsid w:val="006C211B"/>
    <w:rsid w:val="006C4A23"/>
    <w:rsid w:val="006C58B9"/>
    <w:rsid w:val="006C5BF1"/>
    <w:rsid w:val="006D3080"/>
    <w:rsid w:val="006D5B6B"/>
    <w:rsid w:val="006D7F2E"/>
    <w:rsid w:val="006E2552"/>
    <w:rsid w:val="006E262E"/>
    <w:rsid w:val="006E388B"/>
    <w:rsid w:val="006E3BDF"/>
    <w:rsid w:val="006E402A"/>
    <w:rsid w:val="006E4190"/>
    <w:rsid w:val="006E441A"/>
    <w:rsid w:val="006E6231"/>
    <w:rsid w:val="006E6380"/>
    <w:rsid w:val="006E7158"/>
    <w:rsid w:val="006E7D97"/>
    <w:rsid w:val="006F113E"/>
    <w:rsid w:val="006F127E"/>
    <w:rsid w:val="006F1AB9"/>
    <w:rsid w:val="006F1C2F"/>
    <w:rsid w:val="006F2A91"/>
    <w:rsid w:val="006F47C2"/>
    <w:rsid w:val="006F583A"/>
    <w:rsid w:val="006F6701"/>
    <w:rsid w:val="006F78EE"/>
    <w:rsid w:val="006F7CDE"/>
    <w:rsid w:val="00700EC4"/>
    <w:rsid w:val="00705522"/>
    <w:rsid w:val="00706712"/>
    <w:rsid w:val="00706D20"/>
    <w:rsid w:val="007108FD"/>
    <w:rsid w:val="00712ABD"/>
    <w:rsid w:val="007204E9"/>
    <w:rsid w:val="00721A1A"/>
    <w:rsid w:val="007224C1"/>
    <w:rsid w:val="00724A7B"/>
    <w:rsid w:val="00725349"/>
    <w:rsid w:val="00725357"/>
    <w:rsid w:val="00725AAF"/>
    <w:rsid w:val="007266A4"/>
    <w:rsid w:val="00726A63"/>
    <w:rsid w:val="00727438"/>
    <w:rsid w:val="00727BF6"/>
    <w:rsid w:val="007322D8"/>
    <w:rsid w:val="00732B67"/>
    <w:rsid w:val="00733757"/>
    <w:rsid w:val="007344D7"/>
    <w:rsid w:val="0073595B"/>
    <w:rsid w:val="00735B7A"/>
    <w:rsid w:val="00737CFE"/>
    <w:rsid w:val="007402C6"/>
    <w:rsid w:val="00740600"/>
    <w:rsid w:val="00741D6B"/>
    <w:rsid w:val="00744F5E"/>
    <w:rsid w:val="007454D5"/>
    <w:rsid w:val="00746D92"/>
    <w:rsid w:val="00753D0A"/>
    <w:rsid w:val="00753E1E"/>
    <w:rsid w:val="00755851"/>
    <w:rsid w:val="00756285"/>
    <w:rsid w:val="00757561"/>
    <w:rsid w:val="00757C8A"/>
    <w:rsid w:val="007623AD"/>
    <w:rsid w:val="007661F5"/>
    <w:rsid w:val="0077092A"/>
    <w:rsid w:val="00771161"/>
    <w:rsid w:val="00773A53"/>
    <w:rsid w:val="007753CD"/>
    <w:rsid w:val="00775A69"/>
    <w:rsid w:val="00776DA8"/>
    <w:rsid w:val="00783445"/>
    <w:rsid w:val="00783A45"/>
    <w:rsid w:val="00784D53"/>
    <w:rsid w:val="007863E1"/>
    <w:rsid w:val="007868D3"/>
    <w:rsid w:val="007907F1"/>
    <w:rsid w:val="0079128A"/>
    <w:rsid w:val="007912BA"/>
    <w:rsid w:val="00791E79"/>
    <w:rsid w:val="007964E9"/>
    <w:rsid w:val="00797FF6"/>
    <w:rsid w:val="007A0137"/>
    <w:rsid w:val="007A1661"/>
    <w:rsid w:val="007A4D1F"/>
    <w:rsid w:val="007A508B"/>
    <w:rsid w:val="007A67D0"/>
    <w:rsid w:val="007A7D58"/>
    <w:rsid w:val="007B1220"/>
    <w:rsid w:val="007B6DFE"/>
    <w:rsid w:val="007C01AE"/>
    <w:rsid w:val="007C20DE"/>
    <w:rsid w:val="007C3EA8"/>
    <w:rsid w:val="007C44E0"/>
    <w:rsid w:val="007C7FAA"/>
    <w:rsid w:val="007D008A"/>
    <w:rsid w:val="007D053D"/>
    <w:rsid w:val="007D4BD1"/>
    <w:rsid w:val="007D661E"/>
    <w:rsid w:val="007D6AF4"/>
    <w:rsid w:val="007E0CA9"/>
    <w:rsid w:val="007E0E3B"/>
    <w:rsid w:val="007E1739"/>
    <w:rsid w:val="007E3269"/>
    <w:rsid w:val="007E3418"/>
    <w:rsid w:val="007E75A1"/>
    <w:rsid w:val="007F1316"/>
    <w:rsid w:val="007F2333"/>
    <w:rsid w:val="008018B5"/>
    <w:rsid w:val="00805715"/>
    <w:rsid w:val="00805A04"/>
    <w:rsid w:val="008114D4"/>
    <w:rsid w:val="0081323C"/>
    <w:rsid w:val="008141A1"/>
    <w:rsid w:val="00814239"/>
    <w:rsid w:val="008148BD"/>
    <w:rsid w:val="00820F5C"/>
    <w:rsid w:val="00823E84"/>
    <w:rsid w:val="00824D04"/>
    <w:rsid w:val="00824DF8"/>
    <w:rsid w:val="00826183"/>
    <w:rsid w:val="00826486"/>
    <w:rsid w:val="00826F13"/>
    <w:rsid w:val="008271FA"/>
    <w:rsid w:val="0083087D"/>
    <w:rsid w:val="00830A7F"/>
    <w:rsid w:val="00832A28"/>
    <w:rsid w:val="00835BAE"/>
    <w:rsid w:val="00835FFA"/>
    <w:rsid w:val="00836326"/>
    <w:rsid w:val="00837869"/>
    <w:rsid w:val="00845ACC"/>
    <w:rsid w:val="008461C3"/>
    <w:rsid w:val="00846472"/>
    <w:rsid w:val="00846A9B"/>
    <w:rsid w:val="00850887"/>
    <w:rsid w:val="00851BE2"/>
    <w:rsid w:val="00857D2C"/>
    <w:rsid w:val="00860511"/>
    <w:rsid w:val="00860FCE"/>
    <w:rsid w:val="00865AC5"/>
    <w:rsid w:val="00865B96"/>
    <w:rsid w:val="00866E43"/>
    <w:rsid w:val="00870B53"/>
    <w:rsid w:val="008725CC"/>
    <w:rsid w:val="00873B7A"/>
    <w:rsid w:val="0087489D"/>
    <w:rsid w:val="00874AFF"/>
    <w:rsid w:val="008751B0"/>
    <w:rsid w:val="00875522"/>
    <w:rsid w:val="00875528"/>
    <w:rsid w:val="00876764"/>
    <w:rsid w:val="008770B1"/>
    <w:rsid w:val="008829DD"/>
    <w:rsid w:val="00882B71"/>
    <w:rsid w:val="008833FE"/>
    <w:rsid w:val="008836A2"/>
    <w:rsid w:val="008837DC"/>
    <w:rsid w:val="00884711"/>
    <w:rsid w:val="00886A87"/>
    <w:rsid w:val="00890F55"/>
    <w:rsid w:val="00896073"/>
    <w:rsid w:val="00896ADA"/>
    <w:rsid w:val="008A050F"/>
    <w:rsid w:val="008A1378"/>
    <w:rsid w:val="008A33B7"/>
    <w:rsid w:val="008A5C84"/>
    <w:rsid w:val="008A6AF7"/>
    <w:rsid w:val="008B1916"/>
    <w:rsid w:val="008B4931"/>
    <w:rsid w:val="008B79E0"/>
    <w:rsid w:val="008C1CCC"/>
    <w:rsid w:val="008C1DC4"/>
    <w:rsid w:val="008C3413"/>
    <w:rsid w:val="008C367D"/>
    <w:rsid w:val="008C4E2E"/>
    <w:rsid w:val="008C7483"/>
    <w:rsid w:val="008D0E92"/>
    <w:rsid w:val="008D1D20"/>
    <w:rsid w:val="008D20EE"/>
    <w:rsid w:val="008D302C"/>
    <w:rsid w:val="008D5CD2"/>
    <w:rsid w:val="008D645F"/>
    <w:rsid w:val="008E035F"/>
    <w:rsid w:val="008E2993"/>
    <w:rsid w:val="008E37D1"/>
    <w:rsid w:val="008E4F8D"/>
    <w:rsid w:val="008E582D"/>
    <w:rsid w:val="008E6F19"/>
    <w:rsid w:val="008E7227"/>
    <w:rsid w:val="008F3156"/>
    <w:rsid w:val="008F6FAB"/>
    <w:rsid w:val="00900045"/>
    <w:rsid w:val="00900AF5"/>
    <w:rsid w:val="00900BEB"/>
    <w:rsid w:val="00903390"/>
    <w:rsid w:val="00903ACD"/>
    <w:rsid w:val="009056F4"/>
    <w:rsid w:val="00905C86"/>
    <w:rsid w:val="009072FF"/>
    <w:rsid w:val="00910129"/>
    <w:rsid w:val="00911145"/>
    <w:rsid w:val="009112F4"/>
    <w:rsid w:val="00912FB8"/>
    <w:rsid w:val="00917339"/>
    <w:rsid w:val="00917A31"/>
    <w:rsid w:val="00920D13"/>
    <w:rsid w:val="00921379"/>
    <w:rsid w:val="00923AB5"/>
    <w:rsid w:val="00924039"/>
    <w:rsid w:val="0093004C"/>
    <w:rsid w:val="00930AE1"/>
    <w:rsid w:val="009327AF"/>
    <w:rsid w:val="00932A01"/>
    <w:rsid w:val="00932C40"/>
    <w:rsid w:val="00932D88"/>
    <w:rsid w:val="00934DBF"/>
    <w:rsid w:val="009400AB"/>
    <w:rsid w:val="00941573"/>
    <w:rsid w:val="00947642"/>
    <w:rsid w:val="00947C28"/>
    <w:rsid w:val="00951EB8"/>
    <w:rsid w:val="0095261B"/>
    <w:rsid w:val="009526E6"/>
    <w:rsid w:val="00953E6B"/>
    <w:rsid w:val="00954578"/>
    <w:rsid w:val="00957043"/>
    <w:rsid w:val="00957FA9"/>
    <w:rsid w:val="00965A7A"/>
    <w:rsid w:val="0096798F"/>
    <w:rsid w:val="0097068F"/>
    <w:rsid w:val="00970C63"/>
    <w:rsid w:val="00972364"/>
    <w:rsid w:val="00973AA2"/>
    <w:rsid w:val="009751B2"/>
    <w:rsid w:val="00977CE3"/>
    <w:rsid w:val="009800AD"/>
    <w:rsid w:val="00980823"/>
    <w:rsid w:val="00982674"/>
    <w:rsid w:val="0098576C"/>
    <w:rsid w:val="00985D72"/>
    <w:rsid w:val="00987443"/>
    <w:rsid w:val="009916DC"/>
    <w:rsid w:val="00994938"/>
    <w:rsid w:val="00994C16"/>
    <w:rsid w:val="00995A1E"/>
    <w:rsid w:val="009A3EB4"/>
    <w:rsid w:val="009B4043"/>
    <w:rsid w:val="009B5403"/>
    <w:rsid w:val="009B562B"/>
    <w:rsid w:val="009B7EB9"/>
    <w:rsid w:val="009C15E5"/>
    <w:rsid w:val="009C39C0"/>
    <w:rsid w:val="009C6998"/>
    <w:rsid w:val="009C75C7"/>
    <w:rsid w:val="009D078F"/>
    <w:rsid w:val="009D311D"/>
    <w:rsid w:val="009E1801"/>
    <w:rsid w:val="009E20E1"/>
    <w:rsid w:val="009E344D"/>
    <w:rsid w:val="009E3E02"/>
    <w:rsid w:val="009E3EF5"/>
    <w:rsid w:val="009E4446"/>
    <w:rsid w:val="009E5D28"/>
    <w:rsid w:val="009F0497"/>
    <w:rsid w:val="009F0573"/>
    <w:rsid w:val="009F1671"/>
    <w:rsid w:val="009F3292"/>
    <w:rsid w:val="009F3791"/>
    <w:rsid w:val="009F6AB1"/>
    <w:rsid w:val="00A00B2B"/>
    <w:rsid w:val="00A0187B"/>
    <w:rsid w:val="00A06862"/>
    <w:rsid w:val="00A06A6A"/>
    <w:rsid w:val="00A07A53"/>
    <w:rsid w:val="00A10BBA"/>
    <w:rsid w:val="00A11F61"/>
    <w:rsid w:val="00A13C4B"/>
    <w:rsid w:val="00A142FD"/>
    <w:rsid w:val="00A16183"/>
    <w:rsid w:val="00A166EC"/>
    <w:rsid w:val="00A211C1"/>
    <w:rsid w:val="00A22C21"/>
    <w:rsid w:val="00A238D0"/>
    <w:rsid w:val="00A23D4F"/>
    <w:rsid w:val="00A25068"/>
    <w:rsid w:val="00A253A7"/>
    <w:rsid w:val="00A27C1C"/>
    <w:rsid w:val="00A3015F"/>
    <w:rsid w:val="00A31617"/>
    <w:rsid w:val="00A3256D"/>
    <w:rsid w:val="00A32B1F"/>
    <w:rsid w:val="00A36B9D"/>
    <w:rsid w:val="00A37157"/>
    <w:rsid w:val="00A4385D"/>
    <w:rsid w:val="00A4506D"/>
    <w:rsid w:val="00A46D85"/>
    <w:rsid w:val="00A511D9"/>
    <w:rsid w:val="00A5153D"/>
    <w:rsid w:val="00A51937"/>
    <w:rsid w:val="00A520C6"/>
    <w:rsid w:val="00A57179"/>
    <w:rsid w:val="00A60BB6"/>
    <w:rsid w:val="00A610C4"/>
    <w:rsid w:val="00A61A6E"/>
    <w:rsid w:val="00A61CFB"/>
    <w:rsid w:val="00A63DF3"/>
    <w:rsid w:val="00A6598B"/>
    <w:rsid w:val="00A67BF9"/>
    <w:rsid w:val="00A7077E"/>
    <w:rsid w:val="00A70EA8"/>
    <w:rsid w:val="00A758B7"/>
    <w:rsid w:val="00A766CB"/>
    <w:rsid w:val="00A77AD7"/>
    <w:rsid w:val="00A80F82"/>
    <w:rsid w:val="00A814E0"/>
    <w:rsid w:val="00A823DC"/>
    <w:rsid w:val="00A83241"/>
    <w:rsid w:val="00A83882"/>
    <w:rsid w:val="00A8455E"/>
    <w:rsid w:val="00A848DD"/>
    <w:rsid w:val="00A864BE"/>
    <w:rsid w:val="00A86659"/>
    <w:rsid w:val="00A91181"/>
    <w:rsid w:val="00A91848"/>
    <w:rsid w:val="00A91B83"/>
    <w:rsid w:val="00AA1401"/>
    <w:rsid w:val="00AA1797"/>
    <w:rsid w:val="00AA22B6"/>
    <w:rsid w:val="00AA343B"/>
    <w:rsid w:val="00AA3D48"/>
    <w:rsid w:val="00AA7EC1"/>
    <w:rsid w:val="00AB0DB5"/>
    <w:rsid w:val="00AB0EFA"/>
    <w:rsid w:val="00AB18D0"/>
    <w:rsid w:val="00AB1BE3"/>
    <w:rsid w:val="00AB5FEA"/>
    <w:rsid w:val="00AC2902"/>
    <w:rsid w:val="00AC2F55"/>
    <w:rsid w:val="00AC4BB8"/>
    <w:rsid w:val="00AC4C6C"/>
    <w:rsid w:val="00AD0475"/>
    <w:rsid w:val="00AD1123"/>
    <w:rsid w:val="00AD21C9"/>
    <w:rsid w:val="00AD264D"/>
    <w:rsid w:val="00AD2ACA"/>
    <w:rsid w:val="00AD3900"/>
    <w:rsid w:val="00AE09EE"/>
    <w:rsid w:val="00AE17A7"/>
    <w:rsid w:val="00AE225E"/>
    <w:rsid w:val="00AE2739"/>
    <w:rsid w:val="00AE2970"/>
    <w:rsid w:val="00AE3D13"/>
    <w:rsid w:val="00AE6D05"/>
    <w:rsid w:val="00AE7C39"/>
    <w:rsid w:val="00AF14A8"/>
    <w:rsid w:val="00AF1B90"/>
    <w:rsid w:val="00AF3DF3"/>
    <w:rsid w:val="00AF5012"/>
    <w:rsid w:val="00AF6F0C"/>
    <w:rsid w:val="00B00F8D"/>
    <w:rsid w:val="00B01345"/>
    <w:rsid w:val="00B02AC2"/>
    <w:rsid w:val="00B03265"/>
    <w:rsid w:val="00B054EE"/>
    <w:rsid w:val="00B06CA7"/>
    <w:rsid w:val="00B11EA4"/>
    <w:rsid w:val="00B12725"/>
    <w:rsid w:val="00B12F32"/>
    <w:rsid w:val="00B14603"/>
    <w:rsid w:val="00B14B36"/>
    <w:rsid w:val="00B17379"/>
    <w:rsid w:val="00B20E2C"/>
    <w:rsid w:val="00B21CDF"/>
    <w:rsid w:val="00B22AB2"/>
    <w:rsid w:val="00B23F34"/>
    <w:rsid w:val="00B26386"/>
    <w:rsid w:val="00B305D5"/>
    <w:rsid w:val="00B32CA0"/>
    <w:rsid w:val="00B3320E"/>
    <w:rsid w:val="00B33592"/>
    <w:rsid w:val="00B35120"/>
    <w:rsid w:val="00B42621"/>
    <w:rsid w:val="00B44931"/>
    <w:rsid w:val="00B4610C"/>
    <w:rsid w:val="00B50076"/>
    <w:rsid w:val="00B5111C"/>
    <w:rsid w:val="00B5130E"/>
    <w:rsid w:val="00B5585E"/>
    <w:rsid w:val="00B55D08"/>
    <w:rsid w:val="00B57204"/>
    <w:rsid w:val="00B63EED"/>
    <w:rsid w:val="00B64300"/>
    <w:rsid w:val="00B64DD3"/>
    <w:rsid w:val="00B66AB7"/>
    <w:rsid w:val="00B7077E"/>
    <w:rsid w:val="00B74349"/>
    <w:rsid w:val="00B754EF"/>
    <w:rsid w:val="00B75872"/>
    <w:rsid w:val="00B77891"/>
    <w:rsid w:val="00B90BAE"/>
    <w:rsid w:val="00B9203F"/>
    <w:rsid w:val="00B94D99"/>
    <w:rsid w:val="00B96592"/>
    <w:rsid w:val="00B9730C"/>
    <w:rsid w:val="00B97F15"/>
    <w:rsid w:val="00BA014C"/>
    <w:rsid w:val="00BA0A7F"/>
    <w:rsid w:val="00BA20AF"/>
    <w:rsid w:val="00BA6BC6"/>
    <w:rsid w:val="00BA74DC"/>
    <w:rsid w:val="00BA7894"/>
    <w:rsid w:val="00BA7A74"/>
    <w:rsid w:val="00BB11E5"/>
    <w:rsid w:val="00BB1BC0"/>
    <w:rsid w:val="00BB2462"/>
    <w:rsid w:val="00BB5810"/>
    <w:rsid w:val="00BB67D7"/>
    <w:rsid w:val="00BC13DA"/>
    <w:rsid w:val="00BC17AF"/>
    <w:rsid w:val="00BC26CA"/>
    <w:rsid w:val="00BC3CB1"/>
    <w:rsid w:val="00BC5E6A"/>
    <w:rsid w:val="00BC6555"/>
    <w:rsid w:val="00BD10DE"/>
    <w:rsid w:val="00BD1929"/>
    <w:rsid w:val="00BD2880"/>
    <w:rsid w:val="00BD4356"/>
    <w:rsid w:val="00BD6B0F"/>
    <w:rsid w:val="00BD72E5"/>
    <w:rsid w:val="00BE00CC"/>
    <w:rsid w:val="00BE0B1B"/>
    <w:rsid w:val="00BE10D4"/>
    <w:rsid w:val="00BE1906"/>
    <w:rsid w:val="00BE2871"/>
    <w:rsid w:val="00BE4D79"/>
    <w:rsid w:val="00BE6D69"/>
    <w:rsid w:val="00BE6DBC"/>
    <w:rsid w:val="00BE7676"/>
    <w:rsid w:val="00BE7DD0"/>
    <w:rsid w:val="00BF18C5"/>
    <w:rsid w:val="00BF6A0E"/>
    <w:rsid w:val="00C00C19"/>
    <w:rsid w:val="00C022E6"/>
    <w:rsid w:val="00C0740D"/>
    <w:rsid w:val="00C0741C"/>
    <w:rsid w:val="00C1382C"/>
    <w:rsid w:val="00C14F37"/>
    <w:rsid w:val="00C1525A"/>
    <w:rsid w:val="00C16759"/>
    <w:rsid w:val="00C17866"/>
    <w:rsid w:val="00C179A7"/>
    <w:rsid w:val="00C17C48"/>
    <w:rsid w:val="00C17EB8"/>
    <w:rsid w:val="00C201D8"/>
    <w:rsid w:val="00C22202"/>
    <w:rsid w:val="00C2333B"/>
    <w:rsid w:val="00C255C6"/>
    <w:rsid w:val="00C25A34"/>
    <w:rsid w:val="00C31A3D"/>
    <w:rsid w:val="00C31B32"/>
    <w:rsid w:val="00C32C75"/>
    <w:rsid w:val="00C3501E"/>
    <w:rsid w:val="00C36D40"/>
    <w:rsid w:val="00C40A4F"/>
    <w:rsid w:val="00C42997"/>
    <w:rsid w:val="00C42BA2"/>
    <w:rsid w:val="00C43D93"/>
    <w:rsid w:val="00C446BB"/>
    <w:rsid w:val="00C516C8"/>
    <w:rsid w:val="00C52BD8"/>
    <w:rsid w:val="00C55717"/>
    <w:rsid w:val="00C55C9A"/>
    <w:rsid w:val="00C612CF"/>
    <w:rsid w:val="00C61BFB"/>
    <w:rsid w:val="00C6238B"/>
    <w:rsid w:val="00C62CA5"/>
    <w:rsid w:val="00C6328D"/>
    <w:rsid w:val="00C64886"/>
    <w:rsid w:val="00C65F22"/>
    <w:rsid w:val="00C66F1B"/>
    <w:rsid w:val="00C678DE"/>
    <w:rsid w:val="00C704A3"/>
    <w:rsid w:val="00C7279F"/>
    <w:rsid w:val="00C74829"/>
    <w:rsid w:val="00C74CC5"/>
    <w:rsid w:val="00C75810"/>
    <w:rsid w:val="00C760B9"/>
    <w:rsid w:val="00C769E0"/>
    <w:rsid w:val="00C774F6"/>
    <w:rsid w:val="00C80234"/>
    <w:rsid w:val="00C808F2"/>
    <w:rsid w:val="00C82639"/>
    <w:rsid w:val="00C82CA7"/>
    <w:rsid w:val="00C83C00"/>
    <w:rsid w:val="00C845A7"/>
    <w:rsid w:val="00C84627"/>
    <w:rsid w:val="00C84BD1"/>
    <w:rsid w:val="00C91138"/>
    <w:rsid w:val="00C94AE0"/>
    <w:rsid w:val="00C94ED6"/>
    <w:rsid w:val="00CA68B9"/>
    <w:rsid w:val="00CB14FD"/>
    <w:rsid w:val="00CB2EF4"/>
    <w:rsid w:val="00CB36DE"/>
    <w:rsid w:val="00CB4F32"/>
    <w:rsid w:val="00CB59EE"/>
    <w:rsid w:val="00CB5EC2"/>
    <w:rsid w:val="00CB70A8"/>
    <w:rsid w:val="00CB7BBD"/>
    <w:rsid w:val="00CC2096"/>
    <w:rsid w:val="00CC215D"/>
    <w:rsid w:val="00CC21E9"/>
    <w:rsid w:val="00CC322D"/>
    <w:rsid w:val="00CC4907"/>
    <w:rsid w:val="00CC53F7"/>
    <w:rsid w:val="00CC62AB"/>
    <w:rsid w:val="00CD00CC"/>
    <w:rsid w:val="00CD1463"/>
    <w:rsid w:val="00CD33C2"/>
    <w:rsid w:val="00CD35B9"/>
    <w:rsid w:val="00CD4C28"/>
    <w:rsid w:val="00CE0B24"/>
    <w:rsid w:val="00CE28B3"/>
    <w:rsid w:val="00CE4826"/>
    <w:rsid w:val="00CE61EE"/>
    <w:rsid w:val="00CE6EEC"/>
    <w:rsid w:val="00CE6F51"/>
    <w:rsid w:val="00CF1532"/>
    <w:rsid w:val="00CF3606"/>
    <w:rsid w:val="00CF452E"/>
    <w:rsid w:val="00CF4AAF"/>
    <w:rsid w:val="00CF5DC7"/>
    <w:rsid w:val="00D042B0"/>
    <w:rsid w:val="00D05D9D"/>
    <w:rsid w:val="00D060CE"/>
    <w:rsid w:val="00D1073F"/>
    <w:rsid w:val="00D12421"/>
    <w:rsid w:val="00D13DE4"/>
    <w:rsid w:val="00D161A4"/>
    <w:rsid w:val="00D17F19"/>
    <w:rsid w:val="00D200FE"/>
    <w:rsid w:val="00D20D2D"/>
    <w:rsid w:val="00D20EC4"/>
    <w:rsid w:val="00D216E6"/>
    <w:rsid w:val="00D21F8E"/>
    <w:rsid w:val="00D23921"/>
    <w:rsid w:val="00D23FE8"/>
    <w:rsid w:val="00D3110A"/>
    <w:rsid w:val="00D338B2"/>
    <w:rsid w:val="00D33DA1"/>
    <w:rsid w:val="00D35227"/>
    <w:rsid w:val="00D35E3A"/>
    <w:rsid w:val="00D3601D"/>
    <w:rsid w:val="00D36BB0"/>
    <w:rsid w:val="00D417B8"/>
    <w:rsid w:val="00D42B34"/>
    <w:rsid w:val="00D4329D"/>
    <w:rsid w:val="00D44008"/>
    <w:rsid w:val="00D51C88"/>
    <w:rsid w:val="00D54BFC"/>
    <w:rsid w:val="00D56078"/>
    <w:rsid w:val="00D5611C"/>
    <w:rsid w:val="00D57961"/>
    <w:rsid w:val="00D6365E"/>
    <w:rsid w:val="00D63A69"/>
    <w:rsid w:val="00D67A6B"/>
    <w:rsid w:val="00D718E7"/>
    <w:rsid w:val="00D74AF3"/>
    <w:rsid w:val="00D74C72"/>
    <w:rsid w:val="00D74F12"/>
    <w:rsid w:val="00D80814"/>
    <w:rsid w:val="00D816FB"/>
    <w:rsid w:val="00D81D21"/>
    <w:rsid w:val="00D82501"/>
    <w:rsid w:val="00D837BC"/>
    <w:rsid w:val="00D86346"/>
    <w:rsid w:val="00D87094"/>
    <w:rsid w:val="00D90171"/>
    <w:rsid w:val="00D92D70"/>
    <w:rsid w:val="00D946F3"/>
    <w:rsid w:val="00D96DF9"/>
    <w:rsid w:val="00D974E4"/>
    <w:rsid w:val="00DA0B1F"/>
    <w:rsid w:val="00DA16A7"/>
    <w:rsid w:val="00DA335A"/>
    <w:rsid w:val="00DA5AAA"/>
    <w:rsid w:val="00DA6DC4"/>
    <w:rsid w:val="00DB177D"/>
    <w:rsid w:val="00DB2894"/>
    <w:rsid w:val="00DB2B1C"/>
    <w:rsid w:val="00DB5172"/>
    <w:rsid w:val="00DB6D59"/>
    <w:rsid w:val="00DB73DC"/>
    <w:rsid w:val="00DC09BF"/>
    <w:rsid w:val="00DC1288"/>
    <w:rsid w:val="00DC59ED"/>
    <w:rsid w:val="00DC6CF8"/>
    <w:rsid w:val="00DD1743"/>
    <w:rsid w:val="00DD1AFF"/>
    <w:rsid w:val="00DD3865"/>
    <w:rsid w:val="00DD73BE"/>
    <w:rsid w:val="00DE112A"/>
    <w:rsid w:val="00DE6114"/>
    <w:rsid w:val="00DE73BB"/>
    <w:rsid w:val="00DE7B32"/>
    <w:rsid w:val="00DF284F"/>
    <w:rsid w:val="00DF3B06"/>
    <w:rsid w:val="00DF40FC"/>
    <w:rsid w:val="00DF65F3"/>
    <w:rsid w:val="00DF7A05"/>
    <w:rsid w:val="00E0125A"/>
    <w:rsid w:val="00E01880"/>
    <w:rsid w:val="00E03196"/>
    <w:rsid w:val="00E04284"/>
    <w:rsid w:val="00E04D59"/>
    <w:rsid w:val="00E0702E"/>
    <w:rsid w:val="00E071C5"/>
    <w:rsid w:val="00E12DB5"/>
    <w:rsid w:val="00E14154"/>
    <w:rsid w:val="00E146B6"/>
    <w:rsid w:val="00E146FB"/>
    <w:rsid w:val="00E14941"/>
    <w:rsid w:val="00E14EB1"/>
    <w:rsid w:val="00E17928"/>
    <w:rsid w:val="00E238EE"/>
    <w:rsid w:val="00E2595B"/>
    <w:rsid w:val="00E33863"/>
    <w:rsid w:val="00E359FA"/>
    <w:rsid w:val="00E411FB"/>
    <w:rsid w:val="00E4358B"/>
    <w:rsid w:val="00E459BE"/>
    <w:rsid w:val="00E45B35"/>
    <w:rsid w:val="00E46D84"/>
    <w:rsid w:val="00E471B8"/>
    <w:rsid w:val="00E527EE"/>
    <w:rsid w:val="00E54903"/>
    <w:rsid w:val="00E54A9D"/>
    <w:rsid w:val="00E561BE"/>
    <w:rsid w:val="00E56C83"/>
    <w:rsid w:val="00E56EA6"/>
    <w:rsid w:val="00E6144C"/>
    <w:rsid w:val="00E65FEB"/>
    <w:rsid w:val="00E662CB"/>
    <w:rsid w:val="00E66A39"/>
    <w:rsid w:val="00E72195"/>
    <w:rsid w:val="00E72C20"/>
    <w:rsid w:val="00E73644"/>
    <w:rsid w:val="00E75C27"/>
    <w:rsid w:val="00E75D3C"/>
    <w:rsid w:val="00E75F91"/>
    <w:rsid w:val="00E7647E"/>
    <w:rsid w:val="00E76F97"/>
    <w:rsid w:val="00E82BC9"/>
    <w:rsid w:val="00E82C06"/>
    <w:rsid w:val="00E853E5"/>
    <w:rsid w:val="00E85847"/>
    <w:rsid w:val="00E903C6"/>
    <w:rsid w:val="00E930ED"/>
    <w:rsid w:val="00E94A65"/>
    <w:rsid w:val="00E9553A"/>
    <w:rsid w:val="00EA2FAC"/>
    <w:rsid w:val="00EA4BAD"/>
    <w:rsid w:val="00EB0384"/>
    <w:rsid w:val="00EB2513"/>
    <w:rsid w:val="00EB4E53"/>
    <w:rsid w:val="00EB4FD4"/>
    <w:rsid w:val="00EB53A4"/>
    <w:rsid w:val="00EB547F"/>
    <w:rsid w:val="00EB5730"/>
    <w:rsid w:val="00EB7913"/>
    <w:rsid w:val="00EC14A6"/>
    <w:rsid w:val="00EC2163"/>
    <w:rsid w:val="00EC4C4A"/>
    <w:rsid w:val="00EC6BDE"/>
    <w:rsid w:val="00ED4CA3"/>
    <w:rsid w:val="00ED5F96"/>
    <w:rsid w:val="00EE2264"/>
    <w:rsid w:val="00EE2BB2"/>
    <w:rsid w:val="00EE5635"/>
    <w:rsid w:val="00EE72AA"/>
    <w:rsid w:val="00EF1850"/>
    <w:rsid w:val="00EF4311"/>
    <w:rsid w:val="00EF47D5"/>
    <w:rsid w:val="00EF6B45"/>
    <w:rsid w:val="00EF789F"/>
    <w:rsid w:val="00F00CD7"/>
    <w:rsid w:val="00F01259"/>
    <w:rsid w:val="00F022FD"/>
    <w:rsid w:val="00F100D6"/>
    <w:rsid w:val="00F1017D"/>
    <w:rsid w:val="00F140E2"/>
    <w:rsid w:val="00F154D0"/>
    <w:rsid w:val="00F1581F"/>
    <w:rsid w:val="00F15BAC"/>
    <w:rsid w:val="00F21378"/>
    <w:rsid w:val="00F21698"/>
    <w:rsid w:val="00F229C1"/>
    <w:rsid w:val="00F23767"/>
    <w:rsid w:val="00F247D6"/>
    <w:rsid w:val="00F315A8"/>
    <w:rsid w:val="00F329B1"/>
    <w:rsid w:val="00F32A17"/>
    <w:rsid w:val="00F33A46"/>
    <w:rsid w:val="00F4026A"/>
    <w:rsid w:val="00F4079A"/>
    <w:rsid w:val="00F45D85"/>
    <w:rsid w:val="00F45F77"/>
    <w:rsid w:val="00F46DEE"/>
    <w:rsid w:val="00F47C47"/>
    <w:rsid w:val="00F5039F"/>
    <w:rsid w:val="00F52172"/>
    <w:rsid w:val="00F52B86"/>
    <w:rsid w:val="00F54ED3"/>
    <w:rsid w:val="00F57BF1"/>
    <w:rsid w:val="00F60F99"/>
    <w:rsid w:val="00F62C4F"/>
    <w:rsid w:val="00F62F6A"/>
    <w:rsid w:val="00F6538A"/>
    <w:rsid w:val="00F65D60"/>
    <w:rsid w:val="00F674C0"/>
    <w:rsid w:val="00F70773"/>
    <w:rsid w:val="00F71A34"/>
    <w:rsid w:val="00F748C0"/>
    <w:rsid w:val="00F77E81"/>
    <w:rsid w:val="00F812EB"/>
    <w:rsid w:val="00F816B0"/>
    <w:rsid w:val="00F8284A"/>
    <w:rsid w:val="00F8362A"/>
    <w:rsid w:val="00F86E87"/>
    <w:rsid w:val="00F90D79"/>
    <w:rsid w:val="00F92012"/>
    <w:rsid w:val="00F92770"/>
    <w:rsid w:val="00F94BF3"/>
    <w:rsid w:val="00F96994"/>
    <w:rsid w:val="00F976D6"/>
    <w:rsid w:val="00F97902"/>
    <w:rsid w:val="00F97E5F"/>
    <w:rsid w:val="00F97FAB"/>
    <w:rsid w:val="00FA0049"/>
    <w:rsid w:val="00FA0965"/>
    <w:rsid w:val="00FA1E87"/>
    <w:rsid w:val="00FA1EF4"/>
    <w:rsid w:val="00FA34EC"/>
    <w:rsid w:val="00FA441C"/>
    <w:rsid w:val="00FA4E41"/>
    <w:rsid w:val="00FA5883"/>
    <w:rsid w:val="00FA6F67"/>
    <w:rsid w:val="00FA78CC"/>
    <w:rsid w:val="00FB6CBB"/>
    <w:rsid w:val="00FB7BC9"/>
    <w:rsid w:val="00FC32BB"/>
    <w:rsid w:val="00FC4D22"/>
    <w:rsid w:val="00FC55F0"/>
    <w:rsid w:val="00FC5B8C"/>
    <w:rsid w:val="00FC779D"/>
    <w:rsid w:val="00FD196C"/>
    <w:rsid w:val="00FD41D0"/>
    <w:rsid w:val="00FD4424"/>
    <w:rsid w:val="00FD67F0"/>
    <w:rsid w:val="00FE2A37"/>
    <w:rsid w:val="00FE31AF"/>
    <w:rsid w:val="00FE3A4A"/>
    <w:rsid w:val="00FE3F64"/>
    <w:rsid w:val="00FE59A5"/>
    <w:rsid w:val="00FE6FF7"/>
    <w:rsid w:val="00FE72D1"/>
    <w:rsid w:val="00FF0B83"/>
    <w:rsid w:val="00FF31DF"/>
    <w:rsid w:val="00FF3A97"/>
    <w:rsid w:val="00FF67AB"/>
    <w:rsid w:val="00FF79A5"/>
    <w:rsid w:val="00FF7DE9"/>
    <w:rsid w:val="099D86BF"/>
    <w:rsid w:val="0C01F152"/>
    <w:rsid w:val="13CB618B"/>
    <w:rsid w:val="14307143"/>
    <w:rsid w:val="17C8FD75"/>
    <w:rsid w:val="2603B6C4"/>
    <w:rsid w:val="2EE4066A"/>
    <w:rsid w:val="3246A694"/>
    <w:rsid w:val="38D79A54"/>
    <w:rsid w:val="3C621597"/>
    <w:rsid w:val="405859B4"/>
    <w:rsid w:val="46820CD1"/>
    <w:rsid w:val="4BE0361B"/>
    <w:rsid w:val="5239F7D6"/>
    <w:rsid w:val="619AB767"/>
    <w:rsid w:val="630A4ED8"/>
    <w:rsid w:val="636F25E3"/>
    <w:rsid w:val="73F03011"/>
    <w:rsid w:val="75CD2967"/>
    <w:rsid w:val="766E868C"/>
    <w:rsid w:val="771C8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1BE64A"/>
  <w15:chartTrackingRefBased/>
  <w15:docId w15:val="{B3EA88F3-154A-450C-AFC4-4EAA6B23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52A"/>
  </w:style>
  <w:style w:type="paragraph" w:styleId="Heading1">
    <w:name w:val="heading 1"/>
    <w:basedOn w:val="Normal"/>
    <w:next w:val="Normal"/>
    <w:link w:val="Heading1Char"/>
    <w:uiPriority w:val="9"/>
    <w:qFormat/>
    <w:rsid w:val="005D1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0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66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5D192F"/>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5D192F"/>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5D192F"/>
    <w:pPr>
      <w:ind w:left="720"/>
      <w:contextualSpacing/>
    </w:pPr>
  </w:style>
  <w:style w:type="character" w:customStyle="1" w:styleId="Heading1Char">
    <w:name w:val="Heading 1 Char"/>
    <w:basedOn w:val="DefaultParagraphFont"/>
    <w:link w:val="Heading1"/>
    <w:uiPriority w:val="9"/>
    <w:rsid w:val="005D192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5D1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92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11EA4"/>
    <w:rPr>
      <w:color w:val="0563C1" w:themeColor="hyperlink"/>
      <w:u w:val="single"/>
    </w:rPr>
  </w:style>
  <w:style w:type="character" w:styleId="FollowedHyperlink">
    <w:name w:val="FollowedHyperlink"/>
    <w:basedOn w:val="DefaultParagraphFont"/>
    <w:uiPriority w:val="99"/>
    <w:semiHidden/>
    <w:unhideWhenUsed/>
    <w:rsid w:val="00866E43"/>
    <w:rPr>
      <w:color w:val="954F72" w:themeColor="followedHyperlink"/>
      <w:u w:val="single"/>
    </w:rPr>
  </w:style>
  <w:style w:type="paragraph" w:styleId="FootnoteText">
    <w:name w:val="footnote text"/>
    <w:basedOn w:val="Normal"/>
    <w:link w:val="FootnoteTextChar"/>
    <w:uiPriority w:val="99"/>
    <w:semiHidden/>
    <w:unhideWhenUsed/>
    <w:rsid w:val="00C446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6BB"/>
    <w:rPr>
      <w:sz w:val="20"/>
      <w:szCs w:val="20"/>
    </w:rPr>
  </w:style>
  <w:style w:type="character" w:styleId="FootnoteReference">
    <w:name w:val="footnote reference"/>
    <w:basedOn w:val="DefaultParagraphFont"/>
    <w:uiPriority w:val="99"/>
    <w:unhideWhenUsed/>
    <w:rsid w:val="00C446BB"/>
    <w:rPr>
      <w:vertAlign w:val="superscript"/>
    </w:rPr>
  </w:style>
  <w:style w:type="character" w:customStyle="1" w:styleId="Heading2Char">
    <w:name w:val="Heading 2 Char"/>
    <w:basedOn w:val="DefaultParagraphFont"/>
    <w:link w:val="Heading2"/>
    <w:uiPriority w:val="9"/>
    <w:rsid w:val="0067209F"/>
    <w:rPr>
      <w:rFonts w:asciiTheme="majorHAnsi" w:eastAsiaTheme="majorEastAsia" w:hAnsiTheme="majorHAnsi" w:cstheme="majorBidi"/>
      <w:color w:val="2E74B5" w:themeColor="accent1" w:themeShade="BF"/>
      <w:sz w:val="26"/>
      <w:szCs w:val="26"/>
    </w:rPr>
  </w:style>
  <w:style w:type="paragraph" w:customStyle="1" w:styleId="Default">
    <w:name w:val="Default"/>
    <w:rsid w:val="002A135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83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10DF"/>
    <w:rPr>
      <w:sz w:val="16"/>
      <w:szCs w:val="16"/>
    </w:rPr>
  </w:style>
  <w:style w:type="paragraph" w:styleId="CommentText">
    <w:name w:val="annotation text"/>
    <w:basedOn w:val="Normal"/>
    <w:link w:val="CommentTextChar"/>
    <w:unhideWhenUsed/>
    <w:rsid w:val="006C10DF"/>
    <w:pPr>
      <w:spacing w:line="240" w:lineRule="auto"/>
    </w:pPr>
    <w:rPr>
      <w:sz w:val="20"/>
      <w:szCs w:val="20"/>
    </w:rPr>
  </w:style>
  <w:style w:type="character" w:customStyle="1" w:styleId="CommentTextChar">
    <w:name w:val="Comment Text Char"/>
    <w:basedOn w:val="DefaultParagraphFont"/>
    <w:link w:val="CommentText"/>
    <w:rsid w:val="006C10DF"/>
    <w:rPr>
      <w:sz w:val="20"/>
      <w:szCs w:val="20"/>
      <w:lang w:val="pl-PL"/>
    </w:rPr>
  </w:style>
  <w:style w:type="paragraph" w:styleId="BalloonText">
    <w:name w:val="Balloon Text"/>
    <w:basedOn w:val="Normal"/>
    <w:link w:val="BalloonTextChar"/>
    <w:uiPriority w:val="99"/>
    <w:semiHidden/>
    <w:unhideWhenUsed/>
    <w:rsid w:val="006C1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0DF"/>
    <w:rPr>
      <w:rFonts w:ascii="Segoe UI" w:hAnsi="Segoe UI" w:cs="Segoe UI"/>
      <w:sz w:val="18"/>
      <w:szCs w:val="18"/>
    </w:rPr>
  </w:style>
  <w:style w:type="character" w:customStyle="1" w:styleId="Heading3Char">
    <w:name w:val="Heading 3 Char"/>
    <w:basedOn w:val="DefaultParagraphFont"/>
    <w:link w:val="Heading3"/>
    <w:uiPriority w:val="9"/>
    <w:rsid w:val="005B666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23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FE8"/>
  </w:style>
  <w:style w:type="paragraph" w:styleId="Footer">
    <w:name w:val="footer"/>
    <w:basedOn w:val="Normal"/>
    <w:link w:val="FooterChar"/>
    <w:uiPriority w:val="99"/>
    <w:unhideWhenUsed/>
    <w:rsid w:val="00D23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FE8"/>
  </w:style>
  <w:style w:type="paragraph" w:styleId="TOCHeading">
    <w:name w:val="TOC Heading"/>
    <w:basedOn w:val="Heading1"/>
    <w:next w:val="Normal"/>
    <w:uiPriority w:val="39"/>
    <w:unhideWhenUsed/>
    <w:qFormat/>
    <w:rsid w:val="00D161A4"/>
    <w:pPr>
      <w:outlineLvl w:val="9"/>
    </w:pPr>
  </w:style>
  <w:style w:type="paragraph" w:styleId="TOC1">
    <w:name w:val="toc 1"/>
    <w:basedOn w:val="Normal"/>
    <w:next w:val="Normal"/>
    <w:autoRedefine/>
    <w:uiPriority w:val="39"/>
    <w:unhideWhenUsed/>
    <w:rsid w:val="002C55A1"/>
    <w:pPr>
      <w:tabs>
        <w:tab w:val="left" w:pos="440"/>
        <w:tab w:val="right" w:leader="dot" w:pos="9016"/>
      </w:tabs>
      <w:spacing w:after="100"/>
      <w:jc w:val="both"/>
    </w:pPr>
  </w:style>
  <w:style w:type="paragraph" w:styleId="TOC2">
    <w:name w:val="toc 2"/>
    <w:basedOn w:val="Normal"/>
    <w:next w:val="Normal"/>
    <w:autoRedefine/>
    <w:uiPriority w:val="39"/>
    <w:unhideWhenUsed/>
    <w:rsid w:val="00D161A4"/>
    <w:pPr>
      <w:spacing w:after="100"/>
      <w:ind w:left="220"/>
    </w:pPr>
  </w:style>
  <w:style w:type="paragraph" w:styleId="TOC3">
    <w:name w:val="toc 3"/>
    <w:basedOn w:val="Normal"/>
    <w:next w:val="Normal"/>
    <w:autoRedefine/>
    <w:uiPriority w:val="39"/>
    <w:unhideWhenUsed/>
    <w:rsid w:val="00D161A4"/>
    <w:pPr>
      <w:spacing w:after="100"/>
      <w:ind w:left="440"/>
    </w:pPr>
  </w:style>
  <w:style w:type="paragraph" w:styleId="CommentSubject">
    <w:name w:val="annotation subject"/>
    <w:basedOn w:val="CommentText"/>
    <w:next w:val="CommentText"/>
    <w:link w:val="CommentSubjectChar"/>
    <w:uiPriority w:val="99"/>
    <w:semiHidden/>
    <w:unhideWhenUsed/>
    <w:rsid w:val="00647877"/>
    <w:rPr>
      <w:b/>
      <w:bCs/>
    </w:rPr>
  </w:style>
  <w:style w:type="character" w:customStyle="1" w:styleId="CommentSubjectChar">
    <w:name w:val="Comment Subject Char"/>
    <w:basedOn w:val="CommentTextChar"/>
    <w:link w:val="CommentSubject"/>
    <w:uiPriority w:val="99"/>
    <w:semiHidden/>
    <w:rsid w:val="00647877"/>
    <w:rPr>
      <w:b/>
      <w:bCs/>
      <w:sz w:val="20"/>
      <w:szCs w:val="20"/>
      <w:lang w:val="pl-PL"/>
    </w:rPr>
  </w:style>
  <w:style w:type="character" w:customStyle="1" w:styleId="markedcontent">
    <w:name w:val="markedcontent"/>
    <w:basedOn w:val="DefaultParagraphFont"/>
    <w:rsid w:val="004E3428"/>
  </w:style>
  <w:style w:type="character" w:customStyle="1" w:styleId="Marker">
    <w:name w:val="Marker"/>
    <w:basedOn w:val="DefaultParagraphFont"/>
    <w:rsid w:val="006F78EE"/>
    <w:rPr>
      <w:color w:val="0000FF"/>
      <w:shd w:val="clear" w:color="auto" w:fill="auto"/>
    </w:rPr>
  </w:style>
  <w:style w:type="paragraph" w:customStyle="1" w:styleId="Pagedecouverture">
    <w:name w:val="Page de couverture"/>
    <w:basedOn w:val="Normal"/>
    <w:next w:val="Normal"/>
    <w:rsid w:val="006F78E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6F78E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F78EE"/>
    <w:rPr>
      <w:rFonts w:ascii="Times New Roman" w:hAnsi="Times New Roman" w:cs="Times New Roman"/>
      <w:sz w:val="24"/>
    </w:rPr>
  </w:style>
  <w:style w:type="paragraph" w:customStyle="1" w:styleId="FooterSensitivity">
    <w:name w:val="Footer Sensitivity"/>
    <w:basedOn w:val="Normal"/>
    <w:link w:val="FooterSensitivityChar"/>
    <w:rsid w:val="006F78E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6F78EE"/>
    <w:rPr>
      <w:rFonts w:ascii="Times New Roman" w:hAnsi="Times New Roman" w:cs="Times New Roman"/>
      <w:b/>
      <w:sz w:val="32"/>
    </w:rPr>
  </w:style>
  <w:style w:type="paragraph" w:customStyle="1" w:styleId="HeaderCoverPage">
    <w:name w:val="Header Cover Page"/>
    <w:basedOn w:val="Normal"/>
    <w:link w:val="HeaderCoverPageChar"/>
    <w:rsid w:val="006F78E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F78EE"/>
    <w:rPr>
      <w:rFonts w:ascii="Times New Roman" w:hAnsi="Times New Roman" w:cs="Times New Roman"/>
      <w:sz w:val="24"/>
    </w:rPr>
  </w:style>
  <w:style w:type="paragraph" w:customStyle="1" w:styleId="HeaderSensitivity">
    <w:name w:val="Header Sensitivity"/>
    <w:basedOn w:val="Normal"/>
    <w:link w:val="HeaderSensitivityChar"/>
    <w:rsid w:val="006F78E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6F78EE"/>
    <w:rPr>
      <w:rFonts w:ascii="Times New Roman" w:hAnsi="Times New Roman" w:cs="Times New Roman"/>
      <w:b/>
      <w:sz w:val="32"/>
    </w:rPr>
  </w:style>
  <w:style w:type="paragraph" w:customStyle="1" w:styleId="HeaderSensitivityRight">
    <w:name w:val="Header Sensitivity Right"/>
    <w:basedOn w:val="Normal"/>
    <w:link w:val="HeaderSensitivityRightChar"/>
    <w:rsid w:val="006F78E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F78EE"/>
    <w:rPr>
      <w:rFonts w:ascii="Times New Roman" w:hAnsi="Times New Roman" w:cs="Times New Roman"/>
      <w:sz w:val="28"/>
    </w:rPr>
  </w:style>
  <w:style w:type="paragraph" w:styleId="Revision">
    <w:name w:val="Revision"/>
    <w:hidden/>
    <w:uiPriority w:val="99"/>
    <w:semiHidden/>
    <w:rsid w:val="00D80814"/>
    <w:pPr>
      <w:spacing w:after="0" w:line="240" w:lineRule="auto"/>
    </w:pPr>
  </w:style>
  <w:style w:type="character" w:customStyle="1" w:styleId="UnresolvedMention">
    <w:name w:val="Unresolved Mention"/>
    <w:basedOn w:val="DefaultParagraphFont"/>
    <w:uiPriority w:val="99"/>
    <w:semiHidden/>
    <w:unhideWhenUsed/>
    <w:rsid w:val="00504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7986">
      <w:bodyDiv w:val="1"/>
      <w:marLeft w:val="0"/>
      <w:marRight w:val="0"/>
      <w:marTop w:val="0"/>
      <w:marBottom w:val="0"/>
      <w:divBdr>
        <w:top w:val="none" w:sz="0" w:space="0" w:color="auto"/>
        <w:left w:val="none" w:sz="0" w:space="0" w:color="auto"/>
        <w:bottom w:val="none" w:sz="0" w:space="0" w:color="auto"/>
        <w:right w:val="none" w:sz="0" w:space="0" w:color="auto"/>
      </w:divBdr>
    </w:div>
    <w:div w:id="1101757865">
      <w:bodyDiv w:val="1"/>
      <w:marLeft w:val="0"/>
      <w:marRight w:val="0"/>
      <w:marTop w:val="0"/>
      <w:marBottom w:val="0"/>
      <w:divBdr>
        <w:top w:val="none" w:sz="0" w:space="0" w:color="auto"/>
        <w:left w:val="none" w:sz="0" w:space="0" w:color="auto"/>
        <w:bottom w:val="none" w:sz="0" w:space="0" w:color="auto"/>
        <w:right w:val="none" w:sz="0" w:space="0" w:color="auto"/>
      </w:divBdr>
      <w:divsChild>
        <w:div w:id="463085445">
          <w:marLeft w:val="0"/>
          <w:marRight w:val="0"/>
          <w:marTop w:val="0"/>
          <w:marBottom w:val="0"/>
          <w:divBdr>
            <w:top w:val="none" w:sz="0" w:space="0" w:color="auto"/>
            <w:left w:val="none" w:sz="0" w:space="0" w:color="auto"/>
            <w:bottom w:val="none" w:sz="0" w:space="0" w:color="auto"/>
            <w:right w:val="none" w:sz="0" w:space="0" w:color="auto"/>
          </w:divBdr>
        </w:div>
      </w:divsChild>
    </w:div>
    <w:div w:id="1383092998">
      <w:bodyDiv w:val="1"/>
      <w:marLeft w:val="0"/>
      <w:marRight w:val="0"/>
      <w:marTop w:val="0"/>
      <w:marBottom w:val="0"/>
      <w:divBdr>
        <w:top w:val="none" w:sz="0" w:space="0" w:color="auto"/>
        <w:left w:val="none" w:sz="0" w:space="0" w:color="auto"/>
        <w:bottom w:val="none" w:sz="0" w:space="0" w:color="auto"/>
        <w:right w:val="none" w:sz="0" w:space="0" w:color="auto"/>
      </w:divBdr>
    </w:div>
    <w:div w:id="1578780736">
      <w:bodyDiv w:val="1"/>
      <w:marLeft w:val="0"/>
      <w:marRight w:val="0"/>
      <w:marTop w:val="0"/>
      <w:marBottom w:val="0"/>
      <w:divBdr>
        <w:top w:val="none" w:sz="0" w:space="0" w:color="auto"/>
        <w:left w:val="none" w:sz="0" w:space="0" w:color="auto"/>
        <w:bottom w:val="none" w:sz="0" w:space="0" w:color="auto"/>
        <w:right w:val="none" w:sz="0" w:space="0" w:color="auto"/>
      </w:divBdr>
    </w:div>
    <w:div w:id="1595361485">
      <w:bodyDiv w:val="1"/>
      <w:marLeft w:val="0"/>
      <w:marRight w:val="0"/>
      <w:marTop w:val="0"/>
      <w:marBottom w:val="0"/>
      <w:divBdr>
        <w:top w:val="none" w:sz="0" w:space="0" w:color="auto"/>
        <w:left w:val="none" w:sz="0" w:space="0" w:color="auto"/>
        <w:bottom w:val="none" w:sz="0" w:space="0" w:color="auto"/>
        <w:right w:val="none" w:sz="0" w:space="0" w:color="auto"/>
      </w:divBdr>
    </w:div>
    <w:div w:id="1681278962">
      <w:bodyDiv w:val="1"/>
      <w:marLeft w:val="0"/>
      <w:marRight w:val="0"/>
      <w:marTop w:val="0"/>
      <w:marBottom w:val="0"/>
      <w:divBdr>
        <w:top w:val="none" w:sz="0" w:space="0" w:color="auto"/>
        <w:left w:val="none" w:sz="0" w:space="0" w:color="auto"/>
        <w:bottom w:val="none" w:sz="0" w:space="0" w:color="auto"/>
        <w:right w:val="none" w:sz="0" w:space="0" w:color="auto"/>
      </w:divBdr>
    </w:div>
    <w:div w:id="1840459513">
      <w:bodyDiv w:val="1"/>
      <w:marLeft w:val="0"/>
      <w:marRight w:val="0"/>
      <w:marTop w:val="0"/>
      <w:marBottom w:val="0"/>
      <w:divBdr>
        <w:top w:val="none" w:sz="0" w:space="0" w:color="auto"/>
        <w:left w:val="none" w:sz="0" w:space="0" w:color="auto"/>
        <w:bottom w:val="none" w:sz="0" w:space="0" w:color="auto"/>
        <w:right w:val="none" w:sz="0" w:space="0" w:color="auto"/>
      </w:divBdr>
      <w:divsChild>
        <w:div w:id="1747072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About%20Us/Missions%20and%20tasks/Call%20for%20Advice/2021/CfA%20to%20JC%20for%20securitisation%20in%20prudential%20framework%20review/1022482/CfA%20cover%20letter_final.pdf" TargetMode="External"/><Relationship Id="rId13" Type="http://schemas.openxmlformats.org/officeDocument/2006/relationships/hyperlink" Target="https://eur-lex.europa.eu/legal-content/PL/TXT/?uri=CELEX:52021PC0391" TargetMode="External"/><Relationship Id="rId3" Type="http://schemas.openxmlformats.org/officeDocument/2006/relationships/hyperlink" Target="https://eur-lex.europa.eu/legal-content/PL/TXT/?uri=COM:2020:590:FIN" TargetMode="External"/><Relationship Id="rId7" Type="http://schemas.openxmlformats.org/officeDocument/2006/relationships/hyperlink" Target="https://finance.ec.europa.eu/document/download/4ce4c935-06eb-4a35-a475-3b7224982242_en?filename=2021-eu-securitisation-framework-summary-of-responses_en.pdf" TargetMode="External"/><Relationship Id="rId12" Type="http://schemas.openxmlformats.org/officeDocument/2006/relationships/hyperlink" Target="https://www.eba.europa.eu/eba-recommends-adjustments-proposed-eu-green-bond-standard-regards-securitisation-transactions" TargetMode="External"/><Relationship Id="rId2" Type="http://schemas.openxmlformats.org/officeDocument/2006/relationships/hyperlink" Target="https://ec.europa.eu/info/publications/200722-proposal-capital-markets-recovery_en" TargetMode="External"/><Relationship Id="rId1" Type="http://schemas.openxmlformats.org/officeDocument/2006/relationships/hyperlink" Target="https://www.ecb.europa.eu/pub/pdf/other/ecb-boe_case_better_functioning_securitisation_marketen.pdf" TargetMode="External"/><Relationship Id="rId6" Type="http://schemas.openxmlformats.org/officeDocument/2006/relationships/hyperlink" Target="https://www.eiopa.europa.eu/document-library/report/joint-committee-report-implementation-and-functioning-of-securitisation_en" TargetMode="External"/><Relationship Id="rId11" Type="http://schemas.openxmlformats.org/officeDocument/2006/relationships/hyperlink" Target="https://www.eba.europa.eu/eba-recommends-adjustments-proposed-eu-green-bond-standard-regards-securitisation-transactions" TargetMode="External"/><Relationship Id="rId5" Type="http://schemas.openxmlformats.org/officeDocument/2006/relationships/hyperlink" Target="https://ec.europa.eu/info/files/200610-cmu-high-level-forum-final-report_en" TargetMode="External"/><Relationship Id="rId15" Type="http://schemas.openxmlformats.org/officeDocument/2006/relationships/hyperlink" Target="https://www.eba.europa.eu/eba-calls-european-commission-harmonise-significant-risk-transfer-assessment-securitisation" TargetMode="External"/><Relationship Id="rId10" Type="http://schemas.openxmlformats.org/officeDocument/2006/relationships/hyperlink" Target="https://www.eba.europa.eu/sites/default/documents/files/document_library/Publications/Reports/2022/1027593/EBA%20report%20on%20sustainable%20securitisation.pdf" TargetMode="External"/><Relationship Id="rId4" Type="http://schemas.openxmlformats.org/officeDocument/2006/relationships/hyperlink" Target="https://www.esma.europa.eu/sites/default/files/library/jc_2021_16_-_esas_opinion_on_jurisdictional_scope_of_application_of_the_securitisation_regulation_003.pdf" TargetMode="External"/><Relationship Id="rId9" Type="http://schemas.openxmlformats.org/officeDocument/2006/relationships/hyperlink" Target="https://www.afme.eu/publications/reports/details/European-Benchmarking-Exercise-EBE-for-Private-Securitisations" TargetMode="External"/><Relationship Id="rId14" Type="http://schemas.openxmlformats.org/officeDocument/2006/relationships/hyperlink" Target="https://ec.europa.eu/info/business-economy-euro/banking-and-finance/sustainable-finance/european-green-bond-standar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b2e4566d1cfc4e6eb55a8bd63695e673 xmlns="D1F5D099-5C52-442F-9819-710F419B277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b2e4566d1cfc4e6eb55a8bd63695e673>
    <EC_ARES_NUMBER xmlns="D1F5D099-5C52-442F-9819-710F419B277D">
      <Url xsi:nil="true"/>
      <Description xsi:nil="true"/>
    </EC_ARES_NUMBER>
    <Notify_x0020_users_x0020_50_x0020_versions_x0020_recorded_x0020_in_x0020_Financial_x0020_Service_x0020_Policy xmlns="d1f5d099-5c52-442f-9819-710f419b277d">
      <Url xsi:nil="true"/>
      <Description xsi:nil="true"/>
    </Notify_x0020_users_x0020_50_x0020_versions_x0020_recorded_x0020_in_x0020_Financial_x0020_Service_x0020_Policy>
    <kda1bb0e60714e759e76d829bf85cf68 xmlns="D1F5D099-5C52-442F-9819-710F419B277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kda1bb0e60714e759e76d829bf85cf68>
    <EC_ARES_TRANSFERRED_BY xmlns="D1F5D099-5C52-442F-9819-710F419B277D" xsi:nil="true"/>
    <EC_ARES_DATE_TRANSFERRED xmlns="D1F5D099-5C52-442F-9819-710F419B277D" xsi:nil="true"/>
    <TaxCatchAll xmlns="02ebb043-5898-4877-8c1f-28652c7a58c8"/>
    <TranslationStateListUrl xmlns="http://schemas.microsoft.com/sharepoint/v3">
      <Url xsi:nil="true"/>
      <Description xsi:nil="true"/>
    </TranslationStateListUrl>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EC_Collab_DocumentLanguage xmlns="D1F5D099-5C52-442F-9819-710F419B277D">EN</EC_Collab_DocumentLanguage>
    <_dlc_ExpireDateSaved xmlns="http://schemas.microsoft.com/sharepoint/v3" xsi:nil="true"/>
    <_dlc_ExpireDate xmlns="http://schemas.microsoft.com/sharepoint/v3">2022-12-10T18:49:36+00:00</_dlc_ExpireDate>
    <_dlc_DocId xmlns="02ebb043-5898-4877-8c1f-28652c7a58c8">KUAXY5MF5DVP-1185003763-34</_dlc_DocId>
    <_dlc_DocIdUrl xmlns="02ebb043-5898-4877-8c1f-28652c7a58c8">
      <Url>https://myintracomm-collab.ec.europa.eu/dg/FISMA/A/A1/_layouts/15/DocIdRedir.aspx?ID=KUAXY5MF5DVP-1185003763-34</Url>
      <Description>KUAXY5MF5DVP-1185003763-34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B08D564926E4C4C808B85F147438812" ma:contentTypeVersion="21" ma:contentTypeDescription="Create a new document in this library." ma:contentTypeScope="" ma:versionID="18d20772e5e4ef37642f5dce150b3218">
  <xsd:schema xmlns:xsd="http://www.w3.org/2001/XMLSchema" xmlns:xs="http://www.w3.org/2001/XMLSchema" xmlns:p="http://schemas.microsoft.com/office/2006/metadata/properties" xmlns:ns1="http://schemas.microsoft.com/sharepoint/v3" xmlns:ns3="D1F5D099-5C52-442F-9819-710F419B277D" xmlns:ns4="02ebb043-5898-4877-8c1f-28652c7a58c8" xmlns:ns5="d1f5d099-5c52-442f-9819-710f419b277d" targetNamespace="http://schemas.microsoft.com/office/2006/metadata/properties" ma:root="true" ma:fieldsID="43cff641b87c4428cc8637603db83e53" ns1:_="" ns3:_="" ns4:_="" ns5:_="">
    <xsd:import namespace="http://schemas.microsoft.com/sharepoint/v3"/>
    <xsd:import namespace="D1F5D099-5C52-442F-9819-710F419B277D"/>
    <xsd:import namespace="02ebb043-5898-4877-8c1f-28652c7a58c8"/>
    <xsd:import namespace="d1f5d099-5c52-442f-9819-710f419b277d"/>
    <xsd:element name="properties">
      <xsd:complexType>
        <xsd:sequence>
          <xsd:element name="documentManagement">
            <xsd:complexType>
              <xsd:all>
                <xsd:element ref="ns3:EC_Collab_DocumentLanguage"/>
                <xsd:element ref="ns3:EC_ARES_NUMBER" minOccurs="0"/>
                <xsd:element ref="ns3:EC_ARES_DATE_TRANSFERRED" minOccurs="0"/>
                <xsd:element ref="ns3:EC_ARES_TRANSFERRED_BY" minOccurs="0"/>
                <xsd:element ref="ns3:kda1bb0e60714e759e76d829bf85cf68" minOccurs="0"/>
                <xsd:element ref="ns4:TaxCatchAll" minOccurs="0"/>
                <xsd:element ref="ns4:pc1cb72997644c168a67816bee9648ad" minOccurs="0"/>
                <xsd:element ref="ns4:i65add8783a54065a8ae717033658b9b" minOccurs="0"/>
                <xsd:element ref="ns3:b2e4566d1cfc4e6eb55a8bd63695e673" minOccurs="0"/>
                <xsd:element ref="ns4:_dlc_DocId" minOccurs="0"/>
                <xsd:element ref="ns4:_dlc_DocIdUrl" minOccurs="0"/>
                <xsd:element ref="ns4:_dlc_DocIdPersistId" minOccurs="0"/>
                <xsd:element ref="ns1:TranslationStateListUrl" minOccurs="0"/>
                <xsd:element ref="ns5:Notify_x0020_users_x0020_50_x0020_versions_x0020_recorded_x0020_in_x0020_Financial_x0020_Service_x0020_Policy"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27"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31" nillable="true" ma:displayName="Exempt from Policy" ma:hidden="true" ma:internalName="_dlc_Exempt" ma:readOnly="true">
      <xsd:simpleType>
        <xsd:restriction base="dms:Unknown"/>
      </xsd:simpleType>
    </xsd:element>
    <xsd:element name="_dlc_ExpireDateSaved" ma:index="32" nillable="true" ma:displayName="Original Expiration Date" ma:hidden="true" ma:internalName="_dlc_ExpireDateSaved" ma:readOnly="true">
      <xsd:simpleType>
        <xsd:restriction base="dms:DateTime"/>
      </xsd:simpleType>
    </xsd:element>
    <xsd:element name="_dlc_ExpireDate" ma:index="3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F5D099-5C52-442F-9819-710F419B277D" elementFormDefault="qualified">
    <xsd:import namespace="http://schemas.microsoft.com/office/2006/documentManagement/types"/>
    <xsd:import namespace="http://schemas.microsoft.com/office/infopath/2007/PartnerControls"/>
    <xsd:element name="EC_Collab_DocumentLanguage" ma:index="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9"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0" nillable="true" ma:displayName="Transferred to Ares" ma:format="DateTime" ma:hidden="true" ma:internalName="EC_ARES_DATE_TRANSFERRED">
      <xsd:simpleType>
        <xsd:restriction base="dms:DateTime"/>
      </xsd:simpleType>
    </xsd:element>
    <xsd:element name="EC_ARES_TRANSFERRED_BY" ma:index="11" nillable="true" ma:displayName="Transferred By" ma:hidden="true" ma:internalName="EC_ARES_TRANSFERRED_BY">
      <xsd:simpleType>
        <xsd:restriction base="dms:Text"/>
      </xsd:simpleType>
    </xsd:element>
    <xsd:element name="kda1bb0e60714e759e76d829bf85cf68" ma:index="19" nillable="true" ma:taxonomy="true" ma:internalName="kda1bb0e60714e759e76d829bf85cf68" ma:taxonomyFieldName="Financial_x0020_Regulation" ma:displayName="Financial Regulation" ma:indexed="true" ma:default="" ma:fieldId="{4da1bb0e-6071-4e75-9e76-d829bf85cf68}" ma:sspId="c1588629-5f01-4420-b1c1-1ab4af18d9bf" ma:termSetId="e008b820-acb0-4187-b0ce-76ecc38df2b0" ma:anchorId="00000000-0000-0000-0000-000000000000" ma:open="false" ma:isKeyword="false">
      <xsd:complexType>
        <xsd:sequence>
          <xsd:element ref="pc:Terms" minOccurs="0" maxOccurs="1"/>
        </xsd:sequence>
      </xsd:complexType>
    </xsd:element>
    <xsd:element name="b2e4566d1cfc4e6eb55a8bd63695e673" ma:index="23" nillable="true" ma:taxonomy="true" ma:internalName="b2e4566d1cfc4e6eb55a8bd63695e673" ma:taxonomyFieldName="Confidentiality" ma:displayName="Confidentiality" ma:default="" ma:fieldId="{b2e4566d-1cfc-4e6e-b55a-8bd63695e673}"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pc1cb72997644c168a67816bee9648ad" ma:index="21" nillable="true" ma:taxonomy="true" ma:internalName="pc1cb72997644c168a67816bee9648ad" ma:taxonomyFieldName="Document_x0020_type" ma:displayName="Document typ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i65add8783a54065a8ae717033658b9b" ma:index="22" nillable="true" ma:taxonomy="true" ma:internalName="i65add8783a54065a8ae717033658b9b" ma:taxonomyFieldName="Doc_x0020_Status" ma:displayName="Doc Status"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f5d099-5c52-442f-9819-710f419b277d" elementFormDefault="qualified">
    <xsd:import namespace="http://schemas.microsoft.com/office/2006/documentManagement/types"/>
    <xsd:import namespace="http://schemas.microsoft.com/office/infopath/2007/PartnerControls"/>
    <xsd:element name="Notify_x0020_users_x0020_50_x0020_versions_x0020_recorded_x0020_in_x0020_Financial_x0020_Service_x0020_Policy" ma:index="28" nillable="true" ma:displayName="Notify users 50 versions recorded in Financial Service Policy" ma:internalName="Notify_x0020_users_x0020_50_x0020_versions_x0020_recorded_x0020_in_x0020_Financial_x0020_Service_x0020_Policy">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EC Document</p:Name>
  <p:Description>Delete document versions when not modified for more than 6 months and delete documents if not modified for more than 1 year. </p:Description>
  <p:Statement/>
  <p:PolicyItems>
    <p:PolicyItem featureId="Microsoft.Office.RecordsManagement.PolicyFeatures.Expiration" staticId="0x010100258AA79CEB83498886A3A0868112325000BB08D564926E4C4C808B85F147438812|-972186196" UniqueId="6c4f5342-4c2c-4c46-a385-1986e7169e81">
      <p:Name>Retention</p:Name>
      <p:Description>Automatic scheduling of content for processing, and performing a retention action on content that has reached its due date.</p:Description>
      <p:CustomData>
        <Schedules nextStageId="2">
          <Schedule type="Default">
            <stages>
              <data stageId="1" recur="true" offset="6" unit="months">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DeletePreviousVersions"/>
              </data>
            </stages>
          </Schedule>
        </Schedules>
      </p:CustomData>
    </p:PolicyItem>
  </p:PolicyItems>
</p:Policy>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30B46-A62A-4C39-B091-26CF9F7CE5AF}">
  <ds:schemaRefs>
    <ds:schemaRef ds:uri="http://schemas.microsoft.com/office/2006/metadata/properties"/>
    <ds:schemaRef ds:uri="http://schemas.microsoft.com/office/infopath/2007/PartnerControls"/>
    <ds:schemaRef ds:uri="D1F5D099-5C52-442F-9819-710F419B277D"/>
    <ds:schemaRef ds:uri="d1f5d099-5c52-442f-9819-710f419b277d"/>
    <ds:schemaRef ds:uri="02ebb043-5898-4877-8c1f-28652c7a58c8"/>
    <ds:schemaRef ds:uri="http://schemas.microsoft.com/sharepoint/v3"/>
  </ds:schemaRefs>
</ds:datastoreItem>
</file>

<file path=customXml/itemProps2.xml><?xml version="1.0" encoding="utf-8"?>
<ds:datastoreItem xmlns:ds="http://schemas.openxmlformats.org/officeDocument/2006/customXml" ds:itemID="{00337D3F-23F5-498E-BC96-2592E237B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F5D099-5C52-442F-9819-710F419B277D"/>
    <ds:schemaRef ds:uri="02ebb043-5898-4877-8c1f-28652c7a58c8"/>
    <ds:schemaRef ds:uri="d1f5d099-5c52-442f-9819-710f419b2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BE7C8-3E33-4429-8A74-EE7B6D1088E1}">
  <ds:schemaRefs>
    <ds:schemaRef ds:uri="http://schemas.microsoft.com/sharepoint/events"/>
  </ds:schemaRefs>
</ds:datastoreItem>
</file>

<file path=customXml/itemProps4.xml><?xml version="1.0" encoding="utf-8"?>
<ds:datastoreItem xmlns:ds="http://schemas.openxmlformats.org/officeDocument/2006/customXml" ds:itemID="{2CA5E640-A234-4958-8828-0E20EF7FA73B}">
  <ds:schemaRefs>
    <ds:schemaRef ds:uri="http://schemas.microsoft.com/sharepoint/v3/contenttype/forms"/>
  </ds:schemaRefs>
</ds:datastoreItem>
</file>

<file path=customXml/itemProps5.xml><?xml version="1.0" encoding="utf-8"?>
<ds:datastoreItem xmlns:ds="http://schemas.openxmlformats.org/officeDocument/2006/customXml" ds:itemID="{C8DAACB8-F981-4D44-A3E3-E0719AFAF9C4}">
  <ds:schemaRefs>
    <ds:schemaRef ds:uri="office.server.policy"/>
  </ds:schemaRefs>
</ds:datastoreItem>
</file>

<file path=customXml/itemProps6.xml><?xml version="1.0" encoding="utf-8"?>
<ds:datastoreItem xmlns:ds="http://schemas.openxmlformats.org/officeDocument/2006/customXml" ds:itemID="{2024E5AF-B573-4AEE-A076-420E3FE1E01C}">
  <ds:schemaRefs>
    <ds:schemaRef ds:uri="http://schemas.microsoft.com/office/2006/metadata/customXsn"/>
  </ds:schemaRefs>
</ds:datastoreItem>
</file>

<file path=customXml/itemProps7.xml><?xml version="1.0" encoding="utf-8"?>
<ds:datastoreItem xmlns:ds="http://schemas.openxmlformats.org/officeDocument/2006/customXml" ds:itemID="{343DC1FB-C119-45AB-BBF0-4BCC0D7E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31</Pages>
  <Words>12046</Words>
  <Characters>82884</Characters>
  <Application>Microsoft Office Word</Application>
  <DocSecurity>0</DocSecurity>
  <Lines>1218</Lines>
  <Paragraphs>295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33</cp:revision>
  <cp:lastPrinted>2022-07-14T15:19:00Z</cp:lastPrinted>
  <dcterms:created xsi:type="dcterms:W3CDTF">2022-07-29T09:55:00Z</dcterms:created>
  <dcterms:modified xsi:type="dcterms:W3CDTF">2022-10-03T08:25:00Z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0x010100258AA79CEB83498886A3A0868112325000BB08D564926E4C4C808B85F147438812</vt:lpwstr>
  </property>
  <property fmtid="{D5CDD505-2E9C-101B-9397-08002B2CF9AE}" pid="3" name="_dlc_policyId">
    <vt:lpwstr>0x010100258AA79CEB83498886A3A0868112325000BB08D564926E4C4C808B85F147438812|-972186196</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5" name="_dlc_DocIdItemGuid">
    <vt:lpwstr>1bfba0e6-3570-47d7-9e22-7befbdcf4091</vt:lpwstr>
  </property>
  <property fmtid="{D5CDD505-2E9C-101B-9397-08002B2CF9AE}" pid="6" name="Document type">
    <vt:lpwstr/>
  </property>
  <property fmtid="{D5CDD505-2E9C-101B-9397-08002B2CF9AE}" pid="7" name="Confidentiality">
    <vt:lpwstr/>
  </property>
  <property fmtid="{D5CDD505-2E9C-101B-9397-08002B2CF9AE}" pid="8" name="Financial Regulation">
    <vt:lpwstr/>
  </property>
  <property fmtid="{D5CDD505-2E9C-101B-9397-08002B2CF9AE}" pid="9" name="Doc Status">
    <vt:lpwstr/>
  </property>
  <property fmtid="{D5CDD505-2E9C-101B-9397-08002B2CF9AE}" pid="10" name="MSIP_Label_6bd9ddd1-4d20-43f6-abfa-fc3c07406f94_Enabled">
    <vt:lpwstr>true</vt:lpwstr>
  </property>
  <property fmtid="{D5CDD505-2E9C-101B-9397-08002B2CF9AE}" pid="11" name="MSIP_Label_6bd9ddd1-4d20-43f6-abfa-fc3c07406f94_SetDate">
    <vt:lpwstr>2022-05-22T18:45:19Z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829ea9bb-8e89-4de7-89e3-1879656f5eb2</vt:lpwstr>
  </property>
  <property fmtid="{D5CDD505-2E9C-101B-9397-08002B2CF9AE}" pid="16" name="MSIP_Label_6bd9ddd1-4d20-43f6-abfa-fc3c07406f94_ContentBits">
    <vt:lpwstr>0</vt:lpwstr>
  </property>
  <property fmtid="{D5CDD505-2E9C-101B-9397-08002B2CF9AE}" pid="17" name="Level of sensitivity">
    <vt:lpwstr>Standard treatment</vt:lpwstr>
  </property>
  <property fmtid="{D5CDD505-2E9C-101B-9397-08002B2CF9AE}" pid="18" name="Part">
    <vt:lpwstr>1</vt:lpwstr>
  </property>
  <property fmtid="{D5CDD505-2E9C-101B-9397-08002B2CF9AE}" pid="19" name="Total parts">
    <vt:lpwstr>1</vt:lpwstr>
  </property>
  <property fmtid="{D5CDD505-2E9C-101B-9397-08002B2CF9AE}" pid="20" name="DocStatus">
    <vt:lpwstr>Green</vt:lpwstr>
  </property>
  <property fmtid="{D5CDD505-2E9C-101B-9397-08002B2CF9AE}" pid="21" name="CPTemplateID">
    <vt:lpwstr>CP-006</vt:lpwstr>
  </property>
  <property fmtid="{D5CDD505-2E9C-101B-9397-08002B2CF9AE}" pid="22" name="Last edited using">
    <vt:lpwstr>LW 8.0.1, Build 20220429</vt:lpwstr>
  </property>
  <property fmtid="{D5CDD505-2E9C-101B-9397-08002B2CF9AE}" pid="23" name="Created using">
    <vt:lpwstr>LW 8.0, Build 20220128</vt:lpwstr>
  </property>
</Properties>
</file>