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11E0" w14:textId="6F0F2EA2" w:rsidR="00167262" w:rsidRPr="00BF0169" w:rsidRDefault="00A96452" w:rsidP="00A96452">
      <w:pPr>
        <w:pStyle w:val="Pagedecouverture"/>
        <w:rPr>
          <w:noProof/>
          <w:lang w:val="it-IT"/>
        </w:rPr>
      </w:pPr>
      <w:bookmarkStart w:id="0" w:name="LW_BM_COVERPAGE"/>
      <w:r>
        <w:rPr>
          <w:noProof/>
          <w:lang w:val="it-IT"/>
        </w:rPr>
        <w:pict w14:anchorId="74F63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02288C46-867D-42C5-ADD8-9CFBF87538D0" style="width:455.25pt;height:351.75pt">
            <v:imagedata r:id="rId11" o:title=""/>
          </v:shape>
        </w:pict>
      </w:r>
    </w:p>
    <w:bookmarkEnd w:id="0"/>
    <w:p w14:paraId="25D51AAA" w14:textId="77777777" w:rsidR="00130904" w:rsidRPr="00BF0169" w:rsidRDefault="00130904" w:rsidP="00130904">
      <w:pPr>
        <w:pStyle w:val="Pagedecouverture"/>
        <w:rPr>
          <w:noProof/>
          <w:lang w:val="it-IT"/>
        </w:rPr>
        <w:sectPr w:rsidR="00130904" w:rsidRPr="00BF0169" w:rsidSect="00A9645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rFonts w:ascii="Times New Roman" w:hAnsi="Times New Roman"/>
          <w:b w:val="0"/>
          <w:noProof/>
          <w:sz w:val="22"/>
          <w:lang w:val="it-IT"/>
        </w:rPr>
        <w:alias w:val="Indice"/>
        <w:tag w:val="eqT1QegFOKAi3zHpinqjV4"/>
        <w:id w:val="64073399"/>
      </w:sdtPr>
      <w:sdtEndPr/>
      <w:sdtContent>
        <w:p w14:paraId="046DEB9F" w14:textId="640901C8" w:rsidR="00190177" w:rsidRPr="00BF0169" w:rsidRDefault="00A96452">
          <w:pPr>
            <w:pStyle w:val="TOCHeading"/>
            <w:rPr>
              <w:noProof/>
              <w:lang w:val="it-IT"/>
            </w:rPr>
          </w:pPr>
          <w:sdt>
            <w:sdtPr>
              <w:rPr>
                <w:noProof/>
                <w:lang w:val="it-IT"/>
              </w:rPr>
              <w:id w:val="-214508680"/>
              <w:dataBinding w:xpath="/Texts/TOCHeading" w:storeItemID="{4EF90DE6-88B6-4264-9629-4D8DFDFE87D2}"/>
              <w:text w:multiLine="1"/>
            </w:sdtPr>
            <w:sdtEndPr/>
            <w:sdtContent>
              <w:r w:rsidR="008625F2" w:rsidRPr="00BF0169">
                <w:rPr>
                  <w:noProof/>
                  <w:lang w:val="it-IT"/>
                </w:rPr>
                <w:t>Indice</w:t>
              </w:r>
            </w:sdtContent>
          </w:sdt>
        </w:p>
        <w:p w14:paraId="4FE2100B" w14:textId="55B8DE2C" w:rsidR="00130904" w:rsidRPr="00BF0169" w:rsidRDefault="004F6F3F">
          <w:pPr>
            <w:pStyle w:val="TOC1"/>
            <w:rPr>
              <w:rFonts w:asciiTheme="minorHAnsi" w:eastAsiaTheme="minorEastAsia" w:hAnsiTheme="minorHAnsi" w:cstheme="minorBidi"/>
              <w:b w:val="0"/>
              <w:noProof/>
              <w:sz w:val="22"/>
              <w:szCs w:val="22"/>
              <w:lang w:val="it-IT"/>
            </w:rPr>
          </w:pPr>
          <w:r w:rsidRPr="00BF0169">
            <w:rPr>
              <w:noProof/>
              <w:lang w:val="it-IT"/>
            </w:rPr>
            <w:fldChar w:fldCharType="begin"/>
          </w:r>
          <w:r w:rsidRPr="00BF0169">
            <w:rPr>
              <w:noProof/>
              <w:lang w:val="it-IT"/>
            </w:rPr>
            <w:instrText>TOC \o "1-4" \h \z \t "ChapterTitle;5;PartTitle;5;SectionTitle;5;AnnexTitle;6" \* MERGEFORMAT</w:instrText>
          </w:r>
          <w:r w:rsidRPr="00BF0169">
            <w:rPr>
              <w:noProof/>
              <w:lang w:val="it-IT"/>
            </w:rPr>
            <w:fldChar w:fldCharType="separate"/>
          </w:r>
          <w:hyperlink w:anchor="_Toc116319613" w:history="1">
            <w:r w:rsidR="00130904" w:rsidRPr="00BF0169">
              <w:rPr>
                <w:rStyle w:val="Hyperlink"/>
                <w:noProof/>
                <w:lang w:val="it-IT"/>
              </w:rPr>
              <w:t>1.</w:t>
            </w:r>
            <w:r w:rsidR="00130904" w:rsidRPr="00BF0169">
              <w:rPr>
                <w:rFonts w:asciiTheme="minorHAnsi" w:eastAsiaTheme="minorEastAsia" w:hAnsiTheme="minorHAnsi" w:cstheme="minorBidi"/>
                <w:b w:val="0"/>
                <w:noProof/>
                <w:sz w:val="22"/>
                <w:szCs w:val="22"/>
                <w:lang w:val="it-IT"/>
              </w:rPr>
              <w:tab/>
            </w:r>
            <w:r w:rsidR="00130904" w:rsidRPr="00BF0169">
              <w:rPr>
                <w:rStyle w:val="Hyperlink"/>
                <w:noProof/>
                <w:lang w:val="it-IT"/>
              </w:rPr>
              <w:t>Introduzione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_Toc116319613 \h </w:instrText>
            </w:r>
            <w:r w:rsidR="00130904" w:rsidRPr="00BF0169">
              <w:rPr>
                <w:noProof/>
                <w:webHidden/>
                <w:lang w:val="it-IT"/>
              </w:rPr>
            </w:r>
            <w:r w:rsidR="00130904" w:rsidRPr="00BF0169">
              <w:rPr>
                <w:noProof/>
                <w:webHidden/>
                <w:lang w:val="it-IT"/>
              </w:rPr>
              <w:fldChar w:fldCharType="separate"/>
            </w:r>
            <w:r w:rsidR="00742EC4">
              <w:rPr>
                <w:noProof/>
                <w:webHidden/>
                <w:lang w:val="it-IT"/>
              </w:rPr>
              <w:t>6</w:t>
            </w:r>
            <w:r w:rsidR="00130904" w:rsidRPr="00BF0169">
              <w:rPr>
                <w:noProof/>
                <w:webHidden/>
                <w:lang w:val="it-IT"/>
              </w:rPr>
              <w:fldChar w:fldCharType="end"/>
            </w:r>
          </w:hyperlink>
        </w:p>
        <w:p w14:paraId="2E8E6378" w14:textId="41587009" w:rsidR="00130904" w:rsidRPr="00BF0169" w:rsidRDefault="00A96452">
          <w:pPr>
            <w:pStyle w:val="TOC2"/>
            <w:rPr>
              <w:rFonts w:asciiTheme="minorHAnsi" w:eastAsiaTheme="minorEastAsia" w:hAnsiTheme="minorHAnsi" w:cstheme="minorBidi"/>
              <w:noProof/>
              <w:sz w:val="22"/>
              <w:szCs w:val="22"/>
              <w:lang w:val="it-IT"/>
            </w:rPr>
          </w:pPr>
          <w:hyperlink w:anchor="_Toc116319614" w:history="1">
            <w:r w:rsidR="00130904" w:rsidRPr="00BF0169">
              <w:rPr>
                <w:rStyle w:val="Hyperlink"/>
                <w:noProof/>
                <w:lang w:val="it-IT"/>
              </w:rPr>
              <w:t>1.1.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Concetti principali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_Toc116319614 \h </w:instrText>
            </w:r>
            <w:r w:rsidR="00130904" w:rsidRPr="00BF0169">
              <w:rPr>
                <w:noProof/>
                <w:webHidden/>
                <w:lang w:val="it-IT"/>
              </w:rPr>
            </w:r>
            <w:r w:rsidR="00130904" w:rsidRPr="00BF0169">
              <w:rPr>
                <w:noProof/>
                <w:webHidden/>
                <w:lang w:val="it-IT"/>
              </w:rPr>
              <w:fldChar w:fldCharType="separate"/>
            </w:r>
            <w:r w:rsidR="00742EC4">
              <w:rPr>
                <w:noProof/>
                <w:webHidden/>
                <w:lang w:val="it-IT"/>
              </w:rPr>
              <w:t>6</w:t>
            </w:r>
            <w:r w:rsidR="00130904" w:rsidRPr="00BF0169">
              <w:rPr>
                <w:noProof/>
                <w:webHidden/>
                <w:lang w:val="it-IT"/>
              </w:rPr>
              <w:fldChar w:fldCharType="end"/>
            </w:r>
          </w:hyperlink>
        </w:p>
        <w:p w14:paraId="278AB488" w14:textId="773DE263" w:rsidR="00130904" w:rsidRPr="00BF0169" w:rsidRDefault="00A96452">
          <w:pPr>
            <w:pStyle w:val="TOC2"/>
            <w:rPr>
              <w:rFonts w:asciiTheme="minorHAnsi" w:eastAsiaTheme="minorEastAsia" w:hAnsiTheme="minorHAnsi" w:cstheme="minorBidi"/>
              <w:noProof/>
              <w:sz w:val="22"/>
              <w:szCs w:val="22"/>
              <w:lang w:val="it-IT"/>
            </w:rPr>
          </w:pPr>
          <w:hyperlink w:anchor="_Toc116319615" w:history="1">
            <w:r w:rsidR="00130904" w:rsidRPr="00BF0169">
              <w:rPr>
                <w:rStyle w:val="Hyperlink"/>
                <w:noProof/>
                <w:lang w:val="it-IT"/>
              </w:rPr>
              <w:t>1.2.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Gli interessi finanziari dell</w:t>
            </w:r>
            <w:r w:rsidR="00BF0169" w:rsidRPr="00BF0169">
              <w:rPr>
                <w:rStyle w:val="Hyperlink"/>
                <w:noProof/>
                <w:lang w:val="it-IT"/>
              </w:rPr>
              <w:t>'</w:t>
            </w:r>
            <w:r w:rsidR="00130904" w:rsidRPr="00BF0169">
              <w:rPr>
                <w:rStyle w:val="Hyperlink"/>
                <w:noProof/>
                <w:lang w:val="it-IT"/>
              </w:rPr>
              <w:t>UE nel 2021</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_Toc116319615 \h </w:instrText>
            </w:r>
            <w:r w:rsidR="00130904" w:rsidRPr="00BF0169">
              <w:rPr>
                <w:noProof/>
                <w:webHidden/>
                <w:lang w:val="it-IT"/>
              </w:rPr>
            </w:r>
            <w:r w:rsidR="00130904" w:rsidRPr="00BF0169">
              <w:rPr>
                <w:noProof/>
                <w:webHidden/>
                <w:lang w:val="it-IT"/>
              </w:rPr>
              <w:fldChar w:fldCharType="separate"/>
            </w:r>
            <w:r w:rsidR="00742EC4">
              <w:rPr>
                <w:noProof/>
                <w:webHidden/>
                <w:lang w:val="it-IT"/>
              </w:rPr>
              <w:t>7</w:t>
            </w:r>
            <w:r w:rsidR="00130904" w:rsidRPr="00BF0169">
              <w:rPr>
                <w:noProof/>
                <w:webHidden/>
                <w:lang w:val="it-IT"/>
              </w:rPr>
              <w:fldChar w:fldCharType="end"/>
            </w:r>
          </w:hyperlink>
        </w:p>
        <w:p w14:paraId="0F3C9941" w14:textId="399B99DE" w:rsidR="00130904" w:rsidRPr="00BF0169" w:rsidRDefault="00A96452">
          <w:pPr>
            <w:pStyle w:val="TOC1"/>
            <w:rPr>
              <w:rFonts w:asciiTheme="minorHAnsi" w:eastAsiaTheme="minorEastAsia" w:hAnsiTheme="minorHAnsi" w:cstheme="minorBidi"/>
              <w:b w:val="0"/>
              <w:noProof/>
              <w:sz w:val="22"/>
              <w:szCs w:val="22"/>
              <w:lang w:val="it-IT"/>
            </w:rPr>
          </w:pPr>
          <w:hyperlink w:anchor="_Toc116319616" w:history="1">
            <w:r w:rsidR="00130904" w:rsidRPr="00BF0169">
              <w:rPr>
                <w:rStyle w:val="Hyperlink"/>
                <w:noProof/>
                <w:lang w:val="it-IT"/>
              </w:rPr>
              <w:t>2.</w:t>
            </w:r>
            <w:r w:rsidR="00130904" w:rsidRPr="00BF0169">
              <w:rPr>
                <w:rFonts w:asciiTheme="minorHAnsi" w:eastAsiaTheme="minorEastAsia" w:hAnsiTheme="minorHAnsi" w:cstheme="minorBidi"/>
                <w:b w:val="0"/>
                <w:noProof/>
                <w:sz w:val="22"/>
                <w:szCs w:val="22"/>
                <w:lang w:val="it-IT"/>
              </w:rPr>
              <w:tab/>
            </w:r>
            <w:r w:rsidR="00130904" w:rsidRPr="00BF0169">
              <w:rPr>
                <w:rStyle w:val="Hyperlink"/>
                <w:noProof/>
                <w:lang w:val="it-IT"/>
              </w:rPr>
              <w:t>Punti salienti del 2021</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_Toc116319616 \h </w:instrText>
            </w:r>
            <w:r w:rsidR="00130904" w:rsidRPr="00BF0169">
              <w:rPr>
                <w:noProof/>
                <w:webHidden/>
                <w:lang w:val="it-IT"/>
              </w:rPr>
            </w:r>
            <w:r w:rsidR="00130904" w:rsidRPr="00BF0169">
              <w:rPr>
                <w:noProof/>
                <w:webHidden/>
                <w:lang w:val="it-IT"/>
              </w:rPr>
              <w:fldChar w:fldCharType="separate"/>
            </w:r>
            <w:r w:rsidR="00742EC4">
              <w:rPr>
                <w:noProof/>
                <w:webHidden/>
                <w:lang w:val="it-IT"/>
              </w:rPr>
              <w:t>9</w:t>
            </w:r>
            <w:r w:rsidR="00130904" w:rsidRPr="00BF0169">
              <w:rPr>
                <w:noProof/>
                <w:webHidden/>
                <w:lang w:val="it-IT"/>
              </w:rPr>
              <w:fldChar w:fldCharType="end"/>
            </w:r>
          </w:hyperlink>
        </w:p>
        <w:p w14:paraId="22D00FE8" w14:textId="62504C69" w:rsidR="00130904" w:rsidRPr="00BF0169" w:rsidRDefault="00A96452">
          <w:pPr>
            <w:pStyle w:val="TOC2"/>
            <w:rPr>
              <w:rFonts w:asciiTheme="minorHAnsi" w:eastAsiaTheme="minorEastAsia" w:hAnsiTheme="minorHAnsi" w:cstheme="minorBidi"/>
              <w:noProof/>
              <w:sz w:val="22"/>
              <w:szCs w:val="22"/>
              <w:lang w:val="it-IT"/>
            </w:rPr>
          </w:pPr>
          <w:hyperlink w:anchor="_Toc116319617" w:history="1">
            <w:r w:rsidR="00130904" w:rsidRPr="00BF0169">
              <w:rPr>
                <w:rStyle w:val="Hyperlink"/>
                <w:noProof/>
                <w:lang w:val="it-IT"/>
              </w:rPr>
              <w:t>2.1.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Principali atti adottati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_Toc116319617 \h </w:instrText>
            </w:r>
            <w:r w:rsidR="00130904" w:rsidRPr="00BF0169">
              <w:rPr>
                <w:noProof/>
                <w:webHidden/>
                <w:lang w:val="it-IT"/>
              </w:rPr>
            </w:r>
            <w:r w:rsidR="00130904" w:rsidRPr="00BF0169">
              <w:rPr>
                <w:noProof/>
                <w:webHidden/>
                <w:lang w:val="it-IT"/>
              </w:rPr>
              <w:fldChar w:fldCharType="separate"/>
            </w:r>
            <w:r w:rsidR="00742EC4">
              <w:rPr>
                <w:noProof/>
                <w:webHidden/>
                <w:lang w:val="it-IT"/>
              </w:rPr>
              <w:t>9</w:t>
            </w:r>
            <w:r w:rsidR="00130904" w:rsidRPr="00BF0169">
              <w:rPr>
                <w:noProof/>
                <w:webHidden/>
                <w:lang w:val="it-IT"/>
              </w:rPr>
              <w:fldChar w:fldCharType="end"/>
            </w:r>
          </w:hyperlink>
        </w:p>
        <w:p w14:paraId="22FF0116" w14:textId="2C4C89BA" w:rsidR="00130904" w:rsidRPr="00BF0169" w:rsidRDefault="00A96452">
          <w:pPr>
            <w:pStyle w:val="TOC2"/>
            <w:rPr>
              <w:rFonts w:asciiTheme="minorHAnsi" w:eastAsiaTheme="minorEastAsia" w:hAnsiTheme="minorHAnsi" w:cstheme="minorBidi"/>
              <w:noProof/>
              <w:sz w:val="22"/>
              <w:szCs w:val="22"/>
              <w:lang w:val="it-IT"/>
            </w:rPr>
          </w:pPr>
          <w:hyperlink w:anchor="_Toc116319618" w:history="1">
            <w:r w:rsidR="00130904" w:rsidRPr="00BF0169">
              <w:rPr>
                <w:rStyle w:val="Hyperlink"/>
                <w:noProof/>
                <w:lang w:val="it-IT"/>
              </w:rPr>
              <w:t>2.2.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Giurisprudenza in materia di tutela degli interessi finanziari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_Toc116319618 \h </w:instrText>
            </w:r>
            <w:r w:rsidR="00130904" w:rsidRPr="00BF0169">
              <w:rPr>
                <w:noProof/>
                <w:webHidden/>
                <w:lang w:val="it-IT"/>
              </w:rPr>
            </w:r>
            <w:r w:rsidR="00130904" w:rsidRPr="00BF0169">
              <w:rPr>
                <w:noProof/>
                <w:webHidden/>
                <w:lang w:val="it-IT"/>
              </w:rPr>
              <w:fldChar w:fldCharType="separate"/>
            </w:r>
            <w:r w:rsidR="00742EC4">
              <w:rPr>
                <w:noProof/>
                <w:webHidden/>
                <w:lang w:val="it-IT"/>
              </w:rPr>
              <w:t>10</w:t>
            </w:r>
            <w:r w:rsidR="00130904" w:rsidRPr="00BF0169">
              <w:rPr>
                <w:noProof/>
                <w:webHidden/>
                <w:lang w:val="it-IT"/>
              </w:rPr>
              <w:fldChar w:fldCharType="end"/>
            </w:r>
          </w:hyperlink>
        </w:p>
        <w:p w14:paraId="2BD97F9C" w14:textId="76F11F2D" w:rsidR="00130904" w:rsidRPr="00BF0169" w:rsidRDefault="00A96452">
          <w:pPr>
            <w:pStyle w:val="TOC1"/>
            <w:rPr>
              <w:rFonts w:asciiTheme="minorHAnsi" w:eastAsiaTheme="minorEastAsia" w:hAnsiTheme="minorHAnsi" w:cstheme="minorBidi"/>
              <w:b w:val="0"/>
              <w:noProof/>
              <w:sz w:val="22"/>
              <w:szCs w:val="22"/>
              <w:lang w:val="it-IT"/>
            </w:rPr>
          </w:pPr>
          <w:hyperlink w:anchor="_Toc116319619" w:history="1">
            <w:r w:rsidR="00130904" w:rsidRPr="00BF0169">
              <w:rPr>
                <w:rStyle w:val="Hyperlink"/>
                <w:noProof/>
                <w:lang w:val="it-IT"/>
              </w:rPr>
              <w:t>3.</w:t>
            </w:r>
            <w:r w:rsidR="00130904" w:rsidRPr="00BF0169">
              <w:rPr>
                <w:rFonts w:asciiTheme="minorHAnsi" w:eastAsiaTheme="minorEastAsia" w:hAnsiTheme="minorHAnsi" w:cstheme="minorBidi"/>
                <w:b w:val="0"/>
                <w:noProof/>
                <w:sz w:val="22"/>
                <w:szCs w:val="22"/>
                <w:lang w:val="it-IT"/>
              </w:rPr>
              <w:tab/>
            </w:r>
            <w:r w:rsidR="00130904" w:rsidRPr="00BF0169">
              <w:rPr>
                <w:rStyle w:val="Hyperlink"/>
                <w:noProof/>
                <w:lang w:val="it-IT"/>
              </w:rPr>
              <w:t>L</w:t>
            </w:r>
            <w:r w:rsidR="00BF0169" w:rsidRPr="00BF0169">
              <w:rPr>
                <w:rStyle w:val="Hyperlink"/>
                <w:noProof/>
                <w:lang w:val="it-IT"/>
              </w:rPr>
              <w:t>'</w:t>
            </w:r>
            <w:r w:rsidR="00130904" w:rsidRPr="00BF0169">
              <w:rPr>
                <w:rStyle w:val="Hyperlink"/>
                <w:noProof/>
                <w:lang w:val="it-IT"/>
              </w:rPr>
              <w:t>architettura antifrode dell</w:t>
            </w:r>
            <w:r w:rsidR="00BF0169" w:rsidRPr="00BF0169">
              <w:rPr>
                <w:rStyle w:val="Hyperlink"/>
                <w:noProof/>
                <w:lang w:val="it-IT"/>
              </w:rPr>
              <w:t>'</w:t>
            </w:r>
            <w:r w:rsidR="00130904" w:rsidRPr="00BF0169">
              <w:rPr>
                <w:rStyle w:val="Hyperlink"/>
                <w:noProof/>
                <w:lang w:val="it-IT"/>
              </w:rPr>
              <w:t>UE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_Toc116319619 \h </w:instrText>
            </w:r>
            <w:r w:rsidR="00130904" w:rsidRPr="00BF0169">
              <w:rPr>
                <w:noProof/>
                <w:webHidden/>
                <w:lang w:val="it-IT"/>
              </w:rPr>
            </w:r>
            <w:r w:rsidR="00130904" w:rsidRPr="00BF0169">
              <w:rPr>
                <w:noProof/>
                <w:webHidden/>
                <w:lang w:val="it-IT"/>
              </w:rPr>
              <w:fldChar w:fldCharType="separate"/>
            </w:r>
            <w:r w:rsidR="00742EC4">
              <w:rPr>
                <w:noProof/>
                <w:webHidden/>
                <w:lang w:val="it-IT"/>
              </w:rPr>
              <w:t>11</w:t>
            </w:r>
            <w:r w:rsidR="00130904" w:rsidRPr="00BF0169">
              <w:rPr>
                <w:noProof/>
                <w:webHidden/>
                <w:lang w:val="it-IT"/>
              </w:rPr>
              <w:fldChar w:fldCharType="end"/>
            </w:r>
          </w:hyperlink>
        </w:p>
        <w:p w14:paraId="52015C9C" w14:textId="20A5C4FF" w:rsidR="00130904" w:rsidRPr="00BF0169" w:rsidRDefault="00A96452">
          <w:pPr>
            <w:pStyle w:val="TOC2"/>
            <w:rPr>
              <w:rFonts w:asciiTheme="minorHAnsi" w:eastAsiaTheme="minorEastAsia" w:hAnsiTheme="minorHAnsi" w:cstheme="minorBidi"/>
              <w:noProof/>
              <w:sz w:val="22"/>
              <w:szCs w:val="22"/>
              <w:lang w:val="it-IT"/>
            </w:rPr>
          </w:pPr>
          <w:hyperlink w:anchor="_Toc116319620" w:history="1">
            <w:r w:rsidR="00130904" w:rsidRPr="00BF0169">
              <w:rPr>
                <w:rStyle w:val="Hyperlink"/>
                <w:noProof/>
                <w:lang w:val="it-IT"/>
              </w:rPr>
              <w:t>3.1.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A livello europeo</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_Toc116319620 \h </w:instrText>
            </w:r>
            <w:r w:rsidR="00130904" w:rsidRPr="00BF0169">
              <w:rPr>
                <w:noProof/>
                <w:webHidden/>
                <w:lang w:val="it-IT"/>
              </w:rPr>
            </w:r>
            <w:r w:rsidR="00130904" w:rsidRPr="00BF0169">
              <w:rPr>
                <w:noProof/>
                <w:webHidden/>
                <w:lang w:val="it-IT"/>
              </w:rPr>
              <w:fldChar w:fldCharType="separate"/>
            </w:r>
            <w:r w:rsidR="00742EC4">
              <w:rPr>
                <w:noProof/>
                <w:webHidden/>
                <w:lang w:val="it-IT"/>
              </w:rPr>
              <w:t>12</w:t>
            </w:r>
            <w:r w:rsidR="00130904" w:rsidRPr="00BF0169">
              <w:rPr>
                <w:noProof/>
                <w:webHidden/>
                <w:lang w:val="it-IT"/>
              </w:rPr>
              <w:fldChar w:fldCharType="end"/>
            </w:r>
          </w:hyperlink>
        </w:p>
        <w:p w14:paraId="194ABDD1" w14:textId="1E4470A9" w:rsidR="00130904" w:rsidRPr="00BF0169" w:rsidRDefault="00A96452">
          <w:pPr>
            <w:pStyle w:val="TOC3"/>
            <w:rPr>
              <w:rFonts w:asciiTheme="minorHAnsi" w:eastAsiaTheme="minorEastAsia" w:hAnsiTheme="minorHAnsi" w:cstheme="minorBidi"/>
              <w:noProof/>
              <w:sz w:val="22"/>
              <w:szCs w:val="22"/>
              <w:lang w:val="it-IT"/>
            </w:rPr>
          </w:pPr>
          <w:hyperlink w:anchor="_Toc116319621" w:history="1">
            <w:r w:rsidR="00130904" w:rsidRPr="00BF0169">
              <w:rPr>
                <w:rStyle w:val="Hyperlink"/>
                <w:noProof/>
                <w:lang w:val="it-IT"/>
              </w:rPr>
              <w:t>3.1.1.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Parlamento europeo</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_Toc116319621 \h </w:instrText>
            </w:r>
            <w:r w:rsidR="00130904" w:rsidRPr="00BF0169">
              <w:rPr>
                <w:noProof/>
                <w:webHidden/>
                <w:lang w:val="it-IT"/>
              </w:rPr>
            </w:r>
            <w:r w:rsidR="00130904" w:rsidRPr="00BF0169">
              <w:rPr>
                <w:noProof/>
                <w:webHidden/>
                <w:lang w:val="it-IT"/>
              </w:rPr>
              <w:fldChar w:fldCharType="separate"/>
            </w:r>
            <w:r w:rsidR="00742EC4">
              <w:rPr>
                <w:noProof/>
                <w:webHidden/>
                <w:lang w:val="it-IT"/>
              </w:rPr>
              <w:t>12</w:t>
            </w:r>
            <w:r w:rsidR="00130904" w:rsidRPr="00BF0169">
              <w:rPr>
                <w:noProof/>
                <w:webHidden/>
                <w:lang w:val="it-IT"/>
              </w:rPr>
              <w:fldChar w:fldCharType="end"/>
            </w:r>
          </w:hyperlink>
        </w:p>
        <w:p w14:paraId="6360B90A" w14:textId="38F67DED" w:rsidR="00130904" w:rsidRPr="00BF0169" w:rsidRDefault="00A96452">
          <w:pPr>
            <w:pStyle w:val="TOC3"/>
            <w:rPr>
              <w:rFonts w:asciiTheme="minorHAnsi" w:eastAsiaTheme="minorEastAsia" w:hAnsiTheme="minorHAnsi" w:cstheme="minorBidi"/>
              <w:noProof/>
              <w:sz w:val="22"/>
              <w:szCs w:val="22"/>
              <w:lang w:val="it-IT"/>
            </w:rPr>
          </w:pPr>
          <w:hyperlink w:anchor="_Toc116319622" w:history="1">
            <w:r w:rsidR="00130904" w:rsidRPr="00BF0169">
              <w:rPr>
                <w:rStyle w:val="Hyperlink"/>
                <w:noProof/>
                <w:lang w:val="it-IT"/>
              </w:rPr>
              <w:t>3.1.2.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Consiglio</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_Toc116319622 \h </w:instrText>
            </w:r>
            <w:r w:rsidR="00130904" w:rsidRPr="00BF0169">
              <w:rPr>
                <w:noProof/>
                <w:webHidden/>
                <w:lang w:val="it-IT"/>
              </w:rPr>
            </w:r>
            <w:r w:rsidR="00130904" w:rsidRPr="00BF0169">
              <w:rPr>
                <w:noProof/>
                <w:webHidden/>
                <w:lang w:val="it-IT"/>
              </w:rPr>
              <w:fldChar w:fldCharType="separate"/>
            </w:r>
            <w:r w:rsidR="00742EC4">
              <w:rPr>
                <w:noProof/>
                <w:webHidden/>
                <w:lang w:val="it-IT"/>
              </w:rPr>
              <w:t>13</w:t>
            </w:r>
            <w:r w:rsidR="00130904" w:rsidRPr="00BF0169">
              <w:rPr>
                <w:noProof/>
                <w:webHidden/>
                <w:lang w:val="it-IT"/>
              </w:rPr>
              <w:fldChar w:fldCharType="end"/>
            </w:r>
          </w:hyperlink>
        </w:p>
        <w:p w14:paraId="10A7A4BB" w14:textId="16E3B2D0" w:rsidR="00130904" w:rsidRPr="00BF0169" w:rsidRDefault="00A96452">
          <w:pPr>
            <w:pStyle w:val="TOC3"/>
            <w:rPr>
              <w:rFonts w:asciiTheme="minorHAnsi" w:eastAsiaTheme="minorEastAsia" w:hAnsiTheme="minorHAnsi" w:cstheme="minorBidi"/>
              <w:noProof/>
              <w:sz w:val="22"/>
              <w:szCs w:val="22"/>
              <w:lang w:val="it-IT"/>
            </w:rPr>
          </w:pPr>
          <w:hyperlink w:anchor="_Toc116319623" w:history="1">
            <w:r w:rsidR="00130904" w:rsidRPr="00BF0169">
              <w:rPr>
                <w:rStyle w:val="Hyperlink"/>
                <w:noProof/>
                <w:lang w:val="it-IT"/>
              </w:rPr>
              <w:t>3.1.3.</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Commissione europea</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_Toc116319623 \h </w:instrText>
            </w:r>
            <w:r w:rsidR="00130904" w:rsidRPr="00BF0169">
              <w:rPr>
                <w:noProof/>
                <w:webHidden/>
                <w:lang w:val="it-IT"/>
              </w:rPr>
            </w:r>
            <w:r w:rsidR="00130904" w:rsidRPr="00BF0169">
              <w:rPr>
                <w:noProof/>
                <w:webHidden/>
                <w:lang w:val="it-IT"/>
              </w:rPr>
              <w:fldChar w:fldCharType="separate"/>
            </w:r>
            <w:r w:rsidR="00742EC4">
              <w:rPr>
                <w:noProof/>
                <w:webHidden/>
                <w:lang w:val="it-IT"/>
              </w:rPr>
              <w:t>13</w:t>
            </w:r>
            <w:r w:rsidR="00130904" w:rsidRPr="00BF0169">
              <w:rPr>
                <w:noProof/>
                <w:webHidden/>
                <w:lang w:val="it-IT"/>
              </w:rPr>
              <w:fldChar w:fldCharType="end"/>
            </w:r>
          </w:hyperlink>
        </w:p>
        <w:p w14:paraId="0A674339" w14:textId="11190430" w:rsidR="00130904" w:rsidRPr="00BF0169" w:rsidRDefault="00A96452">
          <w:pPr>
            <w:pStyle w:val="TOC3"/>
            <w:rPr>
              <w:rFonts w:asciiTheme="minorHAnsi" w:eastAsiaTheme="minorEastAsia" w:hAnsiTheme="minorHAnsi" w:cstheme="minorBidi"/>
              <w:noProof/>
              <w:sz w:val="22"/>
              <w:szCs w:val="22"/>
              <w:lang w:val="it-IT"/>
            </w:rPr>
          </w:pPr>
          <w:hyperlink w:anchor="_Toc116319624" w:history="1">
            <w:r w:rsidR="00130904" w:rsidRPr="00BF0169">
              <w:rPr>
                <w:rStyle w:val="Hyperlink"/>
                <w:noProof/>
                <w:lang w:val="it-IT"/>
              </w:rPr>
              <w:t>3.1.4.</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Ufficio europeo per la lotta antifrode (OLAF)</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_Toc116319624 \h </w:instrText>
            </w:r>
            <w:r w:rsidR="00130904" w:rsidRPr="00BF0169">
              <w:rPr>
                <w:noProof/>
                <w:webHidden/>
                <w:lang w:val="it-IT"/>
              </w:rPr>
            </w:r>
            <w:r w:rsidR="00130904" w:rsidRPr="00BF0169">
              <w:rPr>
                <w:noProof/>
                <w:webHidden/>
                <w:lang w:val="it-IT"/>
              </w:rPr>
              <w:fldChar w:fldCharType="separate"/>
            </w:r>
            <w:r w:rsidR="00742EC4">
              <w:rPr>
                <w:noProof/>
                <w:webHidden/>
                <w:lang w:val="it-IT"/>
              </w:rPr>
              <w:t>14</w:t>
            </w:r>
            <w:r w:rsidR="00130904" w:rsidRPr="00BF0169">
              <w:rPr>
                <w:noProof/>
                <w:webHidden/>
                <w:lang w:val="it-IT"/>
              </w:rPr>
              <w:fldChar w:fldCharType="end"/>
            </w:r>
          </w:hyperlink>
        </w:p>
        <w:p w14:paraId="368A9868" w14:textId="4D1EA7D5" w:rsidR="00130904" w:rsidRPr="00BF0169" w:rsidRDefault="00A96452">
          <w:pPr>
            <w:pStyle w:val="TOC3"/>
            <w:rPr>
              <w:rFonts w:asciiTheme="minorHAnsi" w:eastAsiaTheme="minorEastAsia" w:hAnsiTheme="minorHAnsi" w:cstheme="minorBidi"/>
              <w:noProof/>
              <w:sz w:val="22"/>
              <w:szCs w:val="22"/>
              <w:lang w:val="it-IT"/>
            </w:rPr>
          </w:pPr>
          <w:hyperlink w:anchor="_Toc116319625" w:history="1">
            <w:r w:rsidR="00130904" w:rsidRPr="00BF0169">
              <w:rPr>
                <w:rStyle w:val="Hyperlink"/>
                <w:noProof/>
                <w:lang w:val="it-IT"/>
              </w:rPr>
              <w:t>3.1.5.</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Procura europea (EPPO)</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_Toc116319625 \h </w:instrText>
            </w:r>
            <w:r w:rsidR="00130904" w:rsidRPr="00BF0169">
              <w:rPr>
                <w:noProof/>
                <w:webHidden/>
                <w:lang w:val="it-IT"/>
              </w:rPr>
            </w:r>
            <w:r w:rsidR="00130904" w:rsidRPr="00BF0169">
              <w:rPr>
                <w:noProof/>
                <w:webHidden/>
                <w:lang w:val="it-IT"/>
              </w:rPr>
              <w:fldChar w:fldCharType="separate"/>
            </w:r>
            <w:r w:rsidR="00742EC4">
              <w:rPr>
                <w:noProof/>
                <w:webHidden/>
                <w:lang w:val="it-IT"/>
              </w:rPr>
              <w:t>15</w:t>
            </w:r>
            <w:r w:rsidR="00130904" w:rsidRPr="00BF0169">
              <w:rPr>
                <w:noProof/>
                <w:webHidden/>
                <w:lang w:val="it-IT"/>
              </w:rPr>
              <w:fldChar w:fldCharType="end"/>
            </w:r>
          </w:hyperlink>
        </w:p>
        <w:p w14:paraId="7E05982E" w14:textId="0DA739E4" w:rsidR="00130904" w:rsidRPr="00BF0169" w:rsidRDefault="00A96452">
          <w:pPr>
            <w:pStyle w:val="TOC3"/>
            <w:rPr>
              <w:rFonts w:asciiTheme="minorHAnsi" w:eastAsiaTheme="minorEastAsia" w:hAnsiTheme="minorHAnsi" w:cstheme="minorBidi"/>
              <w:noProof/>
              <w:sz w:val="22"/>
              <w:szCs w:val="22"/>
              <w:lang w:val="it-IT"/>
            </w:rPr>
          </w:pPr>
          <w:hyperlink w:anchor="_Toc116319626" w:history="1">
            <w:r w:rsidR="00130904" w:rsidRPr="00BF0169">
              <w:rPr>
                <w:rStyle w:val="Hyperlink"/>
                <w:noProof/>
                <w:lang w:val="it-IT"/>
              </w:rPr>
              <w:t>3.1.6.</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Corte dei conti europea (CCE)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_Toc116319626 \h </w:instrText>
            </w:r>
            <w:r w:rsidR="00130904" w:rsidRPr="00BF0169">
              <w:rPr>
                <w:noProof/>
                <w:webHidden/>
                <w:lang w:val="it-IT"/>
              </w:rPr>
            </w:r>
            <w:r w:rsidR="00130904" w:rsidRPr="00BF0169">
              <w:rPr>
                <w:noProof/>
                <w:webHidden/>
                <w:lang w:val="it-IT"/>
              </w:rPr>
              <w:fldChar w:fldCharType="separate"/>
            </w:r>
            <w:r w:rsidR="00742EC4">
              <w:rPr>
                <w:noProof/>
                <w:webHidden/>
                <w:lang w:val="it-IT"/>
              </w:rPr>
              <w:t>16</w:t>
            </w:r>
            <w:r w:rsidR="00130904" w:rsidRPr="00BF0169">
              <w:rPr>
                <w:noProof/>
                <w:webHidden/>
                <w:lang w:val="it-IT"/>
              </w:rPr>
              <w:fldChar w:fldCharType="end"/>
            </w:r>
          </w:hyperlink>
        </w:p>
        <w:p w14:paraId="37AC2B13" w14:textId="4D09934C" w:rsidR="00130904" w:rsidRPr="00BF0169" w:rsidRDefault="00A96452">
          <w:pPr>
            <w:pStyle w:val="TOC3"/>
            <w:rPr>
              <w:rFonts w:asciiTheme="minorHAnsi" w:eastAsiaTheme="minorEastAsia" w:hAnsiTheme="minorHAnsi" w:cstheme="minorBidi"/>
              <w:noProof/>
              <w:sz w:val="22"/>
              <w:szCs w:val="22"/>
              <w:lang w:val="it-IT"/>
            </w:rPr>
          </w:pPr>
          <w:hyperlink w:anchor="_Toc116319627" w:history="1">
            <w:r w:rsidR="00130904" w:rsidRPr="00BF0169">
              <w:rPr>
                <w:rStyle w:val="Hyperlink"/>
                <w:noProof/>
                <w:lang w:val="it-IT"/>
              </w:rPr>
              <w:t>3.1.7.</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Eurojust</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_Toc116319627 \h </w:instrText>
            </w:r>
            <w:r w:rsidR="00130904" w:rsidRPr="00BF0169">
              <w:rPr>
                <w:noProof/>
                <w:webHidden/>
                <w:lang w:val="it-IT"/>
              </w:rPr>
            </w:r>
            <w:r w:rsidR="00130904" w:rsidRPr="00BF0169">
              <w:rPr>
                <w:noProof/>
                <w:webHidden/>
                <w:lang w:val="it-IT"/>
              </w:rPr>
              <w:fldChar w:fldCharType="separate"/>
            </w:r>
            <w:r w:rsidR="00742EC4">
              <w:rPr>
                <w:noProof/>
                <w:webHidden/>
                <w:lang w:val="it-IT"/>
              </w:rPr>
              <w:t>16</w:t>
            </w:r>
            <w:r w:rsidR="00130904" w:rsidRPr="00BF0169">
              <w:rPr>
                <w:noProof/>
                <w:webHidden/>
                <w:lang w:val="it-IT"/>
              </w:rPr>
              <w:fldChar w:fldCharType="end"/>
            </w:r>
          </w:hyperlink>
        </w:p>
        <w:p w14:paraId="62FD563C" w14:textId="4F8AEE10" w:rsidR="00130904" w:rsidRPr="00BF0169" w:rsidRDefault="00A96452">
          <w:pPr>
            <w:pStyle w:val="TOC3"/>
            <w:rPr>
              <w:rFonts w:asciiTheme="minorHAnsi" w:eastAsiaTheme="minorEastAsia" w:hAnsiTheme="minorHAnsi" w:cstheme="minorBidi"/>
              <w:noProof/>
              <w:sz w:val="22"/>
              <w:szCs w:val="22"/>
              <w:lang w:val="it-IT"/>
            </w:rPr>
          </w:pPr>
          <w:hyperlink w:anchor="_Toc116319628" w:history="1">
            <w:r w:rsidR="00130904" w:rsidRPr="00BF0169">
              <w:rPr>
                <w:rStyle w:val="Hyperlink"/>
                <w:noProof/>
                <w:lang w:val="it-IT"/>
              </w:rPr>
              <w:t>3.1.8.</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Europol</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_Toc116319628 \h </w:instrText>
            </w:r>
            <w:r w:rsidR="00130904" w:rsidRPr="00BF0169">
              <w:rPr>
                <w:noProof/>
                <w:webHidden/>
                <w:lang w:val="it-IT"/>
              </w:rPr>
            </w:r>
            <w:r w:rsidR="00130904" w:rsidRPr="00BF0169">
              <w:rPr>
                <w:noProof/>
                <w:webHidden/>
                <w:lang w:val="it-IT"/>
              </w:rPr>
              <w:fldChar w:fldCharType="separate"/>
            </w:r>
            <w:r w:rsidR="00742EC4">
              <w:rPr>
                <w:noProof/>
                <w:webHidden/>
                <w:lang w:val="it-IT"/>
              </w:rPr>
              <w:t>17</w:t>
            </w:r>
            <w:r w:rsidR="00130904" w:rsidRPr="00BF0169">
              <w:rPr>
                <w:noProof/>
                <w:webHidden/>
                <w:lang w:val="it-IT"/>
              </w:rPr>
              <w:fldChar w:fldCharType="end"/>
            </w:r>
          </w:hyperlink>
        </w:p>
        <w:p w14:paraId="2BE22FF0" w14:textId="5EFE5E66" w:rsidR="00130904" w:rsidRPr="00BF0169" w:rsidRDefault="00A96452">
          <w:pPr>
            <w:pStyle w:val="TOC2"/>
            <w:rPr>
              <w:rFonts w:asciiTheme="minorHAnsi" w:eastAsiaTheme="minorEastAsia" w:hAnsiTheme="minorHAnsi" w:cstheme="minorBidi"/>
              <w:noProof/>
              <w:sz w:val="22"/>
              <w:szCs w:val="22"/>
              <w:lang w:val="it-IT"/>
            </w:rPr>
          </w:pPr>
          <w:hyperlink w:anchor="_Toc116319629" w:history="1">
            <w:r w:rsidR="00130904" w:rsidRPr="00BF0169">
              <w:rPr>
                <w:rStyle w:val="Hyperlink"/>
                <w:noProof/>
                <w:lang w:val="it-IT"/>
              </w:rPr>
              <w:t>3.2.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A livello dei singoli Stati membri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_Toc116319629 \h </w:instrText>
            </w:r>
            <w:r w:rsidR="00130904" w:rsidRPr="00BF0169">
              <w:rPr>
                <w:noProof/>
                <w:webHidden/>
                <w:lang w:val="it-IT"/>
              </w:rPr>
            </w:r>
            <w:r w:rsidR="00130904" w:rsidRPr="00BF0169">
              <w:rPr>
                <w:noProof/>
                <w:webHidden/>
                <w:lang w:val="it-IT"/>
              </w:rPr>
              <w:fldChar w:fldCharType="separate"/>
            </w:r>
            <w:r w:rsidR="00742EC4">
              <w:rPr>
                <w:noProof/>
                <w:webHidden/>
                <w:lang w:val="it-IT"/>
              </w:rPr>
              <w:t>17</w:t>
            </w:r>
            <w:r w:rsidR="00130904" w:rsidRPr="00BF0169">
              <w:rPr>
                <w:noProof/>
                <w:webHidden/>
                <w:lang w:val="it-IT"/>
              </w:rPr>
              <w:fldChar w:fldCharType="end"/>
            </w:r>
          </w:hyperlink>
        </w:p>
        <w:p w14:paraId="1F55D27F" w14:textId="5AE204AB" w:rsidR="00130904" w:rsidRPr="00BF0169" w:rsidRDefault="00A96452">
          <w:pPr>
            <w:pStyle w:val="TOC3"/>
            <w:rPr>
              <w:rFonts w:asciiTheme="minorHAnsi" w:eastAsiaTheme="minorEastAsia" w:hAnsiTheme="minorHAnsi" w:cstheme="minorBidi"/>
              <w:noProof/>
              <w:sz w:val="22"/>
              <w:szCs w:val="22"/>
              <w:lang w:val="it-IT"/>
            </w:rPr>
          </w:pPr>
          <w:hyperlink w:anchor="_Toc116319630" w:history="1">
            <w:r w:rsidR="00130904" w:rsidRPr="00BF0169">
              <w:rPr>
                <w:rStyle w:val="Hyperlink"/>
                <w:noProof/>
                <w:lang w:val="it-IT"/>
              </w:rPr>
              <w:t>3.2.1.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Servizi di coordinamento antifrode (AFCOS)</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_Toc116319630 \h </w:instrText>
            </w:r>
            <w:r w:rsidR="00130904" w:rsidRPr="00BF0169">
              <w:rPr>
                <w:noProof/>
                <w:webHidden/>
                <w:lang w:val="it-IT"/>
              </w:rPr>
            </w:r>
            <w:r w:rsidR="00130904" w:rsidRPr="00BF0169">
              <w:rPr>
                <w:noProof/>
                <w:webHidden/>
                <w:lang w:val="it-IT"/>
              </w:rPr>
              <w:fldChar w:fldCharType="separate"/>
            </w:r>
            <w:r w:rsidR="00742EC4">
              <w:rPr>
                <w:noProof/>
                <w:webHidden/>
                <w:lang w:val="it-IT"/>
              </w:rPr>
              <w:t>17</w:t>
            </w:r>
            <w:r w:rsidR="00130904" w:rsidRPr="00BF0169">
              <w:rPr>
                <w:noProof/>
                <w:webHidden/>
                <w:lang w:val="it-IT"/>
              </w:rPr>
              <w:fldChar w:fldCharType="end"/>
            </w:r>
          </w:hyperlink>
        </w:p>
        <w:p w14:paraId="3A79107A" w14:textId="20902AE7" w:rsidR="00130904" w:rsidRPr="00BF0169" w:rsidRDefault="00A96452">
          <w:pPr>
            <w:pStyle w:val="TOC3"/>
            <w:rPr>
              <w:rFonts w:asciiTheme="minorHAnsi" w:eastAsiaTheme="minorEastAsia" w:hAnsiTheme="minorHAnsi" w:cstheme="minorBidi"/>
              <w:noProof/>
              <w:sz w:val="22"/>
              <w:szCs w:val="22"/>
              <w:lang w:val="it-IT"/>
            </w:rPr>
          </w:pPr>
          <w:hyperlink w:anchor="_Toc116319631" w:history="1">
            <w:r w:rsidR="00130904" w:rsidRPr="00BF0169">
              <w:rPr>
                <w:rStyle w:val="Hyperlink"/>
                <w:noProof/>
                <w:lang w:val="it-IT"/>
              </w:rPr>
              <w:t>3.2.2.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Strategie nazionali antifrode (NAFS)</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_Toc116319631 \h </w:instrText>
            </w:r>
            <w:r w:rsidR="00130904" w:rsidRPr="00BF0169">
              <w:rPr>
                <w:noProof/>
                <w:webHidden/>
                <w:lang w:val="it-IT"/>
              </w:rPr>
            </w:r>
            <w:r w:rsidR="00130904" w:rsidRPr="00BF0169">
              <w:rPr>
                <w:noProof/>
                <w:webHidden/>
                <w:lang w:val="it-IT"/>
              </w:rPr>
              <w:fldChar w:fldCharType="separate"/>
            </w:r>
            <w:r w:rsidR="00742EC4">
              <w:rPr>
                <w:noProof/>
                <w:webHidden/>
                <w:lang w:val="it-IT"/>
              </w:rPr>
              <w:t>18</w:t>
            </w:r>
            <w:r w:rsidR="00130904" w:rsidRPr="00BF0169">
              <w:rPr>
                <w:noProof/>
                <w:webHidden/>
                <w:lang w:val="it-IT"/>
              </w:rPr>
              <w:fldChar w:fldCharType="end"/>
            </w:r>
          </w:hyperlink>
        </w:p>
        <w:p w14:paraId="5179F6F4" w14:textId="0A708C83" w:rsidR="00130904" w:rsidRPr="00BF0169" w:rsidRDefault="00A96452">
          <w:pPr>
            <w:pStyle w:val="TOC3"/>
            <w:rPr>
              <w:rFonts w:asciiTheme="minorHAnsi" w:eastAsiaTheme="minorEastAsia" w:hAnsiTheme="minorHAnsi" w:cstheme="minorBidi"/>
              <w:noProof/>
              <w:sz w:val="22"/>
              <w:szCs w:val="22"/>
              <w:lang w:val="it-IT"/>
            </w:rPr>
          </w:pPr>
          <w:hyperlink w:anchor="_Toc116319632" w:history="1">
            <w:r w:rsidR="00130904" w:rsidRPr="00BF0169">
              <w:rPr>
                <w:rStyle w:val="Hyperlink"/>
                <w:noProof/>
                <w:lang w:val="it-IT"/>
              </w:rPr>
              <w:t>3.2.3.</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Attuazione delle raccomandazioni del 2020 da parte degli Stati membri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_Toc116319632 \h </w:instrText>
            </w:r>
            <w:r w:rsidR="00130904" w:rsidRPr="00BF0169">
              <w:rPr>
                <w:noProof/>
                <w:webHidden/>
                <w:lang w:val="it-IT"/>
              </w:rPr>
            </w:r>
            <w:r w:rsidR="00130904" w:rsidRPr="00BF0169">
              <w:rPr>
                <w:noProof/>
                <w:webHidden/>
                <w:lang w:val="it-IT"/>
              </w:rPr>
              <w:fldChar w:fldCharType="separate"/>
            </w:r>
            <w:r w:rsidR="00742EC4">
              <w:rPr>
                <w:noProof/>
                <w:webHidden/>
                <w:lang w:val="it-IT"/>
              </w:rPr>
              <w:t>19</w:t>
            </w:r>
            <w:r w:rsidR="00130904" w:rsidRPr="00BF0169">
              <w:rPr>
                <w:noProof/>
                <w:webHidden/>
                <w:lang w:val="it-IT"/>
              </w:rPr>
              <w:fldChar w:fldCharType="end"/>
            </w:r>
          </w:hyperlink>
        </w:p>
        <w:p w14:paraId="4F03D84A" w14:textId="3BB940D0" w:rsidR="00130904" w:rsidRPr="00BF0169" w:rsidRDefault="00A96452">
          <w:pPr>
            <w:pStyle w:val="TOC1"/>
            <w:rPr>
              <w:rFonts w:asciiTheme="minorHAnsi" w:eastAsiaTheme="minorEastAsia" w:hAnsiTheme="minorHAnsi" w:cstheme="minorBidi"/>
              <w:b w:val="0"/>
              <w:noProof/>
              <w:sz w:val="22"/>
              <w:szCs w:val="22"/>
              <w:lang w:val="it-IT"/>
            </w:rPr>
          </w:pPr>
          <w:hyperlink w:anchor="_Toc116319633" w:history="1">
            <w:r w:rsidR="00130904" w:rsidRPr="00BF0169">
              <w:rPr>
                <w:rStyle w:val="Hyperlink"/>
                <w:noProof/>
                <w:lang w:val="it-IT"/>
              </w:rPr>
              <w:t>4.</w:t>
            </w:r>
            <w:r w:rsidR="00130904" w:rsidRPr="00BF0169">
              <w:rPr>
                <w:rFonts w:asciiTheme="minorHAnsi" w:eastAsiaTheme="minorEastAsia" w:hAnsiTheme="minorHAnsi" w:cstheme="minorBidi"/>
                <w:b w:val="0"/>
                <w:noProof/>
                <w:sz w:val="22"/>
                <w:szCs w:val="22"/>
                <w:lang w:val="it-IT"/>
              </w:rPr>
              <w:tab/>
            </w:r>
            <w:r w:rsidR="00130904" w:rsidRPr="00BF0169">
              <w:rPr>
                <w:rStyle w:val="Hyperlink"/>
                <w:noProof/>
                <w:lang w:val="it-IT"/>
              </w:rPr>
              <w:t>Cooperazione antifrode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_Toc116319633 \h </w:instrText>
            </w:r>
            <w:r w:rsidR="00130904" w:rsidRPr="00BF0169">
              <w:rPr>
                <w:noProof/>
                <w:webHidden/>
                <w:lang w:val="it-IT"/>
              </w:rPr>
            </w:r>
            <w:r w:rsidR="00130904" w:rsidRPr="00BF0169">
              <w:rPr>
                <w:noProof/>
                <w:webHidden/>
                <w:lang w:val="it-IT"/>
              </w:rPr>
              <w:fldChar w:fldCharType="separate"/>
            </w:r>
            <w:r w:rsidR="00742EC4">
              <w:rPr>
                <w:noProof/>
                <w:webHidden/>
                <w:lang w:val="it-IT"/>
              </w:rPr>
              <w:t>21</w:t>
            </w:r>
            <w:r w:rsidR="00130904" w:rsidRPr="00BF0169">
              <w:rPr>
                <w:noProof/>
                <w:webHidden/>
                <w:lang w:val="it-IT"/>
              </w:rPr>
              <w:fldChar w:fldCharType="end"/>
            </w:r>
          </w:hyperlink>
        </w:p>
        <w:p w14:paraId="618D6D11" w14:textId="1B8E4D91" w:rsidR="00130904" w:rsidRPr="00BF0169" w:rsidRDefault="00A96452">
          <w:pPr>
            <w:pStyle w:val="TOC2"/>
            <w:rPr>
              <w:rFonts w:asciiTheme="minorHAnsi" w:eastAsiaTheme="minorEastAsia" w:hAnsiTheme="minorHAnsi" w:cstheme="minorBidi"/>
              <w:noProof/>
              <w:sz w:val="22"/>
              <w:szCs w:val="22"/>
              <w:lang w:val="it-IT"/>
            </w:rPr>
          </w:pPr>
          <w:hyperlink w:anchor="_Toc116319634" w:history="1">
            <w:r w:rsidR="00130904" w:rsidRPr="00BF0169">
              <w:rPr>
                <w:rStyle w:val="Hyperlink"/>
                <w:noProof/>
                <w:lang w:val="it-IT"/>
              </w:rPr>
              <w:t>4.1.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Cooperazione internazionale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_Toc116319634 \h </w:instrText>
            </w:r>
            <w:r w:rsidR="00130904" w:rsidRPr="00BF0169">
              <w:rPr>
                <w:noProof/>
                <w:webHidden/>
                <w:lang w:val="it-IT"/>
              </w:rPr>
            </w:r>
            <w:r w:rsidR="00130904" w:rsidRPr="00BF0169">
              <w:rPr>
                <w:noProof/>
                <w:webHidden/>
                <w:lang w:val="it-IT"/>
              </w:rPr>
              <w:fldChar w:fldCharType="separate"/>
            </w:r>
            <w:r w:rsidR="00742EC4">
              <w:rPr>
                <w:noProof/>
                <w:webHidden/>
                <w:lang w:val="it-IT"/>
              </w:rPr>
              <w:t>21</w:t>
            </w:r>
            <w:r w:rsidR="00130904" w:rsidRPr="00BF0169">
              <w:rPr>
                <w:noProof/>
                <w:webHidden/>
                <w:lang w:val="it-IT"/>
              </w:rPr>
              <w:fldChar w:fldCharType="end"/>
            </w:r>
          </w:hyperlink>
        </w:p>
        <w:p w14:paraId="099E0B62" w14:textId="0E92F168" w:rsidR="00130904" w:rsidRPr="00BF0169" w:rsidRDefault="00A96452">
          <w:pPr>
            <w:pStyle w:val="TOC3"/>
            <w:rPr>
              <w:rFonts w:asciiTheme="minorHAnsi" w:eastAsiaTheme="minorEastAsia" w:hAnsiTheme="minorHAnsi" w:cstheme="minorBidi"/>
              <w:noProof/>
              <w:sz w:val="22"/>
              <w:szCs w:val="22"/>
              <w:lang w:val="it-IT"/>
            </w:rPr>
          </w:pPr>
          <w:hyperlink w:anchor="_Toc116319635" w:history="1">
            <w:r w:rsidR="00130904" w:rsidRPr="00BF0169">
              <w:rPr>
                <w:rStyle w:val="Hyperlink"/>
                <w:noProof/>
                <w:lang w:val="it-IT"/>
              </w:rPr>
              <w:t>4.1.1.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Cooperazione con paesi terzi e disposizioni in materia di mutua assistenza e di lotta contro la frode negli accordi internazionali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_Toc116319635 \h </w:instrText>
            </w:r>
            <w:r w:rsidR="00130904" w:rsidRPr="00BF0169">
              <w:rPr>
                <w:noProof/>
                <w:webHidden/>
                <w:lang w:val="it-IT"/>
              </w:rPr>
            </w:r>
            <w:r w:rsidR="00130904" w:rsidRPr="00BF0169">
              <w:rPr>
                <w:noProof/>
                <w:webHidden/>
                <w:lang w:val="it-IT"/>
              </w:rPr>
              <w:fldChar w:fldCharType="separate"/>
            </w:r>
            <w:r w:rsidR="00742EC4">
              <w:rPr>
                <w:noProof/>
                <w:webHidden/>
                <w:lang w:val="it-IT"/>
              </w:rPr>
              <w:t>21</w:t>
            </w:r>
            <w:r w:rsidR="00130904" w:rsidRPr="00BF0169">
              <w:rPr>
                <w:noProof/>
                <w:webHidden/>
                <w:lang w:val="it-IT"/>
              </w:rPr>
              <w:fldChar w:fldCharType="end"/>
            </w:r>
          </w:hyperlink>
        </w:p>
        <w:p w14:paraId="0F2758CA" w14:textId="48A76F30" w:rsidR="00130904" w:rsidRPr="00BF0169" w:rsidRDefault="00A96452">
          <w:pPr>
            <w:pStyle w:val="TOC3"/>
            <w:rPr>
              <w:rFonts w:asciiTheme="minorHAnsi" w:eastAsiaTheme="minorEastAsia" w:hAnsiTheme="minorHAnsi" w:cstheme="minorBidi"/>
              <w:noProof/>
              <w:sz w:val="22"/>
              <w:szCs w:val="22"/>
              <w:lang w:val="it-IT"/>
            </w:rPr>
          </w:pPr>
          <w:hyperlink w:anchor="_Toc116319636" w:history="1">
            <w:r w:rsidR="00130904" w:rsidRPr="00BF0169">
              <w:rPr>
                <w:rStyle w:val="Hyperlink"/>
                <w:noProof/>
                <w:lang w:val="it-IT"/>
              </w:rPr>
              <w:t>4.1.2.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Nona conferenza delgi Stati parte della convenzione delle Nazioni Unite contro la corruzione e risoluzioni patrocinate dall</w:t>
            </w:r>
            <w:r w:rsidR="00BF0169" w:rsidRPr="00BF0169">
              <w:rPr>
                <w:rStyle w:val="Hyperlink"/>
                <w:noProof/>
                <w:lang w:val="it-IT"/>
              </w:rPr>
              <w:t>'</w:t>
            </w:r>
            <w:r w:rsidR="00130904" w:rsidRPr="00BF0169">
              <w:rPr>
                <w:rStyle w:val="Hyperlink"/>
                <w:noProof/>
                <w:lang w:val="it-IT"/>
              </w:rPr>
              <w:t>UE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_Toc116319636 \h </w:instrText>
            </w:r>
            <w:r w:rsidR="00130904" w:rsidRPr="00BF0169">
              <w:rPr>
                <w:noProof/>
                <w:webHidden/>
                <w:lang w:val="it-IT"/>
              </w:rPr>
            </w:r>
            <w:r w:rsidR="00130904" w:rsidRPr="00BF0169">
              <w:rPr>
                <w:noProof/>
                <w:webHidden/>
                <w:lang w:val="it-IT"/>
              </w:rPr>
              <w:fldChar w:fldCharType="separate"/>
            </w:r>
            <w:r w:rsidR="00742EC4">
              <w:rPr>
                <w:noProof/>
                <w:webHidden/>
                <w:lang w:val="it-IT"/>
              </w:rPr>
              <w:t>22</w:t>
            </w:r>
            <w:r w:rsidR="00130904" w:rsidRPr="00BF0169">
              <w:rPr>
                <w:noProof/>
                <w:webHidden/>
                <w:lang w:val="it-IT"/>
              </w:rPr>
              <w:fldChar w:fldCharType="end"/>
            </w:r>
          </w:hyperlink>
        </w:p>
        <w:p w14:paraId="7385FAF9" w14:textId="1C3FF8FE" w:rsidR="00130904" w:rsidRPr="00BF0169" w:rsidRDefault="00A96452">
          <w:pPr>
            <w:pStyle w:val="TOC3"/>
            <w:rPr>
              <w:rFonts w:asciiTheme="minorHAnsi" w:eastAsiaTheme="minorEastAsia" w:hAnsiTheme="minorHAnsi" w:cstheme="minorBidi"/>
              <w:noProof/>
              <w:sz w:val="22"/>
              <w:szCs w:val="22"/>
              <w:lang w:val="it-IT"/>
            </w:rPr>
          </w:pPr>
          <w:hyperlink w:anchor="_Toc116319637" w:history="1">
            <w:r w:rsidR="00130904" w:rsidRPr="00BF0169">
              <w:rPr>
                <w:rStyle w:val="Hyperlink"/>
                <w:noProof/>
                <w:lang w:val="it-IT"/>
              </w:rPr>
              <w:t>4.1.3.</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Lotta contro il traffico illecito di prodotti del tabacco</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_Toc116319637 \h </w:instrText>
            </w:r>
            <w:r w:rsidR="00130904" w:rsidRPr="00BF0169">
              <w:rPr>
                <w:noProof/>
                <w:webHidden/>
                <w:lang w:val="it-IT"/>
              </w:rPr>
            </w:r>
            <w:r w:rsidR="00130904" w:rsidRPr="00BF0169">
              <w:rPr>
                <w:noProof/>
                <w:webHidden/>
                <w:lang w:val="it-IT"/>
              </w:rPr>
              <w:fldChar w:fldCharType="separate"/>
            </w:r>
            <w:r w:rsidR="00742EC4">
              <w:rPr>
                <w:noProof/>
                <w:webHidden/>
                <w:lang w:val="it-IT"/>
              </w:rPr>
              <w:t>22</w:t>
            </w:r>
            <w:r w:rsidR="00130904" w:rsidRPr="00BF0169">
              <w:rPr>
                <w:noProof/>
                <w:webHidden/>
                <w:lang w:val="it-IT"/>
              </w:rPr>
              <w:fldChar w:fldCharType="end"/>
            </w:r>
          </w:hyperlink>
        </w:p>
        <w:p w14:paraId="75FA0822" w14:textId="3C733277" w:rsidR="00130904" w:rsidRPr="00BF0169" w:rsidRDefault="00A96452">
          <w:pPr>
            <w:pStyle w:val="TOC2"/>
            <w:rPr>
              <w:rFonts w:asciiTheme="minorHAnsi" w:eastAsiaTheme="minorEastAsia" w:hAnsiTheme="minorHAnsi" w:cstheme="minorBidi"/>
              <w:noProof/>
              <w:sz w:val="22"/>
              <w:szCs w:val="22"/>
              <w:lang w:val="it-IT"/>
            </w:rPr>
          </w:pPr>
          <w:hyperlink w:anchor="_Toc116319638" w:history="1">
            <w:r w:rsidR="00130904" w:rsidRPr="00BF0169">
              <w:rPr>
                <w:rStyle w:val="Hyperlink"/>
                <w:noProof/>
                <w:lang w:val="it-IT"/>
              </w:rPr>
              <w:t>4.2.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Cooperazione tra l</w:t>
            </w:r>
            <w:r w:rsidR="00BF0169" w:rsidRPr="00BF0169">
              <w:rPr>
                <w:rStyle w:val="Hyperlink"/>
                <w:noProof/>
                <w:lang w:val="it-IT"/>
              </w:rPr>
              <w:t>'</w:t>
            </w:r>
            <w:r w:rsidR="00130904" w:rsidRPr="00BF0169">
              <w:rPr>
                <w:rStyle w:val="Hyperlink"/>
                <w:noProof/>
                <w:lang w:val="it-IT"/>
              </w:rPr>
              <w:t>Unione europea e gli Stati membri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_Toc116319638 \h </w:instrText>
            </w:r>
            <w:r w:rsidR="00130904" w:rsidRPr="00BF0169">
              <w:rPr>
                <w:noProof/>
                <w:webHidden/>
                <w:lang w:val="it-IT"/>
              </w:rPr>
            </w:r>
            <w:r w:rsidR="00130904" w:rsidRPr="00BF0169">
              <w:rPr>
                <w:noProof/>
                <w:webHidden/>
                <w:lang w:val="it-IT"/>
              </w:rPr>
              <w:fldChar w:fldCharType="separate"/>
            </w:r>
            <w:r w:rsidR="00742EC4">
              <w:rPr>
                <w:noProof/>
                <w:webHidden/>
                <w:lang w:val="it-IT"/>
              </w:rPr>
              <w:t>23</w:t>
            </w:r>
            <w:r w:rsidR="00130904" w:rsidRPr="00BF0169">
              <w:rPr>
                <w:noProof/>
                <w:webHidden/>
                <w:lang w:val="it-IT"/>
              </w:rPr>
              <w:fldChar w:fldCharType="end"/>
            </w:r>
          </w:hyperlink>
        </w:p>
        <w:p w14:paraId="1416ECED" w14:textId="43516FE2" w:rsidR="00130904" w:rsidRPr="00BF0169" w:rsidRDefault="00A96452">
          <w:pPr>
            <w:pStyle w:val="TOC3"/>
            <w:rPr>
              <w:rFonts w:asciiTheme="minorHAnsi" w:eastAsiaTheme="minorEastAsia" w:hAnsiTheme="minorHAnsi" w:cstheme="minorBidi"/>
              <w:noProof/>
              <w:sz w:val="22"/>
              <w:szCs w:val="22"/>
              <w:lang w:val="it-IT"/>
            </w:rPr>
          </w:pPr>
          <w:hyperlink w:anchor="_Toc116319639" w:history="1">
            <w:r w:rsidR="00130904" w:rsidRPr="00BF0169">
              <w:rPr>
                <w:rStyle w:val="Hyperlink"/>
                <w:noProof/>
                <w:lang w:val="it-IT"/>
              </w:rPr>
              <w:t>4.2.1.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Attività del comitato consultivo per il coordinamento nel settore della lotta contro le frodi (COCOLAF)</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_Toc116319639 \h </w:instrText>
            </w:r>
            <w:r w:rsidR="00130904" w:rsidRPr="00BF0169">
              <w:rPr>
                <w:noProof/>
                <w:webHidden/>
                <w:lang w:val="it-IT"/>
              </w:rPr>
            </w:r>
            <w:r w:rsidR="00130904" w:rsidRPr="00BF0169">
              <w:rPr>
                <w:noProof/>
                <w:webHidden/>
                <w:lang w:val="it-IT"/>
              </w:rPr>
              <w:fldChar w:fldCharType="separate"/>
            </w:r>
            <w:r w:rsidR="00742EC4">
              <w:rPr>
                <w:noProof/>
                <w:webHidden/>
                <w:lang w:val="it-IT"/>
              </w:rPr>
              <w:t>23</w:t>
            </w:r>
            <w:r w:rsidR="00130904" w:rsidRPr="00BF0169">
              <w:rPr>
                <w:noProof/>
                <w:webHidden/>
                <w:lang w:val="it-IT"/>
              </w:rPr>
              <w:fldChar w:fldCharType="end"/>
            </w:r>
          </w:hyperlink>
        </w:p>
        <w:p w14:paraId="4E8BFB37" w14:textId="61CFC56D" w:rsidR="00130904" w:rsidRPr="00BF0169" w:rsidRDefault="00A96452">
          <w:pPr>
            <w:pStyle w:val="TOC3"/>
            <w:rPr>
              <w:rFonts w:asciiTheme="minorHAnsi" w:eastAsiaTheme="minorEastAsia" w:hAnsiTheme="minorHAnsi" w:cstheme="minorBidi"/>
              <w:noProof/>
              <w:sz w:val="22"/>
              <w:szCs w:val="22"/>
              <w:lang w:val="it-IT"/>
            </w:rPr>
          </w:pPr>
          <w:hyperlink w:anchor="_Toc116319640" w:history="1">
            <w:r w:rsidR="00130904" w:rsidRPr="00BF0169">
              <w:rPr>
                <w:rStyle w:val="Hyperlink"/>
                <w:noProof/>
                <w:lang w:val="it-IT"/>
              </w:rPr>
              <w:t>4.2.2.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Il programma antifrode dell</w:t>
            </w:r>
            <w:r w:rsidR="00BF0169" w:rsidRPr="00BF0169">
              <w:rPr>
                <w:rStyle w:val="Hyperlink"/>
                <w:noProof/>
                <w:lang w:val="it-IT"/>
              </w:rPr>
              <w:t>'</w:t>
            </w:r>
            <w:r w:rsidR="00130904" w:rsidRPr="00BF0169">
              <w:rPr>
                <w:rStyle w:val="Hyperlink"/>
                <w:noProof/>
                <w:lang w:val="it-IT"/>
              </w:rPr>
              <w:t>UE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_Toc116319640 \h </w:instrText>
            </w:r>
            <w:r w:rsidR="00130904" w:rsidRPr="00BF0169">
              <w:rPr>
                <w:noProof/>
                <w:webHidden/>
                <w:lang w:val="it-IT"/>
              </w:rPr>
            </w:r>
            <w:r w:rsidR="00130904" w:rsidRPr="00BF0169">
              <w:rPr>
                <w:noProof/>
                <w:webHidden/>
                <w:lang w:val="it-IT"/>
              </w:rPr>
              <w:fldChar w:fldCharType="separate"/>
            </w:r>
            <w:r w:rsidR="00742EC4">
              <w:rPr>
                <w:noProof/>
                <w:webHidden/>
                <w:lang w:val="it-IT"/>
              </w:rPr>
              <w:t>23</w:t>
            </w:r>
            <w:r w:rsidR="00130904" w:rsidRPr="00BF0169">
              <w:rPr>
                <w:noProof/>
                <w:webHidden/>
                <w:lang w:val="it-IT"/>
              </w:rPr>
              <w:fldChar w:fldCharType="end"/>
            </w:r>
          </w:hyperlink>
        </w:p>
        <w:p w14:paraId="6B3152E1" w14:textId="4F91BD6C" w:rsidR="00130904" w:rsidRPr="00BF0169" w:rsidRDefault="00A96452">
          <w:pPr>
            <w:pStyle w:val="TOC3"/>
            <w:rPr>
              <w:rFonts w:asciiTheme="minorHAnsi" w:eastAsiaTheme="minorEastAsia" w:hAnsiTheme="minorHAnsi" w:cstheme="minorBidi"/>
              <w:noProof/>
              <w:sz w:val="22"/>
              <w:szCs w:val="22"/>
              <w:lang w:val="it-IT"/>
            </w:rPr>
          </w:pPr>
          <w:hyperlink w:anchor="_Toc116319641" w:history="1">
            <w:r w:rsidR="00130904" w:rsidRPr="00BF0169">
              <w:rPr>
                <w:rStyle w:val="Hyperlink"/>
                <w:noProof/>
                <w:lang w:val="it-IT"/>
              </w:rPr>
              <w:t>4.2.3.</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Cooperazione nel settore delle entrate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_Toc116319641 \h </w:instrText>
            </w:r>
            <w:r w:rsidR="00130904" w:rsidRPr="00BF0169">
              <w:rPr>
                <w:noProof/>
                <w:webHidden/>
                <w:lang w:val="it-IT"/>
              </w:rPr>
            </w:r>
            <w:r w:rsidR="00130904" w:rsidRPr="00BF0169">
              <w:rPr>
                <w:noProof/>
                <w:webHidden/>
                <w:lang w:val="it-IT"/>
              </w:rPr>
              <w:fldChar w:fldCharType="separate"/>
            </w:r>
            <w:r w:rsidR="00742EC4">
              <w:rPr>
                <w:noProof/>
                <w:webHidden/>
                <w:lang w:val="it-IT"/>
              </w:rPr>
              <w:t>25</w:t>
            </w:r>
            <w:r w:rsidR="00130904" w:rsidRPr="00BF0169">
              <w:rPr>
                <w:noProof/>
                <w:webHidden/>
                <w:lang w:val="it-IT"/>
              </w:rPr>
              <w:fldChar w:fldCharType="end"/>
            </w:r>
          </w:hyperlink>
        </w:p>
        <w:p w14:paraId="5E458323" w14:textId="24B69C9D" w:rsidR="00130904" w:rsidRPr="00BF0169" w:rsidRDefault="00A96452">
          <w:pPr>
            <w:pStyle w:val="TOC4"/>
            <w:rPr>
              <w:rFonts w:asciiTheme="minorHAnsi" w:eastAsiaTheme="minorEastAsia" w:hAnsiTheme="minorHAnsi" w:cstheme="minorBidi"/>
              <w:noProof/>
              <w:sz w:val="22"/>
              <w:szCs w:val="22"/>
              <w:lang w:val="it-IT"/>
            </w:rPr>
          </w:pPr>
          <w:hyperlink w:anchor="_Toc116319642" w:history="1">
            <w:r w:rsidR="00130904" w:rsidRPr="00BF0169">
              <w:rPr>
                <w:rStyle w:val="Hyperlink"/>
                <w:noProof/>
                <w:lang w:val="it-IT"/>
              </w:rPr>
              <w:t>4.2.3.1.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Il programma Dogana</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_Toc116319642 \h </w:instrText>
            </w:r>
            <w:r w:rsidR="00130904" w:rsidRPr="00BF0169">
              <w:rPr>
                <w:noProof/>
                <w:webHidden/>
                <w:lang w:val="it-IT"/>
              </w:rPr>
            </w:r>
            <w:r w:rsidR="00130904" w:rsidRPr="00BF0169">
              <w:rPr>
                <w:noProof/>
                <w:webHidden/>
                <w:lang w:val="it-IT"/>
              </w:rPr>
              <w:fldChar w:fldCharType="separate"/>
            </w:r>
            <w:r w:rsidR="00742EC4">
              <w:rPr>
                <w:noProof/>
                <w:webHidden/>
                <w:lang w:val="it-IT"/>
              </w:rPr>
              <w:t>25</w:t>
            </w:r>
            <w:r w:rsidR="00130904" w:rsidRPr="00BF0169">
              <w:rPr>
                <w:noProof/>
                <w:webHidden/>
                <w:lang w:val="it-IT"/>
              </w:rPr>
              <w:fldChar w:fldCharType="end"/>
            </w:r>
          </w:hyperlink>
        </w:p>
        <w:p w14:paraId="2BC4CA3B" w14:textId="02BB72C0" w:rsidR="00130904" w:rsidRPr="00BF0169" w:rsidRDefault="00A96452">
          <w:pPr>
            <w:pStyle w:val="TOC4"/>
            <w:rPr>
              <w:rFonts w:asciiTheme="minorHAnsi" w:eastAsiaTheme="minorEastAsia" w:hAnsiTheme="minorHAnsi" w:cstheme="minorBidi"/>
              <w:noProof/>
              <w:sz w:val="22"/>
              <w:szCs w:val="22"/>
              <w:lang w:val="it-IT"/>
            </w:rPr>
          </w:pPr>
          <w:hyperlink w:anchor="_Toc116319643" w:history="1">
            <w:r w:rsidR="00130904" w:rsidRPr="00BF0169">
              <w:rPr>
                <w:rStyle w:val="Hyperlink"/>
                <w:noProof/>
                <w:lang w:val="it-IT"/>
              </w:rPr>
              <w:t>4.2.3.2.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Il programma Fiscalis</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_Toc116319643 \h </w:instrText>
            </w:r>
            <w:r w:rsidR="00130904" w:rsidRPr="00BF0169">
              <w:rPr>
                <w:noProof/>
                <w:webHidden/>
                <w:lang w:val="it-IT"/>
              </w:rPr>
            </w:r>
            <w:r w:rsidR="00130904" w:rsidRPr="00BF0169">
              <w:rPr>
                <w:noProof/>
                <w:webHidden/>
                <w:lang w:val="it-IT"/>
              </w:rPr>
              <w:fldChar w:fldCharType="separate"/>
            </w:r>
            <w:r w:rsidR="00742EC4">
              <w:rPr>
                <w:noProof/>
                <w:webHidden/>
                <w:lang w:val="it-IT"/>
              </w:rPr>
              <w:t>25</w:t>
            </w:r>
            <w:r w:rsidR="00130904" w:rsidRPr="00BF0169">
              <w:rPr>
                <w:noProof/>
                <w:webHidden/>
                <w:lang w:val="it-IT"/>
              </w:rPr>
              <w:fldChar w:fldCharType="end"/>
            </w:r>
          </w:hyperlink>
        </w:p>
        <w:p w14:paraId="378EFE38" w14:textId="46A6BB88" w:rsidR="00130904" w:rsidRPr="00BF0169" w:rsidRDefault="00A96452">
          <w:pPr>
            <w:pStyle w:val="TOC4"/>
            <w:rPr>
              <w:rFonts w:asciiTheme="minorHAnsi" w:eastAsiaTheme="minorEastAsia" w:hAnsiTheme="minorHAnsi" w:cstheme="minorBidi"/>
              <w:noProof/>
              <w:sz w:val="22"/>
              <w:szCs w:val="22"/>
              <w:lang w:val="it-IT"/>
            </w:rPr>
          </w:pPr>
          <w:hyperlink w:anchor="_Toc116319644" w:history="1">
            <w:r w:rsidR="00130904" w:rsidRPr="00BF0169">
              <w:rPr>
                <w:rStyle w:val="Hyperlink"/>
                <w:noProof/>
                <w:lang w:val="it-IT"/>
              </w:rPr>
              <w:t>4.2.3.3.</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Operazioni doganali congiunte (ODC)</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_Toc116319644 \h </w:instrText>
            </w:r>
            <w:r w:rsidR="00130904" w:rsidRPr="00BF0169">
              <w:rPr>
                <w:noProof/>
                <w:webHidden/>
                <w:lang w:val="it-IT"/>
              </w:rPr>
            </w:r>
            <w:r w:rsidR="00130904" w:rsidRPr="00BF0169">
              <w:rPr>
                <w:noProof/>
                <w:webHidden/>
                <w:lang w:val="it-IT"/>
              </w:rPr>
              <w:fldChar w:fldCharType="separate"/>
            </w:r>
            <w:r w:rsidR="00742EC4">
              <w:rPr>
                <w:noProof/>
                <w:webHidden/>
                <w:lang w:val="it-IT"/>
              </w:rPr>
              <w:t>25</w:t>
            </w:r>
            <w:r w:rsidR="00130904" w:rsidRPr="00BF0169">
              <w:rPr>
                <w:noProof/>
                <w:webHidden/>
                <w:lang w:val="it-IT"/>
              </w:rPr>
              <w:fldChar w:fldCharType="end"/>
            </w:r>
          </w:hyperlink>
        </w:p>
        <w:p w14:paraId="03BB7A72" w14:textId="3DD54A81" w:rsidR="00130904" w:rsidRPr="00BF0169" w:rsidRDefault="00A96452">
          <w:pPr>
            <w:pStyle w:val="TOC1"/>
            <w:rPr>
              <w:rFonts w:asciiTheme="minorHAnsi" w:eastAsiaTheme="minorEastAsia" w:hAnsiTheme="minorHAnsi" w:cstheme="minorBidi"/>
              <w:b w:val="0"/>
              <w:noProof/>
              <w:sz w:val="22"/>
              <w:szCs w:val="22"/>
              <w:lang w:val="it-IT"/>
            </w:rPr>
          </w:pPr>
          <w:hyperlink w:anchor="_Toc116319645" w:history="1">
            <w:r w:rsidR="00130904" w:rsidRPr="00BF0169">
              <w:rPr>
                <w:rStyle w:val="Hyperlink"/>
                <w:noProof/>
                <w:lang w:val="it-IT"/>
              </w:rPr>
              <w:t>5.</w:t>
            </w:r>
            <w:r w:rsidR="00130904" w:rsidRPr="00BF0169">
              <w:rPr>
                <w:rFonts w:asciiTheme="minorHAnsi" w:eastAsiaTheme="minorEastAsia" w:hAnsiTheme="minorHAnsi" w:cstheme="minorBidi"/>
                <w:b w:val="0"/>
                <w:noProof/>
                <w:sz w:val="22"/>
                <w:szCs w:val="22"/>
                <w:lang w:val="it-IT"/>
              </w:rPr>
              <w:tab/>
            </w:r>
            <w:r w:rsidR="00130904" w:rsidRPr="00BF0169">
              <w:rPr>
                <w:rStyle w:val="Hyperlink"/>
                <w:noProof/>
                <w:lang w:val="it-IT"/>
              </w:rPr>
              <w:t>Misure chiave per la tutela degli interessi finanziari dell</w:t>
            </w:r>
            <w:r w:rsidR="00BF0169" w:rsidRPr="00BF0169">
              <w:rPr>
                <w:rStyle w:val="Hyperlink"/>
                <w:noProof/>
                <w:lang w:val="it-IT"/>
              </w:rPr>
              <w:t>'</w:t>
            </w:r>
            <w:r w:rsidR="00130904" w:rsidRPr="00BF0169">
              <w:rPr>
                <w:rStyle w:val="Hyperlink"/>
                <w:noProof/>
                <w:lang w:val="it-IT"/>
              </w:rPr>
              <w:t>UE e la lotta contro la frode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_Toc116319645 \h </w:instrText>
            </w:r>
            <w:r w:rsidR="00130904" w:rsidRPr="00BF0169">
              <w:rPr>
                <w:noProof/>
                <w:webHidden/>
                <w:lang w:val="it-IT"/>
              </w:rPr>
            </w:r>
            <w:r w:rsidR="00130904" w:rsidRPr="00BF0169">
              <w:rPr>
                <w:noProof/>
                <w:webHidden/>
                <w:lang w:val="it-IT"/>
              </w:rPr>
              <w:fldChar w:fldCharType="separate"/>
            </w:r>
            <w:r w:rsidR="00742EC4">
              <w:rPr>
                <w:noProof/>
                <w:webHidden/>
                <w:lang w:val="it-IT"/>
              </w:rPr>
              <w:t>27</w:t>
            </w:r>
            <w:r w:rsidR="00130904" w:rsidRPr="00BF0169">
              <w:rPr>
                <w:noProof/>
                <w:webHidden/>
                <w:lang w:val="it-IT"/>
              </w:rPr>
              <w:fldChar w:fldCharType="end"/>
            </w:r>
          </w:hyperlink>
        </w:p>
        <w:p w14:paraId="4A55218F" w14:textId="44F54D05" w:rsidR="00130904" w:rsidRPr="00BF0169" w:rsidRDefault="00A96452">
          <w:pPr>
            <w:pStyle w:val="TOC2"/>
            <w:rPr>
              <w:rFonts w:asciiTheme="minorHAnsi" w:eastAsiaTheme="minorEastAsia" w:hAnsiTheme="minorHAnsi" w:cstheme="minorBidi"/>
              <w:noProof/>
              <w:sz w:val="22"/>
              <w:szCs w:val="22"/>
              <w:lang w:val="it-IT"/>
            </w:rPr>
          </w:pPr>
          <w:hyperlink w:anchor="_Toc116319646" w:history="1">
            <w:r w:rsidR="00130904" w:rsidRPr="00BF0169">
              <w:rPr>
                <w:rStyle w:val="Hyperlink"/>
                <w:noProof/>
                <w:lang w:val="it-IT"/>
              </w:rPr>
              <w:t>5.1.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Recepimento della direttiva PIF</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_Toc116319646 \h </w:instrText>
            </w:r>
            <w:r w:rsidR="00130904" w:rsidRPr="00BF0169">
              <w:rPr>
                <w:noProof/>
                <w:webHidden/>
                <w:lang w:val="it-IT"/>
              </w:rPr>
            </w:r>
            <w:r w:rsidR="00130904" w:rsidRPr="00BF0169">
              <w:rPr>
                <w:noProof/>
                <w:webHidden/>
                <w:lang w:val="it-IT"/>
              </w:rPr>
              <w:fldChar w:fldCharType="separate"/>
            </w:r>
            <w:r w:rsidR="00742EC4">
              <w:rPr>
                <w:noProof/>
                <w:webHidden/>
                <w:lang w:val="it-IT"/>
              </w:rPr>
              <w:t>27</w:t>
            </w:r>
            <w:r w:rsidR="00130904" w:rsidRPr="00BF0169">
              <w:rPr>
                <w:noProof/>
                <w:webHidden/>
                <w:lang w:val="it-IT"/>
              </w:rPr>
              <w:fldChar w:fldCharType="end"/>
            </w:r>
          </w:hyperlink>
        </w:p>
        <w:p w14:paraId="3EF542FE" w14:textId="0693F9AE" w:rsidR="00130904" w:rsidRPr="00BF0169" w:rsidRDefault="00A96452">
          <w:pPr>
            <w:pStyle w:val="TOC2"/>
            <w:rPr>
              <w:rFonts w:asciiTheme="minorHAnsi" w:eastAsiaTheme="minorEastAsia" w:hAnsiTheme="minorHAnsi" w:cstheme="minorBidi"/>
              <w:noProof/>
              <w:sz w:val="22"/>
              <w:szCs w:val="22"/>
              <w:lang w:val="it-IT"/>
            </w:rPr>
          </w:pPr>
          <w:hyperlink w:anchor="_Toc116319647" w:history="1">
            <w:r w:rsidR="00130904" w:rsidRPr="00BF0169">
              <w:rPr>
                <w:rStyle w:val="Hyperlink"/>
                <w:noProof/>
                <w:lang w:val="it-IT"/>
              </w:rPr>
              <w:t>5.2.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Antiriciclaggio</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_Toc116319647 \h </w:instrText>
            </w:r>
            <w:r w:rsidR="00130904" w:rsidRPr="00BF0169">
              <w:rPr>
                <w:noProof/>
                <w:webHidden/>
                <w:lang w:val="it-IT"/>
              </w:rPr>
            </w:r>
            <w:r w:rsidR="00130904" w:rsidRPr="00BF0169">
              <w:rPr>
                <w:noProof/>
                <w:webHidden/>
                <w:lang w:val="it-IT"/>
              </w:rPr>
              <w:fldChar w:fldCharType="separate"/>
            </w:r>
            <w:r w:rsidR="00742EC4">
              <w:rPr>
                <w:noProof/>
                <w:webHidden/>
                <w:lang w:val="it-IT"/>
              </w:rPr>
              <w:t>28</w:t>
            </w:r>
            <w:r w:rsidR="00130904" w:rsidRPr="00BF0169">
              <w:rPr>
                <w:noProof/>
                <w:webHidden/>
                <w:lang w:val="it-IT"/>
              </w:rPr>
              <w:fldChar w:fldCharType="end"/>
            </w:r>
          </w:hyperlink>
        </w:p>
        <w:p w14:paraId="6217CE28" w14:textId="773ACFA0" w:rsidR="00130904" w:rsidRPr="00BF0169" w:rsidRDefault="00A96452">
          <w:pPr>
            <w:pStyle w:val="TOC2"/>
            <w:rPr>
              <w:rFonts w:asciiTheme="minorHAnsi" w:eastAsiaTheme="minorEastAsia" w:hAnsiTheme="minorHAnsi" w:cstheme="minorBidi"/>
              <w:noProof/>
              <w:sz w:val="22"/>
              <w:szCs w:val="22"/>
              <w:lang w:val="it-IT"/>
            </w:rPr>
          </w:pPr>
          <w:hyperlink w:anchor="_Toc116319648" w:history="1">
            <w:r w:rsidR="00130904" w:rsidRPr="00BF0169">
              <w:rPr>
                <w:rStyle w:val="Hyperlink"/>
                <w:noProof/>
                <w:lang w:val="it-IT"/>
              </w:rPr>
              <w:t>5.3.</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Dispositivo per la ripresa e la resilienza</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_Toc116319648 \h </w:instrText>
            </w:r>
            <w:r w:rsidR="00130904" w:rsidRPr="00BF0169">
              <w:rPr>
                <w:noProof/>
                <w:webHidden/>
                <w:lang w:val="it-IT"/>
              </w:rPr>
            </w:r>
            <w:r w:rsidR="00130904" w:rsidRPr="00BF0169">
              <w:rPr>
                <w:noProof/>
                <w:webHidden/>
                <w:lang w:val="it-IT"/>
              </w:rPr>
              <w:fldChar w:fldCharType="separate"/>
            </w:r>
            <w:r w:rsidR="00742EC4">
              <w:rPr>
                <w:noProof/>
                <w:webHidden/>
                <w:lang w:val="it-IT"/>
              </w:rPr>
              <w:t>28</w:t>
            </w:r>
            <w:r w:rsidR="00130904" w:rsidRPr="00BF0169">
              <w:rPr>
                <w:noProof/>
                <w:webHidden/>
                <w:lang w:val="it-IT"/>
              </w:rPr>
              <w:fldChar w:fldCharType="end"/>
            </w:r>
          </w:hyperlink>
        </w:p>
        <w:p w14:paraId="464CC419" w14:textId="177587C8" w:rsidR="00130904" w:rsidRPr="00BF0169" w:rsidRDefault="00A96452">
          <w:pPr>
            <w:pStyle w:val="TOC2"/>
            <w:rPr>
              <w:rFonts w:asciiTheme="minorHAnsi" w:eastAsiaTheme="minorEastAsia" w:hAnsiTheme="minorHAnsi" w:cstheme="minorBidi"/>
              <w:noProof/>
              <w:sz w:val="22"/>
              <w:szCs w:val="22"/>
              <w:lang w:val="it-IT"/>
            </w:rPr>
          </w:pPr>
          <w:hyperlink w:anchor="_Toc116319649" w:history="1">
            <w:r w:rsidR="00130904" w:rsidRPr="00BF0169">
              <w:rPr>
                <w:rStyle w:val="Hyperlink"/>
                <w:noProof/>
                <w:lang w:val="it-IT"/>
              </w:rPr>
              <w:t>5.4.</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Protezione degli informatori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_Toc116319649 \h </w:instrText>
            </w:r>
            <w:r w:rsidR="00130904" w:rsidRPr="00BF0169">
              <w:rPr>
                <w:noProof/>
                <w:webHidden/>
                <w:lang w:val="it-IT"/>
              </w:rPr>
            </w:r>
            <w:r w:rsidR="00130904" w:rsidRPr="00BF0169">
              <w:rPr>
                <w:noProof/>
                <w:webHidden/>
                <w:lang w:val="it-IT"/>
              </w:rPr>
              <w:fldChar w:fldCharType="separate"/>
            </w:r>
            <w:r w:rsidR="00742EC4">
              <w:rPr>
                <w:noProof/>
                <w:webHidden/>
                <w:lang w:val="it-IT"/>
              </w:rPr>
              <w:t>30</w:t>
            </w:r>
            <w:r w:rsidR="00130904" w:rsidRPr="00BF0169">
              <w:rPr>
                <w:noProof/>
                <w:webHidden/>
                <w:lang w:val="it-IT"/>
              </w:rPr>
              <w:fldChar w:fldCharType="end"/>
            </w:r>
          </w:hyperlink>
        </w:p>
        <w:p w14:paraId="0A0BDEAF" w14:textId="4A423403" w:rsidR="00130904" w:rsidRPr="00BF0169" w:rsidRDefault="00A96452">
          <w:pPr>
            <w:pStyle w:val="TOC2"/>
            <w:rPr>
              <w:rFonts w:asciiTheme="minorHAnsi" w:eastAsiaTheme="minorEastAsia" w:hAnsiTheme="minorHAnsi" w:cstheme="minorBidi"/>
              <w:noProof/>
              <w:sz w:val="22"/>
              <w:szCs w:val="22"/>
              <w:lang w:val="it-IT"/>
            </w:rPr>
          </w:pPr>
          <w:hyperlink w:anchor="_Toc116319650" w:history="1">
            <w:r w:rsidR="00130904" w:rsidRPr="00BF0169">
              <w:rPr>
                <w:rStyle w:val="Hyperlink"/>
                <w:noProof/>
                <w:lang w:val="it-IT"/>
              </w:rPr>
              <w:t>5.5.</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Il pacchetto di strumenti per lo Stato di diritto</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_Toc116319650 \h </w:instrText>
            </w:r>
            <w:r w:rsidR="00130904" w:rsidRPr="00BF0169">
              <w:rPr>
                <w:noProof/>
                <w:webHidden/>
                <w:lang w:val="it-IT"/>
              </w:rPr>
            </w:r>
            <w:r w:rsidR="00130904" w:rsidRPr="00BF0169">
              <w:rPr>
                <w:noProof/>
                <w:webHidden/>
                <w:lang w:val="it-IT"/>
              </w:rPr>
              <w:fldChar w:fldCharType="separate"/>
            </w:r>
            <w:r w:rsidR="00742EC4">
              <w:rPr>
                <w:noProof/>
                <w:webHidden/>
                <w:lang w:val="it-IT"/>
              </w:rPr>
              <w:t>31</w:t>
            </w:r>
            <w:r w:rsidR="00130904" w:rsidRPr="00BF0169">
              <w:rPr>
                <w:noProof/>
                <w:webHidden/>
                <w:lang w:val="it-IT"/>
              </w:rPr>
              <w:fldChar w:fldCharType="end"/>
            </w:r>
          </w:hyperlink>
        </w:p>
        <w:p w14:paraId="046A8CC3" w14:textId="11A599E5" w:rsidR="00130904" w:rsidRPr="00BF0169" w:rsidRDefault="00A96452">
          <w:pPr>
            <w:pStyle w:val="TOC3"/>
            <w:rPr>
              <w:rFonts w:asciiTheme="minorHAnsi" w:eastAsiaTheme="minorEastAsia" w:hAnsiTheme="minorHAnsi" w:cstheme="minorBidi"/>
              <w:noProof/>
              <w:sz w:val="22"/>
              <w:szCs w:val="22"/>
              <w:lang w:val="it-IT"/>
            </w:rPr>
          </w:pPr>
          <w:hyperlink w:anchor="_Toc116319651" w:history="1">
            <w:r w:rsidR="00130904" w:rsidRPr="00BF0169">
              <w:rPr>
                <w:rStyle w:val="Hyperlink"/>
                <w:noProof/>
                <w:lang w:val="it-IT"/>
              </w:rPr>
              <w:t>5.5.1.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Relazione sullo Stato di diritto: principali conclusioni e punti salienti in relazione alla tutela degli interessi finanziari dell</w:t>
            </w:r>
            <w:r w:rsidR="00BF0169" w:rsidRPr="00BF0169">
              <w:rPr>
                <w:rStyle w:val="Hyperlink"/>
                <w:noProof/>
                <w:lang w:val="it-IT"/>
              </w:rPr>
              <w:t>'</w:t>
            </w:r>
            <w:r w:rsidR="00130904" w:rsidRPr="00BF0169">
              <w:rPr>
                <w:rStyle w:val="Hyperlink"/>
                <w:noProof/>
                <w:lang w:val="it-IT"/>
              </w:rPr>
              <w:t>UE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_Toc116319651 \h </w:instrText>
            </w:r>
            <w:r w:rsidR="00130904" w:rsidRPr="00BF0169">
              <w:rPr>
                <w:noProof/>
                <w:webHidden/>
                <w:lang w:val="it-IT"/>
              </w:rPr>
            </w:r>
            <w:r w:rsidR="00130904" w:rsidRPr="00BF0169">
              <w:rPr>
                <w:noProof/>
                <w:webHidden/>
                <w:lang w:val="it-IT"/>
              </w:rPr>
              <w:fldChar w:fldCharType="separate"/>
            </w:r>
            <w:r w:rsidR="00742EC4">
              <w:rPr>
                <w:noProof/>
                <w:webHidden/>
                <w:lang w:val="it-IT"/>
              </w:rPr>
              <w:t>31</w:t>
            </w:r>
            <w:r w:rsidR="00130904" w:rsidRPr="00BF0169">
              <w:rPr>
                <w:noProof/>
                <w:webHidden/>
                <w:lang w:val="it-IT"/>
              </w:rPr>
              <w:fldChar w:fldCharType="end"/>
            </w:r>
          </w:hyperlink>
        </w:p>
        <w:p w14:paraId="06A6B643" w14:textId="28B362CD" w:rsidR="00130904" w:rsidRPr="00BF0169" w:rsidRDefault="00A96452">
          <w:pPr>
            <w:pStyle w:val="TOC3"/>
            <w:rPr>
              <w:rFonts w:asciiTheme="minorHAnsi" w:eastAsiaTheme="minorEastAsia" w:hAnsiTheme="minorHAnsi" w:cstheme="minorBidi"/>
              <w:noProof/>
              <w:sz w:val="22"/>
              <w:szCs w:val="22"/>
              <w:lang w:val="it-IT"/>
            </w:rPr>
          </w:pPr>
          <w:hyperlink w:anchor="_Toc116319652" w:history="1">
            <w:r w:rsidR="00130904" w:rsidRPr="00BF0169">
              <w:rPr>
                <w:rStyle w:val="Hyperlink"/>
                <w:noProof/>
                <w:lang w:val="it-IT"/>
              </w:rPr>
              <w:t>5.5.2.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Progressi compiuti nell</w:t>
            </w:r>
            <w:r w:rsidR="00BF0169" w:rsidRPr="00BF0169">
              <w:rPr>
                <w:rStyle w:val="Hyperlink"/>
                <w:noProof/>
                <w:lang w:val="it-IT"/>
              </w:rPr>
              <w:t>'</w:t>
            </w:r>
            <w:r w:rsidR="00130904" w:rsidRPr="00BF0169">
              <w:rPr>
                <w:rStyle w:val="Hyperlink"/>
                <w:noProof/>
                <w:lang w:val="it-IT"/>
              </w:rPr>
              <w:t>attuazione del regolamento dell</w:t>
            </w:r>
            <w:r w:rsidR="00BF0169" w:rsidRPr="00BF0169">
              <w:rPr>
                <w:rStyle w:val="Hyperlink"/>
                <w:noProof/>
                <w:lang w:val="it-IT"/>
              </w:rPr>
              <w:t>'</w:t>
            </w:r>
            <w:r w:rsidR="00130904" w:rsidRPr="00BF0169">
              <w:rPr>
                <w:rStyle w:val="Hyperlink"/>
                <w:noProof/>
                <w:lang w:val="it-IT"/>
              </w:rPr>
              <w:t>UE relativo a un regime generale di condizionalità per la protezione del bilancio dell</w:t>
            </w:r>
            <w:r w:rsidR="00BF0169" w:rsidRPr="00BF0169">
              <w:rPr>
                <w:rStyle w:val="Hyperlink"/>
                <w:noProof/>
                <w:lang w:val="it-IT"/>
              </w:rPr>
              <w:t>'</w:t>
            </w:r>
            <w:r w:rsidR="00130904" w:rsidRPr="00BF0169">
              <w:rPr>
                <w:rStyle w:val="Hyperlink"/>
                <w:noProof/>
                <w:lang w:val="it-IT"/>
              </w:rPr>
              <w:t>Unione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_Toc116319652 \h </w:instrText>
            </w:r>
            <w:r w:rsidR="00130904" w:rsidRPr="00BF0169">
              <w:rPr>
                <w:noProof/>
                <w:webHidden/>
                <w:lang w:val="it-IT"/>
              </w:rPr>
            </w:r>
            <w:r w:rsidR="00130904" w:rsidRPr="00BF0169">
              <w:rPr>
                <w:noProof/>
                <w:webHidden/>
                <w:lang w:val="it-IT"/>
              </w:rPr>
              <w:fldChar w:fldCharType="separate"/>
            </w:r>
            <w:r w:rsidR="00742EC4">
              <w:rPr>
                <w:noProof/>
                <w:webHidden/>
                <w:lang w:val="it-IT"/>
              </w:rPr>
              <w:t>31</w:t>
            </w:r>
            <w:r w:rsidR="00130904" w:rsidRPr="00BF0169">
              <w:rPr>
                <w:noProof/>
                <w:webHidden/>
                <w:lang w:val="it-IT"/>
              </w:rPr>
              <w:fldChar w:fldCharType="end"/>
            </w:r>
          </w:hyperlink>
        </w:p>
        <w:p w14:paraId="44AADC44" w14:textId="035368EA" w:rsidR="00130904" w:rsidRPr="00BF0169" w:rsidRDefault="00A96452">
          <w:pPr>
            <w:pStyle w:val="TOC2"/>
            <w:rPr>
              <w:rFonts w:asciiTheme="minorHAnsi" w:eastAsiaTheme="minorEastAsia" w:hAnsiTheme="minorHAnsi" w:cstheme="minorBidi"/>
              <w:noProof/>
              <w:sz w:val="22"/>
              <w:szCs w:val="22"/>
              <w:lang w:val="it-IT"/>
            </w:rPr>
          </w:pPr>
          <w:hyperlink w:anchor="_Toc116319653" w:history="1">
            <w:r w:rsidR="00130904" w:rsidRPr="00BF0169">
              <w:rPr>
                <w:rStyle w:val="Hyperlink"/>
                <w:noProof/>
                <w:lang w:val="it-IT"/>
              </w:rPr>
              <w:t>5.6.</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Politica anticorruzione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_Toc116319653 \h </w:instrText>
            </w:r>
            <w:r w:rsidR="00130904" w:rsidRPr="00BF0169">
              <w:rPr>
                <w:noProof/>
                <w:webHidden/>
                <w:lang w:val="it-IT"/>
              </w:rPr>
            </w:r>
            <w:r w:rsidR="00130904" w:rsidRPr="00BF0169">
              <w:rPr>
                <w:noProof/>
                <w:webHidden/>
                <w:lang w:val="it-IT"/>
              </w:rPr>
              <w:fldChar w:fldCharType="separate"/>
            </w:r>
            <w:r w:rsidR="00742EC4">
              <w:rPr>
                <w:noProof/>
                <w:webHidden/>
                <w:lang w:val="it-IT"/>
              </w:rPr>
              <w:t>32</w:t>
            </w:r>
            <w:r w:rsidR="00130904" w:rsidRPr="00BF0169">
              <w:rPr>
                <w:noProof/>
                <w:webHidden/>
                <w:lang w:val="it-IT"/>
              </w:rPr>
              <w:fldChar w:fldCharType="end"/>
            </w:r>
          </w:hyperlink>
        </w:p>
        <w:p w14:paraId="69D0F1D2" w14:textId="7E32BE5D" w:rsidR="00130904" w:rsidRPr="00BF0169" w:rsidRDefault="00A96452">
          <w:pPr>
            <w:pStyle w:val="TOC1"/>
            <w:rPr>
              <w:rFonts w:asciiTheme="minorHAnsi" w:eastAsiaTheme="minorEastAsia" w:hAnsiTheme="minorHAnsi" w:cstheme="minorBidi"/>
              <w:b w:val="0"/>
              <w:noProof/>
              <w:sz w:val="22"/>
              <w:szCs w:val="22"/>
              <w:lang w:val="it-IT"/>
            </w:rPr>
          </w:pPr>
          <w:hyperlink w:anchor="_Toc116319654" w:history="1">
            <w:r w:rsidR="00130904" w:rsidRPr="00BF0169">
              <w:rPr>
                <w:rStyle w:val="Hyperlink"/>
                <w:noProof/>
                <w:lang w:val="it-IT"/>
              </w:rPr>
              <w:t>6.</w:t>
            </w:r>
            <w:r w:rsidR="00130904" w:rsidRPr="00BF0169">
              <w:rPr>
                <w:rFonts w:asciiTheme="minorHAnsi" w:eastAsiaTheme="minorEastAsia" w:hAnsiTheme="minorHAnsi" w:cstheme="minorBidi"/>
                <w:b w:val="0"/>
                <w:noProof/>
                <w:sz w:val="22"/>
                <w:szCs w:val="22"/>
                <w:lang w:val="it-IT"/>
              </w:rPr>
              <w:tab/>
            </w:r>
            <w:r w:rsidR="00130904" w:rsidRPr="00BF0169">
              <w:rPr>
                <w:rStyle w:val="Hyperlink"/>
                <w:noProof/>
                <w:lang w:val="it-IT"/>
              </w:rPr>
              <w:t>I risultati delle attività di controllo</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_Toc116319654 \h </w:instrText>
            </w:r>
            <w:r w:rsidR="00130904" w:rsidRPr="00BF0169">
              <w:rPr>
                <w:noProof/>
                <w:webHidden/>
                <w:lang w:val="it-IT"/>
              </w:rPr>
            </w:r>
            <w:r w:rsidR="00130904" w:rsidRPr="00BF0169">
              <w:rPr>
                <w:noProof/>
                <w:webHidden/>
                <w:lang w:val="it-IT"/>
              </w:rPr>
              <w:fldChar w:fldCharType="separate"/>
            </w:r>
            <w:r w:rsidR="00742EC4">
              <w:rPr>
                <w:noProof/>
                <w:webHidden/>
                <w:lang w:val="it-IT"/>
              </w:rPr>
              <w:t>32</w:t>
            </w:r>
            <w:r w:rsidR="00130904" w:rsidRPr="00BF0169">
              <w:rPr>
                <w:noProof/>
                <w:webHidden/>
                <w:lang w:val="it-IT"/>
              </w:rPr>
              <w:fldChar w:fldCharType="end"/>
            </w:r>
          </w:hyperlink>
        </w:p>
        <w:p w14:paraId="0FD9EC52" w14:textId="2FA7AD46" w:rsidR="00130904" w:rsidRPr="00BF0169" w:rsidRDefault="00A96452">
          <w:pPr>
            <w:pStyle w:val="TOC2"/>
            <w:rPr>
              <w:rFonts w:asciiTheme="minorHAnsi" w:eastAsiaTheme="minorEastAsia" w:hAnsiTheme="minorHAnsi" w:cstheme="minorBidi"/>
              <w:noProof/>
              <w:sz w:val="22"/>
              <w:szCs w:val="22"/>
              <w:lang w:val="it-IT"/>
            </w:rPr>
          </w:pPr>
          <w:hyperlink w:anchor="_Toc116319655" w:history="1">
            <w:r w:rsidR="00130904" w:rsidRPr="00BF0169">
              <w:rPr>
                <w:rStyle w:val="Hyperlink"/>
                <w:noProof/>
                <w:lang w:val="it-IT"/>
              </w:rPr>
              <w:t>6.1.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Fonti dei dati e metodologia</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_Toc116319655 \h </w:instrText>
            </w:r>
            <w:r w:rsidR="00130904" w:rsidRPr="00BF0169">
              <w:rPr>
                <w:noProof/>
                <w:webHidden/>
                <w:lang w:val="it-IT"/>
              </w:rPr>
            </w:r>
            <w:r w:rsidR="00130904" w:rsidRPr="00BF0169">
              <w:rPr>
                <w:noProof/>
                <w:webHidden/>
                <w:lang w:val="it-IT"/>
              </w:rPr>
              <w:fldChar w:fldCharType="separate"/>
            </w:r>
            <w:r w:rsidR="00742EC4">
              <w:rPr>
                <w:noProof/>
                <w:webHidden/>
                <w:lang w:val="it-IT"/>
              </w:rPr>
              <w:t>32</w:t>
            </w:r>
            <w:r w:rsidR="00130904" w:rsidRPr="00BF0169">
              <w:rPr>
                <w:noProof/>
                <w:webHidden/>
                <w:lang w:val="it-IT"/>
              </w:rPr>
              <w:fldChar w:fldCharType="end"/>
            </w:r>
          </w:hyperlink>
        </w:p>
        <w:p w14:paraId="364BAFE6" w14:textId="5A9D69E7" w:rsidR="00130904" w:rsidRPr="00BF0169" w:rsidRDefault="00A96452">
          <w:pPr>
            <w:pStyle w:val="TOC2"/>
            <w:rPr>
              <w:rFonts w:asciiTheme="minorHAnsi" w:eastAsiaTheme="minorEastAsia" w:hAnsiTheme="minorHAnsi" w:cstheme="minorBidi"/>
              <w:noProof/>
              <w:sz w:val="22"/>
              <w:szCs w:val="22"/>
              <w:lang w:val="it-IT"/>
            </w:rPr>
          </w:pPr>
          <w:hyperlink w:anchor="_Toc116319656" w:history="1">
            <w:r w:rsidR="00130904" w:rsidRPr="00BF0169">
              <w:rPr>
                <w:rStyle w:val="Hyperlink"/>
                <w:noProof/>
                <w:lang w:val="it-IT"/>
              </w:rPr>
              <w:t>6.2.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Entrate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_Toc116319656 \h </w:instrText>
            </w:r>
            <w:r w:rsidR="00130904" w:rsidRPr="00BF0169">
              <w:rPr>
                <w:noProof/>
                <w:webHidden/>
                <w:lang w:val="it-IT"/>
              </w:rPr>
            </w:r>
            <w:r w:rsidR="00130904" w:rsidRPr="00BF0169">
              <w:rPr>
                <w:noProof/>
                <w:webHidden/>
                <w:lang w:val="it-IT"/>
              </w:rPr>
              <w:fldChar w:fldCharType="separate"/>
            </w:r>
            <w:r w:rsidR="00742EC4">
              <w:rPr>
                <w:noProof/>
                <w:webHidden/>
                <w:lang w:val="it-IT"/>
              </w:rPr>
              <w:t>34</w:t>
            </w:r>
            <w:r w:rsidR="00130904" w:rsidRPr="00BF0169">
              <w:rPr>
                <w:noProof/>
                <w:webHidden/>
                <w:lang w:val="it-IT"/>
              </w:rPr>
              <w:fldChar w:fldCharType="end"/>
            </w:r>
          </w:hyperlink>
        </w:p>
        <w:p w14:paraId="10A7E78B" w14:textId="2EF86B73" w:rsidR="00130904" w:rsidRPr="00BF0169" w:rsidRDefault="00A96452">
          <w:pPr>
            <w:pStyle w:val="TOC3"/>
            <w:rPr>
              <w:rFonts w:asciiTheme="minorHAnsi" w:eastAsiaTheme="minorEastAsia" w:hAnsiTheme="minorHAnsi" w:cstheme="minorBidi"/>
              <w:noProof/>
              <w:sz w:val="22"/>
              <w:szCs w:val="22"/>
              <w:lang w:val="it-IT"/>
            </w:rPr>
          </w:pPr>
          <w:hyperlink w:anchor="_Toc116319657" w:history="1">
            <w:r w:rsidR="00130904" w:rsidRPr="00BF0169">
              <w:rPr>
                <w:rStyle w:val="Hyperlink"/>
                <w:noProof/>
                <w:lang w:val="it-IT"/>
              </w:rPr>
              <w:t>6.2.1.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Frodi in materia di IVA</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_Toc116319657 \h </w:instrText>
            </w:r>
            <w:r w:rsidR="00130904" w:rsidRPr="00BF0169">
              <w:rPr>
                <w:noProof/>
                <w:webHidden/>
                <w:lang w:val="it-IT"/>
              </w:rPr>
            </w:r>
            <w:r w:rsidR="00130904" w:rsidRPr="00BF0169">
              <w:rPr>
                <w:noProof/>
                <w:webHidden/>
                <w:lang w:val="it-IT"/>
              </w:rPr>
              <w:fldChar w:fldCharType="separate"/>
            </w:r>
            <w:r w:rsidR="00742EC4">
              <w:rPr>
                <w:noProof/>
                <w:webHidden/>
                <w:lang w:val="it-IT"/>
              </w:rPr>
              <w:t>34</w:t>
            </w:r>
            <w:r w:rsidR="00130904" w:rsidRPr="00BF0169">
              <w:rPr>
                <w:noProof/>
                <w:webHidden/>
                <w:lang w:val="it-IT"/>
              </w:rPr>
              <w:fldChar w:fldCharType="end"/>
            </w:r>
          </w:hyperlink>
        </w:p>
        <w:p w14:paraId="146A82EF" w14:textId="11512F23" w:rsidR="00130904" w:rsidRPr="00BF0169" w:rsidRDefault="00A96452">
          <w:pPr>
            <w:pStyle w:val="TOC3"/>
            <w:rPr>
              <w:rFonts w:asciiTheme="minorHAnsi" w:eastAsiaTheme="minorEastAsia" w:hAnsiTheme="minorHAnsi" w:cstheme="minorBidi"/>
              <w:noProof/>
              <w:sz w:val="22"/>
              <w:szCs w:val="22"/>
              <w:lang w:val="it-IT"/>
            </w:rPr>
          </w:pPr>
          <w:hyperlink w:anchor="_Toc116319658" w:history="1">
            <w:r w:rsidR="00130904" w:rsidRPr="00BF0169">
              <w:rPr>
                <w:rStyle w:val="Hyperlink"/>
                <w:noProof/>
                <w:lang w:val="it-IT"/>
              </w:rPr>
              <w:t>6.2.2.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Risorse proprie tradizionali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_Toc116319658 \h </w:instrText>
            </w:r>
            <w:r w:rsidR="00130904" w:rsidRPr="00BF0169">
              <w:rPr>
                <w:noProof/>
                <w:webHidden/>
                <w:lang w:val="it-IT"/>
              </w:rPr>
            </w:r>
            <w:r w:rsidR="00130904" w:rsidRPr="00BF0169">
              <w:rPr>
                <w:noProof/>
                <w:webHidden/>
                <w:lang w:val="it-IT"/>
              </w:rPr>
              <w:fldChar w:fldCharType="separate"/>
            </w:r>
            <w:r w:rsidR="00742EC4">
              <w:rPr>
                <w:noProof/>
                <w:webHidden/>
                <w:lang w:val="it-IT"/>
              </w:rPr>
              <w:t>35</w:t>
            </w:r>
            <w:r w:rsidR="00130904" w:rsidRPr="00BF0169">
              <w:rPr>
                <w:noProof/>
                <w:webHidden/>
                <w:lang w:val="it-IT"/>
              </w:rPr>
              <w:fldChar w:fldCharType="end"/>
            </w:r>
          </w:hyperlink>
        </w:p>
        <w:p w14:paraId="552DD095" w14:textId="60D84D51" w:rsidR="00130904" w:rsidRPr="00BF0169" w:rsidRDefault="00A96452">
          <w:pPr>
            <w:pStyle w:val="TOC2"/>
            <w:rPr>
              <w:rFonts w:asciiTheme="minorHAnsi" w:eastAsiaTheme="minorEastAsia" w:hAnsiTheme="minorHAnsi" w:cstheme="minorBidi"/>
              <w:noProof/>
              <w:sz w:val="22"/>
              <w:szCs w:val="22"/>
              <w:lang w:val="it-IT"/>
            </w:rPr>
          </w:pPr>
          <w:hyperlink w:anchor="_Toc116319659" w:history="1">
            <w:r w:rsidR="00130904" w:rsidRPr="00BF0169">
              <w:rPr>
                <w:rStyle w:val="Hyperlink"/>
                <w:noProof/>
                <w:lang w:val="it-IT"/>
              </w:rPr>
              <w:t>6.3.</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Spese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_Toc116319659 \h </w:instrText>
            </w:r>
            <w:r w:rsidR="00130904" w:rsidRPr="00BF0169">
              <w:rPr>
                <w:noProof/>
                <w:webHidden/>
                <w:lang w:val="it-IT"/>
              </w:rPr>
            </w:r>
            <w:r w:rsidR="00130904" w:rsidRPr="00BF0169">
              <w:rPr>
                <w:noProof/>
                <w:webHidden/>
                <w:lang w:val="it-IT"/>
              </w:rPr>
              <w:fldChar w:fldCharType="separate"/>
            </w:r>
            <w:r w:rsidR="00742EC4">
              <w:rPr>
                <w:noProof/>
                <w:webHidden/>
                <w:lang w:val="it-IT"/>
              </w:rPr>
              <w:t>37</w:t>
            </w:r>
            <w:r w:rsidR="00130904" w:rsidRPr="00BF0169">
              <w:rPr>
                <w:noProof/>
                <w:webHidden/>
                <w:lang w:val="it-IT"/>
              </w:rPr>
              <w:fldChar w:fldCharType="end"/>
            </w:r>
          </w:hyperlink>
        </w:p>
        <w:p w14:paraId="59A7C216" w14:textId="57317F13" w:rsidR="00130904" w:rsidRPr="00BF0169" w:rsidRDefault="00A96452">
          <w:pPr>
            <w:pStyle w:val="TOC3"/>
            <w:rPr>
              <w:rFonts w:asciiTheme="minorHAnsi" w:eastAsiaTheme="minorEastAsia" w:hAnsiTheme="minorHAnsi" w:cstheme="minorBidi"/>
              <w:noProof/>
              <w:sz w:val="22"/>
              <w:szCs w:val="22"/>
              <w:lang w:val="it-IT"/>
            </w:rPr>
          </w:pPr>
          <w:hyperlink w:anchor="_Toc116319660" w:history="1">
            <w:r w:rsidR="00130904" w:rsidRPr="00BF0169">
              <w:rPr>
                <w:rStyle w:val="Hyperlink"/>
                <w:noProof/>
                <w:lang w:val="it-IT"/>
              </w:rPr>
              <w:t>6.3.1.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Gestione concorrente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_Toc116319660 \h </w:instrText>
            </w:r>
            <w:r w:rsidR="00130904" w:rsidRPr="00BF0169">
              <w:rPr>
                <w:noProof/>
                <w:webHidden/>
                <w:lang w:val="it-IT"/>
              </w:rPr>
            </w:r>
            <w:r w:rsidR="00130904" w:rsidRPr="00BF0169">
              <w:rPr>
                <w:noProof/>
                <w:webHidden/>
                <w:lang w:val="it-IT"/>
              </w:rPr>
              <w:fldChar w:fldCharType="separate"/>
            </w:r>
            <w:r w:rsidR="00742EC4">
              <w:rPr>
                <w:noProof/>
                <w:webHidden/>
                <w:lang w:val="it-IT"/>
              </w:rPr>
              <w:t>38</w:t>
            </w:r>
            <w:r w:rsidR="00130904" w:rsidRPr="00BF0169">
              <w:rPr>
                <w:noProof/>
                <w:webHidden/>
                <w:lang w:val="it-IT"/>
              </w:rPr>
              <w:fldChar w:fldCharType="end"/>
            </w:r>
          </w:hyperlink>
        </w:p>
        <w:p w14:paraId="13CDBDA8" w14:textId="202D1E01" w:rsidR="00130904" w:rsidRPr="00BF0169" w:rsidRDefault="00A96452">
          <w:pPr>
            <w:pStyle w:val="TOC3"/>
            <w:rPr>
              <w:rFonts w:asciiTheme="minorHAnsi" w:eastAsiaTheme="minorEastAsia" w:hAnsiTheme="minorHAnsi" w:cstheme="minorBidi"/>
              <w:noProof/>
              <w:sz w:val="22"/>
              <w:szCs w:val="22"/>
              <w:lang w:val="it-IT"/>
            </w:rPr>
          </w:pPr>
          <w:hyperlink w:anchor="_Toc116319661" w:history="1">
            <w:r w:rsidR="00130904" w:rsidRPr="00BF0169">
              <w:rPr>
                <w:rStyle w:val="Hyperlink"/>
                <w:noProof/>
                <w:lang w:val="it-IT"/>
              </w:rPr>
              <w:t>6.3.2.</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Gestione indiretta</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_Toc116319661 \h </w:instrText>
            </w:r>
            <w:r w:rsidR="00130904" w:rsidRPr="00BF0169">
              <w:rPr>
                <w:noProof/>
                <w:webHidden/>
                <w:lang w:val="it-IT"/>
              </w:rPr>
            </w:r>
            <w:r w:rsidR="00130904" w:rsidRPr="00BF0169">
              <w:rPr>
                <w:noProof/>
                <w:webHidden/>
                <w:lang w:val="it-IT"/>
              </w:rPr>
              <w:fldChar w:fldCharType="separate"/>
            </w:r>
            <w:r w:rsidR="00742EC4">
              <w:rPr>
                <w:noProof/>
                <w:webHidden/>
                <w:lang w:val="it-IT"/>
              </w:rPr>
              <w:t>43</w:t>
            </w:r>
            <w:r w:rsidR="00130904" w:rsidRPr="00BF0169">
              <w:rPr>
                <w:noProof/>
                <w:webHidden/>
                <w:lang w:val="it-IT"/>
              </w:rPr>
              <w:fldChar w:fldCharType="end"/>
            </w:r>
          </w:hyperlink>
        </w:p>
        <w:p w14:paraId="56F18C94" w14:textId="34C39768" w:rsidR="00130904" w:rsidRPr="00BF0169" w:rsidRDefault="00A96452">
          <w:pPr>
            <w:pStyle w:val="TOC3"/>
            <w:rPr>
              <w:rFonts w:asciiTheme="minorHAnsi" w:eastAsiaTheme="minorEastAsia" w:hAnsiTheme="minorHAnsi" w:cstheme="minorBidi"/>
              <w:noProof/>
              <w:sz w:val="22"/>
              <w:szCs w:val="22"/>
              <w:lang w:val="it-IT"/>
            </w:rPr>
          </w:pPr>
          <w:hyperlink w:anchor="_Toc116319662" w:history="1">
            <w:r w:rsidR="00130904" w:rsidRPr="00BF0169">
              <w:rPr>
                <w:rStyle w:val="Hyperlink"/>
                <w:noProof/>
                <w:lang w:val="it-IT"/>
              </w:rPr>
              <w:t>6.3.3.</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Gestione diretta</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_Toc116319662 \h </w:instrText>
            </w:r>
            <w:r w:rsidR="00130904" w:rsidRPr="00BF0169">
              <w:rPr>
                <w:noProof/>
                <w:webHidden/>
                <w:lang w:val="it-IT"/>
              </w:rPr>
            </w:r>
            <w:r w:rsidR="00130904" w:rsidRPr="00BF0169">
              <w:rPr>
                <w:noProof/>
                <w:webHidden/>
                <w:lang w:val="it-IT"/>
              </w:rPr>
              <w:fldChar w:fldCharType="separate"/>
            </w:r>
            <w:r w:rsidR="00742EC4">
              <w:rPr>
                <w:noProof/>
                <w:webHidden/>
                <w:lang w:val="it-IT"/>
              </w:rPr>
              <w:t>43</w:t>
            </w:r>
            <w:r w:rsidR="00130904" w:rsidRPr="00BF0169">
              <w:rPr>
                <w:noProof/>
                <w:webHidden/>
                <w:lang w:val="it-IT"/>
              </w:rPr>
              <w:fldChar w:fldCharType="end"/>
            </w:r>
          </w:hyperlink>
        </w:p>
        <w:p w14:paraId="0BAAEC99" w14:textId="0DB6BFB5" w:rsidR="00130904" w:rsidRPr="00BF0169" w:rsidRDefault="00A96452">
          <w:pPr>
            <w:pStyle w:val="TOC1"/>
            <w:rPr>
              <w:rFonts w:asciiTheme="minorHAnsi" w:eastAsiaTheme="minorEastAsia" w:hAnsiTheme="minorHAnsi" w:cstheme="minorBidi"/>
              <w:b w:val="0"/>
              <w:noProof/>
              <w:sz w:val="22"/>
              <w:szCs w:val="22"/>
              <w:lang w:val="it-IT"/>
            </w:rPr>
          </w:pPr>
          <w:hyperlink w:anchor="_Toc116319663" w:history="1">
            <w:r w:rsidR="00130904" w:rsidRPr="00BF0169">
              <w:rPr>
                <w:rStyle w:val="Hyperlink"/>
                <w:noProof/>
                <w:lang w:val="it-IT"/>
              </w:rPr>
              <w:t>7.</w:t>
            </w:r>
            <w:r w:rsidR="00130904" w:rsidRPr="00BF0169">
              <w:rPr>
                <w:rFonts w:asciiTheme="minorHAnsi" w:eastAsiaTheme="minorEastAsia" w:hAnsiTheme="minorHAnsi" w:cstheme="minorBidi"/>
                <w:b w:val="0"/>
                <w:noProof/>
                <w:sz w:val="22"/>
                <w:szCs w:val="22"/>
                <w:lang w:val="it-IT"/>
              </w:rPr>
              <w:tab/>
            </w:r>
            <w:r w:rsidR="00130904" w:rsidRPr="00BF0169">
              <w:rPr>
                <w:rStyle w:val="Hyperlink"/>
                <w:noProof/>
                <w:lang w:val="it-IT"/>
              </w:rPr>
              <w:t>Prospettive per il 2022, conclusioni e raccomandazioni</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_Toc116319663 \h </w:instrText>
            </w:r>
            <w:r w:rsidR="00130904" w:rsidRPr="00BF0169">
              <w:rPr>
                <w:noProof/>
                <w:webHidden/>
                <w:lang w:val="it-IT"/>
              </w:rPr>
            </w:r>
            <w:r w:rsidR="00130904" w:rsidRPr="00BF0169">
              <w:rPr>
                <w:noProof/>
                <w:webHidden/>
                <w:lang w:val="it-IT"/>
              </w:rPr>
              <w:fldChar w:fldCharType="separate"/>
            </w:r>
            <w:r w:rsidR="00742EC4">
              <w:rPr>
                <w:noProof/>
                <w:webHidden/>
                <w:lang w:val="it-IT"/>
              </w:rPr>
              <w:t>43</w:t>
            </w:r>
            <w:r w:rsidR="00130904" w:rsidRPr="00BF0169">
              <w:rPr>
                <w:noProof/>
                <w:webHidden/>
                <w:lang w:val="it-IT"/>
              </w:rPr>
              <w:fldChar w:fldCharType="end"/>
            </w:r>
          </w:hyperlink>
        </w:p>
        <w:p w14:paraId="37437376" w14:textId="420CE812" w:rsidR="00130904" w:rsidRPr="00BF0169" w:rsidRDefault="00A96452">
          <w:pPr>
            <w:pStyle w:val="TOC2"/>
            <w:rPr>
              <w:rFonts w:asciiTheme="minorHAnsi" w:eastAsiaTheme="minorEastAsia" w:hAnsiTheme="minorHAnsi" w:cstheme="minorBidi"/>
              <w:noProof/>
              <w:sz w:val="22"/>
              <w:szCs w:val="22"/>
              <w:lang w:val="it-IT"/>
            </w:rPr>
          </w:pPr>
          <w:hyperlink w:anchor="_Toc116319664" w:history="1">
            <w:r w:rsidR="00130904" w:rsidRPr="00BF0169">
              <w:rPr>
                <w:rStyle w:val="Hyperlink"/>
                <w:noProof/>
                <w:lang w:val="it-IT"/>
              </w:rPr>
              <w:t>7.1.</w:t>
            </w:r>
            <w:r w:rsidR="00130904" w:rsidRPr="00BF0169">
              <w:rPr>
                <w:rFonts w:asciiTheme="minorHAnsi" w:eastAsiaTheme="minorEastAsia" w:hAnsiTheme="minorHAnsi" w:cstheme="minorBidi"/>
                <w:noProof/>
                <w:sz w:val="22"/>
                <w:szCs w:val="22"/>
                <w:lang w:val="it-IT"/>
              </w:rPr>
              <w:tab/>
            </w:r>
            <w:r w:rsidR="00130904" w:rsidRPr="00BF0169">
              <w:rPr>
                <w:rStyle w:val="Hyperlink"/>
                <w:noProof/>
                <w:lang w:val="it-IT"/>
              </w:rPr>
              <w:t>Il settore antifrode dell</w:t>
            </w:r>
            <w:r w:rsidR="00BF0169" w:rsidRPr="00BF0169">
              <w:rPr>
                <w:rStyle w:val="Hyperlink"/>
                <w:noProof/>
                <w:lang w:val="it-IT"/>
              </w:rPr>
              <w:t>'</w:t>
            </w:r>
            <w:r w:rsidR="00130904" w:rsidRPr="00BF0169">
              <w:rPr>
                <w:rStyle w:val="Hyperlink"/>
                <w:noProof/>
                <w:lang w:val="it-IT"/>
              </w:rPr>
              <w:t>UE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_Toc116319664 \h </w:instrText>
            </w:r>
            <w:r w:rsidR="00130904" w:rsidRPr="00BF0169">
              <w:rPr>
                <w:noProof/>
                <w:webHidden/>
                <w:lang w:val="it-IT"/>
              </w:rPr>
            </w:r>
            <w:r w:rsidR="00130904" w:rsidRPr="00BF0169">
              <w:rPr>
                <w:noProof/>
                <w:webHidden/>
                <w:lang w:val="it-IT"/>
              </w:rPr>
              <w:fldChar w:fldCharType="separate"/>
            </w:r>
            <w:r w:rsidR="00742EC4">
              <w:rPr>
                <w:noProof/>
                <w:webHidden/>
                <w:lang w:val="it-IT"/>
              </w:rPr>
              <w:t>44</w:t>
            </w:r>
            <w:r w:rsidR="00130904" w:rsidRPr="00BF0169">
              <w:rPr>
                <w:noProof/>
                <w:webHidden/>
                <w:lang w:val="it-IT"/>
              </w:rPr>
              <w:fldChar w:fldCharType="end"/>
            </w:r>
          </w:hyperlink>
        </w:p>
        <w:p w14:paraId="31B15374" w14:textId="7DB9AC5C" w:rsidR="00130904" w:rsidRPr="00BF0169" w:rsidRDefault="00A96452">
          <w:pPr>
            <w:pStyle w:val="TOC2"/>
            <w:rPr>
              <w:rFonts w:asciiTheme="minorHAnsi" w:eastAsiaTheme="minorEastAsia" w:hAnsiTheme="minorHAnsi" w:cstheme="minorBidi"/>
              <w:noProof/>
              <w:sz w:val="22"/>
              <w:szCs w:val="22"/>
              <w:lang w:val="it-IT"/>
            </w:rPr>
          </w:pPr>
          <w:hyperlink w:anchor="_Toc116319665" w:history="1">
            <w:r w:rsidR="00130904" w:rsidRPr="00BF0169">
              <w:rPr>
                <w:rStyle w:val="Hyperlink"/>
                <w:noProof/>
                <w:lang w:val="it-IT"/>
              </w:rPr>
              <w:t>7.2.</w:t>
            </w:r>
            <w:r w:rsidR="00130904" w:rsidRPr="00BF0169">
              <w:rPr>
                <w:rFonts w:asciiTheme="minorHAnsi" w:eastAsiaTheme="minorEastAsia" w:hAnsiTheme="minorHAnsi" w:cstheme="minorBidi"/>
                <w:noProof/>
                <w:sz w:val="22"/>
                <w:szCs w:val="22"/>
                <w:lang w:val="it-IT"/>
              </w:rPr>
              <w:tab/>
            </w:r>
            <w:r w:rsidR="00130904" w:rsidRPr="00BF0169">
              <w:rPr>
                <w:rStyle w:val="Hyperlink"/>
                <w:noProof/>
                <w:shd w:val="clear" w:color="auto" w:fill="FEFFFF"/>
                <w:lang w:val="it-IT"/>
              </w:rPr>
              <w:t>Trasparenza, gestione del rischio di frode e digitalizzazione della lotta contro la frode</w:t>
            </w:r>
            <w:r w:rsidR="00130904" w:rsidRPr="00BF0169">
              <w:rPr>
                <w:noProof/>
                <w:webHidden/>
                <w:lang w:val="it-IT"/>
              </w:rPr>
              <w:tab/>
            </w:r>
            <w:r w:rsidR="00130904" w:rsidRPr="00BF0169">
              <w:rPr>
                <w:noProof/>
                <w:webHidden/>
                <w:lang w:val="it-IT"/>
              </w:rPr>
              <w:fldChar w:fldCharType="begin"/>
            </w:r>
            <w:r w:rsidR="00130904" w:rsidRPr="00BF0169">
              <w:rPr>
                <w:noProof/>
                <w:webHidden/>
                <w:lang w:val="it-IT"/>
              </w:rPr>
              <w:instrText xml:space="preserve"> PAGEREF _Toc116319665 \h </w:instrText>
            </w:r>
            <w:r w:rsidR="00130904" w:rsidRPr="00BF0169">
              <w:rPr>
                <w:noProof/>
                <w:webHidden/>
                <w:lang w:val="it-IT"/>
              </w:rPr>
            </w:r>
            <w:r w:rsidR="00130904" w:rsidRPr="00BF0169">
              <w:rPr>
                <w:noProof/>
                <w:webHidden/>
                <w:lang w:val="it-IT"/>
              </w:rPr>
              <w:fldChar w:fldCharType="separate"/>
            </w:r>
            <w:r w:rsidR="00742EC4">
              <w:rPr>
                <w:noProof/>
                <w:webHidden/>
                <w:lang w:val="it-IT"/>
              </w:rPr>
              <w:t>45</w:t>
            </w:r>
            <w:r w:rsidR="00130904" w:rsidRPr="00BF0169">
              <w:rPr>
                <w:noProof/>
                <w:webHidden/>
                <w:lang w:val="it-IT"/>
              </w:rPr>
              <w:fldChar w:fldCharType="end"/>
            </w:r>
          </w:hyperlink>
        </w:p>
        <w:p w14:paraId="48C09575" w14:textId="3CBE3BE3" w:rsidR="00190177" w:rsidRPr="00BF0169" w:rsidRDefault="004F6F3F">
          <w:pPr>
            <w:rPr>
              <w:noProof/>
              <w:lang w:val="it-IT"/>
            </w:rPr>
          </w:pPr>
          <w:r w:rsidRPr="00BF0169">
            <w:rPr>
              <w:noProof/>
              <w:lang w:val="it-IT"/>
            </w:rPr>
            <w:fldChar w:fldCharType="end"/>
          </w:r>
          <w:r w:rsidRPr="00BF0169">
            <w:rPr>
              <w:noProof/>
              <w:lang w:val="it-IT"/>
            </w:rPr>
            <w:br w:type="page"/>
          </w:r>
        </w:p>
      </w:sdtContent>
    </w:sdt>
    <w:p w14:paraId="2D13733E" w14:textId="77777777" w:rsidR="001E21E5" w:rsidRPr="00BF0169" w:rsidRDefault="00440F24" w:rsidP="001E21E5">
      <w:pPr>
        <w:rPr>
          <w:b/>
          <w:noProof/>
          <w:lang w:val="it-IT"/>
        </w:rPr>
      </w:pPr>
      <w:r w:rsidRPr="00BF0169">
        <w:rPr>
          <w:b/>
          <w:noProof/>
          <w:lang w:val="it-IT"/>
        </w:rPr>
        <w:t>SINTESI</w:t>
      </w:r>
    </w:p>
    <w:p w14:paraId="0E61B5BF" w14:textId="0CCB83A9" w:rsidR="005D2D3A" w:rsidRPr="00BF0169" w:rsidRDefault="005D2D3A" w:rsidP="005D2D3A">
      <w:pPr>
        <w:rPr>
          <w:noProof/>
          <w:lang w:val="it-IT"/>
        </w:rPr>
      </w:pPr>
      <w:r w:rsidRPr="00BF0169">
        <w:rPr>
          <w:noProof/>
          <w:lang w:val="it-IT"/>
        </w:rPr>
        <w:t>La pandemia di COVID-19 ha comportato nuove sfide alle quali l</w:t>
      </w:r>
      <w:r w:rsidR="00BF0169" w:rsidRPr="00BF0169">
        <w:rPr>
          <w:noProof/>
          <w:lang w:val="it-IT"/>
        </w:rPr>
        <w:t>'</w:t>
      </w:r>
      <w:r w:rsidRPr="00BF0169">
        <w:rPr>
          <w:noProof/>
          <w:lang w:val="it-IT"/>
        </w:rPr>
        <w:t>UE ha reagito rapidamente, in modo flessibile e impiegando nuovi strumenti e nuove risorse. Con l</w:t>
      </w:r>
      <w:r w:rsidR="00BF0169" w:rsidRPr="00BF0169">
        <w:rPr>
          <w:noProof/>
          <w:lang w:val="it-IT"/>
        </w:rPr>
        <w:t>'</w:t>
      </w:r>
      <w:r w:rsidRPr="00BF0169">
        <w:rPr>
          <w:noProof/>
          <w:lang w:val="it-IT"/>
        </w:rPr>
        <w:t>introduzione del dispositivo per la ripresa e la resilienza e l</w:t>
      </w:r>
      <w:r w:rsidR="00BF0169" w:rsidRPr="00BF0169">
        <w:rPr>
          <w:noProof/>
          <w:lang w:val="it-IT"/>
        </w:rPr>
        <w:t>'</w:t>
      </w:r>
      <w:r w:rsidRPr="00BF0169">
        <w:rPr>
          <w:noProof/>
          <w:lang w:val="it-IT"/>
        </w:rPr>
        <w:t>attuazione dei piani nazionali per la ripresa e la resilienza, il ruolo svolto dalle autorità nazionali per garantire un livello adeguato di tutela degli interessi finanziari dell</w:t>
      </w:r>
      <w:r w:rsidR="00BF0169" w:rsidRPr="00BF0169">
        <w:rPr>
          <w:noProof/>
          <w:lang w:val="it-IT"/>
        </w:rPr>
        <w:t>'</w:t>
      </w:r>
      <w:r w:rsidRPr="00BF0169">
        <w:rPr>
          <w:noProof/>
          <w:lang w:val="it-IT"/>
        </w:rPr>
        <w:t>UE si è notevolmente rafforzato. La Commissione ha sostenuto le autorità nazionali nella valutazione dei piani nazionali, prestando particolare attenzione alla progettazione di misure destinate a tutelare le risorse del dispositivo per la ripresa e la resilienza contro frodi, corruzione, conflitti di interessi e duplicazione dei finanziamenti.</w:t>
      </w:r>
    </w:p>
    <w:p w14:paraId="558625EB" w14:textId="7A926285" w:rsidR="005D2D3A" w:rsidRPr="00BF0169" w:rsidRDefault="005D2D3A" w:rsidP="005D2D3A">
      <w:pPr>
        <w:rPr>
          <w:noProof/>
          <w:lang w:val="it-IT"/>
        </w:rPr>
      </w:pPr>
      <w:r w:rsidRPr="00BF0169">
        <w:rPr>
          <w:noProof/>
          <w:lang w:val="it-IT"/>
        </w:rPr>
        <w:t>Per tutto il 2021 i soggetti UE e nazionali che si occupano di lotta antifrode hanno rafforzato la loro cooperazione in materia di tutela tanto delle entrate quanto delle spese dell</w:t>
      </w:r>
      <w:r w:rsidR="00BF0169" w:rsidRPr="00BF0169">
        <w:rPr>
          <w:noProof/>
          <w:lang w:val="it-IT"/>
        </w:rPr>
        <w:t>'</w:t>
      </w:r>
      <w:r w:rsidRPr="00BF0169">
        <w:rPr>
          <w:noProof/>
          <w:lang w:val="it-IT"/>
        </w:rPr>
        <w:t>UE. La Procura europea (EPPO) è entrata in funzione il 1º giugno 2021. Dai risultati operativi dell</w:t>
      </w:r>
      <w:r w:rsidR="00BF0169" w:rsidRPr="00BF0169">
        <w:rPr>
          <w:noProof/>
          <w:lang w:val="it-IT"/>
        </w:rPr>
        <w:t>'</w:t>
      </w:r>
      <w:r w:rsidRPr="00BF0169">
        <w:rPr>
          <w:noProof/>
          <w:lang w:val="it-IT"/>
        </w:rPr>
        <w:t>Ufficio europeo per la lotta antifrode (OLAF) e dell</w:t>
      </w:r>
      <w:r w:rsidR="00BF0169" w:rsidRPr="00BF0169">
        <w:rPr>
          <w:noProof/>
          <w:lang w:val="it-IT"/>
        </w:rPr>
        <w:t>'</w:t>
      </w:r>
      <w:r w:rsidRPr="00BF0169">
        <w:rPr>
          <w:noProof/>
          <w:lang w:val="it-IT"/>
        </w:rPr>
        <w:t>EPPO emerge il valore aggiunto che gli organi dell</w:t>
      </w:r>
      <w:r w:rsidR="00BF0169" w:rsidRPr="00BF0169">
        <w:rPr>
          <w:noProof/>
          <w:lang w:val="it-IT"/>
        </w:rPr>
        <w:t>'</w:t>
      </w:r>
      <w:r w:rsidRPr="00BF0169">
        <w:rPr>
          <w:noProof/>
          <w:lang w:val="it-IT"/>
        </w:rPr>
        <w:t>UE apportano alla tutela degli interessi finanziari dell</w:t>
      </w:r>
      <w:r w:rsidR="00BF0169" w:rsidRPr="00BF0169">
        <w:rPr>
          <w:noProof/>
          <w:lang w:val="it-IT"/>
        </w:rPr>
        <w:t>'</w:t>
      </w:r>
      <w:r w:rsidRPr="00BF0169">
        <w:rPr>
          <w:noProof/>
          <w:lang w:val="it-IT"/>
        </w:rPr>
        <w:t>Unione e alla lotta contro la frode, superando i limiti dei sistemi nazionali, in particolare per quanto riguarda la lotta contro la criminalità transfrontaliera.</w:t>
      </w:r>
    </w:p>
    <w:p w14:paraId="166997CB" w14:textId="52E78E99" w:rsidR="005D2D3A" w:rsidRPr="00BF0169" w:rsidRDefault="005D2D3A" w:rsidP="005D2D3A">
      <w:pPr>
        <w:rPr>
          <w:noProof/>
          <w:lang w:val="it-IT"/>
        </w:rPr>
      </w:pPr>
      <w:r w:rsidRPr="00BF0169">
        <w:rPr>
          <w:noProof/>
          <w:lang w:val="it-IT"/>
        </w:rPr>
        <w:t>Nel 2021 l</w:t>
      </w:r>
      <w:r w:rsidR="00BF0169" w:rsidRPr="00BF0169">
        <w:rPr>
          <w:noProof/>
          <w:lang w:val="it-IT"/>
        </w:rPr>
        <w:t>'</w:t>
      </w:r>
      <w:r w:rsidRPr="00BF0169">
        <w:rPr>
          <w:noProof/>
          <w:lang w:val="it-IT"/>
        </w:rPr>
        <w:t>UE ha completato l</w:t>
      </w:r>
      <w:r w:rsidR="00BF0169" w:rsidRPr="00BF0169">
        <w:rPr>
          <w:noProof/>
          <w:lang w:val="it-IT"/>
        </w:rPr>
        <w:t>'</w:t>
      </w:r>
      <w:r w:rsidRPr="00BF0169">
        <w:rPr>
          <w:noProof/>
          <w:lang w:val="it-IT"/>
        </w:rPr>
        <w:t>adozione dei programmi di spesa per il periodo 2021-2027. La normativa garantisce che la Commissione, l</w:t>
      </w:r>
      <w:r w:rsidR="00BF0169" w:rsidRPr="00BF0169">
        <w:rPr>
          <w:noProof/>
          <w:lang w:val="it-IT"/>
        </w:rPr>
        <w:t>'</w:t>
      </w:r>
      <w:r w:rsidRPr="00BF0169">
        <w:rPr>
          <w:noProof/>
          <w:lang w:val="it-IT"/>
        </w:rPr>
        <w:t>OLAF, la Corte dei conti europea e l</w:t>
      </w:r>
      <w:r w:rsidR="00BF0169" w:rsidRPr="00BF0169">
        <w:rPr>
          <w:noProof/>
          <w:lang w:val="it-IT"/>
        </w:rPr>
        <w:t>'</w:t>
      </w:r>
      <w:r w:rsidR="00BF0169">
        <w:rPr>
          <w:noProof/>
          <w:lang w:val="it-IT"/>
        </w:rPr>
        <w:t>EPPO possano esercitare il pro</w:t>
      </w:r>
      <w:r w:rsidRPr="00BF0169">
        <w:rPr>
          <w:noProof/>
          <w:lang w:val="it-IT"/>
        </w:rPr>
        <w:t>p</w:t>
      </w:r>
      <w:r w:rsidR="00BF0169">
        <w:rPr>
          <w:noProof/>
          <w:lang w:val="it-IT"/>
        </w:rPr>
        <w:t>r</w:t>
      </w:r>
      <w:r w:rsidRPr="00BF0169">
        <w:rPr>
          <w:noProof/>
          <w:lang w:val="it-IT"/>
        </w:rPr>
        <w:t>io mandato e che le autorità nazionali mettano in atto misure antifrode efficaci tenendo conto dei rischi individuati. Tra tali programmi, il programma antifrode dell</w:t>
      </w:r>
      <w:r w:rsidR="00BF0169" w:rsidRPr="00BF0169">
        <w:rPr>
          <w:noProof/>
          <w:lang w:val="it-IT"/>
        </w:rPr>
        <w:t>'</w:t>
      </w:r>
      <w:r w:rsidRPr="00BF0169">
        <w:rPr>
          <w:noProof/>
          <w:lang w:val="it-IT"/>
        </w:rPr>
        <w:t>Unione sostiene la lotta contro la frode fornendo sovvenzioni a favore di iniziative specifiche e consentendo il finanziamento di piattaforme e strumenti informatici specifici per agevolare lo scambio di informazioni tra gli Stati membri e l</w:t>
      </w:r>
      <w:r w:rsidR="00BF0169" w:rsidRPr="00BF0169">
        <w:rPr>
          <w:noProof/>
          <w:lang w:val="it-IT"/>
        </w:rPr>
        <w:t>'</w:t>
      </w:r>
      <w:r w:rsidRPr="00BF0169">
        <w:rPr>
          <w:noProof/>
          <w:lang w:val="it-IT"/>
        </w:rPr>
        <w:t>UE.</w:t>
      </w:r>
    </w:p>
    <w:p w14:paraId="6BF0FE0A" w14:textId="49AE587A" w:rsidR="005D2D3A" w:rsidRPr="00BF0169" w:rsidRDefault="005D2D3A" w:rsidP="005D2D3A">
      <w:pPr>
        <w:rPr>
          <w:noProof/>
          <w:lang w:val="it-IT"/>
        </w:rPr>
      </w:pPr>
      <w:r w:rsidRPr="00BF0169">
        <w:rPr>
          <w:noProof/>
          <w:lang w:val="it-IT"/>
        </w:rPr>
        <w:t>Il numero di frodi e irregolarità segnalate dalle autorità competenti dell</w:t>
      </w:r>
      <w:r w:rsidR="00BF0169" w:rsidRPr="00BF0169">
        <w:rPr>
          <w:noProof/>
          <w:lang w:val="it-IT"/>
        </w:rPr>
        <w:t>'</w:t>
      </w:r>
      <w:r w:rsidRPr="00BF0169">
        <w:rPr>
          <w:noProof/>
          <w:lang w:val="it-IT"/>
        </w:rPr>
        <w:t>UE e nazionali è rimasto stabile nel 2021 rispetto al 2020, mentre i relativi importi irregolari sono aumentati: ciò si spiega con il numero elevato di irregolarità e frodi individuate in un numero limitato di Stati membri. Il numero di irregolarità non fraudolente segnalate in alcuni settori di spesa è esiguo rispetto al periodo di programmazione precedente. Tale calo può essere in parte spiegato, ad esempio, da ritardi nell</w:t>
      </w:r>
      <w:r w:rsidR="00BF0169" w:rsidRPr="00BF0169">
        <w:rPr>
          <w:noProof/>
          <w:lang w:val="it-IT"/>
        </w:rPr>
        <w:t>'</w:t>
      </w:r>
      <w:r w:rsidRPr="00BF0169">
        <w:rPr>
          <w:noProof/>
          <w:lang w:val="it-IT"/>
        </w:rPr>
        <w:t>attuazione dei programmi operativi, da modifiche delle pratiche di segnalazione e dall</w:t>
      </w:r>
      <w:r w:rsidR="00BF0169" w:rsidRPr="00BF0169">
        <w:rPr>
          <w:noProof/>
          <w:lang w:val="it-IT"/>
        </w:rPr>
        <w:t>'</w:t>
      </w:r>
      <w:r w:rsidRPr="00BF0169">
        <w:rPr>
          <w:noProof/>
          <w:lang w:val="it-IT"/>
        </w:rPr>
        <w:t>utilizzo di opzioni semplificate in materia di costi.</w:t>
      </w:r>
    </w:p>
    <w:p w14:paraId="174EC7C9" w14:textId="62D5638F" w:rsidR="005D2D3A" w:rsidRPr="00BF0169" w:rsidRDefault="005D2D3A" w:rsidP="005D2D3A">
      <w:pPr>
        <w:rPr>
          <w:noProof/>
          <w:lang w:val="it-IT"/>
        </w:rPr>
      </w:pPr>
      <w:r w:rsidRPr="00BF0169">
        <w:rPr>
          <w:noProof/>
          <w:lang w:val="it-IT"/>
        </w:rPr>
        <w:t>Oltre ai rischi ricorrenti, l</w:t>
      </w:r>
      <w:r w:rsidR="00BF0169" w:rsidRPr="00BF0169">
        <w:rPr>
          <w:noProof/>
          <w:lang w:val="it-IT"/>
        </w:rPr>
        <w:t>'</w:t>
      </w:r>
      <w:r w:rsidRPr="00BF0169">
        <w:rPr>
          <w:noProof/>
          <w:lang w:val="it-IT"/>
        </w:rPr>
        <w:t>attuazione del dispositivo per la ripresa e la resilienza aumenterà nei prossimi anni la pressione sulle amministrazioni nazionali, che dovranno attuare i piani di tale dispositivo e, allo stesso tempo, i programmi di spesa per il periodo 2021-2027. A questo proposito dovranno, dimostrare competenza e padronanza delle diverse modalità di gestione legate all</w:t>
      </w:r>
      <w:r w:rsidR="00BF0169" w:rsidRPr="00BF0169">
        <w:rPr>
          <w:noProof/>
          <w:lang w:val="it-IT"/>
        </w:rPr>
        <w:t>'</w:t>
      </w:r>
      <w:r w:rsidRPr="00BF0169">
        <w:rPr>
          <w:noProof/>
          <w:lang w:val="it-IT"/>
        </w:rPr>
        <w:t>attuazione dei vari fondi.</w:t>
      </w:r>
    </w:p>
    <w:p w14:paraId="2EE0861A" w14:textId="50508E1A" w:rsidR="00AB08C0" w:rsidRPr="00BF0169" w:rsidRDefault="005D2D3A" w:rsidP="005D2D3A">
      <w:pPr>
        <w:rPr>
          <w:noProof/>
          <w:lang w:val="it-IT"/>
        </w:rPr>
      </w:pPr>
      <w:r w:rsidRPr="00BF0169">
        <w:rPr>
          <w:noProof/>
          <w:lang w:val="it-IT"/>
        </w:rPr>
        <w:t>L</w:t>
      </w:r>
      <w:r w:rsidR="00BF0169" w:rsidRPr="00BF0169">
        <w:rPr>
          <w:noProof/>
          <w:lang w:val="it-IT"/>
        </w:rPr>
        <w:t>'</w:t>
      </w:r>
      <w:r w:rsidRPr="00BF0169">
        <w:rPr>
          <w:noProof/>
          <w:lang w:val="it-IT"/>
        </w:rPr>
        <w:t>UE intende perseguire una coerenza e un</w:t>
      </w:r>
      <w:r w:rsidR="00BF0169" w:rsidRPr="00BF0169">
        <w:rPr>
          <w:noProof/>
          <w:lang w:val="it-IT"/>
        </w:rPr>
        <w:t>'</w:t>
      </w:r>
      <w:r w:rsidRPr="00BF0169">
        <w:rPr>
          <w:noProof/>
          <w:lang w:val="it-IT"/>
        </w:rPr>
        <w:t>armonizzazione maggiori al fine di eliminare potenziali lacune nell</w:t>
      </w:r>
      <w:r w:rsidR="00BF0169" w:rsidRPr="00BF0169">
        <w:rPr>
          <w:noProof/>
          <w:lang w:val="it-IT"/>
        </w:rPr>
        <w:t>'</w:t>
      </w:r>
      <w:r w:rsidRPr="00BF0169">
        <w:rPr>
          <w:noProof/>
          <w:lang w:val="it-IT"/>
        </w:rPr>
        <w:t>architettura complessiva del controllo che potrebbero essere sfruttate dai truffatori. I principi guida sono già stati stabiliti nella legislazione dell</w:t>
      </w:r>
      <w:r w:rsidR="00BF0169" w:rsidRPr="00BF0169">
        <w:rPr>
          <w:noProof/>
          <w:lang w:val="it-IT"/>
        </w:rPr>
        <w:t>'</w:t>
      </w:r>
      <w:r w:rsidRPr="00BF0169">
        <w:rPr>
          <w:noProof/>
          <w:lang w:val="it-IT"/>
        </w:rPr>
        <w:t>UE, ma possono essere ulteriormente rafforzati. Gli Stati membri dovrebbero porre rimedio ai problemi individuati per quanto riguarda il recepimento della direttiva relativa alla lotta contro la frode che lede gli interessi finanziari dell</w:t>
      </w:r>
      <w:r w:rsidR="00BF0169" w:rsidRPr="00BF0169">
        <w:rPr>
          <w:noProof/>
          <w:lang w:val="it-IT"/>
        </w:rPr>
        <w:t>'</w:t>
      </w:r>
      <w:r w:rsidRPr="00BF0169">
        <w:rPr>
          <w:noProof/>
          <w:lang w:val="it-IT"/>
        </w:rPr>
        <w:t>Unione mediante il diritto penale (</w:t>
      </w:r>
      <w:r w:rsidR="00BF0169" w:rsidRPr="00BF0169">
        <w:rPr>
          <w:noProof/>
          <w:lang w:val="it-IT"/>
        </w:rPr>
        <w:t>"</w:t>
      </w:r>
      <w:r w:rsidRPr="00BF0169">
        <w:rPr>
          <w:noProof/>
          <w:lang w:val="it-IT"/>
        </w:rPr>
        <w:t>direttiva PIF</w:t>
      </w:r>
      <w:r w:rsidR="00BF0169" w:rsidRPr="00BF0169">
        <w:rPr>
          <w:noProof/>
          <w:lang w:val="it-IT"/>
        </w:rPr>
        <w:t>"</w:t>
      </w:r>
      <w:r w:rsidRPr="00BF0169">
        <w:rPr>
          <w:noProof/>
          <w:lang w:val="it-IT"/>
        </w:rPr>
        <w:t>) e adoperarsi per assicurare una maggiore trasparenza, la digitalizzazione della lotta contro la frode nonché il continuo rafforzamento e sviluppo della valutazione e della gestione dei rischi di frode. La Commissione ha presentato una proposta di modifica del regolamento finanziario che mira a rafforzare l</w:t>
      </w:r>
      <w:r w:rsidR="00BF0169" w:rsidRPr="00BF0169">
        <w:rPr>
          <w:noProof/>
          <w:lang w:val="it-IT"/>
        </w:rPr>
        <w:t>'</w:t>
      </w:r>
      <w:r w:rsidRPr="00BF0169">
        <w:rPr>
          <w:noProof/>
          <w:lang w:val="it-IT"/>
        </w:rPr>
        <w:t>azione dell</w:t>
      </w:r>
      <w:r w:rsidR="00BF0169" w:rsidRPr="00BF0169">
        <w:rPr>
          <w:noProof/>
          <w:lang w:val="it-IT"/>
        </w:rPr>
        <w:t>'</w:t>
      </w:r>
      <w:r w:rsidRPr="00BF0169">
        <w:rPr>
          <w:noProof/>
          <w:lang w:val="it-IT"/>
        </w:rPr>
        <w:t>UE in merito a questi aspetti.</w:t>
      </w:r>
    </w:p>
    <w:p w14:paraId="1F327BDA" w14:textId="59D476B4" w:rsidR="00440F24" w:rsidRPr="00BF0169" w:rsidRDefault="004F6F3F" w:rsidP="009A3D43">
      <w:pPr>
        <w:rPr>
          <w:b/>
          <w:noProof/>
          <w:lang w:val="it-IT"/>
        </w:rPr>
      </w:pPr>
      <w:r w:rsidRPr="00BF0169">
        <w:rPr>
          <w:noProof/>
          <w:lang w:val="it-IT"/>
        </w:rPr>
        <w:br w:type="page"/>
      </w:r>
    </w:p>
    <w:p w14:paraId="6EC62592" w14:textId="77777777" w:rsidR="00190177" w:rsidRPr="00BF0169" w:rsidRDefault="00440F24">
      <w:pPr>
        <w:rPr>
          <w:b/>
          <w:noProof/>
          <w:lang w:val="it-IT"/>
        </w:rPr>
      </w:pPr>
      <w:bookmarkStart w:id="2" w:name="_Toc76127613"/>
      <w:r w:rsidRPr="00BF0169">
        <w:rPr>
          <w:b/>
          <w:noProof/>
          <w:lang w:val="it-IT"/>
        </w:rPr>
        <w:t>ELENCO DELLE ABBREVIAZIONI</w:t>
      </w:r>
      <w:bookmarkEnd w:id="2"/>
    </w:p>
    <w:tbl>
      <w:tblPr>
        <w:tblW w:w="8364" w:type="dxa"/>
        <w:tblInd w:w="108" w:type="dxa"/>
        <w:tblLook w:val="04A0" w:firstRow="1" w:lastRow="0" w:firstColumn="1" w:lastColumn="0" w:noHBand="0" w:noVBand="1"/>
      </w:tblPr>
      <w:tblGrid>
        <w:gridCol w:w="1400"/>
        <w:gridCol w:w="6964"/>
      </w:tblGrid>
      <w:tr w:rsidR="00CF7811" w:rsidRPr="00BF0169" w14:paraId="2B98B084" w14:textId="77777777" w:rsidTr="00A27EF6">
        <w:trPr>
          <w:trHeight w:val="315"/>
        </w:trPr>
        <w:tc>
          <w:tcPr>
            <w:tcW w:w="1400" w:type="dxa"/>
            <w:tcBorders>
              <w:top w:val="nil"/>
              <w:left w:val="nil"/>
              <w:bottom w:val="nil"/>
              <w:right w:val="nil"/>
            </w:tcBorders>
            <w:shd w:val="clear" w:color="auto" w:fill="auto"/>
            <w:noWrap/>
            <w:vAlign w:val="bottom"/>
          </w:tcPr>
          <w:p w14:paraId="429C47E7" w14:textId="77777777" w:rsidR="00CF7811" w:rsidRPr="00BF0169" w:rsidRDefault="00CF7811" w:rsidP="00A27EF6">
            <w:pPr>
              <w:spacing w:after="0"/>
              <w:jc w:val="left"/>
              <w:rPr>
                <w:noProof/>
                <w:lang w:val="it-IT"/>
              </w:rPr>
            </w:pPr>
            <w:r w:rsidRPr="00BF0169">
              <w:rPr>
                <w:noProof/>
                <w:lang w:val="it-IT"/>
              </w:rPr>
              <w:t>AFIS</w:t>
            </w:r>
          </w:p>
        </w:tc>
        <w:tc>
          <w:tcPr>
            <w:tcW w:w="6964" w:type="dxa"/>
            <w:tcBorders>
              <w:top w:val="nil"/>
              <w:left w:val="nil"/>
              <w:bottom w:val="nil"/>
              <w:right w:val="nil"/>
            </w:tcBorders>
            <w:shd w:val="clear" w:color="auto" w:fill="auto"/>
            <w:noWrap/>
            <w:vAlign w:val="bottom"/>
          </w:tcPr>
          <w:p w14:paraId="007F381F" w14:textId="682F1115" w:rsidR="00CF7811" w:rsidRPr="00BF0169" w:rsidRDefault="00CF7811" w:rsidP="00A27EF6">
            <w:pPr>
              <w:spacing w:after="0"/>
              <w:jc w:val="left"/>
              <w:rPr>
                <w:noProof/>
                <w:lang w:val="it-IT"/>
              </w:rPr>
            </w:pPr>
            <w:r w:rsidRPr="00BF0169">
              <w:rPr>
                <w:noProof/>
                <w:lang w:val="it-IT"/>
              </w:rPr>
              <w:t>Servizio d</w:t>
            </w:r>
            <w:r w:rsidR="00BF0169" w:rsidRPr="00BF0169">
              <w:rPr>
                <w:noProof/>
                <w:lang w:val="it-IT"/>
              </w:rPr>
              <w:t>'</w:t>
            </w:r>
            <w:r w:rsidRPr="00BF0169">
              <w:rPr>
                <w:noProof/>
                <w:lang w:val="it-IT"/>
              </w:rPr>
              <w:t>informazione antifrode</w:t>
            </w:r>
          </w:p>
        </w:tc>
      </w:tr>
      <w:tr w:rsidR="00440F24" w:rsidRPr="00BF0169" w14:paraId="79D7A2D4" w14:textId="77777777" w:rsidTr="00A27EF6">
        <w:trPr>
          <w:trHeight w:val="315"/>
        </w:trPr>
        <w:tc>
          <w:tcPr>
            <w:tcW w:w="1400" w:type="dxa"/>
            <w:tcBorders>
              <w:top w:val="nil"/>
              <w:left w:val="nil"/>
              <w:bottom w:val="nil"/>
              <w:right w:val="nil"/>
            </w:tcBorders>
            <w:shd w:val="clear" w:color="auto" w:fill="auto"/>
            <w:noWrap/>
            <w:vAlign w:val="bottom"/>
            <w:hideMark/>
          </w:tcPr>
          <w:p w14:paraId="1BB874B9" w14:textId="77777777" w:rsidR="00440F24" w:rsidRPr="00BF0169" w:rsidRDefault="00440F24" w:rsidP="00A27EF6">
            <w:pPr>
              <w:spacing w:after="0"/>
              <w:jc w:val="left"/>
              <w:rPr>
                <w:noProof/>
                <w:lang w:val="it-IT"/>
              </w:rPr>
            </w:pPr>
            <w:r w:rsidRPr="00BF0169">
              <w:rPr>
                <w:noProof/>
                <w:lang w:val="it-IT"/>
              </w:rPr>
              <w:t>AFCOS</w:t>
            </w:r>
          </w:p>
        </w:tc>
        <w:tc>
          <w:tcPr>
            <w:tcW w:w="6964" w:type="dxa"/>
            <w:tcBorders>
              <w:top w:val="nil"/>
              <w:left w:val="nil"/>
              <w:bottom w:val="nil"/>
              <w:right w:val="nil"/>
            </w:tcBorders>
            <w:shd w:val="clear" w:color="auto" w:fill="auto"/>
            <w:noWrap/>
            <w:vAlign w:val="bottom"/>
            <w:hideMark/>
          </w:tcPr>
          <w:p w14:paraId="0E62A81A" w14:textId="77777777" w:rsidR="00440F24" w:rsidRPr="00BF0169" w:rsidRDefault="00440F24" w:rsidP="00A27EF6">
            <w:pPr>
              <w:spacing w:after="0"/>
              <w:jc w:val="left"/>
              <w:rPr>
                <w:noProof/>
                <w:lang w:val="it-IT"/>
              </w:rPr>
            </w:pPr>
            <w:r w:rsidRPr="00BF0169">
              <w:rPr>
                <w:noProof/>
                <w:lang w:val="it-IT"/>
              </w:rPr>
              <w:t>Servizio di coordinamento antifrode</w:t>
            </w:r>
          </w:p>
        </w:tc>
      </w:tr>
      <w:tr w:rsidR="00440F24" w:rsidRPr="00BF0169" w14:paraId="73BB2D50" w14:textId="77777777" w:rsidTr="00A27EF6">
        <w:trPr>
          <w:trHeight w:val="315"/>
        </w:trPr>
        <w:tc>
          <w:tcPr>
            <w:tcW w:w="1400" w:type="dxa"/>
            <w:tcBorders>
              <w:top w:val="nil"/>
              <w:left w:val="nil"/>
              <w:bottom w:val="nil"/>
              <w:right w:val="nil"/>
            </w:tcBorders>
            <w:shd w:val="clear" w:color="auto" w:fill="auto"/>
            <w:noWrap/>
            <w:vAlign w:val="bottom"/>
            <w:hideMark/>
          </w:tcPr>
          <w:p w14:paraId="608E9C1B" w14:textId="77777777" w:rsidR="00440F24" w:rsidRPr="00BF0169" w:rsidRDefault="00440F24" w:rsidP="00A27EF6">
            <w:pPr>
              <w:spacing w:after="0"/>
              <w:jc w:val="left"/>
              <w:rPr>
                <w:noProof/>
                <w:lang w:val="it-IT"/>
              </w:rPr>
            </w:pPr>
            <w:r w:rsidRPr="00BF0169">
              <w:rPr>
                <w:noProof/>
                <w:lang w:val="it-IT"/>
              </w:rPr>
              <w:t>CAFS</w:t>
            </w:r>
          </w:p>
        </w:tc>
        <w:tc>
          <w:tcPr>
            <w:tcW w:w="6964" w:type="dxa"/>
            <w:tcBorders>
              <w:top w:val="nil"/>
              <w:left w:val="nil"/>
              <w:bottom w:val="nil"/>
              <w:right w:val="nil"/>
            </w:tcBorders>
            <w:shd w:val="clear" w:color="auto" w:fill="auto"/>
            <w:noWrap/>
            <w:vAlign w:val="bottom"/>
            <w:hideMark/>
          </w:tcPr>
          <w:p w14:paraId="5A07AE6B" w14:textId="77777777" w:rsidR="00440F24" w:rsidRPr="00BF0169" w:rsidRDefault="00440F24" w:rsidP="00A27EF6">
            <w:pPr>
              <w:spacing w:after="0"/>
              <w:jc w:val="left"/>
              <w:rPr>
                <w:noProof/>
                <w:lang w:val="it-IT"/>
              </w:rPr>
            </w:pPr>
            <w:r w:rsidRPr="00BF0169">
              <w:rPr>
                <w:noProof/>
                <w:lang w:val="it-IT"/>
              </w:rPr>
              <w:t>Strategia antifrode della Commissione</w:t>
            </w:r>
          </w:p>
        </w:tc>
      </w:tr>
      <w:tr w:rsidR="00CF7811" w:rsidRPr="00BF0169" w14:paraId="3521EEDD" w14:textId="77777777" w:rsidTr="00A27EF6">
        <w:trPr>
          <w:trHeight w:val="315"/>
        </w:trPr>
        <w:tc>
          <w:tcPr>
            <w:tcW w:w="1400" w:type="dxa"/>
            <w:tcBorders>
              <w:top w:val="nil"/>
              <w:left w:val="nil"/>
              <w:bottom w:val="nil"/>
              <w:right w:val="nil"/>
            </w:tcBorders>
            <w:shd w:val="clear" w:color="auto" w:fill="auto"/>
            <w:noWrap/>
            <w:vAlign w:val="bottom"/>
          </w:tcPr>
          <w:p w14:paraId="6EC64C39" w14:textId="77777777" w:rsidR="00CF7811" w:rsidRPr="00BF0169" w:rsidRDefault="00CF7811" w:rsidP="00A27EF6">
            <w:pPr>
              <w:spacing w:after="0"/>
              <w:jc w:val="left"/>
              <w:rPr>
                <w:noProof/>
                <w:lang w:val="it-IT"/>
              </w:rPr>
            </w:pPr>
            <w:r w:rsidRPr="00BF0169">
              <w:rPr>
                <w:noProof/>
                <w:lang w:val="it-IT"/>
              </w:rPr>
              <w:t>CoSP</w:t>
            </w:r>
          </w:p>
        </w:tc>
        <w:tc>
          <w:tcPr>
            <w:tcW w:w="6964" w:type="dxa"/>
            <w:tcBorders>
              <w:top w:val="nil"/>
              <w:left w:val="nil"/>
              <w:bottom w:val="nil"/>
              <w:right w:val="nil"/>
            </w:tcBorders>
            <w:shd w:val="clear" w:color="auto" w:fill="auto"/>
            <w:noWrap/>
            <w:vAlign w:val="bottom"/>
          </w:tcPr>
          <w:p w14:paraId="486711C8" w14:textId="77777777" w:rsidR="00CF7811" w:rsidRPr="00BF0169" w:rsidRDefault="00CF7811" w:rsidP="00A27EF6">
            <w:pPr>
              <w:spacing w:after="0"/>
              <w:jc w:val="left"/>
              <w:rPr>
                <w:noProof/>
                <w:lang w:val="it-IT"/>
              </w:rPr>
            </w:pPr>
            <w:r w:rsidRPr="00BF0169">
              <w:rPr>
                <w:noProof/>
                <w:lang w:val="it-IT"/>
              </w:rPr>
              <w:t>Conferenza degli Stati parti</w:t>
            </w:r>
          </w:p>
        </w:tc>
      </w:tr>
      <w:tr w:rsidR="00CF7811" w:rsidRPr="00BF0169" w14:paraId="1CF1E425" w14:textId="77777777" w:rsidTr="00A27EF6">
        <w:trPr>
          <w:trHeight w:val="315"/>
        </w:trPr>
        <w:tc>
          <w:tcPr>
            <w:tcW w:w="1400" w:type="dxa"/>
            <w:tcBorders>
              <w:top w:val="nil"/>
              <w:left w:val="nil"/>
              <w:bottom w:val="nil"/>
              <w:right w:val="nil"/>
            </w:tcBorders>
            <w:shd w:val="clear" w:color="auto" w:fill="auto"/>
            <w:noWrap/>
            <w:vAlign w:val="bottom"/>
          </w:tcPr>
          <w:p w14:paraId="71D55984" w14:textId="77777777" w:rsidR="00CF7811" w:rsidRPr="00BF0169" w:rsidRDefault="00CF7811" w:rsidP="00A27EF6">
            <w:pPr>
              <w:spacing w:after="0"/>
              <w:jc w:val="left"/>
              <w:rPr>
                <w:noProof/>
                <w:lang w:val="it-IT"/>
              </w:rPr>
            </w:pPr>
            <w:r w:rsidRPr="00BF0169">
              <w:rPr>
                <w:noProof/>
                <w:lang w:val="it-IT"/>
              </w:rPr>
              <w:t>DG</w:t>
            </w:r>
          </w:p>
        </w:tc>
        <w:tc>
          <w:tcPr>
            <w:tcW w:w="6964" w:type="dxa"/>
            <w:tcBorders>
              <w:top w:val="nil"/>
              <w:left w:val="nil"/>
              <w:bottom w:val="nil"/>
              <w:right w:val="nil"/>
            </w:tcBorders>
            <w:shd w:val="clear" w:color="auto" w:fill="auto"/>
            <w:noWrap/>
            <w:vAlign w:val="bottom"/>
          </w:tcPr>
          <w:p w14:paraId="20D816DD" w14:textId="77777777" w:rsidR="00CF7811" w:rsidRPr="00BF0169" w:rsidRDefault="00CF7811" w:rsidP="00A27EF6">
            <w:pPr>
              <w:spacing w:after="0"/>
              <w:jc w:val="left"/>
              <w:rPr>
                <w:noProof/>
                <w:lang w:val="it-IT"/>
              </w:rPr>
            </w:pPr>
            <w:r w:rsidRPr="00BF0169">
              <w:rPr>
                <w:noProof/>
                <w:lang w:val="it-IT"/>
              </w:rPr>
              <w:t>Direzione generale</w:t>
            </w:r>
          </w:p>
        </w:tc>
      </w:tr>
      <w:tr w:rsidR="00440F24" w:rsidRPr="00BF0169" w14:paraId="3404D990" w14:textId="77777777" w:rsidTr="00A27EF6">
        <w:trPr>
          <w:trHeight w:val="315"/>
        </w:trPr>
        <w:tc>
          <w:tcPr>
            <w:tcW w:w="1400" w:type="dxa"/>
            <w:tcBorders>
              <w:top w:val="nil"/>
              <w:left w:val="nil"/>
              <w:bottom w:val="nil"/>
              <w:right w:val="nil"/>
            </w:tcBorders>
            <w:shd w:val="clear" w:color="auto" w:fill="auto"/>
            <w:noWrap/>
            <w:vAlign w:val="bottom"/>
            <w:hideMark/>
          </w:tcPr>
          <w:p w14:paraId="06CA1A57" w14:textId="77777777" w:rsidR="00440F24" w:rsidRPr="00BF0169" w:rsidRDefault="00440F24" w:rsidP="00A27EF6">
            <w:pPr>
              <w:spacing w:after="0"/>
              <w:jc w:val="left"/>
              <w:rPr>
                <w:noProof/>
                <w:lang w:val="it-IT"/>
              </w:rPr>
            </w:pPr>
            <w:r w:rsidRPr="00BF0169">
              <w:rPr>
                <w:noProof/>
                <w:lang w:val="it-IT"/>
              </w:rPr>
              <w:t>CCE</w:t>
            </w:r>
          </w:p>
        </w:tc>
        <w:tc>
          <w:tcPr>
            <w:tcW w:w="6964" w:type="dxa"/>
            <w:tcBorders>
              <w:top w:val="nil"/>
              <w:left w:val="nil"/>
              <w:bottom w:val="nil"/>
              <w:right w:val="nil"/>
            </w:tcBorders>
            <w:shd w:val="clear" w:color="auto" w:fill="auto"/>
            <w:noWrap/>
            <w:vAlign w:val="bottom"/>
            <w:hideMark/>
          </w:tcPr>
          <w:p w14:paraId="1261263E" w14:textId="77777777" w:rsidR="00440F24" w:rsidRPr="00BF0169" w:rsidRDefault="00440F24" w:rsidP="00A27EF6">
            <w:pPr>
              <w:spacing w:after="0"/>
              <w:jc w:val="left"/>
              <w:rPr>
                <w:noProof/>
                <w:lang w:val="it-IT"/>
              </w:rPr>
            </w:pPr>
            <w:r w:rsidRPr="00BF0169">
              <w:rPr>
                <w:noProof/>
                <w:lang w:val="it-IT"/>
              </w:rPr>
              <w:t>Corte dei conti europea</w:t>
            </w:r>
          </w:p>
        </w:tc>
      </w:tr>
      <w:tr w:rsidR="00440F24" w:rsidRPr="00BF0169" w14:paraId="1299EC4E" w14:textId="77777777" w:rsidTr="00A27EF6">
        <w:trPr>
          <w:trHeight w:val="315"/>
        </w:trPr>
        <w:tc>
          <w:tcPr>
            <w:tcW w:w="1400" w:type="dxa"/>
            <w:tcBorders>
              <w:top w:val="nil"/>
              <w:left w:val="nil"/>
              <w:bottom w:val="nil"/>
              <w:right w:val="nil"/>
            </w:tcBorders>
            <w:shd w:val="clear" w:color="auto" w:fill="auto"/>
            <w:noWrap/>
            <w:vAlign w:val="bottom"/>
            <w:hideMark/>
          </w:tcPr>
          <w:p w14:paraId="391B3644" w14:textId="77777777" w:rsidR="00440F24" w:rsidRPr="00BF0169" w:rsidRDefault="00440F24" w:rsidP="00A27EF6">
            <w:pPr>
              <w:spacing w:after="0"/>
              <w:jc w:val="left"/>
              <w:rPr>
                <w:noProof/>
                <w:lang w:val="it-IT"/>
              </w:rPr>
            </w:pPr>
            <w:r w:rsidRPr="00BF0169">
              <w:rPr>
                <w:noProof/>
                <w:lang w:val="it-IT"/>
              </w:rPr>
              <w:t>EDES</w:t>
            </w:r>
          </w:p>
        </w:tc>
        <w:tc>
          <w:tcPr>
            <w:tcW w:w="6964" w:type="dxa"/>
            <w:tcBorders>
              <w:top w:val="nil"/>
              <w:left w:val="nil"/>
              <w:bottom w:val="nil"/>
              <w:right w:val="nil"/>
            </w:tcBorders>
            <w:shd w:val="clear" w:color="auto" w:fill="auto"/>
            <w:noWrap/>
            <w:vAlign w:val="bottom"/>
            <w:hideMark/>
          </w:tcPr>
          <w:p w14:paraId="63FD9715" w14:textId="77777777" w:rsidR="00440F24" w:rsidRPr="00BF0169" w:rsidRDefault="00440F24" w:rsidP="00A27EF6">
            <w:pPr>
              <w:spacing w:after="0"/>
              <w:jc w:val="left"/>
              <w:rPr>
                <w:noProof/>
                <w:lang w:val="it-IT"/>
              </w:rPr>
            </w:pPr>
            <w:r w:rsidRPr="00BF0169">
              <w:rPr>
                <w:noProof/>
                <w:lang w:val="it-IT"/>
              </w:rPr>
              <w:t>Sistema di individuazione precoce e di esclusione</w:t>
            </w:r>
          </w:p>
        </w:tc>
      </w:tr>
      <w:tr w:rsidR="00440F24" w:rsidRPr="00BF0169" w14:paraId="27B6D034" w14:textId="77777777" w:rsidTr="00A27EF6">
        <w:trPr>
          <w:trHeight w:val="315"/>
        </w:trPr>
        <w:tc>
          <w:tcPr>
            <w:tcW w:w="1400" w:type="dxa"/>
            <w:tcBorders>
              <w:top w:val="nil"/>
              <w:left w:val="nil"/>
              <w:bottom w:val="nil"/>
              <w:right w:val="nil"/>
            </w:tcBorders>
            <w:shd w:val="clear" w:color="auto" w:fill="auto"/>
            <w:noWrap/>
            <w:vAlign w:val="bottom"/>
            <w:hideMark/>
          </w:tcPr>
          <w:p w14:paraId="360B207D" w14:textId="77777777" w:rsidR="00440F24" w:rsidRPr="00BF0169" w:rsidRDefault="00440F24" w:rsidP="00A27EF6">
            <w:pPr>
              <w:spacing w:after="0"/>
              <w:jc w:val="left"/>
              <w:rPr>
                <w:noProof/>
                <w:lang w:val="it-IT"/>
              </w:rPr>
            </w:pPr>
            <w:r w:rsidRPr="00BF0169">
              <w:rPr>
                <w:noProof/>
                <w:lang w:val="it-IT"/>
              </w:rPr>
              <w:t>PE</w:t>
            </w:r>
          </w:p>
        </w:tc>
        <w:tc>
          <w:tcPr>
            <w:tcW w:w="6964" w:type="dxa"/>
            <w:tcBorders>
              <w:top w:val="nil"/>
              <w:left w:val="nil"/>
              <w:bottom w:val="nil"/>
              <w:right w:val="nil"/>
            </w:tcBorders>
            <w:shd w:val="clear" w:color="auto" w:fill="auto"/>
            <w:noWrap/>
            <w:vAlign w:val="bottom"/>
            <w:hideMark/>
          </w:tcPr>
          <w:p w14:paraId="63EA1F12" w14:textId="77777777" w:rsidR="00440F24" w:rsidRPr="00BF0169" w:rsidRDefault="00440F24" w:rsidP="00A27EF6">
            <w:pPr>
              <w:spacing w:after="0"/>
              <w:jc w:val="left"/>
              <w:rPr>
                <w:noProof/>
                <w:lang w:val="it-IT"/>
              </w:rPr>
            </w:pPr>
            <w:r w:rsidRPr="00BF0169">
              <w:rPr>
                <w:noProof/>
                <w:lang w:val="it-IT"/>
              </w:rPr>
              <w:t>Parlamento europeo</w:t>
            </w:r>
          </w:p>
        </w:tc>
      </w:tr>
      <w:tr w:rsidR="00B06C44" w:rsidRPr="00BF0169" w14:paraId="0BFD82BB" w14:textId="77777777" w:rsidTr="00A27EF6">
        <w:trPr>
          <w:trHeight w:val="315"/>
        </w:trPr>
        <w:tc>
          <w:tcPr>
            <w:tcW w:w="1400" w:type="dxa"/>
            <w:tcBorders>
              <w:top w:val="nil"/>
              <w:left w:val="nil"/>
              <w:bottom w:val="nil"/>
              <w:right w:val="nil"/>
            </w:tcBorders>
            <w:shd w:val="clear" w:color="auto" w:fill="auto"/>
            <w:noWrap/>
            <w:vAlign w:val="bottom"/>
          </w:tcPr>
          <w:p w14:paraId="2B5E2C7D" w14:textId="77777777" w:rsidR="00B06C44" w:rsidRPr="00BF0169" w:rsidRDefault="00B06C44" w:rsidP="00A27EF6">
            <w:pPr>
              <w:spacing w:after="0"/>
              <w:jc w:val="left"/>
              <w:rPr>
                <w:noProof/>
                <w:lang w:val="it-IT"/>
              </w:rPr>
            </w:pPr>
            <w:r w:rsidRPr="00BF0169">
              <w:rPr>
                <w:noProof/>
                <w:lang w:val="it-IT"/>
              </w:rPr>
              <w:t>EPF</w:t>
            </w:r>
          </w:p>
        </w:tc>
        <w:tc>
          <w:tcPr>
            <w:tcW w:w="6964" w:type="dxa"/>
            <w:tcBorders>
              <w:top w:val="nil"/>
              <w:left w:val="nil"/>
              <w:bottom w:val="nil"/>
              <w:right w:val="nil"/>
            </w:tcBorders>
            <w:shd w:val="clear" w:color="auto" w:fill="auto"/>
            <w:noWrap/>
            <w:vAlign w:val="bottom"/>
          </w:tcPr>
          <w:p w14:paraId="56DD89D5" w14:textId="77777777" w:rsidR="00B06C44" w:rsidRPr="00BF0169" w:rsidRDefault="00B06C44" w:rsidP="00A27EF6">
            <w:pPr>
              <w:spacing w:after="0"/>
              <w:jc w:val="left"/>
              <w:rPr>
                <w:noProof/>
                <w:lang w:val="it-IT"/>
              </w:rPr>
            </w:pPr>
            <w:r w:rsidRPr="00BF0169">
              <w:rPr>
                <w:noProof/>
                <w:lang w:val="it-IT"/>
              </w:rPr>
              <w:t>Strumento europeo per la pace</w:t>
            </w:r>
          </w:p>
        </w:tc>
      </w:tr>
      <w:tr w:rsidR="00440F24" w:rsidRPr="00BF0169" w14:paraId="68755A6A" w14:textId="77777777" w:rsidTr="00A27EF6">
        <w:trPr>
          <w:trHeight w:val="315"/>
        </w:trPr>
        <w:tc>
          <w:tcPr>
            <w:tcW w:w="1400" w:type="dxa"/>
            <w:tcBorders>
              <w:top w:val="nil"/>
              <w:left w:val="nil"/>
              <w:bottom w:val="nil"/>
              <w:right w:val="nil"/>
            </w:tcBorders>
            <w:shd w:val="clear" w:color="auto" w:fill="auto"/>
            <w:noWrap/>
            <w:vAlign w:val="bottom"/>
            <w:hideMark/>
          </w:tcPr>
          <w:p w14:paraId="178CE4F3" w14:textId="77777777" w:rsidR="00440F24" w:rsidRPr="00BF0169" w:rsidRDefault="00440F24" w:rsidP="00A27EF6">
            <w:pPr>
              <w:spacing w:after="0"/>
              <w:jc w:val="left"/>
              <w:rPr>
                <w:noProof/>
                <w:lang w:val="it-IT"/>
              </w:rPr>
            </w:pPr>
            <w:r w:rsidRPr="00BF0169">
              <w:rPr>
                <w:noProof/>
                <w:lang w:val="it-IT"/>
              </w:rPr>
              <w:t>EPPO</w:t>
            </w:r>
          </w:p>
        </w:tc>
        <w:tc>
          <w:tcPr>
            <w:tcW w:w="6964" w:type="dxa"/>
            <w:tcBorders>
              <w:top w:val="nil"/>
              <w:left w:val="nil"/>
              <w:bottom w:val="nil"/>
              <w:right w:val="nil"/>
            </w:tcBorders>
            <w:shd w:val="clear" w:color="auto" w:fill="auto"/>
            <w:noWrap/>
            <w:vAlign w:val="bottom"/>
            <w:hideMark/>
          </w:tcPr>
          <w:p w14:paraId="13380DC8" w14:textId="77777777" w:rsidR="00440F24" w:rsidRPr="00BF0169" w:rsidRDefault="00440F24" w:rsidP="00A27EF6">
            <w:pPr>
              <w:spacing w:after="0"/>
              <w:jc w:val="left"/>
              <w:rPr>
                <w:noProof/>
                <w:lang w:val="it-IT"/>
              </w:rPr>
            </w:pPr>
            <w:r w:rsidRPr="00BF0169">
              <w:rPr>
                <w:noProof/>
                <w:lang w:val="it-IT"/>
              </w:rPr>
              <w:t>Procura europea</w:t>
            </w:r>
          </w:p>
        </w:tc>
      </w:tr>
      <w:tr w:rsidR="00440F24" w:rsidRPr="00BF0169" w14:paraId="32DFF86B" w14:textId="77777777" w:rsidTr="00A27EF6">
        <w:trPr>
          <w:trHeight w:val="315"/>
        </w:trPr>
        <w:tc>
          <w:tcPr>
            <w:tcW w:w="1400" w:type="dxa"/>
            <w:tcBorders>
              <w:top w:val="nil"/>
              <w:left w:val="nil"/>
              <w:bottom w:val="nil"/>
              <w:right w:val="nil"/>
            </w:tcBorders>
            <w:shd w:val="clear" w:color="auto" w:fill="auto"/>
            <w:noWrap/>
            <w:vAlign w:val="bottom"/>
            <w:hideMark/>
          </w:tcPr>
          <w:p w14:paraId="791A8D84" w14:textId="77777777" w:rsidR="00440F24" w:rsidRPr="00BF0169" w:rsidRDefault="00440F24" w:rsidP="00A27EF6">
            <w:pPr>
              <w:spacing w:after="0"/>
              <w:jc w:val="left"/>
              <w:rPr>
                <w:noProof/>
                <w:lang w:val="it-IT"/>
              </w:rPr>
            </w:pPr>
            <w:r w:rsidRPr="00BF0169">
              <w:rPr>
                <w:noProof/>
                <w:lang w:val="it-IT"/>
              </w:rPr>
              <w:t>Fondi SIE</w:t>
            </w:r>
          </w:p>
        </w:tc>
        <w:tc>
          <w:tcPr>
            <w:tcW w:w="6964" w:type="dxa"/>
            <w:tcBorders>
              <w:top w:val="nil"/>
              <w:left w:val="nil"/>
              <w:bottom w:val="nil"/>
              <w:right w:val="nil"/>
            </w:tcBorders>
            <w:shd w:val="clear" w:color="auto" w:fill="auto"/>
            <w:noWrap/>
            <w:vAlign w:val="bottom"/>
            <w:hideMark/>
          </w:tcPr>
          <w:p w14:paraId="0AB3E835" w14:textId="10BECA6B" w:rsidR="00440F24" w:rsidRPr="00BF0169" w:rsidRDefault="00440F24" w:rsidP="00A27EF6">
            <w:pPr>
              <w:spacing w:after="0"/>
              <w:jc w:val="left"/>
              <w:rPr>
                <w:noProof/>
                <w:lang w:val="it-IT"/>
              </w:rPr>
            </w:pPr>
            <w:r w:rsidRPr="00BF0169">
              <w:rPr>
                <w:noProof/>
                <w:lang w:val="it-IT"/>
              </w:rPr>
              <w:t>Fondi strutturali e d</w:t>
            </w:r>
            <w:r w:rsidR="00BF0169" w:rsidRPr="00BF0169">
              <w:rPr>
                <w:noProof/>
                <w:lang w:val="it-IT"/>
              </w:rPr>
              <w:t>'</w:t>
            </w:r>
            <w:r w:rsidRPr="00BF0169">
              <w:rPr>
                <w:noProof/>
                <w:lang w:val="it-IT"/>
              </w:rPr>
              <w:t>investimento europei</w:t>
            </w:r>
          </w:p>
        </w:tc>
      </w:tr>
      <w:tr w:rsidR="00440F24" w:rsidRPr="00BF0169" w14:paraId="2A20D2E3" w14:textId="77777777" w:rsidTr="00A27EF6">
        <w:trPr>
          <w:trHeight w:val="315"/>
        </w:trPr>
        <w:tc>
          <w:tcPr>
            <w:tcW w:w="1400" w:type="dxa"/>
            <w:tcBorders>
              <w:top w:val="nil"/>
              <w:left w:val="nil"/>
              <w:bottom w:val="nil"/>
              <w:right w:val="nil"/>
            </w:tcBorders>
            <w:shd w:val="clear" w:color="auto" w:fill="auto"/>
            <w:noWrap/>
            <w:vAlign w:val="bottom"/>
            <w:hideMark/>
          </w:tcPr>
          <w:p w14:paraId="5549FF6E" w14:textId="77777777" w:rsidR="00440F24" w:rsidRPr="00BF0169" w:rsidRDefault="00440F24" w:rsidP="00A27EF6">
            <w:pPr>
              <w:spacing w:after="0"/>
              <w:jc w:val="left"/>
              <w:rPr>
                <w:noProof/>
                <w:lang w:val="it-IT"/>
              </w:rPr>
            </w:pPr>
            <w:r w:rsidRPr="00BF0169">
              <w:rPr>
                <w:noProof/>
                <w:lang w:val="it-IT"/>
              </w:rPr>
              <w:t>UE</w:t>
            </w:r>
          </w:p>
        </w:tc>
        <w:tc>
          <w:tcPr>
            <w:tcW w:w="6964" w:type="dxa"/>
            <w:tcBorders>
              <w:top w:val="nil"/>
              <w:left w:val="nil"/>
              <w:bottom w:val="nil"/>
              <w:right w:val="nil"/>
            </w:tcBorders>
            <w:shd w:val="clear" w:color="auto" w:fill="auto"/>
            <w:noWrap/>
            <w:vAlign w:val="bottom"/>
            <w:hideMark/>
          </w:tcPr>
          <w:p w14:paraId="12D901A5" w14:textId="77777777" w:rsidR="00440F24" w:rsidRPr="00BF0169" w:rsidRDefault="00440F24" w:rsidP="00A27EF6">
            <w:pPr>
              <w:spacing w:after="0"/>
              <w:jc w:val="left"/>
              <w:rPr>
                <w:noProof/>
                <w:lang w:val="it-IT"/>
              </w:rPr>
            </w:pPr>
            <w:r w:rsidRPr="00BF0169">
              <w:rPr>
                <w:noProof/>
                <w:lang w:val="it-IT"/>
              </w:rPr>
              <w:t>Unione europea</w:t>
            </w:r>
          </w:p>
        </w:tc>
      </w:tr>
      <w:tr w:rsidR="00CF7811" w:rsidRPr="00BF0169" w14:paraId="15D52E9B" w14:textId="77777777" w:rsidTr="00A27EF6">
        <w:trPr>
          <w:trHeight w:val="315"/>
        </w:trPr>
        <w:tc>
          <w:tcPr>
            <w:tcW w:w="1400" w:type="dxa"/>
            <w:tcBorders>
              <w:top w:val="nil"/>
              <w:left w:val="nil"/>
              <w:bottom w:val="nil"/>
              <w:right w:val="nil"/>
            </w:tcBorders>
            <w:shd w:val="clear" w:color="auto" w:fill="auto"/>
            <w:noWrap/>
            <w:vAlign w:val="bottom"/>
          </w:tcPr>
          <w:p w14:paraId="48470DEE" w14:textId="77777777" w:rsidR="00CF7811" w:rsidRPr="00BF0169" w:rsidRDefault="00CF7811" w:rsidP="00A27EF6">
            <w:pPr>
              <w:spacing w:after="0"/>
              <w:jc w:val="left"/>
              <w:rPr>
                <w:noProof/>
                <w:lang w:val="it-IT"/>
              </w:rPr>
            </w:pPr>
            <w:r w:rsidRPr="00BF0169">
              <w:rPr>
                <w:noProof/>
                <w:lang w:val="it-IT"/>
              </w:rPr>
              <w:t>EUBAM</w:t>
            </w:r>
          </w:p>
        </w:tc>
        <w:tc>
          <w:tcPr>
            <w:tcW w:w="6964" w:type="dxa"/>
            <w:tcBorders>
              <w:top w:val="nil"/>
              <w:left w:val="nil"/>
              <w:bottom w:val="nil"/>
              <w:right w:val="nil"/>
            </w:tcBorders>
            <w:shd w:val="clear" w:color="auto" w:fill="auto"/>
            <w:noWrap/>
            <w:vAlign w:val="bottom"/>
          </w:tcPr>
          <w:p w14:paraId="68EE3787" w14:textId="6E1F1C7C" w:rsidR="00CF7811" w:rsidRPr="00BF0169" w:rsidRDefault="00CF7811" w:rsidP="00A27EF6">
            <w:pPr>
              <w:spacing w:after="0"/>
              <w:jc w:val="left"/>
              <w:rPr>
                <w:noProof/>
                <w:lang w:val="it-IT"/>
              </w:rPr>
            </w:pPr>
            <w:r w:rsidRPr="00BF0169">
              <w:rPr>
                <w:noProof/>
                <w:lang w:val="it-IT"/>
              </w:rPr>
              <w:t>Missione dell</w:t>
            </w:r>
            <w:r w:rsidR="00BF0169" w:rsidRPr="00BF0169">
              <w:rPr>
                <w:noProof/>
                <w:lang w:val="it-IT"/>
              </w:rPr>
              <w:t>'</w:t>
            </w:r>
            <w:r w:rsidRPr="00BF0169">
              <w:rPr>
                <w:noProof/>
                <w:lang w:val="it-IT"/>
              </w:rPr>
              <w:t>Unione europea di assistenza alle frontiere per Moldova e Ucraina</w:t>
            </w:r>
          </w:p>
        </w:tc>
      </w:tr>
      <w:tr w:rsidR="00CF7811" w:rsidRPr="00BF0169" w14:paraId="2F3D8E26" w14:textId="77777777" w:rsidTr="00A27EF6">
        <w:trPr>
          <w:trHeight w:val="315"/>
        </w:trPr>
        <w:tc>
          <w:tcPr>
            <w:tcW w:w="1400" w:type="dxa"/>
            <w:tcBorders>
              <w:top w:val="nil"/>
              <w:left w:val="nil"/>
              <w:bottom w:val="nil"/>
              <w:right w:val="nil"/>
            </w:tcBorders>
            <w:shd w:val="clear" w:color="auto" w:fill="auto"/>
            <w:noWrap/>
            <w:vAlign w:val="bottom"/>
          </w:tcPr>
          <w:p w14:paraId="2E69ADC0" w14:textId="77777777" w:rsidR="00CF7811" w:rsidRPr="00BF0169" w:rsidRDefault="00CF7811" w:rsidP="00A27EF6">
            <w:pPr>
              <w:spacing w:after="0"/>
              <w:jc w:val="left"/>
              <w:rPr>
                <w:noProof/>
                <w:lang w:val="it-IT"/>
              </w:rPr>
            </w:pPr>
            <w:r w:rsidRPr="00BF0169">
              <w:rPr>
                <w:noProof/>
                <w:lang w:val="it-IT"/>
              </w:rPr>
              <w:t>FCTC</w:t>
            </w:r>
          </w:p>
        </w:tc>
        <w:tc>
          <w:tcPr>
            <w:tcW w:w="6964" w:type="dxa"/>
            <w:tcBorders>
              <w:top w:val="nil"/>
              <w:left w:val="nil"/>
              <w:bottom w:val="nil"/>
              <w:right w:val="nil"/>
            </w:tcBorders>
            <w:shd w:val="clear" w:color="auto" w:fill="auto"/>
            <w:noWrap/>
            <w:vAlign w:val="bottom"/>
          </w:tcPr>
          <w:p w14:paraId="273B767E" w14:textId="77E35BA1" w:rsidR="00CF7811" w:rsidRPr="00BF0169" w:rsidRDefault="00CF7811" w:rsidP="00A27EF6">
            <w:pPr>
              <w:spacing w:after="0"/>
              <w:jc w:val="left"/>
              <w:rPr>
                <w:noProof/>
                <w:lang w:val="it-IT"/>
              </w:rPr>
            </w:pPr>
            <w:r w:rsidRPr="00BF0169">
              <w:rPr>
                <w:noProof/>
                <w:lang w:val="it-IT"/>
              </w:rPr>
              <w:t>Convenzione quadro dell</w:t>
            </w:r>
            <w:r w:rsidR="00BF0169" w:rsidRPr="00BF0169">
              <w:rPr>
                <w:noProof/>
                <w:lang w:val="it-IT"/>
              </w:rPr>
              <w:t>'</w:t>
            </w:r>
            <w:r w:rsidRPr="00BF0169">
              <w:rPr>
                <w:noProof/>
                <w:lang w:val="it-IT"/>
              </w:rPr>
              <w:t>OMS per la lotta al tabagismo</w:t>
            </w:r>
          </w:p>
        </w:tc>
      </w:tr>
      <w:tr w:rsidR="00CF7811" w:rsidRPr="00BF0169" w14:paraId="622EF4A4" w14:textId="77777777" w:rsidTr="00A27EF6">
        <w:trPr>
          <w:trHeight w:val="315"/>
        </w:trPr>
        <w:tc>
          <w:tcPr>
            <w:tcW w:w="1400" w:type="dxa"/>
            <w:tcBorders>
              <w:top w:val="nil"/>
              <w:left w:val="nil"/>
              <w:bottom w:val="nil"/>
              <w:right w:val="nil"/>
            </w:tcBorders>
            <w:shd w:val="clear" w:color="auto" w:fill="auto"/>
            <w:noWrap/>
            <w:vAlign w:val="bottom"/>
          </w:tcPr>
          <w:p w14:paraId="6783217E" w14:textId="77777777" w:rsidR="00CF7811" w:rsidRPr="00BF0169" w:rsidRDefault="00CF7811" w:rsidP="00A27EF6">
            <w:pPr>
              <w:spacing w:after="0"/>
              <w:jc w:val="left"/>
              <w:rPr>
                <w:noProof/>
                <w:lang w:val="it-IT"/>
              </w:rPr>
            </w:pPr>
            <w:r w:rsidRPr="00BF0169">
              <w:rPr>
                <w:noProof/>
                <w:lang w:val="it-IT"/>
              </w:rPr>
              <w:t>FDR</w:t>
            </w:r>
          </w:p>
        </w:tc>
        <w:tc>
          <w:tcPr>
            <w:tcW w:w="6964" w:type="dxa"/>
            <w:tcBorders>
              <w:top w:val="nil"/>
              <w:left w:val="nil"/>
              <w:bottom w:val="nil"/>
              <w:right w:val="nil"/>
            </w:tcBorders>
            <w:shd w:val="clear" w:color="auto" w:fill="auto"/>
            <w:noWrap/>
            <w:vAlign w:val="bottom"/>
          </w:tcPr>
          <w:p w14:paraId="2CA8C8E0" w14:textId="77777777" w:rsidR="00CF7811" w:rsidRPr="00BF0169" w:rsidRDefault="00CF7811" w:rsidP="00A27EF6">
            <w:pPr>
              <w:spacing w:after="0"/>
              <w:jc w:val="left"/>
              <w:rPr>
                <w:noProof/>
                <w:lang w:val="it-IT"/>
              </w:rPr>
            </w:pPr>
            <w:r w:rsidRPr="00BF0169">
              <w:rPr>
                <w:noProof/>
                <w:lang w:val="it-IT"/>
              </w:rPr>
              <w:t>Tasso di individuazione delle frodi</w:t>
            </w:r>
          </w:p>
        </w:tc>
      </w:tr>
      <w:tr w:rsidR="00440F24" w:rsidRPr="00BF0169" w14:paraId="30D0C0F2" w14:textId="77777777" w:rsidTr="00A27EF6">
        <w:trPr>
          <w:trHeight w:val="315"/>
        </w:trPr>
        <w:tc>
          <w:tcPr>
            <w:tcW w:w="1400" w:type="dxa"/>
            <w:tcBorders>
              <w:top w:val="nil"/>
              <w:left w:val="nil"/>
              <w:bottom w:val="nil"/>
              <w:right w:val="nil"/>
            </w:tcBorders>
            <w:shd w:val="clear" w:color="auto" w:fill="auto"/>
            <w:noWrap/>
            <w:vAlign w:val="bottom"/>
            <w:hideMark/>
          </w:tcPr>
          <w:p w14:paraId="3E6C2B6B" w14:textId="77777777" w:rsidR="00440F24" w:rsidRPr="00BF0169" w:rsidRDefault="00440F24" w:rsidP="00A27EF6">
            <w:pPr>
              <w:spacing w:after="0"/>
              <w:jc w:val="left"/>
              <w:rPr>
                <w:noProof/>
                <w:lang w:val="it-IT"/>
              </w:rPr>
            </w:pPr>
            <w:r w:rsidRPr="00BF0169">
              <w:rPr>
                <w:noProof/>
                <w:lang w:val="it-IT"/>
              </w:rPr>
              <w:t>HFC</w:t>
            </w:r>
          </w:p>
        </w:tc>
        <w:tc>
          <w:tcPr>
            <w:tcW w:w="6964" w:type="dxa"/>
            <w:tcBorders>
              <w:top w:val="nil"/>
              <w:left w:val="nil"/>
              <w:bottom w:val="nil"/>
              <w:right w:val="nil"/>
            </w:tcBorders>
            <w:shd w:val="clear" w:color="auto" w:fill="auto"/>
            <w:noWrap/>
            <w:vAlign w:val="bottom"/>
            <w:hideMark/>
          </w:tcPr>
          <w:p w14:paraId="56CA7AAA" w14:textId="7CB08F88" w:rsidR="00440F24" w:rsidRPr="00BF0169" w:rsidRDefault="00167262" w:rsidP="00167262">
            <w:pPr>
              <w:spacing w:after="0"/>
              <w:jc w:val="left"/>
              <w:rPr>
                <w:noProof/>
                <w:lang w:val="it-IT"/>
              </w:rPr>
            </w:pPr>
            <w:r w:rsidRPr="00BF0169">
              <w:rPr>
                <w:noProof/>
                <w:lang w:val="it-IT"/>
              </w:rPr>
              <w:t>Idrofluorocarburi (gas refrigeranti)</w:t>
            </w:r>
          </w:p>
        </w:tc>
      </w:tr>
      <w:tr w:rsidR="00CF7811" w:rsidRPr="00BF0169" w14:paraId="2889599A" w14:textId="77777777" w:rsidTr="00A27EF6">
        <w:trPr>
          <w:trHeight w:val="315"/>
        </w:trPr>
        <w:tc>
          <w:tcPr>
            <w:tcW w:w="1400" w:type="dxa"/>
            <w:tcBorders>
              <w:top w:val="nil"/>
              <w:left w:val="nil"/>
              <w:bottom w:val="nil"/>
              <w:right w:val="nil"/>
            </w:tcBorders>
            <w:shd w:val="clear" w:color="auto" w:fill="auto"/>
            <w:noWrap/>
            <w:vAlign w:val="bottom"/>
          </w:tcPr>
          <w:p w14:paraId="5386E10D" w14:textId="77777777" w:rsidR="00CF7811" w:rsidRPr="00BF0169" w:rsidRDefault="00CF7811" w:rsidP="00A27EF6">
            <w:pPr>
              <w:spacing w:after="0"/>
              <w:jc w:val="left"/>
              <w:rPr>
                <w:noProof/>
                <w:lang w:val="it-IT"/>
              </w:rPr>
            </w:pPr>
            <w:r w:rsidRPr="00BF0169">
              <w:rPr>
                <w:noProof/>
                <w:lang w:val="it-IT"/>
              </w:rPr>
              <w:t>IDR</w:t>
            </w:r>
          </w:p>
        </w:tc>
        <w:tc>
          <w:tcPr>
            <w:tcW w:w="6964" w:type="dxa"/>
            <w:tcBorders>
              <w:top w:val="nil"/>
              <w:left w:val="nil"/>
              <w:bottom w:val="nil"/>
              <w:right w:val="nil"/>
            </w:tcBorders>
            <w:shd w:val="clear" w:color="auto" w:fill="auto"/>
            <w:noWrap/>
            <w:vAlign w:val="bottom"/>
          </w:tcPr>
          <w:p w14:paraId="78748117" w14:textId="77777777" w:rsidR="00CF7811" w:rsidRPr="00BF0169" w:rsidRDefault="00CF7811" w:rsidP="00CF7811">
            <w:pPr>
              <w:spacing w:after="0"/>
              <w:jc w:val="left"/>
              <w:rPr>
                <w:noProof/>
                <w:lang w:val="it-IT"/>
              </w:rPr>
            </w:pPr>
            <w:r w:rsidRPr="00BF0169">
              <w:rPr>
                <w:noProof/>
                <w:lang w:val="it-IT"/>
              </w:rPr>
              <w:t>Tasso di individuazione delle irregolarità</w:t>
            </w:r>
          </w:p>
        </w:tc>
      </w:tr>
      <w:tr w:rsidR="00440F24" w:rsidRPr="00BF0169" w14:paraId="5618E674" w14:textId="77777777" w:rsidTr="00A27EF6">
        <w:trPr>
          <w:trHeight w:val="315"/>
        </w:trPr>
        <w:tc>
          <w:tcPr>
            <w:tcW w:w="1400" w:type="dxa"/>
            <w:tcBorders>
              <w:top w:val="nil"/>
              <w:left w:val="nil"/>
              <w:bottom w:val="nil"/>
              <w:right w:val="nil"/>
            </w:tcBorders>
            <w:shd w:val="clear" w:color="auto" w:fill="auto"/>
            <w:noWrap/>
            <w:vAlign w:val="bottom"/>
          </w:tcPr>
          <w:p w14:paraId="383F215E" w14:textId="77777777" w:rsidR="00440F24" w:rsidRPr="00BF0169" w:rsidRDefault="00440F24" w:rsidP="00A27EF6">
            <w:pPr>
              <w:spacing w:after="0"/>
              <w:jc w:val="left"/>
              <w:rPr>
                <w:noProof/>
                <w:lang w:val="it-IT"/>
              </w:rPr>
            </w:pPr>
            <w:r w:rsidRPr="00BF0169">
              <w:rPr>
                <w:noProof/>
                <w:lang w:val="it-IT"/>
              </w:rPr>
              <w:t>IMS</w:t>
            </w:r>
          </w:p>
        </w:tc>
        <w:tc>
          <w:tcPr>
            <w:tcW w:w="6964" w:type="dxa"/>
            <w:tcBorders>
              <w:top w:val="nil"/>
              <w:left w:val="nil"/>
              <w:bottom w:val="nil"/>
              <w:right w:val="nil"/>
            </w:tcBorders>
            <w:shd w:val="clear" w:color="auto" w:fill="auto"/>
            <w:noWrap/>
            <w:vAlign w:val="bottom"/>
          </w:tcPr>
          <w:p w14:paraId="68EFE45E" w14:textId="77777777" w:rsidR="00440F24" w:rsidRPr="00BF0169" w:rsidRDefault="00440F24" w:rsidP="00A27EF6">
            <w:pPr>
              <w:spacing w:after="0"/>
              <w:jc w:val="left"/>
              <w:rPr>
                <w:noProof/>
                <w:lang w:val="it-IT"/>
              </w:rPr>
            </w:pPr>
            <w:r w:rsidRPr="00BF0169">
              <w:rPr>
                <w:noProof/>
                <w:lang w:val="it-IT"/>
              </w:rPr>
              <w:t>Sistema di gestione delle irregolarità</w:t>
            </w:r>
          </w:p>
        </w:tc>
      </w:tr>
      <w:tr w:rsidR="00CF7811" w:rsidRPr="00BF0169" w14:paraId="306DD4D1" w14:textId="77777777" w:rsidTr="00A27EF6">
        <w:trPr>
          <w:trHeight w:val="315"/>
        </w:trPr>
        <w:tc>
          <w:tcPr>
            <w:tcW w:w="1400" w:type="dxa"/>
            <w:tcBorders>
              <w:top w:val="nil"/>
              <w:left w:val="nil"/>
              <w:bottom w:val="nil"/>
              <w:right w:val="nil"/>
            </w:tcBorders>
            <w:shd w:val="clear" w:color="auto" w:fill="auto"/>
            <w:noWrap/>
            <w:vAlign w:val="bottom"/>
          </w:tcPr>
          <w:p w14:paraId="144DD718" w14:textId="77777777" w:rsidR="00CF7811" w:rsidRPr="00BF0169" w:rsidRDefault="00CF7811" w:rsidP="00A27EF6">
            <w:pPr>
              <w:spacing w:after="0"/>
              <w:jc w:val="left"/>
              <w:rPr>
                <w:noProof/>
                <w:lang w:val="it-IT"/>
              </w:rPr>
            </w:pPr>
            <w:r w:rsidRPr="00BF0169">
              <w:rPr>
                <w:noProof/>
                <w:lang w:val="it-IT"/>
              </w:rPr>
              <w:t>SIC</w:t>
            </w:r>
          </w:p>
        </w:tc>
        <w:tc>
          <w:tcPr>
            <w:tcW w:w="6964" w:type="dxa"/>
            <w:tcBorders>
              <w:top w:val="nil"/>
              <w:left w:val="nil"/>
              <w:bottom w:val="nil"/>
              <w:right w:val="nil"/>
            </w:tcBorders>
            <w:shd w:val="clear" w:color="auto" w:fill="auto"/>
            <w:noWrap/>
            <w:vAlign w:val="bottom"/>
          </w:tcPr>
          <w:p w14:paraId="09417D3A" w14:textId="77777777" w:rsidR="00CF7811" w:rsidRPr="00BF0169" w:rsidRDefault="00CF7811" w:rsidP="00CF7811">
            <w:pPr>
              <w:spacing w:after="0"/>
              <w:jc w:val="left"/>
              <w:rPr>
                <w:noProof/>
                <w:lang w:val="it-IT"/>
              </w:rPr>
            </w:pPr>
            <w:r w:rsidRPr="00BF0169">
              <w:rPr>
                <w:noProof/>
                <w:lang w:val="it-IT"/>
              </w:rPr>
              <w:t>Squadra investigativa comune</w:t>
            </w:r>
          </w:p>
        </w:tc>
      </w:tr>
      <w:tr w:rsidR="00440F24" w:rsidRPr="00BF0169" w14:paraId="4B360301" w14:textId="77777777" w:rsidTr="00A27EF6">
        <w:trPr>
          <w:trHeight w:val="315"/>
        </w:trPr>
        <w:tc>
          <w:tcPr>
            <w:tcW w:w="1400" w:type="dxa"/>
            <w:tcBorders>
              <w:top w:val="nil"/>
              <w:left w:val="nil"/>
              <w:bottom w:val="nil"/>
              <w:right w:val="nil"/>
            </w:tcBorders>
            <w:shd w:val="clear" w:color="auto" w:fill="auto"/>
            <w:noWrap/>
            <w:vAlign w:val="bottom"/>
            <w:hideMark/>
          </w:tcPr>
          <w:p w14:paraId="008A18FE" w14:textId="77777777" w:rsidR="00440F24" w:rsidRPr="00BF0169" w:rsidRDefault="00440F24" w:rsidP="00A27EF6">
            <w:pPr>
              <w:spacing w:after="0"/>
              <w:jc w:val="left"/>
              <w:rPr>
                <w:noProof/>
                <w:lang w:val="it-IT"/>
              </w:rPr>
            </w:pPr>
            <w:r w:rsidRPr="00BF0169">
              <w:rPr>
                <w:noProof/>
                <w:lang w:val="it-IT"/>
              </w:rPr>
              <w:t>QFP</w:t>
            </w:r>
          </w:p>
        </w:tc>
        <w:tc>
          <w:tcPr>
            <w:tcW w:w="6964" w:type="dxa"/>
            <w:tcBorders>
              <w:top w:val="nil"/>
              <w:left w:val="nil"/>
              <w:bottom w:val="nil"/>
              <w:right w:val="nil"/>
            </w:tcBorders>
            <w:shd w:val="clear" w:color="auto" w:fill="auto"/>
            <w:noWrap/>
            <w:vAlign w:val="bottom"/>
            <w:hideMark/>
          </w:tcPr>
          <w:p w14:paraId="4CED6B31" w14:textId="77777777" w:rsidR="00440F24" w:rsidRPr="00BF0169" w:rsidRDefault="00440F24" w:rsidP="00A27EF6">
            <w:pPr>
              <w:spacing w:after="0"/>
              <w:jc w:val="left"/>
              <w:rPr>
                <w:noProof/>
                <w:lang w:val="it-IT"/>
              </w:rPr>
            </w:pPr>
            <w:r w:rsidRPr="00BF0169">
              <w:rPr>
                <w:noProof/>
                <w:lang w:val="it-IT"/>
              </w:rPr>
              <w:t>Quadro finanziario pluriennale</w:t>
            </w:r>
          </w:p>
        </w:tc>
      </w:tr>
      <w:tr w:rsidR="00440F24" w:rsidRPr="00BF0169" w14:paraId="023BF32D" w14:textId="77777777" w:rsidTr="00A27EF6">
        <w:trPr>
          <w:trHeight w:val="315"/>
        </w:trPr>
        <w:tc>
          <w:tcPr>
            <w:tcW w:w="1400" w:type="dxa"/>
            <w:tcBorders>
              <w:top w:val="nil"/>
              <w:left w:val="nil"/>
              <w:bottom w:val="nil"/>
              <w:right w:val="nil"/>
            </w:tcBorders>
            <w:shd w:val="clear" w:color="auto" w:fill="auto"/>
            <w:noWrap/>
            <w:vAlign w:val="bottom"/>
            <w:hideMark/>
          </w:tcPr>
          <w:p w14:paraId="721E1840" w14:textId="77777777" w:rsidR="00440F24" w:rsidRPr="00BF0169" w:rsidRDefault="00440F24" w:rsidP="00A27EF6">
            <w:pPr>
              <w:spacing w:after="0"/>
              <w:jc w:val="left"/>
              <w:rPr>
                <w:noProof/>
                <w:lang w:val="it-IT"/>
              </w:rPr>
            </w:pPr>
            <w:r w:rsidRPr="00BF0169">
              <w:rPr>
                <w:noProof/>
                <w:lang w:val="it-IT"/>
              </w:rPr>
              <w:t>NGEU</w:t>
            </w:r>
          </w:p>
        </w:tc>
        <w:tc>
          <w:tcPr>
            <w:tcW w:w="6964" w:type="dxa"/>
            <w:tcBorders>
              <w:top w:val="nil"/>
              <w:left w:val="nil"/>
              <w:bottom w:val="nil"/>
              <w:right w:val="nil"/>
            </w:tcBorders>
            <w:shd w:val="clear" w:color="auto" w:fill="auto"/>
            <w:noWrap/>
            <w:vAlign w:val="bottom"/>
            <w:hideMark/>
          </w:tcPr>
          <w:p w14:paraId="079535C1" w14:textId="77777777" w:rsidR="00440F24" w:rsidRPr="00BF0169" w:rsidRDefault="00440F24" w:rsidP="00A27EF6">
            <w:pPr>
              <w:spacing w:after="0"/>
              <w:jc w:val="left"/>
              <w:rPr>
                <w:noProof/>
                <w:lang w:val="it-IT"/>
              </w:rPr>
            </w:pPr>
            <w:r w:rsidRPr="00BF0169">
              <w:rPr>
                <w:noProof/>
                <w:lang w:val="it-IT"/>
              </w:rPr>
              <w:t>NextGenerationEU</w:t>
            </w:r>
          </w:p>
        </w:tc>
      </w:tr>
      <w:tr w:rsidR="00EB636F" w:rsidRPr="00BF0169" w14:paraId="0B315FD8" w14:textId="77777777" w:rsidTr="00A27EF6">
        <w:trPr>
          <w:trHeight w:val="315"/>
        </w:trPr>
        <w:tc>
          <w:tcPr>
            <w:tcW w:w="1400" w:type="dxa"/>
            <w:tcBorders>
              <w:top w:val="nil"/>
              <w:left w:val="nil"/>
              <w:bottom w:val="nil"/>
              <w:right w:val="nil"/>
            </w:tcBorders>
            <w:shd w:val="clear" w:color="auto" w:fill="auto"/>
            <w:noWrap/>
            <w:vAlign w:val="bottom"/>
          </w:tcPr>
          <w:p w14:paraId="50ECB274" w14:textId="77777777" w:rsidR="00EB636F" w:rsidRPr="00BF0169" w:rsidRDefault="00EB636F" w:rsidP="00A27EF6">
            <w:pPr>
              <w:spacing w:after="0"/>
              <w:jc w:val="left"/>
              <w:rPr>
                <w:noProof/>
                <w:lang w:val="it-IT"/>
              </w:rPr>
            </w:pPr>
            <w:r w:rsidRPr="00BF0169">
              <w:rPr>
                <w:noProof/>
                <w:lang w:val="it-IT"/>
              </w:rPr>
              <w:t>OFIS</w:t>
            </w:r>
          </w:p>
        </w:tc>
        <w:tc>
          <w:tcPr>
            <w:tcW w:w="6964" w:type="dxa"/>
            <w:tcBorders>
              <w:top w:val="nil"/>
              <w:left w:val="nil"/>
              <w:bottom w:val="nil"/>
              <w:right w:val="nil"/>
            </w:tcBorders>
            <w:shd w:val="clear" w:color="auto" w:fill="auto"/>
            <w:noWrap/>
            <w:vAlign w:val="bottom"/>
          </w:tcPr>
          <w:p w14:paraId="2386F352" w14:textId="593B2076" w:rsidR="00EB636F" w:rsidRPr="00BF0169" w:rsidRDefault="00EB636F" w:rsidP="00A27EF6">
            <w:pPr>
              <w:spacing w:after="0"/>
              <w:jc w:val="left"/>
              <w:rPr>
                <w:noProof/>
                <w:lang w:val="it-IT"/>
              </w:rPr>
            </w:pPr>
            <w:r w:rsidRPr="00BF0169">
              <w:rPr>
                <w:noProof/>
                <w:lang w:val="it-IT"/>
              </w:rPr>
              <w:t>Sistema informativo sull</w:t>
            </w:r>
            <w:r w:rsidR="00BF0169" w:rsidRPr="00BF0169">
              <w:rPr>
                <w:noProof/>
                <w:lang w:val="it-IT"/>
              </w:rPr>
              <w:t>'</w:t>
            </w:r>
            <w:r w:rsidRPr="00BF0169">
              <w:rPr>
                <w:noProof/>
                <w:lang w:val="it-IT"/>
              </w:rPr>
              <w:t>agricoltura biologica</w:t>
            </w:r>
          </w:p>
        </w:tc>
      </w:tr>
      <w:tr w:rsidR="00440F24" w:rsidRPr="00BF0169" w14:paraId="3D37FB8C" w14:textId="77777777" w:rsidTr="00A27EF6">
        <w:trPr>
          <w:trHeight w:val="315"/>
        </w:trPr>
        <w:tc>
          <w:tcPr>
            <w:tcW w:w="1400" w:type="dxa"/>
            <w:tcBorders>
              <w:top w:val="nil"/>
              <w:left w:val="nil"/>
              <w:bottom w:val="nil"/>
              <w:right w:val="nil"/>
            </w:tcBorders>
            <w:shd w:val="clear" w:color="auto" w:fill="auto"/>
            <w:noWrap/>
            <w:vAlign w:val="bottom"/>
            <w:hideMark/>
          </w:tcPr>
          <w:p w14:paraId="003686CA" w14:textId="77777777" w:rsidR="00440F24" w:rsidRPr="00BF0169" w:rsidRDefault="00440F24" w:rsidP="00A27EF6">
            <w:pPr>
              <w:spacing w:after="0"/>
              <w:jc w:val="left"/>
              <w:rPr>
                <w:noProof/>
                <w:lang w:val="it-IT"/>
              </w:rPr>
            </w:pPr>
            <w:r w:rsidRPr="00BF0169">
              <w:rPr>
                <w:noProof/>
                <w:lang w:val="it-IT"/>
              </w:rPr>
              <w:t>OLAF</w:t>
            </w:r>
          </w:p>
        </w:tc>
        <w:tc>
          <w:tcPr>
            <w:tcW w:w="6964" w:type="dxa"/>
            <w:tcBorders>
              <w:top w:val="nil"/>
              <w:left w:val="nil"/>
              <w:bottom w:val="nil"/>
              <w:right w:val="nil"/>
            </w:tcBorders>
            <w:shd w:val="clear" w:color="auto" w:fill="auto"/>
            <w:noWrap/>
            <w:vAlign w:val="bottom"/>
            <w:hideMark/>
          </w:tcPr>
          <w:p w14:paraId="46DD9207" w14:textId="77777777" w:rsidR="00440F24" w:rsidRPr="00BF0169" w:rsidRDefault="00440F24" w:rsidP="00A27EF6">
            <w:pPr>
              <w:spacing w:after="0"/>
              <w:jc w:val="left"/>
              <w:rPr>
                <w:noProof/>
                <w:lang w:val="it-IT"/>
              </w:rPr>
            </w:pPr>
            <w:r w:rsidRPr="00BF0169">
              <w:rPr>
                <w:noProof/>
                <w:lang w:val="it-IT"/>
              </w:rPr>
              <w:t>Ufficio europeo per la lotta antifrode</w:t>
            </w:r>
          </w:p>
        </w:tc>
      </w:tr>
      <w:tr w:rsidR="00440F24" w:rsidRPr="00BF0169" w14:paraId="151196BD" w14:textId="77777777" w:rsidTr="00A27EF6">
        <w:trPr>
          <w:trHeight w:val="315"/>
        </w:trPr>
        <w:tc>
          <w:tcPr>
            <w:tcW w:w="1400" w:type="dxa"/>
            <w:tcBorders>
              <w:top w:val="nil"/>
              <w:left w:val="nil"/>
              <w:bottom w:val="nil"/>
              <w:right w:val="nil"/>
            </w:tcBorders>
            <w:shd w:val="clear" w:color="auto" w:fill="auto"/>
            <w:noWrap/>
            <w:vAlign w:val="bottom"/>
            <w:hideMark/>
          </w:tcPr>
          <w:p w14:paraId="27BA0C64" w14:textId="77777777" w:rsidR="00440F24" w:rsidRPr="00BF0169" w:rsidRDefault="00440F24" w:rsidP="00A27EF6">
            <w:pPr>
              <w:spacing w:after="0"/>
              <w:jc w:val="left"/>
              <w:rPr>
                <w:noProof/>
                <w:lang w:val="it-IT"/>
              </w:rPr>
            </w:pPr>
            <w:r w:rsidRPr="00BF0169">
              <w:rPr>
                <w:noProof/>
                <w:lang w:val="it-IT"/>
              </w:rPr>
              <w:t>PIF</w:t>
            </w:r>
          </w:p>
        </w:tc>
        <w:tc>
          <w:tcPr>
            <w:tcW w:w="6964" w:type="dxa"/>
            <w:tcBorders>
              <w:top w:val="nil"/>
              <w:left w:val="nil"/>
              <w:bottom w:val="nil"/>
              <w:right w:val="nil"/>
            </w:tcBorders>
            <w:shd w:val="clear" w:color="auto" w:fill="auto"/>
            <w:noWrap/>
            <w:vAlign w:val="bottom"/>
            <w:hideMark/>
          </w:tcPr>
          <w:p w14:paraId="277A2CB3" w14:textId="77777777" w:rsidR="00440F24" w:rsidRPr="00BF0169" w:rsidRDefault="00440F24" w:rsidP="00A27EF6">
            <w:pPr>
              <w:spacing w:after="0"/>
              <w:jc w:val="left"/>
              <w:rPr>
                <w:noProof/>
                <w:lang w:val="it-IT"/>
              </w:rPr>
            </w:pPr>
            <w:r w:rsidRPr="00BF0169">
              <w:rPr>
                <w:noProof/>
                <w:lang w:val="it-IT"/>
              </w:rPr>
              <w:t>Tutela degli interessi finanziari</w:t>
            </w:r>
          </w:p>
        </w:tc>
      </w:tr>
      <w:tr w:rsidR="00440F24" w:rsidRPr="00BF0169" w14:paraId="044926DF" w14:textId="77777777" w:rsidTr="00A27EF6">
        <w:trPr>
          <w:trHeight w:val="315"/>
        </w:trPr>
        <w:tc>
          <w:tcPr>
            <w:tcW w:w="1400" w:type="dxa"/>
            <w:tcBorders>
              <w:top w:val="nil"/>
              <w:left w:val="nil"/>
              <w:bottom w:val="nil"/>
              <w:right w:val="nil"/>
            </w:tcBorders>
            <w:shd w:val="clear" w:color="auto" w:fill="auto"/>
            <w:noWrap/>
            <w:vAlign w:val="bottom"/>
            <w:hideMark/>
          </w:tcPr>
          <w:p w14:paraId="5ED07D9E" w14:textId="77777777" w:rsidR="00440F24" w:rsidRPr="00BF0169" w:rsidRDefault="00440F24" w:rsidP="00A27EF6">
            <w:pPr>
              <w:spacing w:after="0"/>
              <w:jc w:val="left"/>
              <w:rPr>
                <w:noProof/>
                <w:lang w:val="it-IT"/>
              </w:rPr>
            </w:pPr>
            <w:r w:rsidRPr="00BF0169">
              <w:rPr>
                <w:noProof/>
                <w:lang w:val="it-IT"/>
              </w:rPr>
              <w:t>RRF</w:t>
            </w:r>
          </w:p>
        </w:tc>
        <w:tc>
          <w:tcPr>
            <w:tcW w:w="6964" w:type="dxa"/>
            <w:tcBorders>
              <w:top w:val="nil"/>
              <w:left w:val="nil"/>
              <w:bottom w:val="nil"/>
              <w:right w:val="nil"/>
            </w:tcBorders>
            <w:shd w:val="clear" w:color="auto" w:fill="auto"/>
            <w:noWrap/>
            <w:vAlign w:val="bottom"/>
            <w:hideMark/>
          </w:tcPr>
          <w:p w14:paraId="7F6FEFA2" w14:textId="77777777" w:rsidR="00440F24" w:rsidRPr="00BF0169" w:rsidRDefault="00440F24" w:rsidP="00A27EF6">
            <w:pPr>
              <w:spacing w:after="0"/>
              <w:jc w:val="left"/>
              <w:rPr>
                <w:noProof/>
                <w:lang w:val="it-IT"/>
              </w:rPr>
            </w:pPr>
            <w:r w:rsidRPr="00BF0169">
              <w:rPr>
                <w:noProof/>
                <w:lang w:val="it-IT"/>
              </w:rPr>
              <w:t>Dispositivo per la ripresa e la resilienza</w:t>
            </w:r>
          </w:p>
        </w:tc>
      </w:tr>
      <w:tr w:rsidR="00CF7811" w:rsidRPr="00BF0169" w14:paraId="3A061454" w14:textId="77777777" w:rsidTr="00A27EF6">
        <w:trPr>
          <w:trHeight w:val="315"/>
        </w:trPr>
        <w:tc>
          <w:tcPr>
            <w:tcW w:w="1400" w:type="dxa"/>
            <w:tcBorders>
              <w:top w:val="nil"/>
              <w:left w:val="nil"/>
              <w:bottom w:val="nil"/>
              <w:right w:val="nil"/>
            </w:tcBorders>
            <w:shd w:val="clear" w:color="auto" w:fill="auto"/>
            <w:noWrap/>
            <w:vAlign w:val="bottom"/>
          </w:tcPr>
          <w:p w14:paraId="0564E6CC" w14:textId="77777777" w:rsidR="00CF7811" w:rsidRPr="00BF0169" w:rsidRDefault="00CF7811" w:rsidP="00A27EF6">
            <w:pPr>
              <w:spacing w:after="0"/>
              <w:jc w:val="left"/>
              <w:rPr>
                <w:noProof/>
                <w:lang w:val="it-IT"/>
              </w:rPr>
            </w:pPr>
            <w:r w:rsidRPr="00BF0169">
              <w:rPr>
                <w:noProof/>
                <w:lang w:val="it-IT"/>
              </w:rPr>
              <w:t>SCO</w:t>
            </w:r>
          </w:p>
        </w:tc>
        <w:tc>
          <w:tcPr>
            <w:tcW w:w="6964" w:type="dxa"/>
            <w:tcBorders>
              <w:top w:val="nil"/>
              <w:left w:val="nil"/>
              <w:bottom w:val="nil"/>
              <w:right w:val="nil"/>
            </w:tcBorders>
            <w:shd w:val="clear" w:color="auto" w:fill="auto"/>
            <w:noWrap/>
            <w:vAlign w:val="bottom"/>
          </w:tcPr>
          <w:p w14:paraId="0AF6D2EA" w14:textId="77777777" w:rsidR="00CF7811" w:rsidRPr="00BF0169" w:rsidRDefault="00CF7811" w:rsidP="00A27EF6">
            <w:pPr>
              <w:spacing w:after="0"/>
              <w:jc w:val="left"/>
              <w:rPr>
                <w:noProof/>
                <w:lang w:val="it-IT"/>
              </w:rPr>
            </w:pPr>
            <w:r w:rsidRPr="00BF0169">
              <w:rPr>
                <w:noProof/>
                <w:lang w:val="it-IT"/>
              </w:rPr>
              <w:t>Opzioni semplificate in materia di costi</w:t>
            </w:r>
          </w:p>
        </w:tc>
      </w:tr>
      <w:tr w:rsidR="00440F24" w:rsidRPr="00BF0169" w14:paraId="7510D3D6" w14:textId="77777777" w:rsidTr="00A27EF6">
        <w:trPr>
          <w:trHeight w:val="315"/>
        </w:trPr>
        <w:tc>
          <w:tcPr>
            <w:tcW w:w="1400" w:type="dxa"/>
            <w:tcBorders>
              <w:top w:val="nil"/>
              <w:left w:val="nil"/>
              <w:bottom w:val="nil"/>
              <w:right w:val="nil"/>
            </w:tcBorders>
            <w:shd w:val="clear" w:color="auto" w:fill="auto"/>
            <w:noWrap/>
            <w:vAlign w:val="bottom"/>
            <w:hideMark/>
          </w:tcPr>
          <w:p w14:paraId="1646B2A2" w14:textId="77777777" w:rsidR="00440F24" w:rsidRPr="00BF0169" w:rsidRDefault="00440F24" w:rsidP="00A27EF6">
            <w:pPr>
              <w:spacing w:after="0"/>
              <w:jc w:val="left"/>
              <w:rPr>
                <w:noProof/>
                <w:lang w:val="it-IT"/>
              </w:rPr>
            </w:pPr>
            <w:r w:rsidRPr="00BF0169">
              <w:rPr>
                <w:noProof/>
                <w:lang w:val="it-IT"/>
              </w:rPr>
              <w:t>TFUE</w:t>
            </w:r>
          </w:p>
        </w:tc>
        <w:tc>
          <w:tcPr>
            <w:tcW w:w="6964" w:type="dxa"/>
            <w:tcBorders>
              <w:top w:val="nil"/>
              <w:left w:val="nil"/>
              <w:bottom w:val="nil"/>
              <w:right w:val="nil"/>
            </w:tcBorders>
            <w:shd w:val="clear" w:color="auto" w:fill="auto"/>
            <w:noWrap/>
            <w:vAlign w:val="bottom"/>
            <w:hideMark/>
          </w:tcPr>
          <w:p w14:paraId="313FBBB5" w14:textId="13EB9463" w:rsidR="00440F24" w:rsidRPr="00BF0169" w:rsidRDefault="00440F24" w:rsidP="00A27EF6">
            <w:pPr>
              <w:spacing w:after="0"/>
              <w:jc w:val="left"/>
              <w:rPr>
                <w:noProof/>
                <w:lang w:val="it-IT"/>
              </w:rPr>
            </w:pPr>
            <w:r w:rsidRPr="00BF0169">
              <w:rPr>
                <w:noProof/>
                <w:lang w:val="it-IT"/>
              </w:rPr>
              <w:t>Trattato sul funzionamento dell</w:t>
            </w:r>
            <w:r w:rsidR="00BF0169" w:rsidRPr="00BF0169">
              <w:rPr>
                <w:noProof/>
                <w:lang w:val="it-IT"/>
              </w:rPr>
              <w:t>'</w:t>
            </w:r>
            <w:r w:rsidRPr="00BF0169">
              <w:rPr>
                <w:noProof/>
                <w:lang w:val="it-IT"/>
              </w:rPr>
              <w:t xml:space="preserve">Unione europea </w:t>
            </w:r>
          </w:p>
        </w:tc>
      </w:tr>
      <w:tr w:rsidR="00440F24" w:rsidRPr="00BF0169" w14:paraId="18F09E47" w14:textId="77777777" w:rsidTr="00A27EF6">
        <w:trPr>
          <w:trHeight w:val="315"/>
        </w:trPr>
        <w:tc>
          <w:tcPr>
            <w:tcW w:w="1400" w:type="dxa"/>
            <w:tcBorders>
              <w:top w:val="nil"/>
              <w:left w:val="nil"/>
              <w:bottom w:val="nil"/>
              <w:right w:val="nil"/>
            </w:tcBorders>
            <w:shd w:val="clear" w:color="auto" w:fill="auto"/>
            <w:noWrap/>
            <w:vAlign w:val="bottom"/>
            <w:hideMark/>
          </w:tcPr>
          <w:p w14:paraId="219BA4B7" w14:textId="77777777" w:rsidR="00440F24" w:rsidRPr="00BF0169" w:rsidRDefault="00440F24" w:rsidP="00A27EF6">
            <w:pPr>
              <w:spacing w:after="0"/>
              <w:jc w:val="left"/>
              <w:rPr>
                <w:noProof/>
                <w:lang w:val="it-IT"/>
              </w:rPr>
            </w:pPr>
            <w:r w:rsidRPr="00BF0169">
              <w:rPr>
                <w:noProof/>
                <w:lang w:val="it-IT"/>
              </w:rPr>
              <w:t>RPT</w:t>
            </w:r>
          </w:p>
        </w:tc>
        <w:tc>
          <w:tcPr>
            <w:tcW w:w="6964" w:type="dxa"/>
            <w:tcBorders>
              <w:top w:val="nil"/>
              <w:left w:val="nil"/>
              <w:bottom w:val="nil"/>
              <w:right w:val="nil"/>
            </w:tcBorders>
            <w:shd w:val="clear" w:color="auto" w:fill="auto"/>
            <w:noWrap/>
            <w:vAlign w:val="bottom"/>
            <w:hideMark/>
          </w:tcPr>
          <w:p w14:paraId="6B0AD094" w14:textId="77777777" w:rsidR="00440F24" w:rsidRPr="00BF0169" w:rsidRDefault="00440F24" w:rsidP="00A27EF6">
            <w:pPr>
              <w:spacing w:after="0"/>
              <w:jc w:val="left"/>
              <w:rPr>
                <w:noProof/>
                <w:lang w:val="it-IT"/>
              </w:rPr>
            </w:pPr>
            <w:r w:rsidRPr="00BF0169">
              <w:rPr>
                <w:noProof/>
                <w:lang w:val="it-IT"/>
              </w:rPr>
              <w:t>Risorse proprie tradizionali</w:t>
            </w:r>
          </w:p>
        </w:tc>
      </w:tr>
      <w:tr w:rsidR="00F90561" w:rsidRPr="00BF0169" w14:paraId="279A2BAD" w14:textId="77777777" w:rsidTr="00A27EF6">
        <w:trPr>
          <w:trHeight w:val="315"/>
        </w:trPr>
        <w:tc>
          <w:tcPr>
            <w:tcW w:w="1400" w:type="dxa"/>
            <w:tcBorders>
              <w:top w:val="nil"/>
              <w:left w:val="nil"/>
              <w:bottom w:val="nil"/>
              <w:right w:val="nil"/>
            </w:tcBorders>
            <w:shd w:val="clear" w:color="auto" w:fill="auto"/>
            <w:noWrap/>
            <w:vAlign w:val="bottom"/>
          </w:tcPr>
          <w:p w14:paraId="61F4BB78" w14:textId="77777777" w:rsidR="00F90561" w:rsidRPr="00BF0169" w:rsidRDefault="00F90561" w:rsidP="00A27EF6">
            <w:pPr>
              <w:spacing w:after="0"/>
              <w:jc w:val="left"/>
              <w:rPr>
                <w:noProof/>
                <w:lang w:val="it-IT"/>
              </w:rPr>
            </w:pPr>
            <w:r w:rsidRPr="00BF0169">
              <w:rPr>
                <w:noProof/>
                <w:lang w:val="it-IT"/>
              </w:rPr>
              <w:t>UNCAC</w:t>
            </w:r>
          </w:p>
        </w:tc>
        <w:tc>
          <w:tcPr>
            <w:tcW w:w="6964" w:type="dxa"/>
            <w:tcBorders>
              <w:top w:val="nil"/>
              <w:left w:val="nil"/>
              <w:bottom w:val="nil"/>
              <w:right w:val="nil"/>
            </w:tcBorders>
            <w:shd w:val="clear" w:color="auto" w:fill="auto"/>
            <w:noWrap/>
            <w:vAlign w:val="bottom"/>
          </w:tcPr>
          <w:p w14:paraId="04C8D4D9" w14:textId="77777777" w:rsidR="00F90561" w:rsidRPr="00BF0169" w:rsidRDefault="00F90561" w:rsidP="00F90561">
            <w:pPr>
              <w:spacing w:after="0"/>
              <w:jc w:val="left"/>
              <w:rPr>
                <w:noProof/>
                <w:lang w:val="it-IT"/>
              </w:rPr>
            </w:pPr>
            <w:r w:rsidRPr="00BF0169">
              <w:rPr>
                <w:noProof/>
                <w:lang w:val="it-IT"/>
              </w:rPr>
              <w:t>Convenzione delle Nazioni Unite contro la corruzione</w:t>
            </w:r>
          </w:p>
        </w:tc>
      </w:tr>
      <w:tr w:rsidR="00440F24" w:rsidRPr="00BF0169" w14:paraId="283D9421" w14:textId="77777777" w:rsidTr="00A27EF6">
        <w:trPr>
          <w:trHeight w:val="315"/>
        </w:trPr>
        <w:tc>
          <w:tcPr>
            <w:tcW w:w="1400" w:type="dxa"/>
            <w:tcBorders>
              <w:top w:val="nil"/>
              <w:left w:val="nil"/>
              <w:bottom w:val="nil"/>
              <w:right w:val="nil"/>
            </w:tcBorders>
            <w:shd w:val="clear" w:color="auto" w:fill="auto"/>
            <w:noWrap/>
            <w:vAlign w:val="bottom"/>
          </w:tcPr>
          <w:p w14:paraId="608A5114" w14:textId="77777777" w:rsidR="00440F24" w:rsidRPr="00BF0169" w:rsidRDefault="00440F24" w:rsidP="00A27EF6">
            <w:pPr>
              <w:spacing w:after="0"/>
              <w:jc w:val="left"/>
              <w:rPr>
                <w:noProof/>
                <w:lang w:val="it-IT"/>
              </w:rPr>
            </w:pPr>
            <w:r w:rsidRPr="00BF0169">
              <w:rPr>
                <w:noProof/>
                <w:lang w:val="it-IT"/>
              </w:rPr>
              <w:t>IVA</w:t>
            </w:r>
          </w:p>
        </w:tc>
        <w:tc>
          <w:tcPr>
            <w:tcW w:w="6964" w:type="dxa"/>
            <w:tcBorders>
              <w:top w:val="nil"/>
              <w:left w:val="nil"/>
              <w:bottom w:val="nil"/>
              <w:right w:val="nil"/>
            </w:tcBorders>
            <w:shd w:val="clear" w:color="auto" w:fill="auto"/>
            <w:noWrap/>
            <w:vAlign w:val="bottom"/>
          </w:tcPr>
          <w:p w14:paraId="3555662D" w14:textId="77777777" w:rsidR="00440F24" w:rsidRPr="00BF0169" w:rsidRDefault="00440F24" w:rsidP="00A27EF6">
            <w:pPr>
              <w:spacing w:after="0"/>
              <w:jc w:val="left"/>
              <w:rPr>
                <w:noProof/>
                <w:lang w:val="it-IT"/>
              </w:rPr>
            </w:pPr>
            <w:r w:rsidRPr="00BF0169">
              <w:rPr>
                <w:noProof/>
                <w:lang w:val="it-IT"/>
              </w:rPr>
              <w:t>Imposta sul valore aggiunto</w:t>
            </w:r>
          </w:p>
        </w:tc>
      </w:tr>
      <w:tr w:rsidR="00440F24" w:rsidRPr="00BF0169" w14:paraId="67EF79AB" w14:textId="77777777" w:rsidTr="00A27EF6">
        <w:trPr>
          <w:trHeight w:val="315"/>
        </w:trPr>
        <w:tc>
          <w:tcPr>
            <w:tcW w:w="1400" w:type="dxa"/>
            <w:tcBorders>
              <w:top w:val="nil"/>
              <w:left w:val="nil"/>
              <w:bottom w:val="nil"/>
              <w:right w:val="nil"/>
            </w:tcBorders>
            <w:shd w:val="clear" w:color="auto" w:fill="auto"/>
            <w:noWrap/>
            <w:vAlign w:val="bottom"/>
            <w:hideMark/>
          </w:tcPr>
          <w:p w14:paraId="5D689047" w14:textId="77777777" w:rsidR="00440F24" w:rsidRPr="00BF0169" w:rsidRDefault="00440F24" w:rsidP="00A27EF6">
            <w:pPr>
              <w:spacing w:after="0"/>
              <w:jc w:val="left"/>
              <w:rPr>
                <w:noProof/>
                <w:lang w:val="it-IT"/>
              </w:rPr>
            </w:pPr>
            <w:r w:rsidRPr="00BF0169">
              <w:rPr>
                <w:noProof/>
                <w:lang w:val="it-IT"/>
              </w:rPr>
              <w:t>VOCU</w:t>
            </w:r>
          </w:p>
        </w:tc>
        <w:tc>
          <w:tcPr>
            <w:tcW w:w="6964" w:type="dxa"/>
            <w:tcBorders>
              <w:top w:val="nil"/>
              <w:left w:val="nil"/>
              <w:bottom w:val="nil"/>
              <w:right w:val="nil"/>
            </w:tcBorders>
            <w:shd w:val="clear" w:color="auto" w:fill="auto"/>
            <w:noWrap/>
            <w:vAlign w:val="bottom"/>
            <w:hideMark/>
          </w:tcPr>
          <w:p w14:paraId="0F73C8EA" w14:textId="77777777" w:rsidR="00440F24" w:rsidRPr="00BF0169" w:rsidRDefault="00440F24" w:rsidP="00A27EF6">
            <w:pPr>
              <w:spacing w:after="0"/>
              <w:jc w:val="left"/>
              <w:rPr>
                <w:noProof/>
                <w:lang w:val="it-IT"/>
              </w:rPr>
            </w:pPr>
            <w:r w:rsidRPr="00BF0169">
              <w:rPr>
                <w:noProof/>
                <w:lang w:val="it-IT"/>
              </w:rPr>
              <w:t xml:space="preserve">Unità virtuale di coordinamento delle operazioni </w:t>
            </w:r>
          </w:p>
        </w:tc>
      </w:tr>
      <w:tr w:rsidR="00440F24" w:rsidRPr="00BF0169" w14:paraId="69465DB5" w14:textId="77777777" w:rsidTr="00A27EF6">
        <w:trPr>
          <w:trHeight w:val="315"/>
        </w:trPr>
        <w:tc>
          <w:tcPr>
            <w:tcW w:w="1400" w:type="dxa"/>
            <w:tcBorders>
              <w:top w:val="nil"/>
              <w:left w:val="nil"/>
              <w:bottom w:val="nil"/>
              <w:right w:val="nil"/>
            </w:tcBorders>
            <w:shd w:val="clear" w:color="auto" w:fill="auto"/>
            <w:noWrap/>
            <w:vAlign w:val="bottom"/>
            <w:hideMark/>
          </w:tcPr>
          <w:p w14:paraId="691B8BF5" w14:textId="77777777" w:rsidR="00440F24" w:rsidRPr="00BF0169" w:rsidRDefault="00440F24" w:rsidP="00A27EF6">
            <w:pPr>
              <w:spacing w:after="0"/>
              <w:jc w:val="left"/>
              <w:rPr>
                <w:noProof/>
                <w:lang w:val="it-IT"/>
              </w:rPr>
            </w:pPr>
            <w:r w:rsidRPr="00BF0169">
              <w:rPr>
                <w:noProof/>
                <w:lang w:val="it-IT"/>
              </w:rPr>
              <w:t>OMD</w:t>
            </w:r>
          </w:p>
        </w:tc>
        <w:tc>
          <w:tcPr>
            <w:tcW w:w="6964" w:type="dxa"/>
            <w:tcBorders>
              <w:top w:val="nil"/>
              <w:left w:val="nil"/>
              <w:bottom w:val="nil"/>
              <w:right w:val="nil"/>
            </w:tcBorders>
            <w:shd w:val="clear" w:color="auto" w:fill="auto"/>
            <w:noWrap/>
            <w:vAlign w:val="bottom"/>
            <w:hideMark/>
          </w:tcPr>
          <w:p w14:paraId="60D512FD" w14:textId="389DF73A" w:rsidR="00440F24" w:rsidRPr="00BF0169" w:rsidRDefault="00440F24" w:rsidP="00167262">
            <w:pPr>
              <w:spacing w:after="0"/>
              <w:jc w:val="left"/>
              <w:rPr>
                <w:noProof/>
                <w:lang w:val="it-IT"/>
              </w:rPr>
            </w:pPr>
            <w:r w:rsidRPr="00BF0169">
              <w:rPr>
                <w:noProof/>
                <w:lang w:val="it-IT"/>
              </w:rPr>
              <w:t>Organizzazione mondiale delle dogane</w:t>
            </w:r>
          </w:p>
        </w:tc>
      </w:tr>
    </w:tbl>
    <w:p w14:paraId="4B85D4E0" w14:textId="77777777" w:rsidR="00440F24" w:rsidRPr="00BF0169" w:rsidRDefault="00440F24">
      <w:pPr>
        <w:rPr>
          <w:b/>
          <w:noProof/>
          <w:lang w:val="it-IT"/>
        </w:rPr>
      </w:pPr>
    </w:p>
    <w:p w14:paraId="68447355" w14:textId="77777777" w:rsidR="00440F24" w:rsidRPr="00BF0169" w:rsidRDefault="00440F24" w:rsidP="00440F24">
      <w:pPr>
        <w:rPr>
          <w:noProof/>
          <w:lang w:val="it-IT"/>
        </w:rPr>
      </w:pPr>
      <w:r w:rsidRPr="00BF0169">
        <w:rPr>
          <w:noProof/>
          <w:lang w:val="it-IT"/>
        </w:rPr>
        <w:br w:type="page"/>
      </w:r>
    </w:p>
    <w:p w14:paraId="25097B8B" w14:textId="77777777" w:rsidR="00190177" w:rsidRPr="00BF0169" w:rsidRDefault="0048430C" w:rsidP="0048430C">
      <w:pPr>
        <w:pStyle w:val="Heading1"/>
        <w:rPr>
          <w:noProof/>
          <w:lang w:val="it-IT"/>
        </w:rPr>
      </w:pPr>
      <w:bookmarkStart w:id="3" w:name="_Toc116319613"/>
      <w:r w:rsidRPr="00BF0169">
        <w:rPr>
          <w:noProof/>
          <w:lang w:val="it-IT"/>
        </w:rPr>
        <w:t>Introduzione</w:t>
      </w:r>
      <w:bookmarkEnd w:id="3"/>
    </w:p>
    <w:p w14:paraId="77D53A0A" w14:textId="742BF30F" w:rsidR="0048430C" w:rsidRPr="00BF0169" w:rsidRDefault="0048430C" w:rsidP="0048430C">
      <w:pPr>
        <w:rPr>
          <w:noProof/>
          <w:lang w:val="it-IT"/>
        </w:rPr>
      </w:pPr>
      <w:r w:rsidRPr="00BF0169">
        <w:rPr>
          <w:noProof/>
          <w:lang w:val="it-IT"/>
        </w:rPr>
        <w:t>L</w:t>
      </w:r>
      <w:r w:rsidR="00BF0169" w:rsidRPr="00BF0169">
        <w:rPr>
          <w:noProof/>
          <w:lang w:val="it-IT"/>
        </w:rPr>
        <w:t>'</w:t>
      </w:r>
      <w:r w:rsidRPr="00BF0169">
        <w:rPr>
          <w:noProof/>
          <w:lang w:val="it-IT"/>
        </w:rPr>
        <w:t>UE e gli Stati membri condividono la responsabilità della tutela degli interessi finanziari dell</w:t>
      </w:r>
      <w:r w:rsidR="00BF0169" w:rsidRPr="00BF0169">
        <w:rPr>
          <w:noProof/>
          <w:lang w:val="it-IT"/>
        </w:rPr>
        <w:t>'</w:t>
      </w:r>
      <w:r w:rsidRPr="00BF0169">
        <w:rPr>
          <w:noProof/>
          <w:lang w:val="it-IT"/>
        </w:rPr>
        <w:t>Unione e della lotta contro la frode. Le autorità degli Stati membri dell</w:t>
      </w:r>
      <w:r w:rsidR="00BF0169" w:rsidRPr="00BF0169">
        <w:rPr>
          <w:noProof/>
          <w:lang w:val="it-IT"/>
        </w:rPr>
        <w:t>'</w:t>
      </w:r>
      <w:r w:rsidRPr="00BF0169">
        <w:rPr>
          <w:noProof/>
          <w:lang w:val="it-IT"/>
        </w:rPr>
        <w:t>UE gestiscono la quota più consistente delle spese dell</w:t>
      </w:r>
      <w:r w:rsidR="00BF0169" w:rsidRPr="00BF0169">
        <w:rPr>
          <w:noProof/>
          <w:lang w:val="it-IT"/>
        </w:rPr>
        <w:t>'</w:t>
      </w:r>
      <w:r w:rsidRPr="00BF0169">
        <w:rPr>
          <w:noProof/>
          <w:lang w:val="it-IT"/>
        </w:rPr>
        <w:t>Unione e riscuotono le risorse proprie tradizionali (RPT). La Commissione svolge un ruolo di supervisione in entrambi i settori, definisce le norme e ne controlla il rispetto. Ai sensi dell</w:t>
      </w:r>
      <w:r w:rsidR="00BF0169" w:rsidRPr="00BF0169">
        <w:rPr>
          <w:noProof/>
          <w:lang w:val="it-IT"/>
        </w:rPr>
        <w:t>'</w:t>
      </w:r>
      <w:r w:rsidRPr="00BF0169">
        <w:rPr>
          <w:noProof/>
          <w:lang w:val="it-IT"/>
        </w:rPr>
        <w:t>articolo 325, paragrafo 5, del trattato sul funzionamento dell</w:t>
      </w:r>
      <w:r w:rsidR="00BF0169" w:rsidRPr="00BF0169">
        <w:rPr>
          <w:noProof/>
          <w:lang w:val="it-IT"/>
        </w:rPr>
        <w:t>'</w:t>
      </w:r>
      <w:r w:rsidRPr="00BF0169">
        <w:rPr>
          <w:noProof/>
          <w:lang w:val="it-IT"/>
        </w:rPr>
        <w:t>Unione europea (TFUE), la Commissione, in cooperazione con gli Stati membri dell</w:t>
      </w:r>
      <w:r w:rsidR="00BF0169" w:rsidRPr="00BF0169">
        <w:rPr>
          <w:noProof/>
          <w:lang w:val="it-IT"/>
        </w:rPr>
        <w:t>'</w:t>
      </w:r>
      <w:r w:rsidRPr="00BF0169">
        <w:rPr>
          <w:noProof/>
          <w:lang w:val="it-IT"/>
        </w:rPr>
        <w:t>UE, è tenuta a presentare ogni anno al Parlamento europeo e al Consiglio una relazione sulle misure adottate per combattere la frode e le altre attività illegali che ledono gli interessi finanziari dell</w:t>
      </w:r>
      <w:r w:rsidR="00BF0169" w:rsidRPr="00BF0169">
        <w:rPr>
          <w:noProof/>
          <w:lang w:val="it-IT"/>
        </w:rPr>
        <w:t>'</w:t>
      </w:r>
      <w:r w:rsidRPr="00BF0169">
        <w:rPr>
          <w:noProof/>
          <w:lang w:val="it-IT"/>
        </w:rPr>
        <w:t xml:space="preserve">Unione (la </w:t>
      </w:r>
      <w:r w:rsidR="00BF0169" w:rsidRPr="00BF0169">
        <w:rPr>
          <w:noProof/>
          <w:lang w:val="it-IT"/>
        </w:rPr>
        <w:t>"</w:t>
      </w:r>
      <w:r w:rsidRPr="00BF0169">
        <w:rPr>
          <w:noProof/>
          <w:lang w:val="it-IT"/>
        </w:rPr>
        <w:t>relazione PIF</w:t>
      </w:r>
      <w:r w:rsidR="00BF0169" w:rsidRPr="00BF0169">
        <w:rPr>
          <w:noProof/>
          <w:lang w:val="it-IT"/>
        </w:rPr>
        <w:t>"</w:t>
      </w:r>
      <w:r w:rsidRPr="00BF0169">
        <w:rPr>
          <w:rStyle w:val="FootnoteReference"/>
          <w:noProof/>
          <w:lang w:val="it-IT"/>
        </w:rPr>
        <w:footnoteReference w:id="1"/>
      </w:r>
      <w:r w:rsidRPr="00BF0169">
        <w:rPr>
          <w:noProof/>
          <w:lang w:val="it-IT"/>
        </w:rPr>
        <w:t>). Per il 2021 la presente relazione e i documenti che l</w:t>
      </w:r>
      <w:r w:rsidR="00BF0169" w:rsidRPr="00BF0169">
        <w:rPr>
          <w:noProof/>
          <w:lang w:val="it-IT"/>
        </w:rPr>
        <w:t>'</w:t>
      </w:r>
      <w:r w:rsidRPr="00BF0169">
        <w:rPr>
          <w:noProof/>
          <w:lang w:val="it-IT"/>
        </w:rPr>
        <w:t>accompagnano soddisfano tale obbligo.</w:t>
      </w:r>
    </w:p>
    <w:p w14:paraId="4A209AD4" w14:textId="4BC00DA0" w:rsidR="0048430C" w:rsidRPr="00BF0169" w:rsidRDefault="0048430C" w:rsidP="0048430C">
      <w:pPr>
        <w:rPr>
          <w:noProof/>
          <w:lang w:val="it-IT"/>
        </w:rPr>
      </w:pPr>
      <w:r w:rsidRPr="00BF0169">
        <w:rPr>
          <w:noProof/>
          <w:lang w:val="it-IT"/>
        </w:rPr>
        <w:t>La relazione PIF 2021 presenta:</w:t>
      </w:r>
    </w:p>
    <w:p w14:paraId="3277A690" w14:textId="28D007F8" w:rsidR="00FB11CB" w:rsidRPr="00BF0169" w:rsidRDefault="00167262" w:rsidP="009701A5">
      <w:pPr>
        <w:pStyle w:val="ListNumber"/>
        <w:numPr>
          <w:ilvl w:val="0"/>
          <w:numId w:val="8"/>
        </w:numPr>
        <w:rPr>
          <w:noProof/>
          <w:lang w:val="it-IT"/>
        </w:rPr>
      </w:pPr>
      <w:r w:rsidRPr="00BF0169">
        <w:rPr>
          <w:noProof/>
          <w:lang w:val="it-IT"/>
        </w:rPr>
        <w:t>una panoramica degli interessi finanziari dell</w:t>
      </w:r>
      <w:r w:rsidR="00BF0169" w:rsidRPr="00BF0169">
        <w:rPr>
          <w:noProof/>
          <w:lang w:val="it-IT"/>
        </w:rPr>
        <w:t>'</w:t>
      </w:r>
      <w:r w:rsidRPr="00BF0169">
        <w:rPr>
          <w:noProof/>
          <w:lang w:val="it-IT"/>
        </w:rPr>
        <w:t>UE, dei principali atti giuridici adottati per la loro tutela e della pertinente giurisprudenza della Corte di giustizia;</w:t>
      </w:r>
    </w:p>
    <w:p w14:paraId="42C08EA6" w14:textId="3F31FC52" w:rsidR="00677134" w:rsidRPr="00BF0169" w:rsidRDefault="00167262" w:rsidP="008A6DCE">
      <w:pPr>
        <w:pStyle w:val="ListNumber"/>
        <w:numPr>
          <w:ilvl w:val="0"/>
          <w:numId w:val="8"/>
        </w:numPr>
        <w:rPr>
          <w:noProof/>
          <w:lang w:val="it-IT"/>
        </w:rPr>
      </w:pPr>
      <w:r w:rsidRPr="00BF0169">
        <w:rPr>
          <w:noProof/>
          <w:lang w:val="it-IT"/>
        </w:rPr>
        <w:t>gli sviluppi più significativi in materia di lotta antifrode nell</w:t>
      </w:r>
      <w:r w:rsidR="00BF0169" w:rsidRPr="00BF0169">
        <w:rPr>
          <w:noProof/>
          <w:lang w:val="it-IT"/>
        </w:rPr>
        <w:t>'</w:t>
      </w:r>
      <w:r w:rsidRPr="00BF0169">
        <w:rPr>
          <w:noProof/>
          <w:lang w:val="it-IT"/>
        </w:rPr>
        <w:t>UE nel suo complesso e negli Stati membri;</w:t>
      </w:r>
    </w:p>
    <w:p w14:paraId="702D4700" w14:textId="59DCDB1A" w:rsidR="00677134" w:rsidRPr="00BF0169" w:rsidRDefault="00167262" w:rsidP="008A6DCE">
      <w:pPr>
        <w:pStyle w:val="ListNumber"/>
        <w:numPr>
          <w:ilvl w:val="0"/>
          <w:numId w:val="8"/>
        </w:numPr>
        <w:rPr>
          <w:noProof/>
          <w:lang w:val="it-IT"/>
        </w:rPr>
      </w:pPr>
      <w:r w:rsidRPr="00BF0169">
        <w:rPr>
          <w:noProof/>
          <w:lang w:val="it-IT"/>
        </w:rPr>
        <w:t>la cooperazione antifrode;</w:t>
      </w:r>
    </w:p>
    <w:p w14:paraId="1409BCE5" w14:textId="364AF61A" w:rsidR="00677134" w:rsidRPr="00BF0169" w:rsidRDefault="00677134" w:rsidP="008A6DCE">
      <w:pPr>
        <w:pStyle w:val="ListNumber"/>
        <w:numPr>
          <w:ilvl w:val="0"/>
          <w:numId w:val="8"/>
        </w:numPr>
        <w:rPr>
          <w:noProof/>
          <w:lang w:val="it-IT"/>
        </w:rPr>
      </w:pPr>
      <w:r w:rsidRPr="00BF0169">
        <w:rPr>
          <w:noProof/>
          <w:lang w:val="it-IT"/>
        </w:rPr>
        <w:t>i settori chiave per la tutela coerente e armonizzata degli interessi finanziari dell</w:t>
      </w:r>
      <w:r w:rsidR="00BF0169" w:rsidRPr="00BF0169">
        <w:rPr>
          <w:noProof/>
          <w:lang w:val="it-IT"/>
        </w:rPr>
        <w:t>'</w:t>
      </w:r>
      <w:r w:rsidRPr="00BF0169">
        <w:rPr>
          <w:noProof/>
          <w:lang w:val="it-IT"/>
        </w:rPr>
        <w:t>UE;</w:t>
      </w:r>
    </w:p>
    <w:p w14:paraId="54A05443" w14:textId="6F5C470D" w:rsidR="00677134" w:rsidRPr="00BF0169" w:rsidRDefault="00167262" w:rsidP="008A6DCE">
      <w:pPr>
        <w:pStyle w:val="ListNumber"/>
        <w:numPr>
          <w:ilvl w:val="0"/>
          <w:numId w:val="8"/>
        </w:numPr>
        <w:rPr>
          <w:noProof/>
          <w:lang w:val="it-IT"/>
        </w:rPr>
      </w:pPr>
      <w:r w:rsidRPr="00BF0169">
        <w:rPr>
          <w:noProof/>
          <w:lang w:val="it-IT"/>
        </w:rPr>
        <w:t>le statistiche e i dati in merito a frodi e irregolarità che incidono sul bilancio dell</w:t>
      </w:r>
      <w:r w:rsidR="00BF0169" w:rsidRPr="00BF0169">
        <w:rPr>
          <w:noProof/>
          <w:lang w:val="it-IT"/>
        </w:rPr>
        <w:t>'</w:t>
      </w:r>
      <w:r w:rsidRPr="00BF0169">
        <w:rPr>
          <w:noProof/>
          <w:lang w:val="it-IT"/>
        </w:rPr>
        <w:t>UE e la loro analisi;</w:t>
      </w:r>
    </w:p>
    <w:p w14:paraId="570AFCE3" w14:textId="12686D3D" w:rsidR="00677134" w:rsidRPr="00BF0169" w:rsidRDefault="0010609B" w:rsidP="00FB11CB">
      <w:pPr>
        <w:pStyle w:val="ListNumber"/>
        <w:numPr>
          <w:ilvl w:val="0"/>
          <w:numId w:val="8"/>
        </w:numPr>
        <w:rPr>
          <w:noProof/>
          <w:lang w:val="it-IT"/>
        </w:rPr>
      </w:pPr>
      <w:r w:rsidRPr="00BF0169">
        <w:rPr>
          <w:noProof/>
          <w:lang w:val="it-IT"/>
        </w:rPr>
        <w:t>le prospettive per il 2022, le conclusioni e le raccomandazioni.</w:t>
      </w:r>
    </w:p>
    <w:p w14:paraId="5B9470AC" w14:textId="77777777" w:rsidR="0048430C" w:rsidRPr="00BF0169" w:rsidRDefault="000B4633" w:rsidP="0048430C">
      <w:pPr>
        <w:pStyle w:val="Heading2"/>
        <w:rPr>
          <w:noProof/>
          <w:lang w:val="it-IT"/>
        </w:rPr>
      </w:pPr>
      <w:bookmarkStart w:id="4" w:name="_Toc116319614"/>
      <w:r w:rsidRPr="00BF0169">
        <w:rPr>
          <w:noProof/>
          <w:lang w:val="it-IT"/>
        </w:rPr>
        <w:t>Concetti principali</w:t>
      </w:r>
      <w:bookmarkEnd w:id="4"/>
    </w:p>
    <w:p w14:paraId="68B35903" w14:textId="77777777" w:rsidR="0048430C" w:rsidRPr="00BF0169" w:rsidRDefault="000B4633" w:rsidP="0048430C">
      <w:pPr>
        <w:rPr>
          <w:noProof/>
          <w:lang w:val="it-IT"/>
        </w:rPr>
      </w:pPr>
      <w:r w:rsidRPr="00BF0169">
        <w:rPr>
          <w:noProof/>
          <w:lang w:val="it-IT"/>
        </w:rPr>
        <w:t xml:space="preserve">I termini più importanti utilizzati nella relazione PIF sono riepilogati nel </w:t>
      </w:r>
      <w:r w:rsidRPr="00BF0169">
        <w:rPr>
          <w:b/>
          <w:i/>
          <w:noProof/>
          <w:lang w:val="it-IT"/>
        </w:rPr>
        <w:t>riquadro 1</w:t>
      </w:r>
      <w:r w:rsidRPr="00BF0169">
        <w:rPr>
          <w:noProof/>
          <w:lang w:val="it-IT"/>
        </w:rPr>
        <w:t xml:space="preserve">. </w:t>
      </w:r>
    </w:p>
    <w:p w14:paraId="436AC2D3" w14:textId="6ADCB15F" w:rsidR="000B4633" w:rsidRPr="00BF0169" w:rsidRDefault="000B4633" w:rsidP="00242925">
      <w:pPr>
        <w:pStyle w:val="Caption"/>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bookmarkStart w:id="5" w:name="_Toc106662322"/>
      <w:r w:rsidRPr="00BF0169">
        <w:rPr>
          <w:noProof/>
          <w:lang w:val="it-IT"/>
        </w:rPr>
        <w:t xml:space="preserve">Riquadro </w:t>
      </w:r>
      <w:r w:rsidR="00742EC4" w:rsidRPr="00BF0169">
        <w:rPr>
          <w:noProof/>
          <w:lang w:val="it-IT"/>
        </w:rPr>
        <w:fldChar w:fldCharType="begin"/>
      </w:r>
      <w:r w:rsidR="00742EC4" w:rsidRPr="00BF0169">
        <w:rPr>
          <w:noProof/>
          <w:lang w:val="it-IT"/>
        </w:rPr>
        <w:instrText xml:space="preserve"> SEQ Box \* ARABIC </w:instrText>
      </w:r>
      <w:r w:rsidR="00742EC4" w:rsidRPr="00BF0169">
        <w:rPr>
          <w:noProof/>
          <w:lang w:val="it-IT"/>
        </w:rPr>
        <w:fldChar w:fldCharType="separate"/>
      </w:r>
      <w:r w:rsidRPr="00BF0169">
        <w:rPr>
          <w:noProof/>
          <w:lang w:val="it-IT"/>
        </w:rPr>
        <w:t>1</w:t>
      </w:r>
      <w:r w:rsidR="00742EC4" w:rsidRPr="00BF0169">
        <w:rPr>
          <w:noProof/>
          <w:lang w:val="it-IT"/>
        </w:rPr>
        <w:fldChar w:fldCharType="end"/>
      </w:r>
      <w:r w:rsidRPr="00BF0169">
        <w:rPr>
          <w:noProof/>
          <w:lang w:val="it-IT"/>
        </w:rPr>
        <w:t>: definizioni applicabili</w:t>
      </w:r>
      <w:bookmarkEnd w:id="5"/>
    </w:p>
    <w:p w14:paraId="71C0E05B" w14:textId="2DD99C55" w:rsidR="00131B72" w:rsidRPr="00BF0169" w:rsidRDefault="00131B72"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 xml:space="preserve">Per una descrizione completa degli </w:t>
      </w:r>
      <w:r w:rsidRPr="00BF0169">
        <w:rPr>
          <w:b/>
          <w:noProof/>
          <w:lang w:val="it-IT"/>
        </w:rPr>
        <w:t>interessi finanziari dell</w:t>
      </w:r>
      <w:r w:rsidR="00BF0169" w:rsidRPr="00BF0169">
        <w:rPr>
          <w:b/>
          <w:noProof/>
          <w:lang w:val="it-IT"/>
        </w:rPr>
        <w:t>'</w:t>
      </w:r>
      <w:r w:rsidRPr="00BF0169">
        <w:rPr>
          <w:b/>
          <w:noProof/>
          <w:lang w:val="it-IT"/>
        </w:rPr>
        <w:t>UE</w:t>
      </w:r>
      <w:r w:rsidRPr="00BF0169">
        <w:rPr>
          <w:noProof/>
          <w:lang w:val="it-IT"/>
        </w:rPr>
        <w:t xml:space="preserve">, cfr. </w:t>
      </w:r>
      <w:r w:rsidRPr="00BF0169">
        <w:rPr>
          <w:b/>
          <w:noProof/>
          <w:lang w:val="it-IT"/>
        </w:rPr>
        <w:t>sezione 1.2</w:t>
      </w:r>
      <w:r w:rsidRPr="00BF0169">
        <w:rPr>
          <w:noProof/>
          <w:lang w:val="it-IT"/>
        </w:rPr>
        <w:t>.</w:t>
      </w:r>
    </w:p>
    <w:p w14:paraId="0F6BFCBF" w14:textId="6B542D0D" w:rsidR="000B4633" w:rsidRPr="00BF0169" w:rsidRDefault="000B4633"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 xml:space="preserve">Per </w:t>
      </w:r>
      <w:r w:rsidRPr="00BF0169">
        <w:rPr>
          <w:b/>
          <w:noProof/>
          <w:lang w:val="it-IT"/>
        </w:rPr>
        <w:t xml:space="preserve">irregolarità </w:t>
      </w:r>
      <w:r w:rsidRPr="00BF0169">
        <w:rPr>
          <w:noProof/>
          <w:lang w:val="it-IT"/>
        </w:rPr>
        <w:t>si intende qualsiasi violazione del diritto dell</w:t>
      </w:r>
      <w:r w:rsidR="00BF0169" w:rsidRPr="00BF0169">
        <w:rPr>
          <w:noProof/>
          <w:lang w:val="it-IT"/>
        </w:rPr>
        <w:t>'</w:t>
      </w:r>
      <w:r w:rsidRPr="00BF0169">
        <w:rPr>
          <w:noProof/>
          <w:lang w:val="it-IT"/>
        </w:rPr>
        <w:t>Unione o nazionale relativa alla sua applicazione, derivante da un</w:t>
      </w:r>
      <w:r w:rsidR="00BF0169" w:rsidRPr="00BF0169">
        <w:rPr>
          <w:noProof/>
          <w:lang w:val="it-IT"/>
        </w:rPr>
        <w:t>'</w:t>
      </w:r>
      <w:r w:rsidRPr="00BF0169">
        <w:rPr>
          <w:noProof/>
          <w:lang w:val="it-IT"/>
        </w:rPr>
        <w:t>azione o un</w:t>
      </w:r>
      <w:r w:rsidR="00BF0169" w:rsidRPr="00BF0169">
        <w:rPr>
          <w:noProof/>
          <w:lang w:val="it-IT"/>
        </w:rPr>
        <w:t>'</w:t>
      </w:r>
      <w:r w:rsidRPr="00BF0169">
        <w:rPr>
          <w:noProof/>
          <w:lang w:val="it-IT"/>
        </w:rPr>
        <w:t>omissione di un operatore economico che abbia o possa avere come conseguenza un pregiudizio al bilancio dell</w:t>
      </w:r>
      <w:r w:rsidR="00BF0169" w:rsidRPr="00BF0169">
        <w:rPr>
          <w:noProof/>
          <w:lang w:val="it-IT"/>
        </w:rPr>
        <w:t>'</w:t>
      </w:r>
      <w:r w:rsidRPr="00BF0169">
        <w:rPr>
          <w:noProof/>
          <w:lang w:val="it-IT"/>
        </w:rPr>
        <w:t>UE, attraverso la diminuzione o la soppressione di entrate provenienti da risorse proprie percepite direttamente per conto dell</w:t>
      </w:r>
      <w:r w:rsidR="00BF0169" w:rsidRPr="00BF0169">
        <w:rPr>
          <w:noProof/>
          <w:lang w:val="it-IT"/>
        </w:rPr>
        <w:t>'</w:t>
      </w:r>
      <w:r w:rsidRPr="00BF0169">
        <w:rPr>
          <w:noProof/>
          <w:lang w:val="it-IT"/>
        </w:rPr>
        <w:t>UE, ovvero l</w:t>
      </w:r>
      <w:r w:rsidR="00BF0169" w:rsidRPr="00BF0169">
        <w:rPr>
          <w:noProof/>
          <w:lang w:val="it-IT"/>
        </w:rPr>
        <w:t>'</w:t>
      </w:r>
      <w:r w:rsidRPr="00BF0169">
        <w:rPr>
          <w:noProof/>
          <w:lang w:val="it-IT"/>
        </w:rPr>
        <w:t>imputazione di spese indebite al bilancio dell</w:t>
      </w:r>
      <w:r w:rsidR="00BF0169" w:rsidRPr="00BF0169">
        <w:rPr>
          <w:noProof/>
          <w:lang w:val="it-IT"/>
        </w:rPr>
        <w:t>'</w:t>
      </w:r>
      <w:r w:rsidRPr="00BF0169">
        <w:rPr>
          <w:noProof/>
          <w:lang w:val="it-IT"/>
        </w:rPr>
        <w:t>Unione</w:t>
      </w:r>
      <w:r w:rsidRPr="00BF0169">
        <w:rPr>
          <w:rStyle w:val="FootnoteReference"/>
          <w:noProof/>
          <w:lang w:val="it-IT"/>
        </w:rPr>
        <w:footnoteReference w:id="2"/>
      </w:r>
      <w:r w:rsidRPr="00BF0169">
        <w:rPr>
          <w:noProof/>
          <w:lang w:val="it-IT"/>
        </w:rPr>
        <w:t>.</w:t>
      </w:r>
    </w:p>
    <w:p w14:paraId="3CCBDE43" w14:textId="1CA0779D" w:rsidR="00DF51DB" w:rsidRPr="00BF0169" w:rsidRDefault="00131B72"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A seguito dell</w:t>
      </w:r>
      <w:r w:rsidR="00BF0169" w:rsidRPr="00BF0169">
        <w:rPr>
          <w:noProof/>
          <w:lang w:val="it-IT"/>
        </w:rPr>
        <w:t>'</w:t>
      </w:r>
      <w:r w:rsidRPr="00BF0169">
        <w:rPr>
          <w:noProof/>
          <w:lang w:val="it-IT"/>
        </w:rPr>
        <w:t xml:space="preserve">adozione della direttiva (UE) 2017/1371 (la </w:t>
      </w:r>
      <w:r w:rsidR="00BF0169" w:rsidRPr="00BF0169">
        <w:rPr>
          <w:noProof/>
          <w:lang w:val="it-IT"/>
        </w:rPr>
        <w:t>"</w:t>
      </w:r>
      <w:r w:rsidRPr="00BF0169">
        <w:rPr>
          <w:noProof/>
          <w:lang w:val="it-IT"/>
        </w:rPr>
        <w:t>direttiva PIF</w:t>
      </w:r>
      <w:r w:rsidR="00BF0169" w:rsidRPr="00BF0169">
        <w:rPr>
          <w:noProof/>
          <w:lang w:val="it-IT"/>
        </w:rPr>
        <w:t>"</w:t>
      </w:r>
      <w:r w:rsidRPr="00BF0169">
        <w:rPr>
          <w:noProof/>
          <w:lang w:val="it-IT"/>
        </w:rPr>
        <w:t xml:space="preserve">), costituisce una </w:t>
      </w:r>
      <w:r w:rsidRPr="00BF0169">
        <w:rPr>
          <w:b/>
          <w:noProof/>
          <w:lang w:val="it-IT"/>
        </w:rPr>
        <w:t>frode</w:t>
      </w:r>
      <w:r w:rsidRPr="00BF0169">
        <w:rPr>
          <w:noProof/>
          <w:lang w:val="it-IT"/>
        </w:rPr>
        <w:t xml:space="preserve"> qualsiasi azione od omissione intenzionale che leda gli interessi finanziari dell</w:t>
      </w:r>
      <w:r w:rsidR="00BF0169" w:rsidRPr="00BF0169">
        <w:rPr>
          <w:noProof/>
          <w:lang w:val="it-IT"/>
        </w:rPr>
        <w:t>'</w:t>
      </w:r>
      <w:r w:rsidRPr="00BF0169">
        <w:rPr>
          <w:noProof/>
          <w:lang w:val="it-IT"/>
        </w:rPr>
        <w:t>UE, compreso l</w:t>
      </w:r>
      <w:r w:rsidR="00BF0169" w:rsidRPr="00BF0169">
        <w:rPr>
          <w:noProof/>
          <w:lang w:val="it-IT"/>
        </w:rPr>
        <w:t>'</w:t>
      </w:r>
      <w:r w:rsidRPr="00BF0169">
        <w:rPr>
          <w:noProof/>
          <w:lang w:val="it-IT"/>
        </w:rPr>
        <w:t>utilizzo o la presentazione di dichiarazioni o documenti falsi, inesatti o incompleti o la mancata comunicazione di informazioni nonostante un obbligo specifico in tal senso, o la distrazione di fondi o benefici.</w:t>
      </w:r>
      <w:r w:rsidRPr="00BF0169">
        <w:rPr>
          <w:b/>
          <w:noProof/>
          <w:lang w:val="it-IT"/>
        </w:rPr>
        <w:t xml:space="preserve"> </w:t>
      </w:r>
      <w:r w:rsidRPr="00BF0169">
        <w:rPr>
          <w:noProof/>
          <w:lang w:val="it-IT"/>
        </w:rPr>
        <w:t>La direttiva PIF opera altresì una distinzione tra frode in materia di:</w:t>
      </w:r>
    </w:p>
    <w:p w14:paraId="741A96FD" w14:textId="35AE95A5" w:rsidR="00DF51DB" w:rsidRPr="00BF0169" w:rsidRDefault="0045480B" w:rsidP="00242925">
      <w:pPr>
        <w:pStyle w:val="ListNumbe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spese non relative agli appalti;</w:t>
      </w:r>
    </w:p>
    <w:p w14:paraId="3B1F6245" w14:textId="05AFA892" w:rsidR="00DF51DB" w:rsidRPr="00BF0169" w:rsidRDefault="0045480B" w:rsidP="00242925">
      <w:pPr>
        <w:pStyle w:val="ListNumbe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spese relative agli appalti;</w:t>
      </w:r>
    </w:p>
    <w:p w14:paraId="3E09BC5F" w14:textId="16334C6F" w:rsidR="00DF51DB" w:rsidRPr="00BF0169" w:rsidRDefault="0045480B" w:rsidP="00242925">
      <w:pPr>
        <w:pStyle w:val="ListNumbe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entrate diverse dalle entrate derivanti dalle risorse proprie provenienti dall</w:t>
      </w:r>
      <w:r w:rsidR="00BF0169" w:rsidRPr="00BF0169">
        <w:rPr>
          <w:noProof/>
          <w:lang w:val="it-IT"/>
        </w:rPr>
        <w:t>'</w:t>
      </w:r>
      <w:r w:rsidRPr="00BF0169">
        <w:rPr>
          <w:noProof/>
          <w:lang w:val="it-IT"/>
        </w:rPr>
        <w:t>IVA;</w:t>
      </w:r>
    </w:p>
    <w:p w14:paraId="168C510C" w14:textId="50445D9C" w:rsidR="00DF51DB" w:rsidRPr="00BF0169" w:rsidRDefault="0045480B" w:rsidP="00242925">
      <w:pPr>
        <w:pStyle w:val="ListNumbe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entrate derivanti dalle risorse proprie provenienti dall</w:t>
      </w:r>
      <w:r w:rsidR="00BF0169" w:rsidRPr="00BF0169">
        <w:rPr>
          <w:noProof/>
          <w:lang w:val="it-IT"/>
        </w:rPr>
        <w:t>'</w:t>
      </w:r>
      <w:r w:rsidRPr="00BF0169">
        <w:rPr>
          <w:noProof/>
          <w:lang w:val="it-IT"/>
        </w:rPr>
        <w:t>IVA.</w:t>
      </w:r>
    </w:p>
    <w:p w14:paraId="200DE63E" w14:textId="70322E00" w:rsidR="00292801" w:rsidRPr="00BF0169" w:rsidRDefault="00292801"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Le normative settoriali in materia di segnalazione di irregolarità nell</w:t>
      </w:r>
      <w:r w:rsidR="00BF0169" w:rsidRPr="00BF0169">
        <w:rPr>
          <w:noProof/>
          <w:lang w:val="it-IT"/>
        </w:rPr>
        <w:t>'</w:t>
      </w:r>
      <w:r w:rsidRPr="00BF0169">
        <w:rPr>
          <w:noProof/>
          <w:lang w:val="it-IT"/>
        </w:rPr>
        <w:t xml:space="preserve">ambito della gestione concorrente introducono il concetto di </w:t>
      </w:r>
      <w:r w:rsidRPr="00BF0169">
        <w:rPr>
          <w:b/>
          <w:noProof/>
          <w:lang w:val="it-IT"/>
        </w:rPr>
        <w:t xml:space="preserve">sospetta frode, </w:t>
      </w:r>
      <w:r w:rsidRPr="00BF0169">
        <w:rPr>
          <w:noProof/>
          <w:lang w:val="it-IT"/>
        </w:rPr>
        <w:t xml:space="preserve">definita come </w:t>
      </w:r>
      <w:r w:rsidR="00BF0169" w:rsidRPr="00BF0169">
        <w:rPr>
          <w:noProof/>
          <w:lang w:val="it-IT"/>
        </w:rPr>
        <w:t>"</w:t>
      </w:r>
      <w:r w:rsidRPr="00BF0169">
        <w:rPr>
          <w:noProof/>
          <w:lang w:val="it-IT"/>
        </w:rPr>
        <w:t>un</w:t>
      </w:r>
      <w:r w:rsidR="00BF0169" w:rsidRPr="00BF0169">
        <w:rPr>
          <w:noProof/>
          <w:lang w:val="it-IT"/>
        </w:rPr>
        <w:t>'</w:t>
      </w:r>
      <w:r w:rsidRPr="00BF0169">
        <w:rPr>
          <w:noProof/>
          <w:lang w:val="it-IT"/>
        </w:rPr>
        <w:t>irregolarità che a livello nazionale determina l</w:t>
      </w:r>
      <w:r w:rsidR="00BF0169" w:rsidRPr="00BF0169">
        <w:rPr>
          <w:noProof/>
          <w:lang w:val="it-IT"/>
        </w:rPr>
        <w:t>'</w:t>
      </w:r>
      <w:r w:rsidRPr="00BF0169">
        <w:rPr>
          <w:noProof/>
          <w:lang w:val="it-IT"/>
        </w:rPr>
        <w:t>avvio di un procedimento amministrativo o giudiziario volto a determinare l</w:t>
      </w:r>
      <w:r w:rsidR="00BF0169" w:rsidRPr="00BF0169">
        <w:rPr>
          <w:noProof/>
          <w:lang w:val="it-IT"/>
        </w:rPr>
        <w:t>'</w:t>
      </w:r>
      <w:r w:rsidRPr="00BF0169">
        <w:rPr>
          <w:noProof/>
          <w:lang w:val="it-IT"/>
        </w:rPr>
        <w:t>esistenza di un comportamento intenzionale, in particolare di una frode</w:t>
      </w:r>
      <w:r w:rsidR="00BF0169" w:rsidRPr="00BF0169">
        <w:rPr>
          <w:noProof/>
          <w:lang w:val="it-IT"/>
        </w:rPr>
        <w:t>"</w:t>
      </w:r>
      <w:r w:rsidRPr="00BF0169">
        <w:rPr>
          <w:rStyle w:val="FootnoteReference"/>
          <w:noProof/>
          <w:lang w:val="it-IT"/>
        </w:rPr>
        <w:footnoteReference w:id="3"/>
      </w:r>
      <w:r w:rsidRPr="00BF0169">
        <w:rPr>
          <w:noProof/>
          <w:lang w:val="it-IT"/>
        </w:rPr>
        <w:t>.</w:t>
      </w:r>
    </w:p>
    <w:p w14:paraId="5046AACB" w14:textId="6A8FD6AC" w:rsidR="00B7631B" w:rsidRPr="00BF0169" w:rsidRDefault="0045480B"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 xml:space="preserve">La frode è considerata </w:t>
      </w:r>
      <w:r w:rsidRPr="00BF0169">
        <w:rPr>
          <w:b/>
          <w:noProof/>
          <w:lang w:val="it-IT"/>
        </w:rPr>
        <w:t>frode accertata</w:t>
      </w:r>
      <w:r w:rsidRPr="00BF0169">
        <w:rPr>
          <w:noProof/>
          <w:lang w:val="it-IT"/>
        </w:rPr>
        <w:t xml:space="preserve"> una volta che un organo competente ha preso una decisione definitiva (giudiziaria o amministrativa) che constati la sussistenza di un comportamento intenzionale.</w:t>
      </w:r>
    </w:p>
    <w:p w14:paraId="42131885" w14:textId="59FD743C" w:rsidR="00B7631B" w:rsidRPr="00BF0169" w:rsidRDefault="0045480B"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 xml:space="preserve">Il </w:t>
      </w:r>
      <w:r w:rsidRPr="00BF0169">
        <w:rPr>
          <w:b/>
          <w:noProof/>
          <w:lang w:val="it-IT"/>
        </w:rPr>
        <w:t xml:space="preserve">riquadro 2 </w:t>
      </w:r>
      <w:r w:rsidRPr="00BF0169">
        <w:rPr>
          <w:noProof/>
          <w:lang w:val="it-IT"/>
        </w:rPr>
        <w:t xml:space="preserve">spiega come vengono utilizzati i concetti di </w:t>
      </w:r>
      <w:r w:rsidRPr="00BF0169">
        <w:rPr>
          <w:b/>
          <w:noProof/>
          <w:lang w:val="it-IT"/>
        </w:rPr>
        <w:t xml:space="preserve">frode presunta </w:t>
      </w:r>
      <w:r w:rsidRPr="00BF0169">
        <w:rPr>
          <w:noProof/>
          <w:lang w:val="it-IT"/>
        </w:rPr>
        <w:t xml:space="preserve">e </w:t>
      </w:r>
      <w:r w:rsidRPr="00BF0169">
        <w:rPr>
          <w:b/>
          <w:noProof/>
          <w:lang w:val="it-IT"/>
        </w:rPr>
        <w:t>accertata</w:t>
      </w:r>
      <w:r w:rsidRPr="00BF0169">
        <w:rPr>
          <w:noProof/>
          <w:lang w:val="it-IT"/>
        </w:rPr>
        <w:t xml:space="preserve"> in relazione alle statistiche pubblicate nella presente relazione.</w:t>
      </w:r>
      <w:r w:rsidRPr="00BF0169">
        <w:rPr>
          <w:b/>
          <w:noProof/>
          <w:lang w:val="it-IT"/>
        </w:rPr>
        <w:t xml:space="preserve"> </w:t>
      </w:r>
    </w:p>
    <w:p w14:paraId="71A079EF" w14:textId="720ABA8D" w:rsidR="00131B72" w:rsidRPr="00BF0169" w:rsidRDefault="00DF51DB"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 xml:space="preserve">La </w:t>
      </w:r>
      <w:r w:rsidRPr="00BF0169">
        <w:rPr>
          <w:b/>
          <w:noProof/>
          <w:lang w:val="it-IT"/>
        </w:rPr>
        <w:t xml:space="preserve">corruzione </w:t>
      </w:r>
      <w:r w:rsidRPr="00BF0169">
        <w:rPr>
          <w:noProof/>
          <w:lang w:val="it-IT"/>
        </w:rPr>
        <w:t>designa qualsiasi abuso di potere da parte di un funzionario pubblico per fini di lucro privato, che ha l</w:t>
      </w:r>
      <w:r w:rsidR="00BF0169" w:rsidRPr="00BF0169">
        <w:rPr>
          <w:noProof/>
          <w:lang w:val="it-IT"/>
        </w:rPr>
        <w:t>'</w:t>
      </w:r>
      <w:r w:rsidRPr="00BF0169">
        <w:rPr>
          <w:noProof/>
          <w:lang w:val="it-IT"/>
        </w:rPr>
        <w:t>effetto di ledere gli interessi finanziari dell</w:t>
      </w:r>
      <w:r w:rsidR="00BF0169" w:rsidRPr="00BF0169">
        <w:rPr>
          <w:noProof/>
          <w:lang w:val="it-IT"/>
        </w:rPr>
        <w:t>'</w:t>
      </w:r>
      <w:r w:rsidRPr="00BF0169">
        <w:rPr>
          <w:noProof/>
          <w:lang w:val="it-IT"/>
        </w:rPr>
        <w:t>UE.</w:t>
      </w:r>
    </w:p>
    <w:p w14:paraId="3472BAF0" w14:textId="3FA94D91" w:rsidR="0048430C" w:rsidRPr="00BF0169" w:rsidRDefault="0048430C" w:rsidP="0048430C">
      <w:pPr>
        <w:pStyle w:val="Heading2"/>
        <w:rPr>
          <w:noProof/>
          <w:lang w:val="it-IT"/>
        </w:rPr>
      </w:pPr>
      <w:bookmarkStart w:id="6" w:name="_Toc116319615"/>
      <w:r w:rsidRPr="00BF0169">
        <w:rPr>
          <w:noProof/>
          <w:lang w:val="it-IT"/>
        </w:rPr>
        <w:t>Gli interessi finanziari dell</w:t>
      </w:r>
      <w:r w:rsidR="00BF0169" w:rsidRPr="00BF0169">
        <w:rPr>
          <w:noProof/>
          <w:lang w:val="it-IT"/>
        </w:rPr>
        <w:t>'</w:t>
      </w:r>
      <w:r w:rsidRPr="00BF0169">
        <w:rPr>
          <w:noProof/>
          <w:lang w:val="it-IT"/>
        </w:rPr>
        <w:t>UE nel 2021</w:t>
      </w:r>
      <w:bookmarkEnd w:id="6"/>
    </w:p>
    <w:p w14:paraId="307A5F6E" w14:textId="0701A5C7" w:rsidR="00DC489A" w:rsidRPr="00BF0169" w:rsidRDefault="00DC489A" w:rsidP="00DC489A">
      <w:pPr>
        <w:rPr>
          <w:noProof/>
          <w:lang w:val="it-IT"/>
        </w:rPr>
      </w:pPr>
      <w:r w:rsidRPr="00BF0169">
        <w:rPr>
          <w:noProof/>
          <w:lang w:val="it-IT"/>
        </w:rPr>
        <w:t>Gli interessi finanziari dell</w:t>
      </w:r>
      <w:r w:rsidR="00BF0169" w:rsidRPr="00BF0169">
        <w:rPr>
          <w:noProof/>
          <w:lang w:val="it-IT"/>
        </w:rPr>
        <w:t>'</w:t>
      </w:r>
      <w:r w:rsidRPr="00BF0169">
        <w:rPr>
          <w:noProof/>
          <w:lang w:val="it-IT"/>
        </w:rPr>
        <w:t>UE comprendono entrate, spese e beni coperti dal bilancio dell</w:t>
      </w:r>
      <w:r w:rsidR="00BF0169" w:rsidRPr="00BF0169">
        <w:rPr>
          <w:noProof/>
          <w:lang w:val="it-IT"/>
        </w:rPr>
        <w:t>'</w:t>
      </w:r>
      <w:r w:rsidRPr="00BF0169">
        <w:rPr>
          <w:noProof/>
          <w:lang w:val="it-IT"/>
        </w:rPr>
        <w:t>Unione europea, nonché quelli coperti dai bilanci delle istituzioni, degli organi e degli organismi dell</w:t>
      </w:r>
      <w:r w:rsidR="00BF0169" w:rsidRPr="00BF0169">
        <w:rPr>
          <w:noProof/>
          <w:lang w:val="it-IT"/>
        </w:rPr>
        <w:t>'</w:t>
      </w:r>
      <w:r w:rsidRPr="00BF0169">
        <w:rPr>
          <w:noProof/>
          <w:lang w:val="it-IT"/>
        </w:rPr>
        <w:t>UE e dai bilanci da essi gestiti e controllati</w:t>
      </w:r>
      <w:r w:rsidRPr="00BF0169">
        <w:rPr>
          <w:rStyle w:val="FootnoteReference"/>
          <w:noProof/>
          <w:lang w:val="it-IT"/>
        </w:rPr>
        <w:footnoteReference w:id="4"/>
      </w:r>
      <w:r w:rsidRPr="00BF0169">
        <w:rPr>
          <w:noProof/>
          <w:lang w:val="it-IT"/>
        </w:rPr>
        <w:t>.</w:t>
      </w:r>
    </w:p>
    <w:p w14:paraId="61ABDB6C" w14:textId="71CB0276" w:rsidR="0048430C" w:rsidRPr="00BF0169" w:rsidRDefault="00DC489A" w:rsidP="00DC489A">
      <w:pPr>
        <w:rPr>
          <w:noProof/>
          <w:lang w:val="it-IT"/>
        </w:rPr>
      </w:pPr>
      <w:r w:rsidRPr="00BF0169">
        <w:rPr>
          <w:noProof/>
          <w:lang w:val="it-IT"/>
        </w:rPr>
        <w:t>Le entrate del bilancio sono costituite da RPT</w:t>
      </w:r>
      <w:r w:rsidRPr="00BF0169">
        <w:rPr>
          <w:rStyle w:val="FootnoteReference"/>
          <w:noProof/>
          <w:lang w:val="it-IT"/>
        </w:rPr>
        <w:footnoteReference w:id="5"/>
      </w:r>
      <w:r w:rsidRPr="00BF0169">
        <w:rPr>
          <w:noProof/>
          <w:lang w:val="it-IT"/>
        </w:rPr>
        <w:t>, dall</w:t>
      </w:r>
      <w:r w:rsidR="00BF0169" w:rsidRPr="00BF0169">
        <w:rPr>
          <w:noProof/>
          <w:lang w:val="it-IT"/>
        </w:rPr>
        <w:t>'</w:t>
      </w:r>
      <w:r w:rsidRPr="00BF0169">
        <w:rPr>
          <w:noProof/>
          <w:lang w:val="it-IT"/>
        </w:rPr>
        <w:t>imposta sul valore aggiunto, dalla risorsa propria basata sulla plastica, e da una quota del reddito nazionale lordo degli Stati membri dell</w:t>
      </w:r>
      <w:r w:rsidR="00BF0169" w:rsidRPr="00BF0169">
        <w:rPr>
          <w:noProof/>
          <w:lang w:val="it-IT"/>
        </w:rPr>
        <w:t>'</w:t>
      </w:r>
      <w:r w:rsidRPr="00BF0169">
        <w:rPr>
          <w:noProof/>
          <w:lang w:val="it-IT"/>
        </w:rPr>
        <w:t>UE.</w:t>
      </w:r>
    </w:p>
    <w:p w14:paraId="190D9D9F" w14:textId="35C39AB0" w:rsidR="00DC489A" w:rsidRPr="00BF0169" w:rsidRDefault="00DC489A" w:rsidP="00DC489A">
      <w:pPr>
        <w:rPr>
          <w:noProof/>
          <w:lang w:val="it-IT"/>
        </w:rPr>
      </w:pPr>
      <w:r w:rsidRPr="00BF0169">
        <w:rPr>
          <w:noProof/>
          <w:lang w:val="it-IT"/>
        </w:rPr>
        <w:t xml:space="preserve">La </w:t>
      </w:r>
      <w:r w:rsidRPr="00BF0169">
        <w:rPr>
          <w:b/>
          <w:noProof/>
          <w:lang w:val="it-IT"/>
        </w:rPr>
        <w:t>figura 1</w:t>
      </w:r>
      <w:r w:rsidRPr="00BF0169">
        <w:rPr>
          <w:noProof/>
          <w:lang w:val="it-IT"/>
        </w:rPr>
        <w:t xml:space="preserve"> mostra le risorse a disposizione dell</w:t>
      </w:r>
      <w:r w:rsidR="00BF0169" w:rsidRPr="00BF0169">
        <w:rPr>
          <w:noProof/>
          <w:lang w:val="it-IT"/>
        </w:rPr>
        <w:t>'</w:t>
      </w:r>
      <w:r w:rsidRPr="00BF0169">
        <w:rPr>
          <w:noProof/>
          <w:lang w:val="it-IT"/>
        </w:rPr>
        <w:t>UE nel 2021.</w:t>
      </w:r>
    </w:p>
    <w:p w14:paraId="3A649901" w14:textId="51541563" w:rsidR="00DC489A" w:rsidRPr="00BF0169" w:rsidRDefault="00DC489A" w:rsidP="00DC489A">
      <w:pPr>
        <w:pStyle w:val="Caption"/>
        <w:keepNext/>
        <w:rPr>
          <w:noProof/>
          <w:lang w:val="it-IT"/>
        </w:rPr>
      </w:pPr>
      <w:r w:rsidRPr="00BF0169">
        <w:rPr>
          <w:noProof/>
          <w:lang w:val="it-IT"/>
        </w:rPr>
        <w:t xml:space="preserve">Figura </w:t>
      </w:r>
      <w:r w:rsidR="00742EC4" w:rsidRPr="00BF0169">
        <w:rPr>
          <w:noProof/>
          <w:lang w:val="it-IT"/>
        </w:rPr>
        <w:fldChar w:fldCharType="begin"/>
      </w:r>
      <w:r w:rsidR="00742EC4" w:rsidRPr="00BF0169">
        <w:rPr>
          <w:noProof/>
          <w:lang w:val="it-IT"/>
        </w:rPr>
        <w:instrText xml:space="preserve"> SEQ Figure \* ARABIC </w:instrText>
      </w:r>
      <w:r w:rsidR="00742EC4" w:rsidRPr="00BF0169">
        <w:rPr>
          <w:noProof/>
          <w:lang w:val="it-IT"/>
        </w:rPr>
        <w:fldChar w:fldCharType="separate"/>
      </w:r>
      <w:r w:rsidRPr="00BF0169">
        <w:rPr>
          <w:noProof/>
          <w:lang w:val="it-IT"/>
        </w:rPr>
        <w:t>1</w:t>
      </w:r>
      <w:r w:rsidR="00742EC4" w:rsidRPr="00BF0169">
        <w:rPr>
          <w:noProof/>
          <w:lang w:val="it-IT"/>
        </w:rPr>
        <w:fldChar w:fldCharType="end"/>
      </w:r>
      <w:r w:rsidRPr="00BF0169">
        <w:rPr>
          <w:noProof/>
          <w:lang w:val="it-IT"/>
        </w:rPr>
        <w:t xml:space="preserve"> – Entrate dell</w:t>
      </w:r>
      <w:r w:rsidR="00BF0169" w:rsidRPr="00BF0169">
        <w:rPr>
          <w:noProof/>
          <w:lang w:val="it-IT"/>
        </w:rPr>
        <w:t>'</w:t>
      </w:r>
      <w:r w:rsidRPr="00BF0169">
        <w:rPr>
          <w:noProof/>
          <w:lang w:val="it-IT"/>
        </w:rPr>
        <w:t>UE nel 2021</w:t>
      </w:r>
    </w:p>
    <w:p w14:paraId="404E96B4" w14:textId="70CE80BD" w:rsidR="00DC489A" w:rsidRPr="00BF0169" w:rsidRDefault="00854B4F" w:rsidP="00DC489A">
      <w:pPr>
        <w:rPr>
          <w:noProof/>
          <w:lang w:val="it-IT"/>
        </w:rPr>
      </w:pPr>
      <w:r w:rsidRPr="00BF0169">
        <w:rPr>
          <w:noProof/>
          <w:lang w:val="en-GB" w:eastAsia="en-GB"/>
        </w:rPr>
        <w:drawing>
          <wp:inline distT="0" distB="0" distL="0" distR="0" wp14:anchorId="21B8D881" wp14:editId="4DDFB0F2">
            <wp:extent cx="5472430" cy="35281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430" cy="3528108"/>
                    </a:xfrm>
                    <a:prstGeom prst="rect">
                      <a:avLst/>
                    </a:prstGeom>
                    <a:noFill/>
                    <a:ln>
                      <a:noFill/>
                    </a:ln>
                  </pic:spPr>
                </pic:pic>
              </a:graphicData>
            </a:graphic>
          </wp:inline>
        </w:drawing>
      </w:r>
    </w:p>
    <w:p w14:paraId="21F83AFA" w14:textId="280D73C7" w:rsidR="00623B82" w:rsidRPr="00BF0169" w:rsidRDefault="000A2ED7" w:rsidP="00DC489A">
      <w:pPr>
        <w:rPr>
          <w:noProof/>
          <w:lang w:val="it-IT"/>
        </w:rPr>
      </w:pPr>
      <w:r w:rsidRPr="00BF0169">
        <w:rPr>
          <w:noProof/>
          <w:lang w:val="it-IT"/>
        </w:rPr>
        <w:t>L</w:t>
      </w:r>
      <w:r w:rsidR="00BF0169" w:rsidRPr="00BF0169">
        <w:rPr>
          <w:noProof/>
          <w:lang w:val="it-IT"/>
        </w:rPr>
        <w:t>'</w:t>
      </w:r>
      <w:r w:rsidRPr="00BF0169">
        <w:rPr>
          <w:noProof/>
          <w:lang w:val="it-IT"/>
        </w:rPr>
        <w:t xml:space="preserve">Unione europea finanzia le proprie politiche utilizzando tali risorse (cfr. </w:t>
      </w:r>
      <w:r w:rsidRPr="00BF0169">
        <w:rPr>
          <w:b/>
          <w:noProof/>
          <w:lang w:val="it-IT"/>
        </w:rPr>
        <w:t>figura 2</w:t>
      </w:r>
      <w:r w:rsidRPr="00BF0169">
        <w:rPr>
          <w:noProof/>
          <w:lang w:val="it-IT"/>
        </w:rPr>
        <w:t>).</w:t>
      </w:r>
    </w:p>
    <w:p w14:paraId="4AFB5C84" w14:textId="7C881168" w:rsidR="00623B82" w:rsidRPr="00BF0169" w:rsidRDefault="00623B82" w:rsidP="00623B82">
      <w:pPr>
        <w:pStyle w:val="Caption"/>
        <w:keepNext/>
        <w:rPr>
          <w:noProof/>
          <w:lang w:val="it-IT"/>
        </w:rPr>
      </w:pPr>
      <w:r w:rsidRPr="00BF0169">
        <w:rPr>
          <w:noProof/>
          <w:lang w:val="it-IT"/>
        </w:rPr>
        <w:t xml:space="preserve">Figura </w:t>
      </w:r>
      <w:r w:rsidR="00742EC4" w:rsidRPr="00BF0169">
        <w:rPr>
          <w:noProof/>
          <w:lang w:val="it-IT"/>
        </w:rPr>
        <w:fldChar w:fldCharType="begin"/>
      </w:r>
      <w:r w:rsidR="00742EC4" w:rsidRPr="00BF0169">
        <w:rPr>
          <w:noProof/>
          <w:lang w:val="it-IT"/>
        </w:rPr>
        <w:instrText xml:space="preserve"> SEQ Figure \* ARABIC </w:instrText>
      </w:r>
      <w:r w:rsidR="00742EC4" w:rsidRPr="00BF0169">
        <w:rPr>
          <w:noProof/>
          <w:lang w:val="it-IT"/>
        </w:rPr>
        <w:fldChar w:fldCharType="separate"/>
      </w:r>
      <w:r w:rsidRPr="00BF0169">
        <w:rPr>
          <w:noProof/>
          <w:lang w:val="it-IT"/>
        </w:rPr>
        <w:t>2</w:t>
      </w:r>
      <w:r w:rsidR="00742EC4" w:rsidRPr="00BF0169">
        <w:rPr>
          <w:noProof/>
          <w:lang w:val="it-IT"/>
        </w:rPr>
        <w:fldChar w:fldCharType="end"/>
      </w:r>
      <w:r w:rsidRPr="00BF0169">
        <w:rPr>
          <w:noProof/>
          <w:lang w:val="it-IT"/>
        </w:rPr>
        <w:t xml:space="preserve"> – Spese dell</w:t>
      </w:r>
      <w:r w:rsidR="00BF0169" w:rsidRPr="00BF0169">
        <w:rPr>
          <w:noProof/>
          <w:lang w:val="it-IT"/>
        </w:rPr>
        <w:t>'</w:t>
      </w:r>
      <w:r w:rsidRPr="00BF0169">
        <w:rPr>
          <w:noProof/>
          <w:lang w:val="it-IT"/>
        </w:rPr>
        <w:t>UE nel 2021</w:t>
      </w:r>
    </w:p>
    <w:p w14:paraId="281909AC" w14:textId="7DCE4288" w:rsidR="00623B82" w:rsidRPr="00BF0169" w:rsidRDefault="00854B4F" w:rsidP="00623B82">
      <w:pPr>
        <w:rPr>
          <w:noProof/>
          <w:lang w:val="it-IT"/>
        </w:rPr>
      </w:pPr>
      <w:r w:rsidRPr="00BF0169">
        <w:rPr>
          <w:noProof/>
          <w:lang w:val="en-GB" w:eastAsia="en-GB"/>
        </w:rPr>
        <w:drawing>
          <wp:inline distT="0" distB="0" distL="0" distR="0" wp14:anchorId="68B388E6" wp14:editId="3E061CE7">
            <wp:extent cx="5472430" cy="3528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3528108"/>
                    </a:xfrm>
                    <a:prstGeom prst="rect">
                      <a:avLst/>
                    </a:prstGeom>
                    <a:noFill/>
                    <a:ln>
                      <a:noFill/>
                    </a:ln>
                  </pic:spPr>
                </pic:pic>
              </a:graphicData>
            </a:graphic>
          </wp:inline>
        </w:drawing>
      </w:r>
    </w:p>
    <w:p w14:paraId="6394DD87" w14:textId="1EDE1ACF" w:rsidR="00623B82" w:rsidRPr="00BF0169" w:rsidRDefault="00623B82" w:rsidP="00623B82">
      <w:pPr>
        <w:rPr>
          <w:noProof/>
          <w:lang w:val="it-IT"/>
        </w:rPr>
      </w:pPr>
      <w:r w:rsidRPr="00BF0169">
        <w:rPr>
          <w:noProof/>
          <w:lang w:val="it-IT"/>
        </w:rPr>
        <w:t>Benché la sua esecuzione avvenga su base annuale</w:t>
      </w:r>
      <w:r w:rsidRPr="00BF0169">
        <w:rPr>
          <w:rStyle w:val="FootnoteReference"/>
          <w:noProof/>
          <w:lang w:val="it-IT"/>
        </w:rPr>
        <w:footnoteReference w:id="6"/>
      </w:r>
      <w:r w:rsidRPr="00BF0169">
        <w:rPr>
          <w:noProof/>
          <w:lang w:val="it-IT"/>
        </w:rPr>
        <w:t>, il bilancio rientra nel bilancio a lungo termine dell</w:t>
      </w:r>
      <w:r w:rsidR="00BF0169" w:rsidRPr="00BF0169">
        <w:rPr>
          <w:noProof/>
          <w:lang w:val="it-IT"/>
        </w:rPr>
        <w:t>'</w:t>
      </w:r>
      <w:r w:rsidRPr="00BF0169">
        <w:rPr>
          <w:noProof/>
          <w:lang w:val="it-IT"/>
        </w:rPr>
        <w:t>Unione, il quadro finanziario pluriennale (QFP) che indica i limiti di spesa per sette anni.</w:t>
      </w:r>
    </w:p>
    <w:p w14:paraId="61038046" w14:textId="77777777" w:rsidR="0048430C" w:rsidRPr="00BF0169" w:rsidRDefault="0048430C" w:rsidP="0048430C">
      <w:pPr>
        <w:pStyle w:val="Heading1"/>
        <w:rPr>
          <w:noProof/>
          <w:lang w:val="it-IT"/>
        </w:rPr>
      </w:pPr>
      <w:bookmarkStart w:id="7" w:name="_Toc116319616"/>
      <w:r w:rsidRPr="00BF0169">
        <w:rPr>
          <w:noProof/>
          <w:lang w:val="it-IT"/>
        </w:rPr>
        <w:t>Punti salienti del 2021</w:t>
      </w:r>
      <w:bookmarkEnd w:id="7"/>
    </w:p>
    <w:p w14:paraId="5E5CDD69" w14:textId="147C8E8C" w:rsidR="0048430C" w:rsidRPr="00BF0169" w:rsidRDefault="00FD4ACD" w:rsidP="0048430C">
      <w:pPr>
        <w:rPr>
          <w:noProof/>
          <w:lang w:val="it-IT"/>
        </w:rPr>
      </w:pPr>
      <w:r w:rsidRPr="00BF0169">
        <w:rPr>
          <w:noProof/>
          <w:lang w:val="it-IT"/>
        </w:rPr>
        <w:t>La presente sezione riepiloga i principali atti adottati e la giurisprudenza della Corte di giustizia dell</w:t>
      </w:r>
      <w:r w:rsidR="00BF0169" w:rsidRPr="00BF0169">
        <w:rPr>
          <w:noProof/>
          <w:lang w:val="it-IT"/>
        </w:rPr>
        <w:t>'</w:t>
      </w:r>
      <w:r w:rsidRPr="00BF0169">
        <w:rPr>
          <w:noProof/>
          <w:lang w:val="it-IT"/>
        </w:rPr>
        <w:t>Unione europea (</w:t>
      </w:r>
      <w:r w:rsidR="00BF0169" w:rsidRPr="00BF0169">
        <w:rPr>
          <w:noProof/>
          <w:lang w:val="it-IT"/>
        </w:rPr>
        <w:t>"</w:t>
      </w:r>
      <w:r w:rsidRPr="00BF0169">
        <w:rPr>
          <w:noProof/>
          <w:lang w:val="it-IT"/>
        </w:rPr>
        <w:t>la Corte</w:t>
      </w:r>
      <w:r w:rsidR="00BF0169" w:rsidRPr="00BF0169">
        <w:rPr>
          <w:noProof/>
          <w:lang w:val="it-IT"/>
        </w:rPr>
        <w:t>"</w:t>
      </w:r>
      <w:r w:rsidRPr="00BF0169">
        <w:rPr>
          <w:noProof/>
          <w:lang w:val="it-IT"/>
        </w:rPr>
        <w:t>) in materia di tutela degli interessi finanziari nel 2021.</w:t>
      </w:r>
    </w:p>
    <w:p w14:paraId="2BA6F923" w14:textId="77777777" w:rsidR="0048430C" w:rsidRPr="00BF0169" w:rsidRDefault="00FE789E" w:rsidP="00FE789E">
      <w:pPr>
        <w:pStyle w:val="Heading2"/>
        <w:rPr>
          <w:noProof/>
          <w:lang w:val="it-IT"/>
        </w:rPr>
      </w:pPr>
      <w:bookmarkStart w:id="8" w:name="_Toc116319617"/>
      <w:r w:rsidRPr="00BF0169">
        <w:rPr>
          <w:noProof/>
          <w:lang w:val="it-IT"/>
        </w:rPr>
        <w:t>Principali atti adottati</w:t>
      </w:r>
      <w:bookmarkEnd w:id="8"/>
    </w:p>
    <w:p w14:paraId="3FB06E16" w14:textId="52F9E82C" w:rsidR="00A83949" w:rsidRPr="00BF0169" w:rsidRDefault="00A83949" w:rsidP="00FE789E">
      <w:pPr>
        <w:rPr>
          <w:noProof/>
          <w:lang w:val="it-IT"/>
        </w:rPr>
      </w:pPr>
      <w:r w:rsidRPr="00BF0169">
        <w:rPr>
          <w:noProof/>
          <w:lang w:val="it-IT"/>
        </w:rPr>
        <w:t xml:space="preserve">La </w:t>
      </w:r>
      <w:r w:rsidRPr="00BF0169">
        <w:rPr>
          <w:b/>
          <w:noProof/>
          <w:lang w:val="it-IT"/>
        </w:rPr>
        <w:t>tabella 1</w:t>
      </w:r>
      <w:r w:rsidRPr="00BF0169">
        <w:rPr>
          <w:noProof/>
          <w:lang w:val="it-IT"/>
        </w:rPr>
        <w:t xml:space="preserve"> illustra i principali atti legislativi adottati nel 2021. Nel corso di tale anno è stata adottata un</w:t>
      </w:r>
      <w:r w:rsidR="00BF0169" w:rsidRPr="00BF0169">
        <w:rPr>
          <w:noProof/>
          <w:lang w:val="it-IT"/>
        </w:rPr>
        <w:t>'</w:t>
      </w:r>
      <w:r w:rsidRPr="00BF0169">
        <w:rPr>
          <w:noProof/>
          <w:lang w:val="it-IT"/>
        </w:rPr>
        <w:t>ampia serie di regolamenti riguardanti i programmi di spesa per il periodo 2021-2027. Tali atti contengono disposizioni specifiche che ribadiscono la competenza dell</w:t>
      </w:r>
      <w:r w:rsidR="00BF0169" w:rsidRPr="00BF0169">
        <w:rPr>
          <w:noProof/>
          <w:lang w:val="it-IT"/>
        </w:rPr>
        <w:t>'</w:t>
      </w:r>
      <w:r w:rsidRPr="00BF0169">
        <w:rPr>
          <w:noProof/>
          <w:lang w:val="it-IT"/>
        </w:rPr>
        <w:t>Ufficio europeo per la lotta antifrode (OLAF) e della Procura europea (EPPO) in materia di tutela degli interessi finanziari dell</w:t>
      </w:r>
      <w:r w:rsidR="00BF0169" w:rsidRPr="00BF0169">
        <w:rPr>
          <w:noProof/>
          <w:lang w:val="it-IT"/>
        </w:rPr>
        <w:t>'</w:t>
      </w:r>
      <w:r w:rsidRPr="00BF0169">
        <w:rPr>
          <w:noProof/>
          <w:lang w:val="it-IT"/>
        </w:rPr>
        <w:t>UE e impongono ai paesi terzi partecipanti ai programmi di concedere alla Commissione, all</w:t>
      </w:r>
      <w:r w:rsidR="00BF0169" w:rsidRPr="00BF0169">
        <w:rPr>
          <w:noProof/>
          <w:lang w:val="it-IT"/>
        </w:rPr>
        <w:t>'</w:t>
      </w:r>
      <w:r w:rsidRPr="00BF0169">
        <w:rPr>
          <w:noProof/>
          <w:lang w:val="it-IT"/>
        </w:rPr>
        <w:t xml:space="preserve">OLAF e alla Corte dei conti europea (CCE) i diritti e gli accessi necessari per esercitare in modo esaustivo le rispettive competenze. </w:t>
      </w:r>
    </w:p>
    <w:p w14:paraId="77BE926F" w14:textId="18C3046B" w:rsidR="009701A5" w:rsidRPr="00BF0169" w:rsidRDefault="009701A5" w:rsidP="00FE789E">
      <w:pPr>
        <w:rPr>
          <w:noProof/>
          <w:lang w:val="it-IT"/>
        </w:rPr>
      </w:pPr>
      <w:r w:rsidRPr="00BF0169">
        <w:rPr>
          <w:noProof/>
          <w:lang w:val="it-IT"/>
        </w:rPr>
        <w:t>La tabella non contiene il riferimento a tali regolamenti.</w:t>
      </w:r>
    </w:p>
    <w:p w14:paraId="6E7C0892" w14:textId="190D616A" w:rsidR="00A83949" w:rsidRPr="00BF0169" w:rsidRDefault="00A83949" w:rsidP="008A6DCE">
      <w:pPr>
        <w:pStyle w:val="Caption"/>
        <w:rPr>
          <w:noProof/>
          <w:lang w:val="it-IT"/>
        </w:rPr>
      </w:pPr>
      <w:bookmarkStart w:id="9" w:name="_Toc106662325"/>
      <w:r w:rsidRPr="00BF0169">
        <w:rPr>
          <w:noProof/>
          <w:lang w:val="it-IT"/>
        </w:rPr>
        <w:t xml:space="preserve">Tabella </w:t>
      </w:r>
      <w:r w:rsidR="00742EC4" w:rsidRPr="00BF0169">
        <w:rPr>
          <w:noProof/>
          <w:lang w:val="it-IT"/>
        </w:rPr>
        <w:fldChar w:fldCharType="begin"/>
      </w:r>
      <w:r w:rsidR="00742EC4" w:rsidRPr="00BF0169">
        <w:rPr>
          <w:noProof/>
          <w:lang w:val="it-IT"/>
        </w:rPr>
        <w:instrText xml:space="preserve"> SEQ Table \* ARABIC </w:instrText>
      </w:r>
      <w:r w:rsidR="00742EC4" w:rsidRPr="00BF0169">
        <w:rPr>
          <w:noProof/>
          <w:lang w:val="it-IT"/>
        </w:rPr>
        <w:fldChar w:fldCharType="separate"/>
      </w:r>
      <w:r w:rsidRPr="00BF0169">
        <w:rPr>
          <w:noProof/>
          <w:lang w:val="it-IT"/>
        </w:rPr>
        <w:t>1</w:t>
      </w:r>
      <w:r w:rsidR="00742EC4" w:rsidRPr="00BF0169">
        <w:rPr>
          <w:noProof/>
          <w:lang w:val="it-IT"/>
        </w:rPr>
        <w:fldChar w:fldCharType="end"/>
      </w:r>
      <w:r w:rsidRPr="00BF0169">
        <w:rPr>
          <w:noProof/>
          <w:lang w:val="it-IT"/>
        </w:rPr>
        <w:t xml:space="preserve"> – Principali atti adottati</w:t>
      </w:r>
      <w:bookmarkEnd w:id="9"/>
    </w:p>
    <w:tbl>
      <w:tblPr>
        <w:tblStyle w:val="GridTable4-Accent5"/>
        <w:tblW w:w="0" w:type="auto"/>
        <w:tblLook w:val="04A0" w:firstRow="1" w:lastRow="0" w:firstColumn="1" w:lastColumn="0" w:noHBand="0" w:noVBand="1"/>
      </w:tblPr>
      <w:tblGrid>
        <w:gridCol w:w="4219"/>
        <w:gridCol w:w="4536"/>
      </w:tblGrid>
      <w:tr w:rsidR="00A83949" w:rsidRPr="00BF0169" w14:paraId="114D8A86" w14:textId="77777777" w:rsidTr="002B1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2761CD4A" w14:textId="77777777" w:rsidR="00A83949" w:rsidRPr="00BF0169" w:rsidRDefault="00A83949" w:rsidP="002B1B19">
            <w:pPr>
              <w:tabs>
                <w:tab w:val="left" w:pos="898"/>
              </w:tabs>
              <w:rPr>
                <w:noProof/>
                <w:sz w:val="20"/>
                <w:lang w:val="it-IT"/>
              </w:rPr>
            </w:pPr>
            <w:r w:rsidRPr="00BF0169">
              <w:rPr>
                <w:noProof/>
                <w:sz w:val="20"/>
                <w:lang w:val="it-IT"/>
              </w:rPr>
              <w:t>Titolo</w:t>
            </w:r>
          </w:p>
        </w:tc>
        <w:tc>
          <w:tcPr>
            <w:tcW w:w="4536" w:type="dxa"/>
          </w:tcPr>
          <w:p w14:paraId="6E0D5A49" w14:textId="05E9A481" w:rsidR="00A83949" w:rsidRPr="00BF0169" w:rsidRDefault="00A83949" w:rsidP="0045480B">
            <w:pPr>
              <w:tabs>
                <w:tab w:val="left" w:pos="898"/>
              </w:tabs>
              <w:cnfStyle w:val="100000000000" w:firstRow="1" w:lastRow="0" w:firstColumn="0" w:lastColumn="0" w:oddVBand="0" w:evenVBand="0" w:oddHBand="0" w:evenHBand="0" w:firstRowFirstColumn="0" w:firstRowLastColumn="0" w:lastRowFirstColumn="0" w:lastRowLastColumn="0"/>
              <w:rPr>
                <w:noProof/>
                <w:sz w:val="20"/>
                <w:lang w:val="it-IT"/>
              </w:rPr>
            </w:pPr>
            <w:r w:rsidRPr="00BF0169">
              <w:rPr>
                <w:noProof/>
                <w:sz w:val="20"/>
                <w:lang w:val="it-IT"/>
              </w:rPr>
              <w:t>Descrizione del modo in cui l</w:t>
            </w:r>
            <w:r w:rsidR="00BF0169" w:rsidRPr="00BF0169">
              <w:rPr>
                <w:noProof/>
                <w:sz w:val="20"/>
                <w:lang w:val="it-IT"/>
              </w:rPr>
              <w:t>'</w:t>
            </w:r>
            <w:r w:rsidRPr="00BF0169">
              <w:rPr>
                <w:noProof/>
                <w:sz w:val="20"/>
                <w:lang w:val="it-IT"/>
              </w:rPr>
              <w:t>atto tutela gli interessi finanziari dell</w:t>
            </w:r>
            <w:r w:rsidR="00BF0169" w:rsidRPr="00BF0169">
              <w:rPr>
                <w:noProof/>
                <w:sz w:val="20"/>
                <w:lang w:val="it-IT"/>
              </w:rPr>
              <w:t>'</w:t>
            </w:r>
            <w:r w:rsidRPr="00BF0169">
              <w:rPr>
                <w:noProof/>
                <w:sz w:val="20"/>
                <w:lang w:val="it-IT"/>
              </w:rPr>
              <w:t xml:space="preserve">UE </w:t>
            </w:r>
          </w:p>
        </w:tc>
      </w:tr>
      <w:tr w:rsidR="00A83949" w:rsidRPr="00BF0169" w14:paraId="7503BFB8" w14:textId="77777777" w:rsidTr="002B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66C7EEA6" w14:textId="77777777" w:rsidR="00A83949" w:rsidRPr="00BF0169" w:rsidRDefault="00A83949" w:rsidP="002B1B19">
            <w:pPr>
              <w:tabs>
                <w:tab w:val="left" w:pos="898"/>
              </w:tabs>
              <w:rPr>
                <w:noProof/>
                <w:sz w:val="20"/>
                <w:lang w:val="it-IT"/>
              </w:rPr>
            </w:pPr>
            <w:r w:rsidRPr="00BF0169">
              <w:rPr>
                <w:noProof/>
                <w:sz w:val="20"/>
                <w:lang w:val="it-IT"/>
              </w:rPr>
              <w:t>Regolamento (UE) 2021/241 del Parlamento europeo e del Consiglio, del 12 febbraio 2021, che istituisce il dispositivo per la ripresa e la resilienza</w:t>
            </w:r>
            <w:r w:rsidRPr="00BF0169">
              <w:rPr>
                <w:rStyle w:val="FootnoteReference"/>
                <w:noProof/>
                <w:sz w:val="20"/>
                <w:lang w:val="it-IT"/>
              </w:rPr>
              <w:footnoteReference w:id="7"/>
            </w:r>
            <w:r w:rsidRPr="00BF0169">
              <w:rPr>
                <w:noProof/>
                <w:sz w:val="20"/>
                <w:lang w:val="it-IT"/>
              </w:rPr>
              <w:t>.</w:t>
            </w:r>
          </w:p>
        </w:tc>
        <w:tc>
          <w:tcPr>
            <w:tcW w:w="4536" w:type="dxa"/>
          </w:tcPr>
          <w:p w14:paraId="1F1B4A72" w14:textId="05333E9D" w:rsidR="00A83949" w:rsidRPr="00BF0169" w:rsidRDefault="00A83949" w:rsidP="001576E8">
            <w:pPr>
              <w:tabs>
                <w:tab w:val="left" w:pos="898"/>
              </w:tabs>
              <w:cnfStyle w:val="000000100000" w:firstRow="0" w:lastRow="0" w:firstColumn="0" w:lastColumn="0" w:oddVBand="0" w:evenVBand="0" w:oddHBand="1" w:evenHBand="0" w:firstRowFirstColumn="0" w:firstRowLastColumn="0" w:lastRowFirstColumn="0" w:lastRowLastColumn="0"/>
              <w:rPr>
                <w:noProof/>
                <w:sz w:val="20"/>
                <w:lang w:val="it-IT"/>
              </w:rPr>
            </w:pPr>
            <w:r w:rsidRPr="00BF0169">
              <w:rPr>
                <w:noProof/>
                <w:sz w:val="20"/>
                <w:lang w:val="it-IT"/>
              </w:rPr>
              <w:t xml:space="preserve">Il </w:t>
            </w:r>
            <w:r w:rsidR="00BF0169" w:rsidRPr="00BF0169">
              <w:rPr>
                <w:noProof/>
                <w:sz w:val="20"/>
                <w:lang w:val="it-IT"/>
              </w:rPr>
              <w:t>"</w:t>
            </w:r>
            <w:r w:rsidRPr="00BF0169">
              <w:rPr>
                <w:noProof/>
                <w:sz w:val="20"/>
                <w:lang w:val="it-IT"/>
              </w:rPr>
              <w:t>regolamento RRF</w:t>
            </w:r>
            <w:r w:rsidR="00BF0169" w:rsidRPr="00BF0169">
              <w:rPr>
                <w:noProof/>
                <w:sz w:val="20"/>
                <w:lang w:val="it-IT"/>
              </w:rPr>
              <w:t>"</w:t>
            </w:r>
            <w:r w:rsidRPr="00BF0169">
              <w:rPr>
                <w:noProof/>
                <w:sz w:val="20"/>
                <w:lang w:val="it-IT"/>
              </w:rPr>
              <w:t>. L</w:t>
            </w:r>
            <w:r w:rsidR="00BF0169" w:rsidRPr="00BF0169">
              <w:rPr>
                <w:noProof/>
                <w:sz w:val="20"/>
                <w:lang w:val="it-IT"/>
              </w:rPr>
              <w:t>'</w:t>
            </w:r>
            <w:r w:rsidRPr="00BF0169">
              <w:rPr>
                <w:noProof/>
                <w:sz w:val="20"/>
                <w:lang w:val="it-IT"/>
              </w:rPr>
              <w:t>articolo 22 contiene disposizioni sulla tutela degli interessi finanziari dell</w:t>
            </w:r>
            <w:r w:rsidR="00BF0169" w:rsidRPr="00BF0169">
              <w:rPr>
                <w:noProof/>
                <w:sz w:val="20"/>
                <w:lang w:val="it-IT"/>
              </w:rPr>
              <w:t>'</w:t>
            </w:r>
            <w:r w:rsidRPr="00BF0169">
              <w:rPr>
                <w:noProof/>
                <w:sz w:val="20"/>
                <w:lang w:val="it-IT"/>
              </w:rPr>
              <w:t>Unione</w:t>
            </w:r>
            <w:r w:rsidRPr="00BF0169">
              <w:rPr>
                <w:rStyle w:val="FootnoteReference"/>
                <w:noProof/>
                <w:sz w:val="20"/>
                <w:lang w:val="it-IT"/>
              </w:rPr>
              <w:footnoteReference w:id="8"/>
            </w:r>
            <w:r w:rsidRPr="00BF0169">
              <w:rPr>
                <w:noProof/>
                <w:sz w:val="20"/>
                <w:lang w:val="it-IT"/>
              </w:rPr>
              <w:t>.</w:t>
            </w:r>
          </w:p>
        </w:tc>
      </w:tr>
      <w:tr w:rsidR="001576E8" w:rsidRPr="00BF0169" w14:paraId="3B401180" w14:textId="77777777" w:rsidTr="002B1B19">
        <w:tc>
          <w:tcPr>
            <w:cnfStyle w:val="001000000000" w:firstRow="0" w:lastRow="0" w:firstColumn="1" w:lastColumn="0" w:oddVBand="0" w:evenVBand="0" w:oddHBand="0" w:evenHBand="0" w:firstRowFirstColumn="0" w:firstRowLastColumn="0" w:lastRowFirstColumn="0" w:lastRowLastColumn="0"/>
            <w:tcW w:w="4219" w:type="dxa"/>
          </w:tcPr>
          <w:p w14:paraId="2E8037D1" w14:textId="01241314" w:rsidR="001576E8" w:rsidRPr="00BF0169" w:rsidRDefault="001576E8" w:rsidP="00A83949">
            <w:pPr>
              <w:tabs>
                <w:tab w:val="left" w:pos="898"/>
              </w:tabs>
              <w:rPr>
                <w:noProof/>
                <w:sz w:val="20"/>
                <w:lang w:val="it-IT"/>
              </w:rPr>
            </w:pPr>
            <w:r w:rsidRPr="00BF0169">
              <w:rPr>
                <w:noProof/>
                <w:sz w:val="20"/>
                <w:lang w:val="it-IT"/>
              </w:rPr>
              <w:t>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w:t>
            </w:r>
            <w:r w:rsidR="00BF0169" w:rsidRPr="00BF0169">
              <w:rPr>
                <w:noProof/>
                <w:sz w:val="20"/>
                <w:lang w:val="it-IT"/>
              </w:rPr>
              <w:t>'</w:t>
            </w:r>
            <w:r w:rsidRPr="00BF0169">
              <w:rPr>
                <w:noProof/>
                <w:sz w:val="20"/>
                <w:lang w:val="it-IT"/>
              </w:rPr>
              <w:t>acquacoltura, e le regole finanziarie applicabili a tali fondi e al Fondo Asilo, migrazione e integrazione, al Fondo Sicurezza interna e allo Strumento di sostegno finanziario per la gestione delle frontiere e la politica dei visti</w:t>
            </w:r>
            <w:r w:rsidRPr="00BF0169">
              <w:rPr>
                <w:rStyle w:val="FootnoteReference"/>
                <w:noProof/>
                <w:sz w:val="20"/>
                <w:lang w:val="it-IT"/>
              </w:rPr>
              <w:footnoteReference w:id="9"/>
            </w:r>
          </w:p>
        </w:tc>
        <w:tc>
          <w:tcPr>
            <w:tcW w:w="4536" w:type="dxa"/>
          </w:tcPr>
          <w:p w14:paraId="0D51244D" w14:textId="421CDCBE" w:rsidR="001576E8" w:rsidRPr="00BF0169" w:rsidRDefault="001576E8" w:rsidP="001576E8">
            <w:pPr>
              <w:tabs>
                <w:tab w:val="left" w:pos="898"/>
              </w:tabs>
              <w:cnfStyle w:val="000000000000" w:firstRow="0" w:lastRow="0" w:firstColumn="0" w:lastColumn="0" w:oddVBand="0" w:evenVBand="0" w:oddHBand="0" w:evenHBand="0" w:firstRowFirstColumn="0" w:firstRowLastColumn="0" w:lastRowFirstColumn="0" w:lastRowLastColumn="0"/>
              <w:rPr>
                <w:noProof/>
                <w:sz w:val="20"/>
                <w:lang w:val="it-IT"/>
              </w:rPr>
            </w:pPr>
            <w:r w:rsidRPr="00BF0169">
              <w:rPr>
                <w:noProof/>
                <w:sz w:val="20"/>
                <w:lang w:val="it-IT"/>
              </w:rPr>
              <w:t>Il considerando 71 ribadisce la competenza dell</w:t>
            </w:r>
            <w:r w:rsidR="00BF0169" w:rsidRPr="00BF0169">
              <w:rPr>
                <w:noProof/>
                <w:sz w:val="20"/>
                <w:lang w:val="it-IT"/>
              </w:rPr>
              <w:t>'</w:t>
            </w:r>
            <w:r w:rsidRPr="00BF0169">
              <w:rPr>
                <w:noProof/>
                <w:sz w:val="20"/>
                <w:lang w:val="it-IT"/>
              </w:rPr>
              <w:t>OLAF e dell</w:t>
            </w:r>
            <w:r w:rsidR="00BF0169" w:rsidRPr="00BF0169">
              <w:rPr>
                <w:noProof/>
                <w:sz w:val="20"/>
                <w:lang w:val="it-IT"/>
              </w:rPr>
              <w:t>'</w:t>
            </w:r>
            <w:r w:rsidRPr="00BF0169">
              <w:rPr>
                <w:noProof/>
                <w:sz w:val="20"/>
                <w:lang w:val="it-IT"/>
              </w:rPr>
              <w:t>EPPO per la tutela degli interessi finanziari dell</w:t>
            </w:r>
            <w:r w:rsidR="00BF0169" w:rsidRPr="00BF0169">
              <w:rPr>
                <w:noProof/>
                <w:sz w:val="20"/>
                <w:lang w:val="it-IT"/>
              </w:rPr>
              <w:t>'</w:t>
            </w:r>
            <w:r w:rsidRPr="00BF0169">
              <w:rPr>
                <w:noProof/>
                <w:sz w:val="20"/>
                <w:lang w:val="it-IT"/>
              </w:rPr>
              <w:t>UE per i programmi interessati.</w:t>
            </w:r>
          </w:p>
          <w:p w14:paraId="2E4C96A4" w14:textId="1589DFEA" w:rsidR="001576E8" w:rsidRPr="00BF0169" w:rsidRDefault="001576E8" w:rsidP="001576E8">
            <w:pPr>
              <w:tabs>
                <w:tab w:val="left" w:pos="898"/>
              </w:tabs>
              <w:cnfStyle w:val="000000000000" w:firstRow="0" w:lastRow="0" w:firstColumn="0" w:lastColumn="0" w:oddVBand="0" w:evenVBand="0" w:oddHBand="0" w:evenHBand="0" w:firstRowFirstColumn="0" w:firstRowLastColumn="0" w:lastRowFirstColumn="0" w:lastRowLastColumn="0"/>
              <w:rPr>
                <w:noProof/>
                <w:sz w:val="20"/>
                <w:lang w:val="it-IT"/>
              </w:rPr>
            </w:pPr>
            <w:r w:rsidRPr="00BF0169">
              <w:rPr>
                <w:noProof/>
                <w:sz w:val="20"/>
                <w:lang w:val="it-IT"/>
              </w:rPr>
              <w:t>L</w:t>
            </w:r>
            <w:r w:rsidR="00BF0169" w:rsidRPr="00BF0169">
              <w:rPr>
                <w:noProof/>
                <w:sz w:val="20"/>
                <w:lang w:val="it-IT"/>
              </w:rPr>
              <w:t>'</w:t>
            </w:r>
            <w:r w:rsidRPr="00BF0169">
              <w:rPr>
                <w:noProof/>
                <w:sz w:val="20"/>
                <w:lang w:val="it-IT"/>
              </w:rPr>
              <w:t>articolo 69 impone agli Stati membri di assicurare la legittimità e regolarità delle spese e di adottare tutte le azioni necessarie per prevenire, individuare, rettificare e segnalare le irregolarità, comprese le frodi. Garantisce inoltre che la Commissione, l</w:t>
            </w:r>
            <w:r w:rsidR="00BF0169" w:rsidRPr="00BF0169">
              <w:rPr>
                <w:noProof/>
                <w:sz w:val="20"/>
                <w:lang w:val="it-IT"/>
              </w:rPr>
              <w:t>'</w:t>
            </w:r>
            <w:r w:rsidRPr="00BF0169">
              <w:rPr>
                <w:noProof/>
                <w:sz w:val="20"/>
                <w:lang w:val="it-IT"/>
              </w:rPr>
              <w:t>OLAF e l</w:t>
            </w:r>
            <w:r w:rsidR="00BF0169" w:rsidRPr="00BF0169">
              <w:rPr>
                <w:noProof/>
                <w:sz w:val="20"/>
                <w:lang w:val="it-IT"/>
              </w:rPr>
              <w:t>'</w:t>
            </w:r>
            <w:r w:rsidRPr="00BF0169">
              <w:rPr>
                <w:noProof/>
                <w:sz w:val="20"/>
                <w:lang w:val="it-IT"/>
              </w:rPr>
              <w:t>ECA abbiano l</w:t>
            </w:r>
            <w:r w:rsidR="00BF0169" w:rsidRPr="00BF0169">
              <w:rPr>
                <w:noProof/>
                <w:sz w:val="20"/>
                <w:lang w:val="it-IT"/>
              </w:rPr>
              <w:t>'</w:t>
            </w:r>
            <w:r w:rsidRPr="00BF0169">
              <w:rPr>
                <w:noProof/>
                <w:sz w:val="20"/>
                <w:lang w:val="it-IT"/>
              </w:rPr>
              <w:t>accesso di cui hanno bisogno alle informazioni sui titolari effettivi dei destinatari dei fondi UE.</w:t>
            </w:r>
          </w:p>
          <w:p w14:paraId="646FBCCE" w14:textId="251321A1" w:rsidR="001576E8" w:rsidRPr="00BF0169" w:rsidRDefault="001576E8" w:rsidP="001576E8">
            <w:pPr>
              <w:tabs>
                <w:tab w:val="left" w:pos="898"/>
              </w:tabs>
              <w:cnfStyle w:val="000000000000" w:firstRow="0" w:lastRow="0" w:firstColumn="0" w:lastColumn="0" w:oddVBand="0" w:evenVBand="0" w:oddHBand="0" w:evenHBand="0" w:firstRowFirstColumn="0" w:firstRowLastColumn="0" w:lastRowFirstColumn="0" w:lastRowLastColumn="0"/>
              <w:rPr>
                <w:noProof/>
                <w:sz w:val="20"/>
                <w:lang w:val="it-IT"/>
              </w:rPr>
            </w:pPr>
            <w:r w:rsidRPr="00BF0169">
              <w:rPr>
                <w:noProof/>
                <w:sz w:val="20"/>
                <w:lang w:val="it-IT"/>
              </w:rPr>
              <w:t>A norma dell</w:t>
            </w:r>
            <w:r w:rsidR="00BF0169" w:rsidRPr="00BF0169">
              <w:rPr>
                <w:noProof/>
                <w:sz w:val="20"/>
                <w:lang w:val="it-IT"/>
              </w:rPr>
              <w:t>'</w:t>
            </w:r>
            <w:r w:rsidRPr="00BF0169">
              <w:rPr>
                <w:noProof/>
                <w:sz w:val="20"/>
                <w:lang w:val="it-IT"/>
              </w:rPr>
              <w:t>articolo 74, le autorità di gestione sono tenute a porre in atto misure e procedure antifrode efficaci e proporzionate, tenendo conto dei rischi individuati.</w:t>
            </w:r>
          </w:p>
          <w:p w14:paraId="07EA1BFB" w14:textId="4A6E7815" w:rsidR="001576E8" w:rsidRPr="00BF0169" w:rsidRDefault="001576E8" w:rsidP="001576E8">
            <w:pPr>
              <w:tabs>
                <w:tab w:val="left" w:pos="898"/>
              </w:tabs>
              <w:cnfStyle w:val="000000000000" w:firstRow="0" w:lastRow="0" w:firstColumn="0" w:lastColumn="0" w:oddVBand="0" w:evenVBand="0" w:oddHBand="0" w:evenHBand="0" w:firstRowFirstColumn="0" w:firstRowLastColumn="0" w:lastRowFirstColumn="0" w:lastRowLastColumn="0"/>
              <w:rPr>
                <w:noProof/>
                <w:sz w:val="20"/>
                <w:lang w:val="it-IT"/>
              </w:rPr>
            </w:pPr>
            <w:r w:rsidRPr="00BF0169">
              <w:rPr>
                <w:noProof/>
                <w:sz w:val="20"/>
                <w:lang w:val="it-IT"/>
              </w:rPr>
              <w:t>L</w:t>
            </w:r>
            <w:r w:rsidR="00BF0169" w:rsidRPr="00BF0169">
              <w:rPr>
                <w:noProof/>
                <w:sz w:val="20"/>
                <w:lang w:val="it-IT"/>
              </w:rPr>
              <w:t>'</w:t>
            </w:r>
            <w:r w:rsidRPr="00BF0169">
              <w:rPr>
                <w:noProof/>
                <w:sz w:val="20"/>
                <w:lang w:val="it-IT"/>
              </w:rPr>
              <w:t>allegato XII stabilisce le modalità dettagliate e il modello per la segnalazione di irregolarità.</w:t>
            </w:r>
          </w:p>
        </w:tc>
      </w:tr>
      <w:tr w:rsidR="008A17E3" w:rsidRPr="00BF0169" w14:paraId="6684BD59" w14:textId="77777777" w:rsidTr="002B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0DFF6DBB" w14:textId="56AC8D4F" w:rsidR="008A17E3" w:rsidRPr="00BF0169" w:rsidRDefault="008A17E3" w:rsidP="002B1B19">
            <w:pPr>
              <w:tabs>
                <w:tab w:val="left" w:pos="898"/>
              </w:tabs>
              <w:rPr>
                <w:noProof/>
                <w:sz w:val="20"/>
                <w:lang w:val="it-IT"/>
              </w:rPr>
            </w:pPr>
            <w:r w:rsidRPr="00BF0169">
              <w:rPr>
                <w:noProof/>
                <w:sz w:val="20"/>
                <w:lang w:val="it-IT"/>
              </w:rPr>
              <w:t>Regolamento (UE) 2021/785 del Parlamento europeo e del Consiglio, del 29 aprile 2021, che istituisce il programma antifrode dell</w:t>
            </w:r>
            <w:r w:rsidR="00BF0169" w:rsidRPr="00BF0169">
              <w:rPr>
                <w:noProof/>
                <w:sz w:val="20"/>
                <w:lang w:val="it-IT"/>
              </w:rPr>
              <w:t>'</w:t>
            </w:r>
            <w:r w:rsidRPr="00BF0169">
              <w:rPr>
                <w:noProof/>
                <w:sz w:val="20"/>
                <w:lang w:val="it-IT"/>
              </w:rPr>
              <w:t xml:space="preserve">Unione e abroga il regolamento (UE) </w:t>
            </w:r>
            <w:r w:rsidR="00AE539E" w:rsidRPr="00BF0169">
              <w:rPr>
                <w:noProof/>
                <w:sz w:val="20"/>
                <w:lang w:val="it-IT"/>
              </w:rPr>
              <w:t>n. </w:t>
            </w:r>
            <w:r w:rsidRPr="00BF0169">
              <w:rPr>
                <w:noProof/>
                <w:sz w:val="20"/>
                <w:lang w:val="it-IT"/>
              </w:rPr>
              <w:t>250/2014</w:t>
            </w:r>
            <w:r w:rsidRPr="00BF0169">
              <w:rPr>
                <w:rStyle w:val="FootnoteReference"/>
                <w:noProof/>
                <w:sz w:val="20"/>
                <w:lang w:val="it-IT"/>
              </w:rPr>
              <w:footnoteReference w:id="10"/>
            </w:r>
            <w:r w:rsidRPr="00BF0169">
              <w:rPr>
                <w:noProof/>
                <w:sz w:val="20"/>
                <w:lang w:val="it-IT"/>
              </w:rPr>
              <w:t>.</w:t>
            </w:r>
          </w:p>
        </w:tc>
        <w:tc>
          <w:tcPr>
            <w:tcW w:w="4536" w:type="dxa"/>
          </w:tcPr>
          <w:p w14:paraId="1B2145F0" w14:textId="1D0D1DC0" w:rsidR="008A17E3" w:rsidRPr="00BF0169" w:rsidRDefault="008A17E3" w:rsidP="0045480B">
            <w:pPr>
              <w:tabs>
                <w:tab w:val="left" w:pos="898"/>
              </w:tabs>
              <w:cnfStyle w:val="000000100000" w:firstRow="0" w:lastRow="0" w:firstColumn="0" w:lastColumn="0" w:oddVBand="0" w:evenVBand="0" w:oddHBand="1" w:evenHBand="0" w:firstRowFirstColumn="0" w:firstRowLastColumn="0" w:lastRowFirstColumn="0" w:lastRowLastColumn="0"/>
              <w:rPr>
                <w:noProof/>
                <w:sz w:val="20"/>
                <w:lang w:val="it-IT"/>
              </w:rPr>
            </w:pPr>
            <w:r w:rsidRPr="00BF0169">
              <w:rPr>
                <w:noProof/>
                <w:sz w:val="20"/>
                <w:lang w:val="it-IT"/>
              </w:rPr>
              <w:t>Il programma antifrode dell</w:t>
            </w:r>
            <w:r w:rsidR="00BF0169" w:rsidRPr="00BF0169">
              <w:rPr>
                <w:noProof/>
                <w:sz w:val="20"/>
                <w:lang w:val="it-IT"/>
              </w:rPr>
              <w:t>'</w:t>
            </w:r>
            <w:r w:rsidRPr="00BF0169">
              <w:rPr>
                <w:noProof/>
                <w:sz w:val="20"/>
                <w:lang w:val="it-IT"/>
              </w:rPr>
              <w:t>Unione, il successore del programma Hercule III, finanzia attività volte a combattere la frode e le altre attività illecite che ledono gli interessi finanziari dell</w:t>
            </w:r>
            <w:r w:rsidR="00BF0169" w:rsidRPr="00BF0169">
              <w:rPr>
                <w:noProof/>
                <w:sz w:val="20"/>
                <w:lang w:val="it-IT"/>
              </w:rPr>
              <w:t>'</w:t>
            </w:r>
            <w:r w:rsidRPr="00BF0169">
              <w:rPr>
                <w:noProof/>
                <w:sz w:val="20"/>
                <w:lang w:val="it-IT"/>
              </w:rPr>
              <w:t>Unione</w:t>
            </w:r>
            <w:r w:rsidRPr="00BF0169">
              <w:rPr>
                <w:rStyle w:val="FootnoteReference"/>
                <w:noProof/>
                <w:sz w:val="20"/>
                <w:lang w:val="it-IT"/>
              </w:rPr>
              <w:footnoteReference w:id="11"/>
            </w:r>
            <w:r w:rsidRPr="00BF0169">
              <w:rPr>
                <w:noProof/>
                <w:sz w:val="20"/>
                <w:lang w:val="it-IT"/>
              </w:rPr>
              <w:t>.</w:t>
            </w:r>
          </w:p>
        </w:tc>
      </w:tr>
    </w:tbl>
    <w:p w14:paraId="0D60E786" w14:textId="77777777" w:rsidR="00FE789E" w:rsidRPr="00BF0169" w:rsidRDefault="00FE789E" w:rsidP="00FE789E">
      <w:pPr>
        <w:pStyle w:val="Heading2"/>
        <w:rPr>
          <w:noProof/>
          <w:lang w:val="it-IT"/>
        </w:rPr>
      </w:pPr>
      <w:bookmarkStart w:id="10" w:name="_Toc116319618"/>
      <w:r w:rsidRPr="00BF0169">
        <w:rPr>
          <w:noProof/>
          <w:lang w:val="it-IT"/>
        </w:rPr>
        <w:t>Giurisprudenza in materia di tutela degli interessi finanziari</w:t>
      </w:r>
      <w:bookmarkEnd w:id="10"/>
    </w:p>
    <w:p w14:paraId="599EB5ED" w14:textId="2821001B" w:rsidR="00FE789E" w:rsidRPr="00BF0169" w:rsidRDefault="002F71B1" w:rsidP="00FE789E">
      <w:pPr>
        <w:rPr>
          <w:noProof/>
          <w:lang w:val="it-IT"/>
        </w:rPr>
      </w:pPr>
      <w:r w:rsidRPr="00BF0169">
        <w:rPr>
          <w:noProof/>
          <w:lang w:val="it-IT"/>
        </w:rPr>
        <w:t>La Corte di giustizia dell</w:t>
      </w:r>
      <w:r w:rsidR="00BF0169" w:rsidRPr="00BF0169">
        <w:rPr>
          <w:noProof/>
          <w:lang w:val="it-IT"/>
        </w:rPr>
        <w:t>'</w:t>
      </w:r>
      <w:r w:rsidRPr="00BF0169">
        <w:rPr>
          <w:noProof/>
          <w:lang w:val="it-IT"/>
        </w:rPr>
        <w:t>Unione europea garantisce l</w:t>
      </w:r>
      <w:r w:rsidR="00BF0169" w:rsidRPr="00BF0169">
        <w:rPr>
          <w:noProof/>
          <w:lang w:val="it-IT"/>
        </w:rPr>
        <w:t>'</w:t>
      </w:r>
      <w:r w:rsidRPr="00BF0169">
        <w:rPr>
          <w:noProof/>
          <w:lang w:val="it-IT"/>
        </w:rPr>
        <w:t>uniformità dell</w:t>
      </w:r>
      <w:r w:rsidR="00BF0169" w:rsidRPr="00BF0169">
        <w:rPr>
          <w:noProof/>
          <w:lang w:val="it-IT"/>
        </w:rPr>
        <w:t>'</w:t>
      </w:r>
      <w:r w:rsidRPr="00BF0169">
        <w:rPr>
          <w:noProof/>
          <w:lang w:val="it-IT"/>
        </w:rPr>
        <w:t>applicazione e dell</w:t>
      </w:r>
      <w:r w:rsidR="00BF0169" w:rsidRPr="00BF0169">
        <w:rPr>
          <w:noProof/>
          <w:lang w:val="it-IT"/>
        </w:rPr>
        <w:t>'</w:t>
      </w:r>
      <w:r w:rsidRPr="00BF0169">
        <w:rPr>
          <w:noProof/>
          <w:lang w:val="it-IT"/>
        </w:rPr>
        <w:t>interpretazione del diritto dell</w:t>
      </w:r>
      <w:r w:rsidR="00BF0169" w:rsidRPr="00BF0169">
        <w:rPr>
          <w:noProof/>
          <w:lang w:val="it-IT"/>
        </w:rPr>
        <w:t>'</w:t>
      </w:r>
      <w:r w:rsidRPr="00BF0169">
        <w:rPr>
          <w:noProof/>
          <w:lang w:val="it-IT"/>
        </w:rPr>
        <w:t>Unione europea. Nel 2021 la Corte ha pronunciato tre decisioni in materia di tutela degli interessi finanziari dell</w:t>
      </w:r>
      <w:r w:rsidR="00BF0169" w:rsidRPr="00BF0169">
        <w:rPr>
          <w:noProof/>
          <w:lang w:val="it-IT"/>
        </w:rPr>
        <w:t>'</w:t>
      </w:r>
      <w:r w:rsidRPr="00BF0169">
        <w:rPr>
          <w:noProof/>
          <w:lang w:val="it-IT"/>
        </w:rPr>
        <w:t>Unione.</w:t>
      </w:r>
    </w:p>
    <w:tbl>
      <w:tblPr>
        <w:tblStyle w:val="GridTable4-Accent1"/>
        <w:tblW w:w="0" w:type="auto"/>
        <w:tblLook w:val="04A0" w:firstRow="1" w:lastRow="0" w:firstColumn="1" w:lastColumn="0" w:noHBand="0" w:noVBand="1"/>
      </w:tblPr>
      <w:tblGrid>
        <w:gridCol w:w="8834"/>
      </w:tblGrid>
      <w:tr w:rsidR="002F71B1" w:rsidRPr="00BF0169" w14:paraId="40B90D3C" w14:textId="77777777" w:rsidTr="00A27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tcPr>
          <w:p w14:paraId="38B6326B" w14:textId="77777777" w:rsidR="002F71B1" w:rsidRPr="00BF0169" w:rsidRDefault="002F71B1" w:rsidP="00A27EF6">
            <w:pPr>
              <w:tabs>
                <w:tab w:val="left" w:pos="898"/>
              </w:tabs>
              <w:rPr>
                <w:noProof/>
                <w:sz w:val="20"/>
                <w:lang w:val="it-IT"/>
              </w:rPr>
            </w:pPr>
            <w:r w:rsidRPr="00BF0169">
              <w:rPr>
                <w:noProof/>
                <w:sz w:val="20"/>
                <w:lang w:val="it-IT"/>
              </w:rPr>
              <w:t>Numero e descrizione della causa</w:t>
            </w:r>
          </w:p>
        </w:tc>
      </w:tr>
      <w:tr w:rsidR="002F71B1" w:rsidRPr="00BF0169" w14:paraId="44D0DC93"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tcPr>
          <w:p w14:paraId="163D92E3" w14:textId="77777777" w:rsidR="002F71B1" w:rsidRPr="00BF0169" w:rsidRDefault="002F71B1" w:rsidP="00DC1244">
            <w:pPr>
              <w:tabs>
                <w:tab w:val="left" w:pos="898"/>
              </w:tabs>
              <w:spacing w:before="120"/>
              <w:rPr>
                <w:b w:val="0"/>
                <w:noProof/>
                <w:sz w:val="20"/>
                <w:lang w:val="it-IT"/>
              </w:rPr>
            </w:pPr>
            <w:r w:rsidRPr="00BF0169">
              <w:rPr>
                <w:noProof/>
                <w:sz w:val="20"/>
                <w:lang w:val="it-IT"/>
              </w:rPr>
              <w:t>C-130/19</w:t>
            </w:r>
            <w:r w:rsidRPr="00BF0169">
              <w:rPr>
                <w:rStyle w:val="FootnoteReference"/>
                <w:noProof/>
                <w:sz w:val="20"/>
                <w:lang w:val="it-IT"/>
              </w:rPr>
              <w:footnoteReference w:id="12"/>
            </w:r>
            <w:r w:rsidRPr="00BF0169">
              <w:rPr>
                <w:noProof/>
                <w:sz w:val="20"/>
                <w:lang w:val="it-IT"/>
              </w:rPr>
              <w:t xml:space="preserve">, </w:t>
            </w:r>
            <w:r w:rsidRPr="00BF0169">
              <w:rPr>
                <w:i/>
                <w:iCs/>
                <w:noProof/>
                <w:sz w:val="20"/>
                <w:lang w:val="it-IT"/>
              </w:rPr>
              <w:t>Corte dei conti europea/Karel Pinxten</w:t>
            </w:r>
            <w:r w:rsidRPr="00BF0169">
              <w:rPr>
                <w:b w:val="0"/>
                <w:noProof/>
                <w:sz w:val="20"/>
                <w:lang w:val="it-IT"/>
              </w:rPr>
              <w:t>.</w:t>
            </w:r>
          </w:p>
          <w:p w14:paraId="5338CB02" w14:textId="5270786B" w:rsidR="002F71B1" w:rsidRPr="00BF0169" w:rsidRDefault="002F71B1">
            <w:pPr>
              <w:tabs>
                <w:tab w:val="left" w:pos="898"/>
              </w:tabs>
              <w:rPr>
                <w:b w:val="0"/>
                <w:noProof/>
                <w:sz w:val="20"/>
                <w:lang w:val="it-IT"/>
              </w:rPr>
            </w:pPr>
            <w:r w:rsidRPr="00BF0169">
              <w:rPr>
                <w:b w:val="0"/>
                <w:noProof/>
                <w:sz w:val="20"/>
                <w:lang w:val="it-IT"/>
              </w:rPr>
              <w:t>Nel caso di specie, la Corte di giustizia ha dichiarato che un ex membro della Corte dei conti europea aveva violato gli obblighi derivanti dalla sua carica di membro della Corte dei conti, compiendo una serie di atti, tra cui l</w:t>
            </w:r>
            <w:r w:rsidR="00BF0169" w:rsidRPr="00BF0169">
              <w:rPr>
                <w:b w:val="0"/>
                <w:noProof/>
                <w:sz w:val="20"/>
                <w:lang w:val="it-IT"/>
              </w:rPr>
              <w:t>'</w:t>
            </w:r>
            <w:r w:rsidRPr="00BF0169">
              <w:rPr>
                <w:b w:val="0"/>
                <w:noProof/>
                <w:sz w:val="20"/>
                <w:lang w:val="it-IT"/>
              </w:rPr>
              <w:t>uso irregolare delle risorse di tale istituzione per finanziare attività non connesse con le sue funzioni e l</w:t>
            </w:r>
            <w:r w:rsidR="00BF0169" w:rsidRPr="00BF0169">
              <w:rPr>
                <w:b w:val="0"/>
                <w:noProof/>
                <w:sz w:val="20"/>
                <w:lang w:val="it-IT"/>
              </w:rPr>
              <w:t>'</w:t>
            </w:r>
            <w:r w:rsidRPr="00BF0169">
              <w:rPr>
                <w:b w:val="0"/>
                <w:noProof/>
                <w:sz w:val="20"/>
                <w:lang w:val="it-IT"/>
              </w:rPr>
              <w:t>uso di una carta carburante fornita dalla Corte dei conti per l</w:t>
            </w:r>
            <w:r w:rsidR="00BF0169" w:rsidRPr="00BF0169">
              <w:rPr>
                <w:b w:val="0"/>
                <w:noProof/>
                <w:sz w:val="20"/>
                <w:lang w:val="it-IT"/>
              </w:rPr>
              <w:t>'</w:t>
            </w:r>
            <w:r w:rsidRPr="00BF0169">
              <w:rPr>
                <w:b w:val="0"/>
                <w:noProof/>
                <w:sz w:val="20"/>
                <w:lang w:val="it-IT"/>
              </w:rPr>
              <w:t>acquisto di carburante per veicoli di terzi. La Corte ha privato l</w:t>
            </w:r>
            <w:r w:rsidR="00BF0169" w:rsidRPr="00BF0169">
              <w:rPr>
                <w:b w:val="0"/>
                <w:noProof/>
                <w:sz w:val="20"/>
                <w:lang w:val="it-IT"/>
              </w:rPr>
              <w:t>'</w:t>
            </w:r>
            <w:r w:rsidRPr="00BF0169">
              <w:rPr>
                <w:b w:val="0"/>
                <w:noProof/>
                <w:sz w:val="20"/>
                <w:lang w:val="it-IT"/>
              </w:rPr>
              <w:t>ex membro della Corte dei conti di due terzi del suo diritto alla pensione. Nella sua sentenza, la Corte ha sottolineato che è importante che i membri della Corte dei conti ispirino al massimo rigore il loro comportamento e facciano prevalere in ogni momento l</w:t>
            </w:r>
            <w:r w:rsidR="00BF0169" w:rsidRPr="00BF0169">
              <w:rPr>
                <w:b w:val="0"/>
                <w:noProof/>
                <w:sz w:val="20"/>
                <w:lang w:val="it-IT"/>
              </w:rPr>
              <w:t>'</w:t>
            </w:r>
            <w:r w:rsidRPr="00BF0169">
              <w:rPr>
                <w:b w:val="0"/>
                <w:noProof/>
                <w:sz w:val="20"/>
                <w:lang w:val="it-IT"/>
              </w:rPr>
              <w:t>interesse generale dell</w:t>
            </w:r>
            <w:r w:rsidR="00BF0169" w:rsidRPr="00BF0169">
              <w:rPr>
                <w:b w:val="0"/>
                <w:noProof/>
                <w:sz w:val="20"/>
                <w:lang w:val="it-IT"/>
              </w:rPr>
              <w:t>'</w:t>
            </w:r>
            <w:r w:rsidRPr="00BF0169">
              <w:rPr>
                <w:b w:val="0"/>
                <w:noProof/>
                <w:sz w:val="20"/>
                <w:lang w:val="it-IT"/>
              </w:rPr>
              <w:t>Unione non solo sugli interessi nazionali, ma anche sugli interessi personali. A tale riguardo, la Corte ha concluso che se tutte le persone alle quali sono affidate alte cariche in seno ad istituzioni e organismi dell</w:t>
            </w:r>
            <w:r w:rsidR="00BF0169" w:rsidRPr="00BF0169">
              <w:rPr>
                <w:b w:val="0"/>
                <w:noProof/>
                <w:sz w:val="20"/>
                <w:lang w:val="it-IT"/>
              </w:rPr>
              <w:t>'</w:t>
            </w:r>
            <w:r w:rsidRPr="00BF0169">
              <w:rPr>
                <w:b w:val="0"/>
                <w:noProof/>
                <w:sz w:val="20"/>
                <w:lang w:val="it-IT"/>
              </w:rPr>
              <w:t>UE devono osservare le norme più rigorose in materia di comportamento, la funzione specifica che incombe alla Corte dei conti, ossia verificare la regolarità della spesa dell</w:t>
            </w:r>
            <w:r w:rsidR="00BF0169" w:rsidRPr="00BF0169">
              <w:rPr>
                <w:b w:val="0"/>
                <w:noProof/>
                <w:sz w:val="20"/>
                <w:lang w:val="it-IT"/>
              </w:rPr>
              <w:t>'</w:t>
            </w:r>
            <w:r w:rsidRPr="00BF0169">
              <w:rPr>
                <w:b w:val="0"/>
                <w:noProof/>
                <w:sz w:val="20"/>
                <w:lang w:val="it-IT"/>
              </w:rPr>
              <w:t>UE e la sana gestione finanziaria, ha aumentato ulteriormente la gravità delle irregolarità commesse dall</w:t>
            </w:r>
            <w:r w:rsidR="00BF0169" w:rsidRPr="00BF0169">
              <w:rPr>
                <w:b w:val="0"/>
                <w:noProof/>
                <w:sz w:val="20"/>
                <w:lang w:val="it-IT"/>
              </w:rPr>
              <w:t>'</w:t>
            </w:r>
            <w:r w:rsidRPr="00BF0169">
              <w:rPr>
                <w:b w:val="0"/>
                <w:noProof/>
                <w:sz w:val="20"/>
                <w:lang w:val="it-IT"/>
              </w:rPr>
              <w:t>ex membro della Corte dei conti.</w:t>
            </w:r>
          </w:p>
        </w:tc>
      </w:tr>
      <w:tr w:rsidR="002F71B1" w:rsidRPr="00BF0169" w14:paraId="64F5B279" w14:textId="77777777" w:rsidTr="00A27EF6">
        <w:tc>
          <w:tcPr>
            <w:cnfStyle w:val="001000000000" w:firstRow="0" w:lastRow="0" w:firstColumn="1" w:lastColumn="0" w:oddVBand="0" w:evenVBand="0" w:oddHBand="0" w:evenHBand="0" w:firstRowFirstColumn="0" w:firstRowLastColumn="0" w:lastRowFirstColumn="0" w:lastRowLastColumn="0"/>
            <w:tcW w:w="8834" w:type="dxa"/>
          </w:tcPr>
          <w:p w14:paraId="028235D9" w14:textId="77777777" w:rsidR="002F71B1" w:rsidRPr="00BF0169" w:rsidRDefault="002F71B1" w:rsidP="00DC1244">
            <w:pPr>
              <w:tabs>
                <w:tab w:val="left" w:pos="898"/>
              </w:tabs>
              <w:spacing w:before="120"/>
              <w:rPr>
                <w:b w:val="0"/>
                <w:noProof/>
                <w:sz w:val="20"/>
                <w:lang w:val="it-IT"/>
              </w:rPr>
            </w:pPr>
            <w:r w:rsidRPr="00BF0169">
              <w:rPr>
                <w:noProof/>
                <w:sz w:val="20"/>
                <w:lang w:val="it-IT"/>
              </w:rPr>
              <w:t>C-360/20</w:t>
            </w:r>
            <w:r w:rsidRPr="00BF0169">
              <w:rPr>
                <w:rStyle w:val="FootnoteReference"/>
                <w:noProof/>
                <w:sz w:val="20"/>
                <w:lang w:val="it-IT"/>
              </w:rPr>
              <w:footnoteReference w:id="13"/>
            </w:r>
            <w:r w:rsidRPr="00BF0169">
              <w:rPr>
                <w:noProof/>
                <w:sz w:val="20"/>
                <w:lang w:val="it-IT"/>
              </w:rPr>
              <w:t xml:space="preserve">, </w:t>
            </w:r>
            <w:r w:rsidRPr="00BF0169">
              <w:rPr>
                <w:i/>
                <w:iCs/>
                <w:noProof/>
                <w:sz w:val="20"/>
                <w:lang w:val="it-IT"/>
              </w:rPr>
              <w:t>Ministerul Lucrărilor Publice, Dezvoltării şi Administraţiei/NE</w:t>
            </w:r>
            <w:r w:rsidRPr="00BF0169">
              <w:rPr>
                <w:b w:val="0"/>
                <w:noProof/>
                <w:sz w:val="20"/>
                <w:lang w:val="it-IT"/>
              </w:rPr>
              <w:t>.</w:t>
            </w:r>
          </w:p>
          <w:p w14:paraId="58586719" w14:textId="500B9FC3" w:rsidR="002F71B1" w:rsidRPr="00BF0169" w:rsidRDefault="002F71B1" w:rsidP="00A27EF6">
            <w:pPr>
              <w:tabs>
                <w:tab w:val="left" w:pos="898"/>
              </w:tabs>
              <w:rPr>
                <w:b w:val="0"/>
                <w:noProof/>
                <w:sz w:val="20"/>
                <w:lang w:val="it-IT"/>
              </w:rPr>
            </w:pPr>
            <w:r w:rsidRPr="00BF0169">
              <w:rPr>
                <w:b w:val="0"/>
                <w:noProof/>
                <w:sz w:val="20"/>
                <w:lang w:val="it-IT"/>
              </w:rPr>
              <w:t xml:space="preserve">In tale decisione, la Corte ha ritenuto che la nozione di </w:t>
            </w:r>
            <w:r w:rsidR="00BF0169" w:rsidRPr="00BF0169">
              <w:rPr>
                <w:b w:val="0"/>
                <w:noProof/>
                <w:sz w:val="20"/>
                <w:lang w:val="it-IT"/>
              </w:rPr>
              <w:t>"</w:t>
            </w:r>
            <w:r w:rsidRPr="00BF0169">
              <w:rPr>
                <w:b w:val="0"/>
                <w:noProof/>
                <w:sz w:val="20"/>
                <w:lang w:val="it-IT"/>
              </w:rPr>
              <w:t>frode che lede gli interessi finanziari dell</w:t>
            </w:r>
            <w:r w:rsidR="00BF0169" w:rsidRPr="00BF0169">
              <w:rPr>
                <w:b w:val="0"/>
                <w:noProof/>
                <w:sz w:val="20"/>
                <w:lang w:val="it-IT"/>
              </w:rPr>
              <w:t>'</w:t>
            </w:r>
            <w:r w:rsidRPr="00BF0169">
              <w:rPr>
                <w:b w:val="0"/>
                <w:noProof/>
                <w:sz w:val="20"/>
                <w:lang w:val="it-IT"/>
              </w:rPr>
              <w:t>Unione</w:t>
            </w:r>
            <w:r w:rsidR="00BF0169" w:rsidRPr="00BF0169">
              <w:rPr>
                <w:b w:val="0"/>
                <w:noProof/>
                <w:sz w:val="20"/>
                <w:lang w:val="it-IT"/>
              </w:rPr>
              <w:t>"</w:t>
            </w:r>
            <w:r w:rsidRPr="00BF0169">
              <w:rPr>
                <w:b w:val="0"/>
                <w:noProof/>
                <w:sz w:val="20"/>
                <w:lang w:val="it-IT"/>
              </w:rPr>
              <w:t>, ai sensi dell</w:t>
            </w:r>
            <w:r w:rsidR="00BF0169" w:rsidRPr="00BF0169">
              <w:rPr>
                <w:b w:val="0"/>
                <w:noProof/>
                <w:sz w:val="20"/>
                <w:lang w:val="it-IT"/>
              </w:rPr>
              <w:t>'</w:t>
            </w:r>
            <w:r w:rsidRPr="00BF0169">
              <w:rPr>
                <w:b w:val="0"/>
                <w:noProof/>
                <w:sz w:val="20"/>
                <w:lang w:val="it-IT"/>
              </w:rPr>
              <w:t>articolo 1, paragrafo 1, lettera a), della convenzione PIF</w:t>
            </w:r>
            <w:r w:rsidRPr="00BF0169">
              <w:rPr>
                <w:rStyle w:val="FootnoteReference"/>
                <w:b w:val="0"/>
                <w:noProof/>
                <w:sz w:val="20"/>
                <w:lang w:val="it-IT"/>
              </w:rPr>
              <w:footnoteReference w:id="14"/>
            </w:r>
            <w:r w:rsidRPr="00BF0169">
              <w:rPr>
                <w:b w:val="0"/>
                <w:noProof/>
                <w:sz w:val="20"/>
                <w:lang w:val="it-IT"/>
              </w:rPr>
              <w:t xml:space="preserve"> non comprenda soltanto il percepimento illecito di fondi provenienti dal bilancio dell</w:t>
            </w:r>
            <w:r w:rsidR="00BF0169" w:rsidRPr="00BF0169">
              <w:rPr>
                <w:b w:val="0"/>
                <w:noProof/>
                <w:sz w:val="20"/>
                <w:lang w:val="it-IT"/>
              </w:rPr>
              <w:t>'</w:t>
            </w:r>
            <w:r w:rsidRPr="00BF0169">
              <w:rPr>
                <w:b w:val="0"/>
                <w:noProof/>
                <w:sz w:val="20"/>
                <w:lang w:val="it-IT"/>
              </w:rPr>
              <w:t>UE, ma anche la loro ritenzione illecita. La frode può quindi assumere la forma di un inadempimento agli obblighi di dichiarazione successivamente al percepimento di detti fondi. Di conseguenza, la frode ai sensi dell</w:t>
            </w:r>
            <w:r w:rsidR="00BF0169" w:rsidRPr="00BF0169">
              <w:rPr>
                <w:b w:val="0"/>
                <w:noProof/>
                <w:sz w:val="20"/>
                <w:lang w:val="it-IT"/>
              </w:rPr>
              <w:t>'</w:t>
            </w:r>
            <w:r w:rsidRPr="00BF0169">
              <w:rPr>
                <w:b w:val="0"/>
                <w:noProof/>
                <w:sz w:val="20"/>
                <w:lang w:val="it-IT"/>
              </w:rPr>
              <w:t>articolo 1, paragrafo 1, lettera a), della convenzione PIF include l</w:t>
            </w:r>
            <w:r w:rsidR="00BF0169" w:rsidRPr="00BF0169">
              <w:rPr>
                <w:b w:val="0"/>
                <w:noProof/>
                <w:sz w:val="20"/>
                <w:lang w:val="it-IT"/>
              </w:rPr>
              <w:t>'</w:t>
            </w:r>
            <w:r w:rsidRPr="00BF0169">
              <w:rPr>
                <w:b w:val="0"/>
                <w:noProof/>
                <w:sz w:val="20"/>
                <w:lang w:val="it-IT"/>
              </w:rPr>
              <w:t>utilizzo doloso di dichiarazioni false o inesatte presentate successivamente all</w:t>
            </w:r>
            <w:r w:rsidR="00BF0169" w:rsidRPr="00BF0169">
              <w:rPr>
                <w:b w:val="0"/>
                <w:noProof/>
                <w:sz w:val="20"/>
                <w:lang w:val="it-IT"/>
              </w:rPr>
              <w:t>'</w:t>
            </w:r>
            <w:r w:rsidRPr="00BF0169">
              <w:rPr>
                <w:b w:val="0"/>
                <w:noProof/>
                <w:sz w:val="20"/>
                <w:lang w:val="it-IT"/>
              </w:rPr>
              <w:t>esecuzione del progetto che beneficia di un finanziamento dell</w:t>
            </w:r>
            <w:r w:rsidR="00BF0169" w:rsidRPr="00BF0169">
              <w:rPr>
                <w:b w:val="0"/>
                <w:noProof/>
                <w:sz w:val="20"/>
                <w:lang w:val="it-IT"/>
              </w:rPr>
              <w:t>'</w:t>
            </w:r>
            <w:r w:rsidRPr="00BF0169">
              <w:rPr>
                <w:b w:val="0"/>
                <w:noProof/>
                <w:sz w:val="20"/>
                <w:lang w:val="it-IT"/>
              </w:rPr>
              <w:t>UE, per creare l</w:t>
            </w:r>
            <w:r w:rsidR="00BF0169" w:rsidRPr="00BF0169">
              <w:rPr>
                <w:b w:val="0"/>
                <w:noProof/>
                <w:sz w:val="20"/>
                <w:lang w:val="it-IT"/>
              </w:rPr>
              <w:t>'</w:t>
            </w:r>
            <w:r w:rsidRPr="00BF0169">
              <w:rPr>
                <w:b w:val="0"/>
                <w:noProof/>
                <w:sz w:val="20"/>
                <w:lang w:val="it-IT"/>
              </w:rPr>
              <w:t>illusione del rispetto degli obblighi previsti per il periodo di sostenibilità del progetto dal contratto di finanziamento, al fine di trattenere, indebitamente, fondi provenienti dal bilancio dell</w:t>
            </w:r>
            <w:r w:rsidR="00BF0169" w:rsidRPr="00BF0169">
              <w:rPr>
                <w:b w:val="0"/>
                <w:noProof/>
                <w:sz w:val="20"/>
                <w:lang w:val="it-IT"/>
              </w:rPr>
              <w:t>'</w:t>
            </w:r>
            <w:r w:rsidRPr="00BF0169">
              <w:rPr>
                <w:b w:val="0"/>
                <w:noProof/>
                <w:sz w:val="20"/>
                <w:lang w:val="it-IT"/>
              </w:rPr>
              <w:t>Unione.</w:t>
            </w:r>
          </w:p>
          <w:p w14:paraId="52781CCC" w14:textId="7866048C" w:rsidR="00C458DD" w:rsidRPr="00BF0169" w:rsidRDefault="00C458DD" w:rsidP="007C19BE">
            <w:pPr>
              <w:tabs>
                <w:tab w:val="left" w:pos="898"/>
              </w:tabs>
              <w:rPr>
                <w:b w:val="0"/>
                <w:noProof/>
                <w:sz w:val="20"/>
                <w:lang w:val="it-IT"/>
              </w:rPr>
            </w:pPr>
            <w:r w:rsidRPr="00BF0169">
              <w:rPr>
                <w:b w:val="0"/>
                <w:noProof/>
                <w:sz w:val="20"/>
                <w:lang w:val="it-IT"/>
              </w:rPr>
              <w:t>La Corte ha aggiunto che la legislazione nazionale, secondo la quale una persona non può essere perseguita per tali dichiarazioni se non qualora esse siano rese durante l</w:t>
            </w:r>
            <w:r w:rsidR="00BF0169" w:rsidRPr="00BF0169">
              <w:rPr>
                <w:b w:val="0"/>
                <w:noProof/>
                <w:sz w:val="20"/>
                <w:lang w:val="it-IT"/>
              </w:rPr>
              <w:t>'</w:t>
            </w:r>
            <w:r w:rsidRPr="00BF0169">
              <w:rPr>
                <w:b w:val="0"/>
                <w:noProof/>
                <w:sz w:val="20"/>
                <w:lang w:val="it-IT"/>
              </w:rPr>
              <w:t>esecuzione del progetto, è incompatibile con l</w:t>
            </w:r>
            <w:r w:rsidR="00BF0169" w:rsidRPr="00BF0169">
              <w:rPr>
                <w:b w:val="0"/>
                <w:noProof/>
                <w:sz w:val="20"/>
                <w:lang w:val="it-IT"/>
              </w:rPr>
              <w:t>'</w:t>
            </w:r>
            <w:r w:rsidRPr="00BF0169">
              <w:rPr>
                <w:b w:val="0"/>
                <w:noProof/>
                <w:sz w:val="20"/>
                <w:lang w:val="it-IT"/>
              </w:rPr>
              <w:t>articolo 325 TFUE. Tuttavia, affinché i diritti fondamentali degli interessati siano rispettati, gli organi giurisdizionali nazionali non saranno tenuti a interpretare tale legislazione nazionale come applicabile a dichiarazioni rese successivamente al periodo di attuazione del progetto qualora ciò comporti una violazione del principio di legalità dei reati e delle pene in diritto penale. In caso di potenziale violazione, spetterà al legislatore nazionale adottare le misure appropriate.</w:t>
            </w:r>
          </w:p>
        </w:tc>
      </w:tr>
      <w:tr w:rsidR="002F71B1" w:rsidRPr="00BF0169" w14:paraId="47E299D9"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tcPr>
          <w:p w14:paraId="0682AEF7" w14:textId="77777777" w:rsidR="002F71B1" w:rsidRPr="00BF0169" w:rsidRDefault="00C458DD" w:rsidP="00DC1244">
            <w:pPr>
              <w:tabs>
                <w:tab w:val="left" w:pos="898"/>
              </w:tabs>
              <w:spacing w:before="120"/>
              <w:rPr>
                <w:b w:val="0"/>
                <w:noProof/>
                <w:sz w:val="20"/>
                <w:lang w:val="it-IT"/>
              </w:rPr>
            </w:pPr>
            <w:r w:rsidRPr="00BF0169">
              <w:rPr>
                <w:noProof/>
                <w:sz w:val="20"/>
                <w:lang w:val="it-IT"/>
              </w:rPr>
              <w:t>C-357/19, C-379/19, C-547/19, C-811/19 e C-840/19</w:t>
            </w:r>
            <w:r w:rsidRPr="00BF0169">
              <w:rPr>
                <w:rStyle w:val="FootnoteReference"/>
                <w:noProof/>
                <w:sz w:val="20"/>
                <w:lang w:val="it-IT"/>
              </w:rPr>
              <w:footnoteReference w:id="15"/>
            </w:r>
            <w:r w:rsidRPr="00BF0169">
              <w:rPr>
                <w:noProof/>
                <w:sz w:val="20"/>
                <w:lang w:val="it-IT"/>
              </w:rPr>
              <w:t xml:space="preserve">, </w:t>
            </w:r>
            <w:r w:rsidRPr="00BF0169">
              <w:rPr>
                <w:i/>
                <w:iCs/>
                <w:noProof/>
                <w:sz w:val="20"/>
                <w:lang w:val="it-IT"/>
              </w:rPr>
              <w:t>Euro Box Promotion e a.</w:t>
            </w:r>
            <w:r w:rsidRPr="00BF0169">
              <w:rPr>
                <w:b w:val="0"/>
                <w:noProof/>
                <w:sz w:val="20"/>
                <w:lang w:val="it-IT"/>
              </w:rPr>
              <w:t>.</w:t>
            </w:r>
          </w:p>
          <w:p w14:paraId="5E7EF320" w14:textId="3D6381D3" w:rsidR="002F71B1" w:rsidRPr="00BF0169" w:rsidRDefault="00FA7F41" w:rsidP="00A27EF6">
            <w:pPr>
              <w:tabs>
                <w:tab w:val="left" w:pos="898"/>
              </w:tabs>
              <w:rPr>
                <w:b w:val="0"/>
                <w:noProof/>
                <w:sz w:val="20"/>
                <w:lang w:val="it-IT"/>
              </w:rPr>
            </w:pPr>
            <w:r w:rsidRPr="00BF0169">
              <w:rPr>
                <w:b w:val="0"/>
                <w:noProof/>
                <w:sz w:val="20"/>
                <w:lang w:val="it-IT"/>
              </w:rPr>
              <w:t>La Corte di giustizia dell</w:t>
            </w:r>
            <w:r w:rsidR="00BF0169" w:rsidRPr="00BF0169">
              <w:rPr>
                <w:b w:val="0"/>
                <w:noProof/>
                <w:sz w:val="20"/>
                <w:lang w:val="it-IT"/>
              </w:rPr>
              <w:t>'</w:t>
            </w:r>
            <w:r w:rsidRPr="00BF0169">
              <w:rPr>
                <w:b w:val="0"/>
                <w:noProof/>
                <w:sz w:val="20"/>
                <w:lang w:val="it-IT"/>
              </w:rPr>
              <w:t>Unione europea è stata chiamata a pronunciarsi sulla compatibilità con il diritto dell</w:t>
            </w:r>
            <w:r w:rsidR="00BF0169" w:rsidRPr="00BF0169">
              <w:rPr>
                <w:b w:val="0"/>
                <w:noProof/>
                <w:sz w:val="20"/>
                <w:lang w:val="it-IT"/>
              </w:rPr>
              <w:t>'</w:t>
            </w:r>
            <w:r w:rsidRPr="00BF0169">
              <w:rPr>
                <w:b w:val="0"/>
                <w:noProof/>
                <w:sz w:val="20"/>
                <w:lang w:val="it-IT"/>
              </w:rPr>
              <w:t>Unione della giurisprudenza della Corte costituzionale rumena sulle norme di procedura penale applicabili ai procedimenti per frode e corruzione. Nel 2018 la Corte costituzionale rumena ha ribaltato le sentenze dell</w:t>
            </w:r>
            <w:r w:rsidR="00BF0169" w:rsidRPr="00BF0169">
              <w:rPr>
                <w:b w:val="0"/>
                <w:noProof/>
                <w:sz w:val="20"/>
                <w:lang w:val="it-IT"/>
              </w:rPr>
              <w:t>'</w:t>
            </w:r>
            <w:r w:rsidRPr="00BF0169">
              <w:rPr>
                <w:b w:val="0"/>
                <w:noProof/>
                <w:sz w:val="20"/>
                <w:lang w:val="it-IT"/>
              </w:rPr>
              <w:t>Alta Corte di cassazione e giustizia rumena che condannavano diverse persone per frode in materia di IVA, corruzione ed esercizio di influenza in relazione alla gestione di fondi UE, affermando, sostanzialmente, che i collegi giudicanti che avevano esaminato le cause erano stati costituiti in maniera irregolare. Un organo giurisdizionale rumeno di grado inferiore ha proposto un rinvio pregiudiziale alla Corte in merito alla questione, tra l</w:t>
            </w:r>
            <w:r w:rsidR="00BF0169" w:rsidRPr="00BF0169">
              <w:rPr>
                <w:b w:val="0"/>
                <w:noProof/>
                <w:sz w:val="20"/>
                <w:lang w:val="it-IT"/>
              </w:rPr>
              <w:t>'</w:t>
            </w:r>
            <w:r w:rsidRPr="00BF0169">
              <w:rPr>
                <w:b w:val="0"/>
                <w:noProof/>
                <w:sz w:val="20"/>
                <w:lang w:val="it-IT"/>
              </w:rPr>
              <w:t>altro, dell</w:t>
            </w:r>
            <w:r w:rsidR="00BF0169" w:rsidRPr="00BF0169">
              <w:rPr>
                <w:b w:val="0"/>
                <w:noProof/>
                <w:sz w:val="20"/>
                <w:lang w:val="it-IT"/>
              </w:rPr>
              <w:t>'</w:t>
            </w:r>
            <w:r w:rsidRPr="00BF0169">
              <w:rPr>
                <w:b w:val="0"/>
                <w:noProof/>
                <w:sz w:val="20"/>
                <w:lang w:val="it-IT"/>
              </w:rPr>
              <w:t>eventualità che la giurisprudenza della Corte costituzionale avesse dato luogo a un rischio sistemico di impunità nella lotta contro la frode e la corruzione, in particolare dato che i reati rimarranno impuniti a causa del sopraggiungere della prescrizione.</w:t>
            </w:r>
          </w:p>
          <w:p w14:paraId="4741F1B5" w14:textId="5CF3CFEB" w:rsidR="00C458DD" w:rsidRPr="00BF0169" w:rsidRDefault="00C458DD">
            <w:pPr>
              <w:tabs>
                <w:tab w:val="left" w:pos="898"/>
              </w:tabs>
              <w:rPr>
                <w:b w:val="0"/>
                <w:noProof/>
                <w:sz w:val="20"/>
                <w:lang w:val="it-IT"/>
              </w:rPr>
            </w:pPr>
            <w:r w:rsidRPr="00BF0169">
              <w:rPr>
                <w:b w:val="0"/>
                <w:noProof/>
                <w:sz w:val="20"/>
                <w:lang w:val="it-IT"/>
              </w:rPr>
              <w:t>Nella sua sentenza la Corte ha ritenuto che, sebbene le norme che disciplinano l</w:t>
            </w:r>
            <w:r w:rsidR="00BF0169" w:rsidRPr="00BF0169">
              <w:rPr>
                <w:b w:val="0"/>
                <w:noProof/>
                <w:sz w:val="20"/>
                <w:lang w:val="it-IT"/>
              </w:rPr>
              <w:t>'</w:t>
            </w:r>
            <w:r w:rsidRPr="00BF0169">
              <w:rPr>
                <w:b w:val="0"/>
                <w:noProof/>
                <w:sz w:val="20"/>
                <w:lang w:val="it-IT"/>
              </w:rPr>
              <w:t>organizzazione del sistema giudiziario negli Stati membri rientrino, in linea di principio, nella competenza degli Stati membri, tali norme devono tuttavia essere coerenti con i loro obblighi ai sensi del diritto dell</w:t>
            </w:r>
            <w:r w:rsidR="00BF0169" w:rsidRPr="00BF0169">
              <w:rPr>
                <w:b w:val="0"/>
                <w:noProof/>
                <w:sz w:val="20"/>
                <w:lang w:val="it-IT"/>
              </w:rPr>
              <w:t>'</w:t>
            </w:r>
            <w:r w:rsidRPr="00BF0169">
              <w:rPr>
                <w:b w:val="0"/>
                <w:noProof/>
                <w:sz w:val="20"/>
                <w:lang w:val="it-IT"/>
              </w:rPr>
              <w:t>Unione. Tali obblighi comprendono la lotta contro le attività illegali, compresi i reati di corruzione, lesive degli interessi finanziari dell</w:t>
            </w:r>
            <w:r w:rsidR="00BF0169" w:rsidRPr="00BF0169">
              <w:rPr>
                <w:b w:val="0"/>
                <w:noProof/>
                <w:sz w:val="20"/>
                <w:lang w:val="it-IT"/>
              </w:rPr>
              <w:t>'</w:t>
            </w:r>
            <w:r w:rsidRPr="00BF0169">
              <w:rPr>
                <w:b w:val="0"/>
                <w:noProof/>
                <w:sz w:val="20"/>
                <w:lang w:val="it-IT"/>
              </w:rPr>
              <w:t>Unione con misure dissuasive ed effettive. Il requisito di effettività si applica tanto ai procedimenti e alle sanzioni per tali reati quanto all</w:t>
            </w:r>
            <w:r w:rsidR="00BF0169" w:rsidRPr="00BF0169">
              <w:rPr>
                <w:b w:val="0"/>
                <w:noProof/>
                <w:sz w:val="20"/>
                <w:lang w:val="it-IT"/>
              </w:rPr>
              <w:t>'</w:t>
            </w:r>
            <w:r w:rsidRPr="00BF0169">
              <w:rPr>
                <w:b w:val="0"/>
                <w:noProof/>
                <w:sz w:val="20"/>
                <w:lang w:val="it-IT"/>
              </w:rPr>
              <w:t>esecuzione delle sanzioni irrogate. Spetta innanzitutto al legislatore nazionale garantire che il regime procedurale applicabile a tali reati non presenti un rischio sistemico d</w:t>
            </w:r>
            <w:r w:rsidR="00BF0169" w:rsidRPr="00BF0169">
              <w:rPr>
                <w:b w:val="0"/>
                <w:noProof/>
                <w:sz w:val="20"/>
                <w:lang w:val="it-IT"/>
              </w:rPr>
              <w:t>'</w:t>
            </w:r>
            <w:r w:rsidRPr="00BF0169">
              <w:rPr>
                <w:b w:val="0"/>
                <w:noProof/>
                <w:sz w:val="20"/>
                <w:lang w:val="it-IT"/>
              </w:rPr>
              <w:t>impunità. Gli organi giurisdizionali nazionali, dal canto loro, non devono applicare disposizioni nazionali che impediscano l</w:t>
            </w:r>
            <w:r w:rsidR="00BF0169" w:rsidRPr="00BF0169">
              <w:rPr>
                <w:b w:val="0"/>
                <w:noProof/>
                <w:sz w:val="20"/>
                <w:lang w:val="it-IT"/>
              </w:rPr>
              <w:t>'</w:t>
            </w:r>
            <w:r w:rsidRPr="00BF0169">
              <w:rPr>
                <w:b w:val="0"/>
                <w:noProof/>
                <w:sz w:val="20"/>
                <w:lang w:val="it-IT"/>
              </w:rPr>
              <w:t>applicazione di sanzioni effettive e dissuasive. Nel caso di specie, la conseguenza dell</w:t>
            </w:r>
            <w:r w:rsidR="00BF0169" w:rsidRPr="00BF0169">
              <w:rPr>
                <w:b w:val="0"/>
                <w:noProof/>
                <w:sz w:val="20"/>
                <w:lang w:val="it-IT"/>
              </w:rPr>
              <w:t>'</w:t>
            </w:r>
            <w:r w:rsidRPr="00BF0169">
              <w:rPr>
                <w:b w:val="0"/>
                <w:noProof/>
                <w:sz w:val="20"/>
                <w:lang w:val="it-IT"/>
              </w:rPr>
              <w:t>applicazione della giurisprudenza della Corte costituzionale rumena consiste nel fatto che le fattispecie di frode e corruzione in questione devono essere riesaminate, se necessario a più riprese, in primo grado e/o in appello. Ciò può portare alla loro prescrizione, con il risultato che coloro che occupano le massime cariche dello Stato rumeno che sono stati condannati per frode o corruzione non sono stati sanzionati in modo efficace e tale da fungere da deterrente. Il rischio di impunità diventerebbe sistemico per tale categoria di persone e metterebbe in discussione l</w:t>
            </w:r>
            <w:r w:rsidR="00BF0169" w:rsidRPr="00BF0169">
              <w:rPr>
                <w:b w:val="0"/>
                <w:noProof/>
                <w:sz w:val="20"/>
                <w:lang w:val="it-IT"/>
              </w:rPr>
              <w:t>'</w:t>
            </w:r>
            <w:r w:rsidRPr="00BF0169">
              <w:rPr>
                <w:b w:val="0"/>
                <w:noProof/>
                <w:sz w:val="20"/>
                <w:lang w:val="it-IT"/>
              </w:rPr>
              <w:t>obiettivo della lotta alla corruzione ad alto livello. Di conseguenza, la Corte ha stabilito che l</w:t>
            </w:r>
            <w:r w:rsidR="00BF0169" w:rsidRPr="00BF0169">
              <w:rPr>
                <w:b w:val="0"/>
                <w:noProof/>
                <w:sz w:val="20"/>
                <w:lang w:val="it-IT"/>
              </w:rPr>
              <w:t>'</w:t>
            </w:r>
            <w:r w:rsidRPr="00BF0169">
              <w:rPr>
                <w:b w:val="0"/>
                <w:noProof/>
                <w:sz w:val="20"/>
                <w:lang w:val="it-IT"/>
              </w:rPr>
              <w:t>articolo 325 TFUE e l</w:t>
            </w:r>
            <w:r w:rsidR="00BF0169" w:rsidRPr="00BF0169">
              <w:rPr>
                <w:b w:val="0"/>
                <w:noProof/>
                <w:sz w:val="20"/>
                <w:lang w:val="it-IT"/>
              </w:rPr>
              <w:t>'</w:t>
            </w:r>
            <w:r w:rsidRPr="00BF0169">
              <w:rPr>
                <w:b w:val="0"/>
                <w:noProof/>
                <w:sz w:val="20"/>
                <w:lang w:val="it-IT"/>
              </w:rPr>
              <w:t>articolo 2 della convenzione PIF ostano a una normativa o a prassi nazionali secondo le quali non sono state pronunciate sentenze in materia di corruzione e frode in relazione all</w:t>
            </w:r>
            <w:r w:rsidR="00BF0169" w:rsidRPr="00BF0169">
              <w:rPr>
                <w:b w:val="0"/>
                <w:noProof/>
                <w:sz w:val="20"/>
                <w:lang w:val="it-IT"/>
              </w:rPr>
              <w:t>'</w:t>
            </w:r>
            <w:r w:rsidRPr="00BF0169">
              <w:rPr>
                <w:b w:val="0"/>
                <w:noProof/>
                <w:sz w:val="20"/>
                <w:lang w:val="it-IT"/>
              </w:rPr>
              <w:t>IVA a causa di collegi giudicanti costituiti in modo irregolare, qualora ciò comporti un rischio sistemico di impunità in relazione a fatti che costituiscono gravi reati di frode ai danni degli interessi finanziari dell</w:t>
            </w:r>
            <w:r w:rsidR="00BF0169" w:rsidRPr="00BF0169">
              <w:rPr>
                <w:b w:val="0"/>
                <w:noProof/>
                <w:sz w:val="20"/>
                <w:lang w:val="it-IT"/>
              </w:rPr>
              <w:t>'</w:t>
            </w:r>
            <w:r w:rsidRPr="00BF0169">
              <w:rPr>
                <w:b w:val="0"/>
                <w:noProof/>
                <w:sz w:val="20"/>
                <w:lang w:val="it-IT"/>
              </w:rPr>
              <w:t>Unione o di corruzione in generale. La Corte ha aggiunto che i giudici del rinvio dovevano verificare la compatibilità di tale approccio con il diritto dell</w:t>
            </w:r>
            <w:r w:rsidR="00BF0169" w:rsidRPr="00BF0169">
              <w:rPr>
                <w:b w:val="0"/>
                <w:noProof/>
                <w:sz w:val="20"/>
                <w:lang w:val="it-IT"/>
              </w:rPr>
              <w:t>'</w:t>
            </w:r>
            <w:r w:rsidRPr="00BF0169">
              <w:rPr>
                <w:b w:val="0"/>
                <w:noProof/>
                <w:sz w:val="20"/>
                <w:lang w:val="it-IT"/>
              </w:rPr>
              <w:t>imputato a un giudice imparziale ai sensi dell</w:t>
            </w:r>
            <w:r w:rsidR="00BF0169" w:rsidRPr="00BF0169">
              <w:rPr>
                <w:b w:val="0"/>
                <w:noProof/>
                <w:sz w:val="20"/>
                <w:lang w:val="it-IT"/>
              </w:rPr>
              <w:t>'</w:t>
            </w:r>
            <w:r w:rsidRPr="00BF0169">
              <w:rPr>
                <w:b w:val="0"/>
                <w:noProof/>
                <w:sz w:val="20"/>
                <w:lang w:val="it-IT"/>
              </w:rPr>
              <w:t>articolo 47 della Carta dei diritti fondamentali.</w:t>
            </w:r>
          </w:p>
        </w:tc>
      </w:tr>
    </w:tbl>
    <w:p w14:paraId="5B3505A7" w14:textId="31C01B6C" w:rsidR="00FE789E" w:rsidRPr="00BF0169" w:rsidRDefault="00FE789E" w:rsidP="00FE789E">
      <w:pPr>
        <w:pStyle w:val="Heading1"/>
        <w:rPr>
          <w:noProof/>
          <w:lang w:val="it-IT"/>
        </w:rPr>
      </w:pPr>
      <w:bookmarkStart w:id="11" w:name="_Toc116319619"/>
      <w:r w:rsidRPr="00BF0169">
        <w:rPr>
          <w:noProof/>
          <w:lang w:val="it-IT"/>
        </w:rPr>
        <w:t>L</w:t>
      </w:r>
      <w:r w:rsidR="00BF0169" w:rsidRPr="00BF0169">
        <w:rPr>
          <w:noProof/>
          <w:lang w:val="it-IT"/>
        </w:rPr>
        <w:t>'</w:t>
      </w:r>
      <w:r w:rsidRPr="00BF0169">
        <w:rPr>
          <w:noProof/>
          <w:lang w:val="it-IT"/>
        </w:rPr>
        <w:t>architettura antifrode dell</w:t>
      </w:r>
      <w:r w:rsidR="00BF0169" w:rsidRPr="00BF0169">
        <w:rPr>
          <w:noProof/>
          <w:lang w:val="it-IT"/>
        </w:rPr>
        <w:t>'</w:t>
      </w:r>
      <w:r w:rsidRPr="00BF0169">
        <w:rPr>
          <w:noProof/>
          <w:lang w:val="it-IT"/>
        </w:rPr>
        <w:t>UE</w:t>
      </w:r>
      <w:bookmarkEnd w:id="11"/>
    </w:p>
    <w:p w14:paraId="1C26C01F" w14:textId="31DCAA90" w:rsidR="006C1E6D" w:rsidRPr="00BF0169" w:rsidRDefault="004D2B33" w:rsidP="006C1E6D">
      <w:pPr>
        <w:rPr>
          <w:noProof/>
          <w:lang w:val="it-IT"/>
        </w:rPr>
      </w:pPr>
      <w:r w:rsidRPr="00BF0169">
        <w:rPr>
          <w:noProof/>
          <w:lang w:val="it-IT"/>
        </w:rPr>
        <w:t>La complessa architettura legislativa e organizzativa messa in atto per tutelare gli interessi finanziari dell</w:t>
      </w:r>
      <w:r w:rsidR="00BF0169" w:rsidRPr="00BF0169">
        <w:rPr>
          <w:noProof/>
          <w:lang w:val="it-IT"/>
        </w:rPr>
        <w:t>'</w:t>
      </w:r>
      <w:r w:rsidRPr="00BF0169">
        <w:rPr>
          <w:noProof/>
          <w:lang w:val="it-IT"/>
        </w:rPr>
        <w:t>UE è il risultato di un processo continuo che dura da oltre tre decenni</w:t>
      </w:r>
      <w:r w:rsidRPr="00BF0169">
        <w:rPr>
          <w:rStyle w:val="FootnoteReference"/>
          <w:noProof/>
          <w:lang w:val="it-IT"/>
        </w:rPr>
        <w:footnoteReference w:id="16"/>
      </w:r>
      <w:r w:rsidRPr="00BF0169">
        <w:rPr>
          <w:noProof/>
          <w:lang w:val="it-IT"/>
        </w:rPr>
        <w:t>. La presente sezione illustra gli sviluppi più significativi in questo settore nel 2021</w:t>
      </w:r>
      <w:r w:rsidRPr="00BF0169">
        <w:rPr>
          <w:rStyle w:val="FootnoteReference"/>
          <w:noProof/>
          <w:lang w:val="it-IT"/>
        </w:rPr>
        <w:footnoteReference w:id="17"/>
      </w:r>
      <w:r w:rsidRPr="00BF0169">
        <w:rPr>
          <w:noProof/>
          <w:lang w:val="it-IT"/>
        </w:rPr>
        <w:t xml:space="preserve">. </w:t>
      </w:r>
    </w:p>
    <w:p w14:paraId="15A520AF" w14:textId="77777777" w:rsidR="00FE789E" w:rsidRPr="00BF0169" w:rsidRDefault="00FE789E" w:rsidP="00FE789E">
      <w:pPr>
        <w:pStyle w:val="Heading2"/>
        <w:rPr>
          <w:noProof/>
          <w:lang w:val="it-IT"/>
        </w:rPr>
      </w:pPr>
      <w:bookmarkStart w:id="12" w:name="_Toc116319620"/>
      <w:r w:rsidRPr="00BF0169">
        <w:rPr>
          <w:noProof/>
          <w:lang w:val="it-IT"/>
        </w:rPr>
        <w:t>A livello europeo</w:t>
      </w:r>
      <w:bookmarkEnd w:id="12"/>
    </w:p>
    <w:p w14:paraId="7AE38E9F" w14:textId="77777777" w:rsidR="00FE789E" w:rsidRPr="00BF0169" w:rsidRDefault="00FE789E" w:rsidP="00CD7B44">
      <w:pPr>
        <w:pStyle w:val="Heading3"/>
        <w:rPr>
          <w:noProof/>
          <w:lang w:val="it-IT"/>
        </w:rPr>
      </w:pPr>
      <w:bookmarkStart w:id="13" w:name="_Toc116319621"/>
      <w:r w:rsidRPr="00BF0169">
        <w:rPr>
          <w:noProof/>
          <w:lang w:val="it-IT"/>
        </w:rPr>
        <w:t>Parlamento europeo</w:t>
      </w:r>
      <w:bookmarkEnd w:id="13"/>
    </w:p>
    <w:p w14:paraId="06E35AAF" w14:textId="612F664A" w:rsidR="00FE789E" w:rsidRPr="00BF0169" w:rsidRDefault="00AD5A9B" w:rsidP="00FE789E">
      <w:pPr>
        <w:rPr>
          <w:noProof/>
          <w:lang w:val="it-IT"/>
        </w:rPr>
      </w:pPr>
      <w:r w:rsidRPr="00BF0169">
        <w:rPr>
          <w:noProof/>
          <w:lang w:val="it-IT"/>
        </w:rPr>
        <w:t xml:space="preserve">Oltre alle sue attività legislative, il </w:t>
      </w:r>
      <w:r w:rsidRPr="00BF0169">
        <w:rPr>
          <w:b/>
          <w:noProof/>
          <w:lang w:val="it-IT"/>
        </w:rPr>
        <w:t>Parlamento europeo</w:t>
      </w:r>
      <w:r w:rsidRPr="00BF0169">
        <w:rPr>
          <w:noProof/>
          <w:lang w:val="it-IT"/>
        </w:rPr>
        <w:t xml:space="preserve"> controlla l</w:t>
      </w:r>
      <w:r w:rsidR="00BF0169" w:rsidRPr="00BF0169">
        <w:rPr>
          <w:noProof/>
          <w:lang w:val="it-IT"/>
        </w:rPr>
        <w:t>'</w:t>
      </w:r>
      <w:r w:rsidRPr="00BF0169">
        <w:rPr>
          <w:noProof/>
          <w:lang w:val="it-IT"/>
        </w:rPr>
        <w:t>esecuzione del bilancio dell</w:t>
      </w:r>
      <w:r w:rsidR="00BF0169" w:rsidRPr="00BF0169">
        <w:rPr>
          <w:noProof/>
          <w:lang w:val="it-IT"/>
        </w:rPr>
        <w:t>'</w:t>
      </w:r>
      <w:r w:rsidRPr="00BF0169">
        <w:rPr>
          <w:noProof/>
          <w:lang w:val="it-IT"/>
        </w:rPr>
        <w:t xml:space="preserve">UE da parte della Commissione (e di altre istituzioni e organi) attraverso una procedura nota come </w:t>
      </w:r>
      <w:r w:rsidR="00BF0169" w:rsidRPr="00BF0169">
        <w:rPr>
          <w:noProof/>
          <w:lang w:val="it-IT"/>
        </w:rPr>
        <w:t>"</w:t>
      </w:r>
      <w:r w:rsidRPr="00BF0169">
        <w:rPr>
          <w:noProof/>
          <w:lang w:val="it-IT"/>
        </w:rPr>
        <w:t>discarico</w:t>
      </w:r>
      <w:r w:rsidR="00BF0169" w:rsidRPr="00BF0169">
        <w:rPr>
          <w:noProof/>
          <w:lang w:val="it-IT"/>
        </w:rPr>
        <w:t>"</w:t>
      </w:r>
      <w:r w:rsidRPr="00BF0169">
        <w:rPr>
          <w:noProof/>
          <w:lang w:val="it-IT"/>
        </w:rPr>
        <w:t>. Nel 2021 il Parlamento europeo ha concesso il discarico per l</w:t>
      </w:r>
      <w:r w:rsidR="00BF0169" w:rsidRPr="00BF0169">
        <w:rPr>
          <w:noProof/>
          <w:lang w:val="it-IT"/>
        </w:rPr>
        <w:t>'</w:t>
      </w:r>
      <w:r w:rsidRPr="00BF0169">
        <w:rPr>
          <w:noProof/>
          <w:lang w:val="it-IT"/>
        </w:rPr>
        <w:t>esercizio finanziario 2019</w:t>
      </w:r>
      <w:r w:rsidRPr="00BF0169">
        <w:rPr>
          <w:rStyle w:val="FootnoteReference"/>
          <w:noProof/>
          <w:lang w:val="it-IT"/>
        </w:rPr>
        <w:footnoteReference w:id="18"/>
      </w:r>
      <w:r w:rsidRPr="00BF0169">
        <w:rPr>
          <w:noProof/>
          <w:lang w:val="it-IT"/>
        </w:rPr>
        <w:t xml:space="preserve"> e ha avviato la procedura per l</w:t>
      </w:r>
      <w:r w:rsidR="00BF0169" w:rsidRPr="00BF0169">
        <w:rPr>
          <w:noProof/>
          <w:lang w:val="it-IT"/>
        </w:rPr>
        <w:t>'</w:t>
      </w:r>
      <w:r w:rsidRPr="00BF0169">
        <w:rPr>
          <w:noProof/>
          <w:lang w:val="it-IT"/>
        </w:rPr>
        <w:t>esercizio finanziario 2020</w:t>
      </w:r>
      <w:r w:rsidRPr="00BF0169">
        <w:rPr>
          <w:rStyle w:val="FootnoteReference"/>
          <w:noProof/>
          <w:lang w:val="it-IT"/>
        </w:rPr>
        <w:footnoteReference w:id="19"/>
      </w:r>
      <w:r w:rsidRPr="00BF0169">
        <w:rPr>
          <w:noProof/>
          <w:lang w:val="it-IT"/>
        </w:rPr>
        <w:t xml:space="preserve">. La </w:t>
      </w:r>
      <w:r w:rsidRPr="00BF0169">
        <w:rPr>
          <w:b/>
          <w:noProof/>
          <w:lang w:val="it-IT"/>
        </w:rPr>
        <w:t>commissione per il controllo dei bilanci</w:t>
      </w:r>
      <w:r w:rsidRPr="00BF0169">
        <w:rPr>
          <w:noProof/>
          <w:lang w:val="it-IT"/>
        </w:rPr>
        <w:t xml:space="preserve"> (CONT) svolge un ruolo centrale nella procedura di discarico e redige altresì una relazione annuale sulla tutela degli interessi finanziari dell</w:t>
      </w:r>
      <w:r w:rsidR="00BF0169" w:rsidRPr="00BF0169">
        <w:rPr>
          <w:noProof/>
          <w:lang w:val="it-IT"/>
        </w:rPr>
        <w:t>'</w:t>
      </w:r>
      <w:r w:rsidRPr="00BF0169">
        <w:rPr>
          <w:noProof/>
          <w:lang w:val="it-IT"/>
        </w:rPr>
        <w:t>UE. Tale relazione fornisce orientamenti strategici per la Commissione e gli Stati membri una volta adottata come risoluzione del Parlamento in sessione plenaria. Nel 2021 diverse riunioni della CONT si sono concentrate sulle attività dell</w:t>
      </w:r>
      <w:r w:rsidR="00BF0169" w:rsidRPr="00BF0169">
        <w:rPr>
          <w:noProof/>
          <w:lang w:val="it-IT"/>
        </w:rPr>
        <w:t>'</w:t>
      </w:r>
      <w:r w:rsidRPr="00BF0169">
        <w:rPr>
          <w:noProof/>
          <w:lang w:val="it-IT"/>
        </w:rPr>
        <w:t>OLAF; il quale è stato invitato a presentarvi i suoi risultati.</w:t>
      </w:r>
    </w:p>
    <w:p w14:paraId="5B1A94DC" w14:textId="684D41E0" w:rsidR="000A022B" w:rsidRPr="00BF0169" w:rsidRDefault="000A022B" w:rsidP="005440DB">
      <w:pPr>
        <w:pStyle w:val="Caption"/>
        <w:pBdr>
          <w:top w:val="single" w:sz="4" w:space="1" w:color="auto"/>
          <w:left w:val="single" w:sz="4" w:space="4" w:color="auto"/>
          <w:bottom w:val="single" w:sz="4" w:space="1" w:color="auto"/>
          <w:right w:val="single" w:sz="4" w:space="4" w:color="auto"/>
        </w:pBdr>
        <w:shd w:val="clear" w:color="auto" w:fill="DEEAF6" w:themeFill="accent1" w:themeFillTint="33"/>
        <w:rPr>
          <w:noProof/>
          <w:lang w:val="it-IT"/>
        </w:rPr>
      </w:pPr>
      <w:bookmarkStart w:id="14" w:name="_Toc105777766"/>
      <w:bookmarkStart w:id="15" w:name="_Toc110444009"/>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w:t>
      </w:r>
      <w:r w:rsidR="00742EC4" w:rsidRPr="00BF0169">
        <w:rPr>
          <w:noProof/>
          <w:lang w:val="it-IT"/>
        </w:rPr>
        <w:fldChar w:fldCharType="end"/>
      </w:r>
      <w:r w:rsidRPr="00BF0169">
        <w:rPr>
          <w:noProof/>
          <w:lang w:val="it-IT"/>
        </w:rPr>
        <w:t xml:space="preserve"> - La risoluzione del Parlamento europeo sulla tutela degli interessi finanziari dell</w:t>
      </w:r>
      <w:r w:rsidR="00BF0169" w:rsidRPr="00BF0169">
        <w:rPr>
          <w:noProof/>
          <w:lang w:val="it-IT"/>
        </w:rPr>
        <w:t>'</w:t>
      </w:r>
      <w:r w:rsidRPr="00BF0169">
        <w:rPr>
          <w:noProof/>
          <w:lang w:val="it-IT"/>
        </w:rPr>
        <w:t>UE per il 2019</w:t>
      </w:r>
      <w:bookmarkEnd w:id="14"/>
      <w:bookmarkEnd w:id="15"/>
      <w:r w:rsidRPr="00BF0169">
        <w:rPr>
          <w:noProof/>
          <w:lang w:val="it-IT"/>
        </w:rPr>
        <w:t xml:space="preserve"> </w:t>
      </w:r>
    </w:p>
    <w:p w14:paraId="25CD98FC" w14:textId="6580A668" w:rsidR="00CA08E5" w:rsidRPr="00BF0169" w:rsidRDefault="00CA08E5" w:rsidP="005440DB">
      <w:pPr>
        <w:pBdr>
          <w:top w:val="single" w:sz="4" w:space="1" w:color="auto"/>
          <w:left w:val="single" w:sz="4" w:space="4" w:color="auto"/>
          <w:bottom w:val="single" w:sz="4" w:space="1" w:color="auto"/>
          <w:right w:val="single" w:sz="4" w:space="4" w:color="auto"/>
        </w:pBdr>
        <w:shd w:val="clear" w:color="auto" w:fill="DEEAF6" w:themeFill="accent1" w:themeFillTint="33"/>
        <w:rPr>
          <w:noProof/>
          <w:lang w:val="it-IT"/>
        </w:rPr>
      </w:pPr>
      <w:r w:rsidRPr="00BF0169">
        <w:rPr>
          <w:noProof/>
          <w:lang w:val="it-IT"/>
        </w:rPr>
        <w:t>La risoluzione del Parlamento europeo per il 2019 è stata adottata in occasione della sua sessione plenaria del 7 luglio 2021, dopo aver ricevuto il voto favorevole della commissione CONT il 21 giugno 2021</w:t>
      </w:r>
      <w:r w:rsidRPr="00BF0169">
        <w:rPr>
          <w:rStyle w:val="FootnoteReference"/>
          <w:noProof/>
          <w:lang w:val="it-IT"/>
        </w:rPr>
        <w:footnoteReference w:id="20"/>
      </w:r>
      <w:r w:rsidRPr="00BF0169">
        <w:rPr>
          <w:noProof/>
          <w:lang w:val="it-IT"/>
        </w:rPr>
        <w:t>.</w:t>
      </w:r>
    </w:p>
    <w:p w14:paraId="5B72C5F3" w14:textId="6DDE387B" w:rsidR="00101327" w:rsidRPr="00BF0169" w:rsidRDefault="00101327" w:rsidP="005440DB">
      <w:p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rPr>
          <w:noProof/>
          <w:lang w:val="it-IT"/>
        </w:rPr>
      </w:pPr>
      <w:r w:rsidRPr="00BF0169">
        <w:rPr>
          <w:noProof/>
          <w:lang w:val="it-IT"/>
        </w:rPr>
        <w:t>La risoluzione esprime un parere ampiamente positivo pur raccomandando un</w:t>
      </w:r>
      <w:r w:rsidR="00BF0169" w:rsidRPr="00BF0169">
        <w:rPr>
          <w:noProof/>
          <w:lang w:val="it-IT"/>
        </w:rPr>
        <w:t>'</w:t>
      </w:r>
      <w:r w:rsidRPr="00BF0169">
        <w:rPr>
          <w:noProof/>
          <w:lang w:val="it-IT"/>
        </w:rPr>
        <w:t>ulteriore azione della Commissione in una serie di settori legati alla lotta contro la frode. Prende atto della diminuzione del numero di irregolarità fraudolente e non fraudolente segnalate nel 2019 e chiede una più stretta cooperazione da parte degli Stati membri in materia di scambio di informazioni. Tale risoluzione riconosce gli sforzi compiuti dalla Commissione per riformare il panorama della lotta antifrode e chiede che l</w:t>
      </w:r>
      <w:r w:rsidR="00BF0169" w:rsidRPr="00BF0169">
        <w:rPr>
          <w:noProof/>
          <w:lang w:val="it-IT"/>
        </w:rPr>
        <w:t>'</w:t>
      </w:r>
      <w:r w:rsidRPr="00BF0169">
        <w:rPr>
          <w:noProof/>
          <w:lang w:val="it-IT"/>
        </w:rPr>
        <w:t>OLAF e l</w:t>
      </w:r>
      <w:r w:rsidR="00BF0169" w:rsidRPr="00BF0169">
        <w:rPr>
          <w:noProof/>
          <w:lang w:val="it-IT"/>
        </w:rPr>
        <w:t>'</w:t>
      </w:r>
      <w:r w:rsidRPr="00BF0169">
        <w:rPr>
          <w:noProof/>
          <w:lang w:val="it-IT"/>
        </w:rPr>
        <w:t>EPPO ricevano risorse adeguate. La risoluzione sottolinea il ruolo fondamentale della capacità di rilevamento e invita la Commissione a continuare a sostenere gli Stati membri al fine di garantire che sia migliorata la qualità dei controlli e che il numero di tali controlli sia aumentato. Il Parlamento europeo chiede alla Commissione in particolare di:</w:t>
      </w:r>
    </w:p>
    <w:p w14:paraId="5D20E347" w14:textId="5EC8CA57" w:rsidR="00101327" w:rsidRPr="00BF0169" w:rsidRDefault="005440DB"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lang w:val="it-IT"/>
        </w:rPr>
      </w:pPr>
      <w:r w:rsidRPr="00BF0169">
        <w:rPr>
          <w:rFonts w:ascii="Times New Roman" w:hAnsi="Times New Roman"/>
          <w:noProof/>
          <w:lang w:val="it-IT"/>
        </w:rPr>
        <w:t>creare un sistema di segnalazione e monitoraggio digitale interoperabile che consenta segnalazioni tempestive, uniformi e standardizzate da parte degli Stati membri nel settore della gestione concorrente;</w:t>
      </w:r>
    </w:p>
    <w:p w14:paraId="51BBF920" w14:textId="521C8ED9" w:rsidR="00101327" w:rsidRPr="00BF0169" w:rsidRDefault="00101327" w:rsidP="00505DEA">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lang w:val="it-IT"/>
        </w:rPr>
      </w:pPr>
      <w:r w:rsidRPr="00BF0169">
        <w:rPr>
          <w:rFonts w:ascii="Times New Roman" w:hAnsi="Times New Roman"/>
          <w:noProof/>
          <w:lang w:val="it-IT"/>
        </w:rPr>
        <w:t>adottare una strategia antifrode che coinvolga gli Stati membri;</w:t>
      </w:r>
    </w:p>
    <w:p w14:paraId="335134C4" w14:textId="35CC1D52" w:rsidR="00101327" w:rsidRPr="00BF0169" w:rsidRDefault="00101327"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lang w:val="it-IT"/>
        </w:rPr>
      </w:pPr>
      <w:r w:rsidRPr="00BF0169">
        <w:rPr>
          <w:rFonts w:ascii="Times New Roman" w:hAnsi="Times New Roman"/>
          <w:noProof/>
          <w:lang w:val="it-IT"/>
        </w:rPr>
        <w:t>presentare una proposta legislativa in materia di assistenza amministrativa reciproca nel settore delle spese dell</w:t>
      </w:r>
      <w:r w:rsidR="00BF0169" w:rsidRPr="00BF0169">
        <w:rPr>
          <w:rFonts w:ascii="Times New Roman" w:hAnsi="Times New Roman"/>
          <w:noProof/>
          <w:lang w:val="it-IT"/>
        </w:rPr>
        <w:t>'</w:t>
      </w:r>
      <w:r w:rsidRPr="00BF0169">
        <w:rPr>
          <w:rFonts w:ascii="Times New Roman" w:hAnsi="Times New Roman"/>
          <w:noProof/>
          <w:lang w:val="it-IT"/>
        </w:rPr>
        <w:t>UE;</w:t>
      </w:r>
    </w:p>
    <w:p w14:paraId="4D620B82" w14:textId="2CA0FCB1" w:rsidR="00101327" w:rsidRPr="00BF0169" w:rsidRDefault="00101327"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lang w:val="it-IT"/>
        </w:rPr>
      </w:pPr>
      <w:r w:rsidRPr="00BF0169">
        <w:rPr>
          <w:rFonts w:ascii="Times New Roman" w:hAnsi="Times New Roman"/>
          <w:noProof/>
          <w:lang w:val="it-IT"/>
        </w:rPr>
        <w:t>includere nella sua proposta di revisione del regolamento finanziario proposte relative a massimali per persona fisica per quanto riguarda la politica agricola comune (PAC) e i fondi di coesione;</w:t>
      </w:r>
    </w:p>
    <w:p w14:paraId="45605EEE" w14:textId="48562BDF" w:rsidR="00101327" w:rsidRPr="00BF0169" w:rsidRDefault="00101327"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lang w:val="it-IT"/>
        </w:rPr>
      </w:pPr>
      <w:r w:rsidRPr="00BF0169">
        <w:rPr>
          <w:rFonts w:ascii="Times New Roman" w:hAnsi="Times New Roman"/>
          <w:noProof/>
          <w:lang w:val="it-IT"/>
        </w:rPr>
        <w:t>estendere il sistema di individuazione precoce e di esclusione (EDES) alla gestione concorrente e</w:t>
      </w:r>
    </w:p>
    <w:p w14:paraId="1D26AF19" w14:textId="370ACE52" w:rsidR="00101327" w:rsidRPr="00BF0169" w:rsidRDefault="009741DA"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lang w:val="it-IT"/>
        </w:rPr>
      </w:pPr>
      <w:r w:rsidRPr="00BF0169">
        <w:rPr>
          <w:rFonts w:ascii="Times New Roman" w:hAnsi="Times New Roman"/>
          <w:noProof/>
          <w:lang w:val="it-IT"/>
        </w:rPr>
        <w:t>sostenere e proteggere il giornalismo investigativo.</w:t>
      </w:r>
    </w:p>
    <w:p w14:paraId="7018155D" w14:textId="77777777" w:rsidR="00242925" w:rsidRPr="00BF0169" w:rsidRDefault="00242925" w:rsidP="00CD7B44">
      <w:pPr>
        <w:pStyle w:val="Heading3"/>
        <w:rPr>
          <w:noProof/>
          <w:lang w:val="it-IT"/>
        </w:rPr>
      </w:pPr>
      <w:bookmarkStart w:id="16" w:name="_Toc116319622"/>
      <w:r w:rsidRPr="00BF0169">
        <w:rPr>
          <w:noProof/>
          <w:lang w:val="it-IT"/>
        </w:rPr>
        <w:t>Consiglio</w:t>
      </w:r>
      <w:bookmarkEnd w:id="16"/>
    </w:p>
    <w:p w14:paraId="66F89555" w14:textId="2D953F2B" w:rsidR="00242925" w:rsidRPr="00BF0169" w:rsidRDefault="00242925" w:rsidP="008A6DCE">
      <w:pPr>
        <w:rPr>
          <w:noProof/>
          <w:lang w:val="it-IT"/>
        </w:rPr>
      </w:pPr>
      <w:r w:rsidRPr="00BF0169">
        <w:rPr>
          <w:noProof/>
          <w:lang w:val="it-IT"/>
        </w:rPr>
        <w:t xml:space="preserve">Il </w:t>
      </w:r>
      <w:r w:rsidRPr="00BF0169">
        <w:rPr>
          <w:b/>
          <w:noProof/>
          <w:lang w:val="it-IT"/>
        </w:rPr>
        <w:t xml:space="preserve">gruppo di lavoro del Consiglio </w:t>
      </w:r>
      <w:r w:rsidR="00BF0169" w:rsidRPr="00BF0169">
        <w:rPr>
          <w:b/>
          <w:noProof/>
          <w:lang w:val="it-IT"/>
        </w:rPr>
        <w:t>"</w:t>
      </w:r>
      <w:r w:rsidRPr="00BF0169">
        <w:rPr>
          <w:b/>
          <w:noProof/>
          <w:lang w:val="it-IT"/>
        </w:rPr>
        <w:t>Lotta antifrode</w:t>
      </w:r>
      <w:r w:rsidR="00BF0169" w:rsidRPr="00BF0169">
        <w:rPr>
          <w:b/>
          <w:noProof/>
          <w:lang w:val="it-IT"/>
        </w:rPr>
        <w:t>"</w:t>
      </w:r>
      <w:r w:rsidRPr="00BF0169">
        <w:rPr>
          <w:noProof/>
          <w:lang w:val="it-IT"/>
        </w:rPr>
        <w:t xml:space="preserve"> si occupa di questioni relative alla tutela degli interessi finanziari dell</w:t>
      </w:r>
      <w:r w:rsidR="00BF0169" w:rsidRPr="00BF0169">
        <w:rPr>
          <w:noProof/>
          <w:lang w:val="it-IT"/>
        </w:rPr>
        <w:t>'</w:t>
      </w:r>
      <w:r w:rsidRPr="00BF0169">
        <w:rPr>
          <w:noProof/>
          <w:lang w:val="it-IT"/>
        </w:rPr>
        <w:t>UE e alla lotta contro la frode e altre attività illecite che ledono tali interessi. Si occupa anche di questioni riguardanti l</w:t>
      </w:r>
      <w:r w:rsidR="00BF0169" w:rsidRPr="00BF0169">
        <w:rPr>
          <w:noProof/>
          <w:lang w:val="it-IT"/>
        </w:rPr>
        <w:t>'</w:t>
      </w:r>
      <w:r w:rsidRPr="00BF0169">
        <w:rPr>
          <w:noProof/>
          <w:lang w:val="it-IT"/>
        </w:rPr>
        <w:t>OLAF e il suo comitato di vigilanza.</w:t>
      </w:r>
    </w:p>
    <w:p w14:paraId="6985C427" w14:textId="42A97256" w:rsidR="009A107F" w:rsidRPr="00BF0169" w:rsidRDefault="009A107F" w:rsidP="008A6DCE">
      <w:pPr>
        <w:rPr>
          <w:noProof/>
          <w:lang w:val="it-IT"/>
        </w:rPr>
      </w:pPr>
      <w:r w:rsidRPr="00BF0169">
        <w:rPr>
          <w:noProof/>
          <w:lang w:val="it-IT"/>
        </w:rPr>
        <w:t>Tale gruppo di lavoro ha il compito di esaminare:</w:t>
      </w:r>
    </w:p>
    <w:p w14:paraId="4BC30A0C" w14:textId="481F801C" w:rsidR="009A107F" w:rsidRPr="00BF0169" w:rsidRDefault="00CF5F78" w:rsidP="008A6DCE">
      <w:pPr>
        <w:pStyle w:val="ListBullet"/>
        <w:numPr>
          <w:ilvl w:val="0"/>
          <w:numId w:val="9"/>
        </w:numPr>
        <w:rPr>
          <w:noProof/>
          <w:lang w:val="it-IT"/>
        </w:rPr>
      </w:pPr>
      <w:r w:rsidRPr="00BF0169">
        <w:rPr>
          <w:noProof/>
          <w:lang w:val="it-IT"/>
        </w:rPr>
        <w:t>proposte legislative in materia di lotta contro la frode e attività dell</w:t>
      </w:r>
      <w:r w:rsidR="00BF0169" w:rsidRPr="00BF0169">
        <w:rPr>
          <w:noProof/>
          <w:lang w:val="it-IT"/>
        </w:rPr>
        <w:t>'</w:t>
      </w:r>
      <w:r w:rsidRPr="00BF0169">
        <w:rPr>
          <w:noProof/>
          <w:lang w:val="it-IT"/>
        </w:rPr>
        <w:t>OLAF;</w:t>
      </w:r>
    </w:p>
    <w:p w14:paraId="14654E32" w14:textId="59E624E6" w:rsidR="009A107F" w:rsidRPr="00BF0169" w:rsidRDefault="009A107F" w:rsidP="008A6DCE">
      <w:pPr>
        <w:pStyle w:val="ListBullet"/>
        <w:numPr>
          <w:ilvl w:val="0"/>
          <w:numId w:val="9"/>
        </w:numPr>
        <w:rPr>
          <w:noProof/>
          <w:lang w:val="it-IT"/>
        </w:rPr>
      </w:pPr>
      <w:r w:rsidRPr="00BF0169">
        <w:rPr>
          <w:noProof/>
          <w:lang w:val="it-IT"/>
        </w:rPr>
        <w:t>relazioni annuali sulla tutela degli interessi finanziari dell</w:t>
      </w:r>
      <w:r w:rsidR="00BF0169" w:rsidRPr="00BF0169">
        <w:rPr>
          <w:noProof/>
          <w:lang w:val="it-IT"/>
        </w:rPr>
        <w:t>'</w:t>
      </w:r>
      <w:r w:rsidRPr="00BF0169">
        <w:rPr>
          <w:noProof/>
          <w:lang w:val="it-IT"/>
        </w:rPr>
        <w:t>UE.</w:t>
      </w:r>
    </w:p>
    <w:p w14:paraId="0D7593DB" w14:textId="5E1108E9" w:rsidR="00CF1D95" w:rsidRPr="00BF0169" w:rsidRDefault="00CF1D95" w:rsidP="008A6DCE">
      <w:pPr>
        <w:rPr>
          <w:noProof/>
          <w:lang w:val="it-IT"/>
        </w:rPr>
      </w:pPr>
      <w:r w:rsidRPr="00BF0169">
        <w:rPr>
          <w:noProof/>
          <w:lang w:val="it-IT"/>
        </w:rPr>
        <w:t>L</w:t>
      </w:r>
      <w:r w:rsidR="00BF0169" w:rsidRPr="00BF0169">
        <w:rPr>
          <w:noProof/>
          <w:lang w:val="it-IT"/>
        </w:rPr>
        <w:t>'</w:t>
      </w:r>
      <w:r w:rsidRPr="00BF0169">
        <w:rPr>
          <w:noProof/>
          <w:lang w:val="it-IT"/>
        </w:rPr>
        <w:t xml:space="preserve">OLAF ha rappresentato la Commissione in seno a vari gruppi di lavoro del Consiglio, in particolare al gruppo di lavoro </w:t>
      </w:r>
      <w:r w:rsidR="00BF0169" w:rsidRPr="00BF0169">
        <w:rPr>
          <w:noProof/>
          <w:lang w:val="it-IT"/>
        </w:rPr>
        <w:t>"</w:t>
      </w:r>
      <w:r w:rsidRPr="00BF0169">
        <w:rPr>
          <w:noProof/>
          <w:lang w:val="it-IT"/>
        </w:rPr>
        <w:t>Lotta antifrode</w:t>
      </w:r>
      <w:r w:rsidR="00BF0169" w:rsidRPr="00BF0169">
        <w:rPr>
          <w:noProof/>
          <w:lang w:val="it-IT"/>
        </w:rPr>
        <w:t>"</w:t>
      </w:r>
      <w:r w:rsidRPr="00BF0169">
        <w:rPr>
          <w:noProof/>
          <w:lang w:val="it-IT"/>
        </w:rPr>
        <w:t>.</w:t>
      </w:r>
    </w:p>
    <w:p w14:paraId="72B5FB2B" w14:textId="77777777" w:rsidR="00FE789E" w:rsidRPr="00BF0169" w:rsidRDefault="00FE789E" w:rsidP="00CD7B44">
      <w:pPr>
        <w:pStyle w:val="Heading3"/>
        <w:rPr>
          <w:noProof/>
          <w:lang w:val="it-IT"/>
        </w:rPr>
      </w:pPr>
      <w:bookmarkStart w:id="17" w:name="_Toc116319623"/>
      <w:r w:rsidRPr="00BF0169">
        <w:rPr>
          <w:noProof/>
          <w:lang w:val="it-IT"/>
        </w:rPr>
        <w:t>Commissione europea</w:t>
      </w:r>
      <w:bookmarkEnd w:id="17"/>
    </w:p>
    <w:p w14:paraId="4A718CD1" w14:textId="4B1B146C" w:rsidR="00D83BC8" w:rsidRPr="00BF0169" w:rsidRDefault="00D83BC8" w:rsidP="00FE789E">
      <w:pPr>
        <w:rPr>
          <w:noProof/>
          <w:lang w:val="it-IT"/>
        </w:rPr>
      </w:pPr>
      <w:r w:rsidRPr="00BF0169">
        <w:rPr>
          <w:noProof/>
          <w:lang w:val="it-IT"/>
        </w:rPr>
        <w:t xml:space="preserve">La </w:t>
      </w:r>
      <w:r w:rsidRPr="00BF0169">
        <w:rPr>
          <w:b/>
          <w:bCs/>
          <w:noProof/>
          <w:lang w:val="it-IT"/>
        </w:rPr>
        <w:t>Commissione europea</w:t>
      </w:r>
      <w:r w:rsidRPr="00BF0169">
        <w:rPr>
          <w:noProof/>
          <w:lang w:val="it-IT"/>
        </w:rPr>
        <w:t xml:space="preserve"> definisce le strategie e traduce in politiche e iniziative gli obiettivi politici generali elaborati collettivamente dalle istituzioni dell</w:t>
      </w:r>
      <w:r w:rsidR="00BF0169" w:rsidRPr="00BF0169">
        <w:rPr>
          <w:noProof/>
          <w:lang w:val="it-IT"/>
        </w:rPr>
        <w:t>'</w:t>
      </w:r>
      <w:r w:rsidRPr="00BF0169">
        <w:rPr>
          <w:noProof/>
          <w:lang w:val="it-IT"/>
        </w:rPr>
        <w:t>UE. Le direzioni generali della Commissione gestiscono politiche specifiche e i relativi programmi di spesa che le sostengono. Al fine di proteggere meglio il bilancio dell</w:t>
      </w:r>
      <w:r w:rsidR="00BF0169" w:rsidRPr="00BF0169">
        <w:rPr>
          <w:noProof/>
          <w:lang w:val="it-IT"/>
        </w:rPr>
        <w:t>'</w:t>
      </w:r>
      <w:r w:rsidRPr="00BF0169">
        <w:rPr>
          <w:noProof/>
          <w:lang w:val="it-IT"/>
        </w:rPr>
        <w:t>UE, nel 2019 la Commissione ha adottato la sua strategia antifrode (Strategia antifrode della Commissione (CAFS)), accompagnata da un piano d</w:t>
      </w:r>
      <w:r w:rsidR="00BF0169" w:rsidRPr="00BF0169">
        <w:rPr>
          <w:noProof/>
          <w:lang w:val="it-IT"/>
        </w:rPr>
        <w:t>'</w:t>
      </w:r>
      <w:r w:rsidRPr="00BF0169">
        <w:rPr>
          <w:noProof/>
          <w:lang w:val="it-IT"/>
        </w:rPr>
        <w:t>azione.</w:t>
      </w:r>
    </w:p>
    <w:p w14:paraId="013412DC" w14:textId="4B19FF21" w:rsidR="00D83BC8" w:rsidRPr="00BF0169" w:rsidRDefault="00D83BC8" w:rsidP="008A4E1B">
      <w:pPr>
        <w:pStyle w:val="Caption"/>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bookmarkStart w:id="18" w:name="_Toc105777767"/>
      <w:bookmarkStart w:id="19" w:name="_Toc110444010"/>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2</w:t>
      </w:r>
      <w:r w:rsidR="00742EC4" w:rsidRPr="00BF0169">
        <w:rPr>
          <w:noProof/>
          <w:lang w:val="it-IT"/>
        </w:rPr>
        <w:fldChar w:fldCharType="end"/>
      </w:r>
      <w:r w:rsidRPr="00BF0169">
        <w:rPr>
          <w:noProof/>
          <w:lang w:val="it-IT"/>
        </w:rPr>
        <w:t xml:space="preserve"> – Stato di avanzamento dell</w:t>
      </w:r>
      <w:r w:rsidR="00BF0169" w:rsidRPr="00BF0169">
        <w:rPr>
          <w:noProof/>
          <w:lang w:val="it-IT"/>
        </w:rPr>
        <w:t>'</w:t>
      </w:r>
      <w:r w:rsidRPr="00BF0169">
        <w:rPr>
          <w:noProof/>
          <w:lang w:val="it-IT"/>
        </w:rPr>
        <w:t>attuazione del piano d</w:t>
      </w:r>
      <w:r w:rsidR="00BF0169" w:rsidRPr="00BF0169">
        <w:rPr>
          <w:noProof/>
          <w:lang w:val="it-IT"/>
        </w:rPr>
        <w:t>'</w:t>
      </w:r>
      <w:r w:rsidRPr="00BF0169">
        <w:rPr>
          <w:noProof/>
          <w:lang w:val="it-IT"/>
        </w:rPr>
        <w:t>azione che accompagna la CAFS.</w:t>
      </w:r>
      <w:bookmarkEnd w:id="18"/>
      <w:bookmarkEnd w:id="19"/>
    </w:p>
    <w:p w14:paraId="45C428BC" w14:textId="5F37F9B3" w:rsidR="00B06C44" w:rsidRPr="00BF0169" w:rsidRDefault="002B1B19"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r w:rsidRPr="00BF0169">
        <w:rPr>
          <w:noProof/>
          <w:lang w:val="it-IT"/>
        </w:rPr>
        <w:t>La strategia antifrode della Commissione (</w:t>
      </w:r>
      <w:r w:rsidR="00BF0169" w:rsidRPr="00BF0169">
        <w:rPr>
          <w:noProof/>
          <w:lang w:val="it-IT"/>
        </w:rPr>
        <w:t>"</w:t>
      </w:r>
      <w:r w:rsidRPr="00BF0169">
        <w:rPr>
          <w:noProof/>
          <w:lang w:val="it-IT"/>
        </w:rPr>
        <w:t>CAFS</w:t>
      </w:r>
      <w:r w:rsidR="00BF0169" w:rsidRPr="00BF0169">
        <w:rPr>
          <w:noProof/>
          <w:lang w:val="it-IT"/>
        </w:rPr>
        <w:t>"</w:t>
      </w:r>
      <w:r w:rsidRPr="00BF0169">
        <w:rPr>
          <w:noProof/>
          <w:lang w:val="it-IT"/>
        </w:rPr>
        <w:t>) e il relativ</w:t>
      </w:r>
      <w:r w:rsidR="00AE539E" w:rsidRPr="00BF0169">
        <w:rPr>
          <w:noProof/>
          <w:lang w:val="it-IT"/>
        </w:rPr>
        <w:t>o piano d</w:t>
      </w:r>
      <w:r w:rsidR="00BF0169" w:rsidRPr="00BF0169">
        <w:rPr>
          <w:noProof/>
          <w:lang w:val="it-IT"/>
        </w:rPr>
        <w:t>'</w:t>
      </w:r>
      <w:r w:rsidR="00AE539E" w:rsidRPr="00BF0169">
        <w:rPr>
          <w:noProof/>
          <w:lang w:val="it-IT"/>
        </w:rPr>
        <w:t>azione, che comprende </w:t>
      </w:r>
      <w:r w:rsidRPr="00BF0169">
        <w:rPr>
          <w:noProof/>
          <w:lang w:val="it-IT"/>
        </w:rPr>
        <w:t>63 azioni, svolgono un ruolo importante nella prevenzione dei potenziali usi impropri dei fondi UE. Coordinati dall</w:t>
      </w:r>
      <w:r w:rsidR="00BF0169" w:rsidRPr="00BF0169">
        <w:rPr>
          <w:noProof/>
          <w:lang w:val="it-IT"/>
        </w:rPr>
        <w:t>'</w:t>
      </w:r>
      <w:r w:rsidRPr="00BF0169">
        <w:rPr>
          <w:noProof/>
          <w:lang w:val="it-IT"/>
        </w:rPr>
        <w:t>OLAF, i servizi competenti della Commissione hanno compiuto ottimi progressi nell</w:t>
      </w:r>
      <w:r w:rsidR="00BF0169" w:rsidRPr="00BF0169">
        <w:rPr>
          <w:noProof/>
          <w:lang w:val="it-IT"/>
        </w:rPr>
        <w:t>'</w:t>
      </w:r>
      <w:r w:rsidRPr="00BF0169">
        <w:rPr>
          <w:noProof/>
          <w:lang w:val="it-IT"/>
        </w:rPr>
        <w:t>attuazione delle azioni e sono quindi sulla buona strada per rispettare la scadenza del dicembre 2021 fissata per il loro completamento. A giugno del 2022 erano state completate 59 delle 63 azioni (circa il 94 %)</w:t>
      </w:r>
      <w:r w:rsidRPr="00BF0169">
        <w:rPr>
          <w:rStyle w:val="FootnoteReference"/>
          <w:noProof/>
          <w:lang w:val="it-IT"/>
        </w:rPr>
        <w:footnoteReference w:id="21"/>
      </w:r>
      <w:r w:rsidRPr="00BF0169">
        <w:rPr>
          <w:noProof/>
          <w:lang w:val="it-IT"/>
        </w:rPr>
        <w:t>.</w:t>
      </w:r>
    </w:p>
    <w:p w14:paraId="115B9196" w14:textId="39824C56" w:rsidR="008A4E1B" w:rsidRPr="00BF0169"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r w:rsidRPr="00BF0169">
        <w:rPr>
          <w:noProof/>
          <w:lang w:val="it-IT"/>
        </w:rPr>
        <w:t>La strategia si pone due obiettivi principali, ossia migliorare: i) la raccolta e l</w:t>
      </w:r>
      <w:r w:rsidR="00BF0169" w:rsidRPr="00BF0169">
        <w:rPr>
          <w:noProof/>
          <w:lang w:val="it-IT"/>
        </w:rPr>
        <w:t>'</w:t>
      </w:r>
      <w:r w:rsidRPr="00BF0169">
        <w:rPr>
          <w:noProof/>
          <w:lang w:val="it-IT"/>
        </w:rPr>
        <w:t xml:space="preserve">analisi di dati e ii) il coordinamento, la cooperazione e i processi. </w:t>
      </w:r>
    </w:p>
    <w:p w14:paraId="00ECEBE8" w14:textId="4844A7EC" w:rsidR="008A4E1B" w:rsidRPr="00BF0169"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autoSpaceDE w:val="0"/>
        <w:autoSpaceDN w:val="0"/>
        <w:rPr>
          <w:noProof/>
          <w:sz w:val="20"/>
          <w:lang w:val="it-IT"/>
        </w:rPr>
      </w:pPr>
      <w:r w:rsidRPr="00BF0169">
        <w:rPr>
          <w:noProof/>
          <w:lang w:val="it-IT"/>
        </w:rPr>
        <w:t>In linea con il primo obiettivo, l</w:t>
      </w:r>
      <w:r w:rsidR="00BF0169" w:rsidRPr="00BF0169">
        <w:rPr>
          <w:noProof/>
          <w:lang w:val="it-IT"/>
        </w:rPr>
        <w:t>'</w:t>
      </w:r>
      <w:r w:rsidRPr="00BF0169">
        <w:rPr>
          <w:noProof/>
          <w:lang w:val="it-IT"/>
        </w:rPr>
        <w:t xml:space="preserve">OLAF ha intensificato il proprio lavoro di analisi, in particolare sviluppando un quadro di riferimento per il </w:t>
      </w:r>
      <w:r w:rsidRPr="00BF0169">
        <w:rPr>
          <w:rStyle w:val="normaltextrun"/>
          <w:noProof/>
          <w:lang w:val="it-IT"/>
        </w:rPr>
        <w:t>rischio per il dispositivo per la ripresa e la resilienza, che tratta potenziali gravi irregolarità (frode, corruzione e conflitti di interesse) derivanti dall</w:t>
      </w:r>
      <w:r w:rsidR="00BF0169" w:rsidRPr="00BF0169">
        <w:rPr>
          <w:rStyle w:val="normaltextrun"/>
          <w:noProof/>
          <w:lang w:val="it-IT"/>
        </w:rPr>
        <w:t>'</w:t>
      </w:r>
      <w:r w:rsidRPr="00BF0169">
        <w:rPr>
          <w:rStyle w:val="normaltextrun"/>
          <w:noProof/>
          <w:lang w:val="it-IT"/>
        </w:rPr>
        <w:t>attuazione di detto dispositivo. Ha inoltre avviato uno studio sul futuro sviluppo del sistema di gestione delle irregolarità (IMS), al fine di affrontare le questioni relative all</w:t>
      </w:r>
      <w:r w:rsidR="00BF0169" w:rsidRPr="00BF0169">
        <w:rPr>
          <w:rStyle w:val="normaltextrun"/>
          <w:noProof/>
          <w:lang w:val="it-IT"/>
        </w:rPr>
        <w:t>'</w:t>
      </w:r>
      <w:r w:rsidRPr="00BF0169">
        <w:rPr>
          <w:rStyle w:val="normaltextrun"/>
          <w:noProof/>
          <w:lang w:val="it-IT"/>
        </w:rPr>
        <w:t>interoperabilità e migliorare la segnalazione da parte degli Stati membri.</w:t>
      </w:r>
    </w:p>
    <w:p w14:paraId="1C22D08A" w14:textId="31031F01" w:rsidR="008A4E1B" w:rsidRPr="00BF0169"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r w:rsidRPr="00BF0169">
        <w:rPr>
          <w:noProof/>
          <w:lang w:val="it-IT"/>
        </w:rPr>
        <w:t>Conformemente al secondo obiettivo della CAFS, sono proseguiti i progressi su una serie di azioni volte a promuovere il coordinamento e la cooperazione tra i servizi della Commissione e a dotare quest</w:t>
      </w:r>
      <w:r w:rsidR="00BF0169" w:rsidRPr="00BF0169">
        <w:rPr>
          <w:noProof/>
          <w:lang w:val="it-IT"/>
        </w:rPr>
        <w:t>'</w:t>
      </w:r>
      <w:r w:rsidRPr="00BF0169">
        <w:rPr>
          <w:noProof/>
          <w:lang w:val="it-IT"/>
        </w:rPr>
        <w:t>ultima di un sistema più efficace di vigilanza antifrode. Sono stati intensificati i contatti e la cooperazione tra i servizi della Commissione, soprattutto mediante riunioni periodiche di gruppi di rappresentanti della Commissione, istituiti secondo la modalità di gestione o un tema, sotto l</w:t>
      </w:r>
      <w:r w:rsidR="00BF0169" w:rsidRPr="00BF0169">
        <w:rPr>
          <w:noProof/>
          <w:lang w:val="it-IT"/>
        </w:rPr>
        <w:t>'</w:t>
      </w:r>
      <w:r w:rsidRPr="00BF0169">
        <w:rPr>
          <w:noProof/>
          <w:lang w:val="it-IT"/>
        </w:rPr>
        <w:t>egida della rete per la prevenzione e l</w:t>
      </w:r>
      <w:r w:rsidR="00BF0169" w:rsidRPr="00BF0169">
        <w:rPr>
          <w:noProof/>
          <w:lang w:val="it-IT"/>
        </w:rPr>
        <w:t>'</w:t>
      </w:r>
      <w:r w:rsidRPr="00BF0169">
        <w:rPr>
          <w:noProof/>
          <w:lang w:val="it-IT"/>
        </w:rPr>
        <w:t>individuazione delle frodi (FPDNet) diretta dall</w:t>
      </w:r>
      <w:r w:rsidR="00BF0169" w:rsidRPr="00BF0169">
        <w:rPr>
          <w:noProof/>
          <w:lang w:val="it-IT"/>
        </w:rPr>
        <w:t>'</w:t>
      </w:r>
      <w:r w:rsidRPr="00BF0169">
        <w:rPr>
          <w:noProof/>
          <w:lang w:val="it-IT"/>
        </w:rPr>
        <w:t xml:space="preserve">OLAF. </w:t>
      </w:r>
    </w:p>
    <w:p w14:paraId="7EA70CE1" w14:textId="09A1F7BE" w:rsidR="008A4E1B" w:rsidRPr="00BF0169"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r w:rsidRPr="00BF0169">
        <w:rPr>
          <w:noProof/>
          <w:lang w:val="it-IT"/>
        </w:rPr>
        <w:t>La Commissione si è altresì impegnata a migliorare il monitoraggio del seguito dato alle raccomandazioni dell</w:t>
      </w:r>
      <w:r w:rsidR="00BF0169" w:rsidRPr="00BF0169">
        <w:rPr>
          <w:noProof/>
          <w:lang w:val="it-IT"/>
        </w:rPr>
        <w:t>'</w:t>
      </w:r>
      <w:r w:rsidRPr="00BF0169">
        <w:rPr>
          <w:noProof/>
          <w:lang w:val="it-IT"/>
        </w:rPr>
        <w:t>OLAF, che costituiscono una parte essenziale degli sforzi compiuti per reintegrare nel bilancio dell</w:t>
      </w:r>
      <w:r w:rsidR="00BF0169" w:rsidRPr="00BF0169">
        <w:rPr>
          <w:noProof/>
          <w:lang w:val="it-IT"/>
        </w:rPr>
        <w:t>'</w:t>
      </w:r>
      <w:r w:rsidRPr="00BF0169">
        <w:rPr>
          <w:noProof/>
          <w:lang w:val="it-IT"/>
        </w:rPr>
        <w:t>UE i fondi spesi indebitamente. La Commissione e l</w:t>
      </w:r>
      <w:r w:rsidR="00BF0169" w:rsidRPr="00BF0169">
        <w:rPr>
          <w:noProof/>
          <w:lang w:val="it-IT"/>
        </w:rPr>
        <w:t>'</w:t>
      </w:r>
      <w:r w:rsidRPr="00BF0169">
        <w:rPr>
          <w:noProof/>
          <w:lang w:val="it-IT"/>
        </w:rPr>
        <w:t>OLAF hanno unito gli sforzi per aumentare l</w:t>
      </w:r>
      <w:r w:rsidR="00BF0169" w:rsidRPr="00BF0169">
        <w:rPr>
          <w:noProof/>
          <w:lang w:val="it-IT"/>
        </w:rPr>
        <w:t>'</w:t>
      </w:r>
      <w:r w:rsidRPr="00BF0169">
        <w:rPr>
          <w:noProof/>
          <w:lang w:val="it-IT"/>
        </w:rPr>
        <w:t xml:space="preserve">efficienza di tale monitoraggio </w:t>
      </w:r>
      <w:r w:rsidR="00AE539E" w:rsidRPr="00BF0169">
        <w:rPr>
          <w:noProof/>
          <w:lang w:val="it-IT"/>
        </w:rPr>
        <w:t>e hanno fatto il punto su circa </w:t>
      </w:r>
      <w:r w:rsidRPr="00BF0169">
        <w:rPr>
          <w:noProof/>
          <w:lang w:val="it-IT"/>
        </w:rPr>
        <w:t>1 700 raccomandazioni finanziarie indirizzate ai servizi e alle agenzie esecutive della Commissione tra il 2012 e il 2020. In totale, la somma degli importi di cui si raccomandava il recupero per il periodo 2012-2020 equivale a oltre 7 miliardi di EUR, di cui quasi il 40 % riguarda cinque casi importanti di sottovalutazione a livello doganale</w:t>
      </w:r>
      <w:r w:rsidRPr="00BF0169">
        <w:rPr>
          <w:rStyle w:val="FootnoteReference"/>
          <w:noProof/>
          <w:lang w:val="it-IT"/>
        </w:rPr>
        <w:footnoteReference w:id="22"/>
      </w:r>
      <w:r w:rsidRPr="00BF0169">
        <w:rPr>
          <w:noProof/>
          <w:lang w:val="it-IT"/>
        </w:rPr>
        <w:t>.</w:t>
      </w:r>
    </w:p>
    <w:p w14:paraId="69A61BC5" w14:textId="19B8B1B3" w:rsidR="00B06C44" w:rsidRPr="00BF0169"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r w:rsidRPr="00BF0169">
        <w:rPr>
          <w:noProof/>
          <w:lang w:val="it-IT"/>
        </w:rPr>
        <w:t>Al fine di continuare a garantire l</w:t>
      </w:r>
      <w:r w:rsidR="00BF0169" w:rsidRPr="00BF0169">
        <w:rPr>
          <w:noProof/>
          <w:lang w:val="it-IT"/>
        </w:rPr>
        <w:t>'</w:t>
      </w:r>
      <w:r w:rsidRPr="00BF0169">
        <w:rPr>
          <w:noProof/>
          <w:lang w:val="it-IT"/>
        </w:rPr>
        <w:t>attività antifrode all</w:t>
      </w:r>
      <w:r w:rsidR="00BF0169" w:rsidRPr="00BF0169">
        <w:rPr>
          <w:noProof/>
          <w:lang w:val="it-IT"/>
        </w:rPr>
        <w:t>'</w:t>
      </w:r>
      <w:r w:rsidRPr="00BF0169">
        <w:rPr>
          <w:noProof/>
          <w:lang w:val="it-IT"/>
        </w:rPr>
        <w:t>interno della Commissione, nonché di tener conto sia delle restanti azioni del piano d</w:t>
      </w:r>
      <w:r w:rsidR="00BF0169" w:rsidRPr="00BF0169">
        <w:rPr>
          <w:noProof/>
          <w:lang w:val="it-IT"/>
        </w:rPr>
        <w:t>'</w:t>
      </w:r>
      <w:r w:rsidRPr="00BF0169">
        <w:rPr>
          <w:noProof/>
          <w:lang w:val="it-IT"/>
        </w:rPr>
        <w:t>azione della CAFS del 2019 sia delle nuove priorità della Commissione, l</w:t>
      </w:r>
      <w:r w:rsidR="00BF0169" w:rsidRPr="00BF0169">
        <w:rPr>
          <w:noProof/>
          <w:lang w:val="it-IT"/>
        </w:rPr>
        <w:t>'</w:t>
      </w:r>
      <w:r w:rsidRPr="00BF0169">
        <w:rPr>
          <w:noProof/>
          <w:lang w:val="it-IT"/>
        </w:rPr>
        <w:t>OLAF sta valutando una revisione mirata del piano. Gli obiettivi principali e i principi sottostanti della CAFS restano validi e la revisione del piano d</w:t>
      </w:r>
      <w:r w:rsidR="00BF0169" w:rsidRPr="00BF0169">
        <w:rPr>
          <w:noProof/>
          <w:lang w:val="it-IT"/>
        </w:rPr>
        <w:t>'</w:t>
      </w:r>
      <w:r w:rsidRPr="00BF0169">
        <w:rPr>
          <w:noProof/>
          <w:lang w:val="it-IT"/>
        </w:rPr>
        <w:t>azione dovrebbe concentrerarsi su priorità della Commissione quali il nuovo quadro finanziario pluriennale, il dispositivo per la ripresa e la resilienza, la cooperazione con l</w:t>
      </w:r>
      <w:r w:rsidR="00BF0169" w:rsidRPr="00BF0169">
        <w:rPr>
          <w:noProof/>
          <w:lang w:val="it-IT"/>
        </w:rPr>
        <w:t>'</w:t>
      </w:r>
      <w:r w:rsidRPr="00BF0169">
        <w:rPr>
          <w:noProof/>
          <w:lang w:val="it-IT"/>
        </w:rPr>
        <w:t xml:space="preserve">EPPO e il ruolo della digitalizzazione nella lotta contro la frode. </w:t>
      </w:r>
    </w:p>
    <w:p w14:paraId="248438BF" w14:textId="77777777" w:rsidR="00FE789E" w:rsidRPr="00BF0169" w:rsidRDefault="00FE789E" w:rsidP="00CD7B44">
      <w:pPr>
        <w:pStyle w:val="Heading3"/>
        <w:rPr>
          <w:noProof/>
          <w:lang w:val="it-IT"/>
        </w:rPr>
      </w:pPr>
      <w:bookmarkStart w:id="20" w:name="_Toc116319624"/>
      <w:r w:rsidRPr="00BF0169">
        <w:rPr>
          <w:noProof/>
          <w:lang w:val="it-IT"/>
        </w:rPr>
        <w:t>Ufficio europeo per la lotta antifrode (OLAF)</w:t>
      </w:r>
      <w:bookmarkEnd w:id="20"/>
    </w:p>
    <w:p w14:paraId="7F81CB9A" w14:textId="2AE9948A" w:rsidR="00FE789E" w:rsidRPr="00BF0169" w:rsidRDefault="00B06C44" w:rsidP="00FE789E">
      <w:pPr>
        <w:rPr>
          <w:noProof/>
          <w:lang w:val="it-IT"/>
        </w:rPr>
      </w:pPr>
      <w:r w:rsidRPr="00BF0169">
        <w:rPr>
          <w:noProof/>
          <w:lang w:val="it-IT"/>
        </w:rPr>
        <w:t>L</w:t>
      </w:r>
      <w:r w:rsidR="00BF0169" w:rsidRPr="00BF0169">
        <w:rPr>
          <w:noProof/>
          <w:lang w:val="it-IT"/>
        </w:rPr>
        <w:t>'</w:t>
      </w:r>
      <w:r w:rsidRPr="00BF0169">
        <w:rPr>
          <w:b/>
          <w:bCs/>
          <w:noProof/>
          <w:lang w:val="it-IT"/>
        </w:rPr>
        <w:t xml:space="preserve">Ufficio europeo per la lotta antifrode </w:t>
      </w:r>
      <w:r w:rsidRPr="00BF0169">
        <w:rPr>
          <w:noProof/>
          <w:lang w:val="it-IT"/>
        </w:rPr>
        <w:t>(OLAF) effettua indagini indipendenti su casi di frode e corruzione riguardanti i fondi dell</w:t>
      </w:r>
      <w:r w:rsidR="00BF0169" w:rsidRPr="00BF0169">
        <w:rPr>
          <w:noProof/>
          <w:lang w:val="it-IT"/>
        </w:rPr>
        <w:t>'</w:t>
      </w:r>
      <w:r w:rsidRPr="00BF0169">
        <w:rPr>
          <w:noProof/>
          <w:lang w:val="it-IT"/>
        </w:rPr>
        <w:t>UE ed elabora la politica antifrode dell</w:t>
      </w:r>
      <w:r w:rsidR="00BF0169" w:rsidRPr="00BF0169">
        <w:rPr>
          <w:noProof/>
          <w:lang w:val="it-IT"/>
        </w:rPr>
        <w:t>'</w:t>
      </w:r>
      <w:r w:rsidRPr="00BF0169">
        <w:rPr>
          <w:noProof/>
          <w:lang w:val="it-IT"/>
        </w:rPr>
        <w:t>Unione europea per combattere frodi, corruzione e altre attività illecite lesive degli interessi finanziari dell</w:t>
      </w:r>
      <w:r w:rsidR="00BF0169" w:rsidRPr="00BF0169">
        <w:rPr>
          <w:noProof/>
          <w:lang w:val="it-IT"/>
        </w:rPr>
        <w:t>'</w:t>
      </w:r>
      <w:r w:rsidRPr="00BF0169">
        <w:rPr>
          <w:noProof/>
          <w:lang w:val="it-IT"/>
        </w:rPr>
        <w:t>UE.</w:t>
      </w:r>
    </w:p>
    <w:p w14:paraId="316CD971" w14:textId="7F166C82" w:rsidR="000A2CB4" w:rsidRPr="00BF0169" w:rsidRDefault="000A2CB4" w:rsidP="009542F2">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21" w:name="_Toc105777768"/>
      <w:bookmarkStart w:id="22" w:name="_Toc110444011"/>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3</w:t>
      </w:r>
      <w:r w:rsidR="00742EC4" w:rsidRPr="00BF0169">
        <w:rPr>
          <w:noProof/>
          <w:lang w:val="it-IT"/>
        </w:rPr>
        <w:fldChar w:fldCharType="end"/>
      </w:r>
      <w:r w:rsidRPr="00BF0169">
        <w:rPr>
          <w:noProof/>
          <w:lang w:val="it-IT"/>
        </w:rPr>
        <w:t xml:space="preserve"> – Attività dell</w:t>
      </w:r>
      <w:r w:rsidR="00BF0169" w:rsidRPr="00BF0169">
        <w:rPr>
          <w:noProof/>
          <w:lang w:val="it-IT"/>
        </w:rPr>
        <w:t>'</w:t>
      </w:r>
      <w:r w:rsidRPr="00BF0169">
        <w:rPr>
          <w:noProof/>
          <w:lang w:val="it-IT"/>
        </w:rPr>
        <w:t>OLAF nel 2021</w:t>
      </w:r>
      <w:bookmarkEnd w:id="21"/>
      <w:bookmarkEnd w:id="22"/>
    </w:p>
    <w:p w14:paraId="37DE9FB0" w14:textId="5E247CEF" w:rsidR="000A2CB4" w:rsidRPr="00BF0169" w:rsidRDefault="000A2CB4" w:rsidP="000A2CB4">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Nel corso dell</w:t>
      </w:r>
      <w:r w:rsidR="00BF0169" w:rsidRPr="00BF0169">
        <w:rPr>
          <w:noProof/>
          <w:lang w:val="it-IT"/>
        </w:rPr>
        <w:t>'</w:t>
      </w:r>
      <w:r w:rsidRPr="00BF0169">
        <w:rPr>
          <w:noProof/>
          <w:lang w:val="it-IT"/>
        </w:rPr>
        <w:t>anno sono state effettuate circa 1 100 selezioni, ch</w:t>
      </w:r>
      <w:r w:rsidR="00AE539E" w:rsidRPr="00BF0169">
        <w:rPr>
          <w:noProof/>
          <w:lang w:val="it-IT"/>
        </w:rPr>
        <w:t>e hanno portato all</w:t>
      </w:r>
      <w:r w:rsidR="00BF0169" w:rsidRPr="00BF0169">
        <w:rPr>
          <w:noProof/>
          <w:lang w:val="it-IT"/>
        </w:rPr>
        <w:t>'</w:t>
      </w:r>
      <w:r w:rsidR="00AE539E" w:rsidRPr="00BF0169">
        <w:rPr>
          <w:noProof/>
          <w:lang w:val="it-IT"/>
        </w:rPr>
        <w:t>apertura di </w:t>
      </w:r>
      <w:r w:rsidRPr="00BF0169">
        <w:rPr>
          <w:noProof/>
          <w:lang w:val="it-IT"/>
        </w:rPr>
        <w:t>234 nuovi casi di indagine. Complessivamente, nel corso dell</w:t>
      </w:r>
      <w:r w:rsidR="00BF0169" w:rsidRPr="00BF0169">
        <w:rPr>
          <w:noProof/>
          <w:lang w:val="it-IT"/>
        </w:rPr>
        <w:t>'</w:t>
      </w:r>
      <w:r w:rsidRPr="00BF0169">
        <w:rPr>
          <w:noProof/>
          <w:lang w:val="it-IT"/>
        </w:rPr>
        <w:t>anno sono state concluse con successo 212 indagini, che hanno portato l</w:t>
      </w:r>
      <w:r w:rsidR="00BF0169" w:rsidRPr="00BF0169">
        <w:rPr>
          <w:noProof/>
          <w:lang w:val="it-IT"/>
        </w:rPr>
        <w:t>'</w:t>
      </w:r>
      <w:r w:rsidRPr="00BF0169">
        <w:rPr>
          <w:noProof/>
          <w:lang w:val="it-IT"/>
        </w:rPr>
        <w:t>OLAF a formulare 294 raccomandazioni finanziarie, giudiziarie, disciplinari e amministrative rivolte alle autorità competenti dell</w:t>
      </w:r>
      <w:r w:rsidR="00BF0169" w:rsidRPr="00BF0169">
        <w:rPr>
          <w:noProof/>
          <w:lang w:val="it-IT"/>
        </w:rPr>
        <w:t>'</w:t>
      </w:r>
      <w:r w:rsidRPr="00BF0169">
        <w:rPr>
          <w:noProof/>
          <w:lang w:val="it-IT"/>
        </w:rPr>
        <w:t>UE e nazionali. La maggior parte di tali raccomandazioni ha riguardato il recupero di fondi UE da parte delle autorità europee e nazionali in questione per un importo pari a 527,4 milioni di EUR nel 2021. Grazie al lavoro dell</w:t>
      </w:r>
      <w:r w:rsidR="00BF0169" w:rsidRPr="00BF0169">
        <w:rPr>
          <w:noProof/>
          <w:lang w:val="it-IT"/>
        </w:rPr>
        <w:t>'</w:t>
      </w:r>
      <w:r w:rsidRPr="00BF0169">
        <w:rPr>
          <w:noProof/>
          <w:lang w:val="it-IT"/>
        </w:rPr>
        <w:t>OLAF, è stata impedita la spesa indebita di oltre 340 milioni di EUR.</w:t>
      </w:r>
    </w:p>
    <w:p w14:paraId="72A10265" w14:textId="2BA1A0D6" w:rsidR="000A2CB4" w:rsidRPr="00BF0169" w:rsidRDefault="000A2CB4" w:rsidP="000A2CB4">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Le indagini dell</w:t>
      </w:r>
      <w:r w:rsidR="00BF0169" w:rsidRPr="00BF0169">
        <w:rPr>
          <w:noProof/>
          <w:lang w:val="it-IT"/>
        </w:rPr>
        <w:t>'</w:t>
      </w:r>
      <w:r w:rsidRPr="00BF0169">
        <w:rPr>
          <w:noProof/>
          <w:lang w:val="it-IT"/>
        </w:rPr>
        <w:t>OLAF han</w:t>
      </w:r>
      <w:r w:rsidR="00BF0169">
        <w:rPr>
          <w:noProof/>
          <w:lang w:val="it-IT"/>
        </w:rPr>
        <w:t>n</w:t>
      </w:r>
      <w:r w:rsidRPr="00BF0169">
        <w:rPr>
          <w:noProof/>
          <w:lang w:val="it-IT"/>
        </w:rPr>
        <w:t>o evidenziato numerose nuove tendenze nelle attività fraudolente, quali le frodi legate alla COVID-19, alla transizione verde e alla gestione dei rifiuti.</w:t>
      </w:r>
    </w:p>
    <w:p w14:paraId="25E5C644" w14:textId="4132F5C8" w:rsidR="000A2CB4" w:rsidRPr="00BF0169" w:rsidRDefault="00BE6084" w:rsidP="00BE6084">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Il 5 luglio 2021 l</w:t>
      </w:r>
      <w:r w:rsidR="00BF0169" w:rsidRPr="00BF0169">
        <w:rPr>
          <w:noProof/>
          <w:lang w:val="it-IT"/>
        </w:rPr>
        <w:t>'</w:t>
      </w:r>
      <w:r w:rsidRPr="00BF0169">
        <w:rPr>
          <w:noProof/>
          <w:lang w:val="it-IT"/>
        </w:rPr>
        <w:t>OLAF e l</w:t>
      </w:r>
      <w:r w:rsidR="00BF0169" w:rsidRPr="00BF0169">
        <w:rPr>
          <w:noProof/>
          <w:lang w:val="it-IT"/>
        </w:rPr>
        <w:t>'</w:t>
      </w:r>
      <w:r w:rsidRPr="00BF0169">
        <w:rPr>
          <w:noProof/>
          <w:lang w:val="it-IT"/>
        </w:rPr>
        <w:t>EPPO hanno firmato un accordo di lavoro al fine di ottimizzare la cooperazione operativa. Tale cooperazione sta già producendo risultati tangibili. Nel 2021 l</w:t>
      </w:r>
      <w:r w:rsidR="00BF0169" w:rsidRPr="00BF0169">
        <w:rPr>
          <w:noProof/>
          <w:lang w:val="it-IT"/>
        </w:rPr>
        <w:t>'</w:t>
      </w:r>
      <w:r w:rsidRPr="00BF0169">
        <w:rPr>
          <w:noProof/>
          <w:lang w:val="it-IT"/>
        </w:rPr>
        <w:t>OLAF è stato una fonte importante di informazioni per l</w:t>
      </w:r>
      <w:r w:rsidR="00BF0169" w:rsidRPr="00BF0169">
        <w:rPr>
          <w:noProof/>
          <w:lang w:val="it-IT"/>
        </w:rPr>
        <w:t>'</w:t>
      </w:r>
      <w:r w:rsidRPr="00BF0169">
        <w:rPr>
          <w:noProof/>
          <w:lang w:val="it-IT"/>
        </w:rPr>
        <w:t>EPPO</w:t>
      </w:r>
      <w:r w:rsidRPr="00BF0169">
        <w:rPr>
          <w:rStyle w:val="FootnoteReference"/>
          <w:noProof/>
          <w:lang w:val="it-IT"/>
        </w:rPr>
        <w:footnoteReference w:id="23"/>
      </w:r>
      <w:r w:rsidRPr="00BF0169">
        <w:rPr>
          <w:noProof/>
          <w:lang w:val="it-IT"/>
        </w:rPr>
        <w:t>: 85 delle indagini penali di quest</w:t>
      </w:r>
      <w:r w:rsidR="00BF0169" w:rsidRPr="00BF0169">
        <w:rPr>
          <w:noProof/>
          <w:lang w:val="it-IT"/>
        </w:rPr>
        <w:t>'</w:t>
      </w:r>
      <w:r w:rsidRPr="00BF0169">
        <w:rPr>
          <w:noProof/>
          <w:lang w:val="it-IT"/>
        </w:rPr>
        <w:t>ultimo si sono basate su relazioni di indagine dell</w:t>
      </w:r>
      <w:r w:rsidR="00BF0169" w:rsidRPr="00BF0169">
        <w:rPr>
          <w:noProof/>
          <w:lang w:val="it-IT"/>
        </w:rPr>
        <w:t>'</w:t>
      </w:r>
      <w:r w:rsidRPr="00BF0169">
        <w:rPr>
          <w:noProof/>
          <w:lang w:val="it-IT"/>
        </w:rPr>
        <w:t>OLAF. Il danno totale potenzialmente recato al bilancio dell</w:t>
      </w:r>
      <w:r w:rsidR="00BF0169" w:rsidRPr="00BF0169">
        <w:rPr>
          <w:noProof/>
          <w:lang w:val="it-IT"/>
        </w:rPr>
        <w:t>'</w:t>
      </w:r>
      <w:r w:rsidRPr="00BF0169">
        <w:rPr>
          <w:noProof/>
          <w:lang w:val="it-IT"/>
        </w:rPr>
        <w:t>UE dai fatti oggetto di indagine segnalati dall</w:t>
      </w:r>
      <w:r w:rsidR="00BF0169" w:rsidRPr="00BF0169">
        <w:rPr>
          <w:noProof/>
          <w:lang w:val="it-IT"/>
        </w:rPr>
        <w:t>'</w:t>
      </w:r>
      <w:r w:rsidRPr="00BF0169">
        <w:rPr>
          <w:noProof/>
          <w:lang w:val="it-IT"/>
        </w:rPr>
        <w:t>OLAF nel 2021 è stato stimato a 2,2 miliardi di EUR</w:t>
      </w:r>
      <w:r w:rsidRPr="00BF0169">
        <w:rPr>
          <w:rStyle w:val="FootnoteReference"/>
          <w:noProof/>
          <w:lang w:val="it-IT"/>
        </w:rPr>
        <w:footnoteReference w:id="24"/>
      </w:r>
      <w:r w:rsidRPr="00BF0169">
        <w:rPr>
          <w:noProof/>
          <w:lang w:val="it-IT"/>
        </w:rPr>
        <w:t>. Gli analisti forensi e gli investigatori dell</w:t>
      </w:r>
      <w:r w:rsidR="00BF0169" w:rsidRPr="00BF0169">
        <w:rPr>
          <w:noProof/>
          <w:lang w:val="it-IT"/>
        </w:rPr>
        <w:t>'</w:t>
      </w:r>
      <w:r w:rsidRPr="00BF0169">
        <w:rPr>
          <w:noProof/>
          <w:lang w:val="it-IT"/>
        </w:rPr>
        <w:t>OLAF hanno fornito altresì un sostegno sostanziale alle indagini dell</w:t>
      </w:r>
      <w:r w:rsidR="00BF0169" w:rsidRPr="00BF0169">
        <w:rPr>
          <w:noProof/>
          <w:lang w:val="it-IT"/>
        </w:rPr>
        <w:t>'</w:t>
      </w:r>
      <w:r w:rsidRPr="00BF0169">
        <w:rPr>
          <w:noProof/>
          <w:lang w:val="it-IT"/>
        </w:rPr>
        <w:t>EPPO, partecipando a colloqui con testimoni in veste di esperti e fornendo analisi dettagliate in materia doganale. L</w:t>
      </w:r>
      <w:r w:rsidR="00BF0169" w:rsidRPr="00BF0169">
        <w:rPr>
          <w:noProof/>
          <w:lang w:val="it-IT"/>
        </w:rPr>
        <w:t>'</w:t>
      </w:r>
      <w:r w:rsidRPr="00BF0169">
        <w:rPr>
          <w:noProof/>
          <w:lang w:val="it-IT"/>
        </w:rPr>
        <w:t>OLAF ha avviato diverse indagini complementari che hanno prodotto diversi risultati significativi in termini di giustizia finanziaria e penale.</w:t>
      </w:r>
    </w:p>
    <w:p w14:paraId="7AF3F5FE" w14:textId="77777777" w:rsidR="00FE789E" w:rsidRPr="00BF0169" w:rsidRDefault="00FE789E" w:rsidP="00CD7B44">
      <w:pPr>
        <w:pStyle w:val="Heading3"/>
        <w:rPr>
          <w:noProof/>
          <w:lang w:val="it-IT"/>
        </w:rPr>
      </w:pPr>
      <w:bookmarkStart w:id="23" w:name="_Toc116319625"/>
      <w:r w:rsidRPr="00BF0169">
        <w:rPr>
          <w:noProof/>
          <w:lang w:val="it-IT"/>
        </w:rPr>
        <w:t>Procura europea (EPPO)</w:t>
      </w:r>
      <w:bookmarkEnd w:id="23"/>
    </w:p>
    <w:p w14:paraId="7C310290" w14:textId="5AAD4133" w:rsidR="00FE789E" w:rsidRPr="00BF0169" w:rsidRDefault="00262A80" w:rsidP="00FE789E">
      <w:pPr>
        <w:rPr>
          <w:noProof/>
          <w:lang w:val="it-IT"/>
        </w:rPr>
      </w:pPr>
      <w:r w:rsidRPr="00BF0169">
        <w:rPr>
          <w:noProof/>
          <w:lang w:val="it-IT"/>
        </w:rPr>
        <w:t xml:space="preserve">La </w:t>
      </w:r>
      <w:r w:rsidRPr="00BF0169">
        <w:rPr>
          <w:b/>
          <w:bCs/>
          <w:noProof/>
          <w:lang w:val="it-IT"/>
        </w:rPr>
        <w:t>Procura europea</w:t>
      </w:r>
      <w:r w:rsidRPr="00BF0169">
        <w:rPr>
          <w:noProof/>
          <w:lang w:val="it-IT"/>
        </w:rPr>
        <w:t xml:space="preserve"> (EPPO), in veste di prima autorità sovranazionale responsabile dell</w:t>
      </w:r>
      <w:r w:rsidR="00BF0169" w:rsidRPr="00BF0169">
        <w:rPr>
          <w:noProof/>
          <w:lang w:val="it-IT"/>
        </w:rPr>
        <w:t>'</w:t>
      </w:r>
      <w:r w:rsidRPr="00BF0169">
        <w:rPr>
          <w:noProof/>
          <w:lang w:val="it-IT"/>
        </w:rPr>
        <w:t>azione penale, ha il potere di indagare e perseguire reati lesivi degli interessi finanziari dell</w:t>
      </w:r>
      <w:r w:rsidR="00BF0169" w:rsidRPr="00BF0169">
        <w:rPr>
          <w:noProof/>
          <w:lang w:val="it-IT"/>
        </w:rPr>
        <w:t>'</w:t>
      </w:r>
      <w:r w:rsidRPr="00BF0169">
        <w:rPr>
          <w:noProof/>
          <w:lang w:val="it-IT"/>
        </w:rPr>
        <w:t>UE nei 22 Stati membri dell</w:t>
      </w:r>
      <w:r w:rsidR="00BF0169" w:rsidRPr="00BF0169">
        <w:rPr>
          <w:noProof/>
          <w:lang w:val="it-IT"/>
        </w:rPr>
        <w:t>'</w:t>
      </w:r>
      <w:r w:rsidRPr="00BF0169">
        <w:rPr>
          <w:noProof/>
          <w:lang w:val="it-IT"/>
        </w:rPr>
        <w:t>UE partecipanti</w:t>
      </w:r>
      <w:r w:rsidRPr="00BF0169">
        <w:rPr>
          <w:rStyle w:val="FootnoteReference"/>
          <w:noProof/>
          <w:lang w:val="it-IT"/>
        </w:rPr>
        <w:footnoteReference w:id="25"/>
      </w:r>
      <w:r w:rsidRPr="00BF0169">
        <w:rPr>
          <w:noProof/>
          <w:lang w:val="it-IT"/>
        </w:rPr>
        <w:t xml:space="preserve">. </w:t>
      </w:r>
    </w:p>
    <w:p w14:paraId="7F3C40B9" w14:textId="16EF4F31" w:rsidR="00262A80" w:rsidRPr="00BF0169" w:rsidRDefault="00262A80" w:rsidP="00262A80">
      <w:pPr>
        <w:pStyle w:val="Caption"/>
        <w:keepNext/>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bookmarkStart w:id="24" w:name="_Toc105777769"/>
      <w:bookmarkStart w:id="25" w:name="_Toc110444012"/>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4</w:t>
      </w:r>
      <w:r w:rsidR="00742EC4" w:rsidRPr="00BF0169">
        <w:rPr>
          <w:noProof/>
          <w:lang w:val="it-IT"/>
        </w:rPr>
        <w:fldChar w:fldCharType="end"/>
      </w:r>
      <w:r w:rsidRPr="00BF0169">
        <w:rPr>
          <w:noProof/>
          <w:lang w:val="it-IT"/>
        </w:rPr>
        <w:t xml:space="preserve"> - I primi sette mesi di attività operativa dell</w:t>
      </w:r>
      <w:r w:rsidR="00BF0169" w:rsidRPr="00BF0169">
        <w:rPr>
          <w:noProof/>
          <w:lang w:val="it-IT"/>
        </w:rPr>
        <w:t>'</w:t>
      </w:r>
      <w:r w:rsidRPr="00BF0169">
        <w:rPr>
          <w:noProof/>
          <w:lang w:val="it-IT"/>
        </w:rPr>
        <w:t>EPPO in cifre</w:t>
      </w:r>
      <w:bookmarkEnd w:id="24"/>
      <w:bookmarkEnd w:id="25"/>
    </w:p>
    <w:p w14:paraId="458C077F" w14:textId="71998EE3" w:rsidR="00262A80" w:rsidRPr="00BF0169" w:rsidRDefault="00A50740" w:rsidP="00262A80">
      <w:pPr>
        <w:pBdr>
          <w:top w:val="single" w:sz="4" w:space="1" w:color="auto"/>
          <w:left w:val="single" w:sz="4" w:space="1" w:color="auto"/>
          <w:bottom w:val="single" w:sz="4" w:space="1" w:color="auto"/>
          <w:right w:val="single" w:sz="4" w:space="1" w:color="auto"/>
        </w:pBdr>
        <w:shd w:val="clear" w:color="auto" w:fill="D9E2F3" w:themeFill="accent5" w:themeFillTint="33"/>
        <w:spacing w:line="240" w:lineRule="auto"/>
        <w:rPr>
          <w:noProof/>
          <w:lang w:val="it-IT"/>
        </w:rPr>
      </w:pPr>
      <w:r w:rsidRPr="00BF0169">
        <w:rPr>
          <w:noProof/>
          <w:lang w:val="it-IT"/>
        </w:rPr>
        <w:t>L</w:t>
      </w:r>
      <w:r w:rsidR="00BF0169" w:rsidRPr="00BF0169">
        <w:rPr>
          <w:noProof/>
          <w:lang w:val="it-IT"/>
        </w:rPr>
        <w:t>'</w:t>
      </w:r>
      <w:r w:rsidRPr="00BF0169">
        <w:rPr>
          <w:noProof/>
          <w:lang w:val="it-IT"/>
        </w:rPr>
        <w:t>EPPO è diventata operativa il 1° giugno 2021. Complessivamente, alla fine del 2021, l</w:t>
      </w:r>
      <w:r w:rsidR="00BF0169" w:rsidRPr="00BF0169">
        <w:rPr>
          <w:noProof/>
          <w:lang w:val="it-IT"/>
        </w:rPr>
        <w:t>'</w:t>
      </w:r>
      <w:r w:rsidRPr="00BF0169">
        <w:rPr>
          <w:noProof/>
          <w:lang w:val="it-IT"/>
        </w:rPr>
        <w:t>Ufficio aveva ricevuto 2 832 segnalazioni e aveva avviato 576 indagini (515 indagini in corso al 31 dicembre 2021)</w:t>
      </w:r>
      <w:r w:rsidRPr="00BF0169">
        <w:rPr>
          <w:rStyle w:val="FootnoteReference"/>
          <w:noProof/>
          <w:lang w:val="it-IT"/>
        </w:rPr>
        <w:footnoteReference w:id="26"/>
      </w:r>
      <w:r w:rsidRPr="00BF0169">
        <w:rPr>
          <w:noProof/>
          <w:lang w:val="it-IT"/>
        </w:rPr>
        <w:t xml:space="preserve">. </w:t>
      </w:r>
    </w:p>
    <w:p w14:paraId="28086A94" w14:textId="2C726831" w:rsidR="00262A80" w:rsidRPr="00BF0169" w:rsidRDefault="00262A80" w:rsidP="00262A80">
      <w:pPr>
        <w:pBdr>
          <w:top w:val="single" w:sz="4" w:space="1" w:color="auto"/>
          <w:left w:val="single" w:sz="4" w:space="1" w:color="auto"/>
          <w:bottom w:val="single" w:sz="4" w:space="1" w:color="auto"/>
          <w:right w:val="single" w:sz="4" w:space="1" w:color="auto"/>
        </w:pBdr>
        <w:shd w:val="clear" w:color="auto" w:fill="D9E2F3" w:themeFill="accent5" w:themeFillTint="33"/>
        <w:spacing w:line="240" w:lineRule="auto"/>
        <w:rPr>
          <w:noProof/>
          <w:lang w:val="it-IT"/>
        </w:rPr>
      </w:pPr>
      <w:r w:rsidRPr="00BF0169">
        <w:rPr>
          <w:noProof/>
          <w:lang w:val="it-IT"/>
        </w:rPr>
        <w:t>Le segnalazioni sono pervenute principalmente da autorità nazionali o da privati.</w:t>
      </w:r>
    </w:p>
    <w:p w14:paraId="65ED88A1" w14:textId="19C67377" w:rsidR="00262A80" w:rsidRPr="00BF0169" w:rsidRDefault="0069243F" w:rsidP="00262A80">
      <w:pPr>
        <w:pBdr>
          <w:top w:val="single" w:sz="4" w:space="1" w:color="auto"/>
          <w:left w:val="single" w:sz="4" w:space="1" w:color="auto"/>
          <w:bottom w:val="single" w:sz="4" w:space="1" w:color="auto"/>
          <w:right w:val="single" w:sz="4" w:space="1" w:color="auto"/>
        </w:pBdr>
        <w:shd w:val="clear" w:color="auto" w:fill="D9E2F3" w:themeFill="accent5" w:themeFillTint="33"/>
        <w:spacing w:line="240" w:lineRule="auto"/>
        <w:rPr>
          <w:noProof/>
          <w:sz w:val="23"/>
          <w:lang w:val="it-IT"/>
        </w:rPr>
      </w:pPr>
      <w:r w:rsidRPr="00BF0169">
        <w:rPr>
          <w:noProof/>
          <w:lang w:val="it-IT"/>
        </w:rPr>
        <w:t>L</w:t>
      </w:r>
      <w:r w:rsidR="00BF0169" w:rsidRPr="00BF0169">
        <w:rPr>
          <w:noProof/>
          <w:lang w:val="it-IT"/>
        </w:rPr>
        <w:t>'</w:t>
      </w:r>
      <w:r w:rsidRPr="00BF0169">
        <w:rPr>
          <w:noProof/>
          <w:lang w:val="it-IT"/>
        </w:rPr>
        <w:t>EPPO ha concluso un accordo di lavoro con l</w:t>
      </w:r>
      <w:r w:rsidR="00BF0169" w:rsidRPr="00BF0169">
        <w:rPr>
          <w:noProof/>
          <w:lang w:val="it-IT"/>
        </w:rPr>
        <w:t>'</w:t>
      </w:r>
      <w:r w:rsidRPr="00BF0169">
        <w:rPr>
          <w:noProof/>
          <w:lang w:val="it-IT"/>
        </w:rPr>
        <w:t>Ufficio del procuratore generale dell</w:t>
      </w:r>
      <w:r w:rsidR="00BF0169" w:rsidRPr="00BF0169">
        <w:rPr>
          <w:noProof/>
          <w:lang w:val="it-IT"/>
        </w:rPr>
        <w:t>'</w:t>
      </w:r>
      <w:r w:rsidRPr="00BF0169">
        <w:rPr>
          <w:noProof/>
          <w:lang w:val="it-IT"/>
        </w:rPr>
        <w:t>Ungheria e sono in corso negoziati sulla conclusione di un accordo di lavoro con Polonia, Irlanda e Danimarca.</w:t>
      </w:r>
    </w:p>
    <w:p w14:paraId="649F72A9" w14:textId="0AB37E18" w:rsidR="00262A80" w:rsidRPr="00BF0169" w:rsidRDefault="00262A80" w:rsidP="00262A80">
      <w:pPr>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r w:rsidRPr="00BF0169">
        <w:rPr>
          <w:noProof/>
          <w:lang w:val="it-IT"/>
        </w:rPr>
        <w:t>Per quanto concerne il recupero dei proventi di attività criminali, sono state effettuate 81 azioni di recupero in 12 degli Stati membri partecipanti (Italia, Belgio, Germania, Romania, Cechia, Croazia, Finlandia, Lettonia, Lussemburgo, Spagna, Lituania e Portogallo). Complessivamente l</w:t>
      </w:r>
      <w:r w:rsidR="00BF0169" w:rsidRPr="00BF0169">
        <w:rPr>
          <w:noProof/>
          <w:lang w:val="it-IT"/>
        </w:rPr>
        <w:t>'</w:t>
      </w:r>
      <w:r w:rsidRPr="00BF0169">
        <w:rPr>
          <w:noProof/>
          <w:lang w:val="it-IT"/>
        </w:rPr>
        <w:t xml:space="preserve">EPPO ha chiesto il sequestro di oltre 152 milioni di EUR e ha ottenuto il sequestro di oltre 147 milioni di EUR. </w:t>
      </w:r>
    </w:p>
    <w:p w14:paraId="53FEA5FE" w14:textId="2AA4ADC0" w:rsidR="00262A80" w:rsidRPr="00BF0169" w:rsidRDefault="00A169C9" w:rsidP="00262A80">
      <w:pPr>
        <w:rPr>
          <w:noProof/>
          <w:lang w:val="it-IT"/>
        </w:rPr>
      </w:pPr>
      <w:r w:rsidRPr="00BF0169">
        <w:rPr>
          <w:noProof/>
          <w:lang w:val="it-IT"/>
        </w:rPr>
        <w:t>Conformemente al principio di legalità, l</w:t>
      </w:r>
      <w:r w:rsidR="00BF0169" w:rsidRPr="00BF0169">
        <w:rPr>
          <w:noProof/>
          <w:lang w:val="it-IT"/>
        </w:rPr>
        <w:t>'</w:t>
      </w:r>
      <w:r w:rsidRPr="00BF0169">
        <w:rPr>
          <w:noProof/>
          <w:lang w:val="it-IT"/>
        </w:rPr>
        <w:t>EPPO è tenuta ad avviare indagini ogniqualvolta vi siano fondati motivi per ritenere che sia in corso la commissione di un reato di sua competenza o che un tale reato sia stato commesso. Le autorità nazionali sono giuridicamente tenute a segnalare all</w:t>
      </w:r>
      <w:r w:rsidR="00BF0169" w:rsidRPr="00BF0169">
        <w:rPr>
          <w:noProof/>
          <w:lang w:val="it-IT"/>
        </w:rPr>
        <w:t>'</w:t>
      </w:r>
      <w:r w:rsidRPr="00BF0169">
        <w:rPr>
          <w:noProof/>
          <w:lang w:val="it-IT"/>
        </w:rPr>
        <w:t>EPPO qualsiasi condotta criminale in relazione alla quale quest</w:t>
      </w:r>
      <w:r w:rsidR="00BF0169" w:rsidRPr="00BF0169">
        <w:rPr>
          <w:noProof/>
          <w:lang w:val="it-IT"/>
        </w:rPr>
        <w:t>'</w:t>
      </w:r>
      <w:r w:rsidRPr="00BF0169">
        <w:rPr>
          <w:noProof/>
          <w:lang w:val="it-IT"/>
        </w:rPr>
        <w:t>ultima potrebbe esercitare la propria competenza. Se le autorità nazionali hanno avviato indagini in merito a un reato di competenza dell</w:t>
      </w:r>
      <w:r w:rsidR="00BF0169" w:rsidRPr="00BF0169">
        <w:rPr>
          <w:noProof/>
          <w:lang w:val="it-IT"/>
        </w:rPr>
        <w:t>'</w:t>
      </w:r>
      <w:r w:rsidRPr="00BF0169">
        <w:rPr>
          <w:noProof/>
          <w:lang w:val="it-IT"/>
        </w:rPr>
        <w:t>EPPO e quest</w:t>
      </w:r>
      <w:r w:rsidR="00BF0169" w:rsidRPr="00BF0169">
        <w:rPr>
          <w:noProof/>
          <w:lang w:val="it-IT"/>
        </w:rPr>
        <w:t>'</w:t>
      </w:r>
      <w:r w:rsidRPr="00BF0169">
        <w:rPr>
          <w:noProof/>
          <w:lang w:val="it-IT"/>
        </w:rPr>
        <w:t>ultima decide di esercitare il proprio diritto di avocazione, dette autorità sono tenute a trasferirle i propri casi. Le indagini sono avviate dai procuratori europei delegati negli Stati membri partecipanti e supervisionate da 22 procuratori europei e dal procuratore capo europeo in Lussemburgo. I procuratori europei delegati sono integrati negli uffici dei pubblici ministeri o nelle magistrature nazionali. Tuttavia possono ricevere indicazioni per quanto riguarda il loro lavoro operativo soltanto dalla sede dell</w:t>
      </w:r>
      <w:r w:rsidR="00BF0169" w:rsidRPr="00BF0169">
        <w:rPr>
          <w:noProof/>
          <w:lang w:val="it-IT"/>
        </w:rPr>
        <w:t>'</w:t>
      </w:r>
      <w:r w:rsidRPr="00BF0169">
        <w:rPr>
          <w:noProof/>
          <w:lang w:val="it-IT"/>
        </w:rPr>
        <w:t>EPPO, tramite le 15 camere permanenti o i 22 procuratori europei. Nel 2021 erano in attività 95 procuratori europei delegati e l</w:t>
      </w:r>
      <w:r w:rsidR="00BF0169" w:rsidRPr="00BF0169">
        <w:rPr>
          <w:noProof/>
          <w:lang w:val="it-IT"/>
        </w:rPr>
        <w:t>'</w:t>
      </w:r>
      <w:r w:rsidRPr="00BF0169">
        <w:rPr>
          <w:noProof/>
          <w:lang w:val="it-IT"/>
        </w:rPr>
        <w:t>intenzione è di nominarne 140. Il collegio dell</w:t>
      </w:r>
      <w:r w:rsidR="00BF0169" w:rsidRPr="00BF0169">
        <w:rPr>
          <w:noProof/>
          <w:lang w:val="it-IT"/>
        </w:rPr>
        <w:t>'</w:t>
      </w:r>
      <w:r w:rsidRPr="00BF0169">
        <w:rPr>
          <w:noProof/>
          <w:lang w:val="it-IT"/>
        </w:rPr>
        <w:t>EPPO si è riunito 34 volte e ha adottato 125 decisioni. Ha modificato e integrato alcune decisioni sulla base dei primi insegnamenti tratti, ad esempio, in merito all</w:t>
      </w:r>
      <w:r w:rsidR="00BF0169" w:rsidRPr="00BF0169">
        <w:rPr>
          <w:noProof/>
          <w:lang w:val="it-IT"/>
        </w:rPr>
        <w:t>'</w:t>
      </w:r>
      <w:r w:rsidRPr="00BF0169">
        <w:rPr>
          <w:noProof/>
          <w:lang w:val="it-IT"/>
        </w:rPr>
        <w:t>attribuzione di casi alle camere permanenti o alla verifica delle informazioni registrate per valutare la competenza dell</w:t>
      </w:r>
      <w:r w:rsidR="00BF0169" w:rsidRPr="00BF0169">
        <w:rPr>
          <w:noProof/>
          <w:lang w:val="it-IT"/>
        </w:rPr>
        <w:t>'</w:t>
      </w:r>
      <w:r w:rsidRPr="00BF0169">
        <w:rPr>
          <w:noProof/>
          <w:lang w:val="it-IT"/>
        </w:rPr>
        <w:t>EPPO.</w:t>
      </w:r>
    </w:p>
    <w:p w14:paraId="6B32F0FD" w14:textId="2666F638" w:rsidR="00CF1D95" w:rsidRPr="00BF0169" w:rsidRDefault="00CF1D95" w:rsidP="008A6DCE">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26" w:name="_Toc105777770"/>
      <w:bookmarkStart w:id="27" w:name="_Toc110444013"/>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5</w:t>
      </w:r>
      <w:r w:rsidR="00742EC4" w:rsidRPr="00BF0169">
        <w:rPr>
          <w:noProof/>
          <w:lang w:val="it-IT"/>
        </w:rPr>
        <w:fldChar w:fldCharType="end"/>
      </w:r>
      <w:r w:rsidRPr="00BF0169">
        <w:rPr>
          <w:noProof/>
          <w:lang w:val="it-IT"/>
        </w:rPr>
        <w:t xml:space="preserve"> – L</w:t>
      </w:r>
      <w:r w:rsidR="00BF0169" w:rsidRPr="00BF0169">
        <w:rPr>
          <w:noProof/>
          <w:lang w:val="it-IT"/>
        </w:rPr>
        <w:t>'</w:t>
      </w:r>
      <w:r w:rsidRPr="00BF0169">
        <w:rPr>
          <w:noProof/>
          <w:lang w:val="it-IT"/>
        </w:rPr>
        <w:t>accordo che stabilisce le modalità di cooperazione tra la Commissione e l</w:t>
      </w:r>
      <w:r w:rsidR="00BF0169" w:rsidRPr="00BF0169">
        <w:rPr>
          <w:noProof/>
          <w:lang w:val="it-IT"/>
        </w:rPr>
        <w:t>'</w:t>
      </w:r>
      <w:r w:rsidRPr="00BF0169">
        <w:rPr>
          <w:noProof/>
          <w:lang w:val="it-IT"/>
        </w:rPr>
        <w:t>EPPO</w:t>
      </w:r>
      <w:bookmarkEnd w:id="26"/>
      <w:bookmarkEnd w:id="27"/>
    </w:p>
    <w:p w14:paraId="524C5EA2" w14:textId="50DAD56D" w:rsidR="00F7378C" w:rsidRPr="00BF0169" w:rsidRDefault="00F7378C" w:rsidP="00F7378C">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Il quadro giuridico che disciplina l</w:t>
      </w:r>
      <w:r w:rsidR="00BF0169" w:rsidRPr="00BF0169">
        <w:rPr>
          <w:noProof/>
          <w:lang w:val="it-IT"/>
        </w:rPr>
        <w:t>'</w:t>
      </w:r>
      <w:r w:rsidRPr="00BF0169">
        <w:rPr>
          <w:noProof/>
          <w:lang w:val="it-IT"/>
        </w:rPr>
        <w:t>EPPO prevede che essa stabilisca e mantenga relazioni di cooperazione con la Commissione al fine di tutelare gli interessi finanziari dell</w:t>
      </w:r>
      <w:r w:rsidR="00BF0169" w:rsidRPr="00BF0169">
        <w:rPr>
          <w:noProof/>
          <w:lang w:val="it-IT"/>
        </w:rPr>
        <w:t>'</w:t>
      </w:r>
      <w:r w:rsidRPr="00BF0169">
        <w:rPr>
          <w:noProof/>
          <w:lang w:val="it-IT"/>
        </w:rPr>
        <w:t>UE. A tal fine, i due soggetti hanno concluso un accordo che stabilisce le modalità di cooperazione.</w:t>
      </w:r>
    </w:p>
    <w:p w14:paraId="5AB5674C" w14:textId="210FF23C" w:rsidR="00F83AD7" w:rsidRPr="00BF0169" w:rsidRDefault="00F7378C" w:rsidP="00F7378C">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L</w:t>
      </w:r>
      <w:r w:rsidR="00BF0169" w:rsidRPr="00BF0169">
        <w:rPr>
          <w:noProof/>
          <w:lang w:val="it-IT"/>
        </w:rPr>
        <w:t>'</w:t>
      </w:r>
      <w:r w:rsidRPr="00BF0169">
        <w:rPr>
          <w:noProof/>
          <w:lang w:val="it-IT"/>
        </w:rPr>
        <w:t>accordo, firmato il 18 giugno 2021, specifica le disposizioni amministrative per l</w:t>
      </w:r>
      <w:r w:rsidR="00BF0169" w:rsidRPr="00BF0169">
        <w:rPr>
          <w:noProof/>
          <w:lang w:val="it-IT"/>
        </w:rPr>
        <w:t>'</w:t>
      </w:r>
      <w:r w:rsidRPr="00BF0169">
        <w:rPr>
          <w:noProof/>
          <w:lang w:val="it-IT"/>
        </w:rPr>
        <w:t>attuazione degli obblighi reciproci di informazione e consultazione stabiliti nel regolamento che istituisce la Procura europea. Tali disposizioni mirano, da un lato, a consentire all</w:t>
      </w:r>
      <w:r w:rsidR="00BF0169" w:rsidRPr="00BF0169">
        <w:rPr>
          <w:noProof/>
          <w:lang w:val="it-IT"/>
        </w:rPr>
        <w:t>'</w:t>
      </w:r>
      <w:r w:rsidRPr="00BF0169">
        <w:rPr>
          <w:noProof/>
          <w:lang w:val="it-IT"/>
        </w:rPr>
        <w:t>EPPO di indagare e perseguire in maniera efficace i crimini lesivi del bilancio dell</w:t>
      </w:r>
      <w:r w:rsidR="00BF0169" w:rsidRPr="00BF0169">
        <w:rPr>
          <w:noProof/>
          <w:lang w:val="it-IT"/>
        </w:rPr>
        <w:t>'</w:t>
      </w:r>
      <w:r w:rsidRPr="00BF0169">
        <w:rPr>
          <w:noProof/>
          <w:lang w:val="it-IT"/>
        </w:rPr>
        <w:t>UE e, dall</w:t>
      </w:r>
      <w:r w:rsidR="00BF0169" w:rsidRPr="00BF0169">
        <w:rPr>
          <w:noProof/>
          <w:lang w:val="it-IT"/>
        </w:rPr>
        <w:t>'</w:t>
      </w:r>
      <w:r w:rsidRPr="00BF0169">
        <w:rPr>
          <w:noProof/>
          <w:lang w:val="it-IT"/>
        </w:rPr>
        <w:t>altro, a consentire ai servizi della Commissione di garantire un adeguato seguito amministrativo, finanziario e disciplinare alle indagini dell</w:t>
      </w:r>
      <w:r w:rsidR="00BF0169" w:rsidRPr="00BF0169">
        <w:rPr>
          <w:noProof/>
          <w:lang w:val="it-IT"/>
        </w:rPr>
        <w:t>'</w:t>
      </w:r>
      <w:r w:rsidRPr="00BF0169">
        <w:rPr>
          <w:noProof/>
          <w:lang w:val="it-IT"/>
        </w:rPr>
        <w:t>EPPO, anche attraverso misure cautelari destinate a proteggere il bilancio dell</w:t>
      </w:r>
      <w:r w:rsidR="00BF0169" w:rsidRPr="00BF0169">
        <w:rPr>
          <w:noProof/>
          <w:lang w:val="it-IT"/>
        </w:rPr>
        <w:t>'</w:t>
      </w:r>
      <w:r w:rsidRPr="00BF0169">
        <w:rPr>
          <w:noProof/>
          <w:lang w:val="it-IT"/>
        </w:rPr>
        <w:t>UE.</w:t>
      </w:r>
    </w:p>
    <w:p w14:paraId="607AC7DD" w14:textId="3992E1FA" w:rsidR="00CF1D95" w:rsidRPr="00BF0169" w:rsidRDefault="00F7378C" w:rsidP="008A6DCE">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L</w:t>
      </w:r>
      <w:r w:rsidR="00BF0169" w:rsidRPr="00BF0169">
        <w:rPr>
          <w:noProof/>
          <w:lang w:val="it-IT"/>
        </w:rPr>
        <w:t>'</w:t>
      </w:r>
      <w:r w:rsidRPr="00BF0169">
        <w:rPr>
          <w:noProof/>
          <w:lang w:val="it-IT"/>
        </w:rPr>
        <w:t>accordo precisa in particolare: a) le tipologie specifiche di informazioni o consultazioni da trasmettere in ciascun caso; b) i punti di contatto pertinenti; c) le procedure, gli strumenti di comunicazione, il modello e le scadenze applicabili e d) le condizioni alle quali l</w:t>
      </w:r>
      <w:r w:rsidR="00BF0169" w:rsidRPr="00BF0169">
        <w:rPr>
          <w:noProof/>
          <w:lang w:val="it-IT"/>
        </w:rPr>
        <w:t>'</w:t>
      </w:r>
      <w:r w:rsidRPr="00BF0169">
        <w:rPr>
          <w:noProof/>
          <w:lang w:val="it-IT"/>
        </w:rPr>
        <w:t>EPPO può accedere a banche dati specifiche pertinenti gestite dalla Commissione. Comprende altresì un riferimento alla stretta e tempestiva cooperazione tra la Commissione e l</w:t>
      </w:r>
      <w:r w:rsidR="00BF0169" w:rsidRPr="00BF0169">
        <w:rPr>
          <w:noProof/>
          <w:lang w:val="it-IT"/>
        </w:rPr>
        <w:t>'</w:t>
      </w:r>
      <w:r w:rsidRPr="00BF0169">
        <w:rPr>
          <w:noProof/>
          <w:lang w:val="it-IT"/>
        </w:rPr>
        <w:t>EPPO per quanto concerne l</w:t>
      </w:r>
      <w:r w:rsidR="00BF0169" w:rsidRPr="00BF0169">
        <w:rPr>
          <w:noProof/>
          <w:lang w:val="it-IT"/>
        </w:rPr>
        <w:t>'</w:t>
      </w:r>
      <w:r w:rsidRPr="00BF0169">
        <w:rPr>
          <w:noProof/>
          <w:lang w:val="it-IT"/>
        </w:rPr>
        <w:t>applicazione del regolamento (UE) 2020/2092 relativo a un regime generale di condizionalità per la protezione del bilancio dell</w:t>
      </w:r>
      <w:r w:rsidR="00BF0169" w:rsidRPr="00BF0169">
        <w:rPr>
          <w:noProof/>
          <w:lang w:val="it-IT"/>
        </w:rPr>
        <w:t>'</w:t>
      </w:r>
      <w:r w:rsidRPr="00BF0169">
        <w:rPr>
          <w:noProof/>
          <w:lang w:val="it-IT"/>
        </w:rPr>
        <w:t>Unione.</w:t>
      </w:r>
    </w:p>
    <w:p w14:paraId="6152661D" w14:textId="77777777" w:rsidR="00FE789E" w:rsidRPr="00BF0169" w:rsidRDefault="00FE789E" w:rsidP="00CD7B44">
      <w:pPr>
        <w:pStyle w:val="Heading3"/>
        <w:rPr>
          <w:noProof/>
          <w:lang w:val="it-IT"/>
        </w:rPr>
      </w:pPr>
      <w:bookmarkStart w:id="28" w:name="_Toc116319626"/>
      <w:r w:rsidRPr="00BF0169">
        <w:rPr>
          <w:noProof/>
          <w:lang w:val="it-IT"/>
        </w:rPr>
        <w:t>Corte dei conti europea (CCE)</w:t>
      </w:r>
      <w:bookmarkEnd w:id="28"/>
    </w:p>
    <w:p w14:paraId="312457E7" w14:textId="36793F6A" w:rsidR="00FE789E" w:rsidRPr="00BF0169" w:rsidRDefault="0043307E" w:rsidP="00FE789E">
      <w:pPr>
        <w:rPr>
          <w:noProof/>
          <w:lang w:val="it-IT"/>
        </w:rPr>
      </w:pPr>
      <w:r w:rsidRPr="00BF0169">
        <w:rPr>
          <w:noProof/>
          <w:lang w:val="it-IT"/>
        </w:rPr>
        <w:t xml:space="preserve">La </w:t>
      </w:r>
      <w:r w:rsidRPr="00BF0169">
        <w:rPr>
          <w:b/>
          <w:bCs/>
          <w:noProof/>
          <w:lang w:val="it-IT"/>
        </w:rPr>
        <w:t>Corte dei conti europea</w:t>
      </w:r>
      <w:r w:rsidRPr="00BF0169">
        <w:rPr>
          <w:noProof/>
          <w:lang w:val="it-IT"/>
        </w:rPr>
        <w:t xml:space="preserve"> (CCE) valuta l</w:t>
      </w:r>
      <w:r w:rsidR="00BF0169" w:rsidRPr="00BF0169">
        <w:rPr>
          <w:noProof/>
          <w:lang w:val="it-IT"/>
        </w:rPr>
        <w:t>'</w:t>
      </w:r>
      <w:r w:rsidRPr="00BF0169">
        <w:rPr>
          <w:noProof/>
          <w:lang w:val="it-IT"/>
        </w:rPr>
        <w:t>economia, l</w:t>
      </w:r>
      <w:r w:rsidR="00BF0169" w:rsidRPr="00BF0169">
        <w:rPr>
          <w:noProof/>
          <w:lang w:val="it-IT"/>
        </w:rPr>
        <w:t>'</w:t>
      </w:r>
      <w:r w:rsidRPr="00BF0169">
        <w:rPr>
          <w:noProof/>
          <w:lang w:val="it-IT"/>
        </w:rPr>
        <w:t>efficacia, l</w:t>
      </w:r>
      <w:r w:rsidR="00BF0169" w:rsidRPr="00BF0169">
        <w:rPr>
          <w:noProof/>
          <w:lang w:val="it-IT"/>
        </w:rPr>
        <w:t>'</w:t>
      </w:r>
      <w:r w:rsidRPr="00BF0169">
        <w:rPr>
          <w:noProof/>
          <w:lang w:val="it-IT"/>
        </w:rPr>
        <w:t>efficienza, la legittimità e la regolarità dell</w:t>
      </w:r>
      <w:r w:rsidR="00BF0169" w:rsidRPr="00BF0169">
        <w:rPr>
          <w:noProof/>
          <w:lang w:val="it-IT"/>
        </w:rPr>
        <w:t>'</w:t>
      </w:r>
      <w:r w:rsidRPr="00BF0169">
        <w:rPr>
          <w:noProof/>
          <w:lang w:val="it-IT"/>
        </w:rPr>
        <w:t>azione svolta dall</w:t>
      </w:r>
      <w:r w:rsidR="00BF0169" w:rsidRPr="00BF0169">
        <w:rPr>
          <w:noProof/>
          <w:lang w:val="it-IT"/>
        </w:rPr>
        <w:t>'</w:t>
      </w:r>
      <w:r w:rsidRPr="00BF0169">
        <w:rPr>
          <w:noProof/>
          <w:lang w:val="it-IT"/>
        </w:rPr>
        <w:t>UE per migliorare la rendicontabilità, la trasparenza e la gestione finanziaria.</w:t>
      </w:r>
    </w:p>
    <w:p w14:paraId="5A4D0BF0" w14:textId="6EC7D0E5" w:rsidR="0043307E" w:rsidRPr="00BF0169" w:rsidRDefault="0043307E" w:rsidP="00A10036">
      <w:pPr>
        <w:pStyle w:val="Caption"/>
        <w:keepNext/>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bookmarkStart w:id="29" w:name="_Toc105777771"/>
      <w:bookmarkStart w:id="30" w:name="_Toc110444014"/>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6</w:t>
      </w:r>
      <w:r w:rsidR="00742EC4" w:rsidRPr="00BF0169">
        <w:rPr>
          <w:noProof/>
          <w:lang w:val="it-IT"/>
        </w:rPr>
        <w:fldChar w:fldCharType="end"/>
      </w:r>
      <w:r w:rsidRPr="00BF0169">
        <w:rPr>
          <w:noProof/>
          <w:lang w:val="it-IT"/>
        </w:rPr>
        <w:t xml:space="preserve"> – La relazione annuale della Corte dei conti europea</w:t>
      </w:r>
      <w:bookmarkEnd w:id="29"/>
      <w:bookmarkEnd w:id="30"/>
    </w:p>
    <w:p w14:paraId="58CFD9EA" w14:textId="2496C2DA" w:rsidR="0043307E" w:rsidRPr="00BF0169" w:rsidRDefault="0043307E" w:rsidP="0043307E">
      <w:pPr>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r w:rsidRPr="00BF0169">
        <w:rPr>
          <w:noProof/>
          <w:lang w:val="it-IT"/>
        </w:rPr>
        <w:t>Ogni anno la Corte dei conti europea controlla le entrate e le spese del bilancio dell</w:t>
      </w:r>
      <w:r w:rsidR="00BF0169" w:rsidRPr="00BF0169">
        <w:rPr>
          <w:noProof/>
          <w:lang w:val="it-IT"/>
        </w:rPr>
        <w:t>'</w:t>
      </w:r>
      <w:r w:rsidRPr="00BF0169">
        <w:rPr>
          <w:noProof/>
          <w:lang w:val="it-IT"/>
        </w:rPr>
        <w:t>UE e formula un parere sull</w:t>
      </w:r>
      <w:r w:rsidR="00BF0169" w:rsidRPr="00BF0169">
        <w:rPr>
          <w:noProof/>
          <w:lang w:val="it-IT"/>
        </w:rPr>
        <w:t>'</w:t>
      </w:r>
      <w:r w:rsidRPr="00BF0169">
        <w:rPr>
          <w:noProof/>
          <w:lang w:val="it-IT"/>
        </w:rPr>
        <w:t>affidabilità dei conti annuali e sulla misura in cui le entrate e le spese rispettano la normativa in vigore. La relazione annuale per l</w:t>
      </w:r>
      <w:r w:rsidR="00BF0169" w:rsidRPr="00BF0169">
        <w:rPr>
          <w:noProof/>
          <w:lang w:val="it-IT"/>
        </w:rPr>
        <w:t>'</w:t>
      </w:r>
      <w:r w:rsidRPr="00BF0169">
        <w:rPr>
          <w:noProof/>
          <w:lang w:val="it-IT"/>
        </w:rPr>
        <w:t>esercizio finanziario 2020 è stata pubblicata il 26 ottobre 2021</w:t>
      </w:r>
      <w:r w:rsidRPr="00BF0169">
        <w:rPr>
          <w:rStyle w:val="FootnoteReference"/>
          <w:noProof/>
          <w:lang w:val="it-IT"/>
        </w:rPr>
        <w:footnoteReference w:id="27"/>
      </w:r>
      <w:r w:rsidRPr="00BF0169">
        <w:rPr>
          <w:noProof/>
          <w:lang w:val="it-IT"/>
        </w:rPr>
        <w:t xml:space="preserve">. </w:t>
      </w:r>
    </w:p>
    <w:p w14:paraId="38E7DD25" w14:textId="0B6A3BA1" w:rsidR="0043307E" w:rsidRPr="00BF0169" w:rsidRDefault="004C0757" w:rsidP="0043307E">
      <w:pPr>
        <w:pBdr>
          <w:top w:val="single" w:sz="4" w:space="1" w:color="auto"/>
          <w:left w:val="single" w:sz="4" w:space="1" w:color="auto"/>
          <w:bottom w:val="single" w:sz="4" w:space="1" w:color="auto"/>
          <w:right w:val="single" w:sz="4" w:space="1" w:color="auto"/>
        </w:pBdr>
        <w:shd w:val="clear" w:color="auto" w:fill="D9E2F3" w:themeFill="accent5" w:themeFillTint="33"/>
        <w:rPr>
          <w:noProof/>
          <w:lang w:val="it-IT"/>
        </w:rPr>
      </w:pPr>
      <w:r w:rsidRPr="00BF0169">
        <w:rPr>
          <w:noProof/>
          <w:lang w:val="it-IT"/>
        </w:rPr>
        <w:t>La Corte dei conti europea ha concluso che i conti non erano inficiati da inesattezze rilevanti. Per quanto riguarda la regolarità delle operazioni, la stessa ha concluso che le entrate erano esenti da errori rilevanti. In merito alle spese, dai risultati dell</w:t>
      </w:r>
      <w:r w:rsidR="00BF0169" w:rsidRPr="00BF0169">
        <w:rPr>
          <w:noProof/>
          <w:lang w:val="it-IT"/>
        </w:rPr>
        <w:t>'</w:t>
      </w:r>
      <w:r w:rsidRPr="00BF0169">
        <w:rPr>
          <w:noProof/>
          <w:lang w:val="it-IT"/>
        </w:rPr>
        <w:t>audit è emerso che il livello di errore stimato era rimasto invariato rispetto all</w:t>
      </w:r>
      <w:r w:rsidR="00BF0169" w:rsidRPr="00BF0169">
        <w:rPr>
          <w:noProof/>
          <w:lang w:val="it-IT"/>
        </w:rPr>
        <w:t>'</w:t>
      </w:r>
      <w:r w:rsidRPr="00BF0169">
        <w:rPr>
          <w:noProof/>
          <w:lang w:val="it-IT"/>
        </w:rPr>
        <w:t>anno precedente, pari a 2,7 %. Le spese ad alto rischio che constano principalmente di spese eseguite a titolo di rimborso sono state inficiate da un livello di errore rilevante. Nel 2021 sono stati segnalati all</w:t>
      </w:r>
      <w:r w:rsidR="00BF0169" w:rsidRPr="00BF0169">
        <w:rPr>
          <w:noProof/>
          <w:lang w:val="it-IT"/>
        </w:rPr>
        <w:t>'</w:t>
      </w:r>
      <w:r w:rsidRPr="00BF0169">
        <w:rPr>
          <w:noProof/>
          <w:lang w:val="it-IT"/>
        </w:rPr>
        <w:t>OLAF sei casi di sospetta frode.</w:t>
      </w:r>
    </w:p>
    <w:p w14:paraId="321BA6F0" w14:textId="77777777" w:rsidR="00FE789E" w:rsidRPr="00BF0169" w:rsidRDefault="00FE789E" w:rsidP="00CD7B44">
      <w:pPr>
        <w:pStyle w:val="Heading3"/>
        <w:rPr>
          <w:noProof/>
          <w:lang w:val="it-IT"/>
        </w:rPr>
      </w:pPr>
      <w:bookmarkStart w:id="31" w:name="_Toc116319627"/>
      <w:r w:rsidRPr="00BF0169">
        <w:rPr>
          <w:noProof/>
          <w:lang w:val="it-IT"/>
        </w:rPr>
        <w:t>Eurojust</w:t>
      </w:r>
      <w:bookmarkEnd w:id="31"/>
    </w:p>
    <w:p w14:paraId="69E01E80" w14:textId="7C6DCFBB" w:rsidR="00FE789E" w:rsidRPr="00BF0169" w:rsidRDefault="0043307E" w:rsidP="00FE789E">
      <w:pPr>
        <w:rPr>
          <w:noProof/>
          <w:lang w:val="it-IT"/>
        </w:rPr>
      </w:pPr>
      <w:r w:rsidRPr="00BF0169">
        <w:rPr>
          <w:b/>
          <w:noProof/>
          <w:lang w:val="it-IT"/>
        </w:rPr>
        <w:t>Eurojust</w:t>
      </w:r>
      <w:r w:rsidRPr="00BF0169">
        <w:rPr>
          <w:noProof/>
          <w:lang w:val="it-IT"/>
        </w:rPr>
        <w:t>, l</w:t>
      </w:r>
      <w:r w:rsidR="00BF0169" w:rsidRPr="00BF0169">
        <w:rPr>
          <w:noProof/>
          <w:lang w:val="it-IT"/>
        </w:rPr>
        <w:t>'</w:t>
      </w:r>
      <w:r w:rsidRPr="00BF0169">
        <w:rPr>
          <w:noProof/>
          <w:lang w:val="it-IT"/>
        </w:rPr>
        <w:t>Agenzia dell</w:t>
      </w:r>
      <w:r w:rsidR="00BF0169" w:rsidRPr="00BF0169">
        <w:rPr>
          <w:noProof/>
          <w:lang w:val="it-IT"/>
        </w:rPr>
        <w:t>'</w:t>
      </w:r>
      <w:r w:rsidRPr="00BF0169">
        <w:rPr>
          <w:noProof/>
          <w:lang w:val="it-IT"/>
        </w:rPr>
        <w:t>Unione europea per la cooperazione giudiziaria penale, coordina il lavoro svolto dalle autorità nazionali, degli Stati membri e di paesi terzi, per indagare e perseguire la criminalità transfrontaliera. Nell</w:t>
      </w:r>
      <w:r w:rsidR="00BF0169" w:rsidRPr="00BF0169">
        <w:rPr>
          <w:noProof/>
          <w:lang w:val="it-IT"/>
        </w:rPr>
        <w:t>'</w:t>
      </w:r>
      <w:r w:rsidRPr="00BF0169">
        <w:rPr>
          <w:noProof/>
          <w:lang w:val="it-IT"/>
        </w:rPr>
        <w:t>ambito della tutela degli interessi finanziari dell</w:t>
      </w:r>
      <w:r w:rsidR="00BF0169" w:rsidRPr="00BF0169">
        <w:rPr>
          <w:noProof/>
          <w:lang w:val="it-IT"/>
        </w:rPr>
        <w:t>'</w:t>
      </w:r>
      <w:r w:rsidRPr="00BF0169">
        <w:rPr>
          <w:noProof/>
          <w:lang w:val="it-IT"/>
        </w:rPr>
        <w:t>UE, tale agenzia svolge il proprio ruolo principalmente in relazione agli Stati membri che non partecipano all</w:t>
      </w:r>
      <w:r w:rsidR="00BF0169" w:rsidRPr="00BF0169">
        <w:rPr>
          <w:noProof/>
          <w:lang w:val="it-IT"/>
        </w:rPr>
        <w:t>'</w:t>
      </w:r>
      <w:r w:rsidRPr="00BF0169">
        <w:rPr>
          <w:noProof/>
          <w:lang w:val="it-IT"/>
        </w:rPr>
        <w:t>EPPO.</w:t>
      </w:r>
    </w:p>
    <w:p w14:paraId="55FF021E" w14:textId="45A29CFB" w:rsidR="0043307E" w:rsidRPr="00BF0169" w:rsidRDefault="00C87DB6" w:rsidP="00C87DB6">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32" w:name="_Toc105777772"/>
      <w:bookmarkStart w:id="33" w:name="_Toc110444015"/>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7</w:t>
      </w:r>
      <w:r w:rsidR="00742EC4" w:rsidRPr="00BF0169">
        <w:rPr>
          <w:noProof/>
          <w:lang w:val="it-IT"/>
        </w:rPr>
        <w:fldChar w:fldCharType="end"/>
      </w:r>
      <w:r w:rsidRPr="00BF0169">
        <w:rPr>
          <w:noProof/>
          <w:lang w:val="it-IT"/>
        </w:rPr>
        <w:t xml:space="preserve"> – Punti salienti dell</w:t>
      </w:r>
      <w:r w:rsidR="00BF0169" w:rsidRPr="00BF0169">
        <w:rPr>
          <w:noProof/>
          <w:lang w:val="it-IT"/>
        </w:rPr>
        <w:t>'</w:t>
      </w:r>
      <w:r w:rsidRPr="00BF0169">
        <w:rPr>
          <w:noProof/>
          <w:lang w:val="it-IT"/>
        </w:rPr>
        <w:t>attività di Eurojust nel 2021</w:t>
      </w:r>
      <w:bookmarkEnd w:id="32"/>
      <w:bookmarkEnd w:id="33"/>
    </w:p>
    <w:p w14:paraId="33012F23" w14:textId="6F939A81" w:rsidR="00C87DB6" w:rsidRPr="00BF0169" w:rsidRDefault="00EE2ED6"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Nel 2021 Eurojust ha proseguito le proprie attività operative in materia di lotta contro le frodi che incidono sul bilancio dell</w:t>
      </w:r>
      <w:r w:rsidR="00BF0169" w:rsidRPr="00BF0169">
        <w:rPr>
          <w:noProof/>
          <w:lang w:val="it-IT"/>
        </w:rPr>
        <w:t>'</w:t>
      </w:r>
      <w:r w:rsidRPr="00BF0169">
        <w:rPr>
          <w:noProof/>
          <w:lang w:val="it-IT"/>
        </w:rPr>
        <w:t>UE e altri reati che ledono gli interessi finanziari dell</w:t>
      </w:r>
      <w:r w:rsidR="00BF0169" w:rsidRPr="00BF0169">
        <w:rPr>
          <w:noProof/>
          <w:lang w:val="it-IT"/>
        </w:rPr>
        <w:t>'</w:t>
      </w:r>
      <w:r w:rsidRPr="00BF0169">
        <w:rPr>
          <w:noProof/>
          <w:lang w:val="it-IT"/>
        </w:rPr>
        <w:t>Unione, in collaborazione con l</w:t>
      </w:r>
      <w:r w:rsidR="00BF0169" w:rsidRPr="00BF0169">
        <w:rPr>
          <w:noProof/>
          <w:lang w:val="it-IT"/>
        </w:rPr>
        <w:t>'</w:t>
      </w:r>
      <w:r w:rsidRPr="00BF0169">
        <w:rPr>
          <w:noProof/>
          <w:lang w:val="it-IT"/>
        </w:rPr>
        <w:t>EPPO, l</w:t>
      </w:r>
      <w:r w:rsidR="00BF0169" w:rsidRPr="00BF0169">
        <w:rPr>
          <w:noProof/>
          <w:lang w:val="it-IT"/>
        </w:rPr>
        <w:t>'</w:t>
      </w:r>
      <w:r w:rsidRPr="00BF0169">
        <w:rPr>
          <w:noProof/>
          <w:lang w:val="it-IT"/>
        </w:rPr>
        <w:t>OLAF ed Europol. Nel quadro della cooperazione in materia di lotta contro la frode, Eurojust ha partecipato nell</w:t>
      </w:r>
      <w:r w:rsidR="00BF0169" w:rsidRPr="00BF0169">
        <w:rPr>
          <w:noProof/>
          <w:lang w:val="it-IT"/>
        </w:rPr>
        <w:t>'</w:t>
      </w:r>
      <w:r w:rsidRPr="00BF0169">
        <w:rPr>
          <w:noProof/>
          <w:lang w:val="it-IT"/>
        </w:rPr>
        <w:t>operazione SENTINEL, volta a proteggere i fondi legati all</w:t>
      </w:r>
      <w:r w:rsidR="00BF0169" w:rsidRPr="00BF0169">
        <w:rPr>
          <w:noProof/>
          <w:lang w:val="it-IT"/>
        </w:rPr>
        <w:t>'</w:t>
      </w:r>
      <w:r w:rsidRPr="00BF0169">
        <w:rPr>
          <w:noProof/>
          <w:lang w:val="it-IT"/>
        </w:rPr>
        <w:t>iniziativa NextGenerationEU contro le frodi, la corruzione e qualsiasi altra attività illecita lesiva degli interessi finanziari dell</w:t>
      </w:r>
      <w:r w:rsidR="00BF0169" w:rsidRPr="00BF0169">
        <w:rPr>
          <w:noProof/>
          <w:lang w:val="it-IT"/>
        </w:rPr>
        <w:t>'</w:t>
      </w:r>
      <w:r w:rsidRPr="00BF0169">
        <w:rPr>
          <w:noProof/>
          <w:lang w:val="it-IT"/>
        </w:rPr>
        <w:t xml:space="preserve">UE (cfr. </w:t>
      </w:r>
      <w:r w:rsidRPr="00BF0169">
        <w:rPr>
          <w:b/>
          <w:noProof/>
          <w:lang w:val="it-IT"/>
        </w:rPr>
        <w:t>istantanea 11</w:t>
      </w:r>
      <w:r w:rsidRPr="00BF0169">
        <w:rPr>
          <w:noProof/>
          <w:lang w:val="it-IT"/>
        </w:rPr>
        <w:t xml:space="preserve">). </w:t>
      </w:r>
    </w:p>
    <w:p w14:paraId="4F7A1D51" w14:textId="7180CE24" w:rsidR="00C87DB6" w:rsidRPr="00BF0169" w:rsidRDefault="00EE2ED6"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La cooperazione tra Eurojust e l</w:t>
      </w:r>
      <w:r w:rsidR="00BF0169" w:rsidRPr="00BF0169">
        <w:rPr>
          <w:noProof/>
          <w:lang w:val="it-IT"/>
        </w:rPr>
        <w:t>'</w:t>
      </w:r>
      <w:r w:rsidRPr="00BF0169">
        <w:rPr>
          <w:noProof/>
          <w:lang w:val="it-IT"/>
        </w:rPr>
        <w:t>EPPO è iniziata nel 2021. Dopo la firma dell</w:t>
      </w:r>
      <w:r w:rsidR="00BF0169" w:rsidRPr="00BF0169">
        <w:rPr>
          <w:noProof/>
          <w:lang w:val="it-IT"/>
        </w:rPr>
        <w:t>'</w:t>
      </w:r>
      <w:r w:rsidRPr="00BF0169">
        <w:rPr>
          <w:noProof/>
          <w:lang w:val="it-IT"/>
        </w:rPr>
        <w:t>accordo di lavoro nel febbraio del 2021, Eurojust ha iniziato a collaborare alle indagini con l</w:t>
      </w:r>
      <w:r w:rsidR="00BF0169" w:rsidRPr="00BF0169">
        <w:rPr>
          <w:noProof/>
          <w:lang w:val="it-IT"/>
        </w:rPr>
        <w:t>'</w:t>
      </w:r>
      <w:r w:rsidRPr="00BF0169">
        <w:rPr>
          <w:noProof/>
          <w:lang w:val="it-IT"/>
        </w:rPr>
        <w:t>EPPO subito dopo che quest</w:t>
      </w:r>
      <w:r w:rsidR="00BF0169" w:rsidRPr="00BF0169">
        <w:rPr>
          <w:noProof/>
          <w:lang w:val="it-IT"/>
        </w:rPr>
        <w:t>'</w:t>
      </w:r>
      <w:r w:rsidRPr="00BF0169">
        <w:rPr>
          <w:noProof/>
          <w:lang w:val="it-IT"/>
        </w:rPr>
        <w:t>ultima è diventata operativa il 1° giugno 2021.</w:t>
      </w:r>
    </w:p>
    <w:p w14:paraId="1AC390D5" w14:textId="3AE88B86" w:rsidR="00C87DB6" w:rsidRPr="00BF0169" w:rsidRDefault="00EE2ED6"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L</w:t>
      </w:r>
      <w:r w:rsidR="00BF0169" w:rsidRPr="00BF0169">
        <w:rPr>
          <w:noProof/>
          <w:lang w:val="it-IT"/>
        </w:rPr>
        <w:t>'</w:t>
      </w:r>
      <w:r w:rsidRPr="00BF0169">
        <w:rPr>
          <w:noProof/>
          <w:lang w:val="it-IT"/>
        </w:rPr>
        <w:t>OLAF è rimasto un partner operativo importante di Eurojust nel 2021, partecipando a diverse riunioni di coordinamento su casi che incidono sul bilancio dell</w:t>
      </w:r>
      <w:r w:rsidR="00BF0169" w:rsidRPr="00BF0169">
        <w:rPr>
          <w:noProof/>
          <w:lang w:val="it-IT"/>
        </w:rPr>
        <w:t>'</w:t>
      </w:r>
      <w:r w:rsidRPr="00BF0169">
        <w:rPr>
          <w:noProof/>
          <w:lang w:val="it-IT"/>
        </w:rPr>
        <w:t>UE. I due organismi hanno altresì stabilito un nuovo flusso di lavoro per intensificare la cooperazione e hanno continuato a lavorare alla valutazione delle squadre investigative comuni (SIC) a cui ha partecipato l</w:t>
      </w:r>
      <w:r w:rsidR="00BF0169" w:rsidRPr="00BF0169">
        <w:rPr>
          <w:noProof/>
          <w:lang w:val="it-IT"/>
        </w:rPr>
        <w:t>'</w:t>
      </w:r>
      <w:r w:rsidRPr="00BF0169">
        <w:rPr>
          <w:noProof/>
          <w:lang w:val="it-IT"/>
        </w:rPr>
        <w:t>OLAF. Come negli anni precedenti, Eurojust e OLAF hanno continuato a condividere le proprie competenze in materia di lotta contro la frode. A seguito del seminario organizzato da Eurojust per gli investigatori dell</w:t>
      </w:r>
      <w:r w:rsidR="00BF0169" w:rsidRPr="00BF0169">
        <w:rPr>
          <w:noProof/>
          <w:lang w:val="it-IT"/>
        </w:rPr>
        <w:t>'</w:t>
      </w:r>
      <w:r w:rsidRPr="00BF0169">
        <w:rPr>
          <w:noProof/>
          <w:lang w:val="it-IT"/>
        </w:rPr>
        <w:t>OLAF nel 2020, nel 2021 esperti di Eurojust hanno partecipato a presentazioni dell</w:t>
      </w:r>
      <w:r w:rsidR="00BF0169" w:rsidRPr="00BF0169">
        <w:rPr>
          <w:noProof/>
          <w:lang w:val="it-IT"/>
        </w:rPr>
        <w:t>'</w:t>
      </w:r>
      <w:r w:rsidRPr="00BF0169">
        <w:rPr>
          <w:noProof/>
          <w:lang w:val="it-IT"/>
        </w:rPr>
        <w:t>OLAF su studi di casi, su metodi di analisi dei dati nonché sul quadro giuridico riveduto applicabile alle indagini dell</w:t>
      </w:r>
      <w:r w:rsidR="00BF0169" w:rsidRPr="00BF0169">
        <w:rPr>
          <w:noProof/>
          <w:lang w:val="it-IT"/>
        </w:rPr>
        <w:t>'</w:t>
      </w:r>
      <w:r w:rsidRPr="00BF0169">
        <w:rPr>
          <w:noProof/>
          <w:lang w:val="it-IT"/>
        </w:rPr>
        <w:t>OLAF.</w:t>
      </w:r>
    </w:p>
    <w:p w14:paraId="5B97FE23" w14:textId="77777777" w:rsidR="00FE789E" w:rsidRPr="00BF0169" w:rsidRDefault="00FE789E" w:rsidP="00CD7B44">
      <w:pPr>
        <w:pStyle w:val="Heading3"/>
        <w:rPr>
          <w:noProof/>
          <w:lang w:val="it-IT"/>
        </w:rPr>
      </w:pPr>
      <w:bookmarkStart w:id="34" w:name="_Toc116319628"/>
      <w:r w:rsidRPr="00BF0169">
        <w:rPr>
          <w:noProof/>
          <w:lang w:val="it-IT"/>
        </w:rPr>
        <w:t>Europol</w:t>
      </w:r>
      <w:bookmarkEnd w:id="34"/>
    </w:p>
    <w:p w14:paraId="70FD7ED8" w14:textId="578C1204" w:rsidR="00C87DB6" w:rsidRPr="00BF0169" w:rsidRDefault="00C87DB6" w:rsidP="00C87DB6">
      <w:pPr>
        <w:rPr>
          <w:noProof/>
          <w:lang w:val="it-IT"/>
        </w:rPr>
      </w:pPr>
      <w:r w:rsidRPr="00BF0169">
        <w:rPr>
          <w:b/>
          <w:bCs/>
          <w:noProof/>
          <w:lang w:val="it-IT"/>
        </w:rPr>
        <w:t>Europol</w:t>
      </w:r>
      <w:r w:rsidRPr="00BF0169">
        <w:rPr>
          <w:noProof/>
          <w:lang w:val="it-IT"/>
        </w:rPr>
        <w:t>, l</w:t>
      </w:r>
      <w:r w:rsidR="00BF0169" w:rsidRPr="00BF0169">
        <w:rPr>
          <w:noProof/>
          <w:lang w:val="it-IT"/>
        </w:rPr>
        <w:t>'</w:t>
      </w:r>
      <w:r w:rsidRPr="00BF0169">
        <w:rPr>
          <w:noProof/>
          <w:lang w:val="it-IT"/>
        </w:rPr>
        <w:t>Agenzia dell</w:t>
      </w:r>
      <w:r w:rsidR="00BF0169" w:rsidRPr="00BF0169">
        <w:rPr>
          <w:noProof/>
          <w:lang w:val="it-IT"/>
        </w:rPr>
        <w:t>'</w:t>
      </w:r>
      <w:r w:rsidRPr="00BF0169">
        <w:rPr>
          <w:noProof/>
          <w:lang w:val="it-IT"/>
        </w:rPr>
        <w:t>Unione europea per la cooperazione nell</w:t>
      </w:r>
      <w:r w:rsidR="00BF0169" w:rsidRPr="00BF0169">
        <w:rPr>
          <w:noProof/>
          <w:lang w:val="it-IT"/>
        </w:rPr>
        <w:t>'</w:t>
      </w:r>
      <w:r w:rsidRPr="00BF0169">
        <w:rPr>
          <w:noProof/>
          <w:lang w:val="it-IT"/>
        </w:rPr>
        <w:t>attività di contrasto funge da centro di sostegno alle operazioni di contrasto, da punto nodale di informazione sulle attività criminali e da centro di competenze in materia di attività di contrasto.</w:t>
      </w:r>
    </w:p>
    <w:p w14:paraId="47F82785" w14:textId="284A8957" w:rsidR="00C87DB6" w:rsidRPr="00BF0169" w:rsidRDefault="00C87DB6" w:rsidP="00C87DB6">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35" w:name="_Toc105777773"/>
      <w:bookmarkStart w:id="36" w:name="_Toc110444016"/>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8</w:t>
      </w:r>
      <w:r w:rsidR="00742EC4" w:rsidRPr="00BF0169">
        <w:rPr>
          <w:noProof/>
          <w:lang w:val="it-IT"/>
        </w:rPr>
        <w:fldChar w:fldCharType="end"/>
      </w:r>
      <w:r w:rsidRPr="00BF0169">
        <w:rPr>
          <w:noProof/>
          <w:lang w:val="it-IT"/>
        </w:rPr>
        <w:t xml:space="preserve"> – Europol nel </w:t>
      </w:r>
      <w:bookmarkEnd w:id="35"/>
      <w:r w:rsidRPr="00BF0169">
        <w:rPr>
          <w:noProof/>
          <w:lang w:val="it-IT"/>
        </w:rPr>
        <w:t>2021</w:t>
      </w:r>
      <w:bookmarkEnd w:id="36"/>
    </w:p>
    <w:p w14:paraId="1610E752" w14:textId="05F16E26" w:rsidR="00C87DB6" w:rsidRPr="00BF0169" w:rsidRDefault="00C87DB6"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Nel settembre del 2021, il Centro europeo per la lotta alla criminalità finanziaria ed economica (EFECC) di Europol, in collaborazione con le autorità italiane, ha tenuto una riunione ad alto livello in materia di contrasto a Roma e ha concordato il seguente principio: qualsiasi minaccia al dispositivo per la ripresa e la resilienza incide sul benessere finanziario dell</w:t>
      </w:r>
      <w:r w:rsidR="00BF0169" w:rsidRPr="00BF0169">
        <w:rPr>
          <w:noProof/>
          <w:lang w:val="it-IT"/>
        </w:rPr>
        <w:t>'</w:t>
      </w:r>
      <w:r w:rsidRPr="00BF0169">
        <w:rPr>
          <w:noProof/>
          <w:lang w:val="it-IT"/>
        </w:rPr>
        <w:t>UE.</w:t>
      </w:r>
    </w:p>
    <w:p w14:paraId="2186EBA4" w14:textId="2835F78F" w:rsidR="00C87DB6" w:rsidRPr="00BF0169" w:rsidRDefault="00CA7457"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Sempre nel settembre del 2021, Europol, OLAF, EPPO, Eurojust e 21 Stati membri hanno unito le forze nel quadro dell</w:t>
      </w:r>
      <w:r w:rsidR="00BF0169" w:rsidRPr="00BF0169">
        <w:rPr>
          <w:noProof/>
          <w:lang w:val="it-IT"/>
        </w:rPr>
        <w:t>'</w:t>
      </w:r>
      <w:r w:rsidRPr="00BF0169">
        <w:rPr>
          <w:noProof/>
          <w:lang w:val="it-IT"/>
        </w:rPr>
        <w:t xml:space="preserve">operazione SENTINEL (cfr. </w:t>
      </w:r>
      <w:r w:rsidRPr="00BF0169">
        <w:rPr>
          <w:b/>
          <w:noProof/>
          <w:lang w:val="it-IT"/>
        </w:rPr>
        <w:t>istantanea 11</w:t>
      </w:r>
      <w:r w:rsidRPr="00BF0169">
        <w:rPr>
          <w:noProof/>
          <w:lang w:val="it-IT"/>
        </w:rPr>
        <w:t>).</w:t>
      </w:r>
    </w:p>
    <w:p w14:paraId="500AA48E" w14:textId="4E711363" w:rsidR="00FE789E" w:rsidRPr="00BF0169" w:rsidRDefault="00FE789E" w:rsidP="00FE789E">
      <w:pPr>
        <w:pStyle w:val="Heading2"/>
        <w:rPr>
          <w:noProof/>
          <w:lang w:val="it-IT"/>
        </w:rPr>
      </w:pPr>
      <w:bookmarkStart w:id="37" w:name="_Toc116319629"/>
      <w:r w:rsidRPr="00BF0169">
        <w:rPr>
          <w:noProof/>
          <w:lang w:val="it-IT"/>
        </w:rPr>
        <w:t>A livello dei singoli Stati membri</w:t>
      </w:r>
      <w:bookmarkEnd w:id="37"/>
    </w:p>
    <w:p w14:paraId="4357BB58" w14:textId="77777777" w:rsidR="008324C8" w:rsidRPr="00BF0169" w:rsidRDefault="00A27EF6" w:rsidP="00CD7B44">
      <w:pPr>
        <w:pStyle w:val="Heading3"/>
        <w:rPr>
          <w:noProof/>
          <w:lang w:val="it-IT"/>
        </w:rPr>
      </w:pPr>
      <w:bookmarkStart w:id="38" w:name="_Toc116319630"/>
      <w:r w:rsidRPr="00BF0169">
        <w:rPr>
          <w:noProof/>
          <w:lang w:val="it-IT"/>
        </w:rPr>
        <w:t>Servizi di coordinamento antifrode (AFCOS)</w:t>
      </w:r>
      <w:bookmarkEnd w:id="38"/>
    </w:p>
    <w:p w14:paraId="17BAFE0E" w14:textId="162D47B9" w:rsidR="00A27EF6" w:rsidRPr="00BF0169" w:rsidRDefault="00A27EF6" w:rsidP="00A27EF6">
      <w:pPr>
        <w:rPr>
          <w:noProof/>
          <w:lang w:val="it-IT"/>
        </w:rPr>
      </w:pPr>
      <w:r w:rsidRPr="00BF0169">
        <w:rPr>
          <w:noProof/>
          <w:lang w:val="it-IT"/>
        </w:rPr>
        <w:t>Dal 2013</w:t>
      </w:r>
      <w:r w:rsidRPr="00BF0169">
        <w:rPr>
          <w:rStyle w:val="FootnoteReference"/>
          <w:noProof/>
          <w:lang w:val="it-IT"/>
        </w:rPr>
        <w:footnoteReference w:id="28"/>
      </w:r>
      <w:r w:rsidRPr="00BF0169">
        <w:rPr>
          <w:noProof/>
          <w:lang w:val="it-IT"/>
        </w:rPr>
        <w:t xml:space="preserve"> gli Stati membri sono tenuti a designare un </w:t>
      </w:r>
      <w:r w:rsidRPr="00BF0169">
        <w:rPr>
          <w:b/>
          <w:noProof/>
          <w:lang w:val="it-IT"/>
        </w:rPr>
        <w:t>servizio di coordinamento antifrode</w:t>
      </w:r>
      <w:r w:rsidRPr="00BF0169">
        <w:rPr>
          <w:noProof/>
          <w:lang w:val="it-IT"/>
        </w:rPr>
        <w:t xml:space="preserve"> (AFCOS) per agevolare una cooperazione e uno scambio di informazioni efficaci con l</w:t>
      </w:r>
      <w:r w:rsidR="00BF0169" w:rsidRPr="00BF0169">
        <w:rPr>
          <w:noProof/>
          <w:lang w:val="it-IT"/>
        </w:rPr>
        <w:t>'</w:t>
      </w:r>
      <w:r w:rsidRPr="00BF0169">
        <w:rPr>
          <w:noProof/>
          <w:lang w:val="it-IT"/>
        </w:rPr>
        <w:t>OLAF, ivi incluse informazioni di carattere operativo. Gli Stati membri sono liberi di decidere dove collocare al meglio l</w:t>
      </w:r>
      <w:r w:rsidR="00BF0169" w:rsidRPr="00BF0169">
        <w:rPr>
          <w:noProof/>
          <w:lang w:val="it-IT"/>
        </w:rPr>
        <w:t>'</w:t>
      </w:r>
      <w:r w:rsidRPr="00BF0169">
        <w:rPr>
          <w:noProof/>
          <w:lang w:val="it-IT"/>
        </w:rPr>
        <w:t>AFCOS nella propria struttura amministrativa nazionale e quali poteri attribuire a tale servizio.</w:t>
      </w:r>
    </w:p>
    <w:p w14:paraId="7BB125D1" w14:textId="4C86712E" w:rsidR="00A27EF6" w:rsidRPr="00BF0169" w:rsidRDefault="00A27EF6" w:rsidP="00A27EF6">
      <w:pPr>
        <w:rPr>
          <w:noProof/>
          <w:lang w:val="it-IT"/>
        </w:rPr>
      </w:pPr>
      <w:r w:rsidRPr="00BF0169">
        <w:rPr>
          <w:noProof/>
          <w:lang w:val="it-IT"/>
        </w:rPr>
        <w:t>Il mandato dell</w:t>
      </w:r>
      <w:r w:rsidR="00BF0169" w:rsidRPr="00BF0169">
        <w:rPr>
          <w:noProof/>
          <w:lang w:val="it-IT"/>
        </w:rPr>
        <w:t>'</w:t>
      </w:r>
      <w:r w:rsidRPr="00BF0169">
        <w:rPr>
          <w:noProof/>
          <w:lang w:val="it-IT"/>
        </w:rPr>
        <w:t>AFCOS può variare in funzione delle circostanze specifiche del paese. In tutti i casi, tuttavia, il suo mandato dovrebbe comprendere la garanzia della cooperazione con l</w:t>
      </w:r>
      <w:r w:rsidR="00BF0169" w:rsidRPr="00BF0169">
        <w:rPr>
          <w:noProof/>
          <w:lang w:val="it-IT"/>
        </w:rPr>
        <w:t>'</w:t>
      </w:r>
      <w:r w:rsidRPr="00BF0169">
        <w:rPr>
          <w:noProof/>
          <w:lang w:val="it-IT"/>
        </w:rPr>
        <w:t>OLAF e il coordinamento, nello Stato membro interessato, delle attività e degli obblighi legislativi, amministrativi e investigativi relativi alla tutela degli interessi finanziari dell</w:t>
      </w:r>
      <w:r w:rsidR="00BF0169" w:rsidRPr="00BF0169">
        <w:rPr>
          <w:noProof/>
          <w:lang w:val="it-IT"/>
        </w:rPr>
        <w:t>'</w:t>
      </w:r>
      <w:r w:rsidRPr="00BF0169">
        <w:rPr>
          <w:noProof/>
          <w:lang w:val="it-IT"/>
        </w:rPr>
        <w:t>UE.</w:t>
      </w:r>
    </w:p>
    <w:p w14:paraId="5604AEBF" w14:textId="3D5B5538" w:rsidR="00AB46D0" w:rsidRPr="00BF0169" w:rsidRDefault="00AB46D0" w:rsidP="00AB46D0">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39" w:name="_Toc105777774"/>
      <w:bookmarkStart w:id="40" w:name="_Toc110444017"/>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9</w:t>
      </w:r>
      <w:r w:rsidR="00742EC4" w:rsidRPr="00BF0169">
        <w:rPr>
          <w:noProof/>
          <w:lang w:val="it-IT"/>
        </w:rPr>
        <w:fldChar w:fldCharType="end"/>
      </w:r>
      <w:r w:rsidRPr="00BF0169">
        <w:rPr>
          <w:noProof/>
          <w:lang w:val="it-IT"/>
        </w:rPr>
        <w:t xml:space="preserve"> – Misure adottate dagli Stati membri nel 2021</w:t>
      </w:r>
      <w:r w:rsidRPr="00BF0169">
        <w:rPr>
          <w:rStyle w:val="FootnoteReference"/>
          <w:noProof/>
          <w:lang w:val="it-IT"/>
        </w:rPr>
        <w:footnoteReference w:id="29"/>
      </w:r>
      <w:bookmarkEnd w:id="39"/>
      <w:bookmarkEnd w:id="40"/>
    </w:p>
    <w:p w14:paraId="0CB0BDEA" w14:textId="1BBA2155" w:rsidR="00AB46D0" w:rsidRPr="00BF0169" w:rsidRDefault="00AB46D0" w:rsidP="00AB46D0">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Lussemburgo e Lettonia hanno rafforzato i propri AFCOS. In </w:t>
      </w:r>
      <w:r w:rsidRPr="00BF0169">
        <w:rPr>
          <w:b/>
          <w:noProof/>
          <w:lang w:val="it-IT"/>
        </w:rPr>
        <w:t>Lussemburgo</w:t>
      </w:r>
      <w:r w:rsidRPr="00BF0169">
        <w:rPr>
          <w:noProof/>
          <w:lang w:val="it-IT"/>
        </w:rPr>
        <w:t>, il gruppo AFCOS è stato rafforzato per garantire un coordinamento adeguato nella lotta contro le frodi e la tutela degli interessi finanziari dell</w:t>
      </w:r>
      <w:r w:rsidR="00BF0169" w:rsidRPr="00BF0169">
        <w:rPr>
          <w:noProof/>
          <w:lang w:val="it-IT"/>
        </w:rPr>
        <w:t>'</w:t>
      </w:r>
      <w:r w:rsidRPr="00BF0169">
        <w:rPr>
          <w:noProof/>
          <w:lang w:val="it-IT"/>
        </w:rPr>
        <w:t xml:space="preserve">UE. La </w:t>
      </w:r>
      <w:r w:rsidRPr="00BF0169">
        <w:rPr>
          <w:b/>
          <w:noProof/>
          <w:lang w:val="it-IT"/>
        </w:rPr>
        <w:t>Lettonia</w:t>
      </w:r>
      <w:r w:rsidRPr="00BF0169">
        <w:rPr>
          <w:noProof/>
          <w:lang w:val="it-IT"/>
        </w:rPr>
        <w:t xml:space="preserve"> ha segnalato l</w:t>
      </w:r>
      <w:r w:rsidR="00BF0169" w:rsidRPr="00BF0169">
        <w:rPr>
          <w:noProof/>
          <w:lang w:val="it-IT"/>
        </w:rPr>
        <w:t>'</w:t>
      </w:r>
      <w:r w:rsidRPr="00BF0169">
        <w:rPr>
          <w:noProof/>
          <w:lang w:val="it-IT"/>
        </w:rPr>
        <w:t>adozione di una nuova legge e di un relativo manuale di procedura con l</w:t>
      </w:r>
      <w:r w:rsidR="00BF0169" w:rsidRPr="00BF0169">
        <w:rPr>
          <w:noProof/>
          <w:lang w:val="it-IT"/>
        </w:rPr>
        <w:t>'</w:t>
      </w:r>
      <w:r w:rsidRPr="00BF0169">
        <w:rPr>
          <w:noProof/>
          <w:lang w:val="it-IT"/>
        </w:rPr>
        <w:t xml:space="preserve">obiettivo di garantire che il suo AFCOS disponga di diritti giuridici: </w:t>
      </w:r>
      <w:r w:rsidRPr="00BF0169">
        <w:rPr>
          <w:i/>
          <w:noProof/>
          <w:lang w:val="it-IT"/>
        </w:rPr>
        <w:t>a)</w:t>
      </w:r>
      <w:r w:rsidRPr="00BF0169">
        <w:rPr>
          <w:noProof/>
          <w:lang w:val="it-IT"/>
        </w:rPr>
        <w:t xml:space="preserve"> per partecipare e fornire assistenza ai controlli in loco dell</w:t>
      </w:r>
      <w:r w:rsidR="00BF0169" w:rsidRPr="00BF0169">
        <w:rPr>
          <w:noProof/>
          <w:lang w:val="it-IT"/>
        </w:rPr>
        <w:t>'</w:t>
      </w:r>
      <w:r w:rsidRPr="00BF0169">
        <w:rPr>
          <w:noProof/>
          <w:lang w:val="it-IT"/>
        </w:rPr>
        <w:t xml:space="preserve">OLAF, </w:t>
      </w:r>
      <w:r w:rsidRPr="00BF0169">
        <w:rPr>
          <w:i/>
          <w:noProof/>
          <w:lang w:val="it-IT"/>
        </w:rPr>
        <w:t xml:space="preserve">b) </w:t>
      </w:r>
      <w:r w:rsidRPr="00BF0169">
        <w:rPr>
          <w:noProof/>
          <w:lang w:val="it-IT"/>
        </w:rPr>
        <w:t xml:space="preserve">per richiedere informazioni o documenti a privati e </w:t>
      </w:r>
      <w:r w:rsidRPr="00BF0169">
        <w:rPr>
          <w:i/>
          <w:noProof/>
          <w:lang w:val="it-IT"/>
        </w:rPr>
        <w:t>c)</w:t>
      </w:r>
      <w:r w:rsidRPr="00BF0169">
        <w:rPr>
          <w:noProof/>
          <w:lang w:val="it-IT"/>
        </w:rPr>
        <w:t xml:space="preserve"> per ricevere informazioni su conti bancari nel quadro di indagini amministrative.</w:t>
      </w:r>
    </w:p>
    <w:p w14:paraId="73727C64" w14:textId="390DF8C0" w:rsidR="00AB46D0" w:rsidRPr="00BF0169" w:rsidRDefault="00AB46D0" w:rsidP="00AB46D0">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b/>
          <w:noProof/>
          <w:lang w:val="it-IT"/>
        </w:rPr>
        <w:t>Grecia</w:t>
      </w:r>
      <w:r w:rsidRPr="00BF0169">
        <w:rPr>
          <w:noProof/>
          <w:lang w:val="it-IT"/>
        </w:rPr>
        <w:t xml:space="preserve">, </w:t>
      </w:r>
      <w:r w:rsidRPr="00BF0169">
        <w:rPr>
          <w:b/>
          <w:noProof/>
          <w:lang w:val="it-IT"/>
        </w:rPr>
        <w:t>Spagna</w:t>
      </w:r>
      <w:r w:rsidRPr="00BF0169">
        <w:rPr>
          <w:noProof/>
          <w:lang w:val="it-IT"/>
        </w:rPr>
        <w:t xml:space="preserve"> e </w:t>
      </w:r>
      <w:r w:rsidRPr="00BF0169">
        <w:rPr>
          <w:b/>
          <w:noProof/>
          <w:lang w:val="it-IT"/>
        </w:rPr>
        <w:t>Svezia</w:t>
      </w:r>
      <w:r w:rsidRPr="00BF0169">
        <w:rPr>
          <w:noProof/>
          <w:lang w:val="it-IT"/>
        </w:rPr>
        <w:t xml:space="preserve"> hanno segnalato le misure adottate dai rispettivi AFCOS al fine di aiutare le autorità di gestione a segnalare meglio possibili frodi alle agenzie di contrasto.</w:t>
      </w:r>
    </w:p>
    <w:p w14:paraId="0A1B05FD" w14:textId="77777777" w:rsidR="00FE789E" w:rsidRPr="00BF0169" w:rsidRDefault="00FE789E" w:rsidP="00CD7B44">
      <w:pPr>
        <w:pStyle w:val="Heading3"/>
        <w:rPr>
          <w:noProof/>
          <w:lang w:val="it-IT"/>
        </w:rPr>
      </w:pPr>
      <w:bookmarkStart w:id="41" w:name="_Toc116319631"/>
      <w:r w:rsidRPr="00BF0169">
        <w:rPr>
          <w:noProof/>
          <w:lang w:val="it-IT"/>
        </w:rPr>
        <w:t>Strategie nazionali antifrode (NAFS)</w:t>
      </w:r>
      <w:bookmarkEnd w:id="41"/>
    </w:p>
    <w:p w14:paraId="49C15F8D" w14:textId="09F47CAA" w:rsidR="00B6593B" w:rsidRPr="00BF0169" w:rsidRDefault="00B844C4" w:rsidP="00B6593B">
      <w:pPr>
        <w:pStyle w:val="NormalWeb"/>
        <w:spacing w:before="0" w:beforeAutospacing="0" w:after="240" w:afterAutospacing="0"/>
        <w:jc w:val="both"/>
        <w:rPr>
          <w:noProof/>
          <w:sz w:val="22"/>
          <w:lang w:val="it-IT"/>
        </w:rPr>
      </w:pPr>
      <w:r w:rsidRPr="00BF0169">
        <w:rPr>
          <w:noProof/>
          <w:sz w:val="22"/>
          <w:lang w:val="it-IT"/>
        </w:rPr>
        <w:t xml:space="preserve">Il continuo incoraggiamento fornito dalla Commissione agli Stati membri affinché adottino </w:t>
      </w:r>
      <w:r w:rsidRPr="00BF0169">
        <w:rPr>
          <w:b/>
          <w:noProof/>
          <w:sz w:val="22"/>
          <w:lang w:val="it-IT"/>
        </w:rPr>
        <w:t xml:space="preserve">strategie nazionali antifrode </w:t>
      </w:r>
      <w:r w:rsidRPr="00BF0169">
        <w:rPr>
          <w:noProof/>
          <w:sz w:val="22"/>
          <w:lang w:val="it-IT"/>
        </w:rPr>
        <w:t>(NAFS) ha determinato un aumento costante del numero di strategie NAFS adottate. Alla fine del 2021, 17</w:t>
      </w:r>
      <w:r w:rsidRPr="00BF0169">
        <w:rPr>
          <w:rStyle w:val="FootnoteReference"/>
          <w:noProof/>
          <w:sz w:val="22"/>
          <w:lang w:val="it-IT"/>
        </w:rPr>
        <w:footnoteReference w:id="30"/>
      </w:r>
      <w:r w:rsidRPr="00BF0169">
        <w:rPr>
          <w:noProof/>
          <w:sz w:val="22"/>
          <w:lang w:val="it-IT"/>
        </w:rPr>
        <w:t xml:space="preserve"> Stati membri avevano adottato o aggiornato una strategia nazionale antifrode e degli 11</w:t>
      </w:r>
      <w:r w:rsidRPr="00BF0169">
        <w:rPr>
          <w:rStyle w:val="FootnoteReference"/>
          <w:noProof/>
          <w:sz w:val="22"/>
          <w:lang w:val="it-IT"/>
        </w:rPr>
        <w:footnoteReference w:id="31"/>
      </w:r>
      <w:r w:rsidRPr="00BF0169">
        <w:rPr>
          <w:noProof/>
          <w:sz w:val="22"/>
          <w:lang w:val="it-IT"/>
        </w:rPr>
        <w:t xml:space="preserve"> che non ne avevano ancora adottata una, 4</w:t>
      </w:r>
      <w:r w:rsidRPr="00BF0169">
        <w:rPr>
          <w:rStyle w:val="FootnoteReference"/>
          <w:noProof/>
          <w:sz w:val="22"/>
          <w:lang w:val="it-IT"/>
        </w:rPr>
        <w:footnoteReference w:id="32"/>
      </w:r>
      <w:r w:rsidRPr="00BF0169">
        <w:rPr>
          <w:noProof/>
          <w:sz w:val="22"/>
          <w:lang w:val="it-IT"/>
        </w:rPr>
        <w:t xml:space="preserve"> hanno comunicato di essere in procinto di redigerne una oppure hanno segnalato l</w:t>
      </w:r>
      <w:r w:rsidR="00BF0169" w:rsidRPr="00BF0169">
        <w:rPr>
          <w:noProof/>
          <w:sz w:val="22"/>
          <w:lang w:val="it-IT"/>
        </w:rPr>
        <w:t>'</w:t>
      </w:r>
      <w:r w:rsidRPr="00BF0169">
        <w:rPr>
          <w:noProof/>
          <w:sz w:val="22"/>
          <w:lang w:val="it-IT"/>
        </w:rPr>
        <w:t xml:space="preserve">imminente adozione di una siffatta strategia. </w:t>
      </w:r>
    </w:p>
    <w:p w14:paraId="3E5A8972" w14:textId="77777777" w:rsidR="00B6593B" w:rsidRPr="00BF0169" w:rsidRDefault="00B6593B">
      <w:pPr>
        <w:spacing w:after="0" w:line="240" w:lineRule="auto"/>
        <w:jc w:val="left"/>
        <w:rPr>
          <w:noProof/>
          <w:lang w:val="it-IT"/>
        </w:rPr>
      </w:pPr>
      <w:r w:rsidRPr="00BF0169">
        <w:rPr>
          <w:noProof/>
          <w:lang w:val="it-IT"/>
        </w:rPr>
        <w:br w:type="page"/>
      </w:r>
    </w:p>
    <w:p w14:paraId="65711547" w14:textId="77777777" w:rsidR="00B844C4" w:rsidRPr="00BF0169" w:rsidRDefault="00B844C4" w:rsidP="00B6593B">
      <w:pPr>
        <w:pStyle w:val="NormalWeb"/>
        <w:spacing w:before="0" w:beforeAutospacing="0" w:after="240" w:afterAutospacing="0"/>
        <w:jc w:val="both"/>
        <w:rPr>
          <w:noProof/>
          <w:sz w:val="22"/>
          <w:lang w:val="it-IT"/>
        </w:rPr>
      </w:pPr>
    </w:p>
    <w:p w14:paraId="1A7B773F" w14:textId="7609D124" w:rsidR="002654B3" w:rsidRPr="00BF0169" w:rsidRDefault="00242925" w:rsidP="00B6593B">
      <w:pPr>
        <w:pStyle w:val="Caption"/>
        <w:rPr>
          <w:noProof/>
          <w:lang w:val="it-IT"/>
        </w:rPr>
      </w:pPr>
      <w:r w:rsidRPr="00BF0169">
        <w:rPr>
          <w:noProof/>
          <w:lang w:val="it-IT"/>
        </w:rPr>
        <w:t xml:space="preserve">Figura </w:t>
      </w:r>
      <w:r w:rsidR="00742EC4" w:rsidRPr="00BF0169">
        <w:rPr>
          <w:noProof/>
          <w:lang w:val="it-IT"/>
        </w:rPr>
        <w:fldChar w:fldCharType="begin"/>
      </w:r>
      <w:r w:rsidR="00742EC4" w:rsidRPr="00BF0169">
        <w:rPr>
          <w:noProof/>
          <w:lang w:val="it-IT"/>
        </w:rPr>
        <w:instrText xml:space="preserve"> SEQ Figure \* ARABIC </w:instrText>
      </w:r>
      <w:r w:rsidR="00742EC4" w:rsidRPr="00BF0169">
        <w:rPr>
          <w:noProof/>
          <w:lang w:val="it-IT"/>
        </w:rPr>
        <w:fldChar w:fldCharType="separate"/>
      </w:r>
      <w:r w:rsidRPr="00BF0169">
        <w:rPr>
          <w:noProof/>
          <w:lang w:val="it-IT"/>
        </w:rPr>
        <w:t>3</w:t>
      </w:r>
      <w:r w:rsidR="00742EC4" w:rsidRPr="00BF0169">
        <w:rPr>
          <w:noProof/>
          <w:lang w:val="it-IT"/>
        </w:rPr>
        <w:fldChar w:fldCharType="end"/>
      </w:r>
      <w:r w:rsidRPr="00BF0169">
        <w:rPr>
          <w:noProof/>
          <w:lang w:val="it-IT"/>
        </w:rPr>
        <w:t xml:space="preserve"> – NAFS: situazione attuale dell</w:t>
      </w:r>
      <w:r w:rsidR="00BF0169" w:rsidRPr="00BF0169">
        <w:rPr>
          <w:noProof/>
          <w:lang w:val="it-IT"/>
        </w:rPr>
        <w:t>'</w:t>
      </w:r>
      <w:r w:rsidRPr="00BF0169">
        <w:rPr>
          <w:noProof/>
          <w:lang w:val="it-IT"/>
        </w:rPr>
        <w:t>adozione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467"/>
        <w:gridCol w:w="1364"/>
      </w:tblGrid>
      <w:tr w:rsidR="00666E75" w:rsidRPr="00BF0169" w14:paraId="6F995EEB" w14:textId="77777777" w:rsidTr="00283EE7">
        <w:trPr>
          <w:jc w:val="center"/>
        </w:trPr>
        <w:tc>
          <w:tcPr>
            <w:tcW w:w="7003" w:type="dxa"/>
            <w:vMerge w:val="restart"/>
          </w:tcPr>
          <w:p w14:paraId="27D53369" w14:textId="041BF4A7" w:rsidR="00666E75" w:rsidRPr="00BF0169" w:rsidRDefault="00B6593B" w:rsidP="00B6593B">
            <w:pPr>
              <w:rPr>
                <w:noProof/>
                <w:lang w:val="it-IT"/>
              </w:rPr>
            </w:pPr>
            <w:r w:rsidRPr="00BF0169">
              <w:rPr>
                <w:noProof/>
                <w:lang w:val="en-GB" w:eastAsia="en-GB"/>
              </w:rPr>
              <w:drawing>
                <wp:anchor distT="0" distB="0" distL="114300" distR="114300" simplePos="0" relativeHeight="251657216" behindDoc="0" locked="0" layoutInCell="1" allowOverlap="1" wp14:anchorId="4DC7C1B3" wp14:editId="1D09B78B">
                  <wp:simplePos x="0" y="0"/>
                  <wp:positionH relativeFrom="column">
                    <wp:posOffset>-7620</wp:posOffset>
                  </wp:positionH>
                  <wp:positionV relativeFrom="paragraph">
                    <wp:posOffset>19685</wp:posOffset>
                  </wp:positionV>
                  <wp:extent cx="4309745" cy="48399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FS_final.png"/>
                          <pic:cNvPicPr/>
                        </pic:nvPicPr>
                        <pic:blipFill>
                          <a:blip r:embed="rId20">
                            <a:extLst>
                              <a:ext uri="{28A0092B-C50C-407E-A947-70E740481C1C}">
                                <a14:useLocalDpi xmlns:a14="http://schemas.microsoft.com/office/drawing/2010/main" val="0"/>
                              </a:ext>
                            </a:extLst>
                          </a:blip>
                          <a:stretch>
                            <a:fillRect/>
                          </a:stretch>
                        </pic:blipFill>
                        <pic:spPr>
                          <a:xfrm>
                            <a:off x="0" y="0"/>
                            <a:ext cx="4309745" cy="4839970"/>
                          </a:xfrm>
                          <a:prstGeom prst="rect">
                            <a:avLst/>
                          </a:prstGeom>
                        </pic:spPr>
                      </pic:pic>
                    </a:graphicData>
                  </a:graphic>
                </wp:anchor>
              </w:drawing>
            </w:r>
          </w:p>
        </w:tc>
        <w:tc>
          <w:tcPr>
            <w:tcW w:w="1831" w:type="dxa"/>
            <w:gridSpan w:val="2"/>
          </w:tcPr>
          <w:p w14:paraId="69229ACB" w14:textId="31D73AE8" w:rsidR="00666E75" w:rsidRPr="00BF0169" w:rsidRDefault="00666E75" w:rsidP="00B6593B">
            <w:pPr>
              <w:rPr>
                <w:b/>
                <w:noProof/>
                <w:sz w:val="20"/>
                <w:lang w:val="it-IT"/>
              </w:rPr>
            </w:pPr>
            <w:r w:rsidRPr="00BF0169">
              <w:rPr>
                <w:b/>
                <w:noProof/>
                <w:sz w:val="20"/>
                <w:lang w:val="it-IT"/>
              </w:rPr>
              <w:t>Legenda</w:t>
            </w:r>
          </w:p>
        </w:tc>
      </w:tr>
      <w:tr w:rsidR="00666E75" w:rsidRPr="00BF0169" w14:paraId="35A820C6" w14:textId="77777777" w:rsidTr="00283EE7">
        <w:trPr>
          <w:jc w:val="center"/>
        </w:trPr>
        <w:tc>
          <w:tcPr>
            <w:tcW w:w="7003" w:type="dxa"/>
            <w:vMerge/>
          </w:tcPr>
          <w:p w14:paraId="69DB6344" w14:textId="77777777" w:rsidR="00666E75" w:rsidRPr="00BF0169" w:rsidRDefault="00666E75" w:rsidP="00B6593B">
            <w:pPr>
              <w:rPr>
                <w:noProof/>
                <w:lang w:val="it-IT"/>
              </w:rPr>
            </w:pPr>
          </w:p>
        </w:tc>
        <w:tc>
          <w:tcPr>
            <w:tcW w:w="467" w:type="dxa"/>
            <w:shd w:val="clear" w:color="auto" w:fill="1F4E79" w:themeFill="accent1" w:themeFillShade="80"/>
          </w:tcPr>
          <w:p w14:paraId="207C1853" w14:textId="774AF7C1" w:rsidR="00666E75" w:rsidRPr="00BF0169" w:rsidRDefault="00666E75" w:rsidP="00B6593B">
            <w:pPr>
              <w:rPr>
                <w:b/>
                <w:noProof/>
                <w:color w:val="FFFFFF" w:themeColor="background1"/>
                <w:sz w:val="20"/>
                <w:lang w:val="it-IT"/>
              </w:rPr>
            </w:pPr>
            <w:r w:rsidRPr="00BF0169">
              <w:rPr>
                <w:b/>
                <w:noProof/>
                <w:sz w:val="20"/>
                <w:lang w:val="it-IT"/>
              </w:rPr>
              <w:t>5</w:t>
            </w:r>
          </w:p>
        </w:tc>
        <w:tc>
          <w:tcPr>
            <w:tcW w:w="1364" w:type="dxa"/>
          </w:tcPr>
          <w:p w14:paraId="53BDDBDA" w14:textId="4EFEBBDD" w:rsidR="00666E75" w:rsidRPr="00BF0169" w:rsidRDefault="00666E75" w:rsidP="005922A1">
            <w:pPr>
              <w:jc w:val="left"/>
              <w:rPr>
                <w:b/>
                <w:noProof/>
                <w:sz w:val="20"/>
                <w:lang w:val="it-IT"/>
              </w:rPr>
            </w:pPr>
            <w:r w:rsidRPr="00BF0169">
              <w:rPr>
                <w:b/>
                <w:noProof/>
                <w:sz w:val="20"/>
                <w:lang w:val="it-IT"/>
              </w:rPr>
              <w:t>NAFS adottata o aggiornata e segnalata</w:t>
            </w:r>
          </w:p>
        </w:tc>
      </w:tr>
      <w:tr w:rsidR="00666E75" w:rsidRPr="00BF0169" w14:paraId="530B4DC6" w14:textId="77777777" w:rsidTr="00283EE7">
        <w:trPr>
          <w:jc w:val="center"/>
        </w:trPr>
        <w:tc>
          <w:tcPr>
            <w:tcW w:w="7003" w:type="dxa"/>
            <w:vMerge/>
          </w:tcPr>
          <w:p w14:paraId="0DFE18F6" w14:textId="77777777" w:rsidR="00666E75" w:rsidRPr="00BF0169" w:rsidRDefault="00666E75" w:rsidP="00B6593B">
            <w:pPr>
              <w:rPr>
                <w:noProof/>
                <w:lang w:val="it-IT"/>
              </w:rPr>
            </w:pPr>
          </w:p>
        </w:tc>
        <w:tc>
          <w:tcPr>
            <w:tcW w:w="467" w:type="dxa"/>
            <w:shd w:val="clear" w:color="auto" w:fill="2E74B5" w:themeFill="accent1" w:themeFillShade="BF"/>
          </w:tcPr>
          <w:p w14:paraId="68103E5A" w14:textId="30C109F1" w:rsidR="00666E75" w:rsidRPr="00BF0169" w:rsidRDefault="00666E75" w:rsidP="00B6593B">
            <w:pPr>
              <w:rPr>
                <w:b/>
                <w:noProof/>
                <w:sz w:val="20"/>
                <w:lang w:val="it-IT"/>
              </w:rPr>
            </w:pPr>
            <w:r w:rsidRPr="00BF0169">
              <w:rPr>
                <w:b/>
                <w:noProof/>
                <w:sz w:val="20"/>
                <w:lang w:val="it-IT"/>
              </w:rPr>
              <w:t>4</w:t>
            </w:r>
          </w:p>
        </w:tc>
        <w:tc>
          <w:tcPr>
            <w:tcW w:w="1364" w:type="dxa"/>
          </w:tcPr>
          <w:p w14:paraId="5234EA3F" w14:textId="38B00D9A" w:rsidR="00666E75" w:rsidRPr="00BF0169" w:rsidRDefault="00666E75" w:rsidP="005922A1">
            <w:pPr>
              <w:jc w:val="left"/>
              <w:rPr>
                <w:b/>
                <w:noProof/>
                <w:sz w:val="20"/>
                <w:lang w:val="it-IT"/>
              </w:rPr>
            </w:pPr>
            <w:r w:rsidRPr="00BF0169">
              <w:rPr>
                <w:b/>
                <w:noProof/>
                <w:sz w:val="20"/>
                <w:lang w:val="it-IT"/>
              </w:rPr>
              <w:t>NAFS settoriale</w:t>
            </w:r>
          </w:p>
        </w:tc>
      </w:tr>
      <w:tr w:rsidR="00666E75" w:rsidRPr="00BF0169" w14:paraId="397B6F96" w14:textId="77777777" w:rsidTr="00283EE7">
        <w:trPr>
          <w:jc w:val="center"/>
        </w:trPr>
        <w:tc>
          <w:tcPr>
            <w:tcW w:w="7003" w:type="dxa"/>
            <w:vMerge/>
          </w:tcPr>
          <w:p w14:paraId="73B38B6E" w14:textId="77777777" w:rsidR="00666E75" w:rsidRPr="00BF0169" w:rsidRDefault="00666E75" w:rsidP="00B6593B">
            <w:pPr>
              <w:rPr>
                <w:noProof/>
                <w:lang w:val="it-IT"/>
              </w:rPr>
            </w:pPr>
          </w:p>
        </w:tc>
        <w:tc>
          <w:tcPr>
            <w:tcW w:w="467" w:type="dxa"/>
            <w:shd w:val="clear" w:color="auto" w:fill="9CC2E5" w:themeFill="accent1" w:themeFillTint="99"/>
          </w:tcPr>
          <w:p w14:paraId="49F8E762" w14:textId="6C7A1AC4" w:rsidR="00666E75" w:rsidRPr="00BF0169" w:rsidRDefault="00666E75" w:rsidP="00B6593B">
            <w:pPr>
              <w:rPr>
                <w:b/>
                <w:noProof/>
                <w:sz w:val="20"/>
                <w:lang w:val="it-IT"/>
              </w:rPr>
            </w:pPr>
            <w:r w:rsidRPr="00BF0169">
              <w:rPr>
                <w:b/>
                <w:noProof/>
                <w:sz w:val="20"/>
                <w:lang w:val="it-IT"/>
              </w:rPr>
              <w:t>3</w:t>
            </w:r>
          </w:p>
        </w:tc>
        <w:tc>
          <w:tcPr>
            <w:tcW w:w="1364" w:type="dxa"/>
          </w:tcPr>
          <w:p w14:paraId="6CD16E25" w14:textId="7FC09EE3" w:rsidR="00666E75" w:rsidRPr="00BF0169" w:rsidRDefault="000842E0" w:rsidP="005922A1">
            <w:pPr>
              <w:jc w:val="left"/>
              <w:rPr>
                <w:b/>
                <w:noProof/>
                <w:sz w:val="20"/>
                <w:lang w:val="it-IT"/>
              </w:rPr>
            </w:pPr>
            <w:r w:rsidRPr="00BF0169">
              <w:rPr>
                <w:b/>
                <w:noProof/>
                <w:sz w:val="20"/>
                <w:lang w:val="it-IT"/>
              </w:rPr>
              <w:t>Strategia antifrode regionale</w:t>
            </w:r>
          </w:p>
        </w:tc>
      </w:tr>
      <w:tr w:rsidR="00666E75" w:rsidRPr="00BF0169" w14:paraId="07A069E3" w14:textId="77777777" w:rsidTr="00283EE7">
        <w:trPr>
          <w:jc w:val="center"/>
        </w:trPr>
        <w:tc>
          <w:tcPr>
            <w:tcW w:w="7003" w:type="dxa"/>
            <w:vMerge/>
          </w:tcPr>
          <w:p w14:paraId="4F74A7EE" w14:textId="77777777" w:rsidR="00666E75" w:rsidRPr="00BF0169" w:rsidRDefault="00666E75" w:rsidP="00B6593B">
            <w:pPr>
              <w:rPr>
                <w:noProof/>
                <w:lang w:val="it-IT"/>
              </w:rPr>
            </w:pPr>
          </w:p>
        </w:tc>
        <w:tc>
          <w:tcPr>
            <w:tcW w:w="467" w:type="dxa"/>
            <w:shd w:val="clear" w:color="auto" w:fill="BDD6EE" w:themeFill="accent1" w:themeFillTint="66"/>
          </w:tcPr>
          <w:p w14:paraId="495B3884" w14:textId="5319DDDF" w:rsidR="00666E75" w:rsidRPr="00BF0169" w:rsidRDefault="00666E75" w:rsidP="00B6593B">
            <w:pPr>
              <w:rPr>
                <w:b/>
                <w:noProof/>
                <w:sz w:val="20"/>
                <w:lang w:val="it-IT"/>
              </w:rPr>
            </w:pPr>
            <w:r w:rsidRPr="00BF0169">
              <w:rPr>
                <w:b/>
                <w:noProof/>
                <w:sz w:val="20"/>
                <w:lang w:val="it-IT"/>
              </w:rPr>
              <w:t>2</w:t>
            </w:r>
          </w:p>
        </w:tc>
        <w:tc>
          <w:tcPr>
            <w:tcW w:w="1364" w:type="dxa"/>
          </w:tcPr>
          <w:p w14:paraId="4B93FEBD" w14:textId="4CF811D6" w:rsidR="00666E75" w:rsidRPr="00BF0169" w:rsidRDefault="000842E0" w:rsidP="005922A1">
            <w:pPr>
              <w:jc w:val="left"/>
              <w:rPr>
                <w:b/>
                <w:noProof/>
                <w:sz w:val="20"/>
                <w:lang w:val="it-IT"/>
              </w:rPr>
            </w:pPr>
            <w:r w:rsidRPr="00BF0169">
              <w:rPr>
                <w:b/>
                <w:noProof/>
                <w:sz w:val="20"/>
                <w:lang w:val="it-IT"/>
              </w:rPr>
              <w:t>Redazione o adozione di una NAFS in corso</w:t>
            </w:r>
          </w:p>
        </w:tc>
      </w:tr>
      <w:tr w:rsidR="00666E75" w:rsidRPr="00BF0169" w14:paraId="7E2289C3" w14:textId="77777777" w:rsidTr="00283EE7">
        <w:trPr>
          <w:jc w:val="center"/>
        </w:trPr>
        <w:tc>
          <w:tcPr>
            <w:tcW w:w="7003" w:type="dxa"/>
            <w:vMerge/>
          </w:tcPr>
          <w:p w14:paraId="300AD90C" w14:textId="77777777" w:rsidR="00666E75" w:rsidRPr="00BF0169" w:rsidRDefault="00666E75" w:rsidP="00B6593B">
            <w:pPr>
              <w:rPr>
                <w:noProof/>
                <w:lang w:val="it-IT"/>
              </w:rPr>
            </w:pPr>
          </w:p>
        </w:tc>
        <w:tc>
          <w:tcPr>
            <w:tcW w:w="467" w:type="dxa"/>
            <w:shd w:val="clear" w:color="auto" w:fill="DEEAF6" w:themeFill="accent1" w:themeFillTint="33"/>
          </w:tcPr>
          <w:p w14:paraId="2B3561F3" w14:textId="384E4C83" w:rsidR="00666E75" w:rsidRPr="00BF0169" w:rsidRDefault="00666E75" w:rsidP="00B6593B">
            <w:pPr>
              <w:rPr>
                <w:b/>
                <w:noProof/>
                <w:sz w:val="20"/>
                <w:lang w:val="it-IT"/>
              </w:rPr>
            </w:pPr>
            <w:r w:rsidRPr="00BF0169">
              <w:rPr>
                <w:b/>
                <w:noProof/>
                <w:sz w:val="20"/>
                <w:lang w:val="it-IT"/>
              </w:rPr>
              <w:t>1</w:t>
            </w:r>
          </w:p>
        </w:tc>
        <w:tc>
          <w:tcPr>
            <w:tcW w:w="1364" w:type="dxa"/>
          </w:tcPr>
          <w:p w14:paraId="39FB70C8" w14:textId="602617D2" w:rsidR="00666E75" w:rsidRPr="00BF0169" w:rsidRDefault="000842E0" w:rsidP="005922A1">
            <w:pPr>
              <w:jc w:val="left"/>
              <w:rPr>
                <w:b/>
                <w:noProof/>
                <w:sz w:val="20"/>
                <w:lang w:val="it-IT"/>
              </w:rPr>
            </w:pPr>
            <w:r w:rsidRPr="00BF0169">
              <w:rPr>
                <w:b/>
                <w:noProof/>
                <w:sz w:val="20"/>
                <w:lang w:val="it-IT"/>
              </w:rPr>
              <w:t>Nessuna NAFS</w:t>
            </w:r>
          </w:p>
        </w:tc>
      </w:tr>
      <w:tr w:rsidR="00666E75" w:rsidRPr="00BF0169" w14:paraId="6599F636" w14:textId="77777777" w:rsidTr="00283EE7">
        <w:trPr>
          <w:jc w:val="center"/>
        </w:trPr>
        <w:tc>
          <w:tcPr>
            <w:tcW w:w="7003" w:type="dxa"/>
            <w:vMerge/>
          </w:tcPr>
          <w:p w14:paraId="0E0BE744" w14:textId="77777777" w:rsidR="00666E75" w:rsidRPr="00BF0169" w:rsidRDefault="00666E75" w:rsidP="00B6593B">
            <w:pPr>
              <w:rPr>
                <w:noProof/>
                <w:lang w:val="it-IT"/>
              </w:rPr>
            </w:pPr>
          </w:p>
        </w:tc>
        <w:tc>
          <w:tcPr>
            <w:tcW w:w="1831" w:type="dxa"/>
            <w:gridSpan w:val="2"/>
          </w:tcPr>
          <w:p w14:paraId="056743A0" w14:textId="77777777" w:rsidR="00666E75" w:rsidRPr="00BF0169" w:rsidRDefault="00666E75" w:rsidP="00B6593B">
            <w:pPr>
              <w:rPr>
                <w:b/>
                <w:noProof/>
                <w:sz w:val="20"/>
                <w:lang w:val="it-IT"/>
              </w:rPr>
            </w:pPr>
          </w:p>
        </w:tc>
      </w:tr>
    </w:tbl>
    <w:p w14:paraId="0D9A6942" w14:textId="009D7125" w:rsidR="00242925" w:rsidRPr="00BF0169" w:rsidRDefault="00242925" w:rsidP="00B6593B">
      <w:pPr>
        <w:rPr>
          <w:noProof/>
          <w:lang w:val="it-IT"/>
        </w:rPr>
      </w:pPr>
    </w:p>
    <w:p w14:paraId="234166E7" w14:textId="77777777" w:rsidR="00B6593B" w:rsidRPr="00BF0169" w:rsidRDefault="00B6593B" w:rsidP="00B6593B">
      <w:pPr>
        <w:rPr>
          <w:noProof/>
          <w:lang w:val="it-IT"/>
        </w:rPr>
      </w:pPr>
    </w:p>
    <w:p w14:paraId="39A0AC6D" w14:textId="77777777" w:rsidR="00B6593B" w:rsidRPr="00BF0169" w:rsidRDefault="00B6593B" w:rsidP="00B6593B">
      <w:pPr>
        <w:rPr>
          <w:noProof/>
          <w:lang w:val="it-IT"/>
        </w:rPr>
      </w:pPr>
    </w:p>
    <w:p w14:paraId="40BA2224" w14:textId="77777777" w:rsidR="00B6593B" w:rsidRPr="00BF0169" w:rsidRDefault="00B6593B" w:rsidP="00B6593B">
      <w:pPr>
        <w:rPr>
          <w:noProof/>
          <w:lang w:val="it-IT"/>
        </w:rPr>
      </w:pPr>
    </w:p>
    <w:p w14:paraId="138FE7C6" w14:textId="77777777" w:rsidR="00B6593B" w:rsidRPr="00BF0169" w:rsidRDefault="00B6593B" w:rsidP="00B6593B">
      <w:pPr>
        <w:rPr>
          <w:noProof/>
          <w:lang w:val="it-IT"/>
        </w:rPr>
      </w:pPr>
    </w:p>
    <w:p w14:paraId="0D474F98" w14:textId="77777777" w:rsidR="00B6593B" w:rsidRPr="00BF0169" w:rsidRDefault="00B6593B" w:rsidP="00B6593B">
      <w:pPr>
        <w:rPr>
          <w:noProof/>
          <w:lang w:val="it-IT"/>
        </w:rPr>
      </w:pPr>
    </w:p>
    <w:p w14:paraId="385B72D4" w14:textId="17BD5CFC" w:rsidR="00B6593B" w:rsidRPr="00BF0169" w:rsidRDefault="00B6593B" w:rsidP="00B6593B">
      <w:pPr>
        <w:rPr>
          <w:noProof/>
          <w:lang w:val="it-IT"/>
        </w:rPr>
      </w:pPr>
    </w:p>
    <w:p w14:paraId="77C4B362" w14:textId="04FD85FB" w:rsidR="00B844C4" w:rsidRPr="00BF0169" w:rsidRDefault="00B844C4" w:rsidP="00B6593B">
      <w:pPr>
        <w:rPr>
          <w:noProof/>
          <w:lang w:val="it-IT"/>
        </w:rPr>
      </w:pPr>
      <w:r w:rsidRPr="00BF0169">
        <w:rPr>
          <w:noProof/>
          <w:lang w:val="it-IT"/>
        </w:rPr>
        <w:t>Sebbene la copertura e il contenuto delle strategie continuino a variare tra gli Stati membri</w:t>
      </w:r>
      <w:r w:rsidRPr="00BF0169">
        <w:rPr>
          <w:rStyle w:val="FootnoteReference"/>
          <w:noProof/>
          <w:lang w:val="it-IT"/>
        </w:rPr>
        <w:footnoteReference w:id="33"/>
      </w:r>
      <w:r w:rsidRPr="00BF0169">
        <w:rPr>
          <w:noProof/>
          <w:lang w:val="it-IT"/>
        </w:rPr>
        <w:t xml:space="preserve"> e talune strategie debbano essere aggiornate, la situazione generale è migliorata rispetto al 2020. A seguito alle raccomandazioni della Commissione, numerose</w:t>
      </w:r>
      <w:r w:rsidRPr="00BF0169">
        <w:rPr>
          <w:rStyle w:val="FootnoteReference"/>
          <w:noProof/>
          <w:lang w:val="it-IT"/>
        </w:rPr>
        <w:footnoteReference w:id="34"/>
      </w:r>
      <w:r w:rsidRPr="00BF0169">
        <w:rPr>
          <w:noProof/>
          <w:lang w:val="it-IT"/>
        </w:rPr>
        <w:t xml:space="preserve"> delle strategie attuali sono state aggiornate per tener conto di nuovi rischi significativi, come quelli legati all</w:t>
      </w:r>
      <w:r w:rsidR="00BF0169" w:rsidRPr="00BF0169">
        <w:rPr>
          <w:noProof/>
          <w:lang w:val="it-IT"/>
        </w:rPr>
        <w:t>'</w:t>
      </w:r>
      <w:r w:rsidRPr="00BF0169">
        <w:rPr>
          <w:noProof/>
          <w:lang w:val="it-IT"/>
        </w:rPr>
        <w:t>attuazione del dispositivo per la ripresa e la resilienza e agli effetti della pandemia di COVID-19.</w:t>
      </w:r>
    </w:p>
    <w:p w14:paraId="5022AF76" w14:textId="77777777" w:rsidR="00FE789E" w:rsidRPr="00BF0169" w:rsidRDefault="00FE789E" w:rsidP="00B6593B">
      <w:pPr>
        <w:pStyle w:val="Heading3"/>
        <w:keepNext w:val="0"/>
        <w:rPr>
          <w:noProof/>
          <w:lang w:val="it-IT"/>
        </w:rPr>
      </w:pPr>
      <w:bookmarkStart w:id="42" w:name="_Toc116319632"/>
      <w:r w:rsidRPr="00BF0169">
        <w:rPr>
          <w:noProof/>
          <w:lang w:val="it-IT"/>
        </w:rPr>
        <w:t>Attuazione delle raccomandazioni del 2020 da parte degli Stati membri</w:t>
      </w:r>
      <w:r w:rsidRPr="00BF0169">
        <w:rPr>
          <w:rStyle w:val="FootnoteReference"/>
          <w:noProof/>
          <w:lang w:val="it-IT"/>
        </w:rPr>
        <w:footnoteReference w:id="35"/>
      </w:r>
      <w:bookmarkEnd w:id="42"/>
    </w:p>
    <w:p w14:paraId="5DB21B41" w14:textId="243CBEA7" w:rsidR="00471E85" w:rsidRPr="00BF0169" w:rsidRDefault="008D394A" w:rsidP="00B6593B">
      <w:pPr>
        <w:rPr>
          <w:noProof/>
          <w:lang w:val="it-IT"/>
        </w:rPr>
      </w:pPr>
      <w:r w:rsidRPr="00BF0169">
        <w:rPr>
          <w:noProof/>
          <w:lang w:val="it-IT"/>
        </w:rPr>
        <w:t>Nella sua relazione del 2020 sulla tutela degli interessi finanziari dell</w:t>
      </w:r>
      <w:r w:rsidR="00BF0169" w:rsidRPr="00BF0169">
        <w:rPr>
          <w:noProof/>
          <w:lang w:val="it-IT"/>
        </w:rPr>
        <w:t>'</w:t>
      </w:r>
      <w:r w:rsidRPr="00BF0169">
        <w:rPr>
          <w:noProof/>
          <w:lang w:val="it-IT"/>
        </w:rPr>
        <w:t>Unione europea la Commissione aveva rivolto agli Stati membri tre serie di raccomandazioni concernenti: a) gli aspetti trasversali della lotta contro la frode; b) le entrate e c) le spese. Tali raccomandazioni miravano a: migliorare la cooperazione tra l</w:t>
      </w:r>
      <w:r w:rsidR="00BF0169" w:rsidRPr="00BF0169">
        <w:rPr>
          <w:noProof/>
          <w:lang w:val="it-IT"/>
        </w:rPr>
        <w:t>'</w:t>
      </w:r>
      <w:r w:rsidRPr="00BF0169">
        <w:rPr>
          <w:noProof/>
          <w:lang w:val="it-IT"/>
        </w:rPr>
        <w:t>UE e gli organismi nazionali; aumentare la coerenza e l</w:t>
      </w:r>
      <w:r w:rsidR="00BF0169" w:rsidRPr="00BF0169">
        <w:rPr>
          <w:noProof/>
          <w:lang w:val="it-IT"/>
        </w:rPr>
        <w:t>'</w:t>
      </w:r>
      <w:r w:rsidRPr="00BF0169">
        <w:rPr>
          <w:noProof/>
          <w:lang w:val="it-IT"/>
        </w:rPr>
        <w:t>uniformità delle misure nazionali antifrode; ottimizzare il funzionamento dell</w:t>
      </w:r>
      <w:r w:rsidR="00BF0169" w:rsidRPr="00BF0169">
        <w:rPr>
          <w:noProof/>
          <w:lang w:val="it-IT"/>
        </w:rPr>
        <w:t>'</w:t>
      </w:r>
      <w:r w:rsidRPr="00BF0169">
        <w:rPr>
          <w:noProof/>
          <w:lang w:val="it-IT"/>
        </w:rPr>
        <w:t>unione doganale e delle autorità doganali degli Stati membri; rafforzare il quadro di controllo interno e aumentare la flessibilità e la resilienza in tempi di crisi.</w:t>
      </w:r>
    </w:p>
    <w:p w14:paraId="14CC8134" w14:textId="692FAD51" w:rsidR="00B844C4" w:rsidRPr="00BF0169" w:rsidRDefault="0050564E" w:rsidP="00B844C4">
      <w:pPr>
        <w:rPr>
          <w:noProof/>
          <w:lang w:val="it-IT"/>
        </w:rPr>
      </w:pPr>
      <w:r w:rsidRPr="00BF0169">
        <w:rPr>
          <w:noProof/>
          <w:lang w:val="it-IT"/>
        </w:rPr>
        <w:t>Per quanto concerne gli aspetti trasversali della lotta contro la frode, la Commissione ha raccomandato agli Stati membri che non avevano aderito all</w:t>
      </w:r>
      <w:r w:rsidR="00BF0169" w:rsidRPr="00BF0169">
        <w:rPr>
          <w:noProof/>
          <w:lang w:val="it-IT"/>
        </w:rPr>
        <w:t>'</w:t>
      </w:r>
      <w:r w:rsidRPr="00BF0169">
        <w:rPr>
          <w:noProof/>
          <w:lang w:val="it-IT"/>
        </w:rPr>
        <w:t>EPPO di valutare l</w:t>
      </w:r>
      <w:r w:rsidR="00BF0169" w:rsidRPr="00BF0169">
        <w:rPr>
          <w:noProof/>
          <w:lang w:val="it-IT"/>
        </w:rPr>
        <w:t>'</w:t>
      </w:r>
      <w:r w:rsidRPr="00BF0169">
        <w:rPr>
          <w:noProof/>
          <w:lang w:val="it-IT"/>
        </w:rPr>
        <w:t>opportunità di parteciparvi.</w:t>
      </w:r>
    </w:p>
    <w:p w14:paraId="048573A6" w14:textId="5E8887C2" w:rsidR="00B844C4" w:rsidRPr="00BF0169" w:rsidRDefault="0050564E" w:rsidP="00B844C4">
      <w:pPr>
        <w:rPr>
          <w:noProof/>
          <w:lang w:val="it-IT"/>
        </w:rPr>
      </w:pPr>
      <w:r w:rsidRPr="00BF0169">
        <w:rPr>
          <w:noProof/>
          <w:lang w:val="it-IT"/>
        </w:rPr>
        <w:t>Dei cinque Stati membri che non fanno ancora parte dell</w:t>
      </w:r>
      <w:r w:rsidR="00BF0169" w:rsidRPr="00BF0169">
        <w:rPr>
          <w:noProof/>
          <w:lang w:val="it-IT"/>
        </w:rPr>
        <w:t>'</w:t>
      </w:r>
      <w:r w:rsidRPr="00BF0169">
        <w:rPr>
          <w:noProof/>
          <w:lang w:val="it-IT"/>
        </w:rPr>
        <w:t xml:space="preserve">EPPO, la </w:t>
      </w:r>
      <w:r w:rsidRPr="00BF0169">
        <w:rPr>
          <w:b/>
          <w:noProof/>
          <w:lang w:val="it-IT"/>
        </w:rPr>
        <w:t>Svezia</w:t>
      </w:r>
      <w:r w:rsidRPr="00BF0169">
        <w:rPr>
          <w:noProof/>
          <w:lang w:val="it-IT"/>
        </w:rPr>
        <w:t xml:space="preserve"> ha manifestato l</w:t>
      </w:r>
      <w:r w:rsidR="00BF0169" w:rsidRPr="00BF0169">
        <w:rPr>
          <w:noProof/>
          <w:lang w:val="it-IT"/>
        </w:rPr>
        <w:t>'</w:t>
      </w:r>
      <w:r w:rsidRPr="00BF0169">
        <w:rPr>
          <w:noProof/>
          <w:lang w:val="it-IT"/>
        </w:rPr>
        <w:t xml:space="preserve">intenzione di aderirvi nel 2023, mentre </w:t>
      </w:r>
      <w:r w:rsidRPr="00BF0169">
        <w:rPr>
          <w:b/>
          <w:noProof/>
          <w:lang w:val="it-IT"/>
        </w:rPr>
        <w:t>Danimarca</w:t>
      </w:r>
      <w:r w:rsidRPr="00BF0169">
        <w:rPr>
          <w:noProof/>
          <w:lang w:val="it-IT"/>
        </w:rPr>
        <w:t xml:space="preserve">, </w:t>
      </w:r>
      <w:r w:rsidRPr="00BF0169">
        <w:rPr>
          <w:b/>
          <w:noProof/>
          <w:lang w:val="it-IT"/>
        </w:rPr>
        <w:t>Irlanda</w:t>
      </w:r>
      <w:r w:rsidRPr="00BF0169">
        <w:rPr>
          <w:noProof/>
          <w:lang w:val="it-IT"/>
        </w:rPr>
        <w:t xml:space="preserve">, </w:t>
      </w:r>
      <w:r w:rsidRPr="00BF0169">
        <w:rPr>
          <w:b/>
          <w:noProof/>
          <w:lang w:val="it-IT"/>
        </w:rPr>
        <w:t>Ungheria</w:t>
      </w:r>
      <w:r w:rsidRPr="00BF0169">
        <w:rPr>
          <w:noProof/>
          <w:lang w:val="it-IT"/>
        </w:rPr>
        <w:t xml:space="preserve"> e </w:t>
      </w:r>
      <w:r w:rsidRPr="00BF0169">
        <w:rPr>
          <w:b/>
          <w:noProof/>
          <w:lang w:val="it-IT"/>
        </w:rPr>
        <w:t>Polonia</w:t>
      </w:r>
      <w:r w:rsidRPr="00BF0169">
        <w:rPr>
          <w:noProof/>
          <w:lang w:val="it-IT"/>
        </w:rPr>
        <w:t xml:space="preserve"> hanno dichiarato di non avere intenzione di aderirvi</w:t>
      </w:r>
      <w:r w:rsidRPr="00BF0169">
        <w:rPr>
          <w:rStyle w:val="FootnoteReference"/>
          <w:noProof/>
          <w:lang w:val="it-IT"/>
        </w:rPr>
        <w:footnoteReference w:id="36"/>
      </w:r>
      <w:r w:rsidRPr="00BF0169">
        <w:rPr>
          <w:noProof/>
          <w:lang w:val="it-IT"/>
        </w:rPr>
        <w:t>.</w:t>
      </w:r>
    </w:p>
    <w:p w14:paraId="0EB24CEC" w14:textId="4B7761FD" w:rsidR="00B844C4" w:rsidRPr="00BF0169" w:rsidRDefault="00B844C4" w:rsidP="00B844C4">
      <w:pPr>
        <w:pStyle w:val="NormalWeb"/>
        <w:spacing w:before="0" w:beforeAutospacing="0" w:after="240" w:afterAutospacing="0"/>
        <w:jc w:val="both"/>
        <w:rPr>
          <w:noProof/>
          <w:sz w:val="22"/>
          <w:lang w:val="it-IT"/>
        </w:rPr>
      </w:pPr>
      <w:r w:rsidRPr="00BF0169">
        <w:rPr>
          <w:noProof/>
          <w:sz w:val="22"/>
          <w:lang w:val="it-IT"/>
        </w:rPr>
        <w:t>Nel settore delle entrate, 16</w:t>
      </w:r>
      <w:r w:rsidRPr="00BF0169">
        <w:rPr>
          <w:rStyle w:val="FootnoteReference"/>
          <w:noProof/>
          <w:sz w:val="22"/>
          <w:lang w:val="it-IT"/>
        </w:rPr>
        <w:footnoteReference w:id="37"/>
      </w:r>
      <w:r w:rsidRPr="00BF0169">
        <w:rPr>
          <w:noProof/>
          <w:sz w:val="22"/>
          <w:vertAlign w:val="superscript"/>
          <w:lang w:val="it-IT"/>
        </w:rPr>
        <w:t xml:space="preserve"> </w:t>
      </w:r>
      <w:r w:rsidRPr="00BF0169">
        <w:rPr>
          <w:noProof/>
          <w:sz w:val="22"/>
          <w:lang w:val="it-IT"/>
        </w:rPr>
        <w:t xml:space="preserve">Stati membri hanno risposto di aver attuato pienamente la raccomandazione della Commissione di valutare i </w:t>
      </w:r>
      <w:r w:rsidRPr="00BF0169">
        <w:rPr>
          <w:b/>
          <w:noProof/>
          <w:sz w:val="22"/>
          <w:lang w:val="it-IT"/>
        </w:rPr>
        <w:t>rischi e le carenze delle proprie strategie nazionali di controllo doganale</w:t>
      </w:r>
      <w:r w:rsidRPr="00BF0169">
        <w:rPr>
          <w:noProof/>
          <w:sz w:val="22"/>
          <w:lang w:val="it-IT"/>
        </w:rPr>
        <w:t xml:space="preserve"> messe in evidenza dalla pandemia di COVID-19, 4</w:t>
      </w:r>
      <w:r w:rsidRPr="00BF0169">
        <w:rPr>
          <w:rStyle w:val="FootnoteReference"/>
          <w:noProof/>
          <w:sz w:val="22"/>
          <w:lang w:val="it-IT"/>
        </w:rPr>
        <w:footnoteReference w:id="38"/>
      </w:r>
      <w:r w:rsidRPr="00BF0169">
        <w:rPr>
          <w:noProof/>
          <w:sz w:val="22"/>
          <w:lang w:val="it-IT"/>
        </w:rPr>
        <w:t xml:space="preserve"> l</w:t>
      </w:r>
      <w:r w:rsidR="00BF0169" w:rsidRPr="00BF0169">
        <w:rPr>
          <w:noProof/>
          <w:sz w:val="22"/>
          <w:lang w:val="it-IT"/>
        </w:rPr>
        <w:t>'</w:t>
      </w:r>
      <w:r w:rsidRPr="00BF0169">
        <w:rPr>
          <w:noProof/>
          <w:sz w:val="22"/>
          <w:lang w:val="it-IT"/>
        </w:rPr>
        <w:t>hanno attuata in parte e 6</w:t>
      </w:r>
      <w:r w:rsidRPr="00BF0169">
        <w:rPr>
          <w:rStyle w:val="FootnoteReference"/>
          <w:noProof/>
          <w:sz w:val="22"/>
          <w:lang w:val="it-IT"/>
        </w:rPr>
        <w:footnoteReference w:id="39"/>
      </w:r>
      <w:r w:rsidRPr="00BF0169">
        <w:rPr>
          <w:noProof/>
          <w:sz w:val="22"/>
          <w:lang w:val="it-IT"/>
        </w:rPr>
        <w:t xml:space="preserve"> non l</w:t>
      </w:r>
      <w:r w:rsidR="00BF0169" w:rsidRPr="00BF0169">
        <w:rPr>
          <w:noProof/>
          <w:sz w:val="22"/>
          <w:lang w:val="it-IT"/>
        </w:rPr>
        <w:t>'</w:t>
      </w:r>
      <w:r w:rsidRPr="00BF0169">
        <w:rPr>
          <w:noProof/>
          <w:sz w:val="22"/>
          <w:lang w:val="it-IT"/>
        </w:rPr>
        <w:t xml:space="preserve">hanno attuata. Dalle risposte emerge una serie di misure positive, quali la flessibilità dei controlli e la profilazione dei rischi, che hanno garantito che i controlli proseguissero in maniera efficiente durante la pandemia di COVID-19. </w:t>
      </w:r>
    </w:p>
    <w:p w14:paraId="693DB440" w14:textId="577009EE" w:rsidR="00B844C4" w:rsidRPr="00BF0169" w:rsidRDefault="0050564E" w:rsidP="00B844C4">
      <w:pPr>
        <w:rPr>
          <w:noProof/>
          <w:lang w:val="it-IT"/>
        </w:rPr>
      </w:pPr>
      <w:r w:rsidRPr="00BF0169">
        <w:rPr>
          <w:noProof/>
          <w:lang w:val="it-IT"/>
        </w:rPr>
        <w:t xml:space="preserve">In risposta alla raccomandazione di </w:t>
      </w:r>
      <w:r w:rsidRPr="00BF0169">
        <w:rPr>
          <w:b/>
          <w:noProof/>
          <w:lang w:val="it-IT"/>
        </w:rPr>
        <w:t>valutare i rischi che potrebbero non essere stati affrontati nel 2020 e di attuare misure correttive per affrontarli</w:t>
      </w:r>
      <w:r w:rsidRPr="00BF0169">
        <w:rPr>
          <w:noProof/>
          <w:lang w:val="it-IT"/>
        </w:rPr>
        <w:t>, 16</w:t>
      </w:r>
      <w:r w:rsidRPr="00BF0169">
        <w:rPr>
          <w:rStyle w:val="FootnoteReference"/>
          <w:noProof/>
          <w:lang w:val="it-IT"/>
        </w:rPr>
        <w:footnoteReference w:id="40"/>
      </w:r>
      <w:r w:rsidRPr="00BF0169">
        <w:rPr>
          <w:noProof/>
          <w:lang w:val="it-IT"/>
        </w:rPr>
        <w:t xml:space="preserve"> Stati membri hanno attuato pienamente la raccomandazione, 3</w:t>
      </w:r>
      <w:r w:rsidRPr="00BF0169">
        <w:rPr>
          <w:rStyle w:val="FootnoteReference"/>
          <w:noProof/>
          <w:lang w:val="it-IT"/>
        </w:rPr>
        <w:footnoteReference w:id="41"/>
      </w:r>
      <w:r w:rsidRPr="00BF0169">
        <w:rPr>
          <w:noProof/>
          <w:lang w:val="it-IT"/>
        </w:rPr>
        <w:t xml:space="preserve"> l</w:t>
      </w:r>
      <w:r w:rsidR="00BF0169" w:rsidRPr="00BF0169">
        <w:rPr>
          <w:noProof/>
          <w:lang w:val="it-IT"/>
        </w:rPr>
        <w:t>'</w:t>
      </w:r>
      <w:r w:rsidRPr="00BF0169">
        <w:rPr>
          <w:noProof/>
          <w:lang w:val="it-IT"/>
        </w:rPr>
        <w:t>hanno attuata in parte e 7</w:t>
      </w:r>
      <w:r w:rsidRPr="00BF0169">
        <w:rPr>
          <w:rStyle w:val="FootnoteReference"/>
          <w:noProof/>
          <w:lang w:val="it-IT"/>
        </w:rPr>
        <w:footnoteReference w:id="42"/>
      </w:r>
      <w:r w:rsidRPr="00BF0169">
        <w:rPr>
          <w:noProof/>
          <w:lang w:val="it-IT"/>
        </w:rPr>
        <w:t xml:space="preserve"> non l</w:t>
      </w:r>
      <w:r w:rsidR="00BF0169" w:rsidRPr="00BF0169">
        <w:rPr>
          <w:noProof/>
          <w:lang w:val="it-IT"/>
        </w:rPr>
        <w:t>'</w:t>
      </w:r>
      <w:r w:rsidRPr="00BF0169">
        <w:rPr>
          <w:noProof/>
          <w:lang w:val="it-IT"/>
        </w:rPr>
        <w:t>hanno attuata.</w:t>
      </w:r>
    </w:p>
    <w:p w14:paraId="7F38F621" w14:textId="0F88D946" w:rsidR="00B844C4" w:rsidRPr="00BF0169" w:rsidRDefault="00295D72" w:rsidP="00B844C4">
      <w:pPr>
        <w:spacing w:line="240" w:lineRule="auto"/>
        <w:rPr>
          <w:noProof/>
          <w:lang w:val="it-IT"/>
        </w:rPr>
      </w:pPr>
      <w:r w:rsidRPr="00BF0169">
        <w:rPr>
          <w:noProof/>
          <w:lang w:val="it-IT"/>
        </w:rPr>
        <w:t>Per quanto concerne le raccomandazioni sulle spese, 11</w:t>
      </w:r>
      <w:r w:rsidRPr="00BF0169">
        <w:rPr>
          <w:rStyle w:val="FootnoteReference"/>
          <w:noProof/>
          <w:lang w:val="it-IT"/>
        </w:rPr>
        <w:footnoteReference w:id="43"/>
      </w:r>
      <w:r w:rsidRPr="00BF0169">
        <w:rPr>
          <w:noProof/>
          <w:lang w:val="it-IT"/>
        </w:rPr>
        <w:t xml:space="preserve"> Stati membri dell</w:t>
      </w:r>
      <w:r w:rsidR="00BF0169" w:rsidRPr="00BF0169">
        <w:rPr>
          <w:noProof/>
          <w:lang w:val="it-IT"/>
        </w:rPr>
        <w:t>'</w:t>
      </w:r>
      <w:r w:rsidRPr="00BF0169">
        <w:rPr>
          <w:noProof/>
          <w:lang w:val="it-IT"/>
        </w:rPr>
        <w:t xml:space="preserve">UE hanno comunicato di aver avviato </w:t>
      </w:r>
      <w:r w:rsidRPr="00BF0169">
        <w:rPr>
          <w:b/>
          <w:bCs/>
          <w:noProof/>
          <w:lang w:val="it-IT"/>
        </w:rPr>
        <w:t>esercizi mirati di gestione dei rischi collegati all</w:t>
      </w:r>
      <w:r w:rsidR="00BF0169" w:rsidRPr="00BF0169">
        <w:rPr>
          <w:b/>
          <w:bCs/>
          <w:noProof/>
          <w:lang w:val="it-IT"/>
        </w:rPr>
        <w:t>'</w:t>
      </w:r>
      <w:r w:rsidRPr="00BF0169">
        <w:rPr>
          <w:b/>
          <w:bCs/>
          <w:noProof/>
          <w:lang w:val="it-IT"/>
        </w:rPr>
        <w:t>impatto della COVID-19 e all</w:t>
      </w:r>
      <w:r w:rsidR="00BF0169" w:rsidRPr="00BF0169">
        <w:rPr>
          <w:b/>
          <w:bCs/>
          <w:noProof/>
          <w:lang w:val="it-IT"/>
        </w:rPr>
        <w:t>'</w:t>
      </w:r>
      <w:r w:rsidRPr="00BF0169">
        <w:rPr>
          <w:b/>
          <w:noProof/>
          <w:lang w:val="it-IT"/>
        </w:rPr>
        <w:t>imminente attuazione del dispositivo per la ripresa e la resilienza</w:t>
      </w:r>
      <w:r w:rsidRPr="00BF0169">
        <w:rPr>
          <w:noProof/>
          <w:lang w:val="it-IT"/>
        </w:rPr>
        <w:t xml:space="preserve"> e di aver attuato pienamente la raccomandazione; 11</w:t>
      </w:r>
      <w:r w:rsidRPr="00BF0169">
        <w:rPr>
          <w:rStyle w:val="FootnoteReference"/>
          <w:noProof/>
          <w:lang w:val="it-IT"/>
        </w:rPr>
        <w:footnoteReference w:id="44"/>
      </w:r>
      <w:r w:rsidRPr="00BF0169">
        <w:rPr>
          <w:noProof/>
          <w:lang w:val="it-IT"/>
        </w:rPr>
        <w:t xml:space="preserve"> lo hanno fatto solo in parte e 4</w:t>
      </w:r>
      <w:r w:rsidRPr="00BF0169">
        <w:rPr>
          <w:rStyle w:val="FootnoteReference"/>
          <w:noProof/>
          <w:lang w:val="it-IT"/>
        </w:rPr>
        <w:footnoteReference w:id="45"/>
      </w:r>
      <w:r w:rsidRPr="00BF0169">
        <w:rPr>
          <w:noProof/>
          <w:lang w:val="it-IT"/>
        </w:rPr>
        <w:t xml:space="preserve"> non hanno attuato la raccomandazione. </w:t>
      </w:r>
    </w:p>
    <w:p w14:paraId="47474BFF" w14:textId="0512EA94" w:rsidR="00B844C4" w:rsidRPr="00BF0169" w:rsidRDefault="00295D72" w:rsidP="00B844C4">
      <w:pPr>
        <w:spacing w:line="240" w:lineRule="auto"/>
        <w:rPr>
          <w:noProof/>
          <w:lang w:val="it-IT"/>
        </w:rPr>
      </w:pPr>
      <w:r w:rsidRPr="00BF0169">
        <w:rPr>
          <w:noProof/>
          <w:lang w:val="it-IT"/>
        </w:rPr>
        <w:t xml:space="preserve">Quanto al fatto di aver o meno </w:t>
      </w:r>
      <w:r w:rsidRPr="00BF0169">
        <w:rPr>
          <w:b/>
          <w:noProof/>
          <w:lang w:val="it-IT"/>
        </w:rPr>
        <w:t>migliorato le modalità di raccolta e utilizzo dei dati sottostanti e dei dati sulle irregolarità e sulle frodi rilevate</w:t>
      </w:r>
      <w:r w:rsidRPr="00BF0169">
        <w:rPr>
          <w:noProof/>
          <w:lang w:val="it-IT"/>
        </w:rPr>
        <w:t>, 14</w:t>
      </w:r>
      <w:r w:rsidRPr="00BF0169">
        <w:rPr>
          <w:rStyle w:val="FootnoteReference"/>
          <w:noProof/>
          <w:lang w:val="it-IT"/>
        </w:rPr>
        <w:footnoteReference w:id="46"/>
      </w:r>
      <w:r w:rsidRPr="00BF0169">
        <w:rPr>
          <w:noProof/>
          <w:lang w:val="it-IT"/>
        </w:rPr>
        <w:t xml:space="preserve"> Stati membri hanno riferito di aver attuato pienamente la raccomandazione, 7</w:t>
      </w:r>
      <w:r w:rsidRPr="00BF0169">
        <w:rPr>
          <w:rStyle w:val="FootnoteReference"/>
          <w:noProof/>
          <w:lang w:val="it-IT"/>
        </w:rPr>
        <w:footnoteReference w:id="47"/>
      </w:r>
      <w:r w:rsidRPr="00BF0169">
        <w:rPr>
          <w:noProof/>
          <w:lang w:val="it-IT"/>
        </w:rPr>
        <w:t xml:space="preserve"> di averla attuata in parte e 5</w:t>
      </w:r>
      <w:r w:rsidRPr="00BF0169">
        <w:rPr>
          <w:rStyle w:val="FootnoteReference"/>
          <w:noProof/>
          <w:lang w:val="it-IT"/>
        </w:rPr>
        <w:footnoteReference w:id="48"/>
      </w:r>
      <w:r w:rsidRPr="00BF0169">
        <w:rPr>
          <w:noProof/>
          <w:lang w:val="it-IT"/>
        </w:rPr>
        <w:t xml:space="preserve"> di non averla attuata. Con l</w:t>
      </w:r>
      <w:r w:rsidR="00BF0169" w:rsidRPr="00BF0169">
        <w:rPr>
          <w:noProof/>
          <w:lang w:val="it-IT"/>
        </w:rPr>
        <w:t>'</w:t>
      </w:r>
      <w:r w:rsidRPr="00BF0169">
        <w:rPr>
          <w:noProof/>
          <w:lang w:val="it-IT"/>
        </w:rPr>
        <w:t>obiettivo di migliorare la qualità dei dati con cui ha lavorato, la maggior parte degli Stati membri ha riferito di aver adattato il proprio utilizzo dei sistemi informatici quali il sistema di gestione delle irregolarità (IMS), Arachne</w:t>
      </w:r>
      <w:r w:rsidRPr="00BF0169">
        <w:rPr>
          <w:rStyle w:val="FootnoteReference"/>
          <w:noProof/>
          <w:lang w:val="it-IT"/>
        </w:rPr>
        <w:footnoteReference w:id="49"/>
      </w:r>
      <w:r w:rsidRPr="00BF0169">
        <w:rPr>
          <w:noProof/>
          <w:lang w:val="it-IT"/>
        </w:rPr>
        <w:t>, il sistema di individuazione precoce e di esclusione (EDES)</w:t>
      </w:r>
      <w:r w:rsidRPr="00BF0169">
        <w:rPr>
          <w:rStyle w:val="FootnoteReference"/>
          <w:noProof/>
          <w:lang w:val="it-IT"/>
        </w:rPr>
        <w:footnoteReference w:id="50"/>
      </w:r>
      <w:r w:rsidRPr="00BF0169">
        <w:rPr>
          <w:noProof/>
          <w:lang w:val="it-IT"/>
        </w:rPr>
        <w:t xml:space="preserve">, nonché una serie di strumenti informatici nazionali. </w:t>
      </w:r>
    </w:p>
    <w:p w14:paraId="153B40CB" w14:textId="25EC7B68" w:rsidR="00B844C4" w:rsidRPr="00BF0169" w:rsidRDefault="00B844C4" w:rsidP="00B844C4">
      <w:pPr>
        <w:spacing w:after="0" w:line="240" w:lineRule="auto"/>
        <w:rPr>
          <w:noProof/>
          <w:lang w:val="it-IT"/>
        </w:rPr>
      </w:pPr>
      <w:r w:rsidRPr="00BF0169">
        <w:rPr>
          <w:noProof/>
          <w:lang w:val="it-IT"/>
        </w:rPr>
        <w:t>L</w:t>
      </w:r>
      <w:r w:rsidR="00BF0169" w:rsidRPr="00BF0169">
        <w:rPr>
          <w:noProof/>
          <w:lang w:val="it-IT"/>
        </w:rPr>
        <w:t>'</w:t>
      </w:r>
      <w:r w:rsidRPr="00BF0169">
        <w:rPr>
          <w:noProof/>
          <w:lang w:val="it-IT"/>
        </w:rPr>
        <w:t xml:space="preserve">ultima raccomandazione sulle spese incoraggiava gli Stati membri ad utilizzare lo </w:t>
      </w:r>
      <w:r w:rsidRPr="00BF0169">
        <w:rPr>
          <w:b/>
          <w:noProof/>
          <w:lang w:val="it-IT"/>
        </w:rPr>
        <w:t>strumento di informazione e monitoraggio integrato e interoperabile che la Commissione avrebbe messo a disposizione per il dispositivo per la ripresa e la resilienza e il bilancio dell</w:t>
      </w:r>
      <w:r w:rsidR="00BF0169" w:rsidRPr="00BF0169">
        <w:rPr>
          <w:b/>
          <w:noProof/>
          <w:lang w:val="it-IT"/>
        </w:rPr>
        <w:t>'</w:t>
      </w:r>
      <w:r w:rsidRPr="00BF0169">
        <w:rPr>
          <w:b/>
          <w:noProof/>
          <w:lang w:val="it-IT"/>
        </w:rPr>
        <w:t>UE</w:t>
      </w:r>
      <w:r w:rsidRPr="00BF0169">
        <w:rPr>
          <w:noProof/>
          <w:lang w:val="it-IT"/>
        </w:rPr>
        <w:t>. 19</w:t>
      </w:r>
      <w:r w:rsidRPr="00BF0169">
        <w:rPr>
          <w:rStyle w:val="FootnoteReference"/>
          <w:noProof/>
          <w:lang w:val="it-IT"/>
        </w:rPr>
        <w:footnoteReference w:id="51"/>
      </w:r>
      <w:r w:rsidRPr="00BF0169">
        <w:rPr>
          <w:noProof/>
          <w:lang w:val="it-IT"/>
        </w:rPr>
        <w:t xml:space="preserve"> Stati membri hanno riferito di avere attuato tale raccomandazione pienamente, 4</w:t>
      </w:r>
      <w:r w:rsidRPr="00BF0169">
        <w:rPr>
          <w:rStyle w:val="FootnoteReference"/>
          <w:noProof/>
          <w:lang w:val="it-IT"/>
        </w:rPr>
        <w:footnoteReference w:id="52"/>
      </w:r>
      <w:r w:rsidRPr="00BF0169">
        <w:rPr>
          <w:noProof/>
          <w:lang w:val="it-IT"/>
        </w:rPr>
        <w:t xml:space="preserve"> di averla attuata in parte e 3</w:t>
      </w:r>
      <w:r w:rsidRPr="00BF0169">
        <w:rPr>
          <w:rStyle w:val="FootnoteReference"/>
          <w:noProof/>
          <w:lang w:val="it-IT"/>
        </w:rPr>
        <w:footnoteReference w:id="53"/>
      </w:r>
      <w:r w:rsidRPr="00BF0169">
        <w:rPr>
          <w:noProof/>
          <w:lang w:val="it-IT"/>
        </w:rPr>
        <w:t xml:space="preserve"> di non averla attuata.</w:t>
      </w:r>
    </w:p>
    <w:p w14:paraId="1D316658" w14:textId="77777777" w:rsidR="00FE789E" w:rsidRPr="00BF0169" w:rsidRDefault="00FE789E" w:rsidP="00FE789E">
      <w:pPr>
        <w:pStyle w:val="Heading1"/>
        <w:rPr>
          <w:noProof/>
          <w:lang w:val="it-IT"/>
        </w:rPr>
      </w:pPr>
      <w:bookmarkStart w:id="43" w:name="_Toc116319633"/>
      <w:r w:rsidRPr="00BF0169">
        <w:rPr>
          <w:noProof/>
          <w:lang w:val="it-IT"/>
        </w:rPr>
        <w:t>Cooperazione antifrode</w:t>
      </w:r>
      <w:bookmarkEnd w:id="43"/>
    </w:p>
    <w:p w14:paraId="0B2FF319" w14:textId="3F358100" w:rsidR="00FE789E" w:rsidRPr="00BF0169" w:rsidRDefault="00295D72" w:rsidP="00DC489A">
      <w:pPr>
        <w:rPr>
          <w:noProof/>
          <w:lang w:val="it-IT"/>
        </w:rPr>
      </w:pPr>
      <w:r w:rsidRPr="00BF0169">
        <w:rPr>
          <w:noProof/>
          <w:lang w:val="it-IT"/>
        </w:rPr>
        <w:t>La lotta contro la frode è fondamentale per l</w:t>
      </w:r>
      <w:r w:rsidR="00BF0169" w:rsidRPr="00BF0169">
        <w:rPr>
          <w:noProof/>
          <w:lang w:val="it-IT"/>
        </w:rPr>
        <w:t>'</w:t>
      </w:r>
      <w:r w:rsidRPr="00BF0169">
        <w:rPr>
          <w:noProof/>
          <w:lang w:val="it-IT"/>
        </w:rPr>
        <w:t>UE, non da ultimo in considerazione del ruolo che quest</w:t>
      </w:r>
      <w:r w:rsidR="00BF0169" w:rsidRPr="00BF0169">
        <w:rPr>
          <w:noProof/>
          <w:lang w:val="it-IT"/>
        </w:rPr>
        <w:t>'</w:t>
      </w:r>
      <w:r w:rsidRPr="00BF0169">
        <w:rPr>
          <w:noProof/>
          <w:lang w:val="it-IT"/>
        </w:rPr>
        <w:t>ultima svolge sulla scena mondiale. La cooperazione è fondamentale per garantirne l</w:t>
      </w:r>
      <w:r w:rsidR="00BF0169" w:rsidRPr="00BF0169">
        <w:rPr>
          <w:noProof/>
          <w:lang w:val="it-IT"/>
        </w:rPr>
        <w:t>'</w:t>
      </w:r>
      <w:r w:rsidRPr="00BF0169">
        <w:rPr>
          <w:noProof/>
          <w:lang w:val="it-IT"/>
        </w:rPr>
        <w:t>efficacia. La presente sezione fornisce un resoconto degli sviluppi più significativi in questo settore.</w:t>
      </w:r>
    </w:p>
    <w:p w14:paraId="498DB13E" w14:textId="77777777" w:rsidR="00DC489A" w:rsidRPr="00BF0169" w:rsidRDefault="00DC489A" w:rsidP="00DC489A">
      <w:pPr>
        <w:pStyle w:val="Heading2"/>
        <w:rPr>
          <w:noProof/>
          <w:lang w:val="it-IT"/>
        </w:rPr>
      </w:pPr>
      <w:bookmarkStart w:id="44" w:name="_Toc116319634"/>
      <w:r w:rsidRPr="00BF0169">
        <w:rPr>
          <w:noProof/>
          <w:lang w:val="it-IT"/>
        </w:rPr>
        <w:t>Cooperazione internazionale</w:t>
      </w:r>
      <w:bookmarkEnd w:id="44"/>
    </w:p>
    <w:p w14:paraId="5BD562FA" w14:textId="77777777" w:rsidR="004F6F3F" w:rsidRPr="00BF0169" w:rsidRDefault="00FF426C" w:rsidP="00CD7B44">
      <w:pPr>
        <w:pStyle w:val="Heading3"/>
        <w:rPr>
          <w:noProof/>
          <w:lang w:val="it-IT"/>
        </w:rPr>
      </w:pPr>
      <w:bookmarkStart w:id="45" w:name="_Toc116319635"/>
      <w:r w:rsidRPr="00BF0169">
        <w:rPr>
          <w:noProof/>
          <w:lang w:val="it-IT"/>
        </w:rPr>
        <w:t>Cooperazione con paesi terzi e disposizioni in materia di mutua assistenza e di lotta contro la frode negli accordi internazionali</w:t>
      </w:r>
      <w:bookmarkEnd w:id="45"/>
    </w:p>
    <w:p w14:paraId="2442E74A" w14:textId="3E3D2DD4" w:rsidR="00FF426C" w:rsidRPr="00BF0169" w:rsidRDefault="00FF426C" w:rsidP="00C6311E">
      <w:pPr>
        <w:rPr>
          <w:noProof/>
          <w:lang w:val="it-IT"/>
        </w:rPr>
      </w:pPr>
      <w:r w:rsidRPr="00BF0169">
        <w:rPr>
          <w:noProof/>
          <w:lang w:val="it-IT"/>
        </w:rPr>
        <w:t xml:space="preserve">La </w:t>
      </w:r>
      <w:r w:rsidRPr="00BF0169">
        <w:rPr>
          <w:b/>
          <w:noProof/>
          <w:lang w:val="it-IT"/>
        </w:rPr>
        <w:t>cooperazione con i partner internazionali</w:t>
      </w:r>
      <w:r w:rsidRPr="00BF0169">
        <w:rPr>
          <w:noProof/>
          <w:lang w:val="it-IT"/>
        </w:rPr>
        <w:t xml:space="preserve"> è fondamentale per proteggere i fondi dell</w:t>
      </w:r>
      <w:r w:rsidR="00BF0169" w:rsidRPr="00BF0169">
        <w:rPr>
          <w:noProof/>
          <w:lang w:val="it-IT"/>
        </w:rPr>
        <w:t>'</w:t>
      </w:r>
      <w:r w:rsidRPr="00BF0169">
        <w:rPr>
          <w:noProof/>
          <w:lang w:val="it-IT"/>
        </w:rPr>
        <w:t>UE spesi al di fuori dell</w:t>
      </w:r>
      <w:r w:rsidR="00BF0169" w:rsidRPr="00BF0169">
        <w:rPr>
          <w:noProof/>
          <w:lang w:val="it-IT"/>
        </w:rPr>
        <w:t>'</w:t>
      </w:r>
      <w:r w:rsidRPr="00BF0169">
        <w:rPr>
          <w:noProof/>
          <w:lang w:val="it-IT"/>
        </w:rPr>
        <w:t>Europa e la componente entrate del bilancio dell</w:t>
      </w:r>
      <w:r w:rsidR="00BF0169" w:rsidRPr="00BF0169">
        <w:rPr>
          <w:noProof/>
          <w:lang w:val="it-IT"/>
        </w:rPr>
        <w:t>'</w:t>
      </w:r>
      <w:r w:rsidRPr="00BF0169">
        <w:rPr>
          <w:noProof/>
          <w:lang w:val="it-IT"/>
        </w:rPr>
        <w:t>UE. A tal fine, nel 2021 l</w:t>
      </w:r>
      <w:r w:rsidR="00BF0169" w:rsidRPr="00BF0169">
        <w:rPr>
          <w:noProof/>
          <w:lang w:val="it-IT"/>
        </w:rPr>
        <w:t>'</w:t>
      </w:r>
      <w:r w:rsidRPr="00BF0169">
        <w:rPr>
          <w:noProof/>
          <w:lang w:val="it-IT"/>
        </w:rPr>
        <w:t xml:space="preserve">OLAF, congiuntamente ai servizi competenti della Commissione, ha continuato a </w:t>
      </w:r>
      <w:r w:rsidRPr="00BF0169">
        <w:rPr>
          <w:b/>
          <w:noProof/>
          <w:lang w:val="it-IT"/>
        </w:rPr>
        <w:t>garantire che le convenzioni di finanziamento e altri contratti contenessero solide disposizioni antifrode</w:t>
      </w:r>
      <w:r w:rsidRPr="00BF0169">
        <w:rPr>
          <w:noProof/>
          <w:lang w:val="it-IT"/>
        </w:rPr>
        <w:t>, compresa la possibilità di effettuare controlli e indagini in relazione ai fondi a cui viene data esecuzione al di fuori dell</w:t>
      </w:r>
      <w:r w:rsidR="00BF0169" w:rsidRPr="00BF0169">
        <w:rPr>
          <w:noProof/>
          <w:lang w:val="it-IT"/>
        </w:rPr>
        <w:t>'</w:t>
      </w:r>
      <w:r w:rsidRPr="00BF0169">
        <w:rPr>
          <w:noProof/>
          <w:lang w:val="it-IT"/>
        </w:rPr>
        <w:t>UE. L</w:t>
      </w:r>
      <w:r w:rsidR="00BF0169" w:rsidRPr="00BF0169">
        <w:rPr>
          <w:noProof/>
          <w:lang w:val="it-IT"/>
        </w:rPr>
        <w:t>'</w:t>
      </w:r>
      <w:r w:rsidRPr="00BF0169">
        <w:rPr>
          <w:noProof/>
          <w:lang w:val="it-IT"/>
        </w:rPr>
        <w:t>OLAF ha inoltre concluso accordi di cooperazione amministrativa con due autorità partner internazionali, l</w:t>
      </w:r>
      <w:r w:rsidR="00BF0169" w:rsidRPr="00BF0169">
        <w:rPr>
          <w:noProof/>
          <w:lang w:val="it-IT"/>
        </w:rPr>
        <w:t>'</w:t>
      </w:r>
      <w:r w:rsidRPr="00BF0169">
        <w:rPr>
          <w:noProof/>
          <w:lang w:val="it-IT"/>
        </w:rPr>
        <w:t>Ufficio del procuratore generale dell</w:t>
      </w:r>
      <w:r w:rsidR="00BF0169" w:rsidRPr="00BF0169">
        <w:rPr>
          <w:noProof/>
          <w:lang w:val="it-IT"/>
        </w:rPr>
        <w:t>'</w:t>
      </w:r>
      <w:r w:rsidRPr="00BF0169">
        <w:rPr>
          <w:noProof/>
          <w:lang w:val="it-IT"/>
        </w:rPr>
        <w:t>Ucraina e l</w:t>
      </w:r>
      <w:r w:rsidR="00BF0169" w:rsidRPr="00BF0169">
        <w:rPr>
          <w:noProof/>
          <w:lang w:val="it-IT"/>
        </w:rPr>
        <w:t>'</w:t>
      </w:r>
      <w:r w:rsidRPr="00BF0169">
        <w:rPr>
          <w:noProof/>
          <w:lang w:val="it-IT"/>
        </w:rPr>
        <w:t>Organizzazione mondiale delle dogane (OMD). Tali accordi contribuiscono a promuovere strette relazioni con i partner impegnati nella lotta contro la frode fornendo un quadro di guida per la cooperazione pratica, ad esempio per la condivisione di informazioni o migliori prassi. Nel 2021 l</w:t>
      </w:r>
      <w:r w:rsidR="00BF0169" w:rsidRPr="00BF0169">
        <w:rPr>
          <w:noProof/>
          <w:lang w:val="it-IT"/>
        </w:rPr>
        <w:t>'</w:t>
      </w:r>
      <w:r w:rsidRPr="00BF0169">
        <w:rPr>
          <w:noProof/>
          <w:lang w:val="it-IT"/>
        </w:rPr>
        <w:t>OLAF ha organizzato altresì eventi di sensibilizzazione online per allacciare nuovi contatti operativi con le autorità investigative in paesi terzi e per incoraggiare la segnalazione di frodi e irregolarità tramite le delegazioni dell</w:t>
      </w:r>
      <w:r w:rsidR="00BF0169" w:rsidRPr="00BF0169">
        <w:rPr>
          <w:noProof/>
          <w:lang w:val="it-IT"/>
        </w:rPr>
        <w:t>'</w:t>
      </w:r>
      <w:r w:rsidRPr="00BF0169">
        <w:rPr>
          <w:noProof/>
          <w:lang w:val="it-IT"/>
        </w:rPr>
        <w:t>UE nel mondo.</w:t>
      </w:r>
    </w:p>
    <w:p w14:paraId="35AFCCE3" w14:textId="3F50FBFF" w:rsidR="00C6311E" w:rsidRPr="00BF0169" w:rsidRDefault="00C6311E" w:rsidP="00C6311E">
      <w:pPr>
        <w:rPr>
          <w:noProof/>
          <w:lang w:val="it-IT"/>
        </w:rPr>
      </w:pPr>
      <w:r w:rsidRPr="00BF0169">
        <w:rPr>
          <w:noProof/>
          <w:lang w:val="it-IT"/>
        </w:rPr>
        <w:t xml:space="preserve">La cooperazione con i paesi terzi volta a prevenire, individuare e contrastare le violazioni della normativa doganale si basa su accordi di </w:t>
      </w:r>
      <w:r w:rsidRPr="00BF0169">
        <w:rPr>
          <w:b/>
          <w:noProof/>
          <w:lang w:val="it-IT"/>
        </w:rPr>
        <w:t>assistenza amministrativa reciproca</w:t>
      </w:r>
      <w:r w:rsidRPr="00BF0169">
        <w:rPr>
          <w:noProof/>
          <w:lang w:val="it-IT"/>
        </w:rPr>
        <w:t xml:space="preserve"> in campo doganale. Tali accordi forniscono un contributo fondamentale alla tutela degli interessi finanziari dell</w:t>
      </w:r>
      <w:r w:rsidR="00BF0169" w:rsidRPr="00BF0169">
        <w:rPr>
          <w:noProof/>
          <w:lang w:val="it-IT"/>
        </w:rPr>
        <w:t>'</w:t>
      </w:r>
      <w:r w:rsidRPr="00BF0169">
        <w:rPr>
          <w:noProof/>
          <w:lang w:val="it-IT"/>
        </w:rPr>
        <w:t>UE. Attualmente sono in vigore accordi con 87 paesi, tra cui importanti partner commerciali dell</w:t>
      </w:r>
      <w:r w:rsidR="00BF0169" w:rsidRPr="00BF0169">
        <w:rPr>
          <w:noProof/>
          <w:lang w:val="it-IT"/>
        </w:rPr>
        <w:t>'</w:t>
      </w:r>
      <w:r w:rsidRPr="00BF0169">
        <w:rPr>
          <w:noProof/>
          <w:lang w:val="it-IT"/>
        </w:rPr>
        <w:t>UE quali gli Stati Uniti, la Cina e il Giappone. Nel 2021 sono stati finalizzati i negoziati con i paesi dell</w:t>
      </w:r>
      <w:r w:rsidR="00BF0169" w:rsidRPr="00BF0169">
        <w:rPr>
          <w:noProof/>
          <w:lang w:val="it-IT"/>
        </w:rPr>
        <w:t>'</w:t>
      </w:r>
      <w:r w:rsidRPr="00BF0169">
        <w:rPr>
          <w:noProof/>
          <w:lang w:val="it-IT"/>
        </w:rPr>
        <w:t>Africa orientale e australe (ESA5)</w:t>
      </w:r>
      <w:r w:rsidRPr="00BF0169">
        <w:rPr>
          <w:rStyle w:val="FootnoteReference"/>
          <w:noProof/>
          <w:lang w:val="it-IT"/>
        </w:rPr>
        <w:footnoteReference w:id="54"/>
      </w:r>
      <w:r w:rsidRPr="00BF0169">
        <w:rPr>
          <w:noProof/>
          <w:lang w:val="it-IT"/>
        </w:rPr>
        <w:t xml:space="preserve"> ed erano in corso quelli con Australia e Indonesia, nonché con il Regno Unito in merito a Gibilterra.</w:t>
      </w:r>
    </w:p>
    <w:p w14:paraId="3453F37D" w14:textId="3FCBD6C5" w:rsidR="00C6311E" w:rsidRPr="00BF0169" w:rsidRDefault="00C6311E" w:rsidP="00C6311E">
      <w:pPr>
        <w:rPr>
          <w:noProof/>
          <w:lang w:val="it-IT"/>
        </w:rPr>
      </w:pPr>
      <w:r w:rsidRPr="00BF0169">
        <w:rPr>
          <w:noProof/>
          <w:lang w:val="it-IT"/>
        </w:rPr>
        <w:t xml:space="preserve">Gli accordi di libero scambio contengono solitamente una clausola antifrode che comporta la revoca temporanea delle preferenze tariffarie in relazione a un prodotto in caso di grave frode doganale e di protratta assenza di una cooperazione adeguata a contrastarla. Tale clausola costituisce in definitiva una </w:t>
      </w:r>
      <w:r w:rsidRPr="00BF0169">
        <w:rPr>
          <w:i/>
          <w:noProof/>
          <w:lang w:val="it-IT"/>
        </w:rPr>
        <w:t>conditio sine qua non</w:t>
      </w:r>
      <w:r w:rsidRPr="00BF0169">
        <w:rPr>
          <w:noProof/>
          <w:lang w:val="it-IT"/>
        </w:rPr>
        <w:t xml:space="preserve"> per la concessione della preferenza tariffaria a paesi terzi. </w:t>
      </w:r>
    </w:p>
    <w:p w14:paraId="13B0BFC8" w14:textId="684BE845" w:rsidR="004F6F3F" w:rsidRPr="00BF0169" w:rsidRDefault="00BF0169" w:rsidP="00CD7B44">
      <w:pPr>
        <w:pStyle w:val="Heading3"/>
        <w:rPr>
          <w:noProof/>
          <w:lang w:val="it-IT"/>
        </w:rPr>
      </w:pPr>
      <w:bookmarkStart w:id="46" w:name="_Toc116319636"/>
      <w:r>
        <w:rPr>
          <w:noProof/>
          <w:lang w:val="it-IT"/>
        </w:rPr>
        <w:t>Nona conferenza de</w:t>
      </w:r>
      <w:r w:rsidR="00F90561" w:rsidRPr="00BF0169">
        <w:rPr>
          <w:noProof/>
          <w:lang w:val="it-IT"/>
        </w:rPr>
        <w:t>g</w:t>
      </w:r>
      <w:r>
        <w:rPr>
          <w:noProof/>
          <w:lang w:val="it-IT"/>
        </w:rPr>
        <w:t>l</w:t>
      </w:r>
      <w:r w:rsidR="00F90561" w:rsidRPr="00BF0169">
        <w:rPr>
          <w:noProof/>
          <w:lang w:val="it-IT"/>
        </w:rPr>
        <w:t>i Stati parte della convenzione delle Nazioni Unite contro la corruzione e risoluzioni patrocinate dall</w:t>
      </w:r>
      <w:r w:rsidRPr="00BF0169">
        <w:rPr>
          <w:noProof/>
          <w:lang w:val="it-IT"/>
        </w:rPr>
        <w:t>'</w:t>
      </w:r>
      <w:r w:rsidR="00F90561" w:rsidRPr="00BF0169">
        <w:rPr>
          <w:noProof/>
          <w:lang w:val="it-IT"/>
        </w:rPr>
        <w:t>UE</w:t>
      </w:r>
      <w:bookmarkEnd w:id="46"/>
    </w:p>
    <w:p w14:paraId="7EBA0610" w14:textId="4DC5EAE1" w:rsidR="00AB46D0" w:rsidRPr="00BF0169" w:rsidRDefault="00AB46D0" w:rsidP="00233792">
      <w:pPr>
        <w:rPr>
          <w:noProof/>
          <w:lang w:val="it-IT"/>
        </w:rPr>
      </w:pPr>
      <w:r w:rsidRPr="00BF0169">
        <w:rPr>
          <w:b/>
          <w:noProof/>
          <w:lang w:val="it-IT"/>
        </w:rPr>
        <w:t>L</w:t>
      </w:r>
      <w:r w:rsidR="00BF0169" w:rsidRPr="00BF0169">
        <w:rPr>
          <w:b/>
          <w:noProof/>
          <w:lang w:val="it-IT"/>
        </w:rPr>
        <w:t>'</w:t>
      </w:r>
      <w:r w:rsidRPr="00BF0169">
        <w:rPr>
          <w:b/>
          <w:noProof/>
          <w:lang w:val="it-IT"/>
        </w:rPr>
        <w:t>UE è parte della convenzione delle Nazioni Unite contro la corruzione</w:t>
      </w:r>
      <w:r w:rsidRPr="00BF0169">
        <w:rPr>
          <w:noProof/>
          <w:lang w:val="it-IT"/>
        </w:rPr>
        <w:t xml:space="preserve"> (UNCAC), l</w:t>
      </w:r>
      <w:r w:rsidR="00BF0169" w:rsidRPr="00BF0169">
        <w:rPr>
          <w:noProof/>
          <w:lang w:val="it-IT"/>
        </w:rPr>
        <w:t>'</w:t>
      </w:r>
      <w:r w:rsidRPr="00BF0169">
        <w:rPr>
          <w:noProof/>
          <w:lang w:val="it-IT"/>
        </w:rPr>
        <w:t>unico strumento universale anticorruzione giuridicamente vincolante. La Commissione rappresenta l</w:t>
      </w:r>
      <w:r w:rsidR="00BF0169" w:rsidRPr="00BF0169">
        <w:rPr>
          <w:noProof/>
          <w:lang w:val="it-IT"/>
        </w:rPr>
        <w:t>'</w:t>
      </w:r>
      <w:r w:rsidRPr="00BF0169">
        <w:rPr>
          <w:noProof/>
          <w:lang w:val="it-IT"/>
        </w:rPr>
        <w:t>UE in tutti i processi relativi all</w:t>
      </w:r>
      <w:r w:rsidR="00BF0169" w:rsidRPr="00BF0169">
        <w:rPr>
          <w:noProof/>
          <w:lang w:val="it-IT"/>
        </w:rPr>
        <w:t>'</w:t>
      </w:r>
      <w:r w:rsidRPr="00BF0169">
        <w:rPr>
          <w:noProof/>
          <w:lang w:val="it-IT"/>
        </w:rPr>
        <w:t>UNCAC, anche partecipando alle riunioni del gruppo di riesame dell</w:t>
      </w:r>
      <w:r w:rsidR="00BF0169" w:rsidRPr="00BF0169">
        <w:rPr>
          <w:noProof/>
          <w:lang w:val="it-IT"/>
        </w:rPr>
        <w:t>'</w:t>
      </w:r>
      <w:r w:rsidRPr="00BF0169">
        <w:rPr>
          <w:noProof/>
          <w:lang w:val="it-IT"/>
        </w:rPr>
        <w:t>attuazione e ai gruppi di lavoro aperti sulla prevenzione della corruzione e sul recupero dei beni.</w:t>
      </w:r>
    </w:p>
    <w:p w14:paraId="41878CAC" w14:textId="36EFAC9D" w:rsidR="001149B4" w:rsidRPr="00BF0169" w:rsidRDefault="001149B4" w:rsidP="00233792">
      <w:pPr>
        <w:rPr>
          <w:noProof/>
          <w:lang w:val="it-IT"/>
        </w:rPr>
      </w:pPr>
      <w:r w:rsidRPr="00BF0169">
        <w:rPr>
          <w:noProof/>
          <w:lang w:val="it-IT"/>
        </w:rPr>
        <w:t>Il meccanismo di riesame dell</w:t>
      </w:r>
      <w:r w:rsidR="00BF0169" w:rsidRPr="00BF0169">
        <w:rPr>
          <w:noProof/>
          <w:lang w:val="it-IT"/>
        </w:rPr>
        <w:t>'</w:t>
      </w:r>
      <w:r w:rsidRPr="00BF0169">
        <w:rPr>
          <w:noProof/>
          <w:lang w:val="it-IT"/>
        </w:rPr>
        <w:t>attuazione della convenzione è vincolante per tutte le parti della convenzione, compresa l</w:t>
      </w:r>
      <w:r w:rsidR="00BF0169" w:rsidRPr="00BF0169">
        <w:rPr>
          <w:noProof/>
          <w:lang w:val="it-IT"/>
        </w:rPr>
        <w:t>'</w:t>
      </w:r>
      <w:r w:rsidRPr="00BF0169">
        <w:rPr>
          <w:noProof/>
          <w:lang w:val="it-IT"/>
        </w:rPr>
        <w:t>UE. Nel giugno del 2021 la Commissione ha annunciato all</w:t>
      </w:r>
      <w:r w:rsidR="00BF0169" w:rsidRPr="00BF0169">
        <w:rPr>
          <w:noProof/>
          <w:lang w:val="it-IT"/>
        </w:rPr>
        <w:t>'</w:t>
      </w:r>
      <w:r w:rsidRPr="00BF0169">
        <w:rPr>
          <w:noProof/>
          <w:lang w:val="it-IT"/>
        </w:rPr>
        <w:t>Ufficio delle Nazioni Unite contro la droga e il crimine (UNODC) la propria disponibilità a sottoporsi al processo di riesame previsto dall</w:t>
      </w:r>
      <w:r w:rsidR="00BF0169" w:rsidRPr="00BF0169">
        <w:rPr>
          <w:noProof/>
          <w:lang w:val="it-IT"/>
        </w:rPr>
        <w:t>'</w:t>
      </w:r>
      <w:r w:rsidRPr="00BF0169">
        <w:rPr>
          <w:noProof/>
          <w:lang w:val="it-IT"/>
        </w:rPr>
        <w:t>UNCAC</w:t>
      </w:r>
      <w:r w:rsidRPr="00BF0169">
        <w:rPr>
          <w:rStyle w:val="FootnoteReference"/>
          <w:noProof/>
          <w:lang w:val="it-IT"/>
        </w:rPr>
        <w:footnoteReference w:id="55"/>
      </w:r>
      <w:r w:rsidRPr="00BF0169">
        <w:rPr>
          <w:noProof/>
          <w:lang w:val="it-IT"/>
        </w:rPr>
        <w:t>. Nel luglio del 2021 è stato ufficialmente avviato il riesame dell</w:t>
      </w:r>
      <w:r w:rsidR="00BF0169" w:rsidRPr="00BF0169">
        <w:rPr>
          <w:noProof/>
          <w:lang w:val="it-IT"/>
        </w:rPr>
        <w:t>'</w:t>
      </w:r>
      <w:r w:rsidRPr="00BF0169">
        <w:rPr>
          <w:noProof/>
          <w:lang w:val="it-IT"/>
        </w:rPr>
        <w:t>attuazione.</w:t>
      </w:r>
    </w:p>
    <w:p w14:paraId="082C7BE1" w14:textId="4633EA85" w:rsidR="00AB46D0" w:rsidRPr="00BF0169" w:rsidRDefault="00AB46D0" w:rsidP="00233792">
      <w:pPr>
        <w:rPr>
          <w:noProof/>
          <w:lang w:val="it-IT"/>
        </w:rPr>
      </w:pPr>
      <w:r w:rsidRPr="00BF0169">
        <w:rPr>
          <w:noProof/>
          <w:lang w:val="it-IT"/>
        </w:rPr>
        <w:t>Nel corso della nona conferenza degli Stati parte (CoSP) tenutasi a Sharm el-Sheikh, in Egitto, nel dicembre 2021, l</w:t>
      </w:r>
      <w:r w:rsidR="00BF0169" w:rsidRPr="00BF0169">
        <w:rPr>
          <w:noProof/>
          <w:lang w:val="it-IT"/>
        </w:rPr>
        <w:t>'</w:t>
      </w:r>
      <w:r w:rsidRPr="00BF0169">
        <w:rPr>
          <w:noProof/>
          <w:lang w:val="it-IT"/>
        </w:rPr>
        <w:t xml:space="preserve">UE ha sottolineato i propri continui e strenui sforzi a sostegno della più ampia </w:t>
      </w:r>
      <w:r w:rsidRPr="00BF0169">
        <w:rPr>
          <w:b/>
          <w:noProof/>
          <w:lang w:val="it-IT"/>
        </w:rPr>
        <w:t>partecipazione della società civile e delle organizzazioni non governative pertinenti</w:t>
      </w:r>
      <w:r w:rsidRPr="00BF0169">
        <w:rPr>
          <w:noProof/>
          <w:lang w:val="it-IT"/>
        </w:rPr>
        <w:t xml:space="preserve"> nella lotta contro la corruzione. </w:t>
      </w:r>
    </w:p>
    <w:p w14:paraId="2D990E9A" w14:textId="3FE8F0FE" w:rsidR="00AB46D0" w:rsidRPr="00BF0169" w:rsidRDefault="00AB46D0" w:rsidP="00AB46D0">
      <w:pPr>
        <w:rPr>
          <w:noProof/>
          <w:lang w:val="it-IT"/>
        </w:rPr>
      </w:pPr>
      <w:r w:rsidRPr="00BF0169">
        <w:rPr>
          <w:noProof/>
          <w:lang w:val="it-IT"/>
        </w:rPr>
        <w:t>Durante la discussione generale, l</w:t>
      </w:r>
      <w:r w:rsidR="00BF0169" w:rsidRPr="00BF0169">
        <w:rPr>
          <w:noProof/>
          <w:lang w:val="it-IT"/>
        </w:rPr>
        <w:t>'</w:t>
      </w:r>
      <w:r w:rsidRPr="00BF0169">
        <w:rPr>
          <w:noProof/>
          <w:lang w:val="it-IT"/>
        </w:rPr>
        <w:t>UE ha rilevato il ruolo dell</w:t>
      </w:r>
      <w:r w:rsidR="00BF0169" w:rsidRPr="00BF0169">
        <w:rPr>
          <w:noProof/>
          <w:lang w:val="it-IT"/>
        </w:rPr>
        <w:t>'</w:t>
      </w:r>
      <w:r w:rsidRPr="00BF0169">
        <w:rPr>
          <w:noProof/>
          <w:lang w:val="it-IT"/>
        </w:rPr>
        <w:t>EPPO e dell</w:t>
      </w:r>
      <w:r w:rsidR="00BF0169" w:rsidRPr="00BF0169">
        <w:rPr>
          <w:noProof/>
          <w:lang w:val="it-IT"/>
        </w:rPr>
        <w:t>'</w:t>
      </w:r>
      <w:r w:rsidRPr="00BF0169">
        <w:rPr>
          <w:noProof/>
          <w:lang w:val="it-IT"/>
        </w:rPr>
        <w:t>OLAF nella lotta alla corruzione e ha sottolineato l</w:t>
      </w:r>
      <w:r w:rsidR="00BF0169" w:rsidRPr="00BF0169">
        <w:rPr>
          <w:noProof/>
          <w:lang w:val="it-IT"/>
        </w:rPr>
        <w:t>'</w:t>
      </w:r>
      <w:r w:rsidRPr="00BF0169">
        <w:rPr>
          <w:noProof/>
          <w:lang w:val="it-IT"/>
        </w:rPr>
        <w:t>importanza dei media e dei giornalisti investigativi. Quattro delle otto risoluzioni adottate sono state patrocinate dall</w:t>
      </w:r>
      <w:r w:rsidR="00BF0169" w:rsidRPr="00BF0169">
        <w:rPr>
          <w:noProof/>
          <w:lang w:val="it-IT"/>
        </w:rPr>
        <w:t>'</w:t>
      </w:r>
      <w:r w:rsidRPr="00BF0169">
        <w:rPr>
          <w:noProof/>
          <w:lang w:val="it-IT"/>
        </w:rPr>
        <w:t>UE, in particolare quelle in materia di prevenzione della corruzione, rafforzamento della cooperazione internazionale in situazioni di emergenza, risposta alle crisi e ripresa dopo le stesse, nonché lotta regionale contro la corruzione</w:t>
      </w:r>
      <w:r w:rsidRPr="00BF0169">
        <w:rPr>
          <w:rStyle w:val="FootnoteReference"/>
          <w:noProof/>
          <w:lang w:val="it-IT"/>
        </w:rPr>
        <w:footnoteReference w:id="56"/>
      </w:r>
      <w:r w:rsidRPr="00BF0169">
        <w:rPr>
          <w:noProof/>
          <w:lang w:val="it-IT"/>
        </w:rPr>
        <w:t>.</w:t>
      </w:r>
    </w:p>
    <w:p w14:paraId="63D1F5B2" w14:textId="77777777" w:rsidR="00C6311E" w:rsidRPr="00BF0169" w:rsidRDefault="00C6311E" w:rsidP="00CD7B44">
      <w:pPr>
        <w:pStyle w:val="Heading3"/>
        <w:rPr>
          <w:noProof/>
          <w:lang w:val="it-IT"/>
        </w:rPr>
      </w:pPr>
      <w:bookmarkStart w:id="47" w:name="_Toc116319637"/>
      <w:r w:rsidRPr="00BF0169">
        <w:rPr>
          <w:noProof/>
          <w:lang w:val="it-IT"/>
        </w:rPr>
        <w:t>Lotta contro il traffico illecito di prodotti del tabacco</w:t>
      </w:r>
      <w:bookmarkEnd w:id="47"/>
    </w:p>
    <w:p w14:paraId="08CBA002" w14:textId="6001B65E" w:rsidR="00C6311E" w:rsidRPr="00BF0169" w:rsidRDefault="00C6311E" w:rsidP="00C6311E">
      <w:pPr>
        <w:rPr>
          <w:noProof/>
          <w:lang w:val="it-IT"/>
        </w:rPr>
      </w:pPr>
      <w:r w:rsidRPr="00BF0169">
        <w:rPr>
          <w:noProof/>
          <w:lang w:val="it-IT"/>
        </w:rPr>
        <w:t xml:space="preserve">Il </w:t>
      </w:r>
      <w:r w:rsidRPr="00BF0169">
        <w:rPr>
          <w:b/>
          <w:noProof/>
          <w:lang w:val="it-IT"/>
        </w:rPr>
        <w:t>secondo piano d</w:t>
      </w:r>
      <w:r w:rsidR="00BF0169" w:rsidRPr="00BF0169">
        <w:rPr>
          <w:b/>
          <w:noProof/>
          <w:lang w:val="it-IT"/>
        </w:rPr>
        <w:t>'</w:t>
      </w:r>
      <w:r w:rsidRPr="00BF0169">
        <w:rPr>
          <w:b/>
          <w:noProof/>
          <w:lang w:val="it-IT"/>
        </w:rPr>
        <w:t>azione</w:t>
      </w:r>
      <w:r w:rsidRPr="00BF0169">
        <w:rPr>
          <w:noProof/>
          <w:lang w:val="it-IT"/>
        </w:rPr>
        <w:t xml:space="preserve"> </w:t>
      </w:r>
      <w:r w:rsidRPr="00BF0169">
        <w:rPr>
          <w:b/>
          <w:noProof/>
          <w:lang w:val="it-IT"/>
        </w:rPr>
        <w:t>per contrastare il traffico illecito di tabacco</w:t>
      </w:r>
      <w:r w:rsidRPr="00BF0169">
        <w:rPr>
          <w:noProof/>
          <w:lang w:val="it-IT"/>
        </w:rPr>
        <w:t xml:space="preserve"> (2018-2022), presentato dalla Commissione nel dicembre del 2018 e contenente misure politiche e operative di contrasto, ha continuato ad essere attuato per tutto il 2021 e, alla fine dell</w:t>
      </w:r>
      <w:r w:rsidR="00BF0169" w:rsidRPr="00BF0169">
        <w:rPr>
          <w:noProof/>
          <w:lang w:val="it-IT"/>
        </w:rPr>
        <w:t>'</w:t>
      </w:r>
      <w:r w:rsidRPr="00BF0169">
        <w:rPr>
          <w:noProof/>
          <w:lang w:val="it-IT"/>
        </w:rPr>
        <w:t>anno, numerose azioni chiave erano in corso o erano state completate.</w:t>
      </w:r>
    </w:p>
    <w:p w14:paraId="06C62740" w14:textId="64698936" w:rsidR="00C6311E" w:rsidRPr="00BF0169" w:rsidRDefault="00C6311E" w:rsidP="00C6311E">
      <w:pPr>
        <w:rPr>
          <w:noProof/>
          <w:lang w:val="it-IT"/>
        </w:rPr>
      </w:pPr>
      <w:r w:rsidRPr="00BF0169">
        <w:rPr>
          <w:noProof/>
          <w:lang w:val="it-IT"/>
        </w:rPr>
        <w:t xml:space="preserve">La Commissione svolge un ruolo guida in questo settore a livello multilaterale e bilaterale con i paesi di origine e di transito. A livello multilaterale, il </w:t>
      </w:r>
      <w:r w:rsidRPr="00BF0169">
        <w:rPr>
          <w:b/>
          <w:noProof/>
          <w:lang w:val="it-IT"/>
        </w:rPr>
        <w:t>protocollo sull</w:t>
      </w:r>
      <w:r w:rsidR="00BF0169" w:rsidRPr="00BF0169">
        <w:rPr>
          <w:b/>
          <w:noProof/>
          <w:lang w:val="it-IT"/>
        </w:rPr>
        <w:t>'</w:t>
      </w:r>
      <w:r w:rsidRPr="00BF0169">
        <w:rPr>
          <w:b/>
          <w:noProof/>
          <w:lang w:val="it-IT"/>
        </w:rPr>
        <w:t>eliminazione del commercio illegale dei prodotti derivati dal tabacco allegato alla convenzione quadro dell</w:t>
      </w:r>
      <w:r w:rsidR="00BF0169" w:rsidRPr="00BF0169">
        <w:rPr>
          <w:b/>
          <w:noProof/>
          <w:lang w:val="it-IT"/>
        </w:rPr>
        <w:t>'</w:t>
      </w:r>
      <w:r w:rsidRPr="00BF0169">
        <w:rPr>
          <w:b/>
          <w:noProof/>
          <w:lang w:val="it-IT"/>
        </w:rPr>
        <w:t>OMS per la lotta al tabagismo</w:t>
      </w:r>
      <w:r w:rsidRPr="00BF0169">
        <w:rPr>
          <w:noProof/>
          <w:lang w:val="it-IT"/>
        </w:rPr>
        <w:t xml:space="preserve"> è un accordo internazionale volto a ridurre significativamente il traffico illecito di tabacco nel mondo. L</w:t>
      </w:r>
      <w:r w:rsidR="00BF0169" w:rsidRPr="00BF0169">
        <w:rPr>
          <w:noProof/>
          <w:lang w:val="it-IT"/>
        </w:rPr>
        <w:t>'</w:t>
      </w:r>
      <w:r w:rsidRPr="00BF0169">
        <w:rPr>
          <w:noProof/>
          <w:lang w:val="it-IT"/>
        </w:rPr>
        <w:t>OLAF, in stretta collaborazione con i servizi competenti della Commissione e gli Stati membri, si è impegnato attivamente nei lavori relativi a tale protocollo. L</w:t>
      </w:r>
      <w:r w:rsidR="00BF0169" w:rsidRPr="00BF0169">
        <w:rPr>
          <w:noProof/>
          <w:lang w:val="it-IT"/>
        </w:rPr>
        <w:t>'</w:t>
      </w:r>
      <w:r w:rsidRPr="00BF0169">
        <w:rPr>
          <w:noProof/>
          <w:lang w:val="it-IT"/>
        </w:rPr>
        <w:t>OLAF ha rappresentato l</w:t>
      </w:r>
      <w:r w:rsidR="00BF0169" w:rsidRPr="00BF0169">
        <w:rPr>
          <w:noProof/>
          <w:lang w:val="it-IT"/>
        </w:rPr>
        <w:t>'</w:t>
      </w:r>
      <w:r w:rsidRPr="00BF0169">
        <w:rPr>
          <w:noProof/>
          <w:lang w:val="it-IT"/>
        </w:rPr>
        <w:t>UE e gli Stati membri partecipanti alla seconda riunione delle parti svoltasi nel novembre del 2021. Durante tale riunione sono state approvate le conclusioni di due gruppi di lavoro (Tracciabilità e rintracciabilità e Assistenza e cooperazione) ed è stata proposta una nuova strategia di assistenza a sostegno dell</w:t>
      </w:r>
      <w:r w:rsidR="00BF0169" w:rsidRPr="00BF0169">
        <w:rPr>
          <w:noProof/>
          <w:lang w:val="it-IT"/>
        </w:rPr>
        <w:t>'</w:t>
      </w:r>
      <w:r w:rsidRPr="00BF0169">
        <w:rPr>
          <w:noProof/>
          <w:lang w:val="it-IT"/>
        </w:rPr>
        <w:t>attuazione del protocollo. Tutte le parti coinvolte hanno inoltre convenuto di continuare a lavorare a un punto focale mondiale per la condivisione di informazioni al fine di consentire ai sistemi di tracciabilità e rintracciabilità di scambiare informazioni e sostenere la lotta mondiale contro il traffico illecito di tabacco.</w:t>
      </w:r>
    </w:p>
    <w:p w14:paraId="7ADC7067" w14:textId="0B247742" w:rsidR="004F6F3F" w:rsidRPr="00BF0169" w:rsidRDefault="004F6F3F" w:rsidP="004F6F3F">
      <w:pPr>
        <w:pStyle w:val="Heading2"/>
        <w:rPr>
          <w:noProof/>
          <w:lang w:val="it-IT"/>
        </w:rPr>
      </w:pPr>
      <w:bookmarkStart w:id="48" w:name="_Toc116319638"/>
      <w:r w:rsidRPr="00BF0169">
        <w:rPr>
          <w:noProof/>
          <w:lang w:val="it-IT"/>
        </w:rPr>
        <w:t>Cooperazione tra l</w:t>
      </w:r>
      <w:r w:rsidR="00BF0169" w:rsidRPr="00BF0169">
        <w:rPr>
          <w:noProof/>
          <w:lang w:val="it-IT"/>
        </w:rPr>
        <w:t>'</w:t>
      </w:r>
      <w:r w:rsidRPr="00BF0169">
        <w:rPr>
          <w:noProof/>
          <w:lang w:val="it-IT"/>
        </w:rPr>
        <w:t>Unione europea e gli Stati membri</w:t>
      </w:r>
      <w:bookmarkEnd w:id="48"/>
    </w:p>
    <w:p w14:paraId="75D11B6C" w14:textId="70CDAFC3" w:rsidR="00CF1D95" w:rsidRPr="00BF0169" w:rsidRDefault="00CF1D95" w:rsidP="00CD7B44">
      <w:pPr>
        <w:pStyle w:val="Heading3"/>
        <w:rPr>
          <w:noProof/>
          <w:lang w:val="it-IT"/>
        </w:rPr>
      </w:pPr>
      <w:bookmarkStart w:id="49" w:name="_Toc116319639"/>
      <w:r w:rsidRPr="00BF0169">
        <w:rPr>
          <w:noProof/>
          <w:lang w:val="it-IT"/>
        </w:rPr>
        <w:t>Attività del comitato consultivo per il coordinamento nel settore della lotta contro le frodi (COCOLAF)</w:t>
      </w:r>
      <w:bookmarkEnd w:id="49"/>
    </w:p>
    <w:p w14:paraId="7215EFBF" w14:textId="2A69AC53" w:rsidR="004F60DF" w:rsidRPr="00BF0169" w:rsidRDefault="00CF1D95" w:rsidP="004F60DF">
      <w:pPr>
        <w:rPr>
          <w:noProof/>
          <w:lang w:val="it-IT"/>
        </w:rPr>
      </w:pPr>
      <w:r w:rsidRPr="00BF0169">
        <w:rPr>
          <w:noProof/>
          <w:lang w:val="it-IT"/>
        </w:rPr>
        <w:t xml:space="preserve">Il </w:t>
      </w:r>
      <w:r w:rsidRPr="00BF0169">
        <w:rPr>
          <w:b/>
          <w:noProof/>
          <w:lang w:val="it-IT"/>
        </w:rPr>
        <w:t>comitato consultivo per il coordinamento nel settore della lotta contro le frodi</w:t>
      </w:r>
      <w:r w:rsidRPr="00BF0169">
        <w:rPr>
          <w:noProof/>
          <w:lang w:val="it-IT"/>
        </w:rPr>
        <w:t xml:space="preserve"> (</w:t>
      </w:r>
      <w:r w:rsidR="00BF0169" w:rsidRPr="00BF0169">
        <w:rPr>
          <w:noProof/>
          <w:lang w:val="it-IT"/>
        </w:rPr>
        <w:t>"</w:t>
      </w:r>
      <w:r w:rsidRPr="00BF0169">
        <w:rPr>
          <w:noProof/>
          <w:lang w:val="it-IT"/>
        </w:rPr>
        <w:t>COCOLAF</w:t>
      </w:r>
      <w:r w:rsidR="00BF0169" w:rsidRPr="00BF0169">
        <w:rPr>
          <w:noProof/>
          <w:lang w:val="it-IT"/>
        </w:rPr>
        <w:t>"</w:t>
      </w:r>
      <w:r w:rsidRPr="00BF0169">
        <w:rPr>
          <w:noProof/>
          <w:lang w:val="it-IT"/>
        </w:rPr>
        <w:t>) riunisce al proprio interno esperti della Commissione (rappresentata dall</w:t>
      </w:r>
      <w:r w:rsidR="00BF0169" w:rsidRPr="00BF0169">
        <w:rPr>
          <w:noProof/>
          <w:lang w:val="it-IT"/>
        </w:rPr>
        <w:t>'</w:t>
      </w:r>
      <w:r w:rsidRPr="00BF0169">
        <w:rPr>
          <w:noProof/>
          <w:lang w:val="it-IT"/>
        </w:rPr>
        <w:t>OLAF) e degli Stati membri. Esso rappresenta un forum per la discussione dei principali sviluppi nella lotta contro le frodi e l</w:t>
      </w:r>
      <w:r w:rsidR="00BF0169" w:rsidRPr="00BF0169">
        <w:rPr>
          <w:noProof/>
          <w:lang w:val="it-IT"/>
        </w:rPr>
        <w:t>'</w:t>
      </w:r>
      <w:r w:rsidRPr="00BF0169">
        <w:rPr>
          <w:noProof/>
          <w:lang w:val="it-IT"/>
        </w:rPr>
        <w:t xml:space="preserve">elaborazione della presente relazione. Le sue attività sono strutturate attorno a quattro gruppi di lavoro e a sessioni plenarie. </w:t>
      </w:r>
    </w:p>
    <w:p w14:paraId="4E9B79C8" w14:textId="7E0DAED4" w:rsidR="004F60DF" w:rsidRPr="00BF0169" w:rsidRDefault="004F60DF" w:rsidP="004F60DF">
      <w:pPr>
        <w:rPr>
          <w:noProof/>
          <w:lang w:val="it-IT"/>
        </w:rPr>
      </w:pPr>
      <w:r w:rsidRPr="00BF0169">
        <w:rPr>
          <w:noProof/>
          <w:lang w:val="it-IT"/>
        </w:rPr>
        <w:t>Nel 2021 sono state organizzate due riunioni plenarie a giugno e a dicembre, si sono svolte due riunioni del sottogruppo sulla segnalazione e l</w:t>
      </w:r>
      <w:r w:rsidR="00BF0169" w:rsidRPr="00BF0169">
        <w:rPr>
          <w:noProof/>
          <w:lang w:val="it-IT"/>
        </w:rPr>
        <w:t>'</w:t>
      </w:r>
      <w:r w:rsidRPr="00BF0169">
        <w:rPr>
          <w:noProof/>
          <w:lang w:val="it-IT"/>
        </w:rPr>
        <w:t>analisi delle frodi e di altre irregolarità e una riunione del sottogruppo sulla prevenzione delle frodi. Tali riunioni hanno rappresentato una buona occasione per discutere delle ultime tendenze in materia di irregolarità e frodi e degli strumenti informatici utilizzati per gestire i fondi UE. Esse hanno costituito altresì un collegamento importante tra l</w:t>
      </w:r>
      <w:r w:rsidR="00BF0169" w:rsidRPr="00BF0169">
        <w:rPr>
          <w:noProof/>
          <w:lang w:val="it-IT"/>
        </w:rPr>
        <w:t>'</w:t>
      </w:r>
      <w:r w:rsidRPr="00BF0169">
        <w:rPr>
          <w:noProof/>
          <w:lang w:val="it-IT"/>
        </w:rPr>
        <w:t xml:space="preserve">OLAF e i suoi partner durante la pandemia, mantenendo aperte le linee di comunicazione e consentendo ai partecipanti di condividere informazioni e migliori prassi. </w:t>
      </w:r>
    </w:p>
    <w:p w14:paraId="3D9BD030" w14:textId="053494CD" w:rsidR="004F60DF" w:rsidRPr="00BF0169" w:rsidRDefault="004F60DF" w:rsidP="004F60DF">
      <w:pPr>
        <w:rPr>
          <w:noProof/>
          <w:lang w:val="it-IT"/>
        </w:rPr>
      </w:pPr>
      <w:r w:rsidRPr="00BF0169">
        <w:rPr>
          <w:noProof/>
          <w:lang w:val="it-IT"/>
        </w:rPr>
        <w:t>La riunione annuale tra gli AFCOS degli Stati membri si è svolta a settembre, in modalità virtuale. Le discussioni si sono concentrate sul dispositivo per la ripresa e la resilienza. A dicembre il sottogruppo per la prevenzione delle frodi ha convenuto di istituire un gruppo di esperti dedicato all</w:t>
      </w:r>
      <w:r w:rsidR="00BF0169" w:rsidRPr="00BF0169">
        <w:rPr>
          <w:noProof/>
          <w:lang w:val="it-IT"/>
        </w:rPr>
        <w:t>'</w:t>
      </w:r>
      <w:r w:rsidRPr="00BF0169">
        <w:rPr>
          <w:noProof/>
          <w:lang w:val="it-IT"/>
        </w:rPr>
        <w:t>utilizzo degli strumenti informatici per tutelare le risorse di detto dispositivo.</w:t>
      </w:r>
    </w:p>
    <w:p w14:paraId="1D8E95CF" w14:textId="3D4EA701" w:rsidR="008A17E3" w:rsidRPr="00BF0169" w:rsidRDefault="008A17E3" w:rsidP="00CD7B44">
      <w:pPr>
        <w:pStyle w:val="Heading3"/>
        <w:rPr>
          <w:noProof/>
          <w:lang w:val="it-IT"/>
        </w:rPr>
      </w:pPr>
      <w:bookmarkStart w:id="50" w:name="_Toc116319640"/>
      <w:r w:rsidRPr="00BF0169">
        <w:rPr>
          <w:noProof/>
          <w:lang w:val="it-IT"/>
        </w:rPr>
        <w:t>Il programma antifrode dell</w:t>
      </w:r>
      <w:r w:rsidR="00BF0169" w:rsidRPr="00BF0169">
        <w:rPr>
          <w:noProof/>
          <w:lang w:val="it-IT"/>
        </w:rPr>
        <w:t>'</w:t>
      </w:r>
      <w:r w:rsidRPr="00BF0169">
        <w:rPr>
          <w:noProof/>
          <w:lang w:val="it-IT"/>
        </w:rPr>
        <w:t>UE</w:t>
      </w:r>
      <w:bookmarkEnd w:id="50"/>
    </w:p>
    <w:p w14:paraId="0215EDE9" w14:textId="1136B725" w:rsidR="008A17E3" w:rsidRPr="00BF0169" w:rsidRDefault="008A17E3" w:rsidP="008A6DCE">
      <w:pPr>
        <w:rPr>
          <w:noProof/>
          <w:lang w:val="it-IT"/>
        </w:rPr>
      </w:pPr>
      <w:r w:rsidRPr="00BF0169">
        <w:rPr>
          <w:noProof/>
          <w:lang w:val="it-IT"/>
        </w:rPr>
        <w:t>Il programma Hercule III, che forniva assistenza per progetti a sostegno della lotta contro la frode e della tutela degli interessi finanziari dell</w:t>
      </w:r>
      <w:r w:rsidR="00BF0169" w:rsidRPr="00BF0169">
        <w:rPr>
          <w:noProof/>
          <w:lang w:val="it-IT"/>
        </w:rPr>
        <w:t>'</w:t>
      </w:r>
      <w:r w:rsidRPr="00BF0169">
        <w:rPr>
          <w:noProof/>
          <w:lang w:val="it-IT"/>
        </w:rPr>
        <w:t xml:space="preserve">UE nel contesto del quadro finanziario pluriennale (QFP) 2014-2020, è stato sostituito dal nuovo </w:t>
      </w:r>
      <w:r w:rsidRPr="00BF0169">
        <w:rPr>
          <w:b/>
          <w:noProof/>
          <w:lang w:val="it-IT"/>
        </w:rPr>
        <w:t>programma antifrode dell</w:t>
      </w:r>
      <w:r w:rsidR="00BF0169" w:rsidRPr="00BF0169">
        <w:rPr>
          <w:b/>
          <w:noProof/>
          <w:lang w:val="it-IT"/>
        </w:rPr>
        <w:t>'</w:t>
      </w:r>
      <w:r w:rsidRPr="00BF0169">
        <w:rPr>
          <w:b/>
          <w:noProof/>
          <w:lang w:val="it-IT"/>
        </w:rPr>
        <w:t>Unione</w:t>
      </w:r>
      <w:r w:rsidRPr="00BF0169">
        <w:rPr>
          <w:noProof/>
          <w:lang w:val="it-IT"/>
        </w:rPr>
        <w:t xml:space="preserve"> (UAFP) con l</w:t>
      </w:r>
      <w:r w:rsidR="00BF0169" w:rsidRPr="00BF0169">
        <w:rPr>
          <w:noProof/>
          <w:lang w:val="it-IT"/>
        </w:rPr>
        <w:t>'</w:t>
      </w:r>
      <w:r w:rsidRPr="00BF0169">
        <w:rPr>
          <w:noProof/>
          <w:lang w:val="it-IT"/>
        </w:rPr>
        <w:t>adozione del regolamento (UE) 2021/785.</w:t>
      </w:r>
    </w:p>
    <w:p w14:paraId="1E54B09B" w14:textId="154419B4" w:rsidR="008A17E3" w:rsidRPr="00BF0169" w:rsidRDefault="008D394A" w:rsidP="008A6DCE">
      <w:pPr>
        <w:rPr>
          <w:noProof/>
          <w:lang w:val="it-IT"/>
        </w:rPr>
      </w:pPr>
      <w:r w:rsidRPr="00BF0169">
        <w:rPr>
          <w:noProof/>
          <w:lang w:val="it-IT"/>
        </w:rPr>
        <w:t>Il programma antifrode dell</w:t>
      </w:r>
      <w:r w:rsidR="00BF0169" w:rsidRPr="00BF0169">
        <w:rPr>
          <w:noProof/>
          <w:lang w:val="it-IT"/>
        </w:rPr>
        <w:t>'</w:t>
      </w:r>
      <w:r w:rsidRPr="00BF0169">
        <w:rPr>
          <w:noProof/>
          <w:lang w:val="it-IT"/>
        </w:rPr>
        <w:t>Unione combina tre diverse attività precedentemente distinte, ma si fonda sul successo del programma Hercule III. Il programma antifrode dell</w:t>
      </w:r>
      <w:r w:rsidR="00BF0169" w:rsidRPr="00BF0169">
        <w:rPr>
          <w:noProof/>
          <w:lang w:val="it-IT"/>
        </w:rPr>
        <w:t>'</w:t>
      </w:r>
      <w:r w:rsidRPr="00BF0169">
        <w:rPr>
          <w:noProof/>
          <w:lang w:val="it-IT"/>
        </w:rPr>
        <w:t xml:space="preserve">Unione riunisce in un </w:t>
      </w:r>
      <w:r w:rsidRPr="00BF0169">
        <w:rPr>
          <w:b/>
          <w:noProof/>
          <w:lang w:val="it-IT"/>
        </w:rPr>
        <w:t>unico quadro</w:t>
      </w:r>
      <w:r w:rsidRPr="00BF0169">
        <w:rPr>
          <w:noProof/>
          <w:lang w:val="it-IT"/>
        </w:rPr>
        <w:t xml:space="preserve"> la </w:t>
      </w:r>
      <w:r w:rsidRPr="00BF0169">
        <w:rPr>
          <w:b/>
          <w:noProof/>
          <w:lang w:val="it-IT"/>
        </w:rPr>
        <w:t>componente finanziamento di Hercule</w:t>
      </w:r>
      <w:r w:rsidRPr="00BF0169">
        <w:rPr>
          <w:noProof/>
          <w:lang w:val="it-IT"/>
        </w:rPr>
        <w:t xml:space="preserve">, il finanziamento del </w:t>
      </w:r>
      <w:r w:rsidRPr="00BF0169">
        <w:rPr>
          <w:b/>
          <w:noProof/>
          <w:lang w:val="it-IT"/>
        </w:rPr>
        <w:t>sistema di informazione antifrode</w:t>
      </w:r>
      <w:r w:rsidRPr="00BF0169">
        <w:rPr>
          <w:noProof/>
          <w:lang w:val="it-IT"/>
        </w:rPr>
        <w:t xml:space="preserve"> (la piattaforma AFIS), volta a sostenere gli Stati membri nella mutua assistenza in materia doganale e agricola, nonché il </w:t>
      </w:r>
      <w:r w:rsidRPr="00BF0169">
        <w:rPr>
          <w:b/>
          <w:noProof/>
          <w:lang w:val="it-IT"/>
        </w:rPr>
        <w:t>sistema di gestione delle irregolarità</w:t>
      </w:r>
      <w:r w:rsidRPr="00BF0169">
        <w:rPr>
          <w:noProof/>
          <w:lang w:val="it-IT"/>
        </w:rPr>
        <w:t xml:space="preserve"> (IMS), per la segnalazione di irregolarità, comprese le frodi, nei casi relativi alla gestione concorrente e ai fondi dell</w:t>
      </w:r>
      <w:r w:rsidR="00BF0169" w:rsidRPr="00BF0169">
        <w:rPr>
          <w:noProof/>
          <w:lang w:val="it-IT"/>
        </w:rPr>
        <w:t>'</w:t>
      </w:r>
      <w:r w:rsidRPr="00BF0169">
        <w:rPr>
          <w:noProof/>
          <w:lang w:val="it-IT"/>
        </w:rPr>
        <w:t>assistenza preadesione.</w:t>
      </w:r>
    </w:p>
    <w:p w14:paraId="3207DD30" w14:textId="0AC90D92" w:rsidR="008D394A" w:rsidRPr="00BF0169" w:rsidRDefault="008D394A" w:rsidP="008A6DCE">
      <w:pPr>
        <w:rPr>
          <w:noProof/>
          <w:lang w:val="it-IT"/>
        </w:rPr>
      </w:pPr>
      <w:r w:rsidRPr="00BF0169">
        <w:rPr>
          <w:noProof/>
          <w:lang w:val="it-IT"/>
        </w:rPr>
        <w:t xml:space="preserve">Questo </w:t>
      </w:r>
      <w:r w:rsidRPr="00BF0169">
        <w:rPr>
          <w:b/>
          <w:noProof/>
          <w:lang w:val="it-IT"/>
        </w:rPr>
        <w:t>migliora le sinergie</w:t>
      </w:r>
      <w:r w:rsidRPr="00BF0169">
        <w:rPr>
          <w:noProof/>
          <w:lang w:val="it-IT"/>
        </w:rPr>
        <w:t xml:space="preserve"> tra i diversi assi d</w:t>
      </w:r>
      <w:r w:rsidR="00BF0169" w:rsidRPr="00BF0169">
        <w:rPr>
          <w:noProof/>
          <w:lang w:val="it-IT"/>
        </w:rPr>
        <w:t>'</w:t>
      </w:r>
      <w:r w:rsidRPr="00BF0169">
        <w:rPr>
          <w:noProof/>
          <w:lang w:val="it-IT"/>
        </w:rPr>
        <w:t>azione e crea economie per le risorse, compresa la flessibilità finanziaria per riassegnare i finanziamenti a una o all</w:t>
      </w:r>
      <w:r w:rsidR="00BF0169" w:rsidRPr="00BF0169">
        <w:rPr>
          <w:noProof/>
          <w:lang w:val="it-IT"/>
        </w:rPr>
        <w:t>'</w:t>
      </w:r>
      <w:r w:rsidRPr="00BF0169">
        <w:rPr>
          <w:noProof/>
          <w:lang w:val="it-IT"/>
        </w:rPr>
        <w:t>altra parte di attività all</w:t>
      </w:r>
      <w:r w:rsidR="00BF0169" w:rsidRPr="00BF0169">
        <w:rPr>
          <w:noProof/>
          <w:lang w:val="it-IT"/>
        </w:rPr>
        <w:t>'</w:t>
      </w:r>
      <w:r w:rsidRPr="00BF0169">
        <w:rPr>
          <w:noProof/>
          <w:lang w:val="it-IT"/>
        </w:rPr>
        <w:t>interno del programma, laddove necessario.</w:t>
      </w:r>
    </w:p>
    <w:p w14:paraId="72BD51BA" w14:textId="2CB0F50F" w:rsidR="008D394A" w:rsidRPr="00BF0169" w:rsidRDefault="008D394A" w:rsidP="008A6DCE">
      <w:pPr>
        <w:rPr>
          <w:noProof/>
          <w:lang w:val="it-IT"/>
        </w:rPr>
      </w:pPr>
      <w:r w:rsidRPr="00BF0169">
        <w:rPr>
          <w:noProof/>
          <w:lang w:val="it-IT"/>
        </w:rPr>
        <w:t>Il programma antifrode dell</w:t>
      </w:r>
      <w:r w:rsidR="00BF0169" w:rsidRPr="00BF0169">
        <w:rPr>
          <w:noProof/>
          <w:lang w:val="it-IT"/>
        </w:rPr>
        <w:t>'</w:t>
      </w:r>
      <w:r w:rsidRPr="00BF0169">
        <w:rPr>
          <w:noProof/>
          <w:lang w:val="it-IT"/>
        </w:rPr>
        <w:t>Unione si pone due obiettivi generali</w:t>
      </w:r>
      <w:r w:rsidRPr="00BF0169">
        <w:rPr>
          <w:rStyle w:val="FootnoteReference"/>
          <w:noProof/>
          <w:lang w:val="it-IT"/>
        </w:rPr>
        <w:footnoteReference w:id="57"/>
      </w:r>
      <w:r w:rsidRPr="00BF0169">
        <w:rPr>
          <w:noProof/>
          <w:lang w:val="it-IT"/>
        </w:rPr>
        <w:t>: innanzitutto, mira a tutelare gli interessi finanziari dell</w:t>
      </w:r>
      <w:r w:rsidR="00BF0169" w:rsidRPr="00BF0169">
        <w:rPr>
          <w:noProof/>
          <w:lang w:val="it-IT"/>
        </w:rPr>
        <w:t>'</w:t>
      </w:r>
      <w:r w:rsidRPr="00BF0169">
        <w:rPr>
          <w:noProof/>
          <w:lang w:val="it-IT"/>
        </w:rPr>
        <w:t>UE; in secondo luogo, intende sostenere la mutua assistenza tra le autorità amministrative degli Stati membri e la collaborazione tra queste e la Commissione per assicurare la corretta applicazione delle normative doganale e agricola.</w:t>
      </w:r>
    </w:p>
    <w:p w14:paraId="63F53DDC" w14:textId="2313F935" w:rsidR="008D394A" w:rsidRPr="00BF0169" w:rsidRDefault="008D394A" w:rsidP="008A6DCE">
      <w:pPr>
        <w:keepNext/>
        <w:rPr>
          <w:noProof/>
          <w:lang w:val="it-IT"/>
        </w:rPr>
      </w:pPr>
      <w:r w:rsidRPr="00BF0169">
        <w:rPr>
          <w:noProof/>
          <w:lang w:val="it-IT"/>
        </w:rPr>
        <w:t>Il programma persegue tre obiettivi specifici:</w:t>
      </w:r>
    </w:p>
    <w:p w14:paraId="52531356" w14:textId="33F03C7F" w:rsidR="008D394A" w:rsidRPr="00BF0169" w:rsidRDefault="008D394A" w:rsidP="008A6DCE">
      <w:pPr>
        <w:pStyle w:val="ListNumber"/>
        <w:numPr>
          <w:ilvl w:val="0"/>
          <w:numId w:val="21"/>
        </w:numPr>
        <w:rPr>
          <w:noProof/>
          <w:lang w:val="it-IT"/>
        </w:rPr>
      </w:pPr>
      <w:r w:rsidRPr="00BF0169">
        <w:rPr>
          <w:noProof/>
          <w:lang w:val="it-IT"/>
        </w:rPr>
        <w:t>prevenire e combattere la frode, la corruzione e ogni altra attività illecita lesiva degli interessi finanziari dell</w:t>
      </w:r>
      <w:r w:rsidR="00BF0169" w:rsidRPr="00BF0169">
        <w:rPr>
          <w:noProof/>
          <w:lang w:val="it-IT"/>
        </w:rPr>
        <w:t>'</w:t>
      </w:r>
      <w:r w:rsidRPr="00BF0169">
        <w:rPr>
          <w:noProof/>
          <w:lang w:val="it-IT"/>
        </w:rPr>
        <w:t>UE;</w:t>
      </w:r>
    </w:p>
    <w:p w14:paraId="5819B217" w14:textId="16CADC02" w:rsidR="008D394A" w:rsidRPr="00BF0169" w:rsidRDefault="008D394A" w:rsidP="008A6DCE">
      <w:pPr>
        <w:pStyle w:val="ListNumber"/>
        <w:numPr>
          <w:ilvl w:val="0"/>
          <w:numId w:val="21"/>
        </w:numPr>
        <w:rPr>
          <w:noProof/>
          <w:lang w:val="it-IT"/>
        </w:rPr>
      </w:pPr>
      <w:r w:rsidRPr="00BF0169">
        <w:rPr>
          <w:noProof/>
          <w:lang w:val="it-IT"/>
        </w:rPr>
        <w:t>favorire la segnalazione delle irregolarità, comprese le frodi, per quanto riguarda i fondi in regime di gestione concorrente e i fondi di assistenza preadesione del bilancio dell</w:t>
      </w:r>
      <w:r w:rsidR="00BF0169" w:rsidRPr="00BF0169">
        <w:rPr>
          <w:noProof/>
          <w:lang w:val="it-IT"/>
        </w:rPr>
        <w:t>'</w:t>
      </w:r>
      <w:r w:rsidRPr="00BF0169">
        <w:rPr>
          <w:noProof/>
          <w:lang w:val="it-IT"/>
        </w:rPr>
        <w:t xml:space="preserve">UE; </w:t>
      </w:r>
    </w:p>
    <w:p w14:paraId="6CD2131D" w14:textId="614AA47E" w:rsidR="008D394A" w:rsidRPr="00BF0169" w:rsidRDefault="008D394A" w:rsidP="008A6DCE">
      <w:pPr>
        <w:pStyle w:val="ListNumber"/>
        <w:numPr>
          <w:ilvl w:val="0"/>
          <w:numId w:val="21"/>
        </w:numPr>
        <w:rPr>
          <w:noProof/>
          <w:lang w:val="it-IT"/>
        </w:rPr>
      </w:pPr>
      <w:r w:rsidRPr="00BF0169">
        <w:rPr>
          <w:noProof/>
          <w:lang w:val="it-IT"/>
        </w:rPr>
        <w:t>fornire strumenti per lo scambio di informazioni e sostegno alle attività operative nel settore della mutua assistenza amministrativa in ambito doganale e agricolo.</w:t>
      </w:r>
    </w:p>
    <w:p w14:paraId="52343BEA" w14:textId="6B14E97F" w:rsidR="00A86074" w:rsidRPr="00BF0169" w:rsidRDefault="00A86074"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51" w:name="_Toc110444018"/>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10</w:t>
      </w:r>
      <w:r w:rsidR="00742EC4" w:rsidRPr="00BF0169">
        <w:rPr>
          <w:noProof/>
          <w:lang w:val="it-IT"/>
        </w:rPr>
        <w:fldChar w:fldCharType="end"/>
      </w:r>
      <w:r w:rsidRPr="00BF0169">
        <w:rPr>
          <w:noProof/>
          <w:lang w:val="it-IT"/>
        </w:rPr>
        <w:t xml:space="preserve"> – Analisi dell</w:t>
      </w:r>
      <w:r w:rsidR="00BF0169" w:rsidRPr="00BF0169">
        <w:rPr>
          <w:noProof/>
          <w:lang w:val="it-IT"/>
        </w:rPr>
        <w:t>'</w:t>
      </w:r>
      <w:r w:rsidRPr="00BF0169">
        <w:rPr>
          <w:noProof/>
          <w:lang w:val="it-IT"/>
        </w:rPr>
        <w:t>AFIS e dell</w:t>
      </w:r>
      <w:r w:rsidR="00BF0169" w:rsidRPr="00BF0169">
        <w:rPr>
          <w:noProof/>
          <w:lang w:val="it-IT"/>
        </w:rPr>
        <w:t>'</w:t>
      </w:r>
      <w:r w:rsidRPr="00BF0169">
        <w:rPr>
          <w:noProof/>
          <w:lang w:val="it-IT"/>
        </w:rPr>
        <w:t>IMS</w:t>
      </w:r>
      <w:bookmarkEnd w:id="51"/>
    </w:p>
    <w:p w14:paraId="38EB6DEE" w14:textId="52836B8B" w:rsidR="00A86074" w:rsidRPr="00BF0169" w:rsidRDefault="00A86074"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b/>
          <w:noProof/>
          <w:lang w:val="it-IT"/>
        </w:rPr>
        <w:t>AFIS</w:t>
      </w:r>
      <w:r w:rsidRPr="00BF0169">
        <w:rPr>
          <w:noProof/>
          <w:lang w:val="it-IT"/>
        </w:rPr>
        <w:t xml:space="preserve"> è un termine generico che designa una serie di applicazioni informatiche antifrode gestite dall</w:t>
      </w:r>
      <w:r w:rsidR="00BF0169" w:rsidRPr="00BF0169">
        <w:rPr>
          <w:noProof/>
          <w:lang w:val="it-IT"/>
        </w:rPr>
        <w:t>'</w:t>
      </w:r>
      <w:r w:rsidRPr="00BF0169">
        <w:rPr>
          <w:noProof/>
          <w:lang w:val="it-IT"/>
        </w:rPr>
        <w:t>OLAF mediante un</w:t>
      </w:r>
      <w:r w:rsidR="00BF0169" w:rsidRPr="00BF0169">
        <w:rPr>
          <w:noProof/>
          <w:lang w:val="it-IT"/>
        </w:rPr>
        <w:t>'</w:t>
      </w:r>
      <w:r w:rsidRPr="00BF0169">
        <w:rPr>
          <w:noProof/>
          <w:lang w:val="it-IT"/>
        </w:rPr>
        <w:t xml:space="preserve">infrastruttura tecnica comune, il cui obiettivo è consentire lo </w:t>
      </w:r>
      <w:r w:rsidRPr="00BF0169">
        <w:rPr>
          <w:b/>
          <w:noProof/>
          <w:lang w:val="it-IT"/>
        </w:rPr>
        <w:t xml:space="preserve">scambio </w:t>
      </w:r>
      <w:r w:rsidRPr="00BF0169">
        <w:rPr>
          <w:noProof/>
          <w:lang w:val="it-IT"/>
        </w:rPr>
        <w:t>tempestivo e sicuro</w:t>
      </w:r>
      <w:r w:rsidRPr="00BF0169">
        <w:rPr>
          <w:b/>
          <w:noProof/>
          <w:lang w:val="it-IT"/>
        </w:rPr>
        <w:t xml:space="preserve"> di informazioni relative alle frodi</w:t>
      </w:r>
      <w:r w:rsidRPr="00BF0169">
        <w:rPr>
          <w:noProof/>
          <w:lang w:val="it-IT"/>
        </w:rPr>
        <w:t xml:space="preserve"> tra le amministrazioni competenti nazionali e dell</w:t>
      </w:r>
      <w:r w:rsidR="00BF0169" w:rsidRPr="00BF0169">
        <w:rPr>
          <w:noProof/>
          <w:lang w:val="it-IT"/>
        </w:rPr>
        <w:t>'</w:t>
      </w:r>
      <w:r w:rsidRPr="00BF0169">
        <w:rPr>
          <w:noProof/>
          <w:lang w:val="it-IT"/>
        </w:rPr>
        <w:t>UE, nonché la conservazione e l</w:t>
      </w:r>
      <w:r w:rsidR="00BF0169" w:rsidRPr="00BF0169">
        <w:rPr>
          <w:noProof/>
          <w:lang w:val="it-IT"/>
        </w:rPr>
        <w:t>'</w:t>
      </w:r>
      <w:r w:rsidRPr="00BF0169">
        <w:rPr>
          <w:noProof/>
          <w:lang w:val="it-IT"/>
        </w:rPr>
        <w:t>analisi di dati pertinenti. Il portale AFIS conta oltre 8 500 utenti finali registrati presso quasi 1 400 servizi competenti degli Stati membri, di paesi terzi partner, di organizzazioni internazionali, della Commissione e di altre istituzioni dell</w:t>
      </w:r>
      <w:r w:rsidR="00BF0169" w:rsidRPr="00BF0169">
        <w:rPr>
          <w:noProof/>
          <w:lang w:val="it-IT"/>
        </w:rPr>
        <w:t>'</w:t>
      </w:r>
      <w:r w:rsidRPr="00BF0169">
        <w:rPr>
          <w:noProof/>
          <w:lang w:val="it-IT"/>
        </w:rPr>
        <w:t>UE. Esso permette di realizzare sostanziali economie di scala e sinergie nello sviluppo, nel mantenimento e nella gestione di un insieme così ampio e diversificato di servizi e strumenti informatici.</w:t>
      </w:r>
    </w:p>
    <w:p w14:paraId="3AE508D8" w14:textId="1A5EEF75" w:rsidR="00A86074" w:rsidRPr="00BF0169" w:rsidRDefault="00A86074"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L</w:t>
      </w:r>
      <w:r w:rsidR="00BF0169" w:rsidRPr="00BF0169">
        <w:rPr>
          <w:noProof/>
          <w:lang w:val="it-IT"/>
        </w:rPr>
        <w:t>'</w:t>
      </w:r>
      <w:r w:rsidRPr="00BF0169">
        <w:rPr>
          <w:noProof/>
          <w:lang w:val="it-IT"/>
        </w:rPr>
        <w:t xml:space="preserve">AFIS sostiene la </w:t>
      </w:r>
      <w:r w:rsidRPr="00BF0169">
        <w:rPr>
          <w:b/>
          <w:noProof/>
          <w:lang w:val="it-IT"/>
        </w:rPr>
        <w:t>mutua assistenza in materia doganale</w:t>
      </w:r>
      <w:r w:rsidRPr="00BF0169">
        <w:rPr>
          <w:noProof/>
          <w:lang w:val="it-IT"/>
        </w:rPr>
        <w:t xml:space="preserve"> con strumenti di collaborazione quali </w:t>
      </w:r>
      <w:r w:rsidRPr="00BF0169">
        <w:rPr>
          <w:b/>
          <w:noProof/>
          <w:lang w:val="it-IT"/>
        </w:rPr>
        <w:t>VOCU</w:t>
      </w:r>
      <w:r w:rsidRPr="00BF0169">
        <w:rPr>
          <w:noProof/>
          <w:lang w:val="it-IT"/>
        </w:rPr>
        <w:t xml:space="preserve"> (unità virtuale di coordinamento delle operazioni) per </w:t>
      </w:r>
      <w:r w:rsidRPr="00BF0169">
        <w:rPr>
          <w:b/>
          <w:noProof/>
          <w:lang w:val="it-IT"/>
        </w:rPr>
        <w:t>operazioni doganali congiunte</w:t>
      </w:r>
      <w:r w:rsidRPr="00BF0169">
        <w:rPr>
          <w:noProof/>
          <w:lang w:val="it-IT"/>
        </w:rPr>
        <w:t>, un servizio di posta elettronica sicura (AFIS Mail) e moduli specifici per lo scambio di informazioni. Fornisce inoltre sostegno tramite banche dati quali il CIS (</w:t>
      </w:r>
      <w:r w:rsidRPr="00BF0169">
        <w:rPr>
          <w:i/>
          <w:iCs/>
          <w:noProof/>
          <w:lang w:val="it-IT"/>
        </w:rPr>
        <w:t>Customs Information System</w:t>
      </w:r>
      <w:r w:rsidRPr="00BF0169">
        <w:rPr>
          <w:noProof/>
          <w:lang w:val="it-IT"/>
        </w:rPr>
        <w:t>, sistema informativo doganale) e il FIDE (</w:t>
      </w:r>
      <w:r w:rsidRPr="00BF0169">
        <w:rPr>
          <w:i/>
          <w:iCs/>
          <w:noProof/>
          <w:lang w:val="it-IT"/>
        </w:rPr>
        <w:t>Customs Investigation Files Identification Database,</w:t>
      </w:r>
      <w:r w:rsidRPr="00BF0169">
        <w:rPr>
          <w:noProof/>
          <w:lang w:val="it-IT"/>
        </w:rPr>
        <w:t xml:space="preserve"> archivio d</w:t>
      </w:r>
      <w:r w:rsidR="00BF0169" w:rsidRPr="00BF0169">
        <w:rPr>
          <w:noProof/>
          <w:lang w:val="it-IT"/>
        </w:rPr>
        <w:t>'</w:t>
      </w:r>
      <w:r w:rsidRPr="00BF0169">
        <w:rPr>
          <w:noProof/>
          <w:lang w:val="it-IT"/>
        </w:rPr>
        <w:t xml:space="preserve">identificazione dei fascicoli a fini doganali), il repertorio dei messaggi sullo status dei container (CSM, </w:t>
      </w:r>
      <w:r w:rsidRPr="00BF0169">
        <w:rPr>
          <w:i/>
          <w:iCs/>
          <w:noProof/>
          <w:lang w:val="it-IT"/>
        </w:rPr>
        <w:t>Container Status Messages</w:t>
      </w:r>
      <w:r w:rsidRPr="00BF0169">
        <w:rPr>
          <w:noProof/>
          <w:lang w:val="it-IT"/>
        </w:rPr>
        <w:t>) e il repertorio importazioni, esportazioni e transito (IET); fornisce altresì sostegno attraverso strumenti di analisi dei dati quali lo strumento di monitoraggio automatico (</w:t>
      </w:r>
      <w:r w:rsidRPr="00BF0169">
        <w:rPr>
          <w:i/>
          <w:iCs/>
          <w:noProof/>
          <w:lang w:val="it-IT"/>
        </w:rPr>
        <w:t>Automated Monitoring Tool</w:t>
      </w:r>
      <w:r w:rsidRPr="00BF0169">
        <w:rPr>
          <w:noProof/>
          <w:lang w:val="it-IT"/>
        </w:rPr>
        <w:t>, AMT) e applicazioni per la gestione elettronica dei flussi di lavoro quali ToSMA (</w:t>
      </w:r>
      <w:r w:rsidRPr="00BF0169">
        <w:rPr>
          <w:i/>
          <w:iCs/>
          <w:noProof/>
          <w:lang w:val="it-IT"/>
        </w:rPr>
        <w:t>Tobacco Seizures Management Application</w:t>
      </w:r>
      <w:r w:rsidRPr="00BF0169">
        <w:rPr>
          <w:noProof/>
          <w:lang w:val="it-IT"/>
        </w:rPr>
        <w:t>, applicazione per la gestione dei sequestri di sigarette). Sono in corso ulteriori sviluppi per la creazione di una piattaforma analitica nel contesto dell</w:t>
      </w:r>
      <w:r w:rsidR="00BF0169" w:rsidRPr="00BF0169">
        <w:rPr>
          <w:noProof/>
          <w:lang w:val="it-IT"/>
        </w:rPr>
        <w:t>'</w:t>
      </w:r>
      <w:r w:rsidRPr="00BF0169">
        <w:rPr>
          <w:noProof/>
          <w:lang w:val="it-IT"/>
        </w:rPr>
        <w:t>AFIS a sostegno dell</w:t>
      </w:r>
      <w:r w:rsidR="00BF0169" w:rsidRPr="00BF0169">
        <w:rPr>
          <w:noProof/>
          <w:lang w:val="it-IT"/>
        </w:rPr>
        <w:t>'</w:t>
      </w:r>
      <w:r w:rsidRPr="00BF0169">
        <w:rPr>
          <w:noProof/>
          <w:lang w:val="it-IT"/>
        </w:rPr>
        <w:t>attività di analisi strategica e operativa.</w:t>
      </w:r>
    </w:p>
    <w:p w14:paraId="7F9127F2" w14:textId="4CB3F978" w:rsidR="00A86074" w:rsidRPr="00BF0169" w:rsidRDefault="00A86074"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La base giuridica principale che disciplina il funzionamento della piattaforma AFIS è costituita dal regolamento (CE) </w:t>
      </w:r>
      <w:r w:rsidR="00AE539E" w:rsidRPr="00BF0169">
        <w:rPr>
          <w:noProof/>
          <w:lang w:val="it-IT"/>
        </w:rPr>
        <w:t>n. </w:t>
      </w:r>
      <w:r w:rsidRPr="00BF0169">
        <w:rPr>
          <w:noProof/>
          <w:lang w:val="it-IT"/>
        </w:rPr>
        <w:t>515/97 del Consiglio relativo alla mutua assistenza tra le autorità amministrative degli Stati membri e alla collaborazione tra queste e la Commissione per assicurare la corretta applicazione delle normative doganale e agricola</w:t>
      </w:r>
      <w:r w:rsidRPr="00BF0169">
        <w:rPr>
          <w:rStyle w:val="FootnoteReference"/>
          <w:noProof/>
          <w:lang w:val="it-IT"/>
        </w:rPr>
        <w:footnoteReference w:id="58"/>
      </w:r>
      <w:r w:rsidRPr="00BF0169">
        <w:rPr>
          <w:noProof/>
          <w:lang w:val="it-IT"/>
        </w:rPr>
        <w:t>.</w:t>
      </w:r>
    </w:p>
    <w:p w14:paraId="2B32F1AC" w14:textId="2C5BC8C7" w:rsidR="008B454B" w:rsidRPr="00BF0169" w:rsidRDefault="008B454B"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L</w:t>
      </w:r>
      <w:r w:rsidR="00BF0169" w:rsidRPr="00BF0169">
        <w:rPr>
          <w:noProof/>
          <w:lang w:val="it-IT"/>
        </w:rPr>
        <w:t>'</w:t>
      </w:r>
      <w:r w:rsidRPr="00BF0169">
        <w:rPr>
          <w:b/>
          <w:noProof/>
          <w:lang w:val="it-IT"/>
        </w:rPr>
        <w:t>IMS</w:t>
      </w:r>
      <w:r w:rsidRPr="00BF0169">
        <w:rPr>
          <w:noProof/>
          <w:lang w:val="it-IT"/>
        </w:rPr>
        <w:t xml:space="preserve"> è un</w:t>
      </w:r>
      <w:r w:rsidR="00BF0169" w:rsidRPr="00BF0169">
        <w:rPr>
          <w:noProof/>
          <w:lang w:val="it-IT"/>
        </w:rPr>
        <w:t>'</w:t>
      </w:r>
      <w:r w:rsidRPr="00BF0169">
        <w:rPr>
          <w:noProof/>
          <w:lang w:val="it-IT"/>
        </w:rPr>
        <w:t xml:space="preserve">applicazione presente sulla piattaforma AFIS che facilita la </w:t>
      </w:r>
      <w:r w:rsidRPr="00BF0169">
        <w:rPr>
          <w:b/>
          <w:noProof/>
          <w:lang w:val="it-IT"/>
        </w:rPr>
        <w:t>segnalazione di irregolarità e frodi</w:t>
      </w:r>
      <w:r w:rsidRPr="00BF0169">
        <w:rPr>
          <w:noProof/>
          <w:lang w:val="it-IT"/>
        </w:rPr>
        <w:t xml:space="preserve"> rilevate dalle autorità nazionali nel settore della gestione concorrente e della preadesione nel rispetto della normativa settoriale e delle convenzioni di finanziamento. Nel 2021 è stato commissionato uno studio per individuare possibili miglioramenti al sistema in base alle esigenze degli utenti e dei portatori di interessi nonché per esaminare la possibilità di migliorare l</w:t>
      </w:r>
      <w:r w:rsidR="00BF0169" w:rsidRPr="00BF0169">
        <w:rPr>
          <w:noProof/>
          <w:lang w:val="it-IT"/>
        </w:rPr>
        <w:t>'</w:t>
      </w:r>
      <w:r w:rsidRPr="00BF0169">
        <w:rPr>
          <w:noProof/>
          <w:lang w:val="it-IT"/>
        </w:rPr>
        <w:t>interoperabilità con altri sistemi informatici antifrode della Commissione, quali Arachne e l</w:t>
      </w:r>
      <w:r w:rsidR="00BF0169" w:rsidRPr="00BF0169">
        <w:rPr>
          <w:noProof/>
          <w:lang w:val="it-IT"/>
        </w:rPr>
        <w:t>'</w:t>
      </w:r>
      <w:r w:rsidRPr="00BF0169">
        <w:rPr>
          <w:noProof/>
          <w:lang w:val="it-IT"/>
        </w:rPr>
        <w:t>EDES</w:t>
      </w:r>
      <w:r w:rsidRPr="00BF0169">
        <w:rPr>
          <w:rStyle w:val="FootnoteReference"/>
          <w:noProof/>
          <w:lang w:val="it-IT"/>
        </w:rPr>
        <w:footnoteReference w:id="59"/>
      </w:r>
      <w:r w:rsidRPr="00BF0169">
        <w:rPr>
          <w:noProof/>
          <w:lang w:val="it-IT"/>
        </w:rPr>
        <w:t>.</w:t>
      </w:r>
    </w:p>
    <w:p w14:paraId="39A06EC0" w14:textId="77777777" w:rsidR="00CF1D95" w:rsidRPr="00BF0169" w:rsidRDefault="00CF1D95" w:rsidP="00CD7B44">
      <w:pPr>
        <w:pStyle w:val="Heading3"/>
        <w:rPr>
          <w:noProof/>
          <w:lang w:val="it-IT"/>
        </w:rPr>
      </w:pPr>
      <w:bookmarkStart w:id="52" w:name="_Toc116319641"/>
      <w:r w:rsidRPr="00BF0169">
        <w:rPr>
          <w:noProof/>
          <w:lang w:val="it-IT"/>
        </w:rPr>
        <w:t>Cooperazione nel settore delle entrate</w:t>
      </w:r>
      <w:bookmarkEnd w:id="52"/>
    </w:p>
    <w:p w14:paraId="5AC589E6" w14:textId="4F4C730C" w:rsidR="008A17E3" w:rsidRPr="00BF0169" w:rsidRDefault="008A17E3" w:rsidP="008A6DCE">
      <w:pPr>
        <w:pStyle w:val="Heading4"/>
        <w:rPr>
          <w:noProof/>
          <w:lang w:val="it-IT"/>
        </w:rPr>
      </w:pPr>
      <w:bookmarkStart w:id="53" w:name="_Toc116319642"/>
      <w:r w:rsidRPr="00BF0169">
        <w:rPr>
          <w:noProof/>
          <w:lang w:val="it-IT"/>
        </w:rPr>
        <w:t>Il programma Dogana</w:t>
      </w:r>
      <w:bookmarkEnd w:id="53"/>
    </w:p>
    <w:p w14:paraId="674827B3" w14:textId="065BE108" w:rsidR="00EB636F" w:rsidRPr="00BF0169" w:rsidRDefault="00EB636F" w:rsidP="00EB636F">
      <w:pPr>
        <w:rPr>
          <w:noProof/>
          <w:lang w:val="it-IT"/>
        </w:rPr>
      </w:pPr>
      <w:r w:rsidRPr="00BF0169">
        <w:rPr>
          <w:noProof/>
          <w:lang w:val="it-IT"/>
        </w:rPr>
        <w:t xml:space="preserve">Il </w:t>
      </w:r>
      <w:r w:rsidRPr="00BF0169">
        <w:rPr>
          <w:b/>
          <w:noProof/>
          <w:lang w:val="it-IT"/>
        </w:rPr>
        <w:t>programma Dogana</w:t>
      </w:r>
      <w:r w:rsidRPr="00BF0169">
        <w:rPr>
          <w:noProof/>
          <w:lang w:val="it-IT"/>
        </w:rPr>
        <w:t xml:space="preserve"> (regolamento (UE) 2021/444), pur non affrontando direttamente la lotta contro la frode, costituisce un ausilio importante nella tutela degli interessi finanziari ed economici dell</w:t>
      </w:r>
      <w:r w:rsidR="00BF0169" w:rsidRPr="00BF0169">
        <w:rPr>
          <w:noProof/>
          <w:lang w:val="it-IT"/>
        </w:rPr>
        <w:t>'</w:t>
      </w:r>
      <w:r w:rsidRPr="00BF0169">
        <w:rPr>
          <w:noProof/>
          <w:lang w:val="it-IT"/>
        </w:rPr>
        <w:t xml:space="preserve">UE e degli Stati membri. I suoi </w:t>
      </w:r>
      <w:r w:rsidRPr="00BF0169">
        <w:rPr>
          <w:b/>
          <w:noProof/>
          <w:lang w:val="it-IT"/>
        </w:rPr>
        <w:t>sistemi informatici</w:t>
      </w:r>
      <w:r w:rsidRPr="00BF0169">
        <w:rPr>
          <w:noProof/>
          <w:lang w:val="it-IT"/>
        </w:rPr>
        <w:t>, che costituiscono uno dei pilastri del programma, svolgono un ruolo fondamentale nell</w:t>
      </w:r>
      <w:r w:rsidR="00BF0169" w:rsidRPr="00BF0169">
        <w:rPr>
          <w:noProof/>
          <w:lang w:val="it-IT"/>
        </w:rPr>
        <w:t>'</w:t>
      </w:r>
      <w:r w:rsidRPr="00BF0169">
        <w:rPr>
          <w:noProof/>
          <w:lang w:val="it-IT"/>
        </w:rPr>
        <w:t xml:space="preserve">agevolare lo scambio di informazioni e dati, comprese le informazioni sui rischi, tra gli Stati membri, rafforzando in tal modo la riscossione dei vari prelievi (ad esempio dazi doganali, IVA e accise sulle importazioni). Il programma sostiene altresì </w:t>
      </w:r>
      <w:r w:rsidRPr="00BF0169">
        <w:rPr>
          <w:b/>
          <w:noProof/>
          <w:lang w:val="it-IT"/>
        </w:rPr>
        <w:t>azioni di collaborazione</w:t>
      </w:r>
      <w:r w:rsidRPr="00BF0169">
        <w:rPr>
          <w:noProof/>
          <w:lang w:val="it-IT"/>
        </w:rPr>
        <w:t>, compresi gruppi di progetto, reti di esperti, seminari e attività di formazione e ulteriore sostegno allo sviluppo delle competenze umane, che consentono alle autorità degli Stati membri di condividere le buone prassi e di migliorare i controlli doganali e la riscossione dei dazi. Inoltre, il nuovo Strumento di sostegno finanziario relativo alle attrezzature per il controllo doganale (regolamento (UE) 2021/1077), destinato a essere utilizzato presso tutti i tipi di frontiera, dovrebbe sostenere l</w:t>
      </w:r>
      <w:r w:rsidR="00BF0169" w:rsidRPr="00BF0169">
        <w:rPr>
          <w:noProof/>
          <w:lang w:val="it-IT"/>
        </w:rPr>
        <w:t>'</w:t>
      </w:r>
      <w:r w:rsidRPr="00BF0169">
        <w:rPr>
          <w:noProof/>
          <w:lang w:val="it-IT"/>
        </w:rPr>
        <w:t>unione doganale e il lavoro delle autorità doganali, in particolare contribuendo a tutelare gli interessi finanziari ed economici dell</w:t>
      </w:r>
      <w:r w:rsidR="00BF0169" w:rsidRPr="00BF0169">
        <w:rPr>
          <w:noProof/>
          <w:lang w:val="it-IT"/>
        </w:rPr>
        <w:t>'</w:t>
      </w:r>
      <w:r w:rsidRPr="00BF0169">
        <w:rPr>
          <w:noProof/>
          <w:lang w:val="it-IT"/>
        </w:rPr>
        <w:t>UE, a garantire la sicurezza nell</w:t>
      </w:r>
      <w:r w:rsidR="00BF0169" w:rsidRPr="00BF0169">
        <w:rPr>
          <w:noProof/>
          <w:lang w:val="it-IT"/>
        </w:rPr>
        <w:t>'</w:t>
      </w:r>
      <w:r w:rsidRPr="00BF0169">
        <w:rPr>
          <w:noProof/>
          <w:lang w:val="it-IT"/>
        </w:rPr>
        <w:t>UE e a proteggere l</w:t>
      </w:r>
      <w:r w:rsidR="00BF0169" w:rsidRPr="00BF0169">
        <w:rPr>
          <w:noProof/>
          <w:lang w:val="it-IT"/>
        </w:rPr>
        <w:t>'</w:t>
      </w:r>
      <w:r w:rsidRPr="00BF0169">
        <w:rPr>
          <w:noProof/>
          <w:lang w:val="it-IT"/>
        </w:rPr>
        <w:t>Unione dal commercio sleale e illecito, come nel caso della contraffazione di beni, facilitando nel contempo l</w:t>
      </w:r>
      <w:r w:rsidR="00BF0169" w:rsidRPr="00BF0169">
        <w:rPr>
          <w:noProof/>
          <w:lang w:val="it-IT"/>
        </w:rPr>
        <w:t>'</w:t>
      </w:r>
      <w:r w:rsidRPr="00BF0169">
        <w:rPr>
          <w:noProof/>
          <w:lang w:val="it-IT"/>
        </w:rPr>
        <w:t>attività commerciale legittima.</w:t>
      </w:r>
    </w:p>
    <w:p w14:paraId="5627F47D" w14:textId="77777777" w:rsidR="008A17E3" w:rsidRPr="00BF0169" w:rsidRDefault="008A17E3" w:rsidP="008A6DCE">
      <w:pPr>
        <w:pStyle w:val="Heading4"/>
        <w:rPr>
          <w:noProof/>
          <w:lang w:val="it-IT"/>
        </w:rPr>
      </w:pPr>
      <w:bookmarkStart w:id="54" w:name="_Toc116319643"/>
      <w:r w:rsidRPr="00BF0169">
        <w:rPr>
          <w:noProof/>
          <w:lang w:val="it-IT"/>
        </w:rPr>
        <w:t>Il programma Fiscalis</w:t>
      </w:r>
      <w:bookmarkEnd w:id="54"/>
    </w:p>
    <w:p w14:paraId="55DB3FEB" w14:textId="03E5AAE0" w:rsidR="00EB636F" w:rsidRPr="00BF0169" w:rsidRDefault="00EB636F" w:rsidP="00EB636F">
      <w:pPr>
        <w:rPr>
          <w:noProof/>
          <w:lang w:val="it-IT"/>
        </w:rPr>
      </w:pPr>
      <w:r w:rsidRPr="00BF0169">
        <w:rPr>
          <w:noProof/>
          <w:lang w:val="it-IT"/>
        </w:rPr>
        <w:t xml:space="preserve">Il </w:t>
      </w:r>
      <w:r w:rsidRPr="00BF0169">
        <w:rPr>
          <w:b/>
          <w:noProof/>
          <w:lang w:val="it-IT"/>
        </w:rPr>
        <w:t>programma Fiscalis</w:t>
      </w:r>
      <w:r w:rsidRPr="00BF0169">
        <w:rPr>
          <w:noProof/>
          <w:lang w:val="it-IT"/>
        </w:rPr>
        <w:t xml:space="preserve"> (regolamento (UE) 2021/847) comprende un</w:t>
      </w:r>
      <w:r w:rsidR="00BF0169" w:rsidRPr="00BF0169">
        <w:rPr>
          <w:noProof/>
          <w:lang w:val="it-IT"/>
        </w:rPr>
        <w:t>'</w:t>
      </w:r>
      <w:r w:rsidRPr="00BF0169">
        <w:rPr>
          <w:noProof/>
          <w:lang w:val="it-IT"/>
        </w:rPr>
        <w:t>ampia gamma di azioni volta a sostenere la collaborazione tra le autorità fiscali degli Stati membri per tutelare gli interessi finanziari ed economici dell</w:t>
      </w:r>
      <w:r w:rsidR="00BF0169" w:rsidRPr="00BF0169">
        <w:rPr>
          <w:noProof/>
          <w:lang w:val="it-IT"/>
        </w:rPr>
        <w:t>'</w:t>
      </w:r>
      <w:r w:rsidRPr="00BF0169">
        <w:rPr>
          <w:noProof/>
          <w:lang w:val="it-IT"/>
        </w:rPr>
        <w:t>UE e dei suoi Stati membri, anche proteggendoli contro la frode fiscale, l</w:t>
      </w:r>
      <w:r w:rsidR="00BF0169" w:rsidRPr="00BF0169">
        <w:rPr>
          <w:noProof/>
          <w:lang w:val="it-IT"/>
        </w:rPr>
        <w:t>'</w:t>
      </w:r>
      <w:r w:rsidRPr="00BF0169">
        <w:rPr>
          <w:noProof/>
          <w:lang w:val="it-IT"/>
        </w:rPr>
        <w:t>evasione e l</w:t>
      </w:r>
      <w:r w:rsidR="00BF0169" w:rsidRPr="00BF0169">
        <w:rPr>
          <w:noProof/>
          <w:lang w:val="it-IT"/>
        </w:rPr>
        <w:t>'</w:t>
      </w:r>
      <w:r w:rsidRPr="00BF0169">
        <w:rPr>
          <w:noProof/>
          <w:lang w:val="it-IT"/>
        </w:rPr>
        <w:t>elusione fiscale. Il programma Fiscalis offre altresì alle autorità nazionali opportunità per cooperare attraverso l</w:t>
      </w:r>
      <w:r w:rsidR="00BF0169" w:rsidRPr="00BF0169">
        <w:rPr>
          <w:noProof/>
          <w:lang w:val="it-IT"/>
        </w:rPr>
        <w:t>'</w:t>
      </w:r>
      <w:r w:rsidRPr="00BF0169">
        <w:rPr>
          <w:noProof/>
          <w:lang w:val="it-IT"/>
        </w:rPr>
        <w:t xml:space="preserve">utilizzo di </w:t>
      </w:r>
      <w:r w:rsidRPr="00BF0169">
        <w:rPr>
          <w:b/>
          <w:noProof/>
          <w:lang w:val="it-IT"/>
        </w:rPr>
        <w:t>sistemi informatici, attività collaborative e azioni di sviluppo delle competenze umane</w:t>
      </w:r>
      <w:r w:rsidRPr="00BF0169">
        <w:rPr>
          <w:noProof/>
          <w:lang w:val="it-IT"/>
        </w:rPr>
        <w:t>.</w:t>
      </w:r>
    </w:p>
    <w:p w14:paraId="572FF269" w14:textId="0491D0C9" w:rsidR="004F6F3F" w:rsidRPr="00BF0169" w:rsidRDefault="00E73053" w:rsidP="008A6DCE">
      <w:pPr>
        <w:pStyle w:val="Heading4"/>
        <w:rPr>
          <w:noProof/>
          <w:lang w:val="it-IT"/>
        </w:rPr>
      </w:pPr>
      <w:bookmarkStart w:id="55" w:name="_Toc116319644"/>
      <w:r w:rsidRPr="00BF0169">
        <w:rPr>
          <w:noProof/>
          <w:lang w:val="it-IT"/>
        </w:rPr>
        <w:t>Operazioni doganali congiunte (ODC)</w:t>
      </w:r>
      <w:bookmarkEnd w:id="55"/>
    </w:p>
    <w:p w14:paraId="65739064" w14:textId="7B370CDD" w:rsidR="00C6311E" w:rsidRPr="00BF0169" w:rsidRDefault="00E73053" w:rsidP="00C6311E">
      <w:pPr>
        <w:rPr>
          <w:noProof/>
          <w:lang w:val="it-IT"/>
        </w:rPr>
      </w:pPr>
      <w:r w:rsidRPr="00BF0169">
        <w:rPr>
          <w:noProof/>
          <w:lang w:val="it-IT"/>
        </w:rPr>
        <w:t xml:space="preserve">Le </w:t>
      </w:r>
      <w:r w:rsidRPr="00BF0169">
        <w:rPr>
          <w:b/>
          <w:noProof/>
          <w:lang w:val="it-IT"/>
        </w:rPr>
        <w:t>operazioni doganali congiunte</w:t>
      </w:r>
      <w:r w:rsidRPr="00BF0169">
        <w:rPr>
          <w:noProof/>
          <w:lang w:val="it-IT"/>
        </w:rPr>
        <w:t xml:space="preserve"> (</w:t>
      </w:r>
      <w:r w:rsidR="00BF0169" w:rsidRPr="00BF0169">
        <w:rPr>
          <w:noProof/>
          <w:lang w:val="it-IT"/>
        </w:rPr>
        <w:t>"</w:t>
      </w:r>
      <w:r w:rsidRPr="00BF0169">
        <w:rPr>
          <w:noProof/>
          <w:lang w:val="it-IT"/>
        </w:rPr>
        <w:t>ODC</w:t>
      </w:r>
      <w:r w:rsidR="00BF0169" w:rsidRPr="00BF0169">
        <w:rPr>
          <w:noProof/>
          <w:lang w:val="it-IT"/>
        </w:rPr>
        <w:t>"</w:t>
      </w:r>
      <w:r w:rsidRPr="00BF0169">
        <w:rPr>
          <w:noProof/>
          <w:lang w:val="it-IT"/>
        </w:rPr>
        <w:t xml:space="preserve">) sono </w:t>
      </w:r>
      <w:r w:rsidRPr="00BF0169">
        <w:rPr>
          <w:b/>
          <w:noProof/>
          <w:lang w:val="it-IT"/>
        </w:rPr>
        <w:t>azioni mirate di durata limitata</w:t>
      </w:r>
      <w:r w:rsidRPr="00BF0169">
        <w:rPr>
          <w:noProof/>
          <w:lang w:val="it-IT"/>
        </w:rPr>
        <w:t xml:space="preserve"> volte a contrastare il contrabbando di merci sensibili e la frode in specifici settori a rischio e/o su determinate rotte commerciali. </w:t>
      </w:r>
    </w:p>
    <w:p w14:paraId="0241ABCB" w14:textId="5E1B6EF4" w:rsidR="00E73053" w:rsidRPr="00BF0169" w:rsidRDefault="00E73053" w:rsidP="00C6311E">
      <w:pPr>
        <w:rPr>
          <w:noProof/>
          <w:lang w:val="it-IT"/>
        </w:rPr>
      </w:pPr>
      <w:r w:rsidRPr="00BF0169">
        <w:rPr>
          <w:noProof/>
          <w:lang w:val="it-IT"/>
        </w:rPr>
        <w:t>Oltre alle indagini relative ai casi di frode fiscale e contraffazione, l</w:t>
      </w:r>
      <w:r w:rsidR="00BF0169" w:rsidRPr="00BF0169">
        <w:rPr>
          <w:noProof/>
          <w:lang w:val="it-IT"/>
        </w:rPr>
        <w:t>'</w:t>
      </w:r>
      <w:r w:rsidRPr="00BF0169">
        <w:rPr>
          <w:noProof/>
          <w:lang w:val="it-IT"/>
        </w:rPr>
        <w:t>OLAF coordina ODC su vasta scala cui l</w:t>
      </w:r>
      <w:r w:rsidR="00BF0169" w:rsidRPr="00BF0169">
        <w:rPr>
          <w:noProof/>
          <w:lang w:val="it-IT"/>
        </w:rPr>
        <w:t>'</w:t>
      </w:r>
      <w:r w:rsidRPr="00BF0169">
        <w:rPr>
          <w:noProof/>
          <w:lang w:val="it-IT"/>
        </w:rPr>
        <w:t>UE partecipa insieme a partner operativi internazionali. Il sostegno fornito dall</w:t>
      </w:r>
      <w:r w:rsidR="00BF0169" w:rsidRPr="00BF0169">
        <w:rPr>
          <w:noProof/>
          <w:lang w:val="it-IT"/>
        </w:rPr>
        <w:t>'</w:t>
      </w:r>
      <w:r w:rsidRPr="00BF0169">
        <w:rPr>
          <w:noProof/>
          <w:lang w:val="it-IT"/>
        </w:rPr>
        <w:t>OLAF assume forme personalizzate per ciascuna ODC e può comprendere l</w:t>
      </w:r>
      <w:r w:rsidR="00BF0169" w:rsidRPr="00BF0169">
        <w:rPr>
          <w:noProof/>
          <w:lang w:val="it-IT"/>
        </w:rPr>
        <w:t>'</w:t>
      </w:r>
      <w:r w:rsidRPr="00BF0169">
        <w:rPr>
          <w:noProof/>
          <w:lang w:val="it-IT"/>
        </w:rPr>
        <w:t>uso di infrastrutture tecniche permanenti nonché di strumenti informatici e di comunicazione: in particolare la VOCU per lo scambio sicuro di informazioni, l</w:t>
      </w:r>
      <w:r w:rsidR="00BF0169" w:rsidRPr="00BF0169">
        <w:rPr>
          <w:noProof/>
          <w:lang w:val="it-IT"/>
        </w:rPr>
        <w:t>'</w:t>
      </w:r>
      <w:r w:rsidRPr="00BF0169">
        <w:rPr>
          <w:noProof/>
          <w:lang w:val="it-IT"/>
        </w:rPr>
        <w:t>analisi strategica e il sostegno amministrativo e finanziario. Nel 2021 l</w:t>
      </w:r>
      <w:r w:rsidR="00BF0169" w:rsidRPr="00BF0169">
        <w:rPr>
          <w:noProof/>
          <w:lang w:val="it-IT"/>
        </w:rPr>
        <w:t>'</w:t>
      </w:r>
      <w:r w:rsidRPr="00BF0169">
        <w:rPr>
          <w:noProof/>
          <w:lang w:val="it-IT"/>
        </w:rPr>
        <w:t>OLAF ha organizzato autonomamente o in modo congiunto due operazioni concernenti mascherine chirurgiche e prodotti del tabacco ed è stato coinvolto in diverse operazioni avviate dagli Stati membri, da Europol, dall</w:t>
      </w:r>
      <w:r w:rsidR="00BF0169" w:rsidRPr="00BF0169">
        <w:rPr>
          <w:noProof/>
          <w:lang w:val="it-IT"/>
        </w:rPr>
        <w:t>'</w:t>
      </w:r>
      <w:r w:rsidRPr="00BF0169">
        <w:rPr>
          <w:noProof/>
          <w:lang w:val="it-IT"/>
        </w:rPr>
        <w:t>Agenzia europea della guardia di frontiera e costiera (Frontex) o dall</w:t>
      </w:r>
      <w:r w:rsidR="00BF0169" w:rsidRPr="00BF0169">
        <w:rPr>
          <w:noProof/>
          <w:lang w:val="it-IT"/>
        </w:rPr>
        <w:t>'</w:t>
      </w:r>
      <w:r w:rsidRPr="00BF0169">
        <w:rPr>
          <w:noProof/>
          <w:lang w:val="it-IT"/>
        </w:rPr>
        <w:t>OMD.</w:t>
      </w:r>
    </w:p>
    <w:p w14:paraId="2C6837EE" w14:textId="78BA3FBC" w:rsidR="00E73053" w:rsidRPr="00BF0169" w:rsidRDefault="00E73053" w:rsidP="00E73053">
      <w:pPr>
        <w:pStyle w:val="Caption"/>
        <w:rPr>
          <w:noProof/>
          <w:lang w:val="it-IT"/>
        </w:rPr>
      </w:pPr>
      <w:bookmarkStart w:id="56" w:name="_Toc106662326"/>
      <w:r w:rsidRPr="00BF0169">
        <w:rPr>
          <w:noProof/>
          <w:lang w:val="it-IT"/>
        </w:rPr>
        <w:t xml:space="preserve">Tabella </w:t>
      </w:r>
      <w:r w:rsidR="00742EC4" w:rsidRPr="00BF0169">
        <w:rPr>
          <w:noProof/>
          <w:lang w:val="it-IT"/>
        </w:rPr>
        <w:fldChar w:fldCharType="begin"/>
      </w:r>
      <w:r w:rsidR="00742EC4" w:rsidRPr="00BF0169">
        <w:rPr>
          <w:noProof/>
          <w:lang w:val="it-IT"/>
        </w:rPr>
        <w:instrText xml:space="preserve"> SEQ Table \* ARABIC </w:instrText>
      </w:r>
      <w:r w:rsidR="00742EC4" w:rsidRPr="00BF0169">
        <w:rPr>
          <w:noProof/>
          <w:lang w:val="it-IT"/>
        </w:rPr>
        <w:fldChar w:fldCharType="separate"/>
      </w:r>
      <w:r w:rsidRPr="00BF0169">
        <w:rPr>
          <w:noProof/>
          <w:lang w:val="it-IT"/>
        </w:rPr>
        <w:t>2</w:t>
      </w:r>
      <w:r w:rsidR="00742EC4" w:rsidRPr="00BF0169">
        <w:rPr>
          <w:noProof/>
          <w:lang w:val="it-IT"/>
        </w:rPr>
        <w:fldChar w:fldCharType="end"/>
      </w:r>
      <w:r w:rsidRPr="00BF0169">
        <w:rPr>
          <w:noProof/>
          <w:lang w:val="it-IT"/>
        </w:rPr>
        <w:t xml:space="preserve"> - ODC nel 2021</w:t>
      </w:r>
      <w:bookmarkEnd w:id="56"/>
    </w:p>
    <w:tbl>
      <w:tblPr>
        <w:tblStyle w:val="GridTable4-Accent1"/>
        <w:tblW w:w="0" w:type="auto"/>
        <w:tblLook w:val="04A0" w:firstRow="1" w:lastRow="0" w:firstColumn="1" w:lastColumn="0" w:noHBand="0" w:noVBand="1"/>
      </w:tblPr>
      <w:tblGrid>
        <w:gridCol w:w="1668"/>
        <w:gridCol w:w="7166"/>
      </w:tblGrid>
      <w:tr w:rsidR="00363877" w:rsidRPr="00BF0169" w14:paraId="083621FB" w14:textId="77777777" w:rsidTr="001157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tcPr>
          <w:p w14:paraId="35366D3F" w14:textId="77777777" w:rsidR="00363877" w:rsidRPr="00BF0169" w:rsidRDefault="00363877" w:rsidP="005922A1">
            <w:pPr>
              <w:spacing w:after="0"/>
              <w:jc w:val="left"/>
              <w:rPr>
                <w:rFonts w:cstheme="minorHAnsi"/>
                <w:noProof/>
                <w:sz w:val="20"/>
                <w:lang w:val="it-IT"/>
              </w:rPr>
            </w:pPr>
            <w:r w:rsidRPr="00BF0169">
              <w:rPr>
                <w:noProof/>
                <w:sz w:val="20"/>
                <w:lang w:val="it-IT"/>
              </w:rPr>
              <w:t>Operazione</w:t>
            </w:r>
          </w:p>
        </w:tc>
        <w:tc>
          <w:tcPr>
            <w:tcW w:w="7166" w:type="dxa"/>
          </w:tcPr>
          <w:p w14:paraId="0409D4D2" w14:textId="77777777" w:rsidR="00363877" w:rsidRPr="00BF0169" w:rsidRDefault="00363877" w:rsidP="00A27EF6">
            <w:pPr>
              <w:spacing w:after="0"/>
              <w:cnfStyle w:val="100000000000" w:firstRow="1" w:lastRow="0" w:firstColumn="0" w:lastColumn="0" w:oddVBand="0" w:evenVBand="0" w:oddHBand="0" w:evenHBand="0" w:firstRowFirstColumn="0" w:firstRowLastColumn="0" w:lastRowFirstColumn="0" w:lastRowLastColumn="0"/>
              <w:rPr>
                <w:rFonts w:cstheme="minorHAnsi"/>
                <w:noProof/>
                <w:sz w:val="20"/>
                <w:lang w:val="it-IT"/>
              </w:rPr>
            </w:pPr>
            <w:r w:rsidRPr="00BF0169">
              <w:rPr>
                <w:noProof/>
                <w:sz w:val="20"/>
                <w:lang w:val="it-IT"/>
              </w:rPr>
              <w:t>Descrizione</w:t>
            </w:r>
          </w:p>
        </w:tc>
      </w:tr>
      <w:tr w:rsidR="00363877" w:rsidRPr="00BF0169" w14:paraId="043FA520"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FC25BAC" w14:textId="09B047CA" w:rsidR="00363877" w:rsidRPr="00BF0169" w:rsidRDefault="00363877" w:rsidP="005922A1">
            <w:pPr>
              <w:spacing w:after="0"/>
              <w:jc w:val="left"/>
              <w:rPr>
                <w:rFonts w:cstheme="minorHAnsi"/>
                <w:noProof/>
                <w:sz w:val="20"/>
                <w:lang w:val="it-IT"/>
              </w:rPr>
            </w:pPr>
            <w:r w:rsidRPr="00BF0169">
              <w:rPr>
                <w:noProof/>
                <w:sz w:val="20"/>
                <w:lang w:val="it-IT"/>
              </w:rPr>
              <w:t>S</w:t>
            </w:r>
            <w:r w:rsidR="00BF0169" w:rsidRPr="00BF0169">
              <w:rPr>
                <w:noProof/>
                <w:sz w:val="20"/>
                <w:lang w:val="it-IT"/>
              </w:rPr>
              <w:t>'</w:t>
            </w:r>
            <w:r w:rsidRPr="00BF0169">
              <w:rPr>
                <w:noProof/>
                <w:sz w:val="20"/>
                <w:lang w:val="it-IT"/>
              </w:rPr>
              <w:t>CARE FACE</w:t>
            </w:r>
          </w:p>
        </w:tc>
        <w:tc>
          <w:tcPr>
            <w:tcW w:w="7166" w:type="dxa"/>
          </w:tcPr>
          <w:p w14:paraId="7E43A5E1" w14:textId="28978500" w:rsidR="00363877" w:rsidRPr="00BF0169" w:rsidRDefault="00363877" w:rsidP="002F3A1F">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lang w:val="it-IT"/>
              </w:rPr>
            </w:pPr>
            <w:r w:rsidRPr="00BF0169">
              <w:rPr>
                <w:noProof/>
                <w:sz w:val="20"/>
                <w:lang w:val="it-IT"/>
              </w:rPr>
              <w:t>Organizzata dall</w:t>
            </w:r>
            <w:r w:rsidR="00BF0169" w:rsidRPr="00BF0169">
              <w:rPr>
                <w:noProof/>
                <w:sz w:val="20"/>
                <w:lang w:val="it-IT"/>
              </w:rPr>
              <w:t>'</w:t>
            </w:r>
            <w:r w:rsidRPr="00BF0169">
              <w:rPr>
                <w:noProof/>
                <w:sz w:val="20"/>
                <w:lang w:val="it-IT"/>
              </w:rPr>
              <w:t>OLAF in stretto coordinam</w:t>
            </w:r>
            <w:r w:rsidR="005922A1" w:rsidRPr="00BF0169">
              <w:rPr>
                <w:noProof/>
                <w:sz w:val="20"/>
                <w:lang w:val="it-IT"/>
              </w:rPr>
              <w:t>ento con altre DG (DG TAXUD, DG </w:t>
            </w:r>
            <w:r w:rsidRPr="00BF0169">
              <w:rPr>
                <w:noProof/>
                <w:sz w:val="20"/>
                <w:lang w:val="it-IT"/>
              </w:rPr>
              <w:t>GROW, DG SANTE e DG JUST) per migliorare le conoscenze in tutta l</w:t>
            </w:r>
            <w:r w:rsidR="00BF0169" w:rsidRPr="00BF0169">
              <w:rPr>
                <w:noProof/>
                <w:sz w:val="20"/>
                <w:lang w:val="it-IT"/>
              </w:rPr>
              <w:t>'</w:t>
            </w:r>
            <w:r w:rsidRPr="00BF0169">
              <w:rPr>
                <w:noProof/>
                <w:sz w:val="20"/>
                <w:lang w:val="it-IT"/>
              </w:rPr>
              <w:t>UE in merito al processo di autorizzazione delle mascherine chirurgiche nell</w:t>
            </w:r>
            <w:r w:rsidR="00BF0169" w:rsidRPr="00BF0169">
              <w:rPr>
                <w:noProof/>
                <w:sz w:val="20"/>
                <w:lang w:val="it-IT"/>
              </w:rPr>
              <w:t>'</w:t>
            </w:r>
            <w:r w:rsidRPr="00BF0169">
              <w:rPr>
                <w:noProof/>
                <w:sz w:val="20"/>
                <w:lang w:val="it-IT"/>
              </w:rPr>
              <w:t>UE, l</w:t>
            </w:r>
            <w:r w:rsidR="00BF0169" w:rsidRPr="00BF0169">
              <w:rPr>
                <w:noProof/>
                <w:sz w:val="20"/>
                <w:lang w:val="it-IT"/>
              </w:rPr>
              <w:t>'</w:t>
            </w:r>
            <w:r w:rsidRPr="00BF0169">
              <w:rPr>
                <w:noProof/>
                <w:sz w:val="20"/>
                <w:lang w:val="it-IT"/>
              </w:rPr>
              <w:t>operazione S</w:t>
            </w:r>
            <w:r w:rsidR="00BF0169" w:rsidRPr="00BF0169">
              <w:rPr>
                <w:noProof/>
                <w:sz w:val="20"/>
                <w:lang w:val="it-IT"/>
              </w:rPr>
              <w:t>'</w:t>
            </w:r>
            <w:r w:rsidRPr="00BF0169">
              <w:rPr>
                <w:noProof/>
                <w:sz w:val="20"/>
                <w:lang w:val="it-IT"/>
              </w:rPr>
              <w:t>CARE FACE si è svolta da gennaio a marzo del 2021. Durante l</w:t>
            </w:r>
            <w:r w:rsidR="00BF0169" w:rsidRPr="00BF0169">
              <w:rPr>
                <w:noProof/>
                <w:sz w:val="20"/>
                <w:lang w:val="it-IT"/>
              </w:rPr>
              <w:t>'</w:t>
            </w:r>
            <w:r w:rsidRPr="00BF0169">
              <w:rPr>
                <w:noProof/>
                <w:sz w:val="20"/>
                <w:lang w:val="it-IT"/>
              </w:rPr>
              <w:t>operazione, gli Stati membri partecipanti hanno impedito a 49 milioni di mascherine chirurgiche contraffatte o scadenti di entrare nel mercato dell</w:t>
            </w:r>
            <w:r w:rsidR="00BF0169" w:rsidRPr="00BF0169">
              <w:rPr>
                <w:noProof/>
                <w:sz w:val="20"/>
                <w:lang w:val="it-IT"/>
              </w:rPr>
              <w:t>'</w:t>
            </w:r>
            <w:r w:rsidRPr="00BF0169">
              <w:rPr>
                <w:noProof/>
                <w:sz w:val="20"/>
                <w:lang w:val="it-IT"/>
              </w:rPr>
              <w:t>UE.</w:t>
            </w:r>
          </w:p>
        </w:tc>
      </w:tr>
      <w:tr w:rsidR="00363877" w:rsidRPr="00BF0169" w14:paraId="09D6D5F8"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18AE5DD2" w14:textId="77777777" w:rsidR="00363877" w:rsidRPr="00BF0169" w:rsidRDefault="00363877" w:rsidP="005922A1">
            <w:pPr>
              <w:spacing w:after="0"/>
              <w:jc w:val="left"/>
              <w:rPr>
                <w:rFonts w:cstheme="minorHAnsi"/>
                <w:noProof/>
                <w:sz w:val="20"/>
                <w:lang w:val="it-IT"/>
              </w:rPr>
            </w:pPr>
            <w:r w:rsidRPr="00BF0169">
              <w:rPr>
                <w:noProof/>
                <w:sz w:val="20"/>
                <w:lang w:val="it-IT"/>
              </w:rPr>
              <w:t>SCORPION II</w:t>
            </w:r>
          </w:p>
        </w:tc>
        <w:tc>
          <w:tcPr>
            <w:tcW w:w="7166" w:type="dxa"/>
          </w:tcPr>
          <w:p w14:paraId="745206AB" w14:textId="0AFFB715" w:rsidR="00363877" w:rsidRPr="00BF0169" w:rsidRDefault="00A863FB" w:rsidP="002F3A1F">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lang w:val="it-IT"/>
              </w:rPr>
            </w:pPr>
            <w:r w:rsidRPr="00BF0169">
              <w:rPr>
                <w:noProof/>
                <w:sz w:val="20"/>
                <w:lang w:val="it-IT"/>
              </w:rPr>
              <w:t>Organizzata congiuntamente dalla missione dell</w:t>
            </w:r>
            <w:r w:rsidR="00BF0169" w:rsidRPr="00BF0169">
              <w:rPr>
                <w:noProof/>
                <w:sz w:val="20"/>
                <w:lang w:val="it-IT"/>
              </w:rPr>
              <w:t>'</w:t>
            </w:r>
            <w:r w:rsidRPr="00BF0169">
              <w:rPr>
                <w:noProof/>
                <w:sz w:val="20"/>
                <w:lang w:val="it-IT"/>
              </w:rPr>
              <w:t>Unione europea di assistenza alle frontiere per Moldova e Ucraina (EUBAM) e dall</w:t>
            </w:r>
            <w:r w:rsidR="00BF0169" w:rsidRPr="00BF0169">
              <w:rPr>
                <w:noProof/>
                <w:sz w:val="20"/>
                <w:lang w:val="it-IT"/>
              </w:rPr>
              <w:t>'</w:t>
            </w:r>
            <w:r w:rsidRPr="00BF0169">
              <w:rPr>
                <w:noProof/>
                <w:sz w:val="20"/>
                <w:lang w:val="it-IT"/>
              </w:rPr>
              <w:t>OLAF, questa ODC, volta a contrastare il contrabbando di prodotti del tabacco al confine orientale dell</w:t>
            </w:r>
            <w:r w:rsidR="00BF0169" w:rsidRPr="00BF0169">
              <w:rPr>
                <w:noProof/>
                <w:sz w:val="20"/>
                <w:lang w:val="it-IT"/>
              </w:rPr>
              <w:t>'</w:t>
            </w:r>
            <w:r w:rsidRPr="00BF0169">
              <w:rPr>
                <w:noProof/>
                <w:sz w:val="20"/>
                <w:lang w:val="it-IT"/>
              </w:rPr>
              <w:t>UE, ha portato al sequestro di 8,5 milioni di sigarette.</w:t>
            </w:r>
          </w:p>
        </w:tc>
      </w:tr>
      <w:tr w:rsidR="00363877" w:rsidRPr="00BF0169" w14:paraId="09A779CC"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1DB4AB6" w14:textId="77777777" w:rsidR="00363877" w:rsidRPr="00BF0169" w:rsidRDefault="00363877" w:rsidP="005922A1">
            <w:pPr>
              <w:spacing w:after="0"/>
              <w:jc w:val="left"/>
              <w:rPr>
                <w:rFonts w:cstheme="minorHAnsi"/>
                <w:noProof/>
                <w:sz w:val="20"/>
                <w:lang w:val="it-IT"/>
              </w:rPr>
            </w:pPr>
            <w:r w:rsidRPr="00BF0169">
              <w:rPr>
                <w:noProof/>
                <w:sz w:val="20"/>
                <w:lang w:val="it-IT"/>
              </w:rPr>
              <w:t>POSTBOX III</w:t>
            </w:r>
          </w:p>
        </w:tc>
        <w:tc>
          <w:tcPr>
            <w:tcW w:w="7166" w:type="dxa"/>
          </w:tcPr>
          <w:p w14:paraId="24CDE3C3" w14:textId="3194BF77" w:rsidR="00363877" w:rsidRPr="00BF0169" w:rsidRDefault="00A863FB"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lang w:val="it-IT"/>
              </w:rPr>
            </w:pPr>
            <w:r w:rsidRPr="00BF0169">
              <w:rPr>
                <w:noProof/>
                <w:sz w:val="20"/>
                <w:lang w:val="it-IT"/>
              </w:rPr>
              <w:t>Organizzata dalle autorità doganali e dalla Guardia di Finanza italiane con il sostegno dell</w:t>
            </w:r>
            <w:r w:rsidR="00BF0169" w:rsidRPr="00BF0169">
              <w:rPr>
                <w:noProof/>
                <w:sz w:val="20"/>
                <w:lang w:val="it-IT"/>
              </w:rPr>
              <w:t>'</w:t>
            </w:r>
            <w:r w:rsidRPr="00BF0169">
              <w:rPr>
                <w:noProof/>
                <w:sz w:val="20"/>
                <w:lang w:val="it-IT"/>
              </w:rPr>
              <w:t xml:space="preserve">OLAF, la collaborazione di Europol e la partecipazione di 20 Stati membri, questa operazione si è concentrata sul commercio illecito di prodotti contraffatti, prodotti farmaceutici e beni correlati alla COVID-19, farmaci, specie animali e vegetali minacciate di estinzione, nonché sulla sottovalutazione delle merci utilizzando tanto il web convenzionale quanto il </w:t>
            </w:r>
            <w:r w:rsidRPr="00BF0169">
              <w:rPr>
                <w:i/>
                <w:iCs/>
                <w:noProof/>
                <w:sz w:val="20"/>
                <w:lang w:val="it-IT"/>
              </w:rPr>
              <w:t>dark web</w:t>
            </w:r>
            <w:r w:rsidRPr="00BF0169">
              <w:rPr>
                <w:noProof/>
                <w:sz w:val="20"/>
                <w:lang w:val="it-IT"/>
              </w:rPr>
              <w:t>. L</w:t>
            </w:r>
            <w:r w:rsidR="00BF0169" w:rsidRPr="00BF0169">
              <w:rPr>
                <w:noProof/>
                <w:sz w:val="20"/>
                <w:lang w:val="it-IT"/>
              </w:rPr>
              <w:t>'</w:t>
            </w:r>
            <w:r w:rsidRPr="00BF0169">
              <w:rPr>
                <w:noProof/>
                <w:sz w:val="20"/>
                <w:lang w:val="it-IT"/>
              </w:rPr>
              <w:t>operazion</w:t>
            </w:r>
            <w:r w:rsidR="005922A1" w:rsidRPr="00BF0169">
              <w:rPr>
                <w:noProof/>
                <w:sz w:val="20"/>
                <w:lang w:val="it-IT"/>
              </w:rPr>
              <w:t>e ha portato al blocco di oltre </w:t>
            </w:r>
            <w:r w:rsidRPr="00BF0169">
              <w:rPr>
                <w:noProof/>
                <w:sz w:val="20"/>
                <w:lang w:val="it-IT"/>
              </w:rPr>
              <w:t>1 400 spedizioni di merci illecite, tra cui oltre 35 000 merci contraffatte, banconote contraffatte per un valore approssimativo di 240 000 EUR, oltre 1 500 articoli di materiali legati alla COVID-19, 240 kg di sigarette e prodotti del tabacco di contrabbando e oltre 20 kg di cannabis e marijuana.</w:t>
            </w:r>
          </w:p>
        </w:tc>
      </w:tr>
      <w:tr w:rsidR="00363877" w:rsidRPr="00BF0169" w14:paraId="513A7116"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78F8454C" w14:textId="77777777" w:rsidR="00363877" w:rsidRPr="00BF0169" w:rsidRDefault="00363877" w:rsidP="005922A1">
            <w:pPr>
              <w:spacing w:after="0"/>
              <w:jc w:val="left"/>
              <w:rPr>
                <w:rFonts w:cstheme="minorHAnsi"/>
                <w:noProof/>
                <w:sz w:val="20"/>
                <w:lang w:val="it-IT"/>
              </w:rPr>
            </w:pPr>
            <w:r w:rsidRPr="00BF0169">
              <w:rPr>
                <w:noProof/>
                <w:sz w:val="20"/>
                <w:lang w:val="it-IT"/>
              </w:rPr>
              <w:t>ATHENA V</w:t>
            </w:r>
          </w:p>
        </w:tc>
        <w:tc>
          <w:tcPr>
            <w:tcW w:w="7166" w:type="dxa"/>
          </w:tcPr>
          <w:p w14:paraId="67876BAB" w14:textId="4D5BF4AD" w:rsidR="00363877" w:rsidRPr="00BF0169" w:rsidRDefault="0032188D" w:rsidP="0032188D">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lang w:val="it-IT"/>
              </w:rPr>
            </w:pPr>
            <w:r w:rsidRPr="00BF0169">
              <w:rPr>
                <w:noProof/>
                <w:sz w:val="20"/>
                <w:lang w:val="it-IT"/>
              </w:rPr>
              <w:t>Operazione concernente il contrabbando di contanti nell</w:t>
            </w:r>
            <w:r w:rsidR="00BF0169" w:rsidRPr="00BF0169">
              <w:rPr>
                <w:noProof/>
                <w:sz w:val="20"/>
                <w:lang w:val="it-IT"/>
              </w:rPr>
              <w:t>'</w:t>
            </w:r>
            <w:r w:rsidRPr="00BF0169">
              <w:rPr>
                <w:noProof/>
                <w:sz w:val="20"/>
                <w:lang w:val="it-IT"/>
              </w:rPr>
              <w:t>UE tramite servizi di corriere, servizi postali e di ritiro e recapito di pacchi. L</w:t>
            </w:r>
            <w:r w:rsidR="00BF0169" w:rsidRPr="00BF0169">
              <w:rPr>
                <w:noProof/>
                <w:sz w:val="20"/>
                <w:lang w:val="it-IT"/>
              </w:rPr>
              <w:t>'</w:t>
            </w:r>
            <w:r w:rsidRPr="00BF0169">
              <w:rPr>
                <w:noProof/>
                <w:sz w:val="20"/>
                <w:lang w:val="it-IT"/>
              </w:rPr>
              <w:t>operazione è stata coordinata dall</w:t>
            </w:r>
            <w:r w:rsidR="00BF0169" w:rsidRPr="00BF0169">
              <w:rPr>
                <w:noProof/>
                <w:sz w:val="20"/>
                <w:lang w:val="it-IT"/>
              </w:rPr>
              <w:t>'</w:t>
            </w:r>
            <w:r w:rsidRPr="00BF0169">
              <w:rPr>
                <w:noProof/>
                <w:sz w:val="20"/>
                <w:lang w:val="it-IT"/>
              </w:rPr>
              <w:t>amministrazione doganale spagnola e dall</w:t>
            </w:r>
            <w:r w:rsidR="00BF0169" w:rsidRPr="00BF0169">
              <w:rPr>
                <w:noProof/>
                <w:sz w:val="20"/>
                <w:lang w:val="it-IT"/>
              </w:rPr>
              <w:t>'</w:t>
            </w:r>
            <w:r w:rsidRPr="00BF0169">
              <w:rPr>
                <w:noProof/>
                <w:sz w:val="20"/>
                <w:lang w:val="it-IT"/>
              </w:rPr>
              <w:t>OLAF con il coinvolgimento di 13 Stati membri e di Europol. Durante l</w:t>
            </w:r>
            <w:r w:rsidR="00BF0169" w:rsidRPr="00BF0169">
              <w:rPr>
                <w:noProof/>
                <w:sz w:val="20"/>
                <w:lang w:val="it-IT"/>
              </w:rPr>
              <w:t>'</w:t>
            </w:r>
            <w:r w:rsidRPr="00BF0169">
              <w:rPr>
                <w:noProof/>
                <w:sz w:val="20"/>
                <w:lang w:val="it-IT"/>
              </w:rPr>
              <w:t>operazione sono stati controllati più di 14 000 pacchi. La valutazione dei risultati è in corso.</w:t>
            </w:r>
          </w:p>
        </w:tc>
      </w:tr>
      <w:tr w:rsidR="00363877" w:rsidRPr="00BF0169" w14:paraId="029009B3"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A113D65" w14:textId="77777777" w:rsidR="00363877" w:rsidRPr="00BF0169" w:rsidRDefault="00363877" w:rsidP="005922A1">
            <w:pPr>
              <w:spacing w:after="0"/>
              <w:jc w:val="left"/>
              <w:rPr>
                <w:rFonts w:cstheme="minorHAnsi"/>
                <w:noProof/>
                <w:sz w:val="20"/>
                <w:lang w:val="it-IT"/>
              </w:rPr>
            </w:pPr>
            <w:r w:rsidRPr="00BF0169">
              <w:rPr>
                <w:noProof/>
                <w:sz w:val="20"/>
                <w:lang w:val="it-IT"/>
              </w:rPr>
              <w:t>ARKTOS 3</w:t>
            </w:r>
          </w:p>
        </w:tc>
        <w:tc>
          <w:tcPr>
            <w:tcW w:w="7166" w:type="dxa"/>
          </w:tcPr>
          <w:p w14:paraId="126D34D2" w14:textId="6DDF27D1" w:rsidR="00363877" w:rsidRPr="00BF0169" w:rsidRDefault="00363877"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lang w:val="it-IT"/>
              </w:rPr>
            </w:pPr>
            <w:r w:rsidRPr="00BF0169">
              <w:rPr>
                <w:noProof/>
                <w:sz w:val="20"/>
                <w:lang w:val="it-IT"/>
              </w:rPr>
              <w:t>Operazione congiunta guidata dall</w:t>
            </w:r>
            <w:r w:rsidR="00BF0169" w:rsidRPr="00BF0169">
              <w:rPr>
                <w:noProof/>
                <w:sz w:val="20"/>
                <w:lang w:val="it-IT"/>
              </w:rPr>
              <w:t>'</w:t>
            </w:r>
            <w:r w:rsidRPr="00BF0169">
              <w:rPr>
                <w:noProof/>
                <w:sz w:val="20"/>
                <w:lang w:val="it-IT"/>
              </w:rPr>
              <w:t>Agenzia europea della guardia di frontiera e costiera (Frontex), e co-guidata da Lituania e Polonia con il sostegno di Interpol, OLAF, Eurojust ed Europol unitamente alle guardie di frontiera, alle forze di polizia e ai funzionari doganali di Estonia, Finlandia, Lettonia, Slovacchia e Svezia. Tale operazione mirava a colpire le frodi sulle accise, in particolare il contrabbando di tabacco, le frodi documentali e il traffico di migranti presso alcuni valichi di frontiera selezionati alle frontiere terrestri orientali dell</w:t>
            </w:r>
            <w:r w:rsidR="00BF0169" w:rsidRPr="00BF0169">
              <w:rPr>
                <w:noProof/>
                <w:sz w:val="20"/>
                <w:lang w:val="it-IT"/>
              </w:rPr>
              <w:t>'</w:t>
            </w:r>
            <w:r w:rsidRPr="00BF0169">
              <w:rPr>
                <w:noProof/>
                <w:sz w:val="20"/>
                <w:lang w:val="it-IT"/>
              </w:rPr>
              <w:t>UE. L</w:t>
            </w:r>
            <w:r w:rsidR="00BF0169" w:rsidRPr="00BF0169">
              <w:rPr>
                <w:noProof/>
                <w:sz w:val="20"/>
                <w:lang w:val="it-IT"/>
              </w:rPr>
              <w:t>'</w:t>
            </w:r>
            <w:r w:rsidRPr="00BF0169">
              <w:rPr>
                <w:noProof/>
                <w:sz w:val="20"/>
                <w:lang w:val="it-IT"/>
              </w:rPr>
              <w:t>operazione ha permesso alle autorità di contrasto di rilevare più di 400 prodotti innovativi del tabacco, quali sigarette elettroniche e liquidi per sigarette elettroniche. Tra le merci illegali sequestrate figuravano 6,7 milioni di sigarette illegali e 2,6 tonnellate di tabacco greggio, oltre a mezza tonnellata di droghe illegali. Quindici trafficanti sono stati arrestati e sono stati individuati più di 200 documenti falsificati.</w:t>
            </w:r>
          </w:p>
        </w:tc>
      </w:tr>
      <w:tr w:rsidR="00363877" w:rsidRPr="00BF0169" w14:paraId="12B56116"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6AD0CE59" w14:textId="7E74EB4C" w:rsidR="00363877" w:rsidRPr="00BF0169" w:rsidRDefault="00363877" w:rsidP="005922A1">
            <w:pPr>
              <w:spacing w:after="0"/>
              <w:jc w:val="left"/>
              <w:rPr>
                <w:rFonts w:cstheme="minorHAnsi"/>
                <w:noProof/>
                <w:sz w:val="20"/>
                <w:lang w:val="it-IT"/>
              </w:rPr>
            </w:pPr>
            <w:r w:rsidRPr="00BF0169">
              <w:rPr>
                <w:noProof/>
                <w:sz w:val="20"/>
                <w:lang w:val="it-IT"/>
              </w:rPr>
              <w:t>At</w:t>
            </w:r>
            <w:r w:rsidR="00BF0169">
              <w:rPr>
                <w:noProof/>
                <w:sz w:val="20"/>
                <w:lang w:val="it-IT"/>
              </w:rPr>
              <w:t>t</w:t>
            </w:r>
            <w:r w:rsidRPr="00BF0169">
              <w:rPr>
                <w:noProof/>
                <w:sz w:val="20"/>
                <w:lang w:val="it-IT"/>
              </w:rPr>
              <w:t>ività congiunta CELBET 8</w:t>
            </w:r>
          </w:p>
        </w:tc>
        <w:tc>
          <w:tcPr>
            <w:tcW w:w="7166" w:type="dxa"/>
          </w:tcPr>
          <w:p w14:paraId="6789209F" w14:textId="7F75AE83" w:rsidR="00363877" w:rsidRPr="00BF0169" w:rsidRDefault="00A863FB" w:rsidP="0032188D">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lang w:val="it-IT"/>
              </w:rPr>
            </w:pPr>
            <w:r w:rsidRPr="00BF0169">
              <w:rPr>
                <w:noProof/>
                <w:sz w:val="20"/>
                <w:lang w:val="it-IT"/>
              </w:rPr>
              <w:t>Organizzata dal gruppo di esperti doganali delle frontiere terrestri orientali e sudorientali (CELBET) con il sostegno dell</w:t>
            </w:r>
            <w:r w:rsidR="00BF0169" w:rsidRPr="00BF0169">
              <w:rPr>
                <w:noProof/>
                <w:sz w:val="20"/>
                <w:lang w:val="it-IT"/>
              </w:rPr>
              <w:t>'</w:t>
            </w:r>
            <w:r w:rsidRPr="00BF0169">
              <w:rPr>
                <w:noProof/>
                <w:sz w:val="20"/>
                <w:lang w:val="it-IT"/>
              </w:rPr>
              <w:t>OLAF, questa operazione si è concentrata sui controlli di contanti e sull</w:t>
            </w:r>
            <w:r w:rsidR="00BF0169" w:rsidRPr="00BF0169">
              <w:rPr>
                <w:noProof/>
                <w:sz w:val="20"/>
                <w:lang w:val="it-IT"/>
              </w:rPr>
              <w:t>'</w:t>
            </w:r>
            <w:r w:rsidRPr="00BF0169">
              <w:rPr>
                <w:noProof/>
                <w:sz w:val="20"/>
                <w:lang w:val="it-IT"/>
              </w:rPr>
              <w:t>individuazione di sigarette e altri prodotti del tabacco illegali, nonché di componenti di veicoli, indumenti, scarpe e cosmetici contraffatti che entrano nell</w:t>
            </w:r>
            <w:r w:rsidR="00BF0169" w:rsidRPr="00BF0169">
              <w:rPr>
                <w:noProof/>
                <w:sz w:val="20"/>
                <w:lang w:val="it-IT"/>
              </w:rPr>
              <w:t>'</w:t>
            </w:r>
            <w:r w:rsidRPr="00BF0169">
              <w:rPr>
                <w:noProof/>
                <w:sz w:val="20"/>
                <w:lang w:val="it-IT"/>
              </w:rPr>
              <w:t>UE attraverso il confine orientale.</w:t>
            </w:r>
          </w:p>
        </w:tc>
      </w:tr>
      <w:tr w:rsidR="00363877" w:rsidRPr="00BF0169" w14:paraId="5FC78453"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35A3CFE" w14:textId="77777777" w:rsidR="00363877" w:rsidRPr="00BF0169" w:rsidRDefault="00363877" w:rsidP="005922A1">
            <w:pPr>
              <w:spacing w:after="0"/>
              <w:jc w:val="left"/>
              <w:rPr>
                <w:rFonts w:cstheme="minorHAnsi"/>
                <w:noProof/>
                <w:sz w:val="20"/>
                <w:lang w:val="it-IT"/>
              </w:rPr>
            </w:pPr>
            <w:r w:rsidRPr="00BF0169">
              <w:rPr>
                <w:noProof/>
                <w:sz w:val="20"/>
                <w:lang w:val="it-IT"/>
              </w:rPr>
              <w:t>STOP II</w:t>
            </w:r>
          </w:p>
        </w:tc>
        <w:tc>
          <w:tcPr>
            <w:tcW w:w="7166" w:type="dxa"/>
          </w:tcPr>
          <w:p w14:paraId="47E2B85C" w14:textId="40964DDA" w:rsidR="00363877" w:rsidRPr="00BF0169" w:rsidRDefault="00A863FB"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lang w:val="it-IT"/>
              </w:rPr>
            </w:pPr>
            <w:r w:rsidRPr="00BF0169">
              <w:rPr>
                <w:noProof/>
                <w:sz w:val="20"/>
                <w:lang w:val="it-IT"/>
              </w:rPr>
              <w:t>Organizzata dall</w:t>
            </w:r>
            <w:r w:rsidR="00BF0169" w:rsidRPr="00BF0169">
              <w:rPr>
                <w:noProof/>
                <w:sz w:val="20"/>
                <w:lang w:val="it-IT"/>
              </w:rPr>
              <w:t>'</w:t>
            </w:r>
            <w:r w:rsidRPr="00BF0169">
              <w:rPr>
                <w:noProof/>
                <w:sz w:val="20"/>
                <w:lang w:val="it-IT"/>
              </w:rPr>
              <w:t>Organizzazione mondiale delle dogane, si tratta della più vasta operazione mondiale guidata dalle autorità doganali, che ha coinvolto 146 amministrazioni doganali di paesi membri dell</w:t>
            </w:r>
            <w:r w:rsidR="00BF0169" w:rsidRPr="00BF0169">
              <w:rPr>
                <w:noProof/>
                <w:sz w:val="20"/>
                <w:lang w:val="it-IT"/>
              </w:rPr>
              <w:t>'</w:t>
            </w:r>
            <w:r w:rsidRPr="00BF0169">
              <w:rPr>
                <w:noProof/>
                <w:sz w:val="20"/>
                <w:lang w:val="it-IT"/>
              </w:rPr>
              <w:t>OMD, con il sostegno di Europol, di Interpol, dell</w:t>
            </w:r>
            <w:r w:rsidR="00BF0169" w:rsidRPr="00BF0169">
              <w:rPr>
                <w:noProof/>
                <w:sz w:val="20"/>
                <w:lang w:val="it-IT"/>
              </w:rPr>
              <w:t>'</w:t>
            </w:r>
            <w:r w:rsidRPr="00BF0169">
              <w:rPr>
                <w:noProof/>
                <w:sz w:val="20"/>
                <w:lang w:val="it-IT"/>
              </w:rPr>
              <w:t>Ufficio delle Nazioni Unite contro la droga e il crimine (UNODC) e dell</w:t>
            </w:r>
            <w:r w:rsidR="00BF0169" w:rsidRPr="00BF0169">
              <w:rPr>
                <w:noProof/>
                <w:sz w:val="20"/>
                <w:lang w:val="it-IT"/>
              </w:rPr>
              <w:t>'</w:t>
            </w:r>
            <w:r w:rsidRPr="00BF0169">
              <w:rPr>
                <w:noProof/>
                <w:sz w:val="20"/>
                <w:lang w:val="it-IT"/>
              </w:rPr>
              <w:t>Organizzazione mondiale della sanità (OMS), nonché di case farmaceutiche e altri soggetti del settore privato. L</w:t>
            </w:r>
            <w:r w:rsidR="00BF0169" w:rsidRPr="00BF0169">
              <w:rPr>
                <w:noProof/>
                <w:sz w:val="20"/>
                <w:lang w:val="it-IT"/>
              </w:rPr>
              <w:t>'</w:t>
            </w:r>
            <w:r w:rsidRPr="00BF0169">
              <w:rPr>
                <w:noProof/>
                <w:sz w:val="20"/>
                <w:lang w:val="it-IT"/>
              </w:rPr>
              <w:t>operazione era volta a contrastare il commercio illecito di medicinali, vaccini e dispositivi medici legati alla COVID-19. Essa ha determinato il sequestro di 365,7 milioni di unità, di cui 195,5 milioni di medicinali legati alla COVID-19, 156,7 milioni di dispositivi medici (quali kit per i test per la COVID-19, mascherine chirurgiche, guanti usati, gel igienizzante e bombole di ossigeno) nonché circa 13,5 milioni di dosi di vaccini contro la COVID-19.</w:t>
            </w:r>
          </w:p>
        </w:tc>
      </w:tr>
      <w:tr w:rsidR="00363877" w:rsidRPr="00BF0169" w14:paraId="58A9E471"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042C5B5E" w14:textId="77777777" w:rsidR="00363877" w:rsidRPr="00BF0169" w:rsidRDefault="00363877" w:rsidP="005922A1">
            <w:pPr>
              <w:spacing w:after="0"/>
              <w:jc w:val="left"/>
              <w:rPr>
                <w:rFonts w:cstheme="minorHAnsi"/>
                <w:b w:val="0"/>
                <w:noProof/>
                <w:sz w:val="20"/>
                <w:lang w:val="it-IT"/>
              </w:rPr>
            </w:pPr>
            <w:r w:rsidRPr="00BF0169">
              <w:rPr>
                <w:noProof/>
                <w:sz w:val="20"/>
                <w:lang w:val="it-IT"/>
              </w:rPr>
              <w:t>LUDUS II</w:t>
            </w:r>
          </w:p>
        </w:tc>
        <w:tc>
          <w:tcPr>
            <w:tcW w:w="7166" w:type="dxa"/>
          </w:tcPr>
          <w:p w14:paraId="34B9D840" w14:textId="6A9DE1BF" w:rsidR="00363877" w:rsidRPr="00BF0169" w:rsidRDefault="00363877" w:rsidP="0032188D">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lang w:val="it-IT"/>
              </w:rPr>
            </w:pPr>
            <w:r w:rsidRPr="00BF0169">
              <w:rPr>
                <w:noProof/>
                <w:sz w:val="20"/>
                <w:lang w:val="it-IT"/>
              </w:rPr>
              <w:t>Organizzata da Europol con la partecipazione dell</w:t>
            </w:r>
            <w:r w:rsidR="00BF0169" w:rsidRPr="00BF0169">
              <w:rPr>
                <w:noProof/>
                <w:sz w:val="20"/>
                <w:lang w:val="it-IT"/>
              </w:rPr>
              <w:t>'</w:t>
            </w:r>
            <w:r w:rsidRPr="00BF0169">
              <w:rPr>
                <w:noProof/>
                <w:sz w:val="20"/>
                <w:lang w:val="it-IT"/>
              </w:rPr>
              <w:t>OLAF, dell</w:t>
            </w:r>
            <w:r w:rsidR="00BF0169" w:rsidRPr="00BF0169">
              <w:rPr>
                <w:noProof/>
                <w:sz w:val="20"/>
                <w:lang w:val="it-IT"/>
              </w:rPr>
              <w:t>'</w:t>
            </w:r>
            <w:r w:rsidRPr="00BF0169">
              <w:rPr>
                <w:noProof/>
                <w:sz w:val="20"/>
                <w:lang w:val="it-IT"/>
              </w:rPr>
              <w:t>Ufficio dell</w:t>
            </w:r>
            <w:r w:rsidR="00BF0169" w:rsidRPr="00BF0169">
              <w:rPr>
                <w:noProof/>
                <w:sz w:val="20"/>
                <w:lang w:val="it-IT"/>
              </w:rPr>
              <w:t>'</w:t>
            </w:r>
            <w:r w:rsidRPr="00BF0169">
              <w:rPr>
                <w:noProof/>
                <w:sz w:val="20"/>
                <w:lang w:val="it-IT"/>
              </w:rPr>
              <w:t>Unione europea per la proprietà intellettuale (EUIPO), dell</w:t>
            </w:r>
            <w:r w:rsidR="00BF0169" w:rsidRPr="00BF0169">
              <w:rPr>
                <w:noProof/>
                <w:sz w:val="20"/>
                <w:lang w:val="it-IT"/>
              </w:rPr>
              <w:t>'</w:t>
            </w:r>
            <w:r w:rsidRPr="00BF0169">
              <w:rPr>
                <w:noProof/>
                <w:sz w:val="20"/>
                <w:lang w:val="it-IT"/>
              </w:rPr>
              <w:t>OMD e di 21 paesi, questa operazione ha portato al sequestro di oltre 5 milioni di giocattoli contraffatti e illegali, per un valore di 18 milioni di EUR. Le merci sequestrate presentavano rischi quali esposizione ad agenti chimici, strangolamento, soffocamento, scosse elettriche, danni all</w:t>
            </w:r>
            <w:r w:rsidR="00BF0169" w:rsidRPr="00BF0169">
              <w:rPr>
                <w:noProof/>
                <w:sz w:val="20"/>
                <w:lang w:val="it-IT"/>
              </w:rPr>
              <w:t>'</w:t>
            </w:r>
            <w:r w:rsidRPr="00BF0169">
              <w:rPr>
                <w:noProof/>
                <w:sz w:val="20"/>
                <w:lang w:val="it-IT"/>
              </w:rPr>
              <w:t>udito e pericolo di incendio.</w:t>
            </w:r>
          </w:p>
        </w:tc>
      </w:tr>
      <w:tr w:rsidR="00363877" w:rsidRPr="00BF0169" w14:paraId="3512547B"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8ADB10D" w14:textId="77777777" w:rsidR="00363877" w:rsidRPr="00BF0169" w:rsidRDefault="00363877" w:rsidP="005922A1">
            <w:pPr>
              <w:spacing w:after="0"/>
              <w:jc w:val="left"/>
              <w:rPr>
                <w:rFonts w:cstheme="minorHAnsi"/>
                <w:noProof/>
                <w:sz w:val="20"/>
                <w:lang w:val="it-IT"/>
              </w:rPr>
            </w:pPr>
            <w:r w:rsidRPr="00BF0169">
              <w:rPr>
                <w:noProof/>
                <w:sz w:val="20"/>
                <w:lang w:val="it-IT"/>
              </w:rPr>
              <w:t>OPSON X</w:t>
            </w:r>
          </w:p>
        </w:tc>
        <w:tc>
          <w:tcPr>
            <w:tcW w:w="7166" w:type="dxa"/>
          </w:tcPr>
          <w:p w14:paraId="0A6DE5B7" w14:textId="092378C8" w:rsidR="00363877" w:rsidRPr="00BF0169" w:rsidRDefault="00363877"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lang w:val="it-IT"/>
              </w:rPr>
            </w:pPr>
            <w:r w:rsidRPr="00BF0169">
              <w:rPr>
                <w:noProof/>
                <w:sz w:val="20"/>
                <w:lang w:val="it-IT"/>
              </w:rPr>
              <w:t>Operazione congiunta Europol/Interpol mirata a prodotti alimentari e bevande contraffatti e non conformi alle norme. L</w:t>
            </w:r>
            <w:r w:rsidR="00BF0169" w:rsidRPr="00BF0169">
              <w:rPr>
                <w:noProof/>
                <w:sz w:val="20"/>
                <w:lang w:val="it-IT"/>
              </w:rPr>
              <w:t>'</w:t>
            </w:r>
            <w:r w:rsidRPr="00BF0169">
              <w:rPr>
                <w:noProof/>
                <w:sz w:val="20"/>
                <w:lang w:val="it-IT"/>
              </w:rPr>
              <w:t>OLAF ha condotto un</w:t>
            </w:r>
            <w:r w:rsidR="00BF0169" w:rsidRPr="00BF0169">
              <w:rPr>
                <w:noProof/>
                <w:sz w:val="20"/>
                <w:lang w:val="it-IT"/>
              </w:rPr>
              <w:t>'</w:t>
            </w:r>
            <w:r w:rsidRPr="00BF0169">
              <w:rPr>
                <w:noProof/>
                <w:sz w:val="20"/>
                <w:lang w:val="it-IT"/>
              </w:rPr>
              <w:t>azione mirata sui vini e sulle bevande alcoliche e ha coordinato il lavoro di 19 Stati membri e 3 paesi terzi. Questa operazione ha portato al sequestro di quasi 1,8 milioni di litri di vino e bevande alcoliche da parte delle autorità doganali e di polizia europee: 215 000 litri di bevande alcoliche contraffatte, principalmente vino e vodka e 1 550 000 litri di varie bevande alcoliche, vini e birre, che violavano le norme fiscali o le norme di sicurezza alimentare.</w:t>
            </w:r>
          </w:p>
        </w:tc>
      </w:tr>
      <w:tr w:rsidR="00363877" w:rsidRPr="00BF0169" w14:paraId="7FB9F1E9"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1B3FB29A" w14:textId="77777777" w:rsidR="00363877" w:rsidRPr="00BF0169" w:rsidRDefault="00363877" w:rsidP="005922A1">
            <w:pPr>
              <w:spacing w:after="0"/>
              <w:jc w:val="left"/>
              <w:rPr>
                <w:rFonts w:cstheme="minorHAnsi"/>
                <w:noProof/>
                <w:sz w:val="20"/>
                <w:lang w:val="it-IT"/>
              </w:rPr>
            </w:pPr>
            <w:r w:rsidRPr="00BF0169">
              <w:rPr>
                <w:noProof/>
                <w:sz w:val="20"/>
                <w:lang w:val="it-IT"/>
              </w:rPr>
              <w:t>SHIELD II</w:t>
            </w:r>
          </w:p>
        </w:tc>
        <w:tc>
          <w:tcPr>
            <w:tcW w:w="7166" w:type="dxa"/>
          </w:tcPr>
          <w:p w14:paraId="75B36F18" w14:textId="18698BB7" w:rsidR="00363877" w:rsidRPr="00BF0169" w:rsidRDefault="00A863FB" w:rsidP="00363877">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lang w:val="it-IT"/>
              </w:rPr>
            </w:pPr>
            <w:r w:rsidRPr="00BF0169">
              <w:rPr>
                <w:noProof/>
                <w:sz w:val="20"/>
                <w:lang w:val="it-IT"/>
              </w:rPr>
              <w:t>Organizzata da Europol. L</w:t>
            </w:r>
            <w:r w:rsidR="00BF0169" w:rsidRPr="00BF0169">
              <w:rPr>
                <w:noProof/>
                <w:sz w:val="20"/>
                <w:lang w:val="it-IT"/>
              </w:rPr>
              <w:t>'</w:t>
            </w:r>
            <w:r w:rsidRPr="00BF0169">
              <w:rPr>
                <w:noProof/>
                <w:sz w:val="20"/>
                <w:lang w:val="it-IT"/>
              </w:rPr>
              <w:t>OLAF ha condotto con 17 Stati membri un</w:t>
            </w:r>
            <w:r w:rsidR="00BF0169" w:rsidRPr="00BF0169">
              <w:rPr>
                <w:noProof/>
                <w:sz w:val="20"/>
                <w:lang w:val="it-IT"/>
              </w:rPr>
              <w:t>'</w:t>
            </w:r>
            <w:r w:rsidRPr="00BF0169">
              <w:rPr>
                <w:noProof/>
                <w:sz w:val="20"/>
                <w:lang w:val="it-IT"/>
              </w:rPr>
              <w:t>azione mirata contro la contraffazione di sostanze ormonali, integratori alimentari e medicinali per la disfunzione erettile, bloccando in totale l</w:t>
            </w:r>
            <w:r w:rsidR="00BF0169" w:rsidRPr="00BF0169">
              <w:rPr>
                <w:noProof/>
                <w:sz w:val="20"/>
                <w:lang w:val="it-IT"/>
              </w:rPr>
              <w:t>'</w:t>
            </w:r>
            <w:r w:rsidRPr="00BF0169">
              <w:rPr>
                <w:noProof/>
                <w:sz w:val="20"/>
                <w:lang w:val="it-IT"/>
              </w:rPr>
              <w:t>ingresso</w:t>
            </w:r>
            <w:r w:rsidR="005922A1" w:rsidRPr="00BF0169">
              <w:rPr>
                <w:noProof/>
                <w:sz w:val="20"/>
                <w:lang w:val="it-IT"/>
              </w:rPr>
              <w:t xml:space="preserve"> nell</w:t>
            </w:r>
            <w:r w:rsidR="00BF0169" w:rsidRPr="00BF0169">
              <w:rPr>
                <w:noProof/>
                <w:sz w:val="20"/>
                <w:lang w:val="it-IT"/>
              </w:rPr>
              <w:t>'</w:t>
            </w:r>
            <w:r w:rsidR="005922A1" w:rsidRPr="00BF0169">
              <w:rPr>
                <w:noProof/>
                <w:sz w:val="20"/>
                <w:lang w:val="it-IT"/>
              </w:rPr>
              <w:t>UE di 254 731 compresse e </w:t>
            </w:r>
            <w:r w:rsidRPr="00BF0169">
              <w:rPr>
                <w:noProof/>
                <w:sz w:val="20"/>
                <w:lang w:val="it-IT"/>
              </w:rPr>
              <w:t>131 027 flaconcini di vari medicinali, oltre a 278 kg di integratori alimentari.</w:t>
            </w:r>
          </w:p>
        </w:tc>
      </w:tr>
      <w:tr w:rsidR="00363877" w:rsidRPr="00BF0169" w14:paraId="0EC59132"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B828423" w14:textId="77777777" w:rsidR="00363877" w:rsidRPr="00BF0169" w:rsidRDefault="00363877" w:rsidP="005922A1">
            <w:pPr>
              <w:spacing w:after="0"/>
              <w:jc w:val="left"/>
              <w:rPr>
                <w:rFonts w:cstheme="minorHAnsi"/>
                <w:noProof/>
                <w:sz w:val="20"/>
                <w:lang w:val="it-IT"/>
              </w:rPr>
            </w:pPr>
            <w:r w:rsidRPr="00BF0169">
              <w:rPr>
                <w:noProof/>
                <w:sz w:val="20"/>
                <w:lang w:val="it-IT"/>
              </w:rPr>
              <w:t>DEMETER VII</w:t>
            </w:r>
          </w:p>
        </w:tc>
        <w:tc>
          <w:tcPr>
            <w:tcW w:w="7166" w:type="dxa"/>
          </w:tcPr>
          <w:p w14:paraId="7913FC5E" w14:textId="3F6AD1AE" w:rsidR="00363877" w:rsidRPr="00BF0169" w:rsidRDefault="00A863FB"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lang w:val="it-IT"/>
              </w:rPr>
            </w:pPr>
            <w:r w:rsidRPr="00BF0169">
              <w:rPr>
                <w:noProof/>
                <w:sz w:val="20"/>
                <w:lang w:val="it-IT"/>
              </w:rPr>
              <w:t>Coordinata dall</w:t>
            </w:r>
            <w:r w:rsidR="00BF0169" w:rsidRPr="00BF0169">
              <w:rPr>
                <w:noProof/>
                <w:sz w:val="20"/>
                <w:lang w:val="it-IT"/>
              </w:rPr>
              <w:t>'</w:t>
            </w:r>
            <w:r w:rsidRPr="00BF0169">
              <w:rPr>
                <w:noProof/>
                <w:sz w:val="20"/>
                <w:lang w:val="it-IT"/>
              </w:rPr>
              <w:t>OMD per contrastare il traffico illecito di rifiuti, sostanze che riducono lo strato di ozono (ODS) e idrofluorocarburi (HFC). Complessivamente a questa operazione hanno partecipato 102 agenzie di contrasto. Il ruolo dell</w:t>
            </w:r>
            <w:r w:rsidR="00BF0169" w:rsidRPr="00BF0169">
              <w:rPr>
                <w:noProof/>
                <w:sz w:val="20"/>
                <w:lang w:val="it-IT"/>
              </w:rPr>
              <w:t>'</w:t>
            </w:r>
            <w:r w:rsidRPr="00BF0169">
              <w:rPr>
                <w:noProof/>
                <w:sz w:val="20"/>
                <w:lang w:val="it-IT"/>
              </w:rPr>
              <w:t>OLAF è stato quello di fungere da collegamento tra gli Stati membri dell</w:t>
            </w:r>
            <w:r w:rsidR="00BF0169" w:rsidRPr="00BF0169">
              <w:rPr>
                <w:noProof/>
                <w:sz w:val="20"/>
                <w:lang w:val="it-IT"/>
              </w:rPr>
              <w:t>'</w:t>
            </w:r>
            <w:r w:rsidRPr="00BF0169">
              <w:rPr>
                <w:noProof/>
                <w:sz w:val="20"/>
                <w:lang w:val="it-IT"/>
              </w:rPr>
              <w:t>UE e i paesi terzi al fine di ottenere informazioni e intelligence, che hanno portato all</w:t>
            </w:r>
            <w:r w:rsidR="00BF0169" w:rsidRPr="00BF0169">
              <w:rPr>
                <w:noProof/>
                <w:sz w:val="20"/>
                <w:lang w:val="it-IT"/>
              </w:rPr>
              <w:t>'</w:t>
            </w:r>
            <w:r w:rsidRPr="00BF0169">
              <w:rPr>
                <w:noProof/>
                <w:sz w:val="20"/>
                <w:lang w:val="it-IT"/>
              </w:rPr>
              <w:t>individuazione e al sequestro di oltre 4 000 tonnellate di rifiuti (ad esempio articoli elettronici usati, batterie usate, veicoli usati, macchine da stampa) e 493 articoli relativi a ODS e HFC.</w:t>
            </w:r>
          </w:p>
        </w:tc>
      </w:tr>
      <w:tr w:rsidR="00363877" w:rsidRPr="00BF0169" w14:paraId="7856CCB4"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4C5FE622" w14:textId="77777777" w:rsidR="00363877" w:rsidRPr="00BF0169" w:rsidRDefault="00363877" w:rsidP="005922A1">
            <w:pPr>
              <w:spacing w:after="0"/>
              <w:jc w:val="left"/>
              <w:rPr>
                <w:rFonts w:cstheme="minorHAnsi"/>
                <w:noProof/>
                <w:sz w:val="20"/>
                <w:lang w:val="it-IT"/>
              </w:rPr>
            </w:pPr>
            <w:r w:rsidRPr="00BF0169">
              <w:rPr>
                <w:noProof/>
                <w:sz w:val="20"/>
                <w:lang w:val="it-IT"/>
              </w:rPr>
              <w:t>SILVER AXE VI</w:t>
            </w:r>
          </w:p>
        </w:tc>
        <w:tc>
          <w:tcPr>
            <w:tcW w:w="7166" w:type="dxa"/>
          </w:tcPr>
          <w:p w14:paraId="160C7E52" w14:textId="0E84B4FF" w:rsidR="00363877" w:rsidRPr="00BF0169" w:rsidRDefault="00A863FB" w:rsidP="00296A29">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lang w:val="it-IT"/>
              </w:rPr>
            </w:pPr>
            <w:r w:rsidRPr="00BF0169">
              <w:rPr>
                <w:noProof/>
                <w:sz w:val="20"/>
                <w:lang w:val="it-IT"/>
              </w:rPr>
              <w:t>Operazione annuale guidata da Europol. L</w:t>
            </w:r>
            <w:r w:rsidR="00BF0169" w:rsidRPr="00BF0169">
              <w:rPr>
                <w:noProof/>
                <w:sz w:val="20"/>
                <w:lang w:val="it-IT"/>
              </w:rPr>
              <w:t>'</w:t>
            </w:r>
            <w:r w:rsidRPr="00BF0169">
              <w:rPr>
                <w:noProof/>
                <w:sz w:val="20"/>
                <w:lang w:val="it-IT"/>
              </w:rPr>
              <w:t>OLAF vi ha partecipato fornendo competenze per l</w:t>
            </w:r>
            <w:r w:rsidR="00BF0169" w:rsidRPr="00BF0169">
              <w:rPr>
                <w:noProof/>
                <w:sz w:val="20"/>
                <w:lang w:val="it-IT"/>
              </w:rPr>
              <w:t>'</w:t>
            </w:r>
            <w:r w:rsidRPr="00BF0169">
              <w:rPr>
                <w:noProof/>
                <w:sz w:val="20"/>
                <w:lang w:val="it-IT"/>
              </w:rPr>
              <w:t>individuazione e il tracciamento di spedizioni sospette. Nel corso dell</w:t>
            </w:r>
            <w:r w:rsidR="00BF0169" w:rsidRPr="00BF0169">
              <w:rPr>
                <w:noProof/>
                <w:sz w:val="20"/>
                <w:lang w:val="it-IT"/>
              </w:rPr>
              <w:t>'</w:t>
            </w:r>
            <w:r w:rsidRPr="00BF0169">
              <w:rPr>
                <w:noProof/>
                <w:sz w:val="20"/>
                <w:lang w:val="it-IT"/>
              </w:rPr>
              <w:t>operazione, che ha coinvolto 35 paesi diversi, sono state sequestrate oltre 1 200 tonnellate di pesticidi illegali. L</w:t>
            </w:r>
            <w:r w:rsidR="00BF0169" w:rsidRPr="00BF0169">
              <w:rPr>
                <w:noProof/>
                <w:sz w:val="20"/>
                <w:lang w:val="it-IT"/>
              </w:rPr>
              <w:t>'</w:t>
            </w:r>
            <w:r w:rsidRPr="00BF0169">
              <w:rPr>
                <w:noProof/>
                <w:sz w:val="20"/>
                <w:lang w:val="it-IT"/>
              </w:rPr>
              <w:t>operazione ha portato al sequestro di prodotti illegali e contraffatti per un valore stimato a 80 milioni di EUR. L</w:t>
            </w:r>
            <w:r w:rsidR="00BF0169" w:rsidRPr="00BF0169">
              <w:rPr>
                <w:noProof/>
                <w:sz w:val="20"/>
                <w:lang w:val="it-IT"/>
              </w:rPr>
              <w:t>'</w:t>
            </w:r>
            <w:r w:rsidRPr="00BF0169">
              <w:rPr>
                <w:noProof/>
                <w:sz w:val="20"/>
                <w:lang w:val="it-IT"/>
              </w:rPr>
              <w:t>OLAF ha condiviso intelligence operativa con le autorità doganali degli Stati membri e di Cina, Ucraina, Russia e Colombia. Ha tracciato spedizioni sospette di pesticidi illegali, portando al sequestro di un totale di circa 39 tonnellate di tali prodotti.</w:t>
            </w:r>
          </w:p>
        </w:tc>
      </w:tr>
    </w:tbl>
    <w:p w14:paraId="34F80915" w14:textId="34B5337A" w:rsidR="00FB5CF5" w:rsidRPr="00BF0169" w:rsidRDefault="00C27139" w:rsidP="00FB5CF5">
      <w:pPr>
        <w:pStyle w:val="Heading1"/>
        <w:rPr>
          <w:noProof/>
          <w:lang w:val="it-IT"/>
        </w:rPr>
      </w:pPr>
      <w:bookmarkStart w:id="57" w:name="_Toc116319645"/>
      <w:r w:rsidRPr="00BF0169">
        <w:rPr>
          <w:noProof/>
          <w:lang w:val="it-IT"/>
        </w:rPr>
        <w:t>Misure chiave per la tutela degli interessi finanziari dell</w:t>
      </w:r>
      <w:r w:rsidR="00BF0169" w:rsidRPr="00BF0169">
        <w:rPr>
          <w:noProof/>
          <w:lang w:val="it-IT"/>
        </w:rPr>
        <w:t>'</w:t>
      </w:r>
      <w:r w:rsidRPr="00BF0169">
        <w:rPr>
          <w:noProof/>
          <w:lang w:val="it-IT"/>
        </w:rPr>
        <w:t>UE e la lotta contro la frode</w:t>
      </w:r>
      <w:bookmarkEnd w:id="57"/>
    </w:p>
    <w:p w14:paraId="2A812F7D" w14:textId="77777777" w:rsidR="00071FAB" w:rsidRPr="00BF0169" w:rsidRDefault="00071FAB" w:rsidP="00FB5CF5">
      <w:pPr>
        <w:pStyle w:val="Heading2"/>
        <w:rPr>
          <w:noProof/>
          <w:lang w:val="it-IT"/>
        </w:rPr>
      </w:pPr>
      <w:bookmarkStart w:id="58" w:name="_Toc116319646"/>
      <w:r w:rsidRPr="00BF0169">
        <w:rPr>
          <w:noProof/>
          <w:lang w:val="it-IT"/>
        </w:rPr>
        <w:t>Recepimento della direttiva PIF</w:t>
      </w:r>
      <w:bookmarkEnd w:id="58"/>
    </w:p>
    <w:p w14:paraId="3907A57A" w14:textId="099F294F" w:rsidR="00071FAB" w:rsidRPr="00BF0169" w:rsidRDefault="00071FAB" w:rsidP="00071FAB">
      <w:pPr>
        <w:rPr>
          <w:noProof/>
          <w:lang w:val="it-IT"/>
        </w:rPr>
      </w:pPr>
      <w:r w:rsidRPr="00BF0169">
        <w:rPr>
          <w:noProof/>
          <w:lang w:val="it-IT"/>
        </w:rPr>
        <w:t>La direttiva (UE) 2017/1371 relativa alla lotta contro la frode che lede gli interessi finanziari dell</w:t>
      </w:r>
      <w:r w:rsidR="00BF0169" w:rsidRPr="00BF0169">
        <w:rPr>
          <w:noProof/>
          <w:lang w:val="it-IT"/>
        </w:rPr>
        <w:t>'</w:t>
      </w:r>
      <w:r w:rsidRPr="00BF0169">
        <w:rPr>
          <w:noProof/>
          <w:lang w:val="it-IT"/>
        </w:rPr>
        <w:t>Unione mediante il diritto penale (direttiva PIF) è entrata in vigore il 5 luglio 2017. Il termine per il recepimento di tale direttiva nel diritto nazionale è scaduto il 6 luglio 2019.</w:t>
      </w:r>
    </w:p>
    <w:p w14:paraId="756415B4" w14:textId="3DF1EB68" w:rsidR="00071FAB" w:rsidRPr="00BF0169" w:rsidRDefault="00071FAB" w:rsidP="00071FAB">
      <w:pPr>
        <w:rPr>
          <w:noProof/>
          <w:lang w:val="it-IT"/>
        </w:rPr>
      </w:pPr>
      <w:r w:rsidRPr="00BF0169">
        <w:rPr>
          <w:noProof/>
          <w:lang w:val="it-IT"/>
        </w:rPr>
        <w:t xml:space="preserve">Il 6 settembre 2021 la Commissione ha pubblicato la prima delle tre </w:t>
      </w:r>
      <w:r w:rsidRPr="00BF0169">
        <w:rPr>
          <w:b/>
          <w:noProof/>
          <w:lang w:val="it-IT"/>
        </w:rPr>
        <w:t>relazioni sul recepimento della direttiva</w:t>
      </w:r>
      <w:r w:rsidRPr="00BF0169">
        <w:rPr>
          <w:noProof/>
          <w:lang w:val="it-IT"/>
        </w:rPr>
        <w:t>, come previsto dall</w:t>
      </w:r>
      <w:r w:rsidR="00BF0169" w:rsidRPr="00BF0169">
        <w:rPr>
          <w:noProof/>
          <w:lang w:val="it-IT"/>
        </w:rPr>
        <w:t>'</w:t>
      </w:r>
      <w:r w:rsidRPr="00BF0169">
        <w:rPr>
          <w:noProof/>
          <w:lang w:val="it-IT"/>
        </w:rPr>
        <w:t xml:space="preserve">articolo 18 della stessa. Tale relazione conclude che sebbene tutti gli Stati membri abbiano recepito la direttiva, sono necessarie </w:t>
      </w:r>
      <w:r w:rsidRPr="00BF0169">
        <w:rPr>
          <w:b/>
          <w:noProof/>
          <w:lang w:val="it-IT"/>
        </w:rPr>
        <w:t>ulteriori azioni per affrontare le questioni in sospeso in materia di conformità</w:t>
      </w:r>
      <w:r w:rsidRPr="00BF0169">
        <w:rPr>
          <w:noProof/>
          <w:lang w:val="it-IT"/>
        </w:rPr>
        <w:t>. Sottolinea inoltre che, al fine di consentire all</w:t>
      </w:r>
      <w:r w:rsidR="00BF0169" w:rsidRPr="00BF0169">
        <w:rPr>
          <w:noProof/>
          <w:lang w:val="it-IT"/>
        </w:rPr>
        <w:t>'</w:t>
      </w:r>
      <w:r w:rsidRPr="00BF0169">
        <w:rPr>
          <w:noProof/>
          <w:lang w:val="it-IT"/>
        </w:rPr>
        <w:t>EPPO di condurre indagini e azioni penali efficaci, è necessario un recepimento corretto delle definizioni, delle sanzioni, delle norme sulla giurisdizione e dei termini di prescrizione per le frodi e altri reati che ledono gli interessi finanziari dell</w:t>
      </w:r>
      <w:r w:rsidR="00BF0169" w:rsidRPr="00BF0169">
        <w:rPr>
          <w:noProof/>
          <w:lang w:val="it-IT"/>
        </w:rPr>
        <w:t>'</w:t>
      </w:r>
      <w:r w:rsidRPr="00BF0169">
        <w:rPr>
          <w:noProof/>
          <w:lang w:val="it-IT"/>
        </w:rPr>
        <w:t>UE di cui alla direttiva PIF. La relazione sottolinea altresì che la cooperazione tra l</w:t>
      </w:r>
      <w:r w:rsidR="00BF0169" w:rsidRPr="00BF0169">
        <w:rPr>
          <w:noProof/>
          <w:lang w:val="it-IT"/>
        </w:rPr>
        <w:t>'</w:t>
      </w:r>
      <w:r w:rsidRPr="00BF0169">
        <w:rPr>
          <w:noProof/>
          <w:lang w:val="it-IT"/>
        </w:rPr>
        <w:t xml:space="preserve">EPPO e gli Stati membri è fondamentale. </w:t>
      </w:r>
    </w:p>
    <w:p w14:paraId="1BA1992C" w14:textId="4EC723A9" w:rsidR="00071FAB" w:rsidRPr="00BF0169" w:rsidRDefault="00071FAB" w:rsidP="00071FAB">
      <w:pPr>
        <w:rPr>
          <w:noProof/>
          <w:lang w:val="it-IT"/>
        </w:rPr>
      </w:pPr>
      <w:r w:rsidRPr="00BF0169">
        <w:rPr>
          <w:noProof/>
          <w:lang w:val="it-IT"/>
        </w:rPr>
        <w:t xml:space="preserve">Nel dicembre del 2021 la Commissione ha deciso di avviare una </w:t>
      </w:r>
      <w:r w:rsidRPr="00BF0169">
        <w:rPr>
          <w:b/>
          <w:noProof/>
          <w:lang w:val="it-IT"/>
        </w:rPr>
        <w:t>procedura di infrazione</w:t>
      </w:r>
      <w:r w:rsidRPr="00BF0169">
        <w:rPr>
          <w:noProof/>
          <w:lang w:val="it-IT"/>
        </w:rPr>
        <w:t xml:space="preserve"> contro otto Stati membri</w:t>
      </w:r>
      <w:r w:rsidRPr="00BF0169">
        <w:rPr>
          <w:rStyle w:val="FootnoteReference"/>
          <w:noProof/>
          <w:lang w:val="it-IT"/>
        </w:rPr>
        <w:footnoteReference w:id="60"/>
      </w:r>
      <w:r w:rsidRPr="00BF0169">
        <w:rPr>
          <w:noProof/>
          <w:lang w:val="it-IT"/>
        </w:rPr>
        <w:t xml:space="preserve"> per non aver recepito correttamente la direttiva PIF. Nel febbraio 2022 la Commissione ha avviato procedure di infrazione contro altri cinque Stati membri</w:t>
      </w:r>
      <w:r w:rsidRPr="00BF0169">
        <w:rPr>
          <w:rStyle w:val="FootnoteReference"/>
          <w:noProof/>
          <w:lang w:val="it-IT"/>
        </w:rPr>
        <w:footnoteReference w:id="61"/>
      </w:r>
      <w:r w:rsidRPr="00BF0169">
        <w:rPr>
          <w:noProof/>
          <w:lang w:val="it-IT"/>
        </w:rPr>
        <w:t>. Infine, nel maggio del 2022 la Commissione ha avviato procedure di infrazione contro ulteriori quattro Stati membri</w:t>
      </w:r>
      <w:r w:rsidRPr="00BF0169">
        <w:rPr>
          <w:rStyle w:val="FootnoteReference"/>
          <w:noProof/>
          <w:lang w:val="it-IT"/>
        </w:rPr>
        <w:footnoteReference w:id="62"/>
      </w:r>
      <w:r w:rsidRPr="00BF0169">
        <w:rPr>
          <w:noProof/>
          <w:lang w:val="it-IT"/>
        </w:rPr>
        <w:t>.</w:t>
      </w:r>
    </w:p>
    <w:p w14:paraId="217DED5A" w14:textId="0ECAD39F" w:rsidR="00071FAB" w:rsidRPr="00BF0169" w:rsidRDefault="00071FAB" w:rsidP="00071FAB">
      <w:pPr>
        <w:rPr>
          <w:noProof/>
          <w:lang w:val="it-IT"/>
        </w:rPr>
      </w:pPr>
      <w:r w:rsidRPr="00BF0169">
        <w:rPr>
          <w:noProof/>
          <w:lang w:val="it-IT"/>
        </w:rPr>
        <w:t>La Commissione continuerà ad adottare tutte le misure necessarie per garantire il recepimento corretto e completo della direttiva PIF, con ulteriori procedure di infrazione, se necessario.</w:t>
      </w:r>
    </w:p>
    <w:p w14:paraId="77074A4B" w14:textId="3C2B6456" w:rsidR="00071FAB" w:rsidRPr="00BF0169" w:rsidRDefault="00071FAB" w:rsidP="00071FAB">
      <w:pPr>
        <w:rPr>
          <w:noProof/>
          <w:lang w:val="it-IT"/>
        </w:rPr>
      </w:pPr>
      <w:r w:rsidRPr="00BF0169">
        <w:rPr>
          <w:noProof/>
          <w:lang w:val="it-IT"/>
        </w:rPr>
        <w:t>La Commissione sta preparando una seconda relazione sul recepimento della direttiva PIF, prevista per il terzo trimestre del 2022. Tale relazione si concentrerà sull</w:t>
      </w:r>
      <w:r w:rsidR="00BF0169" w:rsidRPr="00BF0169">
        <w:rPr>
          <w:noProof/>
          <w:lang w:val="it-IT"/>
        </w:rPr>
        <w:t>'</w:t>
      </w:r>
      <w:r w:rsidRPr="00BF0169">
        <w:rPr>
          <w:noProof/>
          <w:lang w:val="it-IT"/>
        </w:rPr>
        <w:t>adeguatezza della soglia in materia di IVA pari a 10 milioni di EUR e sull</w:t>
      </w:r>
      <w:r w:rsidR="00BF0169" w:rsidRPr="00BF0169">
        <w:rPr>
          <w:noProof/>
          <w:lang w:val="it-IT"/>
        </w:rPr>
        <w:t>'</w:t>
      </w:r>
      <w:r w:rsidRPr="00BF0169">
        <w:rPr>
          <w:noProof/>
          <w:lang w:val="it-IT"/>
        </w:rPr>
        <w:t>efficacia delle disposizioni di cui alla direttiva nel settore della frode negli appalti pubblici, nonché sui termini di prescrizione.</w:t>
      </w:r>
    </w:p>
    <w:p w14:paraId="6DBA0CB7" w14:textId="77777777" w:rsidR="00BB743B" w:rsidRPr="00BF0169" w:rsidRDefault="00BB743B" w:rsidP="00FB5CF5">
      <w:pPr>
        <w:pStyle w:val="Heading2"/>
        <w:rPr>
          <w:noProof/>
          <w:lang w:val="it-IT"/>
        </w:rPr>
      </w:pPr>
      <w:bookmarkStart w:id="59" w:name="_Toc116319647"/>
      <w:r w:rsidRPr="00BF0169">
        <w:rPr>
          <w:noProof/>
          <w:lang w:val="it-IT"/>
        </w:rPr>
        <w:t>Antiriciclaggio</w:t>
      </w:r>
      <w:bookmarkEnd w:id="59"/>
    </w:p>
    <w:p w14:paraId="1586B0DC" w14:textId="58F69426" w:rsidR="00BB743B" w:rsidRPr="00BF0169" w:rsidRDefault="00BB743B" w:rsidP="00BB743B">
      <w:pPr>
        <w:rPr>
          <w:noProof/>
          <w:lang w:val="it-IT"/>
        </w:rPr>
      </w:pPr>
      <w:r w:rsidRPr="00BF0169">
        <w:rPr>
          <w:noProof/>
          <w:lang w:val="it-IT"/>
        </w:rPr>
        <w:t>Una frode ai danni del bilancio dell</w:t>
      </w:r>
      <w:r w:rsidR="00BF0169" w:rsidRPr="00BF0169">
        <w:rPr>
          <w:noProof/>
          <w:lang w:val="it-IT"/>
        </w:rPr>
        <w:t>'</w:t>
      </w:r>
      <w:r w:rsidRPr="00BF0169">
        <w:rPr>
          <w:noProof/>
          <w:lang w:val="it-IT"/>
        </w:rPr>
        <w:t xml:space="preserve">UE può costituire altresì un </w:t>
      </w:r>
      <w:r w:rsidRPr="00BF0169">
        <w:rPr>
          <w:b/>
          <w:bCs/>
          <w:noProof/>
          <w:lang w:val="it-IT"/>
        </w:rPr>
        <w:t>precursore per altri reati</w:t>
      </w:r>
      <w:r w:rsidRPr="00BF0169">
        <w:rPr>
          <w:noProof/>
          <w:lang w:val="it-IT"/>
        </w:rPr>
        <w:t xml:space="preserve"> (ad esempio può trattarsi di un reato presupposto). Di conseguenza, benché non direttamente connesso alla tutela del bilancio dell</w:t>
      </w:r>
      <w:r w:rsidR="00BF0169" w:rsidRPr="00BF0169">
        <w:rPr>
          <w:noProof/>
          <w:lang w:val="it-IT"/>
        </w:rPr>
        <w:t>'</w:t>
      </w:r>
      <w:r w:rsidRPr="00BF0169">
        <w:rPr>
          <w:noProof/>
          <w:lang w:val="it-IT"/>
        </w:rPr>
        <w:t>UE, il quadro giuridico UE per l</w:t>
      </w:r>
      <w:r w:rsidR="00BF0169" w:rsidRPr="00BF0169">
        <w:rPr>
          <w:noProof/>
          <w:lang w:val="it-IT"/>
        </w:rPr>
        <w:t>'</w:t>
      </w:r>
      <w:r w:rsidRPr="00BF0169">
        <w:rPr>
          <w:noProof/>
          <w:lang w:val="it-IT"/>
        </w:rPr>
        <w:t xml:space="preserve">antiriciclaggio e la lotta al finanziamento del terrorismo è pertinente in questo contesto. </w:t>
      </w:r>
    </w:p>
    <w:p w14:paraId="6B3B9C72" w14:textId="0256BF22" w:rsidR="00BB743B" w:rsidRPr="00BF0169" w:rsidRDefault="00C829C4" w:rsidP="00CA6A5F">
      <w:pPr>
        <w:rPr>
          <w:noProof/>
          <w:lang w:val="it-IT"/>
        </w:rPr>
      </w:pPr>
      <w:r w:rsidRPr="00BF0169">
        <w:rPr>
          <w:noProof/>
          <w:lang w:val="it-IT"/>
        </w:rPr>
        <w:t>Tutti gli Stati membri hanno riferito un pieno recepimento della quinta direttiva antiriciclaggio</w:t>
      </w:r>
      <w:r w:rsidRPr="00BF0169">
        <w:rPr>
          <w:rStyle w:val="FootnoteReference"/>
          <w:noProof/>
          <w:lang w:val="it-IT"/>
        </w:rPr>
        <w:footnoteReference w:id="63"/>
      </w:r>
      <w:r w:rsidRPr="00BF0169">
        <w:rPr>
          <w:noProof/>
          <w:lang w:val="it-IT"/>
        </w:rPr>
        <w:t xml:space="preserve"> relativa alla prevenzione dell</w:t>
      </w:r>
      <w:r w:rsidR="00BF0169" w:rsidRPr="00BF0169">
        <w:rPr>
          <w:noProof/>
          <w:lang w:val="it-IT"/>
        </w:rPr>
        <w:t>'</w:t>
      </w:r>
      <w:r w:rsidRPr="00BF0169">
        <w:rPr>
          <w:noProof/>
          <w:lang w:val="it-IT"/>
        </w:rPr>
        <w:t>uso del sistema finanziario a fini di riciclaggio o finanziamento del terrorismo</w:t>
      </w:r>
      <w:r w:rsidRPr="00BF0169">
        <w:rPr>
          <w:rStyle w:val="FootnoteReference"/>
          <w:noProof/>
          <w:lang w:val="it-IT"/>
        </w:rPr>
        <w:footnoteReference w:id="64"/>
      </w:r>
      <w:r w:rsidRPr="00BF0169">
        <w:rPr>
          <w:noProof/>
          <w:lang w:val="it-IT"/>
        </w:rPr>
        <w:t xml:space="preserve">. </w:t>
      </w:r>
    </w:p>
    <w:p w14:paraId="68EDA7EA" w14:textId="77777777" w:rsidR="00FB5CF5" w:rsidRPr="00BF0169" w:rsidRDefault="00FB5CF5" w:rsidP="00FB5CF5">
      <w:pPr>
        <w:pStyle w:val="Heading2"/>
        <w:rPr>
          <w:noProof/>
          <w:lang w:val="it-IT"/>
        </w:rPr>
      </w:pPr>
      <w:bookmarkStart w:id="60" w:name="_Toc116319648"/>
      <w:r w:rsidRPr="00BF0169">
        <w:rPr>
          <w:noProof/>
          <w:lang w:val="it-IT"/>
        </w:rPr>
        <w:t>Dispositivo per la ripresa e la resilienza</w:t>
      </w:r>
      <w:bookmarkEnd w:id="60"/>
    </w:p>
    <w:p w14:paraId="004FA86F" w14:textId="794B7103" w:rsidR="00E37566" w:rsidRPr="00BF0169" w:rsidRDefault="00E37566" w:rsidP="00E37566">
      <w:pPr>
        <w:rPr>
          <w:noProof/>
          <w:lang w:val="it-IT"/>
        </w:rPr>
      </w:pPr>
      <w:r w:rsidRPr="00BF0169">
        <w:rPr>
          <w:noProof/>
          <w:lang w:val="it-IT"/>
        </w:rPr>
        <w:t xml:space="preserve">Il regolamento che istituisce il </w:t>
      </w:r>
      <w:r w:rsidRPr="00BF0169">
        <w:rPr>
          <w:b/>
          <w:noProof/>
          <w:lang w:val="it-IT"/>
        </w:rPr>
        <w:t>dispositivo per la ripresa e la resilienza</w:t>
      </w:r>
      <w:r w:rsidRPr="00BF0169">
        <w:rPr>
          <w:noProof/>
          <w:lang w:val="it-IT"/>
        </w:rPr>
        <w:t xml:space="preserve"> (regolamento RRF) è entrato in vigore il 19 febbraio 2021. Tale dispositivo finanzia riforme e investimenti negli Stati membri dall</w:t>
      </w:r>
      <w:r w:rsidR="00BF0169" w:rsidRPr="00BF0169">
        <w:rPr>
          <w:noProof/>
          <w:lang w:val="it-IT"/>
        </w:rPr>
        <w:t>'</w:t>
      </w:r>
      <w:r w:rsidRPr="00BF0169">
        <w:rPr>
          <w:noProof/>
          <w:lang w:val="it-IT"/>
        </w:rPr>
        <w:t xml:space="preserve">inizio della pandemia nel febbraio 2020 fino al 31 dicembre 2026. Per beneficiare del dispositivo per la ripresa e la resilienza, gli Stati membri devono presentare alla Commissione europea i propri </w:t>
      </w:r>
      <w:r w:rsidRPr="00BF0169">
        <w:rPr>
          <w:b/>
          <w:noProof/>
          <w:lang w:val="it-IT"/>
        </w:rPr>
        <w:t>piani nazionali per la ripresa e la resilienza</w:t>
      </w:r>
      <w:r w:rsidRPr="00BF0169">
        <w:rPr>
          <w:noProof/>
          <w:lang w:val="it-IT"/>
        </w:rPr>
        <w:t>. Ciascun piano definisce le riforme e gli investimenti da attuare entro la fine del 2026, consentendo agli Stati membri di ricevere finanziamenti fino a concorrenza di una dotazione precedentemente concordata.</w:t>
      </w:r>
    </w:p>
    <w:p w14:paraId="0AFD576F" w14:textId="049DC215" w:rsidR="00E37566" w:rsidRPr="00BF0169" w:rsidRDefault="00E37566" w:rsidP="00E37566">
      <w:pPr>
        <w:rPr>
          <w:noProof/>
          <w:lang w:val="it-IT"/>
        </w:rPr>
      </w:pPr>
      <w:r w:rsidRPr="00BF0169">
        <w:rPr>
          <w:noProof/>
          <w:lang w:val="it-IT"/>
        </w:rPr>
        <w:t>Ciascun piano dovrebbe affrontare le sfide individuate nel contesto del semestre europeo</w:t>
      </w:r>
      <w:r w:rsidRPr="00BF0169">
        <w:rPr>
          <w:rStyle w:val="FootnoteReference"/>
          <w:noProof/>
          <w:lang w:val="it-IT"/>
        </w:rPr>
        <w:footnoteReference w:id="65"/>
      </w:r>
      <w:r w:rsidRPr="00BF0169">
        <w:rPr>
          <w:noProof/>
          <w:lang w:val="it-IT"/>
        </w:rPr>
        <w:t>, in particolare nelle raccomandazioni specifiche per paese</w:t>
      </w:r>
      <w:r w:rsidRPr="00BF0169">
        <w:rPr>
          <w:rStyle w:val="FootnoteReference"/>
          <w:noProof/>
          <w:lang w:val="it-IT"/>
        </w:rPr>
        <w:footnoteReference w:id="66"/>
      </w:r>
      <w:r w:rsidRPr="00BF0169">
        <w:rPr>
          <w:noProof/>
          <w:lang w:val="it-IT"/>
        </w:rPr>
        <w:t xml:space="preserve"> del 2019 e del 2020 adottate dal Consiglio. Dovrebbe inoltre promuovere la transizione verde e quella digitale e rendere più resilienti le economie e le società degli Stati membri. Gli investimenti dovrebbero altresì rispettare il principio </w:t>
      </w:r>
      <w:r w:rsidR="00BF0169" w:rsidRPr="00BF0169">
        <w:rPr>
          <w:noProof/>
          <w:lang w:val="it-IT"/>
        </w:rPr>
        <w:t>"</w:t>
      </w:r>
      <w:r w:rsidRPr="00BF0169">
        <w:rPr>
          <w:noProof/>
          <w:lang w:val="it-IT"/>
        </w:rPr>
        <w:t>non arrecare un danno significativo</w:t>
      </w:r>
      <w:r w:rsidR="00BF0169" w:rsidRPr="00BF0169">
        <w:rPr>
          <w:noProof/>
          <w:lang w:val="it-IT"/>
        </w:rPr>
        <w:t>"</w:t>
      </w:r>
      <w:r w:rsidRPr="00BF0169">
        <w:rPr>
          <w:rStyle w:val="FootnoteReference"/>
          <w:noProof/>
          <w:lang w:val="it-IT"/>
        </w:rPr>
        <w:footnoteReference w:id="67"/>
      </w:r>
      <w:r w:rsidRPr="00BF0169">
        <w:rPr>
          <w:noProof/>
          <w:lang w:val="it-IT"/>
        </w:rPr>
        <w:t>.</w:t>
      </w:r>
    </w:p>
    <w:p w14:paraId="340FFE24" w14:textId="29684995" w:rsidR="00E37566" w:rsidRPr="00BF0169" w:rsidRDefault="00E37566" w:rsidP="00E37566">
      <w:pPr>
        <w:rPr>
          <w:noProof/>
          <w:lang w:val="it-IT"/>
        </w:rPr>
      </w:pPr>
      <w:r w:rsidRPr="00BF0169">
        <w:rPr>
          <w:noProof/>
          <w:lang w:val="it-IT"/>
        </w:rPr>
        <w:t xml:space="preserve">Il dispositivo per la ripresa e la resilienza è uno </w:t>
      </w:r>
      <w:r w:rsidRPr="00BF0169">
        <w:rPr>
          <w:b/>
          <w:noProof/>
          <w:lang w:val="it-IT"/>
        </w:rPr>
        <w:t>strumento basato sulle prestazioni</w:t>
      </w:r>
      <w:r w:rsidRPr="00BF0169">
        <w:rPr>
          <w:noProof/>
          <w:lang w:val="it-IT"/>
        </w:rPr>
        <w:t>. Il rispetto dei traguardi e degli obiettivi concordati per il conseguimento delle riforme e degli investimenti previsti dai piani consente l</w:t>
      </w:r>
      <w:r w:rsidR="00BF0169" w:rsidRPr="00BF0169">
        <w:rPr>
          <w:noProof/>
          <w:lang w:val="it-IT"/>
        </w:rPr>
        <w:t>'</w:t>
      </w:r>
      <w:r w:rsidRPr="00BF0169">
        <w:rPr>
          <w:noProof/>
          <w:lang w:val="it-IT"/>
        </w:rPr>
        <w:t xml:space="preserve">erogazione di sovvenzioni e prestiti a favore dello Stato membro in questione. </w:t>
      </w:r>
    </w:p>
    <w:p w14:paraId="64957180" w14:textId="7487BF80" w:rsidR="00400194" w:rsidRPr="00BF0169" w:rsidRDefault="00400194" w:rsidP="00E37566">
      <w:pPr>
        <w:rPr>
          <w:noProof/>
          <w:lang w:val="it-IT"/>
        </w:rPr>
      </w:pPr>
      <w:r w:rsidRPr="00BF0169">
        <w:rPr>
          <w:noProof/>
          <w:lang w:val="it-IT"/>
        </w:rPr>
        <w:t>Il regolamento RRF</w:t>
      </w:r>
      <w:r w:rsidRPr="00BF0169">
        <w:rPr>
          <w:rStyle w:val="FootnoteReference"/>
          <w:noProof/>
          <w:lang w:val="it-IT"/>
        </w:rPr>
        <w:footnoteReference w:id="68"/>
      </w:r>
      <w:r w:rsidRPr="00BF0169">
        <w:rPr>
          <w:noProof/>
          <w:lang w:val="it-IT"/>
        </w:rPr>
        <w:t xml:space="preserve"> impone agli Stati membri di adottare tutte le opportune misure per tutelare gli interessi finanziari dell</w:t>
      </w:r>
      <w:r w:rsidR="00BF0169" w:rsidRPr="00BF0169">
        <w:rPr>
          <w:noProof/>
          <w:lang w:val="it-IT"/>
        </w:rPr>
        <w:t>'</w:t>
      </w:r>
      <w:r w:rsidRPr="00BF0169">
        <w:rPr>
          <w:noProof/>
          <w:lang w:val="it-IT"/>
        </w:rPr>
        <w:t>Unione e per garantire che l</w:t>
      </w:r>
      <w:r w:rsidR="00BF0169" w:rsidRPr="00BF0169">
        <w:rPr>
          <w:noProof/>
          <w:lang w:val="it-IT"/>
        </w:rPr>
        <w:t>'</w:t>
      </w:r>
      <w:r w:rsidRPr="00BF0169">
        <w:rPr>
          <w:b/>
          <w:noProof/>
          <w:lang w:val="it-IT"/>
        </w:rPr>
        <w:t>utilizzo dei fondi sia conforme al diritto dell</w:t>
      </w:r>
      <w:r w:rsidR="00BF0169" w:rsidRPr="00BF0169">
        <w:rPr>
          <w:b/>
          <w:noProof/>
          <w:lang w:val="it-IT"/>
        </w:rPr>
        <w:t>'</w:t>
      </w:r>
      <w:r w:rsidRPr="00BF0169">
        <w:rPr>
          <w:b/>
          <w:noProof/>
          <w:lang w:val="it-IT"/>
        </w:rPr>
        <w:t>Unione e nazionale applicabile</w:t>
      </w:r>
      <w:r w:rsidRPr="00BF0169">
        <w:rPr>
          <w:noProof/>
          <w:lang w:val="it-IT"/>
        </w:rPr>
        <w:t xml:space="preserve">. A tal fine, ogni Stato membro deve prevedere un sistema di controllo interno efficace ed efficiente nonché provvedere al recupero degli importi indebitamente versati o utilizzati in modo non corretto. Questo </w:t>
      </w:r>
      <w:r w:rsidRPr="00BF0169">
        <w:rPr>
          <w:b/>
          <w:noProof/>
          <w:lang w:val="it-IT"/>
        </w:rPr>
        <w:t>nuovo modello di attuazione</w:t>
      </w:r>
      <w:r w:rsidRPr="00BF0169">
        <w:rPr>
          <w:noProof/>
          <w:lang w:val="it-IT"/>
        </w:rPr>
        <w:t xml:space="preserve"> conferisce agli Stati membri grande responsabilità per garantire che le risorse in questione siano protette contro le frodi, la corruzione, i conflitti di interesse (definiti come </w:t>
      </w:r>
      <w:r w:rsidR="00BF0169" w:rsidRPr="00BF0169">
        <w:rPr>
          <w:noProof/>
          <w:lang w:val="it-IT"/>
        </w:rPr>
        <w:t>"</w:t>
      </w:r>
      <w:r w:rsidRPr="00BF0169">
        <w:rPr>
          <w:noProof/>
          <w:lang w:val="it-IT"/>
        </w:rPr>
        <w:t>irregolarità gravi</w:t>
      </w:r>
      <w:r w:rsidR="00BF0169" w:rsidRPr="00BF0169">
        <w:rPr>
          <w:noProof/>
          <w:lang w:val="it-IT"/>
        </w:rPr>
        <w:t>"</w:t>
      </w:r>
      <w:r w:rsidRPr="00BF0169">
        <w:rPr>
          <w:noProof/>
          <w:lang w:val="it-IT"/>
        </w:rPr>
        <w:t>) nonché la duplicazione dei finanziamenti.</w:t>
      </w:r>
    </w:p>
    <w:p w14:paraId="54302290" w14:textId="06EE993F" w:rsidR="00E37566" w:rsidRPr="00BF0169" w:rsidRDefault="005E5525" w:rsidP="00505DEA">
      <w:pPr>
        <w:pStyle w:val="Caption"/>
        <w:keepNext/>
        <w:rPr>
          <w:noProof/>
          <w:lang w:val="it-IT"/>
        </w:rPr>
      </w:pPr>
      <w:r w:rsidRPr="00BF0169">
        <w:rPr>
          <w:noProof/>
          <w:lang w:val="it-IT"/>
        </w:rPr>
        <w:t xml:space="preserve">Figura </w:t>
      </w:r>
      <w:r w:rsidR="00742EC4" w:rsidRPr="00BF0169">
        <w:rPr>
          <w:noProof/>
          <w:lang w:val="it-IT"/>
        </w:rPr>
        <w:fldChar w:fldCharType="begin"/>
      </w:r>
      <w:r w:rsidR="00742EC4" w:rsidRPr="00BF0169">
        <w:rPr>
          <w:noProof/>
          <w:lang w:val="it-IT"/>
        </w:rPr>
        <w:instrText xml:space="preserve"> SEQ Figure \* ARABIC </w:instrText>
      </w:r>
      <w:r w:rsidR="00742EC4" w:rsidRPr="00BF0169">
        <w:rPr>
          <w:noProof/>
          <w:lang w:val="it-IT"/>
        </w:rPr>
        <w:fldChar w:fldCharType="separate"/>
      </w:r>
      <w:r w:rsidRPr="00BF0169">
        <w:rPr>
          <w:noProof/>
          <w:lang w:val="it-IT"/>
        </w:rPr>
        <w:t>4</w:t>
      </w:r>
      <w:r w:rsidR="00742EC4" w:rsidRPr="00BF0169">
        <w:rPr>
          <w:noProof/>
          <w:lang w:val="it-IT"/>
        </w:rPr>
        <w:fldChar w:fldCharType="end"/>
      </w:r>
      <w:r w:rsidRPr="00BF0169">
        <w:rPr>
          <w:noProof/>
          <w:lang w:val="it-IT"/>
        </w:rPr>
        <w:t xml:space="preserve"> – Processo di valutazione dei piani nazionali</w:t>
      </w:r>
    </w:p>
    <w:p w14:paraId="55AAD56A" w14:textId="4B93AB98" w:rsidR="005E5525" w:rsidRPr="00BF0169" w:rsidRDefault="00807C3A" w:rsidP="005E5525">
      <w:pPr>
        <w:rPr>
          <w:noProof/>
          <w:lang w:val="it-IT"/>
        </w:rPr>
      </w:pPr>
      <w:r w:rsidRPr="00BF0169">
        <w:rPr>
          <w:noProof/>
          <w:lang w:val="en-GB" w:eastAsia="en-GB"/>
        </w:rPr>
        <w:drawing>
          <wp:inline distT="0" distB="0" distL="0" distR="0" wp14:anchorId="362E90AD" wp14:editId="496C63C6">
            <wp:extent cx="5472430" cy="2705100"/>
            <wp:effectExtent l="19050" t="0" r="330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5CA1AF4" w14:textId="72A1E6A4" w:rsidR="005E5525" w:rsidRPr="00BF0169" w:rsidRDefault="00CA6A5F" w:rsidP="005E5525">
      <w:pPr>
        <w:rPr>
          <w:noProof/>
          <w:lang w:val="it-IT"/>
        </w:rPr>
      </w:pPr>
      <w:r w:rsidRPr="00BF0169">
        <w:rPr>
          <w:noProof/>
          <w:lang w:val="it-IT"/>
        </w:rPr>
        <w:t xml:space="preserve">Ciascun piano contiene pertanto una </w:t>
      </w:r>
      <w:r w:rsidRPr="00BF0169">
        <w:rPr>
          <w:b/>
          <w:noProof/>
          <w:lang w:val="it-IT"/>
        </w:rPr>
        <w:t>sezione</w:t>
      </w:r>
      <w:r w:rsidRPr="00BF0169">
        <w:rPr>
          <w:noProof/>
          <w:lang w:val="it-IT"/>
        </w:rPr>
        <w:t xml:space="preserve"> relativa a </w:t>
      </w:r>
      <w:r w:rsidRPr="00BF0169">
        <w:rPr>
          <w:b/>
          <w:noProof/>
          <w:lang w:val="it-IT"/>
        </w:rPr>
        <w:t>controlli e audit</w:t>
      </w:r>
      <w:r w:rsidRPr="00BF0169">
        <w:rPr>
          <w:noProof/>
          <w:lang w:val="it-IT"/>
        </w:rPr>
        <w:t xml:space="preserve"> nella quale gli Stati membri descrivono le misure (comprese le misure antifrode) che attueranno e individuano </w:t>
      </w:r>
      <w:r w:rsidRPr="00BF0169">
        <w:rPr>
          <w:b/>
          <w:noProof/>
          <w:lang w:val="it-IT"/>
        </w:rPr>
        <w:t>traguardi e obiettivi specifici</w:t>
      </w:r>
      <w:r w:rsidRPr="00BF0169">
        <w:rPr>
          <w:noProof/>
          <w:lang w:val="it-IT"/>
        </w:rPr>
        <w:t xml:space="preserve"> per tutelare gli interessi finanziari dell</w:t>
      </w:r>
      <w:r w:rsidR="00BF0169" w:rsidRPr="00BF0169">
        <w:rPr>
          <w:noProof/>
          <w:lang w:val="it-IT"/>
        </w:rPr>
        <w:t>'</w:t>
      </w:r>
      <w:r w:rsidRPr="00BF0169">
        <w:rPr>
          <w:noProof/>
          <w:lang w:val="it-IT"/>
        </w:rPr>
        <w:t>UE da gravi irregolarità e dalla duplicazione dei finanziamenti. La Commissione può valutare positivamente un piano soltanto se valuta positivamente i suoi sistemi di controllo. Quale servizio della Commissione, l</w:t>
      </w:r>
      <w:r w:rsidR="00BF0169" w:rsidRPr="00BF0169">
        <w:rPr>
          <w:noProof/>
          <w:lang w:val="it-IT"/>
        </w:rPr>
        <w:t>'</w:t>
      </w:r>
      <w:r w:rsidRPr="00BF0169">
        <w:rPr>
          <w:noProof/>
          <w:lang w:val="it-IT"/>
        </w:rPr>
        <w:t xml:space="preserve">OLAF ha contribuito alla valutazione da parte della Commissione dei piani per la ripresa e la resilienza degli Stati membri fornendo </w:t>
      </w:r>
      <w:r w:rsidRPr="00BF0169">
        <w:rPr>
          <w:b/>
          <w:noProof/>
          <w:lang w:val="it-IT"/>
        </w:rPr>
        <w:t>consulenza mirata antifrode</w:t>
      </w:r>
      <w:r w:rsidRPr="00BF0169">
        <w:rPr>
          <w:noProof/>
          <w:lang w:val="it-IT"/>
        </w:rPr>
        <w:t>. È attualmente in corso la cooperazione con le autorità nazionali al fine di scambiare opinioni e facilitare la diffusione di buone prassi ed esperienze (quali l</w:t>
      </w:r>
      <w:r w:rsidR="00BF0169" w:rsidRPr="00BF0169">
        <w:rPr>
          <w:noProof/>
          <w:lang w:val="it-IT"/>
        </w:rPr>
        <w:t>'</w:t>
      </w:r>
      <w:r w:rsidRPr="00BF0169">
        <w:rPr>
          <w:noProof/>
          <w:lang w:val="it-IT"/>
        </w:rPr>
        <w:t xml:space="preserve">uso di strumenti informatici; cfr. anche </w:t>
      </w:r>
      <w:r w:rsidRPr="00BF0169">
        <w:rPr>
          <w:b/>
          <w:noProof/>
          <w:lang w:val="it-IT"/>
        </w:rPr>
        <w:t>sezione</w:t>
      </w:r>
      <w:r w:rsidRPr="00BF0169">
        <w:rPr>
          <w:noProof/>
          <w:lang w:val="it-IT"/>
        </w:rPr>
        <w:t xml:space="preserve"> </w:t>
      </w:r>
      <w:r w:rsidRPr="00BF0169">
        <w:rPr>
          <w:b/>
          <w:noProof/>
          <w:lang w:val="it-IT"/>
        </w:rPr>
        <w:t>4.2.1</w:t>
      </w:r>
      <w:r w:rsidRPr="00BF0169">
        <w:rPr>
          <w:noProof/>
          <w:lang w:val="it-IT"/>
        </w:rPr>
        <w:t>).</w:t>
      </w:r>
    </w:p>
    <w:p w14:paraId="0578B525" w14:textId="68EA190A" w:rsidR="00924DFB" w:rsidRPr="00BF0169" w:rsidRDefault="004E724E" w:rsidP="008A6DCE">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61" w:name="_Toc105777775"/>
      <w:bookmarkStart w:id="62" w:name="_Toc110444019"/>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11</w:t>
      </w:r>
      <w:r w:rsidR="00742EC4" w:rsidRPr="00BF0169">
        <w:rPr>
          <w:noProof/>
          <w:lang w:val="it-IT"/>
        </w:rPr>
        <w:fldChar w:fldCharType="end"/>
      </w:r>
      <w:r w:rsidRPr="00BF0169">
        <w:rPr>
          <w:noProof/>
          <w:lang w:val="it-IT"/>
        </w:rPr>
        <w:t xml:space="preserve"> – Operazione SENTINEL</w:t>
      </w:r>
      <w:bookmarkEnd w:id="61"/>
      <w:bookmarkEnd w:id="62"/>
    </w:p>
    <w:p w14:paraId="02CA1041" w14:textId="57FAA44A" w:rsidR="004E724E" w:rsidRPr="00BF0169" w:rsidRDefault="004E724E" w:rsidP="00E12048">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Nel settembre del 2021, Europol, OLAF, EPPO, Eurojust e 21 Stati membri hanno unito le forze nel quadro dell</w:t>
      </w:r>
      <w:r w:rsidR="00BF0169" w:rsidRPr="00BF0169">
        <w:rPr>
          <w:noProof/>
          <w:lang w:val="it-IT"/>
        </w:rPr>
        <w:t>'</w:t>
      </w:r>
      <w:r w:rsidRPr="00BF0169">
        <w:rPr>
          <w:b/>
          <w:noProof/>
          <w:lang w:val="it-IT"/>
        </w:rPr>
        <w:t>operazione SENTINEL</w:t>
      </w:r>
      <w:r w:rsidRPr="00BF0169">
        <w:rPr>
          <w:noProof/>
          <w:lang w:val="it-IT"/>
        </w:rPr>
        <w:t xml:space="preserve"> al fine di anticipare la prevista ondata di frodi che interessa i fondi per la ripresa. A tal fine, Europol ha istituito un meccanismo interno specifico per elaborare i dati operativi, fornire assistenza negli scambi di informazioni e sostenere i casi in corso. Le attività congiunte hanno riguardato le frodi, nonché l</w:t>
      </w:r>
      <w:r w:rsidR="00BF0169" w:rsidRPr="00BF0169">
        <w:rPr>
          <w:noProof/>
          <w:lang w:val="it-IT"/>
        </w:rPr>
        <w:t>'</w:t>
      </w:r>
      <w:r w:rsidRPr="00BF0169">
        <w:rPr>
          <w:noProof/>
          <w:lang w:val="it-IT"/>
        </w:rPr>
        <w:t>evasione fiscale, le frodi in materia di accise, la corruzione, la malversazione di fondi, l</w:t>
      </w:r>
      <w:r w:rsidR="00BF0169" w:rsidRPr="00BF0169">
        <w:rPr>
          <w:noProof/>
          <w:lang w:val="it-IT"/>
        </w:rPr>
        <w:t>'</w:t>
      </w:r>
      <w:r w:rsidRPr="00BF0169">
        <w:rPr>
          <w:noProof/>
          <w:lang w:val="it-IT"/>
        </w:rPr>
        <w:t>appropriazione indebita e il riciclaggio di denaro. Nel febbraio del 2022 Europol e OLAF hanno pubblicato una relazione congiunta (</w:t>
      </w:r>
      <w:r w:rsidR="00BF0169" w:rsidRPr="00BF0169">
        <w:rPr>
          <w:noProof/>
          <w:lang w:val="it-IT"/>
        </w:rPr>
        <w:t>"</w:t>
      </w:r>
      <w:r w:rsidRPr="00BF0169">
        <w:rPr>
          <w:noProof/>
          <w:lang w:val="it-IT"/>
        </w:rPr>
        <w:t>Valutazione delle minacce al fondo NextGenerationEU (NGEU)</w:t>
      </w:r>
      <w:r w:rsidR="00BF0169" w:rsidRPr="00BF0169">
        <w:rPr>
          <w:noProof/>
          <w:lang w:val="it-IT"/>
        </w:rPr>
        <w:t>"</w:t>
      </w:r>
      <w:r w:rsidRPr="00BF0169">
        <w:rPr>
          <w:noProof/>
          <w:lang w:val="it-IT"/>
        </w:rPr>
        <w:t>).</w:t>
      </w:r>
    </w:p>
    <w:p w14:paraId="1CDE4FDA" w14:textId="7A458B4A" w:rsidR="00E12048" w:rsidRPr="00BF0169" w:rsidRDefault="00E12048" w:rsidP="005E5525">
      <w:pPr>
        <w:rPr>
          <w:noProof/>
          <w:lang w:val="it-IT"/>
        </w:rPr>
      </w:pPr>
      <w:r w:rsidRPr="00BF0169">
        <w:rPr>
          <w:noProof/>
          <w:lang w:val="it-IT"/>
        </w:rPr>
        <w:t>Tra gli obblighi degli Stati membri in relazione alle misure di tutela degli interessi finanziari dell</w:t>
      </w:r>
      <w:r w:rsidR="00BF0169" w:rsidRPr="00BF0169">
        <w:rPr>
          <w:noProof/>
          <w:lang w:val="it-IT"/>
        </w:rPr>
        <w:t>'</w:t>
      </w:r>
      <w:r w:rsidRPr="00BF0169">
        <w:rPr>
          <w:noProof/>
          <w:lang w:val="it-IT"/>
        </w:rPr>
        <w:t>UE, spicca la raccolta di dati in merito a beneficiari, appaltatori, subappaltatori e titolari effettivi. La Commissione ha messo Arachne a disposizione degli Stati membri affinché se ne avvalgano nel quadro del dispositivo per la ripresa e la resilienza.</w:t>
      </w:r>
    </w:p>
    <w:p w14:paraId="17AA278E" w14:textId="6C888491" w:rsidR="001A2746" w:rsidRPr="00BF0169" w:rsidRDefault="005E5525" w:rsidP="001A2746">
      <w:pPr>
        <w:rPr>
          <w:noProof/>
          <w:lang w:val="it-IT"/>
        </w:rPr>
      </w:pPr>
      <w:r w:rsidRPr="00BF0169">
        <w:rPr>
          <w:noProof/>
          <w:lang w:val="it-IT"/>
        </w:rPr>
        <w:t>Alla fine del 2021 erano stati adottati 22 piani nazionali. Al 31 luglio 2022 i piani nazionali adottati erano 25</w:t>
      </w:r>
      <w:r w:rsidRPr="00BF0169">
        <w:rPr>
          <w:rStyle w:val="FootnoteReference"/>
          <w:noProof/>
          <w:lang w:val="it-IT"/>
        </w:rPr>
        <w:footnoteReference w:id="69"/>
      </w:r>
      <w:r w:rsidRPr="00BF0169">
        <w:rPr>
          <w:noProof/>
          <w:lang w:val="it-IT"/>
        </w:rPr>
        <w:t xml:space="preserve">. </w:t>
      </w:r>
    </w:p>
    <w:p w14:paraId="75BC3665" w14:textId="77777777" w:rsidR="00FB5CF5" w:rsidRPr="00BF0169" w:rsidRDefault="00FB5CF5" w:rsidP="00FB5CF5">
      <w:pPr>
        <w:pStyle w:val="Heading2"/>
        <w:rPr>
          <w:noProof/>
          <w:lang w:val="it-IT"/>
        </w:rPr>
      </w:pPr>
      <w:bookmarkStart w:id="63" w:name="_Toc116319649"/>
      <w:r w:rsidRPr="00BF0169">
        <w:rPr>
          <w:noProof/>
          <w:lang w:val="it-IT"/>
        </w:rPr>
        <w:t>Protezione degli informatori</w:t>
      </w:r>
      <w:bookmarkEnd w:id="63"/>
    </w:p>
    <w:p w14:paraId="507FA94A" w14:textId="27712656" w:rsidR="00D933F0" w:rsidRPr="00BF0169" w:rsidRDefault="00D933F0" w:rsidP="00D933F0">
      <w:pPr>
        <w:rPr>
          <w:noProof/>
          <w:lang w:val="it-IT"/>
        </w:rPr>
      </w:pPr>
      <w:r w:rsidRPr="00BF0169">
        <w:rPr>
          <w:noProof/>
          <w:lang w:val="it-IT"/>
        </w:rPr>
        <w:t>Attività illecite e abusi di diritto possono verificarsi in qualsiasi organizzazione, privata o pubblica, grande o piccola. Possono assumere svariate forme, quali corruzione, frode, pratiche scorrette o negligenza. Se non affrontate, tali attività possono causare gravi danni all</w:t>
      </w:r>
      <w:r w:rsidR="00BF0169" w:rsidRPr="00BF0169">
        <w:rPr>
          <w:noProof/>
          <w:lang w:val="it-IT"/>
        </w:rPr>
        <w:t>'</w:t>
      </w:r>
      <w:r w:rsidRPr="00BF0169">
        <w:rPr>
          <w:noProof/>
          <w:lang w:val="it-IT"/>
        </w:rPr>
        <w:t>interesse pubblico. Le persone che lavorano per un</w:t>
      </w:r>
      <w:r w:rsidR="00BF0169" w:rsidRPr="00BF0169">
        <w:rPr>
          <w:noProof/>
          <w:lang w:val="it-IT"/>
        </w:rPr>
        <w:t>'</w:t>
      </w:r>
      <w:r w:rsidRPr="00BF0169">
        <w:rPr>
          <w:noProof/>
          <w:lang w:val="it-IT"/>
        </w:rPr>
        <w:t>organizzazione o sono in contatto con essa nell</w:t>
      </w:r>
      <w:r w:rsidR="00BF0169" w:rsidRPr="00BF0169">
        <w:rPr>
          <w:noProof/>
          <w:lang w:val="it-IT"/>
        </w:rPr>
        <w:t>'</w:t>
      </w:r>
      <w:r w:rsidRPr="00BF0169">
        <w:rPr>
          <w:noProof/>
          <w:lang w:val="it-IT"/>
        </w:rPr>
        <w:t>ambito delle proprie attività professionali sono spesso le prime a venire a conoscenza di tali eventi e si trovano pertanto in una posizione privilegiata per informare coloro che possono affrontare il problema.</w:t>
      </w:r>
    </w:p>
    <w:p w14:paraId="4C8E6B9A" w14:textId="78AC8A65" w:rsidR="00586B86" w:rsidRPr="00BF0169" w:rsidRDefault="00586B86" w:rsidP="00586B86">
      <w:pPr>
        <w:rPr>
          <w:noProof/>
          <w:lang w:val="it-IT"/>
        </w:rPr>
      </w:pPr>
      <w:r w:rsidRPr="00BF0169">
        <w:rPr>
          <w:noProof/>
          <w:lang w:val="it-IT"/>
        </w:rPr>
        <w:t xml:space="preserve">Gli </w:t>
      </w:r>
      <w:r w:rsidRPr="00BF0169">
        <w:rPr>
          <w:b/>
          <w:noProof/>
          <w:lang w:val="it-IT"/>
        </w:rPr>
        <w:t>informatori</w:t>
      </w:r>
      <w:r w:rsidRPr="00BF0169">
        <w:rPr>
          <w:noProof/>
          <w:lang w:val="it-IT"/>
        </w:rPr>
        <w:t>, ossia persone che segnalano (nell</w:t>
      </w:r>
      <w:r w:rsidR="00BF0169" w:rsidRPr="00BF0169">
        <w:rPr>
          <w:noProof/>
          <w:lang w:val="it-IT"/>
        </w:rPr>
        <w:t>'</w:t>
      </w:r>
      <w:r w:rsidRPr="00BF0169">
        <w:rPr>
          <w:noProof/>
          <w:lang w:val="it-IT"/>
        </w:rPr>
        <w:t>organizzazione interessata o a un</w:t>
      </w:r>
      <w:r w:rsidR="00BF0169" w:rsidRPr="00BF0169">
        <w:rPr>
          <w:noProof/>
          <w:lang w:val="it-IT"/>
        </w:rPr>
        <w:t>'</w:t>
      </w:r>
      <w:r w:rsidRPr="00BF0169">
        <w:rPr>
          <w:noProof/>
          <w:lang w:val="it-IT"/>
        </w:rPr>
        <w:t xml:space="preserve">autorità esterna) oppure divulgano (al pubblico) informazioni in merito a illeciti ottenute in ambito professionale, contribuiscono a </w:t>
      </w:r>
      <w:r w:rsidRPr="00BF0169">
        <w:rPr>
          <w:b/>
          <w:noProof/>
          <w:lang w:val="it-IT"/>
        </w:rPr>
        <w:t>prevenire danni e a rilevare minacce o danni</w:t>
      </w:r>
      <w:r w:rsidRPr="00BF0169">
        <w:rPr>
          <w:noProof/>
          <w:lang w:val="it-IT"/>
        </w:rPr>
        <w:t xml:space="preserve"> all</w:t>
      </w:r>
      <w:r w:rsidR="00BF0169" w:rsidRPr="00BF0169">
        <w:rPr>
          <w:noProof/>
          <w:lang w:val="it-IT"/>
        </w:rPr>
        <w:t>'</w:t>
      </w:r>
      <w:r w:rsidRPr="00BF0169">
        <w:rPr>
          <w:noProof/>
          <w:lang w:val="it-IT"/>
        </w:rPr>
        <w:t>interesse pubblico che potrebbero altrimenti passare inosservate.</w:t>
      </w:r>
    </w:p>
    <w:p w14:paraId="0EC2C61E" w14:textId="77777777" w:rsidR="00D933F0" w:rsidRPr="00BF0169" w:rsidRDefault="00586B86" w:rsidP="00586B86">
      <w:pPr>
        <w:rPr>
          <w:noProof/>
          <w:lang w:val="it-IT"/>
        </w:rPr>
      </w:pPr>
      <w:r w:rsidRPr="00BF0169">
        <w:rPr>
          <w:noProof/>
          <w:lang w:val="it-IT"/>
        </w:rPr>
        <w:t>Tuttavia, a livello europeo e nazionale, la tutela degli informatori è disomogenea e frammentata. Di conseguenza gli informatori sono spesso scoraggiati dal segnalare le loro preoccupazioni per paura di ritorsioni.</w:t>
      </w:r>
    </w:p>
    <w:p w14:paraId="61373833" w14:textId="4D05537C" w:rsidR="00153135" w:rsidRPr="00BF0169" w:rsidRDefault="00586B86" w:rsidP="00586B86">
      <w:pPr>
        <w:rPr>
          <w:noProof/>
          <w:lang w:val="it-IT"/>
        </w:rPr>
      </w:pPr>
      <w:r w:rsidRPr="00BF0169">
        <w:rPr>
          <w:noProof/>
          <w:lang w:val="it-IT"/>
        </w:rPr>
        <w:t>La direttiva sulla protezione delle persone che segnalano violazioni del diritto dell</w:t>
      </w:r>
      <w:r w:rsidR="00BF0169" w:rsidRPr="00BF0169">
        <w:rPr>
          <w:noProof/>
          <w:lang w:val="it-IT"/>
        </w:rPr>
        <w:t>'</w:t>
      </w:r>
      <w:r w:rsidRPr="00BF0169">
        <w:rPr>
          <w:noProof/>
          <w:lang w:val="it-IT"/>
        </w:rPr>
        <w:t>Unione, adottata il 23 ottobre 2019, ha concesso agli Stati membri fino al 17 dicembre 2021 per recepirla nel diritto nazionale. Tale atto contempla numerosi settori chiave del diritto dell</w:t>
      </w:r>
      <w:r w:rsidR="00BF0169" w:rsidRPr="00BF0169">
        <w:rPr>
          <w:noProof/>
          <w:lang w:val="it-IT"/>
        </w:rPr>
        <w:t>'</w:t>
      </w:r>
      <w:r w:rsidRPr="00BF0169">
        <w:rPr>
          <w:noProof/>
          <w:lang w:val="it-IT"/>
        </w:rPr>
        <w:t>Unione, quali l</w:t>
      </w:r>
      <w:r w:rsidR="00BF0169" w:rsidRPr="00BF0169">
        <w:rPr>
          <w:noProof/>
          <w:lang w:val="it-IT"/>
        </w:rPr>
        <w:t>'</w:t>
      </w:r>
      <w:r w:rsidRPr="00BF0169">
        <w:rPr>
          <w:noProof/>
          <w:lang w:val="it-IT"/>
        </w:rPr>
        <w:t>antiriciclaggio, la protezione dei dati, la tutela degli interessi finanziari dell</w:t>
      </w:r>
      <w:r w:rsidR="00BF0169" w:rsidRPr="00BF0169">
        <w:rPr>
          <w:noProof/>
          <w:lang w:val="it-IT"/>
        </w:rPr>
        <w:t>'</w:t>
      </w:r>
      <w:r w:rsidRPr="00BF0169">
        <w:rPr>
          <w:noProof/>
          <w:lang w:val="it-IT"/>
        </w:rPr>
        <w:t>UE, la sicurezza alimentare e dei prodotti, la salute pubblica, la protezione dell</w:t>
      </w:r>
      <w:r w:rsidR="00BF0169" w:rsidRPr="00BF0169">
        <w:rPr>
          <w:noProof/>
          <w:lang w:val="it-IT"/>
        </w:rPr>
        <w:t>'</w:t>
      </w:r>
      <w:r w:rsidRPr="00BF0169">
        <w:rPr>
          <w:noProof/>
          <w:lang w:val="it-IT"/>
        </w:rPr>
        <w:t xml:space="preserve">ambiente e la sicurezza nucleare. </w:t>
      </w:r>
    </w:p>
    <w:p w14:paraId="1E73EB6C" w14:textId="74D5F1F6" w:rsidR="00586B86" w:rsidRPr="00BF0169" w:rsidRDefault="00586B86" w:rsidP="00586B86">
      <w:pPr>
        <w:rPr>
          <w:noProof/>
          <w:lang w:val="it-IT"/>
        </w:rPr>
      </w:pPr>
      <w:r w:rsidRPr="00BF0169">
        <w:rPr>
          <w:noProof/>
          <w:lang w:val="it-IT"/>
        </w:rPr>
        <w:t>Alla fine del 2021 soltanto cinque Stati membri</w:t>
      </w:r>
      <w:r w:rsidRPr="00BF0169">
        <w:rPr>
          <w:rStyle w:val="FootnoteReference"/>
          <w:noProof/>
          <w:lang w:val="it-IT"/>
        </w:rPr>
        <w:footnoteReference w:id="70"/>
      </w:r>
      <w:r w:rsidRPr="00BF0169">
        <w:rPr>
          <w:noProof/>
          <w:lang w:val="it-IT"/>
        </w:rPr>
        <w:t xml:space="preserve"> avevano adottato una legislazione specifica. A giugno del 2022, altri quattro Stati membri</w:t>
      </w:r>
      <w:r w:rsidRPr="00BF0169">
        <w:rPr>
          <w:rStyle w:val="FootnoteReference"/>
          <w:noProof/>
          <w:lang w:val="it-IT"/>
        </w:rPr>
        <w:footnoteReference w:id="71"/>
      </w:r>
      <w:r w:rsidRPr="00BF0169">
        <w:rPr>
          <w:noProof/>
          <w:lang w:val="it-IT"/>
        </w:rPr>
        <w:t xml:space="preserve"> lo avevano fatto. Soltanto uno Stato membro</w:t>
      </w:r>
      <w:r w:rsidRPr="00BF0169">
        <w:rPr>
          <w:rStyle w:val="FootnoteReference"/>
          <w:noProof/>
          <w:lang w:val="it-IT"/>
        </w:rPr>
        <w:footnoteReference w:id="72"/>
      </w:r>
      <w:r w:rsidRPr="00BF0169">
        <w:rPr>
          <w:noProof/>
          <w:lang w:val="it-IT"/>
        </w:rPr>
        <w:t xml:space="preserve"> non ha ancora avviato alcuna procedura. Tre Stati membri</w:t>
      </w:r>
      <w:r w:rsidRPr="00BF0169">
        <w:rPr>
          <w:rStyle w:val="FootnoteReference"/>
          <w:noProof/>
          <w:lang w:val="it-IT"/>
        </w:rPr>
        <w:footnoteReference w:id="73"/>
      </w:r>
      <w:r w:rsidRPr="00BF0169">
        <w:rPr>
          <w:noProof/>
          <w:lang w:val="it-IT"/>
        </w:rPr>
        <w:t xml:space="preserve"> hanno addirittura ampliato l</w:t>
      </w:r>
      <w:r w:rsidR="00BF0169" w:rsidRPr="00BF0169">
        <w:rPr>
          <w:noProof/>
          <w:lang w:val="it-IT"/>
        </w:rPr>
        <w:t>'</w:t>
      </w:r>
      <w:r w:rsidRPr="00BF0169">
        <w:rPr>
          <w:noProof/>
          <w:lang w:val="it-IT"/>
        </w:rPr>
        <w:t xml:space="preserve">ambito di applicazione della direttiva. </w:t>
      </w:r>
    </w:p>
    <w:p w14:paraId="601B617A" w14:textId="46644A4E" w:rsidR="00B36D06" w:rsidRPr="00BF0169" w:rsidRDefault="00542122" w:rsidP="00586B86">
      <w:pPr>
        <w:rPr>
          <w:noProof/>
          <w:lang w:val="it-IT"/>
        </w:rPr>
      </w:pPr>
      <w:r w:rsidRPr="00BF0169">
        <w:rPr>
          <w:noProof/>
          <w:lang w:val="it-IT"/>
        </w:rPr>
        <w:t>Entro il 17 dicembre 2023 la Commissione deve trasmettere al Parlamento europeo e al Consiglio una relazione sull</w:t>
      </w:r>
      <w:r w:rsidR="00BF0169" w:rsidRPr="00BF0169">
        <w:rPr>
          <w:noProof/>
          <w:lang w:val="it-IT"/>
        </w:rPr>
        <w:t>'</w:t>
      </w:r>
      <w:r w:rsidRPr="00BF0169">
        <w:rPr>
          <w:noProof/>
          <w:lang w:val="it-IT"/>
        </w:rPr>
        <w:t>attuazione e sull</w:t>
      </w:r>
      <w:r w:rsidR="00BF0169" w:rsidRPr="00BF0169">
        <w:rPr>
          <w:noProof/>
          <w:lang w:val="it-IT"/>
        </w:rPr>
        <w:t>'</w:t>
      </w:r>
      <w:r w:rsidRPr="00BF0169">
        <w:rPr>
          <w:noProof/>
          <w:lang w:val="it-IT"/>
        </w:rPr>
        <w:t xml:space="preserve">applicazione della direttiva. </w:t>
      </w:r>
    </w:p>
    <w:p w14:paraId="15777DF5" w14:textId="3EBF8942" w:rsidR="00FB5CF5" w:rsidRPr="00BF0169" w:rsidRDefault="00586B86" w:rsidP="00FB5CF5">
      <w:pPr>
        <w:pStyle w:val="Heading2"/>
        <w:rPr>
          <w:noProof/>
          <w:lang w:val="it-IT"/>
        </w:rPr>
      </w:pPr>
      <w:bookmarkStart w:id="64" w:name="_Toc116319650"/>
      <w:r w:rsidRPr="00BF0169">
        <w:rPr>
          <w:noProof/>
          <w:lang w:val="it-IT"/>
        </w:rPr>
        <w:t>Il pacchetto di strumenti per lo Stato di diritto</w:t>
      </w:r>
      <w:bookmarkEnd w:id="64"/>
    </w:p>
    <w:p w14:paraId="52DDA710" w14:textId="77777777" w:rsidR="00542122" w:rsidRPr="00BF0169" w:rsidRDefault="00542122" w:rsidP="001623A1">
      <w:pPr>
        <w:rPr>
          <w:noProof/>
          <w:lang w:val="it-IT"/>
        </w:rPr>
      </w:pPr>
      <w:r w:rsidRPr="00BF0169">
        <w:rPr>
          <w:noProof/>
          <w:lang w:val="it-IT"/>
        </w:rPr>
        <w:t xml:space="preserve">Nel contesto del cosiddetto </w:t>
      </w:r>
      <w:r w:rsidRPr="00BF0169">
        <w:rPr>
          <w:b/>
          <w:noProof/>
          <w:lang w:val="it-IT"/>
        </w:rPr>
        <w:t>pacchetto di strumenti per lo Stato di diritto</w:t>
      </w:r>
      <w:r w:rsidRPr="00BF0169">
        <w:rPr>
          <w:noProof/>
          <w:lang w:val="it-IT"/>
        </w:rPr>
        <w:t xml:space="preserve">, la Commissione ha sviluppato una serie di strumenti per rispondere a diverse sfide legate allo Stato di diritto. </w:t>
      </w:r>
    </w:p>
    <w:p w14:paraId="2427E46A" w14:textId="63F6AC25" w:rsidR="001623A1" w:rsidRPr="00BF0169" w:rsidRDefault="00542122" w:rsidP="001623A1">
      <w:pPr>
        <w:rPr>
          <w:noProof/>
          <w:lang w:val="it-IT"/>
        </w:rPr>
      </w:pPr>
      <w:r w:rsidRPr="00BF0169">
        <w:rPr>
          <w:noProof/>
          <w:lang w:val="it-IT"/>
        </w:rPr>
        <w:t xml:space="preserve">Rientra in tale contesto il </w:t>
      </w:r>
      <w:r w:rsidRPr="00BF0169">
        <w:rPr>
          <w:b/>
          <w:noProof/>
          <w:lang w:val="it-IT"/>
        </w:rPr>
        <w:t>meccanismo europeo dello Stato di diritto</w:t>
      </w:r>
      <w:r w:rsidRPr="00BF0169">
        <w:rPr>
          <w:noProof/>
          <w:lang w:val="it-IT"/>
        </w:rPr>
        <w:t xml:space="preserve">, con al suo centro la </w:t>
      </w:r>
      <w:r w:rsidRPr="00BF0169">
        <w:rPr>
          <w:b/>
          <w:noProof/>
          <w:lang w:val="it-IT"/>
        </w:rPr>
        <w:t>relazione annuale sullo Stato di diritto</w:t>
      </w:r>
      <w:r w:rsidRPr="00BF0169">
        <w:rPr>
          <w:noProof/>
          <w:lang w:val="it-IT"/>
        </w:rPr>
        <w:t xml:space="preserve">. Tale meccanismo mira a sviluppare una </w:t>
      </w:r>
      <w:r w:rsidRPr="00BF0169">
        <w:rPr>
          <w:b/>
          <w:noProof/>
          <w:lang w:val="it-IT"/>
        </w:rPr>
        <w:t>maggiore consapevolezza e comprensione degli sviluppi</w:t>
      </w:r>
      <w:r w:rsidRPr="00BF0169">
        <w:rPr>
          <w:noProof/>
          <w:lang w:val="it-IT"/>
        </w:rPr>
        <w:t xml:space="preserve"> negli Stati membri, per poter individuare le sfide in materia di Stato di diritto, elaborare possibili soluzioni e indirizzare il sostegno in una fase iniziale. Il meccanismo prevede altresì un processo di </w:t>
      </w:r>
      <w:r w:rsidRPr="00BF0169">
        <w:rPr>
          <w:b/>
          <w:noProof/>
          <w:lang w:val="it-IT"/>
        </w:rPr>
        <w:t>dialogo annuale</w:t>
      </w:r>
      <w:r w:rsidRPr="00BF0169">
        <w:rPr>
          <w:noProof/>
          <w:lang w:val="it-IT"/>
        </w:rPr>
        <w:t xml:space="preserve"> tra la Commissione, il Consiglio e il Parlamento europeo, unitamente agli Stati membri, nonché ai parlamenti nazionali, alla società civile e ad altri portatori di interessi in materia di Stato di diritto. </w:t>
      </w:r>
    </w:p>
    <w:p w14:paraId="2A29E2BD" w14:textId="1DB16253" w:rsidR="00FB5CF5" w:rsidRPr="00BF0169" w:rsidRDefault="00FB5CF5" w:rsidP="00CD7B44">
      <w:pPr>
        <w:pStyle w:val="Heading3"/>
        <w:rPr>
          <w:noProof/>
          <w:lang w:val="it-IT"/>
        </w:rPr>
      </w:pPr>
      <w:bookmarkStart w:id="65" w:name="_Toc116319651"/>
      <w:r w:rsidRPr="00BF0169">
        <w:rPr>
          <w:noProof/>
          <w:lang w:val="it-IT"/>
        </w:rPr>
        <w:t>Relazione sullo Stato di diritto: principali conclusioni e punti salienti in relazione alla tutela degli interessi finanziari dell</w:t>
      </w:r>
      <w:r w:rsidR="00BF0169" w:rsidRPr="00BF0169">
        <w:rPr>
          <w:noProof/>
          <w:lang w:val="it-IT"/>
        </w:rPr>
        <w:t>'</w:t>
      </w:r>
      <w:r w:rsidRPr="00BF0169">
        <w:rPr>
          <w:noProof/>
          <w:lang w:val="it-IT"/>
        </w:rPr>
        <w:t>UE</w:t>
      </w:r>
      <w:bookmarkEnd w:id="65"/>
    </w:p>
    <w:p w14:paraId="23EC42D4" w14:textId="4181473C" w:rsidR="000114A4" w:rsidRPr="00BF0169" w:rsidRDefault="000114A4" w:rsidP="000114A4">
      <w:pPr>
        <w:rPr>
          <w:noProof/>
          <w:lang w:val="it-IT"/>
        </w:rPr>
      </w:pPr>
      <w:r w:rsidRPr="00BF0169">
        <w:rPr>
          <w:noProof/>
          <w:lang w:val="it-IT"/>
        </w:rPr>
        <w:t>La relazione sullo Stato di diritto 2021</w:t>
      </w:r>
      <w:r w:rsidRPr="00BF0169">
        <w:rPr>
          <w:rStyle w:val="FootnoteReference"/>
          <w:noProof/>
          <w:lang w:val="it-IT"/>
        </w:rPr>
        <w:footnoteReference w:id="74"/>
      </w:r>
      <w:r w:rsidRPr="00BF0169">
        <w:rPr>
          <w:noProof/>
          <w:lang w:val="it-IT"/>
        </w:rPr>
        <w:t xml:space="preserve">, compresi i suoi 27 capitoli sui singoli paesi, presenta sviluppi positivi e negativi, nel periodo da luglio 2020 a giugno 2021, in tutti gli Stati membri in quattro settori chiave per lo Stato di diritto: il </w:t>
      </w:r>
      <w:r w:rsidRPr="00BF0169">
        <w:rPr>
          <w:b/>
          <w:noProof/>
          <w:lang w:val="it-IT"/>
        </w:rPr>
        <w:t>sistema giudiziario</w:t>
      </w:r>
      <w:r w:rsidRPr="00BF0169">
        <w:rPr>
          <w:noProof/>
          <w:lang w:val="it-IT"/>
        </w:rPr>
        <w:t xml:space="preserve">; il </w:t>
      </w:r>
      <w:r w:rsidRPr="00BF0169">
        <w:rPr>
          <w:b/>
          <w:noProof/>
          <w:lang w:val="it-IT"/>
        </w:rPr>
        <w:t>quadro anticorruzione</w:t>
      </w:r>
      <w:r w:rsidRPr="00BF0169">
        <w:rPr>
          <w:noProof/>
          <w:lang w:val="it-IT"/>
        </w:rPr>
        <w:t xml:space="preserve">; il </w:t>
      </w:r>
      <w:r w:rsidRPr="00BF0169">
        <w:rPr>
          <w:b/>
          <w:noProof/>
          <w:lang w:val="it-IT"/>
        </w:rPr>
        <w:t>pluralismo e la libertà dei media</w:t>
      </w:r>
      <w:r w:rsidRPr="00BF0169">
        <w:rPr>
          <w:noProof/>
          <w:lang w:val="it-IT"/>
        </w:rPr>
        <w:t xml:space="preserve">; e </w:t>
      </w:r>
      <w:r w:rsidRPr="00BF0169">
        <w:rPr>
          <w:b/>
          <w:noProof/>
          <w:lang w:val="it-IT"/>
        </w:rPr>
        <w:t>altre questioni istituzionali</w:t>
      </w:r>
      <w:r w:rsidRPr="00BF0169">
        <w:rPr>
          <w:noProof/>
          <w:lang w:val="it-IT"/>
        </w:rPr>
        <w:t xml:space="preserve"> relative al sistema di bilanciamento dei poteri. Le questioni relative al sistema giudiziario o al quadro anticorruzione possono incidere in maniera significativa sul modo in cui gli interessi finanziari dell</w:t>
      </w:r>
      <w:r w:rsidR="00BF0169" w:rsidRPr="00BF0169">
        <w:rPr>
          <w:noProof/>
          <w:lang w:val="it-IT"/>
        </w:rPr>
        <w:t>'</w:t>
      </w:r>
      <w:r w:rsidRPr="00BF0169">
        <w:rPr>
          <w:noProof/>
          <w:lang w:val="it-IT"/>
        </w:rPr>
        <w:t>UE sono tutelati in un determinato Stato membro.</w:t>
      </w:r>
    </w:p>
    <w:p w14:paraId="39CC9482" w14:textId="2D21CBE3" w:rsidR="001149B4" w:rsidRPr="00BF0169" w:rsidRDefault="001149B4" w:rsidP="000114A4">
      <w:pPr>
        <w:rPr>
          <w:noProof/>
          <w:lang w:val="it-IT"/>
        </w:rPr>
      </w:pPr>
      <w:r w:rsidRPr="00BF0169">
        <w:rPr>
          <w:noProof/>
          <w:lang w:val="it-IT"/>
        </w:rPr>
        <w:t>La terza relazione sullo Stato di diritto, adottata nel luglio del 2022</w:t>
      </w:r>
      <w:r w:rsidRPr="00BF0169">
        <w:rPr>
          <w:rStyle w:val="FootnoteReference"/>
          <w:noProof/>
          <w:lang w:val="it-IT"/>
        </w:rPr>
        <w:footnoteReference w:id="75"/>
      </w:r>
      <w:r w:rsidRPr="00BF0169">
        <w:rPr>
          <w:noProof/>
          <w:lang w:val="it-IT"/>
        </w:rPr>
        <w:t>, concerne il periodo da luglio 2021 a giugno 2022 e comprende per la prima volta raccomandazioni specifiche indirizzate a tutti gli Stati membri, come annunciato dalla presidente von der Leyen nel discorso sullo stato dell</w:t>
      </w:r>
      <w:r w:rsidR="00BF0169" w:rsidRPr="00BF0169">
        <w:rPr>
          <w:noProof/>
          <w:lang w:val="it-IT"/>
        </w:rPr>
        <w:t>'</w:t>
      </w:r>
      <w:r w:rsidRPr="00BF0169">
        <w:rPr>
          <w:noProof/>
          <w:lang w:val="it-IT"/>
        </w:rPr>
        <w:t>Unione del 2021. In linea con la natura preventiva della relazione, l</w:t>
      </w:r>
      <w:r w:rsidR="00BF0169" w:rsidRPr="00BF0169">
        <w:rPr>
          <w:noProof/>
          <w:lang w:val="it-IT"/>
        </w:rPr>
        <w:t>'</w:t>
      </w:r>
      <w:r w:rsidRPr="00BF0169">
        <w:rPr>
          <w:noProof/>
          <w:lang w:val="it-IT"/>
        </w:rPr>
        <w:t>obiettivo delle raccomandazioni è sostenere gli Stati membri nell</w:t>
      </w:r>
      <w:r w:rsidR="00BF0169" w:rsidRPr="00BF0169">
        <w:rPr>
          <w:noProof/>
          <w:lang w:val="it-IT"/>
        </w:rPr>
        <w:t>'</w:t>
      </w:r>
      <w:r w:rsidRPr="00BF0169">
        <w:rPr>
          <w:noProof/>
          <w:lang w:val="it-IT"/>
        </w:rPr>
        <w:t>impegno di portare avanti le riforme in corso o previste, incoraggiare gli sviluppi positivi e aiutarli a individuare gli ambiti in cui potrebbe essere necessario apportare miglioramenti o dare seguito a recenti cambiamenti o riforme, anche al fine di far fronte a sfide sistemiche in alcuni casi.</w:t>
      </w:r>
    </w:p>
    <w:p w14:paraId="1AC3422B" w14:textId="03735E01" w:rsidR="00FB5CF5" w:rsidRPr="00BF0169" w:rsidRDefault="00FB5CF5" w:rsidP="00CD7B44">
      <w:pPr>
        <w:pStyle w:val="Heading3"/>
        <w:rPr>
          <w:noProof/>
          <w:lang w:val="it-IT"/>
        </w:rPr>
      </w:pPr>
      <w:bookmarkStart w:id="66" w:name="_Toc116319652"/>
      <w:r w:rsidRPr="00BF0169">
        <w:rPr>
          <w:noProof/>
          <w:lang w:val="it-IT"/>
        </w:rPr>
        <w:t>Progressi compiuti nell</w:t>
      </w:r>
      <w:r w:rsidR="00BF0169" w:rsidRPr="00BF0169">
        <w:rPr>
          <w:noProof/>
          <w:lang w:val="it-IT"/>
        </w:rPr>
        <w:t>'</w:t>
      </w:r>
      <w:r w:rsidRPr="00BF0169">
        <w:rPr>
          <w:noProof/>
          <w:lang w:val="it-IT"/>
        </w:rPr>
        <w:t>attuazione del regolamento dell</w:t>
      </w:r>
      <w:r w:rsidR="00BF0169" w:rsidRPr="00BF0169">
        <w:rPr>
          <w:noProof/>
          <w:lang w:val="it-IT"/>
        </w:rPr>
        <w:t>'</w:t>
      </w:r>
      <w:r w:rsidRPr="00BF0169">
        <w:rPr>
          <w:noProof/>
          <w:lang w:val="it-IT"/>
        </w:rPr>
        <w:t>UE relativo a un regime generale di condizionalità per la protezione del bilancio dell</w:t>
      </w:r>
      <w:r w:rsidR="00BF0169" w:rsidRPr="00BF0169">
        <w:rPr>
          <w:noProof/>
          <w:lang w:val="it-IT"/>
        </w:rPr>
        <w:t>'</w:t>
      </w:r>
      <w:r w:rsidRPr="00BF0169">
        <w:rPr>
          <w:noProof/>
          <w:lang w:val="it-IT"/>
        </w:rPr>
        <w:t>Unione</w:t>
      </w:r>
      <w:bookmarkEnd w:id="66"/>
    </w:p>
    <w:p w14:paraId="4FCE2431" w14:textId="51380856" w:rsidR="001623A1" w:rsidRPr="00BF0169" w:rsidRDefault="001623A1" w:rsidP="001623A1">
      <w:pPr>
        <w:rPr>
          <w:noProof/>
          <w:lang w:val="it-IT"/>
        </w:rPr>
      </w:pPr>
      <w:r w:rsidRPr="00BF0169">
        <w:rPr>
          <w:noProof/>
          <w:lang w:val="it-IT"/>
        </w:rPr>
        <w:t xml:space="preserve">Il regolamento (UE, EURATOM) 2020/2092 relativo a un </w:t>
      </w:r>
      <w:r w:rsidRPr="00BF0169">
        <w:rPr>
          <w:b/>
          <w:noProof/>
          <w:lang w:val="it-IT"/>
        </w:rPr>
        <w:t>regime generale di condizionalità</w:t>
      </w:r>
      <w:r w:rsidRPr="00BF0169">
        <w:rPr>
          <w:noProof/>
          <w:lang w:val="it-IT"/>
        </w:rPr>
        <w:t xml:space="preserve"> si prefigge l</w:t>
      </w:r>
      <w:r w:rsidR="00BF0169" w:rsidRPr="00BF0169">
        <w:rPr>
          <w:noProof/>
          <w:lang w:val="it-IT"/>
        </w:rPr>
        <w:t>'</w:t>
      </w:r>
      <w:r w:rsidRPr="00BF0169">
        <w:rPr>
          <w:noProof/>
          <w:lang w:val="it-IT"/>
        </w:rPr>
        <w:t>obiettivo di tutelare il bilancio dell</w:t>
      </w:r>
      <w:r w:rsidR="00BF0169" w:rsidRPr="00BF0169">
        <w:rPr>
          <w:noProof/>
          <w:lang w:val="it-IT"/>
        </w:rPr>
        <w:t>'</w:t>
      </w:r>
      <w:r w:rsidRPr="00BF0169">
        <w:rPr>
          <w:noProof/>
          <w:lang w:val="it-IT"/>
        </w:rPr>
        <w:t>Unione dalle violazioni dei principi dello Stato di diritto che compromettono o rischiano seriamente di compromettere, in maniera sufficientemente diretta, la sana gestione finanziaria del bilancio o gli interessi finanziari dell</w:t>
      </w:r>
      <w:r w:rsidR="00BF0169" w:rsidRPr="00BF0169">
        <w:rPr>
          <w:noProof/>
          <w:lang w:val="it-IT"/>
        </w:rPr>
        <w:t>'</w:t>
      </w:r>
      <w:r w:rsidRPr="00BF0169">
        <w:rPr>
          <w:noProof/>
          <w:lang w:val="it-IT"/>
        </w:rPr>
        <w:t>Unione.</w:t>
      </w:r>
    </w:p>
    <w:p w14:paraId="26FB8D12" w14:textId="61B9B8A7" w:rsidR="00D161B4" w:rsidRPr="00BF0169" w:rsidRDefault="001623A1">
      <w:pPr>
        <w:rPr>
          <w:noProof/>
          <w:lang w:val="it-IT"/>
        </w:rPr>
      </w:pPr>
      <w:r w:rsidRPr="00BF0169">
        <w:rPr>
          <w:noProof/>
          <w:lang w:val="it-IT"/>
        </w:rPr>
        <w:t xml:space="preserve">Il 2 marzo 2022 </w:t>
      </w:r>
      <w:r w:rsidRPr="00BF0169">
        <w:rPr>
          <w:b/>
          <w:noProof/>
          <w:lang w:val="it-IT"/>
        </w:rPr>
        <w:t>la Commissione ha adottato linee guida</w:t>
      </w:r>
      <w:r w:rsidRPr="00BF0169">
        <w:rPr>
          <w:rStyle w:val="FootnoteReference"/>
          <w:noProof/>
          <w:lang w:val="it-IT"/>
        </w:rPr>
        <w:footnoteReference w:id="76"/>
      </w:r>
      <w:r w:rsidRPr="00BF0169">
        <w:rPr>
          <w:noProof/>
          <w:lang w:val="it-IT"/>
        </w:rPr>
        <w:t xml:space="preserve"> che spiegano in che modo applicherà il regolamento, nonché il modo in cui saranno tutelati i diritti dei destinatari finali e dei beneficiari dei finanziamenti dell</w:t>
      </w:r>
      <w:r w:rsidR="00BF0169" w:rsidRPr="00BF0169">
        <w:rPr>
          <w:noProof/>
          <w:lang w:val="it-IT"/>
        </w:rPr>
        <w:t>'</w:t>
      </w:r>
      <w:r w:rsidRPr="00BF0169">
        <w:rPr>
          <w:noProof/>
          <w:lang w:val="it-IT"/>
        </w:rPr>
        <w:t xml:space="preserve">UE (cfr. </w:t>
      </w:r>
      <w:r w:rsidRPr="00BF0169">
        <w:rPr>
          <w:b/>
          <w:noProof/>
          <w:lang w:val="it-IT"/>
        </w:rPr>
        <w:t>sezione 7</w:t>
      </w:r>
      <w:r w:rsidRPr="00BF0169">
        <w:rPr>
          <w:noProof/>
          <w:lang w:val="it-IT"/>
        </w:rPr>
        <w:t>).</w:t>
      </w:r>
    </w:p>
    <w:p w14:paraId="72328ECC" w14:textId="78EBEE76" w:rsidR="0070289A" w:rsidRPr="00BF0169" w:rsidRDefault="0070289A" w:rsidP="001623A1">
      <w:pPr>
        <w:rPr>
          <w:noProof/>
          <w:lang w:val="it-IT"/>
        </w:rPr>
      </w:pPr>
      <w:r w:rsidRPr="00BF0169">
        <w:rPr>
          <w:noProof/>
          <w:lang w:val="it-IT"/>
        </w:rPr>
        <w:t>La Commissione ha avviato una procedura ai sensi del regolamento sulla condizionalità.</w:t>
      </w:r>
    </w:p>
    <w:p w14:paraId="1B5FACE1" w14:textId="77777777" w:rsidR="001623A1" w:rsidRPr="00BF0169" w:rsidRDefault="001623A1" w:rsidP="001623A1">
      <w:pPr>
        <w:pStyle w:val="Heading2"/>
        <w:rPr>
          <w:noProof/>
          <w:lang w:val="it-IT"/>
        </w:rPr>
      </w:pPr>
      <w:bookmarkStart w:id="67" w:name="_Toc116319653"/>
      <w:r w:rsidRPr="00BF0169">
        <w:rPr>
          <w:noProof/>
          <w:lang w:val="it-IT"/>
        </w:rPr>
        <w:t>Politica anticorruzione</w:t>
      </w:r>
      <w:bookmarkEnd w:id="67"/>
    </w:p>
    <w:p w14:paraId="4077F633" w14:textId="75656A3F" w:rsidR="001149B4" w:rsidRPr="00BF0169" w:rsidRDefault="001623A1" w:rsidP="001149B4">
      <w:pPr>
        <w:rPr>
          <w:noProof/>
          <w:lang w:val="it-IT"/>
        </w:rPr>
      </w:pPr>
      <w:r w:rsidRPr="00BF0169">
        <w:rPr>
          <w:noProof/>
          <w:lang w:val="it-IT"/>
        </w:rPr>
        <w:t xml:space="preserve">Nel 2021 la Commissione ha continuato a fornire </w:t>
      </w:r>
      <w:r w:rsidRPr="00BF0169">
        <w:rPr>
          <w:b/>
          <w:noProof/>
          <w:lang w:val="it-IT"/>
        </w:rPr>
        <w:t>sostegno tecnico</w:t>
      </w:r>
      <w:r w:rsidRPr="00BF0169">
        <w:rPr>
          <w:noProof/>
          <w:lang w:val="it-IT"/>
        </w:rPr>
        <w:t xml:space="preserve"> agli Stati membri nel settore della lotta alla corruzione e dell</w:t>
      </w:r>
      <w:r w:rsidR="00BF0169" w:rsidRPr="00BF0169">
        <w:rPr>
          <w:noProof/>
          <w:lang w:val="it-IT"/>
        </w:rPr>
        <w:t>'</w:t>
      </w:r>
      <w:r w:rsidRPr="00BF0169">
        <w:rPr>
          <w:noProof/>
          <w:lang w:val="it-IT"/>
        </w:rPr>
        <w:t xml:space="preserve">integrità attraverso i suoi programmi, in particolare il </w:t>
      </w:r>
      <w:r w:rsidRPr="00BF0169">
        <w:rPr>
          <w:b/>
          <w:noProof/>
          <w:lang w:val="it-IT"/>
        </w:rPr>
        <w:t>programma di sostegno alle riforme strutturali</w:t>
      </w:r>
      <w:r w:rsidRPr="00BF0169">
        <w:rPr>
          <w:noProof/>
          <w:lang w:val="it-IT"/>
        </w:rPr>
        <w:t xml:space="preserve"> e il nuovo </w:t>
      </w:r>
      <w:r w:rsidRPr="00BF0169">
        <w:rPr>
          <w:b/>
          <w:noProof/>
          <w:lang w:val="it-IT"/>
        </w:rPr>
        <w:t>strumento di sostegno tecnico</w:t>
      </w:r>
      <w:r w:rsidRPr="00BF0169">
        <w:rPr>
          <w:noProof/>
          <w:lang w:val="it-IT"/>
        </w:rPr>
        <w:t>. Il sostegno tecnico ha facilitato il riesame delle procedure di selezione e valutazione di giudici e pubblici ministeri e l</w:t>
      </w:r>
      <w:r w:rsidR="00BF0169" w:rsidRPr="00BF0169">
        <w:rPr>
          <w:noProof/>
          <w:lang w:val="it-IT"/>
        </w:rPr>
        <w:t>'</w:t>
      </w:r>
      <w:r w:rsidRPr="00BF0169">
        <w:rPr>
          <w:noProof/>
          <w:lang w:val="it-IT"/>
        </w:rPr>
        <w:t>applicazione delle misure anticorruzione nel settore dell</w:t>
      </w:r>
      <w:r w:rsidR="00BF0169" w:rsidRPr="00BF0169">
        <w:rPr>
          <w:noProof/>
          <w:lang w:val="it-IT"/>
        </w:rPr>
        <w:t>'</w:t>
      </w:r>
      <w:r w:rsidRPr="00BF0169">
        <w:rPr>
          <w:noProof/>
          <w:lang w:val="it-IT"/>
        </w:rPr>
        <w:t>istruzione, dell</w:t>
      </w:r>
      <w:r w:rsidR="00BF0169" w:rsidRPr="00BF0169">
        <w:rPr>
          <w:noProof/>
          <w:lang w:val="it-IT"/>
        </w:rPr>
        <w:t>'</w:t>
      </w:r>
      <w:r w:rsidRPr="00BF0169">
        <w:rPr>
          <w:noProof/>
          <w:lang w:val="it-IT"/>
        </w:rPr>
        <w:t>ambiente e dello sport. Talune autorità nazionali hanno ricevuto sostegno per stabilire meccanismi di monitoraggio per il proprio piano nazionale anticorruzione, per rivedere le proprie norme di gestione dei conflitti di interesse, per garantire la supervisione della spesa pubblica o per dimostrare di essere pronte ad aderire alla convenzione anticorruzione dell</w:t>
      </w:r>
      <w:r w:rsidR="00BF0169" w:rsidRPr="00BF0169">
        <w:rPr>
          <w:noProof/>
          <w:lang w:val="it-IT"/>
        </w:rPr>
        <w:t>'</w:t>
      </w:r>
      <w:r w:rsidRPr="00BF0169">
        <w:rPr>
          <w:noProof/>
          <w:lang w:val="it-IT"/>
        </w:rPr>
        <w:t xml:space="preserve">Organizzazione per la cooperazione e lo sviluppo economici (OCSE). </w:t>
      </w:r>
    </w:p>
    <w:p w14:paraId="552CE0C9" w14:textId="4C70EF81" w:rsidR="001623A1" w:rsidRPr="00BF0169" w:rsidRDefault="001149B4" w:rsidP="001149B4">
      <w:pPr>
        <w:rPr>
          <w:noProof/>
          <w:lang w:val="it-IT"/>
        </w:rPr>
      </w:pPr>
      <w:r w:rsidRPr="00BF0169">
        <w:rPr>
          <w:noProof/>
          <w:lang w:val="it-IT"/>
        </w:rPr>
        <w:t xml:space="preserve">La Commissione organizza </w:t>
      </w:r>
      <w:r w:rsidRPr="00BF0169">
        <w:rPr>
          <w:b/>
          <w:noProof/>
          <w:lang w:val="it-IT"/>
        </w:rPr>
        <w:t>seminari di condivisione delle esperienze in materia di lotta alla corruzione</w:t>
      </w:r>
      <w:r w:rsidRPr="00BF0169">
        <w:rPr>
          <w:noProof/>
          <w:lang w:val="it-IT"/>
        </w:rPr>
        <w:t xml:space="preserve"> in tutta l</w:t>
      </w:r>
      <w:r w:rsidR="00BF0169" w:rsidRPr="00BF0169">
        <w:rPr>
          <w:noProof/>
          <w:lang w:val="it-IT"/>
        </w:rPr>
        <w:t>'</w:t>
      </w:r>
      <w:r w:rsidRPr="00BF0169">
        <w:rPr>
          <w:noProof/>
          <w:lang w:val="it-IT"/>
        </w:rPr>
        <w:t>UE. Il 13 dicembre 2021 il quattordicesimo seminario sulla condivisione di esperienze ha riunito rappresentanti degli Stati membri dell</w:t>
      </w:r>
      <w:r w:rsidR="00BF0169" w:rsidRPr="00BF0169">
        <w:rPr>
          <w:noProof/>
          <w:lang w:val="it-IT"/>
        </w:rPr>
        <w:t>'</w:t>
      </w:r>
      <w:r w:rsidRPr="00BF0169">
        <w:rPr>
          <w:noProof/>
          <w:lang w:val="it-IT"/>
        </w:rPr>
        <w:t xml:space="preserve">UE, della Commissione europea, di Europol e del mondo accademico per discutere il tema della resilienza alla corruzione in tempi di crisi. La Commissione sostiene altresì </w:t>
      </w:r>
      <w:r w:rsidRPr="00BF0169">
        <w:rPr>
          <w:b/>
          <w:noProof/>
          <w:lang w:val="it-IT"/>
        </w:rPr>
        <w:t>progetti volti</w:t>
      </w:r>
      <w:r w:rsidRPr="00BF0169">
        <w:rPr>
          <w:noProof/>
          <w:lang w:val="it-IT"/>
        </w:rPr>
        <w:t>, tra l</w:t>
      </w:r>
      <w:r w:rsidR="00BF0169" w:rsidRPr="00BF0169">
        <w:rPr>
          <w:noProof/>
          <w:lang w:val="it-IT"/>
        </w:rPr>
        <w:t>'</w:t>
      </w:r>
      <w:r w:rsidRPr="00BF0169">
        <w:rPr>
          <w:noProof/>
          <w:lang w:val="it-IT"/>
        </w:rPr>
        <w:t>altro,</w:t>
      </w:r>
      <w:r w:rsidRPr="00BF0169">
        <w:rPr>
          <w:b/>
          <w:noProof/>
          <w:lang w:val="it-IT"/>
        </w:rPr>
        <w:t xml:space="preserve"> a migliorare l</w:t>
      </w:r>
      <w:r w:rsidR="00BF0169" w:rsidRPr="00BF0169">
        <w:rPr>
          <w:b/>
          <w:noProof/>
          <w:lang w:val="it-IT"/>
        </w:rPr>
        <w:t>'</w:t>
      </w:r>
      <w:r w:rsidRPr="00BF0169">
        <w:rPr>
          <w:b/>
          <w:noProof/>
          <w:lang w:val="it-IT"/>
        </w:rPr>
        <w:t>integrità e a contrastare la corruzione</w:t>
      </w:r>
      <w:r w:rsidRPr="00BF0169">
        <w:rPr>
          <w:noProof/>
          <w:lang w:val="it-IT"/>
        </w:rPr>
        <w:t xml:space="preserve"> negli Stati membri dell</w:t>
      </w:r>
      <w:r w:rsidR="00BF0169" w:rsidRPr="00BF0169">
        <w:rPr>
          <w:noProof/>
          <w:lang w:val="it-IT"/>
        </w:rPr>
        <w:t>'</w:t>
      </w:r>
      <w:r w:rsidRPr="00BF0169">
        <w:rPr>
          <w:noProof/>
          <w:lang w:val="it-IT"/>
        </w:rPr>
        <w:t>UE. Nel 2021 sono stati finanziati nel quadro del Fondo Sicurezza interna - Polizia (ISF-Polizia) per il periodo 2014-2020 progetti anticorruzione che comprendono, tra gli altri, il progetto</w:t>
      </w:r>
      <w:r w:rsidRPr="00BF0169">
        <w:rPr>
          <w:noProof/>
          <w:color w:val="404040"/>
          <w:lang w:val="it-IT"/>
        </w:rPr>
        <w:t xml:space="preserve"> C.O.R.E volto a sviluppare e validare una procedura replicabile per il calcolo del rischio di corruzione negli appalti pubblici in tempi di pandemia, sulla base di una raccolta e di un trattamento incrociato di dati sugli </w:t>
      </w:r>
      <w:r w:rsidRPr="00BF0169">
        <w:rPr>
          <w:noProof/>
          <w:lang w:val="it-IT"/>
        </w:rPr>
        <w:t>appalti</w:t>
      </w:r>
      <w:r w:rsidRPr="00BF0169">
        <w:rPr>
          <w:noProof/>
          <w:color w:val="404040"/>
          <w:lang w:val="it-IT"/>
        </w:rPr>
        <w:t xml:space="preserve"> pubblici. Tale procedura mira a migliorare l</w:t>
      </w:r>
      <w:r w:rsidR="00BF0169" w:rsidRPr="00BF0169">
        <w:rPr>
          <w:noProof/>
          <w:color w:val="404040"/>
          <w:lang w:val="it-IT"/>
        </w:rPr>
        <w:t>'</w:t>
      </w:r>
      <w:r w:rsidRPr="00BF0169">
        <w:rPr>
          <w:noProof/>
          <w:color w:val="404040"/>
          <w:lang w:val="it-IT"/>
        </w:rPr>
        <w:t xml:space="preserve">individuazione precoce del rischio di corruzione e a promuovere una base di elementi probanti più solidi per la riforma delle politiche, al servizio principalmente delle autorità anticorruzione e delle agenzie di contrasto, ma anche di giornalisti e del pubblico in generale a fini di rendicontabilità. </w:t>
      </w:r>
    </w:p>
    <w:p w14:paraId="35B86C31" w14:textId="3433F7FA" w:rsidR="0091197D" w:rsidRPr="00BF0169" w:rsidRDefault="001149B4" w:rsidP="001623A1">
      <w:pPr>
        <w:rPr>
          <w:noProof/>
          <w:lang w:val="it-IT"/>
        </w:rPr>
      </w:pPr>
      <w:r w:rsidRPr="00BF0169">
        <w:rPr>
          <w:noProof/>
          <w:lang w:val="it-IT"/>
        </w:rPr>
        <w:t xml:space="preserve">La Commissione incoraggia inoltre gli Stati membri ad adottare </w:t>
      </w:r>
      <w:r w:rsidRPr="00BF0169">
        <w:rPr>
          <w:b/>
          <w:noProof/>
          <w:lang w:val="it-IT"/>
        </w:rPr>
        <w:t>strategie anticorruzione nazionali</w:t>
      </w:r>
      <w:r w:rsidRPr="00BF0169">
        <w:rPr>
          <w:noProof/>
          <w:lang w:val="it-IT"/>
        </w:rPr>
        <w:t>, in quanto esse garantiscono che:</w:t>
      </w:r>
    </w:p>
    <w:p w14:paraId="7F1B6039" w14:textId="77777777" w:rsidR="0091197D" w:rsidRPr="00BF0169" w:rsidRDefault="0091197D" w:rsidP="001149B4">
      <w:pPr>
        <w:pStyle w:val="ListBullet"/>
        <w:numPr>
          <w:ilvl w:val="0"/>
          <w:numId w:val="23"/>
        </w:numPr>
        <w:rPr>
          <w:noProof/>
          <w:lang w:val="it-IT"/>
        </w:rPr>
      </w:pPr>
      <w:r w:rsidRPr="00BF0169">
        <w:rPr>
          <w:noProof/>
          <w:lang w:val="it-IT"/>
        </w:rPr>
        <w:t xml:space="preserve">gli impegni politici si traducano in azioni concrete; </w:t>
      </w:r>
    </w:p>
    <w:p w14:paraId="58477566" w14:textId="77777777" w:rsidR="0091197D" w:rsidRPr="00BF0169" w:rsidRDefault="0091197D" w:rsidP="001149B4">
      <w:pPr>
        <w:pStyle w:val="ListBullet"/>
        <w:numPr>
          <w:ilvl w:val="0"/>
          <w:numId w:val="23"/>
        </w:numPr>
        <w:rPr>
          <w:noProof/>
          <w:lang w:val="it-IT"/>
        </w:rPr>
      </w:pPr>
      <w:r w:rsidRPr="00BF0169">
        <w:rPr>
          <w:noProof/>
          <w:lang w:val="it-IT"/>
        </w:rPr>
        <w:t xml:space="preserve">le lacune legislative o istituzionali siano affrontate in modo coerente, completo e coordinato e </w:t>
      </w:r>
    </w:p>
    <w:p w14:paraId="486FAC49" w14:textId="77777777" w:rsidR="0091197D" w:rsidRPr="00BF0169" w:rsidRDefault="0091197D" w:rsidP="001149B4">
      <w:pPr>
        <w:pStyle w:val="ListBullet"/>
        <w:numPr>
          <w:ilvl w:val="0"/>
          <w:numId w:val="23"/>
        </w:numPr>
        <w:rPr>
          <w:noProof/>
          <w:lang w:val="it-IT"/>
        </w:rPr>
      </w:pPr>
      <w:r w:rsidRPr="00BF0169">
        <w:rPr>
          <w:noProof/>
          <w:lang w:val="it-IT"/>
        </w:rPr>
        <w:t>gli interventi anticorruzione siano adattati a un contesto in evoluzione.</w:t>
      </w:r>
    </w:p>
    <w:p w14:paraId="7F314B60" w14:textId="77777777" w:rsidR="00FB5CF5" w:rsidRPr="00BF0169" w:rsidRDefault="000810E6" w:rsidP="00FB5CF5">
      <w:pPr>
        <w:pStyle w:val="Heading1"/>
        <w:rPr>
          <w:noProof/>
          <w:lang w:val="it-IT"/>
        </w:rPr>
      </w:pPr>
      <w:bookmarkStart w:id="68" w:name="_Toc116319654"/>
      <w:r w:rsidRPr="00BF0169">
        <w:rPr>
          <w:noProof/>
          <w:lang w:val="it-IT"/>
        </w:rPr>
        <w:t>I risultati delle attività di controllo</w:t>
      </w:r>
      <w:bookmarkEnd w:id="68"/>
    </w:p>
    <w:p w14:paraId="2125A06E" w14:textId="77777777" w:rsidR="000810E6" w:rsidRPr="00BF0169" w:rsidRDefault="000810E6" w:rsidP="000810E6">
      <w:pPr>
        <w:pStyle w:val="Heading2"/>
        <w:rPr>
          <w:noProof/>
          <w:lang w:val="it-IT"/>
        </w:rPr>
      </w:pPr>
      <w:bookmarkStart w:id="69" w:name="_Toc116319655"/>
      <w:r w:rsidRPr="00BF0169">
        <w:rPr>
          <w:noProof/>
          <w:lang w:val="it-IT"/>
        </w:rPr>
        <w:t>Fonti dei dati e metodologia</w:t>
      </w:r>
      <w:bookmarkEnd w:id="69"/>
    </w:p>
    <w:p w14:paraId="3B886DDC" w14:textId="0EECD8C5" w:rsidR="00ED2A33" w:rsidRPr="00BF0169" w:rsidRDefault="00ED2A33" w:rsidP="00ED2A33">
      <w:pPr>
        <w:rPr>
          <w:noProof/>
          <w:lang w:val="it-IT"/>
        </w:rPr>
      </w:pPr>
      <w:r w:rsidRPr="00BF0169">
        <w:rPr>
          <w:noProof/>
          <w:lang w:val="it-IT"/>
        </w:rPr>
        <w:t>La presente sezione si basa principalmente sui dati comunicati dagli Stati membri nei settori delle risorse proprie tradizionali (RPT) e della gestione concorrente nonché dai paesi candidati nel settore della preadesione. I dati relativi alle spese dirette (</w:t>
      </w:r>
      <w:r w:rsidRPr="00BF0169">
        <w:rPr>
          <w:b/>
          <w:noProof/>
          <w:lang w:val="it-IT"/>
        </w:rPr>
        <w:t>sezione 6.1.2</w:t>
      </w:r>
      <w:r w:rsidRPr="00BF0169">
        <w:rPr>
          <w:noProof/>
          <w:lang w:val="it-IT"/>
        </w:rPr>
        <w:t xml:space="preserve">) sono estratti dal sistema interno di contabilità della Commissione. Il </w:t>
      </w:r>
      <w:r w:rsidRPr="00BF0169">
        <w:rPr>
          <w:b/>
          <w:noProof/>
          <w:lang w:val="it-IT"/>
        </w:rPr>
        <w:t>riquadro 2</w:t>
      </w:r>
      <w:r w:rsidRPr="00BF0169">
        <w:rPr>
          <w:noProof/>
          <w:lang w:val="it-IT"/>
        </w:rPr>
        <w:t xml:space="preserve"> specifica in quali condizioni avvengono le segnalazioni degli Stati membri e come vengono utilizzate nella presente sezione.</w:t>
      </w:r>
    </w:p>
    <w:p w14:paraId="7BEB58DA" w14:textId="37E61272" w:rsidR="00ED2A33" w:rsidRPr="00BF0169" w:rsidRDefault="00ED2A33" w:rsidP="008A6DCE">
      <w:pPr>
        <w:pStyle w:val="Caption"/>
        <w:keepNext/>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bookmarkStart w:id="70" w:name="_Toc106662323"/>
      <w:r w:rsidRPr="00BF0169">
        <w:rPr>
          <w:noProof/>
          <w:lang w:val="it-IT"/>
        </w:rPr>
        <w:t xml:space="preserve">Riquadro </w:t>
      </w:r>
      <w:r w:rsidR="00742EC4" w:rsidRPr="00BF0169">
        <w:rPr>
          <w:noProof/>
          <w:lang w:val="it-IT"/>
        </w:rPr>
        <w:fldChar w:fldCharType="begin"/>
      </w:r>
      <w:r w:rsidR="00742EC4" w:rsidRPr="00BF0169">
        <w:rPr>
          <w:noProof/>
          <w:lang w:val="it-IT"/>
        </w:rPr>
        <w:instrText xml:space="preserve"> SEQ Box \* ARABIC </w:instrText>
      </w:r>
      <w:r w:rsidR="00742EC4" w:rsidRPr="00BF0169">
        <w:rPr>
          <w:noProof/>
          <w:lang w:val="it-IT"/>
        </w:rPr>
        <w:fldChar w:fldCharType="separate"/>
      </w:r>
      <w:r w:rsidRPr="00BF0169">
        <w:rPr>
          <w:noProof/>
          <w:lang w:val="it-IT"/>
        </w:rPr>
        <w:t>2</w:t>
      </w:r>
      <w:r w:rsidR="00742EC4" w:rsidRPr="00BF0169">
        <w:rPr>
          <w:noProof/>
          <w:lang w:val="it-IT"/>
        </w:rPr>
        <w:fldChar w:fldCharType="end"/>
      </w:r>
      <w:r w:rsidRPr="00BF0169">
        <w:rPr>
          <w:noProof/>
          <w:lang w:val="it-IT"/>
        </w:rPr>
        <w:t>: segnalazione di irregolarità da parte degli Stati membri</w:t>
      </w:r>
      <w:bookmarkEnd w:id="70"/>
    </w:p>
    <w:p w14:paraId="0EBC8B6D" w14:textId="5DB30B68" w:rsidR="00ED2A33" w:rsidRPr="00BF0169" w:rsidRDefault="00ED2A33"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I regolamenti settoriali in materia di RPT e fondi oggetto di gestione concorrente specificano una serie di condizioni in base alle quali gli Stati membri devono segnalare eventuali irregolarità rilevate in tali settori.</w:t>
      </w:r>
    </w:p>
    <w:p w14:paraId="27CED0F2" w14:textId="3594F849" w:rsidR="00257B88" w:rsidRPr="00BF0169" w:rsidRDefault="00257B88"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Per segnalare le irregolarità essi utilizzano due sistemi informatici: OWNRES nel settore delle RPT e IMS nel settore della gestione concorrente e della preadesione.</w:t>
      </w:r>
    </w:p>
    <w:p w14:paraId="723D7B2F" w14:textId="41FD9163" w:rsidR="00ED2A33" w:rsidRPr="00BF0169" w:rsidRDefault="00652F34"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Per quanto riguarda le RPT, gli Stati membri devono segnalare le irregolarità e le frodi rilevate concernenti importi superiori a 10 000 EUR e specificare nella loro segnalazione se il caso rilevato si riferisce a comportamenti fraudolenti o meno.</w:t>
      </w:r>
    </w:p>
    <w:p w14:paraId="3BABA8D2" w14:textId="735241FB" w:rsidR="00292801" w:rsidRPr="00BF0169" w:rsidRDefault="00652F34"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Quanto alla gestione concorrente, si applica la medesima soglia finanziaria e gli Stati membri devono fornire una classificazione dell</w:t>
      </w:r>
      <w:r w:rsidR="00BF0169" w:rsidRPr="00BF0169">
        <w:rPr>
          <w:noProof/>
          <w:lang w:val="it-IT"/>
        </w:rPr>
        <w:t>'</w:t>
      </w:r>
      <w:r w:rsidRPr="00BF0169">
        <w:rPr>
          <w:noProof/>
          <w:lang w:val="it-IT"/>
        </w:rPr>
        <w:t>irregolarità segnalata, indicando se si tratta di una frode sospetta, di una frode accertata o di una semplice irregolarità (amministrativa). Gli Stati membri possono aggiornare in qualsiasi momento le irregolarità segnalate, anche modificandone la classificazione. In caso di semplice irregolarità, si applicano ulteriori deroghe e gli Stati membri non sono tenuti a segnalare i casi:</w:t>
      </w:r>
    </w:p>
    <w:p w14:paraId="437845BF" w14:textId="3DC90140" w:rsidR="00292801" w:rsidRPr="00BF0169" w:rsidRDefault="00292801" w:rsidP="008721E6">
      <w:pPr>
        <w:pStyle w:val="ListNumber"/>
        <w:numPr>
          <w:ilvl w:val="0"/>
          <w:numId w:val="16"/>
        </w:num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in cui l</w:t>
      </w:r>
      <w:r w:rsidR="00BF0169" w:rsidRPr="00BF0169">
        <w:rPr>
          <w:noProof/>
          <w:lang w:val="it-IT"/>
        </w:rPr>
        <w:t>'</w:t>
      </w:r>
      <w:r w:rsidRPr="00BF0169">
        <w:rPr>
          <w:noProof/>
          <w:lang w:val="it-IT"/>
        </w:rPr>
        <w:t>irregolarità consiste unicamente nella mancata esecuzione, in tutto o in parte, di un</w:t>
      </w:r>
      <w:r w:rsidR="00BF0169" w:rsidRPr="00BF0169">
        <w:rPr>
          <w:noProof/>
          <w:lang w:val="it-IT"/>
        </w:rPr>
        <w:t>'</w:t>
      </w:r>
      <w:r w:rsidRPr="00BF0169">
        <w:rPr>
          <w:noProof/>
          <w:lang w:val="it-IT"/>
        </w:rPr>
        <w:t>operazione rientrante nel programma operativo cofinanziato in seguito al fallimento del beneficiario;</w:t>
      </w:r>
    </w:p>
    <w:p w14:paraId="781898D5" w14:textId="2FD59410" w:rsidR="00292801" w:rsidRPr="00BF0169" w:rsidRDefault="00292801" w:rsidP="008721E6">
      <w:pPr>
        <w:pStyle w:val="ListNumber"/>
        <w:numPr>
          <w:ilvl w:val="0"/>
          <w:numId w:val="16"/>
        </w:num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segnalati spontaneamente dal beneficiario all</w:t>
      </w:r>
      <w:r w:rsidR="00BF0169" w:rsidRPr="00BF0169">
        <w:rPr>
          <w:noProof/>
          <w:lang w:val="it-IT"/>
        </w:rPr>
        <w:t>'</w:t>
      </w:r>
      <w:r w:rsidRPr="00BF0169">
        <w:rPr>
          <w:noProof/>
          <w:lang w:val="it-IT"/>
        </w:rPr>
        <w:t>autorità di gestione o all</w:t>
      </w:r>
      <w:r w:rsidR="00BF0169" w:rsidRPr="00BF0169">
        <w:rPr>
          <w:noProof/>
          <w:lang w:val="it-IT"/>
        </w:rPr>
        <w:t>'</w:t>
      </w:r>
      <w:r w:rsidRPr="00BF0169">
        <w:rPr>
          <w:noProof/>
          <w:lang w:val="it-IT"/>
        </w:rPr>
        <w:t>autorità di certificazione prima del r</w:t>
      </w:r>
      <w:r w:rsidR="001072F3" w:rsidRPr="00BF0169">
        <w:rPr>
          <w:noProof/>
          <w:lang w:val="it-IT"/>
        </w:rPr>
        <w:t>ilevamento da parte di una delle</w:t>
      </w:r>
      <w:r w:rsidRPr="00BF0169">
        <w:rPr>
          <w:noProof/>
          <w:lang w:val="it-IT"/>
        </w:rPr>
        <w:t xml:space="preserve"> due autorità, prima o dopo il versamento del contributo pubblico;</w:t>
      </w:r>
    </w:p>
    <w:p w14:paraId="62AC2B86" w14:textId="52C5DB48" w:rsidR="00652F34" w:rsidRPr="00BF0169" w:rsidRDefault="00292801" w:rsidP="008721E6">
      <w:pPr>
        <w:pStyle w:val="ListNumber"/>
        <w:numPr>
          <w:ilvl w:val="0"/>
          <w:numId w:val="16"/>
        </w:num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rilevati e corretti dall</w:t>
      </w:r>
      <w:r w:rsidR="00BF0169" w:rsidRPr="00BF0169">
        <w:rPr>
          <w:noProof/>
          <w:lang w:val="it-IT"/>
        </w:rPr>
        <w:t>'</w:t>
      </w:r>
      <w:r w:rsidRPr="00BF0169">
        <w:rPr>
          <w:noProof/>
          <w:lang w:val="it-IT"/>
        </w:rPr>
        <w:t>autorità di gestione o dall</w:t>
      </w:r>
      <w:r w:rsidR="00BF0169" w:rsidRPr="00BF0169">
        <w:rPr>
          <w:noProof/>
          <w:lang w:val="it-IT"/>
        </w:rPr>
        <w:t>'</w:t>
      </w:r>
      <w:r w:rsidRPr="00BF0169">
        <w:rPr>
          <w:noProof/>
          <w:lang w:val="it-IT"/>
        </w:rPr>
        <w:t>autorità di certificazione prima dell</w:t>
      </w:r>
      <w:r w:rsidR="00BF0169" w:rsidRPr="00BF0169">
        <w:rPr>
          <w:noProof/>
          <w:lang w:val="it-IT"/>
        </w:rPr>
        <w:t>'</w:t>
      </w:r>
      <w:r w:rsidRPr="00BF0169">
        <w:rPr>
          <w:noProof/>
          <w:lang w:val="it-IT"/>
        </w:rPr>
        <w:t xml:space="preserve">inclusione delle spese in questione in una dichiarazione di spesa presentata alla Commissione. </w:t>
      </w:r>
    </w:p>
    <w:p w14:paraId="020E8F2C" w14:textId="388A75DE" w:rsidR="00292801" w:rsidRPr="00BF0169" w:rsidRDefault="00292801"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 xml:space="preserve">Nella presente relazione vengono utilizzate due ampie categorie per i casi segnalati dagli Stati membri: </w:t>
      </w:r>
      <w:r w:rsidRPr="00BF0169">
        <w:rPr>
          <w:b/>
          <w:noProof/>
          <w:lang w:val="it-IT"/>
        </w:rPr>
        <w:t>irregolarità fraudolente</w:t>
      </w:r>
      <w:r w:rsidRPr="00BF0169">
        <w:rPr>
          <w:noProof/>
          <w:lang w:val="it-IT"/>
        </w:rPr>
        <w:t xml:space="preserve"> e </w:t>
      </w:r>
      <w:r w:rsidRPr="00BF0169">
        <w:rPr>
          <w:b/>
          <w:noProof/>
          <w:lang w:val="it-IT"/>
        </w:rPr>
        <w:t>irregolarità non fraudolente</w:t>
      </w:r>
      <w:r w:rsidRPr="00BF0169">
        <w:rPr>
          <w:noProof/>
          <w:lang w:val="it-IT"/>
        </w:rPr>
        <w:t>.</w:t>
      </w:r>
    </w:p>
    <w:p w14:paraId="03973626" w14:textId="6D6DF7B5" w:rsidR="00292801" w:rsidRPr="00BF0169" w:rsidRDefault="00292801"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 xml:space="preserve">Le </w:t>
      </w:r>
      <w:r w:rsidRPr="00BF0169">
        <w:rPr>
          <w:b/>
          <w:noProof/>
          <w:lang w:val="it-IT"/>
        </w:rPr>
        <w:t xml:space="preserve">irregolarità fraudolente </w:t>
      </w:r>
      <w:r w:rsidRPr="00BF0169">
        <w:rPr>
          <w:noProof/>
          <w:lang w:val="it-IT"/>
        </w:rPr>
        <w:t xml:space="preserve">sono quelle per le quali gli Stati membri hanno fornito la classificazione di </w:t>
      </w:r>
      <w:r w:rsidRPr="00BF0169">
        <w:rPr>
          <w:b/>
          <w:noProof/>
          <w:lang w:val="it-IT"/>
        </w:rPr>
        <w:t>frode</w:t>
      </w:r>
      <w:r w:rsidRPr="00BF0169">
        <w:rPr>
          <w:noProof/>
          <w:lang w:val="it-IT"/>
        </w:rPr>
        <w:t xml:space="preserve"> nel contesto delle RPT o la classificazione di </w:t>
      </w:r>
      <w:r w:rsidRPr="00BF0169">
        <w:rPr>
          <w:b/>
          <w:noProof/>
          <w:lang w:val="it-IT"/>
        </w:rPr>
        <w:t>frode sospetta</w:t>
      </w:r>
      <w:r w:rsidRPr="00BF0169">
        <w:rPr>
          <w:noProof/>
          <w:lang w:val="it-IT"/>
        </w:rPr>
        <w:t xml:space="preserve"> o </w:t>
      </w:r>
      <w:r w:rsidRPr="00BF0169">
        <w:rPr>
          <w:b/>
          <w:noProof/>
          <w:lang w:val="it-IT"/>
        </w:rPr>
        <w:t xml:space="preserve">frode accertata </w:t>
      </w:r>
      <w:r w:rsidRPr="00BF0169">
        <w:rPr>
          <w:noProof/>
          <w:lang w:val="it-IT"/>
        </w:rPr>
        <w:t>in relazione alla gestione concorrente e alla preadesione.</w:t>
      </w:r>
    </w:p>
    <w:p w14:paraId="5B04F4E5" w14:textId="77777777" w:rsidR="00941F7C" w:rsidRPr="00BF0169" w:rsidRDefault="00941F7C"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lang w:val="it-IT"/>
        </w:rPr>
      </w:pPr>
      <w:r w:rsidRPr="00BF0169">
        <w:rPr>
          <w:noProof/>
          <w:lang w:val="it-IT"/>
        </w:rPr>
        <w:t xml:space="preserve">I restanti casi sono indicati come </w:t>
      </w:r>
      <w:r w:rsidRPr="00BF0169">
        <w:rPr>
          <w:b/>
          <w:noProof/>
          <w:lang w:val="it-IT"/>
        </w:rPr>
        <w:t>irregolarità non fraudolente</w:t>
      </w:r>
      <w:r w:rsidRPr="00BF0169">
        <w:rPr>
          <w:noProof/>
          <w:lang w:val="it-IT"/>
        </w:rPr>
        <w:t>.</w:t>
      </w:r>
    </w:p>
    <w:p w14:paraId="6833E2A6" w14:textId="690BFD6E" w:rsidR="00941F7C" w:rsidRPr="00BF0169" w:rsidRDefault="00307B43" w:rsidP="00941F7C">
      <w:pPr>
        <w:rPr>
          <w:noProof/>
          <w:lang w:val="it-IT"/>
        </w:rPr>
      </w:pPr>
      <w:r w:rsidRPr="00BF0169">
        <w:rPr>
          <w:noProof/>
          <w:lang w:val="it-IT"/>
        </w:rPr>
        <w:t>Nel 2021 sono state segnalate complessivamente 11 218 irregolarità, per un importo di circa 3,24 miliardi di EUR. In termini di numero di irregolarità segnalate la s</w:t>
      </w:r>
      <w:r w:rsidR="004108DD" w:rsidRPr="00BF0169">
        <w:rPr>
          <w:noProof/>
          <w:lang w:val="it-IT"/>
        </w:rPr>
        <w:t>ituazione è stabile rispetto al </w:t>
      </w:r>
      <w:r w:rsidRPr="00BF0169">
        <w:rPr>
          <w:noProof/>
          <w:lang w:val="it-IT"/>
        </w:rPr>
        <w:t>2020, con una lieve diminuzione di circa il 5 %. Gli importi corrispondenti rappresentano tuttavia un incremento significativo rispetto all</w:t>
      </w:r>
      <w:r w:rsidR="00BF0169" w:rsidRPr="00BF0169">
        <w:rPr>
          <w:noProof/>
          <w:lang w:val="it-IT"/>
        </w:rPr>
        <w:t>'</w:t>
      </w:r>
      <w:r w:rsidRPr="00BF0169">
        <w:rPr>
          <w:noProof/>
          <w:lang w:val="it-IT"/>
        </w:rPr>
        <w:t>anno precedente, essendo più che raddoppiati (+ 121 %).</w:t>
      </w:r>
    </w:p>
    <w:p w14:paraId="298AF9AF" w14:textId="77777777" w:rsidR="00A25416" w:rsidRPr="00BF0169" w:rsidRDefault="00A25416" w:rsidP="00941F7C">
      <w:pPr>
        <w:rPr>
          <w:noProof/>
          <w:lang w:val="it-IT"/>
        </w:rPr>
      </w:pPr>
      <w:r w:rsidRPr="00BF0169">
        <w:rPr>
          <w:noProof/>
          <w:lang w:val="it-IT"/>
        </w:rPr>
        <w:t xml:space="preserve">Il </w:t>
      </w:r>
      <w:r w:rsidRPr="00BF0169">
        <w:rPr>
          <w:b/>
          <w:noProof/>
          <w:lang w:val="it-IT"/>
        </w:rPr>
        <w:t xml:space="preserve">riquadro 3 </w:t>
      </w:r>
      <w:r w:rsidRPr="00BF0169">
        <w:rPr>
          <w:noProof/>
          <w:lang w:val="it-IT"/>
        </w:rPr>
        <w:t>fornisce una breve nota metodologica sulle modalità di interpretazione di tali dati e di quelli pubblicati nelle sezioni seguenti.</w:t>
      </w:r>
    </w:p>
    <w:p w14:paraId="53998052" w14:textId="372BFD08" w:rsidR="00A25416" w:rsidRPr="00BF0169" w:rsidRDefault="00A25416" w:rsidP="008721E6">
      <w:pPr>
        <w:pStyle w:val="Caption"/>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bookmarkStart w:id="71" w:name="_Toc106662324"/>
      <w:r w:rsidRPr="00BF0169">
        <w:rPr>
          <w:noProof/>
          <w:lang w:val="it-IT"/>
        </w:rPr>
        <w:t xml:space="preserve">Riquadro </w:t>
      </w:r>
      <w:r w:rsidR="00742EC4" w:rsidRPr="00BF0169">
        <w:rPr>
          <w:noProof/>
          <w:lang w:val="it-IT"/>
        </w:rPr>
        <w:fldChar w:fldCharType="begin"/>
      </w:r>
      <w:r w:rsidR="00742EC4" w:rsidRPr="00BF0169">
        <w:rPr>
          <w:noProof/>
          <w:lang w:val="it-IT"/>
        </w:rPr>
        <w:instrText xml:space="preserve"> SEQ Box \* ARABIC </w:instrText>
      </w:r>
      <w:r w:rsidR="00742EC4" w:rsidRPr="00BF0169">
        <w:rPr>
          <w:noProof/>
          <w:lang w:val="it-IT"/>
        </w:rPr>
        <w:fldChar w:fldCharType="separate"/>
      </w:r>
      <w:r w:rsidRPr="00BF0169">
        <w:rPr>
          <w:noProof/>
          <w:lang w:val="it-IT"/>
        </w:rPr>
        <w:t>3</w:t>
      </w:r>
      <w:r w:rsidR="00742EC4" w:rsidRPr="00BF0169">
        <w:rPr>
          <w:noProof/>
          <w:lang w:val="it-IT"/>
        </w:rPr>
        <w:fldChar w:fldCharType="end"/>
      </w:r>
      <w:r w:rsidRPr="00BF0169">
        <w:rPr>
          <w:noProof/>
          <w:lang w:val="it-IT"/>
        </w:rPr>
        <w:t>: nota metodologica</w:t>
      </w:r>
      <w:bookmarkEnd w:id="71"/>
    </w:p>
    <w:p w14:paraId="11BA3018" w14:textId="77777777" w:rsidR="00A3121D" w:rsidRPr="00BF0169" w:rsidRDefault="002F71B1"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 xml:space="preserve">La segnalazione di irregolarità è soggetta ad alcune limitazioni. </w:t>
      </w:r>
    </w:p>
    <w:p w14:paraId="42DCAA26" w14:textId="1FEEF5F0" w:rsidR="00C458DD" w:rsidRPr="00BF0169" w:rsidRDefault="002F71B1"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Per quanto riguarda le RPT, il tempo che intercorre tra il momento in cui vengono commesse le irregolarità e quello in cui vengono rilevate dipende dal tipo di controllo: i controlli allo sdoganamento consentono un rilevamento immediato, mentre i controlli a posteriori vengono effettuati entro il termine di tre anni per la notifica di un</w:t>
      </w:r>
      <w:r w:rsidR="00BF0169" w:rsidRPr="00BF0169">
        <w:rPr>
          <w:noProof/>
          <w:lang w:val="it-IT"/>
        </w:rPr>
        <w:t>'</w:t>
      </w:r>
      <w:r w:rsidRPr="00BF0169">
        <w:rPr>
          <w:noProof/>
          <w:lang w:val="it-IT"/>
        </w:rPr>
        <w:t>obbligazione doganale. Di conseguenza, l</w:t>
      </w:r>
      <w:r w:rsidR="00BF0169" w:rsidRPr="00BF0169">
        <w:rPr>
          <w:noProof/>
          <w:lang w:val="it-IT"/>
        </w:rPr>
        <w:t>'</w:t>
      </w:r>
      <w:r w:rsidRPr="00BF0169">
        <w:rPr>
          <w:noProof/>
          <w:lang w:val="it-IT"/>
        </w:rPr>
        <w:t>individuazione delle irregolarità può richiedere fino a tre anni dallo svincolo della merce. La segnalazione dopo l</w:t>
      </w:r>
      <w:r w:rsidR="00BF0169" w:rsidRPr="00BF0169">
        <w:rPr>
          <w:noProof/>
          <w:lang w:val="it-IT"/>
        </w:rPr>
        <w:t>'</w:t>
      </w:r>
      <w:r w:rsidRPr="00BF0169">
        <w:rPr>
          <w:noProof/>
          <w:lang w:val="it-IT"/>
        </w:rPr>
        <w:t xml:space="preserve">individuazione è generalmente rapida, tenuto conto dei termini legali specifici. </w:t>
      </w:r>
    </w:p>
    <w:p w14:paraId="26783DE9" w14:textId="1106D815" w:rsidR="00A25416" w:rsidRPr="00BF0169" w:rsidRDefault="00C458DD"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In relazione alle spese, fatta eccezione per le irregolarità fraudolente rilevate prima del pagamento, e dunque evitate, la grande maggioranza delle irregolarità segnalate (fraudolente e non fraudolente) viene rilevata durante i controlli ex post. Ciò significa che esiste un intervallo di tempo tra il momento in cui le irregolarità vengono commesse e il momento in cui vengono segnalate alla Commissione. In media tale periodo di tempo è compreso tra due anni e mezzo e tre anni</w:t>
      </w:r>
      <w:r w:rsidRPr="00BF0169">
        <w:rPr>
          <w:rStyle w:val="FootnoteReference"/>
          <w:noProof/>
          <w:lang w:val="it-IT"/>
        </w:rPr>
        <w:footnoteReference w:id="77"/>
      </w:r>
      <w:r w:rsidRPr="00BF0169">
        <w:rPr>
          <w:noProof/>
          <w:lang w:val="it-IT"/>
        </w:rPr>
        <w:t xml:space="preserve">. </w:t>
      </w:r>
    </w:p>
    <w:p w14:paraId="6DEBDFC5" w14:textId="315C3CDB" w:rsidR="00743C19" w:rsidRPr="00BF0169" w:rsidRDefault="00257B88"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Gran parte della spesa dell</w:t>
      </w:r>
      <w:r w:rsidR="00BF0169" w:rsidRPr="00BF0169">
        <w:rPr>
          <w:noProof/>
          <w:lang w:val="it-IT"/>
        </w:rPr>
        <w:t>'</w:t>
      </w:r>
      <w:r w:rsidRPr="00BF0169">
        <w:rPr>
          <w:noProof/>
          <w:lang w:val="it-IT"/>
        </w:rPr>
        <w:t>UE segue inoltre cicli pluriennali, con un</w:t>
      </w:r>
      <w:r w:rsidR="00BF0169" w:rsidRPr="00BF0169">
        <w:rPr>
          <w:noProof/>
          <w:lang w:val="it-IT"/>
        </w:rPr>
        <w:t>'</w:t>
      </w:r>
      <w:r w:rsidRPr="00BF0169">
        <w:rPr>
          <w:noProof/>
          <w:lang w:val="it-IT"/>
        </w:rPr>
        <w:t>attuazione progressivamente crescente fino alla chiusura del programma (di solito n+2 o n+3 in relazione all</w:t>
      </w:r>
      <w:r w:rsidR="00BF0169" w:rsidRPr="00BF0169">
        <w:rPr>
          <w:noProof/>
          <w:lang w:val="it-IT"/>
        </w:rPr>
        <w:t>'</w:t>
      </w:r>
      <w:r w:rsidRPr="00BF0169">
        <w:rPr>
          <w:noProof/>
          <w:lang w:val="it-IT"/>
        </w:rPr>
        <w:t>ultimo anno del ciclo, ossia 2022-2023 per quanto concerne l</w:t>
      </w:r>
      <w:r w:rsidR="00BF0169" w:rsidRPr="00BF0169">
        <w:rPr>
          <w:noProof/>
          <w:lang w:val="it-IT"/>
        </w:rPr>
        <w:t>'</w:t>
      </w:r>
      <w:r w:rsidRPr="00BF0169">
        <w:rPr>
          <w:noProof/>
          <w:lang w:val="it-IT"/>
        </w:rPr>
        <w:t>attuale periodo di programmazione), che rappresenta anche anni in cui si registra un picco nella segnalazione di irregolarità.</w:t>
      </w:r>
    </w:p>
    <w:p w14:paraId="0CF47764" w14:textId="49D7A993" w:rsidR="00743C19" w:rsidRPr="00BF0169" w:rsidRDefault="00743C19"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Per questi motivi il confronto da un anno all</w:t>
      </w:r>
      <w:r w:rsidR="00BF0169" w:rsidRPr="00BF0169">
        <w:rPr>
          <w:noProof/>
          <w:lang w:val="it-IT"/>
        </w:rPr>
        <w:t>'</w:t>
      </w:r>
      <w:r w:rsidRPr="00BF0169">
        <w:rPr>
          <w:noProof/>
          <w:lang w:val="it-IT"/>
        </w:rPr>
        <w:t>altro in termini di segnalazione di irregolarità non fornisce un quadro affidabile della situazione, in particolare in relazione alle variazioni riguardanti l</w:t>
      </w:r>
      <w:r w:rsidR="00BF0169" w:rsidRPr="00BF0169">
        <w:rPr>
          <w:noProof/>
          <w:lang w:val="it-IT"/>
        </w:rPr>
        <w:t>'</w:t>
      </w:r>
      <w:r w:rsidRPr="00BF0169">
        <w:rPr>
          <w:noProof/>
          <w:lang w:val="it-IT"/>
        </w:rPr>
        <w:t>incidenza finanziaria, in quanto quest</w:t>
      </w:r>
      <w:r w:rsidR="00BF0169" w:rsidRPr="00BF0169">
        <w:rPr>
          <w:noProof/>
          <w:lang w:val="it-IT"/>
        </w:rPr>
        <w:t>'</w:t>
      </w:r>
      <w:r w:rsidRPr="00BF0169">
        <w:rPr>
          <w:noProof/>
          <w:lang w:val="it-IT"/>
        </w:rPr>
        <w:t>ultima potrebbe essere influenzata da pochissimi casi di valore elevato.</w:t>
      </w:r>
    </w:p>
    <w:p w14:paraId="1994DD52" w14:textId="6D2A9410" w:rsidR="00743C19" w:rsidRPr="00BF0169" w:rsidRDefault="00743C19"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lang w:val="it-IT"/>
        </w:rPr>
      </w:pPr>
      <w:r w:rsidRPr="00BF0169">
        <w:rPr>
          <w:noProof/>
          <w:lang w:val="it-IT"/>
        </w:rPr>
        <w:t>Di conseguenza, unitamente alle variazioni annuali, la presente relazione (e il relativo documento di valutazione statistica delle irregolarità che l</w:t>
      </w:r>
      <w:r w:rsidR="00BF0169" w:rsidRPr="00BF0169">
        <w:rPr>
          <w:noProof/>
          <w:lang w:val="it-IT"/>
        </w:rPr>
        <w:t>'</w:t>
      </w:r>
      <w:r w:rsidRPr="00BF0169">
        <w:rPr>
          <w:noProof/>
          <w:lang w:val="it-IT"/>
        </w:rPr>
        <w:t>accompagna) presenta altresì una prospettiva pluriennale (per periodo di programmazione per la politica di coesione e di preadesione e quinquennale per gli altri settori) al fine di limitare eventuali distorsioni dell</w:t>
      </w:r>
      <w:r w:rsidR="00BF0169" w:rsidRPr="00BF0169">
        <w:rPr>
          <w:noProof/>
          <w:lang w:val="it-IT"/>
        </w:rPr>
        <w:t>'</w:t>
      </w:r>
      <w:r w:rsidRPr="00BF0169">
        <w:rPr>
          <w:noProof/>
          <w:lang w:val="it-IT"/>
        </w:rPr>
        <w:t>analisi dovute ai fattori sopra evidenziati.</w:t>
      </w:r>
    </w:p>
    <w:p w14:paraId="7EFB49C8" w14:textId="77777777" w:rsidR="00FB5CF5" w:rsidRPr="00BF0169" w:rsidRDefault="00FB5CF5" w:rsidP="00FB5CF5">
      <w:pPr>
        <w:pStyle w:val="Heading2"/>
        <w:rPr>
          <w:noProof/>
          <w:lang w:val="it-IT"/>
        </w:rPr>
      </w:pPr>
      <w:bookmarkStart w:id="72" w:name="_Toc116319656"/>
      <w:r w:rsidRPr="00BF0169">
        <w:rPr>
          <w:noProof/>
          <w:lang w:val="it-IT"/>
        </w:rPr>
        <w:t>Entrate</w:t>
      </w:r>
      <w:bookmarkEnd w:id="72"/>
    </w:p>
    <w:p w14:paraId="2E134D14" w14:textId="2E89E24E" w:rsidR="002871C5" w:rsidRPr="00BF0169" w:rsidRDefault="00A3121D" w:rsidP="00DC1244">
      <w:pPr>
        <w:rPr>
          <w:noProof/>
          <w:lang w:val="it-IT"/>
        </w:rPr>
      </w:pPr>
      <w:r w:rsidRPr="00BF0169">
        <w:rPr>
          <w:noProof/>
          <w:lang w:val="it-IT"/>
        </w:rPr>
        <w:t>Nel 2021 la Commissione ha adottato una proposta di modifica del regolamento sulla messa a disposizione</w:t>
      </w:r>
      <w:r w:rsidRPr="00BF0169">
        <w:rPr>
          <w:rStyle w:val="FootnoteReference"/>
          <w:noProof/>
          <w:lang w:val="it-IT"/>
        </w:rPr>
        <w:footnoteReference w:id="78"/>
      </w:r>
      <w:r w:rsidRPr="00BF0169">
        <w:rPr>
          <w:noProof/>
          <w:lang w:val="it-IT"/>
        </w:rPr>
        <w:t xml:space="preserve"> con l</w:t>
      </w:r>
      <w:r w:rsidR="00BF0169" w:rsidRPr="00BF0169">
        <w:rPr>
          <w:noProof/>
          <w:lang w:val="it-IT"/>
        </w:rPr>
        <w:t>'</w:t>
      </w:r>
      <w:r w:rsidRPr="00BF0169">
        <w:rPr>
          <w:noProof/>
          <w:lang w:val="it-IT"/>
        </w:rPr>
        <w:t>obiettivo di rafforzare ulteriormente il sistema di messa a disposizione delle risorse proprie al fine di garantire pagamenti regolari e tempestivi al bilancio dell</w:t>
      </w:r>
      <w:r w:rsidR="00BF0169" w:rsidRPr="00BF0169">
        <w:rPr>
          <w:noProof/>
          <w:lang w:val="it-IT"/>
        </w:rPr>
        <w:t>'</w:t>
      </w:r>
      <w:r w:rsidRPr="00BF0169">
        <w:rPr>
          <w:noProof/>
          <w:lang w:val="it-IT"/>
        </w:rPr>
        <w:t>UE. Inoltre è stata attuata una nuova strategia di esecuzione volta a consentire una reazione più rapida a rischi futuri e a proteggere meglio le RPT.</w:t>
      </w:r>
      <w:r w:rsidRPr="00BF0169">
        <w:rPr>
          <w:noProof/>
          <w:highlight w:val="yellow"/>
          <w:lang w:val="it-IT"/>
        </w:rPr>
        <w:t xml:space="preserve"> </w:t>
      </w:r>
    </w:p>
    <w:p w14:paraId="550BFC72" w14:textId="77777777" w:rsidR="00FB5CF5" w:rsidRPr="00BF0169" w:rsidRDefault="006C7D78" w:rsidP="00CD7B44">
      <w:pPr>
        <w:pStyle w:val="Heading3"/>
        <w:rPr>
          <w:noProof/>
          <w:lang w:val="it-IT"/>
        </w:rPr>
      </w:pPr>
      <w:bookmarkStart w:id="73" w:name="_Toc116319657"/>
      <w:r w:rsidRPr="00BF0169">
        <w:rPr>
          <w:noProof/>
          <w:lang w:val="it-IT"/>
        </w:rPr>
        <w:t>Frodi in materia di IVA</w:t>
      </w:r>
      <w:bookmarkEnd w:id="73"/>
    </w:p>
    <w:p w14:paraId="47E08AC3" w14:textId="6C148AFC" w:rsidR="006C7D78" w:rsidRPr="00BF0169" w:rsidRDefault="002B1B19" w:rsidP="006C7D78">
      <w:pPr>
        <w:rPr>
          <w:noProof/>
          <w:lang w:val="it-IT"/>
        </w:rPr>
      </w:pPr>
      <w:r w:rsidRPr="00BF0169">
        <w:rPr>
          <w:noProof/>
          <w:lang w:val="it-IT"/>
        </w:rPr>
        <w:t>L</w:t>
      </w:r>
      <w:r w:rsidR="00BF0169" w:rsidRPr="00BF0169">
        <w:rPr>
          <w:noProof/>
          <w:lang w:val="it-IT"/>
        </w:rPr>
        <w:t>'</w:t>
      </w:r>
      <w:r w:rsidRPr="00BF0169">
        <w:rPr>
          <w:noProof/>
          <w:lang w:val="it-IT"/>
        </w:rPr>
        <w:t>EPPO ha la competenza per indagare in merito a reati gravi contro il sistema comune dell</w:t>
      </w:r>
      <w:r w:rsidR="00BF0169" w:rsidRPr="00BF0169">
        <w:rPr>
          <w:noProof/>
          <w:lang w:val="it-IT"/>
        </w:rPr>
        <w:t>'</w:t>
      </w:r>
      <w:r w:rsidRPr="00BF0169">
        <w:rPr>
          <w:noProof/>
          <w:lang w:val="it-IT"/>
        </w:rPr>
        <w:t>IVA. Tali reati dovrebbero essere connessi al territorio di due o più Stati membri e comportare un danno totale di almeno 10 milioni di EUR.</w:t>
      </w:r>
    </w:p>
    <w:p w14:paraId="0C384385" w14:textId="7DB7B4B9" w:rsidR="002B1B19" w:rsidRPr="00BF0169" w:rsidRDefault="002B1B19" w:rsidP="006C7D78">
      <w:pPr>
        <w:rPr>
          <w:noProof/>
          <w:lang w:val="it-IT"/>
        </w:rPr>
      </w:pPr>
      <w:r w:rsidRPr="00BF0169">
        <w:rPr>
          <w:noProof/>
          <w:lang w:val="it-IT"/>
        </w:rPr>
        <w:t>Nel 2021 l</w:t>
      </w:r>
      <w:r w:rsidR="00BF0169" w:rsidRPr="00BF0169">
        <w:rPr>
          <w:noProof/>
          <w:lang w:val="it-IT"/>
        </w:rPr>
        <w:t>'</w:t>
      </w:r>
      <w:r w:rsidRPr="00BF0169">
        <w:rPr>
          <w:noProof/>
          <w:lang w:val="it-IT"/>
        </w:rPr>
        <w:t>EPPO ha indagato su 91 casi di questo tipo per danni stimati a 2,5 miliardi di EUR</w:t>
      </w:r>
      <w:r w:rsidRPr="00BF0169">
        <w:rPr>
          <w:rStyle w:val="FootnoteReference"/>
          <w:noProof/>
          <w:lang w:val="it-IT"/>
        </w:rPr>
        <w:footnoteReference w:id="79"/>
      </w:r>
      <w:r w:rsidRPr="00BF0169">
        <w:rPr>
          <w:noProof/>
          <w:lang w:val="it-IT"/>
        </w:rPr>
        <w:t>.</w:t>
      </w:r>
    </w:p>
    <w:p w14:paraId="6582EF46" w14:textId="001B55DF" w:rsidR="00FB5CF5" w:rsidRPr="00BF0169" w:rsidRDefault="006C7D78" w:rsidP="00CD7B44">
      <w:pPr>
        <w:pStyle w:val="Heading3"/>
        <w:rPr>
          <w:noProof/>
          <w:lang w:val="it-IT"/>
        </w:rPr>
      </w:pPr>
      <w:bookmarkStart w:id="74" w:name="_Toc116319658"/>
      <w:r w:rsidRPr="00BF0169">
        <w:rPr>
          <w:noProof/>
          <w:lang w:val="it-IT"/>
        </w:rPr>
        <w:t>Risorse proprie tradizionali</w:t>
      </w:r>
      <w:bookmarkEnd w:id="74"/>
    </w:p>
    <w:p w14:paraId="6B2245D7" w14:textId="4DAAABB6" w:rsidR="002D6EFC" w:rsidRPr="00BF0169" w:rsidRDefault="002D6EFC" w:rsidP="006C7D78">
      <w:pPr>
        <w:rPr>
          <w:noProof/>
          <w:lang w:val="it-IT"/>
        </w:rPr>
      </w:pPr>
      <w:r w:rsidRPr="00BF0169">
        <w:rPr>
          <w:noProof/>
          <w:lang w:val="it-IT"/>
        </w:rPr>
        <w:t>Nel 2021 la pandemia di COVID-19 ha continuato a incidere sulla vita di tutte le persone fisiche e di tutte le imprese nell</w:t>
      </w:r>
      <w:r w:rsidR="00BF0169" w:rsidRPr="00BF0169">
        <w:rPr>
          <w:noProof/>
          <w:lang w:val="it-IT"/>
        </w:rPr>
        <w:t>'</w:t>
      </w:r>
      <w:r w:rsidRPr="00BF0169">
        <w:rPr>
          <w:noProof/>
          <w:lang w:val="it-IT"/>
        </w:rPr>
        <w:t>UE. Se nel 2020 la pandemia è stata</w:t>
      </w:r>
      <w:r w:rsidR="004108DD" w:rsidRPr="00BF0169">
        <w:rPr>
          <w:noProof/>
          <w:lang w:val="it-IT"/>
        </w:rPr>
        <w:t xml:space="preserve"> vissuta come un</w:t>
      </w:r>
      <w:r w:rsidR="00BF0169" w:rsidRPr="00BF0169">
        <w:rPr>
          <w:noProof/>
          <w:lang w:val="it-IT"/>
        </w:rPr>
        <w:t>'</w:t>
      </w:r>
      <w:r w:rsidR="004108DD" w:rsidRPr="00BF0169">
        <w:rPr>
          <w:noProof/>
          <w:lang w:val="it-IT"/>
        </w:rPr>
        <w:t>emergenza, nel </w:t>
      </w:r>
      <w:r w:rsidRPr="00BF0169">
        <w:rPr>
          <w:noProof/>
          <w:lang w:val="it-IT"/>
        </w:rPr>
        <w:t>2021 è diventata un dato di fatto, come attestano i dati sui volumi di importazione: dopo lo scioccante calo delle importazioni dell</w:t>
      </w:r>
      <w:r w:rsidR="00BF0169" w:rsidRPr="00BF0169">
        <w:rPr>
          <w:noProof/>
          <w:lang w:val="it-IT"/>
        </w:rPr>
        <w:t>'</w:t>
      </w:r>
      <w:r w:rsidRPr="00BF0169">
        <w:rPr>
          <w:noProof/>
          <w:lang w:val="it-IT"/>
        </w:rPr>
        <w:t>UE-27, pari all</w:t>
      </w:r>
      <w:r w:rsidR="00BF0169" w:rsidRPr="00BF0169">
        <w:rPr>
          <w:noProof/>
          <w:lang w:val="it-IT"/>
        </w:rPr>
        <w:t>'</w:t>
      </w:r>
      <w:r w:rsidRPr="00BF0169">
        <w:rPr>
          <w:noProof/>
          <w:lang w:val="it-IT"/>
        </w:rPr>
        <w:t>11,6 % nel 2020, nel 2021 le importazioni sono aumentate del 23 %.</w:t>
      </w:r>
    </w:p>
    <w:p w14:paraId="148FE5F7" w14:textId="4DB34C21" w:rsidR="006C7D78" w:rsidRPr="00BF0169" w:rsidRDefault="006C7D78" w:rsidP="00DC1244">
      <w:pPr>
        <w:rPr>
          <w:noProof/>
          <w:lang w:val="it-IT"/>
        </w:rPr>
      </w:pPr>
      <w:bookmarkStart w:id="75" w:name="_Toc106662327"/>
      <w:r w:rsidRPr="00BF0169">
        <w:rPr>
          <w:b/>
          <w:i/>
          <w:noProof/>
          <w:lang w:val="it-IT"/>
        </w:rPr>
        <w:t xml:space="preserve">Tabella </w:t>
      </w:r>
      <w:r w:rsidRPr="00BF0169">
        <w:rPr>
          <w:b/>
          <w:i/>
          <w:noProof/>
          <w:lang w:val="it-IT"/>
        </w:rPr>
        <w:fldChar w:fldCharType="begin"/>
      </w:r>
      <w:r w:rsidRPr="00BF0169">
        <w:rPr>
          <w:b/>
          <w:i/>
          <w:noProof/>
          <w:lang w:val="it-IT"/>
        </w:rPr>
        <w:instrText xml:space="preserve"> SEQ Table \* ARABIC </w:instrText>
      </w:r>
      <w:r w:rsidRPr="00BF0169">
        <w:rPr>
          <w:b/>
          <w:i/>
          <w:noProof/>
          <w:lang w:val="it-IT"/>
        </w:rPr>
        <w:fldChar w:fldCharType="separate"/>
      </w:r>
      <w:r w:rsidRPr="00BF0169">
        <w:rPr>
          <w:b/>
          <w:i/>
          <w:noProof/>
          <w:lang w:val="it-IT"/>
        </w:rPr>
        <w:t>3</w:t>
      </w:r>
      <w:r w:rsidRPr="00BF0169">
        <w:rPr>
          <w:b/>
          <w:i/>
          <w:noProof/>
          <w:lang w:val="it-IT"/>
        </w:rPr>
        <w:fldChar w:fldCharType="end"/>
      </w:r>
      <w:r w:rsidRPr="00BF0169">
        <w:rPr>
          <w:b/>
          <w:i/>
          <w:noProof/>
          <w:lang w:val="it-IT"/>
        </w:rPr>
        <w:t>- Entrate: irregolarità rilevate e segnalate dagli Stati membri – RPT – nel 2021</w:t>
      </w:r>
      <w:bookmarkEnd w:id="75"/>
    </w:p>
    <w:tbl>
      <w:tblPr>
        <w:tblW w:w="8299" w:type="dxa"/>
        <w:tblInd w:w="113" w:type="dxa"/>
        <w:tblLook w:val="04A0" w:firstRow="1" w:lastRow="0" w:firstColumn="1" w:lastColumn="0" w:noHBand="0" w:noVBand="1"/>
      </w:tblPr>
      <w:tblGrid>
        <w:gridCol w:w="1696"/>
        <w:gridCol w:w="1276"/>
        <w:gridCol w:w="751"/>
        <w:gridCol w:w="6"/>
        <w:gridCol w:w="1086"/>
        <w:gridCol w:w="1157"/>
        <w:gridCol w:w="7"/>
        <w:gridCol w:w="1093"/>
        <w:gridCol w:w="7"/>
        <w:gridCol w:w="1220"/>
      </w:tblGrid>
      <w:tr w:rsidR="006C7D78" w:rsidRPr="00BF0169" w14:paraId="2E2EB7EF" w14:textId="77777777" w:rsidTr="00A27EF6">
        <w:trPr>
          <w:trHeight w:val="585"/>
        </w:trPr>
        <w:tc>
          <w:tcPr>
            <w:tcW w:w="1696" w:type="dxa"/>
            <w:tcBorders>
              <w:top w:val="single" w:sz="4" w:space="0" w:color="9BC2E6"/>
              <w:left w:val="single" w:sz="4" w:space="0" w:color="9BC2E6"/>
              <w:bottom w:val="single" w:sz="4" w:space="0" w:color="9BC2E6"/>
              <w:right w:val="single" w:sz="4" w:space="0" w:color="9BC2E6"/>
            </w:tcBorders>
            <w:shd w:val="clear" w:color="5B9BD5" w:fill="5B9BD5"/>
            <w:noWrap/>
            <w:vAlign w:val="center"/>
            <w:hideMark/>
          </w:tcPr>
          <w:p w14:paraId="6F76014E" w14:textId="77777777" w:rsidR="006C7D78" w:rsidRPr="00BF0169" w:rsidRDefault="006C7D78" w:rsidP="00A27EF6">
            <w:pPr>
              <w:spacing w:after="0"/>
              <w:jc w:val="center"/>
              <w:rPr>
                <w:rFonts w:ascii="Calibri" w:hAnsi="Calibri" w:cs="Calibri"/>
                <w:b/>
                <w:noProof/>
                <w:color w:val="FFFFFF"/>
                <w:lang w:val="it-IT"/>
              </w:rPr>
            </w:pPr>
            <w:r w:rsidRPr="00BF0169">
              <w:rPr>
                <w:rFonts w:ascii="Calibri" w:hAnsi="Calibri"/>
                <w:b/>
                <w:noProof/>
                <w:color w:val="FFFFFF"/>
                <w:lang w:val="it-IT"/>
              </w:rPr>
              <w:t>Settore di bilancio</w:t>
            </w:r>
          </w:p>
        </w:tc>
        <w:tc>
          <w:tcPr>
            <w:tcW w:w="2027" w:type="dxa"/>
            <w:gridSpan w:val="2"/>
            <w:tcBorders>
              <w:top w:val="single" w:sz="4" w:space="0" w:color="9BC2E6"/>
              <w:left w:val="single" w:sz="4" w:space="0" w:color="9BC2E6"/>
              <w:bottom w:val="single" w:sz="4" w:space="0" w:color="9BC2E6"/>
            </w:tcBorders>
            <w:shd w:val="clear" w:color="5B9BD5" w:fill="5B9BD5"/>
            <w:vAlign w:val="center"/>
            <w:hideMark/>
          </w:tcPr>
          <w:p w14:paraId="1D1CFF9B" w14:textId="0E6B34C4" w:rsidR="006C7D78" w:rsidRPr="00BF0169" w:rsidRDefault="006C7D78" w:rsidP="00A27EF6">
            <w:pPr>
              <w:spacing w:after="0"/>
              <w:jc w:val="center"/>
              <w:rPr>
                <w:rFonts w:ascii="Calibri" w:hAnsi="Calibri" w:cs="Calibri"/>
                <w:b/>
                <w:noProof/>
                <w:color w:val="FFFFFF"/>
                <w:lang w:val="it-IT"/>
              </w:rPr>
            </w:pPr>
            <w:r w:rsidRPr="00BF0169">
              <w:rPr>
                <w:rFonts w:ascii="Calibri" w:hAnsi="Calibri"/>
                <w:b/>
                <w:noProof/>
                <w:color w:val="FFFFFF"/>
                <w:lang w:val="it-IT"/>
              </w:rPr>
              <w:t>Irregolarità fraudolente</w:t>
            </w:r>
          </w:p>
        </w:tc>
        <w:tc>
          <w:tcPr>
            <w:tcW w:w="2249" w:type="dxa"/>
            <w:gridSpan w:val="3"/>
            <w:tcBorders>
              <w:top w:val="single" w:sz="4" w:space="0" w:color="9BC2E6"/>
              <w:left w:val="nil"/>
              <w:bottom w:val="single" w:sz="4" w:space="0" w:color="9BC2E6"/>
              <w:right w:val="single" w:sz="4" w:space="0" w:color="9BC2E6"/>
            </w:tcBorders>
            <w:shd w:val="clear" w:color="5B9BD5" w:fill="5B9BD5"/>
            <w:vAlign w:val="center"/>
            <w:hideMark/>
          </w:tcPr>
          <w:p w14:paraId="7C8690EE" w14:textId="77777777" w:rsidR="006C7D78" w:rsidRPr="00BF0169" w:rsidRDefault="006C7D78" w:rsidP="00A27EF6">
            <w:pPr>
              <w:spacing w:after="0"/>
              <w:jc w:val="center"/>
              <w:rPr>
                <w:rFonts w:ascii="Calibri" w:hAnsi="Calibri" w:cs="Calibri"/>
                <w:b/>
                <w:noProof/>
                <w:color w:val="FFFFFF"/>
                <w:lang w:val="it-IT"/>
              </w:rPr>
            </w:pPr>
            <w:r w:rsidRPr="00BF0169">
              <w:rPr>
                <w:rFonts w:ascii="Calibri" w:hAnsi="Calibri"/>
                <w:b/>
                <w:noProof/>
                <w:color w:val="FFFFFF"/>
                <w:lang w:val="it-IT"/>
              </w:rPr>
              <w:t>Irregolarità non fraudolente</w:t>
            </w:r>
          </w:p>
        </w:tc>
        <w:tc>
          <w:tcPr>
            <w:tcW w:w="1100" w:type="dxa"/>
            <w:gridSpan w:val="2"/>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5173006F" w14:textId="77777777" w:rsidR="006C7D78" w:rsidRPr="00BF0169" w:rsidRDefault="006C7D78" w:rsidP="00A27EF6">
            <w:pPr>
              <w:spacing w:after="0"/>
              <w:jc w:val="center"/>
              <w:rPr>
                <w:rFonts w:ascii="Calibri" w:hAnsi="Calibri" w:cs="Calibri"/>
                <w:b/>
                <w:noProof/>
                <w:color w:val="FFFFFF"/>
                <w:lang w:val="it-IT"/>
              </w:rPr>
            </w:pPr>
            <w:r w:rsidRPr="00BF0169">
              <w:rPr>
                <w:rFonts w:ascii="Calibri" w:hAnsi="Calibri"/>
                <w:b/>
                <w:noProof/>
                <w:color w:val="FFFFFF"/>
                <w:lang w:val="it-IT"/>
              </w:rPr>
              <w:t>FDR</w:t>
            </w:r>
            <w:r w:rsidRPr="00BF0169">
              <w:rPr>
                <w:rStyle w:val="FootnoteReference"/>
                <w:rFonts w:ascii="Calibri" w:hAnsi="Calibri" w:cs="Calibri"/>
                <w:noProof/>
                <w:color w:val="FFFFFF"/>
                <w:lang w:val="it-IT"/>
              </w:rPr>
              <w:footnoteReference w:id="80"/>
            </w:r>
          </w:p>
        </w:tc>
        <w:tc>
          <w:tcPr>
            <w:tcW w:w="1227" w:type="dxa"/>
            <w:gridSpan w:val="2"/>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43E47379" w14:textId="77777777" w:rsidR="006C7D78" w:rsidRPr="00BF0169" w:rsidRDefault="006C7D78" w:rsidP="00A27EF6">
            <w:pPr>
              <w:spacing w:after="0"/>
              <w:jc w:val="center"/>
              <w:rPr>
                <w:rFonts w:ascii="Calibri" w:hAnsi="Calibri" w:cs="Calibri"/>
                <w:b/>
                <w:noProof/>
                <w:color w:val="FFFFFF"/>
                <w:lang w:val="it-IT"/>
              </w:rPr>
            </w:pPr>
            <w:r w:rsidRPr="00BF0169">
              <w:rPr>
                <w:rFonts w:ascii="Calibri" w:hAnsi="Calibri"/>
                <w:b/>
                <w:noProof/>
                <w:color w:val="FFFFFF"/>
                <w:lang w:val="it-IT"/>
              </w:rPr>
              <w:t>IDR</w:t>
            </w:r>
            <w:r w:rsidRPr="00BF0169">
              <w:rPr>
                <w:rStyle w:val="FootnoteReference"/>
                <w:rFonts w:ascii="Calibri" w:hAnsi="Calibri" w:cs="Calibri"/>
                <w:noProof/>
                <w:color w:val="FFFFFF"/>
                <w:lang w:val="it-IT"/>
              </w:rPr>
              <w:footnoteReference w:id="81"/>
            </w:r>
          </w:p>
        </w:tc>
      </w:tr>
      <w:tr w:rsidR="006C7D78" w:rsidRPr="00BF0169" w14:paraId="14BE1568" w14:textId="77777777" w:rsidTr="00A27EF6">
        <w:trPr>
          <w:trHeight w:val="300"/>
        </w:trPr>
        <w:tc>
          <w:tcPr>
            <w:tcW w:w="1696"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1531088" w14:textId="77777777" w:rsidR="006C7D78" w:rsidRPr="00BF0169" w:rsidRDefault="006C7D78" w:rsidP="00A27EF6">
            <w:pPr>
              <w:spacing w:after="0"/>
              <w:jc w:val="center"/>
              <w:rPr>
                <w:rFonts w:ascii="Calibri" w:hAnsi="Calibri" w:cs="Calibri"/>
                <w:b/>
                <w:noProof/>
                <w:color w:val="FFFFFF"/>
                <w:lang w:val="it-IT"/>
              </w:rPr>
            </w:pPr>
          </w:p>
        </w:tc>
        <w:tc>
          <w:tcPr>
            <w:tcW w:w="1276" w:type="dxa"/>
            <w:tcBorders>
              <w:top w:val="single" w:sz="4" w:space="0" w:color="9BC2E6"/>
              <w:left w:val="single" w:sz="4" w:space="0" w:color="9BC2E6"/>
              <w:bottom w:val="single" w:sz="4" w:space="0" w:color="9BC2E6"/>
              <w:right w:val="nil"/>
            </w:tcBorders>
            <w:shd w:val="clear" w:color="DDEBF7" w:fill="DDEBF7"/>
            <w:noWrap/>
            <w:vAlign w:val="bottom"/>
            <w:hideMark/>
          </w:tcPr>
          <w:p w14:paraId="7AAE20E5" w14:textId="77777777" w:rsidR="006C7D78" w:rsidRPr="00BF0169" w:rsidRDefault="006C7D78" w:rsidP="00A27EF6">
            <w:pPr>
              <w:spacing w:after="0"/>
              <w:jc w:val="center"/>
              <w:rPr>
                <w:rFonts w:ascii="Calibri" w:hAnsi="Calibri" w:cs="Calibri"/>
                <w:noProof/>
                <w:sz w:val="16"/>
                <w:lang w:val="it-IT"/>
              </w:rPr>
            </w:pPr>
            <w:r w:rsidRPr="00BF0169">
              <w:rPr>
                <w:rFonts w:ascii="Calibri" w:hAnsi="Calibri"/>
                <w:noProof/>
                <w:sz w:val="16"/>
                <w:lang w:val="it-IT"/>
              </w:rPr>
              <w:t>N</w:t>
            </w:r>
          </w:p>
        </w:tc>
        <w:tc>
          <w:tcPr>
            <w:tcW w:w="757" w:type="dxa"/>
            <w:gridSpan w:val="2"/>
            <w:tcBorders>
              <w:top w:val="single" w:sz="4" w:space="0" w:color="9BC2E6"/>
              <w:left w:val="nil"/>
              <w:bottom w:val="single" w:sz="4" w:space="0" w:color="9BC2E6"/>
            </w:tcBorders>
            <w:shd w:val="clear" w:color="DDEBF7" w:fill="DDEBF7"/>
            <w:noWrap/>
            <w:vAlign w:val="bottom"/>
            <w:hideMark/>
          </w:tcPr>
          <w:p w14:paraId="0530FC30" w14:textId="77777777" w:rsidR="006C7D78" w:rsidRPr="00BF0169" w:rsidRDefault="006C7D78" w:rsidP="00A27EF6">
            <w:pPr>
              <w:spacing w:after="0"/>
              <w:jc w:val="center"/>
              <w:rPr>
                <w:rFonts w:ascii="Calibri" w:hAnsi="Calibri" w:cs="Calibri"/>
                <w:noProof/>
                <w:sz w:val="16"/>
                <w:lang w:val="it-IT"/>
              </w:rPr>
            </w:pPr>
            <w:r w:rsidRPr="00BF0169">
              <w:rPr>
                <w:rFonts w:ascii="Calibri" w:hAnsi="Calibri"/>
                <w:noProof/>
                <w:sz w:val="16"/>
                <w:lang w:val="it-IT"/>
              </w:rPr>
              <w:t>(milioni di) EUR</w:t>
            </w:r>
          </w:p>
        </w:tc>
        <w:tc>
          <w:tcPr>
            <w:tcW w:w="1086" w:type="dxa"/>
            <w:tcBorders>
              <w:top w:val="single" w:sz="4" w:space="0" w:color="9BC2E6"/>
              <w:left w:val="nil"/>
              <w:bottom w:val="single" w:sz="4" w:space="0" w:color="9BC2E6"/>
              <w:right w:val="nil"/>
            </w:tcBorders>
            <w:shd w:val="clear" w:color="DDEBF7" w:fill="DDEBF7"/>
            <w:noWrap/>
            <w:vAlign w:val="bottom"/>
            <w:hideMark/>
          </w:tcPr>
          <w:p w14:paraId="43476ED1" w14:textId="77777777" w:rsidR="006C7D78" w:rsidRPr="00BF0169" w:rsidRDefault="006C7D78" w:rsidP="00A27EF6">
            <w:pPr>
              <w:spacing w:after="0"/>
              <w:jc w:val="center"/>
              <w:rPr>
                <w:rFonts w:ascii="Calibri" w:hAnsi="Calibri" w:cs="Calibri"/>
                <w:noProof/>
                <w:sz w:val="16"/>
                <w:lang w:val="it-IT"/>
              </w:rPr>
            </w:pPr>
            <w:r w:rsidRPr="00BF0169">
              <w:rPr>
                <w:rFonts w:ascii="Calibri" w:hAnsi="Calibri"/>
                <w:noProof/>
                <w:sz w:val="16"/>
                <w:lang w:val="it-IT"/>
              </w:rPr>
              <w:t>N</w:t>
            </w:r>
          </w:p>
        </w:tc>
        <w:tc>
          <w:tcPr>
            <w:tcW w:w="1164" w:type="dxa"/>
            <w:gridSpan w:val="2"/>
            <w:tcBorders>
              <w:top w:val="single" w:sz="4" w:space="0" w:color="9BC2E6"/>
              <w:left w:val="nil"/>
              <w:bottom w:val="single" w:sz="4" w:space="0" w:color="9BC2E6"/>
              <w:right w:val="single" w:sz="4" w:space="0" w:color="9BC2E6"/>
            </w:tcBorders>
            <w:shd w:val="clear" w:color="DDEBF7" w:fill="DDEBF7"/>
            <w:noWrap/>
            <w:vAlign w:val="bottom"/>
            <w:hideMark/>
          </w:tcPr>
          <w:p w14:paraId="2673164D" w14:textId="77777777" w:rsidR="006C7D78" w:rsidRPr="00BF0169" w:rsidRDefault="006C7D78" w:rsidP="00A27EF6">
            <w:pPr>
              <w:spacing w:after="0"/>
              <w:jc w:val="center"/>
              <w:rPr>
                <w:rFonts w:ascii="Calibri" w:hAnsi="Calibri" w:cs="Calibri"/>
                <w:noProof/>
                <w:sz w:val="16"/>
                <w:lang w:val="it-IT"/>
              </w:rPr>
            </w:pPr>
            <w:r w:rsidRPr="00BF0169">
              <w:rPr>
                <w:rFonts w:ascii="Calibri" w:hAnsi="Calibri"/>
                <w:noProof/>
                <w:sz w:val="16"/>
                <w:lang w:val="it-IT"/>
              </w:rPr>
              <w:t>(milioni di) EUR</w:t>
            </w:r>
          </w:p>
        </w:tc>
        <w:tc>
          <w:tcPr>
            <w:tcW w:w="1100"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82B61AA" w14:textId="77777777" w:rsidR="006C7D78" w:rsidRPr="00BF0169" w:rsidRDefault="006C7D78" w:rsidP="00A27EF6">
            <w:pPr>
              <w:spacing w:after="0"/>
              <w:jc w:val="center"/>
              <w:rPr>
                <w:rFonts w:ascii="Calibri" w:hAnsi="Calibri" w:cs="Calibri"/>
                <w:noProof/>
                <w:sz w:val="16"/>
                <w:lang w:val="it-IT"/>
              </w:rPr>
            </w:pPr>
            <w:r w:rsidRPr="00BF0169">
              <w:rPr>
                <w:rFonts w:ascii="Calibri" w:hAnsi="Calibri"/>
                <w:noProof/>
                <w:sz w:val="16"/>
                <w:lang w:val="it-IT"/>
              </w:rPr>
              <w:t>%</w:t>
            </w:r>
          </w:p>
        </w:tc>
        <w:tc>
          <w:tcPr>
            <w:tcW w:w="122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34E7A7F" w14:textId="77777777" w:rsidR="006C7D78" w:rsidRPr="00BF0169" w:rsidRDefault="006C7D78" w:rsidP="00A27EF6">
            <w:pPr>
              <w:spacing w:after="0"/>
              <w:jc w:val="center"/>
              <w:rPr>
                <w:rFonts w:ascii="Calibri" w:hAnsi="Calibri" w:cs="Calibri"/>
                <w:noProof/>
                <w:sz w:val="16"/>
                <w:lang w:val="it-IT"/>
              </w:rPr>
            </w:pPr>
            <w:r w:rsidRPr="00BF0169">
              <w:rPr>
                <w:rFonts w:ascii="Calibri" w:hAnsi="Calibri"/>
                <w:noProof/>
                <w:sz w:val="16"/>
                <w:lang w:val="it-IT"/>
              </w:rPr>
              <w:t>%</w:t>
            </w:r>
          </w:p>
        </w:tc>
      </w:tr>
      <w:tr w:rsidR="006C7D78" w:rsidRPr="00BF0169" w14:paraId="7F62E42E" w14:textId="77777777" w:rsidTr="00374350">
        <w:trPr>
          <w:trHeight w:val="300"/>
        </w:trPr>
        <w:tc>
          <w:tcPr>
            <w:tcW w:w="1696"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B480441" w14:textId="290EAD14" w:rsidR="00374350" w:rsidRPr="00BF0169" w:rsidRDefault="00374350" w:rsidP="00A27EF6">
            <w:pPr>
              <w:spacing w:after="0"/>
              <w:jc w:val="left"/>
              <w:rPr>
                <w:rFonts w:ascii="Calibri" w:hAnsi="Calibri" w:cs="Calibri"/>
                <w:b/>
                <w:noProof/>
                <w:lang w:val="it-IT"/>
              </w:rPr>
            </w:pPr>
            <w:r w:rsidRPr="00BF0169">
              <w:rPr>
                <w:rFonts w:ascii="Calibri" w:hAnsi="Calibri"/>
                <w:b/>
                <w:noProof/>
                <w:lang w:val="it-IT"/>
              </w:rPr>
              <w:t xml:space="preserve">Risorse proprie tradizionali </w:t>
            </w:r>
          </w:p>
          <w:p w14:paraId="74D82AC5" w14:textId="78D12D9C" w:rsidR="006C7D78" w:rsidRPr="00BF0169" w:rsidRDefault="006C7D78" w:rsidP="00A27EF6">
            <w:pPr>
              <w:spacing w:after="0"/>
              <w:jc w:val="left"/>
              <w:rPr>
                <w:rFonts w:ascii="Calibri" w:hAnsi="Calibri" w:cs="Calibri"/>
                <w:b/>
                <w:noProof/>
                <w:lang w:val="it-IT"/>
              </w:rPr>
            </w:pPr>
            <w:r w:rsidRPr="00BF0169">
              <w:rPr>
                <w:rFonts w:ascii="Calibri" w:hAnsi="Calibri"/>
                <w:b/>
                <w:noProof/>
                <w:lang w:val="it-IT"/>
              </w:rPr>
              <w:t>UE-27</w:t>
            </w:r>
          </w:p>
        </w:tc>
        <w:tc>
          <w:tcPr>
            <w:tcW w:w="1276" w:type="dxa"/>
            <w:tcBorders>
              <w:top w:val="single" w:sz="4" w:space="0" w:color="9BC2E6"/>
              <w:left w:val="single" w:sz="4" w:space="0" w:color="9BC2E6"/>
              <w:bottom w:val="single" w:sz="4" w:space="0" w:color="9BC2E6"/>
              <w:right w:val="nil"/>
            </w:tcBorders>
            <w:shd w:val="clear" w:color="auto" w:fill="auto"/>
            <w:noWrap/>
            <w:vAlign w:val="bottom"/>
          </w:tcPr>
          <w:p w14:paraId="23EDBCC2" w14:textId="1982AD02" w:rsidR="006C7D78" w:rsidRPr="00BF0169" w:rsidRDefault="006C7D78" w:rsidP="00374350">
            <w:pPr>
              <w:spacing w:after="0"/>
              <w:jc w:val="left"/>
              <w:rPr>
                <w:rFonts w:ascii="Calibri" w:hAnsi="Calibri" w:cs="Calibri"/>
                <w:b/>
                <w:noProof/>
                <w:lang w:val="it-IT"/>
              </w:rPr>
            </w:pPr>
            <w:r w:rsidRPr="00BF0169">
              <w:rPr>
                <w:rFonts w:ascii="Calibri" w:hAnsi="Calibri"/>
                <w:b/>
                <w:noProof/>
                <w:lang w:val="it-IT"/>
              </w:rPr>
              <w:t>482</w:t>
            </w:r>
          </w:p>
        </w:tc>
        <w:tc>
          <w:tcPr>
            <w:tcW w:w="757" w:type="dxa"/>
            <w:gridSpan w:val="2"/>
            <w:tcBorders>
              <w:top w:val="single" w:sz="4" w:space="0" w:color="9BC2E6"/>
              <w:left w:val="nil"/>
              <w:bottom w:val="single" w:sz="4" w:space="0" w:color="9BC2E6"/>
            </w:tcBorders>
            <w:shd w:val="clear" w:color="auto" w:fill="auto"/>
            <w:noWrap/>
            <w:vAlign w:val="bottom"/>
          </w:tcPr>
          <w:p w14:paraId="726F153F" w14:textId="676E6546" w:rsidR="006C7D78" w:rsidRPr="00BF0169" w:rsidRDefault="006C7D78" w:rsidP="00374350">
            <w:pPr>
              <w:spacing w:after="0"/>
              <w:jc w:val="left"/>
              <w:rPr>
                <w:rFonts w:ascii="Calibri" w:hAnsi="Calibri" w:cs="Calibri"/>
                <w:b/>
                <w:noProof/>
                <w:lang w:val="it-IT"/>
              </w:rPr>
            </w:pPr>
            <w:r w:rsidRPr="00BF0169">
              <w:rPr>
                <w:rFonts w:ascii="Calibri" w:hAnsi="Calibri"/>
                <w:b/>
                <w:noProof/>
                <w:lang w:val="it-IT"/>
              </w:rPr>
              <w:t>157,1</w:t>
            </w:r>
          </w:p>
        </w:tc>
        <w:tc>
          <w:tcPr>
            <w:tcW w:w="1086" w:type="dxa"/>
            <w:tcBorders>
              <w:top w:val="single" w:sz="4" w:space="0" w:color="9BC2E6"/>
              <w:left w:val="nil"/>
              <w:bottom w:val="single" w:sz="4" w:space="0" w:color="9BC2E6"/>
              <w:right w:val="nil"/>
            </w:tcBorders>
            <w:shd w:val="clear" w:color="auto" w:fill="auto"/>
            <w:noWrap/>
            <w:vAlign w:val="bottom"/>
          </w:tcPr>
          <w:p w14:paraId="2A8F09A0" w14:textId="77777777" w:rsidR="006C7D78" w:rsidRPr="00BF0169" w:rsidRDefault="006C7D78" w:rsidP="00374350">
            <w:pPr>
              <w:spacing w:after="0"/>
              <w:jc w:val="left"/>
              <w:rPr>
                <w:rFonts w:ascii="Calibri" w:hAnsi="Calibri" w:cs="Calibri"/>
                <w:b/>
                <w:noProof/>
                <w:lang w:val="it-IT"/>
              </w:rPr>
            </w:pPr>
            <w:r w:rsidRPr="00BF0169">
              <w:rPr>
                <w:rFonts w:ascii="Calibri" w:hAnsi="Calibri"/>
                <w:b/>
                <w:noProof/>
                <w:lang w:val="it-IT"/>
              </w:rPr>
              <w:t>3 506</w:t>
            </w:r>
          </w:p>
        </w:tc>
        <w:tc>
          <w:tcPr>
            <w:tcW w:w="1164" w:type="dxa"/>
            <w:gridSpan w:val="2"/>
            <w:tcBorders>
              <w:top w:val="single" w:sz="4" w:space="0" w:color="9BC2E6"/>
              <w:left w:val="nil"/>
              <w:bottom w:val="single" w:sz="4" w:space="0" w:color="9BC2E6"/>
              <w:right w:val="single" w:sz="4" w:space="0" w:color="9BC2E6"/>
            </w:tcBorders>
            <w:shd w:val="clear" w:color="auto" w:fill="auto"/>
            <w:noWrap/>
            <w:vAlign w:val="bottom"/>
          </w:tcPr>
          <w:p w14:paraId="4C70FCCA" w14:textId="7BB1459D" w:rsidR="006C7D78" w:rsidRPr="00BF0169" w:rsidRDefault="006C7D78" w:rsidP="00902694">
            <w:pPr>
              <w:spacing w:after="0"/>
              <w:jc w:val="left"/>
              <w:rPr>
                <w:rFonts w:ascii="Calibri" w:hAnsi="Calibri" w:cs="Calibri"/>
                <w:b/>
                <w:noProof/>
                <w:lang w:val="it-IT"/>
              </w:rPr>
            </w:pPr>
            <w:r w:rsidRPr="00BF0169">
              <w:rPr>
                <w:rFonts w:ascii="Calibri" w:hAnsi="Calibri"/>
                <w:b/>
                <w:noProof/>
                <w:lang w:val="it-IT"/>
              </w:rPr>
              <w:t>366,8</w:t>
            </w:r>
          </w:p>
        </w:tc>
        <w:tc>
          <w:tcPr>
            <w:tcW w:w="1100" w:type="dxa"/>
            <w:gridSpan w:val="2"/>
            <w:tcBorders>
              <w:top w:val="single" w:sz="4" w:space="0" w:color="9BC2E6"/>
              <w:left w:val="single" w:sz="4" w:space="0" w:color="9BC2E6"/>
              <w:bottom w:val="single" w:sz="4" w:space="0" w:color="9BC2E6"/>
              <w:right w:val="single" w:sz="4" w:space="0" w:color="9BC2E6"/>
            </w:tcBorders>
            <w:shd w:val="clear" w:color="auto" w:fill="auto"/>
            <w:noWrap/>
            <w:vAlign w:val="bottom"/>
          </w:tcPr>
          <w:p w14:paraId="259EBE08" w14:textId="77777777" w:rsidR="006C7D78" w:rsidRPr="00BF0169" w:rsidRDefault="006C7D78" w:rsidP="00374350">
            <w:pPr>
              <w:spacing w:after="0"/>
              <w:jc w:val="left"/>
              <w:rPr>
                <w:rFonts w:ascii="Calibri" w:hAnsi="Calibri" w:cs="Calibri"/>
                <w:b/>
                <w:noProof/>
                <w:lang w:val="it-IT"/>
              </w:rPr>
            </w:pPr>
            <w:r w:rsidRPr="00BF0169">
              <w:rPr>
                <w:rFonts w:ascii="Calibri" w:hAnsi="Calibri"/>
                <w:b/>
                <w:noProof/>
                <w:lang w:val="it-IT"/>
              </w:rPr>
              <w:t>0,63 %</w:t>
            </w:r>
          </w:p>
        </w:tc>
        <w:tc>
          <w:tcPr>
            <w:tcW w:w="1220"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5ECFAEB" w14:textId="77777777" w:rsidR="006C7D78" w:rsidRPr="00BF0169" w:rsidRDefault="006C7D78" w:rsidP="00374350">
            <w:pPr>
              <w:spacing w:after="0"/>
              <w:jc w:val="left"/>
              <w:rPr>
                <w:rFonts w:ascii="Calibri" w:hAnsi="Calibri" w:cs="Calibri"/>
                <w:b/>
                <w:noProof/>
                <w:lang w:val="it-IT"/>
              </w:rPr>
            </w:pPr>
            <w:r w:rsidRPr="00BF0169">
              <w:rPr>
                <w:rFonts w:ascii="Calibri" w:hAnsi="Calibri"/>
                <w:b/>
                <w:noProof/>
                <w:lang w:val="it-IT"/>
              </w:rPr>
              <w:t>1,48 %</w:t>
            </w:r>
          </w:p>
        </w:tc>
      </w:tr>
    </w:tbl>
    <w:p w14:paraId="0FD8BE9C" w14:textId="2F4FB86A" w:rsidR="006C7D78" w:rsidRPr="00BF0169" w:rsidRDefault="00D1293E" w:rsidP="002D6EFC">
      <w:pPr>
        <w:spacing w:before="120"/>
        <w:rPr>
          <w:noProof/>
          <w:lang w:val="it-IT"/>
        </w:rPr>
      </w:pPr>
      <w:r w:rsidRPr="00BF0169">
        <w:rPr>
          <w:noProof/>
          <w:lang w:val="en-GB" w:eastAsia="en-GB"/>
        </w:rPr>
        <mc:AlternateContent>
          <mc:Choice Requires="wpg">
            <w:drawing>
              <wp:anchor distT="45720" distB="45720" distL="182880" distR="182880" simplePos="0" relativeHeight="251662336" behindDoc="0" locked="0" layoutInCell="1" allowOverlap="1" wp14:anchorId="51191188" wp14:editId="6D214CBC">
                <wp:simplePos x="0" y="0"/>
                <wp:positionH relativeFrom="margin">
                  <wp:posOffset>-7620</wp:posOffset>
                </wp:positionH>
                <wp:positionV relativeFrom="margin">
                  <wp:posOffset>2882900</wp:posOffset>
                </wp:positionV>
                <wp:extent cx="3149600" cy="2025650"/>
                <wp:effectExtent l="0" t="0" r="12700" b="12700"/>
                <wp:wrapSquare wrapText="bothSides"/>
                <wp:docPr id="198" name="Group 198"/>
                <wp:cNvGraphicFramePr/>
                <a:graphic xmlns:a="http://schemas.openxmlformats.org/drawingml/2006/main">
                  <a:graphicData uri="http://schemas.microsoft.com/office/word/2010/wordprocessingGroup">
                    <wpg:wgp>
                      <wpg:cNvGrpSpPr/>
                      <wpg:grpSpPr>
                        <a:xfrm>
                          <a:off x="0" y="0"/>
                          <a:ext cx="3149600" cy="2025650"/>
                          <a:chOff x="0" y="0"/>
                          <a:chExt cx="3567448" cy="1470369"/>
                        </a:xfrm>
                      </wpg:grpSpPr>
                      <wps:wsp>
                        <wps:cNvPr id="199" name="Rectangle 199"/>
                        <wps:cNvSpPr/>
                        <wps:spPr>
                          <a:xfrm>
                            <a:off x="0" y="0"/>
                            <a:ext cx="3567448" cy="36874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333EB" w14:textId="6220617E" w:rsidR="00FB4C5F" w:rsidRPr="00067593" w:rsidRDefault="00FB4C5F">
                              <w:pPr>
                                <w:jc w:val="center"/>
                                <w:rPr>
                                  <w:rFonts w:asciiTheme="majorHAnsi" w:eastAsiaTheme="majorEastAsia" w:hAnsiTheme="majorHAnsi" w:cstheme="majorBidi"/>
                                  <w:color w:val="FFFFFF" w:themeColor="background1"/>
                                  <w:sz w:val="24"/>
                                  <w:lang w:val="it-IT"/>
                                </w:rPr>
                              </w:pPr>
                              <w:r w:rsidRPr="00067593">
                                <w:rPr>
                                  <w:b/>
                                  <w:color w:val="FFFFFF" w:themeColor="background1"/>
                                  <w:lang w:val="it-IT"/>
                                </w:rPr>
                                <w:t>RPT: variazione dei dati del 2021 rispetto alla media quinquennale 2017-2021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368745"/>
                            <a:ext cx="3567448" cy="110162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362E3" w14:textId="340F48A4" w:rsidR="00FB4C5F" w:rsidRPr="00067593" w:rsidRDefault="00FB4C5F" w:rsidP="00865694">
                              <w:pPr>
                                <w:spacing w:after="0"/>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- 3 %</w:t>
                              </w:r>
                              <w:r w:rsidRPr="00067593">
                                <w:rPr>
                                  <w:color w:val="000000" w:themeColor="text1"/>
                                  <w:sz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numero di irregolarità fraudolente e non fraudolente</w:t>
                              </w:r>
                            </w:p>
                            <w:p w14:paraId="3D257BD3" w14:textId="1BDB4F9E" w:rsidR="00FB4C5F" w:rsidRPr="00067593" w:rsidRDefault="00FB4C5F" w:rsidP="00865694">
                              <w:pPr>
                                <w:spacing w:after="0"/>
                                <w:jc w:val="left"/>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+ 32 %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fraudolente</w:t>
                              </w:r>
                            </w:p>
                            <w:p w14:paraId="620C33ED" w14:textId="122B94E7" w:rsidR="00FB4C5F" w:rsidRPr="00067593" w:rsidRDefault="00FB4C5F" w:rsidP="00865694">
                              <w:pPr>
                                <w:spacing w:after="0"/>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non fraudolente</w:t>
                              </w:r>
                            </w:p>
                            <w:p w14:paraId="76CB75D1" w14:textId="64F1041E" w:rsidR="00FB4C5F" w:rsidRPr="00067593" w:rsidRDefault="00FB4C5F">
                              <w:pPr>
                                <w:rPr>
                                  <w:caps/>
                                  <w:color w:val="5B9BD5" w:themeColor="accent1"/>
                                  <w:sz w:val="26"/>
                                  <w:lang w:val="it-IT"/>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191188" id="Group 198" o:spid="_x0000_s1026" style="position:absolute;left:0;text-align:left;margin-left:-.6pt;margin-top:227pt;width:248pt;height:159.5pt;z-index:251662336;mso-wrap-distance-left:14.4pt;mso-wrap-distance-top:3.6pt;mso-wrap-distance-right:14.4pt;mso-wrap-distance-bottom:3.6pt;mso-position-horizontal-relative:margin;mso-position-vertical-relative:margin;mso-width-relative:margin;mso-height-relative:margin" coordsize="35674,14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">
                <v:rect id="Rectangle 199" o:spid="_x0000_s1027" style="position:absolute;width:35674;height:3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" fillcolor="#5b9bd5 [3204]" strokecolor="black [3213]" strokeweight="1pt">
                  <v:textbox>
                    <w:txbxContent>
                      <w:p w14:paraId="166333EB" w14:textId="6220617E" w:rsidR="00FB4C5F" w:rsidRPr="00067593" w:rsidRDefault="00FB4C5F">
                        <w:pPr>
                          <w:jc w:val="center"/>
                          <w:rPr>
                            <w:rFonts w:asciiTheme="majorHAnsi" w:eastAsiaTheme="majorEastAsia" w:hAnsiTheme="majorHAnsi" w:cstheme="majorBidi"/>
                            <w:color w:val="FFFFFF" w:themeColor="background1"/>
                            <w:sz w:val="24"/>
                            <w:lang w:val="it-IT"/>
                          </w:rPr>
                        </w:pPr>
                        <w:r w:rsidRPr="00067593">
                          <w:rPr>
                            <w:b/>
                            <w:color w:val="FFFFFF" w:themeColor="background1"/>
                            <w:lang w:val="it-IT"/>
                          </w:rPr>
                          <w:t>RPT: variazione dei dati del 2021 rispetto alla media quinquennale 2017-2021</w:t>
                        </w:r>
                      </w:p>
                    </w:txbxContent>
                  </v:textbox>
                </v:rect>
                <v:shapetype id="_x0000_t202" coordsize="21600,21600" o:spt="202" path="m,l,21600r21600,l21600,xe">
                  <v:stroke joinstyle="miter"/>
                  <v:path gradientshapeok="t" o:connecttype="rect"/>
                </v:shapetype>
                <v:shape id="Text Box 200" o:spid="_x0000_s1028" type="#_x0000_t202" style="position:absolute;top:3687;width:35674;height:1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" filled="f" strokecolor="black [3213]" strokeweight=".5pt">
                  <v:textbox inset=",7.2pt,,0">
                    <w:txbxContent>
                      <w:p w14:paraId="3DF362E3" w14:textId="340F48A4" w:rsidR="00FB4C5F" w:rsidRPr="00067593" w:rsidRDefault="00FB4C5F" w:rsidP="00865694">
                        <w:pPr>
                          <w:spacing w:after="0"/>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- 3 %</w:t>
                        </w:r>
                        <w:r w:rsidRPr="00067593">
                          <w:rPr>
                            <w:color w:val="000000" w:themeColor="text1"/>
                            <w:sz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numero di irregolarità fraudolente e non fraudolente</w:t>
                        </w:r>
                      </w:p>
                      <w:p w14:paraId="3D257BD3" w14:textId="1BDB4F9E" w:rsidR="00FB4C5F" w:rsidRPr="00067593" w:rsidRDefault="00FB4C5F" w:rsidP="00865694">
                        <w:pPr>
                          <w:spacing w:after="0"/>
                          <w:jc w:val="left"/>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+ 32 %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fraudolente</w:t>
                        </w:r>
                      </w:p>
                      <w:p w14:paraId="620C33ED" w14:textId="122B94E7" w:rsidR="00FB4C5F" w:rsidRPr="00067593" w:rsidRDefault="00FB4C5F" w:rsidP="00865694">
                        <w:pPr>
                          <w:spacing w:after="0"/>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non fraudolente</w:t>
                        </w:r>
                      </w:p>
                      <w:p w14:paraId="76CB75D1" w14:textId="64F1041E" w:rsidR="00FB4C5F" w:rsidRPr="00067593" w:rsidRDefault="00FB4C5F">
                        <w:pPr>
                          <w:rPr>
                            <w:caps/>
                            <w:color w:val="5B9BD5" w:themeColor="accent1"/>
                            <w:sz w:val="26"/>
                            <w:lang w:val="it-IT"/>
                          </w:rPr>
                        </w:pPr>
                      </w:p>
                    </w:txbxContent>
                  </v:textbox>
                </v:shape>
                <w10:wrap type="square" anchorx="margin" anchory="margin"/>
              </v:group>
            </w:pict>
          </mc:Fallback>
        </mc:AlternateContent>
      </w:r>
      <w:r w:rsidR="00B53222" w:rsidRPr="00BF0169">
        <w:rPr>
          <w:noProof/>
          <w:lang w:val="it-IT"/>
        </w:rPr>
        <w:t xml:space="preserve">Nel 2021 il numero di irregolarità fraudolente e non fraudolente relative alle RPT (cfr. </w:t>
      </w:r>
      <w:r w:rsidR="00B53222" w:rsidRPr="00BF0169">
        <w:rPr>
          <w:b/>
          <w:noProof/>
          <w:lang w:val="it-IT"/>
        </w:rPr>
        <w:t>tabella 3</w:t>
      </w:r>
      <w:r w:rsidR="00B53222" w:rsidRPr="00BF0169">
        <w:rPr>
          <w:noProof/>
          <w:lang w:val="it-IT"/>
        </w:rPr>
        <w:t>) è rimasto abbastanza stabile, con una diminuzione di appena il 3 % rispetto alla media quinquennale. Il numero di irregolarità fraudolente è aumentato dell</w:t>
      </w:r>
      <w:r w:rsidR="00BF0169" w:rsidRPr="00BF0169">
        <w:rPr>
          <w:noProof/>
          <w:lang w:val="it-IT"/>
        </w:rPr>
        <w:t>'</w:t>
      </w:r>
      <w:r w:rsidR="00B53222" w:rsidRPr="00BF0169">
        <w:rPr>
          <w:noProof/>
          <w:lang w:val="it-IT"/>
        </w:rPr>
        <w:t>1 % mentre quello delle irregolarità non fraudolente è diminuito del 4 %. Di tutti i casi fraudolenti e non fraudolenti rilevati nel 2021, il 12 % è stato classificato come fraudolento. Il relativo importo di RPT è aumentato ed è stato quello più elevato registrato negli ultimi cinque anni. Tanto per le irregolarità fraudolente quanto per quelle non fraudolente, l</w:t>
      </w:r>
      <w:r w:rsidR="00BF0169" w:rsidRPr="00BF0169">
        <w:rPr>
          <w:noProof/>
          <w:lang w:val="it-IT"/>
        </w:rPr>
        <w:t>'</w:t>
      </w:r>
      <w:r w:rsidR="00B53222" w:rsidRPr="00BF0169">
        <w:rPr>
          <w:noProof/>
          <w:lang w:val="it-IT"/>
        </w:rPr>
        <w:t>importo delle RPT rilevate è aumentato rispetto alla media quinquennale, rispettivamente del 32 % e del 13 %. Complessivamente, l</w:t>
      </w:r>
      <w:r w:rsidR="00BF0169" w:rsidRPr="00BF0169">
        <w:rPr>
          <w:noProof/>
          <w:lang w:val="it-IT"/>
        </w:rPr>
        <w:t>'</w:t>
      </w:r>
      <w:r w:rsidR="00B53222" w:rsidRPr="00BF0169">
        <w:rPr>
          <w:noProof/>
          <w:lang w:val="it-IT"/>
        </w:rPr>
        <w:t>importo RPT è aumentato del 18 % nel 2021 rispetto alla media registrata per il periodo 2017-2021</w:t>
      </w:r>
      <w:r w:rsidR="00B53222" w:rsidRPr="00BF0169">
        <w:rPr>
          <w:rStyle w:val="FootnoteReference"/>
          <w:noProof/>
          <w:lang w:val="it-IT"/>
        </w:rPr>
        <w:footnoteReference w:id="82"/>
      </w:r>
      <w:r w:rsidR="00B53222" w:rsidRPr="00BF0169">
        <w:rPr>
          <w:noProof/>
          <w:lang w:val="it-IT"/>
        </w:rPr>
        <w:t>.</w:t>
      </w:r>
    </w:p>
    <w:p w14:paraId="091530EE" w14:textId="6B62F925" w:rsidR="002D6EFC" w:rsidRPr="00BF0169" w:rsidRDefault="002D6EFC" w:rsidP="00CE6D22">
      <w:pPr>
        <w:rPr>
          <w:noProof/>
          <w:lang w:val="it-IT"/>
        </w:rPr>
      </w:pPr>
      <w:r w:rsidRPr="00BF0169">
        <w:rPr>
          <w:noProof/>
          <w:lang w:val="it-IT"/>
        </w:rPr>
        <w:t>La lotta nazionale contro la frode, associata a quella dei servizi doganali, ha svolto un ruolo chiave nell</w:t>
      </w:r>
      <w:r w:rsidR="00BF0169" w:rsidRPr="00BF0169">
        <w:rPr>
          <w:noProof/>
          <w:lang w:val="it-IT"/>
        </w:rPr>
        <w:t>'</w:t>
      </w:r>
      <w:r w:rsidRPr="00BF0169">
        <w:rPr>
          <w:noProof/>
          <w:lang w:val="it-IT"/>
        </w:rPr>
        <w:t>individuazione di casi fraudolenti nel 2021. Le ispezioni da parte dei servizi antifrode sono state il modo più efficace per rilevare casi fraudolenti e hanno ottenuto migliori risultati dei controlli a posteriori e dei controlli allo sdoganamento nell</w:t>
      </w:r>
      <w:r w:rsidR="00BF0169" w:rsidRPr="00BF0169">
        <w:rPr>
          <w:noProof/>
          <w:lang w:val="it-IT"/>
        </w:rPr>
        <w:t>'</w:t>
      </w:r>
      <w:r w:rsidRPr="00BF0169">
        <w:rPr>
          <w:noProof/>
          <w:lang w:val="it-IT"/>
        </w:rPr>
        <w:t>individuazione dell</w:t>
      </w:r>
      <w:r w:rsidR="00BF0169" w:rsidRPr="00BF0169">
        <w:rPr>
          <w:noProof/>
          <w:lang w:val="it-IT"/>
        </w:rPr>
        <w:t>'</w:t>
      </w:r>
      <w:r w:rsidRPr="00BF0169">
        <w:rPr>
          <w:noProof/>
          <w:lang w:val="it-IT"/>
        </w:rPr>
        <w:t>evasione fraudolenta dei dazi. Le irregolarità non fraudolente sono state individuate principalmente mediante controlli a posteriori.</w:t>
      </w:r>
    </w:p>
    <w:p w14:paraId="47FB2E43" w14:textId="77777777" w:rsidR="004108DD" w:rsidRPr="00BF0169" w:rsidRDefault="004108DD" w:rsidP="00CE6D22">
      <w:pPr>
        <w:rPr>
          <w:noProof/>
          <w:lang w:val="it-IT"/>
        </w:rPr>
      </w:pPr>
    </w:p>
    <w:p w14:paraId="0D02CE2A" w14:textId="00F4EE58" w:rsidR="002D6EFC" w:rsidRPr="00BF0169" w:rsidRDefault="002D6EFC"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76" w:name="_Toc105777777"/>
      <w:bookmarkStart w:id="77" w:name="_Toc110444020"/>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w:t>
      </w:r>
      <w:r w:rsidR="00FB4C5F" w:rsidRPr="00BF0169">
        <w:rPr>
          <w:noProof/>
          <w:lang w:val="it-IT"/>
        </w:rPr>
        <w:t>2</w:t>
      </w:r>
      <w:r w:rsidR="00742EC4" w:rsidRPr="00BF0169">
        <w:rPr>
          <w:noProof/>
          <w:lang w:val="it-IT"/>
        </w:rPr>
        <w:fldChar w:fldCharType="end"/>
      </w:r>
      <w:r w:rsidRPr="00BF0169">
        <w:rPr>
          <w:noProof/>
          <w:lang w:val="it-IT"/>
        </w:rPr>
        <w:t xml:space="preserve"> – RPT: irregolarità più frequenti e tipo di merci interessate</w:t>
      </w:r>
      <w:bookmarkEnd w:id="76"/>
      <w:bookmarkEnd w:id="77"/>
    </w:p>
    <w:p w14:paraId="3FABE179" w14:textId="12E0BB15" w:rsidR="002D6EFC" w:rsidRPr="00BF0169" w:rsidRDefault="002D6EFC" w:rsidP="00CE6D22">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Gran parte dei casi segnalati nel 2021 come irregolarità fraudolente o non fraudolente riguarda la </w:t>
      </w:r>
      <w:r w:rsidRPr="00BF0169">
        <w:rPr>
          <w:b/>
          <w:noProof/>
          <w:lang w:val="it-IT"/>
        </w:rPr>
        <w:t>sottovalutazione</w:t>
      </w:r>
      <w:r w:rsidRPr="00BF0169">
        <w:rPr>
          <w:noProof/>
          <w:lang w:val="it-IT"/>
        </w:rPr>
        <w:t>, l</w:t>
      </w:r>
      <w:r w:rsidR="00BF0169" w:rsidRPr="00BF0169">
        <w:rPr>
          <w:noProof/>
          <w:lang w:val="it-IT"/>
        </w:rPr>
        <w:t>'</w:t>
      </w:r>
      <w:r w:rsidRPr="00BF0169">
        <w:rPr>
          <w:b/>
          <w:noProof/>
          <w:lang w:val="it-IT"/>
        </w:rPr>
        <w:t>indicazione non corretta dell</w:t>
      </w:r>
      <w:r w:rsidR="00BF0169" w:rsidRPr="00BF0169">
        <w:rPr>
          <w:b/>
          <w:noProof/>
          <w:lang w:val="it-IT"/>
        </w:rPr>
        <w:t>'</w:t>
      </w:r>
      <w:r w:rsidRPr="00BF0169">
        <w:rPr>
          <w:b/>
          <w:noProof/>
          <w:lang w:val="it-IT"/>
        </w:rPr>
        <w:t>origine</w:t>
      </w:r>
      <w:r w:rsidRPr="00BF0169">
        <w:rPr>
          <w:noProof/>
          <w:lang w:val="it-IT"/>
        </w:rPr>
        <w:t xml:space="preserve"> o la </w:t>
      </w:r>
      <w:r w:rsidRPr="00BF0169">
        <w:rPr>
          <w:b/>
          <w:noProof/>
          <w:lang w:val="it-IT"/>
        </w:rPr>
        <w:t>classificazione/designazione errata delle merci</w:t>
      </w:r>
      <w:r w:rsidRPr="00BF0169">
        <w:rPr>
          <w:noProof/>
          <w:lang w:val="it-IT"/>
        </w:rPr>
        <w:t xml:space="preserve">. Il </w:t>
      </w:r>
      <w:r w:rsidRPr="00BF0169">
        <w:rPr>
          <w:b/>
          <w:noProof/>
          <w:lang w:val="it-IT"/>
        </w:rPr>
        <w:t>contrabbando</w:t>
      </w:r>
      <w:r w:rsidRPr="00BF0169">
        <w:rPr>
          <w:noProof/>
          <w:lang w:val="it-IT"/>
        </w:rPr>
        <w:t xml:space="preserve"> rimane uno dei tipi principali di frode. </w:t>
      </w:r>
      <w:r w:rsidRPr="00BF0169">
        <w:rPr>
          <w:b/>
          <w:noProof/>
          <w:lang w:val="it-IT"/>
        </w:rPr>
        <w:t>Prodotti tessili, macchine e apparecchiature elettriche</w:t>
      </w:r>
      <w:r w:rsidRPr="00BF0169">
        <w:rPr>
          <w:noProof/>
          <w:lang w:val="it-IT"/>
        </w:rPr>
        <w:t xml:space="preserve"> sono stati i tipi di merci maggiormente interessati da frodi e irregolarità per numero di casi e in termini monetari, seguiti da </w:t>
      </w:r>
      <w:r w:rsidRPr="00BF0169">
        <w:rPr>
          <w:b/>
          <w:noProof/>
          <w:lang w:val="it-IT"/>
        </w:rPr>
        <w:t>prodotti chimici vari, calzature e prodotti del tabacco</w:t>
      </w:r>
      <w:r w:rsidRPr="00BF0169">
        <w:rPr>
          <w:noProof/>
          <w:lang w:val="it-IT"/>
        </w:rPr>
        <w:t xml:space="preserve"> in termini di importi e da </w:t>
      </w:r>
      <w:r w:rsidRPr="00BF0169">
        <w:rPr>
          <w:b/>
          <w:noProof/>
          <w:lang w:val="it-IT"/>
        </w:rPr>
        <w:t>veicoli e materie plastiche</w:t>
      </w:r>
      <w:r w:rsidRPr="00BF0169">
        <w:rPr>
          <w:noProof/>
          <w:lang w:val="it-IT"/>
        </w:rPr>
        <w:t xml:space="preserve"> in termini di numero di casi. Nel 2021 la Cina è rimasta il principale paese di origine delle merci interessate da irregolarità segnalate come fraudolente o non fraudolente.</w:t>
      </w:r>
    </w:p>
    <w:p w14:paraId="3FF5ABFC" w14:textId="4FAD5553" w:rsidR="002D6EFC" w:rsidRPr="00BF0169" w:rsidRDefault="002D6EFC" w:rsidP="00CE6D22">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Per le merci connesse alla COVID-19, nel 2021 è stato osservato un incremento significativo degli importi segnalati come irregolari, in particolare per merci quali </w:t>
      </w:r>
      <w:r w:rsidRPr="00BF0169">
        <w:rPr>
          <w:b/>
          <w:noProof/>
          <w:lang w:val="it-IT"/>
        </w:rPr>
        <w:t>disinfettanti e prodotti per la sterilizzazione, indumenti protettivi e materiali di consumo medici</w:t>
      </w:r>
      <w:r w:rsidRPr="00BF0169">
        <w:rPr>
          <w:noProof/>
          <w:lang w:val="it-IT"/>
        </w:rPr>
        <w:t>. Dall</w:t>
      </w:r>
      <w:r w:rsidR="00BF0169" w:rsidRPr="00BF0169">
        <w:rPr>
          <w:noProof/>
          <w:lang w:val="it-IT"/>
        </w:rPr>
        <w:t>'</w:t>
      </w:r>
      <w:r w:rsidRPr="00BF0169">
        <w:rPr>
          <w:noProof/>
          <w:lang w:val="it-IT"/>
        </w:rPr>
        <w:t>analisi emerge tuttavia che nel 2021 l</w:t>
      </w:r>
      <w:r w:rsidR="00BF0169" w:rsidRPr="00BF0169">
        <w:rPr>
          <w:noProof/>
          <w:lang w:val="it-IT"/>
        </w:rPr>
        <w:t>'</w:t>
      </w:r>
      <w:r w:rsidRPr="00BF0169">
        <w:rPr>
          <w:noProof/>
          <w:lang w:val="it-IT"/>
        </w:rPr>
        <w:t>impatto delle irregolarità concernenti le merci connesse alla COVID-19 è rimasto relativamente esiguo (il 54 % del numero totale di irregolarità segnalate e il 6 % dei relativi importi).</w:t>
      </w:r>
    </w:p>
    <w:p w14:paraId="4ED3B1E5" w14:textId="2FF4C5DD" w:rsidR="002D6EFC" w:rsidRPr="00BF0169" w:rsidRDefault="002D6EFC" w:rsidP="002D6EFC">
      <w:pPr>
        <w:rPr>
          <w:noProof/>
          <w:lang w:val="it-IT"/>
        </w:rPr>
      </w:pPr>
      <w:r w:rsidRPr="00BF0169">
        <w:rPr>
          <w:noProof/>
          <w:lang w:val="it-IT"/>
        </w:rPr>
        <w:t>Nel 2021 la Commissione ha continuato a svolgere, sul posto o da remoto, le proprie visite di monitoraggio e di controllo per garantire la corretta applicazione della normativa dell</w:t>
      </w:r>
      <w:r w:rsidR="00BF0169" w:rsidRPr="00BF0169">
        <w:rPr>
          <w:noProof/>
          <w:lang w:val="it-IT"/>
        </w:rPr>
        <w:t>'</w:t>
      </w:r>
      <w:r w:rsidRPr="00BF0169">
        <w:rPr>
          <w:noProof/>
          <w:lang w:val="it-IT"/>
        </w:rPr>
        <w:t>UE in materia di dogane e risorse proprie tradizionali (RPT). Ove la cooperazione e i progressi compiuti nell</w:t>
      </w:r>
      <w:r w:rsidR="00BF0169" w:rsidRPr="00BF0169">
        <w:rPr>
          <w:noProof/>
          <w:lang w:val="it-IT"/>
        </w:rPr>
        <w:t>'</w:t>
      </w:r>
      <w:r w:rsidRPr="00BF0169">
        <w:rPr>
          <w:noProof/>
          <w:lang w:val="it-IT"/>
        </w:rPr>
        <w:t xml:space="preserve">affrontare i problemi ancora da risolvere siano considerati insufficienti, sono in fase di applicazione misure correttive. </w:t>
      </w:r>
    </w:p>
    <w:p w14:paraId="27D661CE" w14:textId="285D4BFE" w:rsidR="00747F11" w:rsidRPr="00BF0169" w:rsidRDefault="00747F11" w:rsidP="00747F11">
      <w:pPr>
        <w:rPr>
          <w:noProof/>
          <w:lang w:val="it-IT"/>
        </w:rPr>
      </w:pPr>
      <w:r w:rsidRPr="00BF0169">
        <w:rPr>
          <w:noProof/>
          <w:lang w:val="it-IT"/>
        </w:rPr>
        <w:t>Come indicato nella relazione PIF 2020, tali misure correttive sono già state applicate dalla Commissione nei confronti del Regno Unito in relazione a prodotti tessili e calzature sottovalutati, provenienti dalla Cina</w:t>
      </w:r>
      <w:r w:rsidRPr="00BF0169">
        <w:rPr>
          <w:rStyle w:val="FootnoteReference"/>
          <w:noProof/>
          <w:lang w:val="it-IT"/>
        </w:rPr>
        <w:footnoteReference w:id="83"/>
      </w:r>
      <w:r w:rsidRPr="00BF0169">
        <w:rPr>
          <w:noProof/>
          <w:lang w:val="it-IT"/>
        </w:rPr>
        <w:t>. L</w:t>
      </w:r>
      <w:r w:rsidR="00BF0169" w:rsidRPr="00BF0169">
        <w:rPr>
          <w:noProof/>
          <w:lang w:val="it-IT"/>
        </w:rPr>
        <w:t>'</w:t>
      </w:r>
      <w:r w:rsidRPr="00BF0169">
        <w:rPr>
          <w:noProof/>
          <w:lang w:val="it-IT"/>
        </w:rPr>
        <w:t>8 marzo 2022 la Corte di giustizia dell</w:t>
      </w:r>
      <w:r w:rsidR="00BF0169" w:rsidRPr="00BF0169">
        <w:rPr>
          <w:noProof/>
          <w:lang w:val="it-IT"/>
        </w:rPr>
        <w:t>'</w:t>
      </w:r>
      <w:r w:rsidRPr="00BF0169">
        <w:rPr>
          <w:noProof/>
          <w:lang w:val="it-IT"/>
        </w:rPr>
        <w:t>Unione europea ha emesso la sentenza nella causa C-213/19</w:t>
      </w:r>
      <w:r w:rsidRPr="00BF0169">
        <w:rPr>
          <w:rStyle w:val="FootnoteReference"/>
          <w:noProof/>
          <w:lang w:val="it-IT"/>
        </w:rPr>
        <w:footnoteReference w:id="84"/>
      </w:r>
      <w:r w:rsidRPr="00BF0169">
        <w:rPr>
          <w:noProof/>
          <w:lang w:val="it-IT"/>
        </w:rPr>
        <w:t xml:space="preserve"> contro il Regno Unito. La Commissione sta analizzando le implicazioni di tale sentenza della Corte tanto per il Regno Unito (ad esempio ricalcolo delle perdite in termini di RPT) quanto per gli altri Stati membri.</w:t>
      </w:r>
    </w:p>
    <w:p w14:paraId="2A5C85BE" w14:textId="35F64FC1" w:rsidR="00B850E7" w:rsidRPr="00BF0169" w:rsidRDefault="00B850E7"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b w:val="0"/>
          <w:noProof/>
          <w:lang w:val="it-IT"/>
        </w:rPr>
      </w:pPr>
      <w:bookmarkStart w:id="78" w:name="_Toc110444021"/>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w:t>
      </w:r>
      <w:r w:rsidR="00FB4C5F" w:rsidRPr="00BF0169">
        <w:rPr>
          <w:noProof/>
          <w:lang w:val="it-IT"/>
        </w:rPr>
        <w:t>3</w:t>
      </w:r>
      <w:r w:rsidR="00742EC4" w:rsidRPr="00BF0169">
        <w:rPr>
          <w:noProof/>
          <w:lang w:val="it-IT"/>
        </w:rPr>
        <w:fldChar w:fldCharType="end"/>
      </w:r>
      <w:r w:rsidRPr="00BF0169">
        <w:rPr>
          <w:noProof/>
          <w:lang w:val="it-IT"/>
        </w:rPr>
        <w:t xml:space="preserve"> – Elusione e assorbimento di misure di difesa commerciale</w:t>
      </w:r>
      <w:bookmarkEnd w:id="78"/>
    </w:p>
    <w:p w14:paraId="3A83A4EA" w14:textId="13F14E42" w:rsidR="00B850E7" w:rsidRPr="00BF0169" w:rsidRDefault="00B850E7" w:rsidP="008B4804">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Il monitoraggio delle misure di difesa commerciale esistenti è rimasto una priorità nel 2021. È stata prestata particolare attenzione alle misure di difesa commerciale laddove è stato rilevato un aumento del rischio di elusione dei dazi, attraverso pratiche di elusione</w:t>
      </w:r>
      <w:r w:rsidRPr="00BF0169">
        <w:rPr>
          <w:rStyle w:val="FootnoteReference"/>
          <w:noProof/>
          <w:lang w:val="it-IT"/>
        </w:rPr>
        <w:footnoteReference w:id="85"/>
      </w:r>
      <w:r w:rsidRPr="00BF0169">
        <w:rPr>
          <w:noProof/>
          <w:lang w:val="it-IT"/>
        </w:rPr>
        <w:t>, riduzione del prezzo all</w:t>
      </w:r>
      <w:r w:rsidR="00BF0169" w:rsidRPr="00BF0169">
        <w:rPr>
          <w:noProof/>
          <w:lang w:val="it-IT"/>
        </w:rPr>
        <w:t>'</w:t>
      </w:r>
      <w:r w:rsidRPr="00BF0169">
        <w:rPr>
          <w:noProof/>
          <w:lang w:val="it-IT"/>
        </w:rPr>
        <w:t>esportazione o assorbimento</w:t>
      </w:r>
      <w:r w:rsidRPr="00BF0169">
        <w:rPr>
          <w:rStyle w:val="FootnoteReference"/>
          <w:noProof/>
          <w:lang w:val="it-IT"/>
        </w:rPr>
        <w:footnoteReference w:id="86"/>
      </w:r>
      <w:r w:rsidRPr="00BF0169">
        <w:rPr>
          <w:noProof/>
          <w:lang w:val="it-IT"/>
        </w:rPr>
        <w:t xml:space="preserve"> del prezzo di rivendita, dopo l</w:t>
      </w:r>
      <w:r w:rsidR="00BF0169" w:rsidRPr="00BF0169">
        <w:rPr>
          <w:noProof/>
          <w:lang w:val="it-IT"/>
        </w:rPr>
        <w:t>'</w:t>
      </w:r>
      <w:r w:rsidRPr="00BF0169">
        <w:rPr>
          <w:noProof/>
          <w:lang w:val="it-IT"/>
        </w:rPr>
        <w:t xml:space="preserve">istituzione di misure antidumping o compensative. </w:t>
      </w:r>
    </w:p>
    <w:p w14:paraId="675A6525" w14:textId="77C5C8D7" w:rsidR="00B850E7" w:rsidRPr="00BF0169" w:rsidRDefault="00B850E7" w:rsidP="008B4804">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Nel 2021 la Commissione ha avviato quattro inchieste relative a una possibile elusione in relazione alle importazioni di </w:t>
      </w:r>
      <w:r w:rsidRPr="00BF0169">
        <w:rPr>
          <w:b/>
          <w:noProof/>
          <w:lang w:val="it-IT"/>
        </w:rPr>
        <w:t>prodotti in fibra di vetro</w:t>
      </w:r>
      <w:r w:rsidRPr="00BF0169">
        <w:rPr>
          <w:rStyle w:val="FootnoteReference"/>
          <w:noProof/>
          <w:lang w:val="it-IT"/>
        </w:rPr>
        <w:footnoteReference w:id="87"/>
      </w:r>
      <w:r w:rsidRPr="00BF0169">
        <w:rPr>
          <w:noProof/>
          <w:lang w:val="it-IT"/>
        </w:rPr>
        <w:t xml:space="preserve"> dalla Turchia e dal Marocco dopo l</w:t>
      </w:r>
      <w:r w:rsidR="00BF0169" w:rsidRPr="00BF0169">
        <w:rPr>
          <w:noProof/>
          <w:lang w:val="it-IT"/>
        </w:rPr>
        <w:t>'</w:t>
      </w:r>
      <w:r w:rsidRPr="00BF0169">
        <w:rPr>
          <w:noProof/>
          <w:lang w:val="it-IT"/>
        </w:rPr>
        <w:t>istituzione, nel 2020, di dazi antidumping e compensativi su tali prodotti originari della Cina e dell</w:t>
      </w:r>
      <w:r w:rsidR="00BF0169" w:rsidRPr="00BF0169">
        <w:rPr>
          <w:noProof/>
          <w:lang w:val="it-IT"/>
        </w:rPr>
        <w:t>'</w:t>
      </w:r>
      <w:r w:rsidRPr="00BF0169">
        <w:rPr>
          <w:noProof/>
          <w:lang w:val="it-IT"/>
        </w:rPr>
        <w:t>Egitto. Un</w:t>
      </w:r>
      <w:r w:rsidR="00BF0169" w:rsidRPr="00BF0169">
        <w:rPr>
          <w:noProof/>
          <w:lang w:val="it-IT"/>
        </w:rPr>
        <w:t>'</w:t>
      </w:r>
      <w:r w:rsidRPr="00BF0169">
        <w:rPr>
          <w:noProof/>
          <w:lang w:val="it-IT"/>
        </w:rPr>
        <w:t>inchiesta antiassorbimento è stata avviata in merito allo stesso prodotto, originario dell</w:t>
      </w:r>
      <w:r w:rsidR="00BF0169" w:rsidRPr="00BF0169">
        <w:rPr>
          <w:noProof/>
          <w:lang w:val="it-IT"/>
        </w:rPr>
        <w:t>'</w:t>
      </w:r>
      <w:r w:rsidRPr="00BF0169">
        <w:rPr>
          <w:noProof/>
          <w:lang w:val="it-IT"/>
        </w:rPr>
        <w:t xml:space="preserve">Egitto. Il numero totale di inchieste di questo tipo avviate negli ultimi tre anni è salito quindi rispettivamente a undici e due. Inoltre, nel 2021 la Commissione ha stabilito che i dazi antidumping in vigore su due tipi diversi di </w:t>
      </w:r>
      <w:r w:rsidRPr="00BF0169">
        <w:rPr>
          <w:b/>
          <w:noProof/>
          <w:lang w:val="it-IT"/>
        </w:rPr>
        <w:t>fogli o nastri sottili di alluminio per uso domestico</w:t>
      </w:r>
      <w:r w:rsidRPr="00BF0169">
        <w:rPr>
          <w:noProof/>
          <w:lang w:val="it-IT"/>
        </w:rPr>
        <w:t xml:space="preserve"> provenienti dalla Cina venivano aggirati attraverso la Thailandia, dove il prodotto era soggetto soltanto a operazioni di assemblaggio di modesta entità. </w:t>
      </w:r>
    </w:p>
    <w:p w14:paraId="11E728DE" w14:textId="7771CC53" w:rsidR="00B850E7" w:rsidRPr="00BF0169" w:rsidRDefault="00B850E7" w:rsidP="008B4804">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Alcuni dei casi oggetto di inchiesta, che riguardavano il trasbordo dopo che il prodotto in esame era stato inviato dalla Cina per essere sottoposto ad operazioni di assemblaggio di minore entità in Turchia e Marocco, sono emblematici delle sfide poste dalla politica cinese </w:t>
      </w:r>
      <w:r w:rsidR="00BF0169" w:rsidRPr="00BF0169">
        <w:rPr>
          <w:noProof/>
          <w:lang w:val="it-IT"/>
        </w:rPr>
        <w:t>"</w:t>
      </w:r>
      <w:r w:rsidRPr="00BF0169">
        <w:rPr>
          <w:noProof/>
          <w:lang w:val="it-IT"/>
        </w:rPr>
        <w:t>One Belt, One Road</w:t>
      </w:r>
      <w:r w:rsidR="00BF0169" w:rsidRPr="00BF0169">
        <w:rPr>
          <w:noProof/>
          <w:lang w:val="it-IT"/>
        </w:rPr>
        <w:t>"</w:t>
      </w:r>
      <w:r w:rsidRPr="00BF0169">
        <w:rPr>
          <w:noProof/>
          <w:lang w:val="it-IT"/>
        </w:rPr>
        <w:t xml:space="preserve"> e dalla determinazione della Commissione di intraprendere un</w:t>
      </w:r>
      <w:r w:rsidR="00BF0169" w:rsidRPr="00BF0169">
        <w:rPr>
          <w:noProof/>
          <w:lang w:val="it-IT"/>
        </w:rPr>
        <w:t>'</w:t>
      </w:r>
      <w:r w:rsidRPr="00BF0169">
        <w:rPr>
          <w:noProof/>
          <w:lang w:val="it-IT"/>
        </w:rPr>
        <w:t>azione decisa contro le pratiche commerciali sleali che ne derivano.</w:t>
      </w:r>
    </w:p>
    <w:p w14:paraId="5BA6C84A" w14:textId="77777777" w:rsidR="00FB5CF5" w:rsidRPr="00BF0169" w:rsidRDefault="00FB5CF5" w:rsidP="00FB5CF5">
      <w:pPr>
        <w:pStyle w:val="Heading2"/>
        <w:rPr>
          <w:noProof/>
          <w:lang w:val="it-IT"/>
        </w:rPr>
      </w:pPr>
      <w:bookmarkStart w:id="79" w:name="_Toc116319659"/>
      <w:r w:rsidRPr="00BF0169">
        <w:rPr>
          <w:noProof/>
          <w:lang w:val="it-IT"/>
        </w:rPr>
        <w:t>Spese</w:t>
      </w:r>
      <w:bookmarkEnd w:id="79"/>
    </w:p>
    <w:p w14:paraId="285E9D5F" w14:textId="367238E6" w:rsidR="008167CF" w:rsidRPr="00BF0169" w:rsidRDefault="008167CF" w:rsidP="008167CF">
      <w:pPr>
        <w:rPr>
          <w:noProof/>
          <w:lang w:val="it-IT"/>
        </w:rPr>
      </w:pPr>
      <w:r w:rsidRPr="00BF0169">
        <w:rPr>
          <w:noProof/>
          <w:lang w:val="it-IT"/>
        </w:rPr>
        <w:t>Sebbene siano state introdotti flessibilità e strumenti per affrontare la crisi provocata dalla pandemia di COVID-19, il bilancio dell</w:t>
      </w:r>
      <w:r w:rsidR="00BF0169" w:rsidRPr="00BF0169">
        <w:rPr>
          <w:noProof/>
          <w:lang w:val="it-IT"/>
        </w:rPr>
        <w:t>'</w:t>
      </w:r>
      <w:r w:rsidRPr="00BF0169">
        <w:rPr>
          <w:noProof/>
          <w:lang w:val="it-IT"/>
        </w:rPr>
        <w:t>UE ha dovuto affrontare comunque sfide e rischi nuovi</w:t>
      </w:r>
      <w:r w:rsidRPr="00BF0169">
        <w:rPr>
          <w:rStyle w:val="FootnoteReference"/>
          <w:noProof/>
          <w:lang w:val="it-IT"/>
        </w:rPr>
        <w:footnoteReference w:id="88"/>
      </w:r>
      <w:r w:rsidRPr="00BF0169">
        <w:rPr>
          <w:noProof/>
          <w:lang w:val="it-IT"/>
        </w:rPr>
        <w:t>. Nel complesso la Commissione è riuscita a mantenere un livello elevato di garanzia e copertura in materia di audit. Ciò è avvenuto anche negli Stati membri, che svolgono la maggior parte degli audit e tutti i controlli in regime di gestione concorrente.</w:t>
      </w:r>
    </w:p>
    <w:p w14:paraId="50C7FADC" w14:textId="0E5DA4D4" w:rsidR="008167CF" w:rsidRPr="00BF0169" w:rsidRDefault="00997D73" w:rsidP="008167CF">
      <w:pPr>
        <w:rPr>
          <w:noProof/>
          <w:lang w:val="it-IT"/>
        </w:rPr>
      </w:pPr>
      <w:r w:rsidRPr="00BF0169">
        <w:rPr>
          <w:noProof/>
          <w:lang w:val="it-IT"/>
        </w:rPr>
        <w:t>Ciò ha garantito che la flessibilità fornita non portasse a un allentamento dei controlli. Le norme modificate introdotte nelle procedure di controllo degli Stati membri erano limitate nel tempo e nella portata, il che ha aiutato i beneficiari e gli Stati membri in circostanze difficili</w:t>
      </w:r>
      <w:r w:rsidRPr="00BF0169">
        <w:rPr>
          <w:rStyle w:val="FootnoteReference"/>
          <w:noProof/>
          <w:lang w:val="it-IT"/>
        </w:rPr>
        <w:footnoteReference w:id="89"/>
      </w:r>
      <w:r w:rsidRPr="00BF0169">
        <w:rPr>
          <w:noProof/>
          <w:lang w:val="it-IT"/>
        </w:rPr>
        <w:t xml:space="preserve">. </w:t>
      </w:r>
    </w:p>
    <w:p w14:paraId="22EFB05A" w14:textId="594D5C69" w:rsidR="008167CF" w:rsidRPr="00BF0169" w:rsidRDefault="00CD7B44" w:rsidP="008167CF">
      <w:pPr>
        <w:rPr>
          <w:noProof/>
          <w:lang w:val="it-IT"/>
        </w:rPr>
      </w:pPr>
      <w:r w:rsidRPr="00BF0169">
        <w:rPr>
          <w:noProof/>
          <w:lang w:val="it-IT"/>
        </w:rPr>
        <w:t>Sono state inoltre messe in atto, o erano già in atto, solide misure di mitigazione destinate ad attenuare i rischi legati all</w:t>
      </w:r>
      <w:r w:rsidR="00BF0169" w:rsidRPr="00BF0169">
        <w:rPr>
          <w:noProof/>
          <w:lang w:val="it-IT"/>
        </w:rPr>
        <w:t>'</w:t>
      </w:r>
      <w:r w:rsidRPr="00BF0169">
        <w:rPr>
          <w:noProof/>
          <w:lang w:val="it-IT"/>
        </w:rPr>
        <w:t>impossibilità di effettuare audit e controlli in loco. Tra queste figurano la sostituzione degli audit in loco con riesami documentali e audit a distanza e la possibilità di sostituire le ispezioni in loco con soluzioni informatiche (foto georeferenziate, immagini satellitari, videoriunioni, ecc.)</w:t>
      </w:r>
      <w:r w:rsidRPr="00BF0169">
        <w:rPr>
          <w:rStyle w:val="FootnoteReference"/>
          <w:noProof/>
          <w:lang w:val="it-IT"/>
        </w:rPr>
        <w:footnoteReference w:id="90"/>
      </w:r>
      <w:r w:rsidRPr="00BF0169">
        <w:rPr>
          <w:noProof/>
          <w:lang w:val="it-IT"/>
        </w:rPr>
        <w:t>.</w:t>
      </w:r>
    </w:p>
    <w:p w14:paraId="33B9CCEB" w14:textId="11EE8BA0" w:rsidR="00490854" w:rsidRPr="00BF0169" w:rsidRDefault="00DC7AB1" w:rsidP="00D1293E">
      <w:pPr>
        <w:rPr>
          <w:noProof/>
          <w:lang w:val="it-IT"/>
        </w:rPr>
      </w:pPr>
      <w:r w:rsidRPr="00BF0169">
        <w:rPr>
          <w:noProof/>
          <w:lang w:val="it-IT"/>
        </w:rPr>
        <w:t>In tale contesto, e in linea con la tendenza prevista, negli ultimi cinque anni il numero di irregolarità (fraudolente e non fraudolente) segnalate, concernenti la spesa dell</w:t>
      </w:r>
      <w:r w:rsidR="00BF0169" w:rsidRPr="00BF0169">
        <w:rPr>
          <w:noProof/>
          <w:lang w:val="it-IT"/>
        </w:rPr>
        <w:t>'</w:t>
      </w:r>
      <w:r w:rsidRPr="00BF0169">
        <w:rPr>
          <w:noProof/>
          <w:lang w:val="it-IT"/>
        </w:rPr>
        <w:t>UE per il periodo di programmazione 2007-2013, è diminuito, mentre le irregolarità</w:t>
      </w:r>
      <w:r w:rsidR="00D1293E" w:rsidRPr="00BF0169">
        <w:rPr>
          <w:noProof/>
          <w:lang w:val="it-IT"/>
        </w:rPr>
        <w:t xml:space="preserve"> connesse al quadro finanziario </w:t>
      </w:r>
      <w:r w:rsidRPr="00BF0169">
        <w:rPr>
          <w:noProof/>
          <w:lang w:val="it-IT"/>
        </w:rPr>
        <w:t>2014-2020</w:t>
      </w:r>
      <w:r w:rsidRPr="00BF0169">
        <w:rPr>
          <w:rStyle w:val="FootnoteReference"/>
          <w:noProof/>
          <w:lang w:val="it-IT"/>
        </w:rPr>
        <w:footnoteReference w:id="91"/>
      </w:r>
      <w:r w:rsidRPr="00BF0169">
        <w:rPr>
          <w:noProof/>
          <w:lang w:val="it-IT"/>
        </w:rPr>
        <w:t xml:space="preserve"> sono aumentate, in maniera coerente con i cicli di attuazione, e quindi rappresentano ora la grande maggioranza delle irregolarità segnalate (circa il 90 %). Le irregolarità segnalate concernenti la spesa annuale (aiuti diretti agli agricoltori e misure di sostegno del mercato) sono rimaste stabili.</w:t>
      </w:r>
      <w:r w:rsidR="00490854" w:rsidRPr="00BF0169">
        <w:rPr>
          <w:noProof/>
          <w:lang w:val="it-IT"/>
        </w:rPr>
        <w:br w:type="page"/>
      </w:r>
    </w:p>
    <w:p w14:paraId="0B95959D" w14:textId="54511BBD" w:rsidR="00773F49" w:rsidRPr="00BF0169" w:rsidRDefault="00773F49" w:rsidP="00DC7AB1">
      <w:pPr>
        <w:pStyle w:val="Caption"/>
        <w:keepNext/>
        <w:rPr>
          <w:noProof/>
          <w:lang w:val="it-IT"/>
        </w:rPr>
      </w:pPr>
      <w:bookmarkStart w:id="80" w:name="_Toc106662328"/>
      <w:r w:rsidRPr="00BF0169">
        <w:rPr>
          <w:noProof/>
          <w:lang w:val="it-IT"/>
        </w:rPr>
        <w:t xml:space="preserve">Tabella </w:t>
      </w:r>
      <w:r w:rsidR="00742EC4" w:rsidRPr="00BF0169">
        <w:rPr>
          <w:noProof/>
          <w:lang w:val="it-IT"/>
        </w:rPr>
        <w:fldChar w:fldCharType="begin"/>
      </w:r>
      <w:r w:rsidR="00742EC4" w:rsidRPr="00BF0169">
        <w:rPr>
          <w:noProof/>
          <w:lang w:val="it-IT"/>
        </w:rPr>
        <w:instrText xml:space="preserve"> SEQ Table \* ARABIC </w:instrText>
      </w:r>
      <w:r w:rsidR="00742EC4" w:rsidRPr="00BF0169">
        <w:rPr>
          <w:noProof/>
          <w:lang w:val="it-IT"/>
        </w:rPr>
        <w:fldChar w:fldCharType="separate"/>
      </w:r>
      <w:r w:rsidRPr="00BF0169">
        <w:rPr>
          <w:noProof/>
          <w:lang w:val="it-IT"/>
        </w:rPr>
        <w:t>4</w:t>
      </w:r>
      <w:r w:rsidR="00742EC4" w:rsidRPr="00BF0169">
        <w:rPr>
          <w:noProof/>
          <w:lang w:val="it-IT"/>
        </w:rPr>
        <w:fldChar w:fldCharType="end"/>
      </w:r>
      <w:r w:rsidRPr="00BF0169">
        <w:rPr>
          <w:noProof/>
          <w:lang w:val="it-IT"/>
        </w:rPr>
        <w:t xml:space="preserve"> - Spesa: irregolarità individuate e segnalate dal settore di bilancio nel 2021</w:t>
      </w:r>
      <w:bookmarkEnd w:id="80"/>
    </w:p>
    <w:tbl>
      <w:tblPr>
        <w:tblW w:w="8642" w:type="dxa"/>
        <w:tblInd w:w="113" w:type="dxa"/>
        <w:tblLook w:val="04A0" w:firstRow="1" w:lastRow="0" w:firstColumn="1" w:lastColumn="0" w:noHBand="0" w:noVBand="1"/>
      </w:tblPr>
      <w:tblGrid>
        <w:gridCol w:w="2160"/>
        <w:gridCol w:w="1096"/>
        <w:gridCol w:w="1154"/>
        <w:gridCol w:w="1114"/>
        <w:gridCol w:w="1169"/>
        <w:gridCol w:w="957"/>
        <w:gridCol w:w="992"/>
      </w:tblGrid>
      <w:tr w:rsidR="00773F49" w:rsidRPr="00BF0169" w14:paraId="21AF1819" w14:textId="77777777" w:rsidTr="002923C2">
        <w:trPr>
          <w:trHeight w:val="585"/>
          <w:tblHeader/>
        </w:trPr>
        <w:tc>
          <w:tcPr>
            <w:tcW w:w="2160" w:type="dxa"/>
            <w:tcBorders>
              <w:top w:val="single" w:sz="4" w:space="0" w:color="9BC2E6"/>
              <w:left w:val="single" w:sz="4" w:space="0" w:color="9BC2E6"/>
              <w:bottom w:val="single" w:sz="4" w:space="0" w:color="9BC2E6"/>
              <w:right w:val="single" w:sz="4" w:space="0" w:color="9BC2E6"/>
            </w:tcBorders>
            <w:shd w:val="clear" w:color="5B9BD5" w:fill="5B9BD5"/>
            <w:noWrap/>
            <w:vAlign w:val="center"/>
            <w:hideMark/>
          </w:tcPr>
          <w:p w14:paraId="0499687A" w14:textId="77777777" w:rsidR="00773F49" w:rsidRPr="00BF0169" w:rsidRDefault="00773F49" w:rsidP="00A27EF6">
            <w:pPr>
              <w:spacing w:after="0"/>
              <w:jc w:val="center"/>
              <w:rPr>
                <w:rFonts w:ascii="Calibri" w:hAnsi="Calibri" w:cs="Calibri"/>
                <w:b/>
                <w:noProof/>
                <w:color w:val="FFFFFF"/>
                <w:lang w:val="it-IT"/>
              </w:rPr>
            </w:pPr>
            <w:r w:rsidRPr="00BF0169">
              <w:rPr>
                <w:rFonts w:ascii="Calibri" w:hAnsi="Calibri"/>
                <w:b/>
                <w:noProof/>
                <w:color w:val="FFFFFF"/>
                <w:lang w:val="it-IT"/>
              </w:rPr>
              <w:t>Settore di bilancio</w:t>
            </w:r>
          </w:p>
        </w:tc>
        <w:tc>
          <w:tcPr>
            <w:tcW w:w="2250" w:type="dxa"/>
            <w:gridSpan w:val="2"/>
            <w:tcBorders>
              <w:top w:val="single" w:sz="4" w:space="0" w:color="9BC2E6"/>
              <w:left w:val="single" w:sz="4" w:space="0" w:color="9BC2E6"/>
              <w:bottom w:val="single" w:sz="4" w:space="0" w:color="9BC2E6"/>
            </w:tcBorders>
            <w:shd w:val="clear" w:color="5B9BD5" w:fill="5B9BD5"/>
            <w:vAlign w:val="center"/>
            <w:hideMark/>
          </w:tcPr>
          <w:p w14:paraId="0C49CBE4" w14:textId="77777777" w:rsidR="00773F49" w:rsidRPr="00BF0169" w:rsidRDefault="00773F49" w:rsidP="00A27EF6">
            <w:pPr>
              <w:spacing w:after="0"/>
              <w:jc w:val="center"/>
              <w:rPr>
                <w:rFonts w:ascii="Calibri" w:hAnsi="Calibri" w:cs="Calibri"/>
                <w:b/>
                <w:noProof/>
                <w:color w:val="FFFFFF"/>
                <w:lang w:val="it-IT"/>
              </w:rPr>
            </w:pPr>
            <w:r w:rsidRPr="00BF0169">
              <w:rPr>
                <w:rFonts w:ascii="Calibri" w:hAnsi="Calibri"/>
                <w:b/>
                <w:noProof/>
                <w:color w:val="FFFFFF"/>
                <w:lang w:val="it-IT"/>
              </w:rPr>
              <w:t>Irregolarità fraudolente</w:t>
            </w:r>
          </w:p>
        </w:tc>
        <w:tc>
          <w:tcPr>
            <w:tcW w:w="2283" w:type="dxa"/>
            <w:gridSpan w:val="2"/>
            <w:tcBorders>
              <w:top w:val="single" w:sz="4" w:space="0" w:color="9BC2E6"/>
              <w:left w:val="nil"/>
              <w:bottom w:val="single" w:sz="4" w:space="0" w:color="9BC2E6"/>
              <w:right w:val="single" w:sz="4" w:space="0" w:color="9BC2E6"/>
            </w:tcBorders>
            <w:shd w:val="clear" w:color="5B9BD5" w:fill="5B9BD5"/>
            <w:vAlign w:val="center"/>
            <w:hideMark/>
          </w:tcPr>
          <w:p w14:paraId="061FACD1" w14:textId="77777777" w:rsidR="00773F49" w:rsidRPr="00BF0169" w:rsidRDefault="00773F49" w:rsidP="00A27EF6">
            <w:pPr>
              <w:spacing w:after="0"/>
              <w:jc w:val="center"/>
              <w:rPr>
                <w:rFonts w:ascii="Calibri" w:hAnsi="Calibri" w:cs="Calibri"/>
                <w:b/>
                <w:noProof/>
                <w:color w:val="FFFFFF"/>
                <w:lang w:val="it-IT"/>
              </w:rPr>
            </w:pPr>
            <w:r w:rsidRPr="00BF0169">
              <w:rPr>
                <w:rFonts w:ascii="Calibri" w:hAnsi="Calibri"/>
                <w:b/>
                <w:noProof/>
                <w:color w:val="FFFFFF"/>
                <w:lang w:val="it-IT"/>
              </w:rPr>
              <w:t>Irregolarità non fraudolente</w:t>
            </w:r>
          </w:p>
        </w:tc>
        <w:tc>
          <w:tcPr>
            <w:tcW w:w="957"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0835903E" w14:textId="77777777" w:rsidR="00773F49" w:rsidRPr="00BF0169" w:rsidRDefault="00773F49" w:rsidP="00A27EF6">
            <w:pPr>
              <w:spacing w:after="0"/>
              <w:jc w:val="center"/>
              <w:rPr>
                <w:rFonts w:ascii="Calibri" w:hAnsi="Calibri" w:cs="Calibri"/>
                <w:b/>
                <w:noProof/>
                <w:color w:val="FFFFFF"/>
                <w:lang w:val="it-IT"/>
              </w:rPr>
            </w:pPr>
            <w:r w:rsidRPr="00BF0169">
              <w:rPr>
                <w:rFonts w:ascii="Calibri" w:hAnsi="Calibri"/>
                <w:b/>
                <w:noProof/>
                <w:color w:val="FFFFFF"/>
                <w:lang w:val="it-IT"/>
              </w:rPr>
              <w:t>FDR</w:t>
            </w:r>
            <w:r w:rsidRPr="00BF0169">
              <w:rPr>
                <w:rStyle w:val="FootnoteReference"/>
                <w:rFonts w:ascii="Calibri" w:hAnsi="Calibri" w:cs="Calibri"/>
                <w:noProof/>
                <w:color w:val="FFFFFF"/>
                <w:lang w:val="it-IT"/>
              </w:rPr>
              <w:footnoteReference w:id="92"/>
            </w:r>
          </w:p>
        </w:tc>
        <w:tc>
          <w:tcPr>
            <w:tcW w:w="992"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09EB447D" w14:textId="77777777" w:rsidR="00773F49" w:rsidRPr="00BF0169" w:rsidRDefault="00773F49" w:rsidP="00A27EF6">
            <w:pPr>
              <w:spacing w:after="0"/>
              <w:jc w:val="center"/>
              <w:rPr>
                <w:rFonts w:ascii="Calibri" w:hAnsi="Calibri" w:cs="Calibri"/>
                <w:b/>
                <w:noProof/>
                <w:color w:val="FFFFFF"/>
                <w:lang w:val="it-IT"/>
              </w:rPr>
            </w:pPr>
            <w:r w:rsidRPr="00BF0169">
              <w:rPr>
                <w:rFonts w:ascii="Calibri" w:hAnsi="Calibri"/>
                <w:b/>
                <w:noProof/>
                <w:color w:val="FFFFFF"/>
                <w:lang w:val="it-IT"/>
              </w:rPr>
              <w:t>IDR</w:t>
            </w:r>
            <w:r w:rsidRPr="00BF0169">
              <w:rPr>
                <w:rStyle w:val="FootnoteReference"/>
                <w:rFonts w:ascii="Calibri" w:hAnsi="Calibri" w:cs="Calibri"/>
                <w:noProof/>
                <w:color w:val="FFFFFF"/>
                <w:lang w:val="it-IT"/>
              </w:rPr>
              <w:footnoteReference w:id="93"/>
            </w:r>
          </w:p>
        </w:tc>
      </w:tr>
      <w:tr w:rsidR="00773F49" w:rsidRPr="00BF0169" w14:paraId="28D5CE15" w14:textId="77777777" w:rsidTr="00A27EF6">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53C42C2" w14:textId="77777777" w:rsidR="00773F49" w:rsidRPr="00BF0169" w:rsidRDefault="00773F49" w:rsidP="00A27EF6">
            <w:pPr>
              <w:spacing w:after="0"/>
              <w:jc w:val="center"/>
              <w:rPr>
                <w:rFonts w:ascii="Calibri" w:hAnsi="Calibri" w:cs="Calibri"/>
                <w:b/>
                <w:noProof/>
                <w:color w:val="FFFFFF"/>
                <w:lang w:val="it-IT"/>
              </w:rPr>
            </w:pPr>
          </w:p>
        </w:tc>
        <w:tc>
          <w:tcPr>
            <w:tcW w:w="1096" w:type="dxa"/>
            <w:tcBorders>
              <w:top w:val="single" w:sz="4" w:space="0" w:color="9BC2E6"/>
              <w:left w:val="single" w:sz="4" w:space="0" w:color="9BC2E6"/>
              <w:bottom w:val="single" w:sz="4" w:space="0" w:color="9BC2E6"/>
              <w:right w:val="nil"/>
            </w:tcBorders>
            <w:shd w:val="clear" w:color="DDEBF7" w:fill="DDEBF7"/>
            <w:noWrap/>
            <w:vAlign w:val="bottom"/>
            <w:hideMark/>
          </w:tcPr>
          <w:p w14:paraId="03D9F7DA" w14:textId="77777777" w:rsidR="00773F49" w:rsidRPr="00BF0169" w:rsidRDefault="00773F49" w:rsidP="00A27EF6">
            <w:pPr>
              <w:spacing w:after="0"/>
              <w:jc w:val="center"/>
              <w:rPr>
                <w:rFonts w:ascii="Calibri" w:hAnsi="Calibri" w:cs="Calibri"/>
                <w:noProof/>
                <w:sz w:val="16"/>
                <w:lang w:val="it-IT"/>
              </w:rPr>
            </w:pPr>
            <w:r w:rsidRPr="00BF0169">
              <w:rPr>
                <w:rFonts w:ascii="Calibri" w:hAnsi="Calibri"/>
                <w:noProof/>
                <w:sz w:val="16"/>
                <w:lang w:val="it-IT"/>
              </w:rPr>
              <w:t>N</w:t>
            </w:r>
          </w:p>
        </w:tc>
        <w:tc>
          <w:tcPr>
            <w:tcW w:w="1154" w:type="dxa"/>
            <w:tcBorders>
              <w:top w:val="single" w:sz="4" w:space="0" w:color="9BC2E6"/>
              <w:left w:val="nil"/>
              <w:bottom w:val="single" w:sz="4" w:space="0" w:color="9BC2E6"/>
            </w:tcBorders>
            <w:shd w:val="clear" w:color="DDEBF7" w:fill="DDEBF7"/>
            <w:noWrap/>
            <w:vAlign w:val="bottom"/>
            <w:hideMark/>
          </w:tcPr>
          <w:p w14:paraId="5C0624D5" w14:textId="77777777" w:rsidR="00773F49" w:rsidRPr="00BF0169" w:rsidRDefault="00773F49" w:rsidP="00A27EF6">
            <w:pPr>
              <w:spacing w:after="0"/>
              <w:jc w:val="center"/>
              <w:rPr>
                <w:rFonts w:ascii="Calibri" w:hAnsi="Calibri" w:cs="Calibri"/>
                <w:noProof/>
                <w:sz w:val="16"/>
                <w:lang w:val="it-IT"/>
              </w:rPr>
            </w:pPr>
            <w:r w:rsidRPr="00BF0169">
              <w:rPr>
                <w:rFonts w:ascii="Calibri" w:hAnsi="Calibri"/>
                <w:noProof/>
                <w:sz w:val="16"/>
                <w:lang w:val="it-IT"/>
              </w:rPr>
              <w:t>(milioni di) EUR</w:t>
            </w:r>
          </w:p>
        </w:tc>
        <w:tc>
          <w:tcPr>
            <w:tcW w:w="1114" w:type="dxa"/>
            <w:tcBorders>
              <w:top w:val="single" w:sz="4" w:space="0" w:color="9BC2E6"/>
              <w:left w:val="nil"/>
              <w:bottom w:val="single" w:sz="4" w:space="0" w:color="9BC2E6"/>
              <w:right w:val="nil"/>
            </w:tcBorders>
            <w:shd w:val="clear" w:color="DDEBF7" w:fill="DDEBF7"/>
            <w:noWrap/>
            <w:vAlign w:val="bottom"/>
            <w:hideMark/>
          </w:tcPr>
          <w:p w14:paraId="72BFF9E2" w14:textId="77777777" w:rsidR="00773F49" w:rsidRPr="00BF0169" w:rsidRDefault="00773F49" w:rsidP="00A27EF6">
            <w:pPr>
              <w:spacing w:after="0"/>
              <w:jc w:val="center"/>
              <w:rPr>
                <w:rFonts w:ascii="Calibri" w:hAnsi="Calibri" w:cs="Calibri"/>
                <w:noProof/>
                <w:sz w:val="16"/>
                <w:lang w:val="it-IT"/>
              </w:rPr>
            </w:pPr>
            <w:r w:rsidRPr="00BF0169">
              <w:rPr>
                <w:rFonts w:ascii="Calibri" w:hAnsi="Calibri"/>
                <w:noProof/>
                <w:sz w:val="16"/>
                <w:lang w:val="it-IT"/>
              </w:rPr>
              <w:t>N</w:t>
            </w:r>
          </w:p>
        </w:tc>
        <w:tc>
          <w:tcPr>
            <w:tcW w:w="1169" w:type="dxa"/>
            <w:tcBorders>
              <w:top w:val="single" w:sz="4" w:space="0" w:color="9BC2E6"/>
              <w:left w:val="nil"/>
              <w:bottom w:val="single" w:sz="4" w:space="0" w:color="9BC2E6"/>
              <w:right w:val="single" w:sz="4" w:space="0" w:color="9BC2E6"/>
            </w:tcBorders>
            <w:shd w:val="clear" w:color="DDEBF7" w:fill="DDEBF7"/>
            <w:noWrap/>
            <w:vAlign w:val="bottom"/>
            <w:hideMark/>
          </w:tcPr>
          <w:p w14:paraId="49E252A1" w14:textId="77777777" w:rsidR="00773F49" w:rsidRPr="00BF0169" w:rsidRDefault="00773F49" w:rsidP="00A27EF6">
            <w:pPr>
              <w:spacing w:after="0"/>
              <w:jc w:val="center"/>
              <w:rPr>
                <w:rFonts w:ascii="Calibri" w:hAnsi="Calibri" w:cs="Calibri"/>
                <w:noProof/>
                <w:sz w:val="16"/>
                <w:lang w:val="it-IT"/>
              </w:rPr>
            </w:pPr>
            <w:r w:rsidRPr="00BF0169">
              <w:rPr>
                <w:rFonts w:ascii="Calibri" w:hAnsi="Calibri"/>
                <w:noProof/>
                <w:sz w:val="16"/>
                <w:lang w:val="it-IT"/>
              </w:rPr>
              <w:t>(milioni di) EUR</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0A88CA53" w14:textId="77777777" w:rsidR="00773F49" w:rsidRPr="00BF0169" w:rsidRDefault="00773F49" w:rsidP="00A27EF6">
            <w:pPr>
              <w:spacing w:after="0"/>
              <w:jc w:val="center"/>
              <w:rPr>
                <w:rFonts w:ascii="Calibri" w:hAnsi="Calibri" w:cs="Calibri"/>
                <w:noProof/>
                <w:sz w:val="16"/>
                <w:lang w:val="it-IT"/>
              </w:rPr>
            </w:pPr>
            <w:r w:rsidRPr="00BF0169">
              <w:rPr>
                <w:rFonts w:ascii="Calibri" w:hAnsi="Calibri"/>
                <w:noProof/>
                <w:sz w:val="16"/>
                <w:lang w:val="it-IT"/>
              </w:rPr>
              <w:t>%</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CC691D8" w14:textId="77777777" w:rsidR="00773F49" w:rsidRPr="00BF0169" w:rsidRDefault="00773F49" w:rsidP="00A27EF6">
            <w:pPr>
              <w:spacing w:after="0"/>
              <w:jc w:val="center"/>
              <w:rPr>
                <w:rFonts w:ascii="Calibri" w:hAnsi="Calibri" w:cs="Calibri"/>
                <w:noProof/>
                <w:sz w:val="16"/>
                <w:lang w:val="it-IT"/>
              </w:rPr>
            </w:pPr>
            <w:r w:rsidRPr="00BF0169">
              <w:rPr>
                <w:rFonts w:ascii="Calibri" w:hAnsi="Calibri"/>
                <w:noProof/>
                <w:sz w:val="16"/>
                <w:lang w:val="it-IT"/>
              </w:rPr>
              <w:t>%</w:t>
            </w:r>
          </w:p>
        </w:tc>
      </w:tr>
      <w:tr w:rsidR="00773F49" w:rsidRPr="00BF0169" w14:paraId="624FAE0F"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2D4FC177" w14:textId="77777777" w:rsidR="00773F49" w:rsidRPr="00BF0169" w:rsidRDefault="00773F49" w:rsidP="00A27EF6">
            <w:pPr>
              <w:spacing w:after="0"/>
              <w:jc w:val="left"/>
              <w:rPr>
                <w:rFonts w:ascii="Calibri" w:hAnsi="Calibri" w:cs="Calibri"/>
                <w:b/>
                <w:noProof/>
                <w:lang w:val="it-IT"/>
              </w:rPr>
            </w:pPr>
            <w:r w:rsidRPr="00BF0169">
              <w:rPr>
                <w:rFonts w:ascii="Calibri" w:hAnsi="Calibri"/>
                <w:b/>
                <w:noProof/>
                <w:lang w:val="it-IT"/>
              </w:rPr>
              <w:t>Agricoltura</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67BDB0CB" w14:textId="77777777" w:rsidR="00773F49" w:rsidRPr="00BF0169" w:rsidRDefault="00F2117F" w:rsidP="00A27EF6">
            <w:pPr>
              <w:spacing w:after="0"/>
              <w:jc w:val="right"/>
              <w:rPr>
                <w:rFonts w:ascii="Calibri" w:hAnsi="Calibri" w:cs="Calibri"/>
                <w:b/>
                <w:noProof/>
                <w:lang w:val="it-IT"/>
              </w:rPr>
            </w:pPr>
            <w:r w:rsidRPr="00BF0169">
              <w:rPr>
                <w:rFonts w:ascii="Calibri" w:hAnsi="Calibri"/>
                <w:b/>
                <w:noProof/>
                <w:lang w:val="it-IT"/>
              </w:rPr>
              <w:t>250</w:t>
            </w:r>
          </w:p>
        </w:tc>
        <w:tc>
          <w:tcPr>
            <w:tcW w:w="1154" w:type="dxa"/>
            <w:tcBorders>
              <w:top w:val="single" w:sz="4" w:space="0" w:color="9BC2E6"/>
              <w:left w:val="nil"/>
              <w:bottom w:val="single" w:sz="4" w:space="0" w:color="9BC2E6"/>
            </w:tcBorders>
            <w:shd w:val="clear" w:color="auto" w:fill="auto"/>
            <w:noWrap/>
            <w:vAlign w:val="bottom"/>
          </w:tcPr>
          <w:p w14:paraId="73344F48" w14:textId="77777777" w:rsidR="00773F49" w:rsidRPr="00BF0169" w:rsidRDefault="00F2117F" w:rsidP="00A27EF6">
            <w:pPr>
              <w:spacing w:after="0"/>
              <w:jc w:val="right"/>
              <w:rPr>
                <w:rFonts w:ascii="Calibri" w:hAnsi="Calibri" w:cs="Calibri"/>
                <w:b/>
                <w:noProof/>
                <w:lang w:val="it-IT"/>
              </w:rPr>
            </w:pPr>
            <w:r w:rsidRPr="00BF0169">
              <w:rPr>
                <w:rFonts w:ascii="Calibri" w:hAnsi="Calibri"/>
                <w:b/>
                <w:noProof/>
                <w:lang w:val="it-IT"/>
              </w:rPr>
              <w:t>30,0</w:t>
            </w:r>
          </w:p>
        </w:tc>
        <w:tc>
          <w:tcPr>
            <w:tcW w:w="1114" w:type="dxa"/>
            <w:tcBorders>
              <w:top w:val="single" w:sz="4" w:space="0" w:color="9BC2E6"/>
              <w:left w:val="nil"/>
              <w:bottom w:val="single" w:sz="4" w:space="0" w:color="9BC2E6"/>
              <w:right w:val="nil"/>
            </w:tcBorders>
            <w:shd w:val="clear" w:color="auto" w:fill="auto"/>
            <w:noWrap/>
            <w:vAlign w:val="bottom"/>
          </w:tcPr>
          <w:p w14:paraId="38D280CE" w14:textId="77777777" w:rsidR="00773F49" w:rsidRPr="00BF0169" w:rsidRDefault="00F2117F" w:rsidP="00A27EF6">
            <w:pPr>
              <w:spacing w:after="0"/>
              <w:jc w:val="right"/>
              <w:rPr>
                <w:rFonts w:ascii="Calibri" w:hAnsi="Calibri" w:cs="Calibri"/>
                <w:b/>
                <w:noProof/>
                <w:lang w:val="it-IT"/>
              </w:rPr>
            </w:pPr>
            <w:r w:rsidRPr="00BF0169">
              <w:rPr>
                <w:rFonts w:ascii="Calibri" w:hAnsi="Calibri"/>
                <w:b/>
                <w:noProof/>
                <w:lang w:val="it-IT"/>
              </w:rPr>
              <w:t>3 455</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7EA43E37" w14:textId="77777777" w:rsidR="00773F49" w:rsidRPr="00BF0169" w:rsidRDefault="00F2117F" w:rsidP="00A27EF6">
            <w:pPr>
              <w:spacing w:after="0"/>
              <w:jc w:val="right"/>
              <w:rPr>
                <w:rFonts w:ascii="Calibri" w:hAnsi="Calibri" w:cs="Calibri"/>
                <w:b/>
                <w:noProof/>
                <w:lang w:val="it-IT"/>
              </w:rPr>
            </w:pPr>
            <w:r w:rsidRPr="00BF0169">
              <w:rPr>
                <w:rFonts w:ascii="Calibri" w:hAnsi="Calibri"/>
                <w:b/>
                <w:noProof/>
                <w:lang w:val="it-IT"/>
              </w:rPr>
              <w:t>204,0</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7DF3CCF2" w14:textId="77777777" w:rsidR="00773F49" w:rsidRPr="00BF0169" w:rsidRDefault="00992A65" w:rsidP="00A27EF6">
            <w:pPr>
              <w:spacing w:after="0"/>
              <w:jc w:val="right"/>
              <w:rPr>
                <w:rFonts w:ascii="Calibri" w:hAnsi="Calibri" w:cs="Calibri"/>
                <w:b/>
                <w:noProof/>
                <w:lang w:val="it-IT"/>
              </w:rPr>
            </w:pPr>
            <w:r w:rsidRPr="00BF0169">
              <w:rPr>
                <w:rFonts w:ascii="Calibri" w:hAnsi="Calibri"/>
                <w:b/>
                <w:noProof/>
                <w:lang w:val="it-IT"/>
              </w:rPr>
              <w:t>0,06 %</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0D0A619E" w14:textId="77777777" w:rsidR="00773F49" w:rsidRPr="00BF0169" w:rsidRDefault="00992A65" w:rsidP="00A27EF6">
            <w:pPr>
              <w:spacing w:after="0"/>
              <w:jc w:val="right"/>
              <w:rPr>
                <w:rFonts w:ascii="Calibri" w:hAnsi="Calibri" w:cs="Calibri"/>
                <w:b/>
                <w:noProof/>
                <w:lang w:val="it-IT"/>
              </w:rPr>
            </w:pPr>
            <w:r w:rsidRPr="00BF0169">
              <w:rPr>
                <w:rFonts w:ascii="Calibri" w:hAnsi="Calibri"/>
                <w:b/>
                <w:noProof/>
                <w:lang w:val="it-IT"/>
              </w:rPr>
              <w:t>0,38 %</w:t>
            </w:r>
          </w:p>
        </w:tc>
      </w:tr>
      <w:tr w:rsidR="00773F49" w:rsidRPr="00BF0169" w14:paraId="0093F2A2"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5D5501D" w14:textId="77777777" w:rsidR="00773F49" w:rsidRPr="00BF0169" w:rsidRDefault="00773F49" w:rsidP="00A27EF6">
            <w:pPr>
              <w:spacing w:after="0"/>
              <w:jc w:val="right"/>
              <w:rPr>
                <w:rFonts w:ascii="Calibri" w:hAnsi="Calibri" w:cs="Calibri"/>
                <w:i/>
                <w:noProof/>
                <w:sz w:val="18"/>
                <w:lang w:val="it-IT"/>
              </w:rPr>
            </w:pPr>
            <w:r w:rsidRPr="00BF0169">
              <w:rPr>
                <w:rFonts w:ascii="Calibri" w:hAnsi="Calibri"/>
                <w:i/>
                <w:noProof/>
                <w:sz w:val="18"/>
                <w:lang w:val="it-IT"/>
              </w:rPr>
              <w:t>Sviluppo rurale</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036F3A23"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144</w:t>
            </w:r>
          </w:p>
        </w:tc>
        <w:tc>
          <w:tcPr>
            <w:tcW w:w="1154" w:type="dxa"/>
            <w:tcBorders>
              <w:top w:val="single" w:sz="4" w:space="0" w:color="9BC2E6"/>
              <w:left w:val="nil"/>
              <w:bottom w:val="single" w:sz="4" w:space="0" w:color="9BC2E6"/>
            </w:tcBorders>
            <w:shd w:val="clear" w:color="DDEBF7" w:fill="DDEBF7"/>
            <w:noWrap/>
            <w:vAlign w:val="bottom"/>
          </w:tcPr>
          <w:p w14:paraId="5D15FCC5"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16,5</w:t>
            </w:r>
          </w:p>
        </w:tc>
        <w:tc>
          <w:tcPr>
            <w:tcW w:w="1114" w:type="dxa"/>
            <w:tcBorders>
              <w:top w:val="single" w:sz="4" w:space="0" w:color="9BC2E6"/>
              <w:left w:val="nil"/>
              <w:bottom w:val="single" w:sz="4" w:space="0" w:color="9BC2E6"/>
              <w:right w:val="nil"/>
            </w:tcBorders>
            <w:shd w:val="clear" w:color="DDEBF7" w:fill="DDEBF7"/>
            <w:noWrap/>
            <w:vAlign w:val="bottom"/>
          </w:tcPr>
          <w:p w14:paraId="2F8F0A47"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2 400</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1D8A112C"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94,7</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54C1947B" w14:textId="77777777" w:rsidR="00773F49" w:rsidRPr="00BF0169" w:rsidRDefault="00992A65" w:rsidP="00A27EF6">
            <w:pPr>
              <w:spacing w:after="0"/>
              <w:jc w:val="right"/>
              <w:rPr>
                <w:rFonts w:ascii="Calibri" w:hAnsi="Calibri" w:cs="Calibri"/>
                <w:i/>
                <w:noProof/>
                <w:sz w:val="18"/>
                <w:lang w:val="it-IT"/>
              </w:rPr>
            </w:pPr>
            <w:r w:rsidRPr="00BF0169">
              <w:rPr>
                <w:rFonts w:ascii="Calibri" w:hAnsi="Calibri"/>
                <w:i/>
                <w:noProof/>
                <w:sz w:val="18"/>
                <w:lang w:val="it-IT"/>
              </w:rPr>
              <w:t>0,12 %</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216A282C" w14:textId="77777777" w:rsidR="00773F49" w:rsidRPr="00BF0169" w:rsidRDefault="00992A65" w:rsidP="00A27EF6">
            <w:pPr>
              <w:spacing w:after="0"/>
              <w:jc w:val="right"/>
              <w:rPr>
                <w:rFonts w:ascii="Calibri" w:hAnsi="Calibri" w:cs="Calibri"/>
                <w:i/>
                <w:noProof/>
                <w:sz w:val="18"/>
                <w:lang w:val="it-IT"/>
              </w:rPr>
            </w:pPr>
            <w:r w:rsidRPr="00BF0169">
              <w:rPr>
                <w:rFonts w:ascii="Calibri" w:hAnsi="Calibri"/>
                <w:i/>
                <w:noProof/>
                <w:sz w:val="18"/>
                <w:lang w:val="it-IT"/>
              </w:rPr>
              <w:t>0,68 %</w:t>
            </w:r>
          </w:p>
        </w:tc>
      </w:tr>
      <w:tr w:rsidR="00773F49" w:rsidRPr="00BF0169" w14:paraId="2F87BA38"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46CFF1BD" w14:textId="51FD1FDD" w:rsidR="00773F49" w:rsidRPr="00BF0169" w:rsidRDefault="00773F49" w:rsidP="00A27EF6">
            <w:pPr>
              <w:spacing w:after="0"/>
              <w:jc w:val="right"/>
              <w:rPr>
                <w:rFonts w:ascii="Calibri" w:hAnsi="Calibri" w:cs="Calibri"/>
                <w:i/>
                <w:noProof/>
                <w:sz w:val="18"/>
                <w:lang w:val="it-IT"/>
              </w:rPr>
            </w:pPr>
            <w:r w:rsidRPr="00BF0169">
              <w:rPr>
                <w:rFonts w:ascii="Calibri" w:hAnsi="Calibri"/>
                <w:i/>
                <w:noProof/>
                <w:sz w:val="18"/>
                <w:lang w:val="it-IT"/>
              </w:rPr>
              <w:t>Sostegno all</w:t>
            </w:r>
            <w:r w:rsidR="00BF0169" w:rsidRPr="00BF0169">
              <w:rPr>
                <w:rFonts w:ascii="Calibri" w:hAnsi="Calibri"/>
                <w:i/>
                <w:noProof/>
                <w:sz w:val="18"/>
                <w:lang w:val="it-IT"/>
              </w:rPr>
              <w:t>'</w:t>
            </w:r>
            <w:r w:rsidRPr="00BF0169">
              <w:rPr>
                <w:rFonts w:ascii="Calibri" w:hAnsi="Calibri"/>
                <w:i/>
                <w:noProof/>
                <w:sz w:val="18"/>
                <w:lang w:val="it-IT"/>
              </w:rPr>
              <w:t>agricoltura</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3279C50A"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98</w:t>
            </w:r>
          </w:p>
        </w:tc>
        <w:tc>
          <w:tcPr>
            <w:tcW w:w="1154" w:type="dxa"/>
            <w:tcBorders>
              <w:top w:val="single" w:sz="4" w:space="0" w:color="9BC2E6"/>
              <w:left w:val="nil"/>
              <w:bottom w:val="single" w:sz="4" w:space="0" w:color="9BC2E6"/>
            </w:tcBorders>
            <w:shd w:val="clear" w:color="auto" w:fill="auto"/>
            <w:noWrap/>
            <w:vAlign w:val="bottom"/>
          </w:tcPr>
          <w:p w14:paraId="0488ECB9"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13,0</w:t>
            </w:r>
          </w:p>
        </w:tc>
        <w:tc>
          <w:tcPr>
            <w:tcW w:w="1114" w:type="dxa"/>
            <w:tcBorders>
              <w:top w:val="single" w:sz="4" w:space="0" w:color="9BC2E6"/>
              <w:left w:val="nil"/>
              <w:bottom w:val="single" w:sz="4" w:space="0" w:color="9BC2E6"/>
              <w:right w:val="nil"/>
            </w:tcBorders>
            <w:shd w:val="clear" w:color="auto" w:fill="auto"/>
            <w:noWrap/>
            <w:vAlign w:val="bottom"/>
          </w:tcPr>
          <w:p w14:paraId="13EE31C1"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1 015</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33F76399"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107,5</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34B4BE0C" w14:textId="77777777" w:rsidR="00773F49" w:rsidRPr="00BF0169" w:rsidRDefault="00992A65" w:rsidP="00A27EF6">
            <w:pPr>
              <w:spacing w:after="0"/>
              <w:jc w:val="right"/>
              <w:rPr>
                <w:rFonts w:ascii="Calibri" w:hAnsi="Calibri" w:cs="Calibri"/>
                <w:i/>
                <w:noProof/>
                <w:sz w:val="18"/>
                <w:lang w:val="it-IT"/>
              </w:rPr>
            </w:pPr>
            <w:r w:rsidRPr="00BF0169">
              <w:rPr>
                <w:rFonts w:ascii="Calibri" w:hAnsi="Calibri"/>
                <w:i/>
                <w:noProof/>
                <w:sz w:val="18"/>
                <w:lang w:val="it-IT"/>
              </w:rPr>
              <w:t>0,03 %</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14EBA78E" w14:textId="77777777" w:rsidR="00773F49" w:rsidRPr="00BF0169" w:rsidRDefault="00992A65" w:rsidP="00A27EF6">
            <w:pPr>
              <w:spacing w:after="0"/>
              <w:jc w:val="right"/>
              <w:rPr>
                <w:rFonts w:ascii="Calibri" w:hAnsi="Calibri" w:cs="Calibri"/>
                <w:i/>
                <w:noProof/>
                <w:sz w:val="18"/>
                <w:lang w:val="it-IT"/>
              </w:rPr>
            </w:pPr>
            <w:r w:rsidRPr="00BF0169">
              <w:rPr>
                <w:rFonts w:ascii="Calibri" w:hAnsi="Calibri"/>
                <w:i/>
                <w:noProof/>
                <w:sz w:val="18"/>
                <w:lang w:val="it-IT"/>
              </w:rPr>
              <w:t>0,27 %</w:t>
            </w:r>
          </w:p>
        </w:tc>
      </w:tr>
      <w:tr w:rsidR="00773F49" w:rsidRPr="00BF0169" w14:paraId="0BAAEBD9"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04FFC2B3" w14:textId="57E0A277" w:rsidR="00773F49" w:rsidRPr="00BF0169" w:rsidRDefault="00773F49" w:rsidP="004A5098">
            <w:pPr>
              <w:spacing w:after="0"/>
              <w:jc w:val="right"/>
              <w:rPr>
                <w:rFonts w:ascii="Calibri" w:hAnsi="Calibri" w:cs="Calibri"/>
                <w:i/>
                <w:noProof/>
                <w:sz w:val="18"/>
                <w:lang w:val="it-IT"/>
              </w:rPr>
            </w:pPr>
            <w:r w:rsidRPr="00BF0169">
              <w:rPr>
                <w:rFonts w:ascii="Calibri" w:hAnsi="Calibri"/>
                <w:i/>
                <w:noProof/>
                <w:sz w:val="18"/>
                <w:lang w:val="it-IT"/>
              </w:rPr>
              <w:t>Entrambi/Incerto</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62DD0406"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8</w:t>
            </w:r>
          </w:p>
        </w:tc>
        <w:tc>
          <w:tcPr>
            <w:tcW w:w="1154" w:type="dxa"/>
            <w:tcBorders>
              <w:top w:val="single" w:sz="4" w:space="0" w:color="9BC2E6"/>
              <w:left w:val="nil"/>
              <w:bottom w:val="single" w:sz="4" w:space="0" w:color="9BC2E6"/>
            </w:tcBorders>
            <w:shd w:val="clear" w:color="DDEBF7" w:fill="DDEBF7"/>
            <w:noWrap/>
            <w:vAlign w:val="bottom"/>
          </w:tcPr>
          <w:p w14:paraId="53F04075"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0,5</w:t>
            </w:r>
          </w:p>
        </w:tc>
        <w:tc>
          <w:tcPr>
            <w:tcW w:w="1114" w:type="dxa"/>
            <w:tcBorders>
              <w:top w:val="single" w:sz="4" w:space="0" w:color="9BC2E6"/>
              <w:left w:val="nil"/>
              <w:bottom w:val="single" w:sz="4" w:space="0" w:color="9BC2E6"/>
              <w:right w:val="nil"/>
            </w:tcBorders>
            <w:shd w:val="clear" w:color="DDEBF7" w:fill="DDEBF7"/>
            <w:noWrap/>
            <w:vAlign w:val="bottom"/>
          </w:tcPr>
          <w:p w14:paraId="42E5A005"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40</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7E38BFA5" w14:textId="77777777" w:rsidR="00773F49" w:rsidRPr="00BF0169" w:rsidRDefault="00F2117F" w:rsidP="00A27EF6">
            <w:pPr>
              <w:spacing w:after="0"/>
              <w:jc w:val="right"/>
              <w:rPr>
                <w:rFonts w:ascii="Calibri" w:hAnsi="Calibri" w:cs="Calibri"/>
                <w:i/>
                <w:noProof/>
                <w:sz w:val="18"/>
                <w:lang w:val="it-IT"/>
              </w:rPr>
            </w:pPr>
            <w:r w:rsidRPr="00BF0169">
              <w:rPr>
                <w:rFonts w:ascii="Calibri" w:hAnsi="Calibri"/>
                <w:i/>
                <w:noProof/>
                <w:sz w:val="18"/>
                <w:lang w:val="it-IT"/>
              </w:rPr>
              <w:t>1,8</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621D295B" w14:textId="77777777" w:rsidR="00773F49" w:rsidRPr="00BF0169" w:rsidRDefault="00992A65" w:rsidP="00A27EF6">
            <w:pPr>
              <w:spacing w:after="0"/>
              <w:jc w:val="right"/>
              <w:rPr>
                <w:rFonts w:ascii="Calibri" w:hAnsi="Calibri" w:cs="Calibri"/>
                <w:i/>
                <w:noProof/>
                <w:sz w:val="18"/>
                <w:lang w:val="it-IT"/>
              </w:rPr>
            </w:pPr>
            <w:r w:rsidRPr="00BF0169">
              <w:rPr>
                <w:rFonts w:ascii="Calibri" w:hAnsi="Calibri"/>
                <w:i/>
                <w:noProof/>
                <w:sz w:val="18"/>
                <w:lang w:val="it-IT"/>
              </w:rPr>
              <w:t>-</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13C87130" w14:textId="77777777" w:rsidR="00773F49" w:rsidRPr="00BF0169" w:rsidRDefault="00992A65" w:rsidP="00A27EF6">
            <w:pPr>
              <w:spacing w:after="0"/>
              <w:jc w:val="right"/>
              <w:rPr>
                <w:rFonts w:ascii="Calibri" w:hAnsi="Calibri" w:cs="Calibri"/>
                <w:i/>
                <w:noProof/>
                <w:sz w:val="18"/>
                <w:lang w:val="it-IT"/>
              </w:rPr>
            </w:pPr>
            <w:r w:rsidRPr="00BF0169">
              <w:rPr>
                <w:rFonts w:ascii="Calibri" w:hAnsi="Calibri"/>
                <w:i/>
                <w:noProof/>
                <w:sz w:val="18"/>
                <w:lang w:val="it-IT"/>
              </w:rPr>
              <w:t>-</w:t>
            </w:r>
          </w:p>
        </w:tc>
      </w:tr>
      <w:tr w:rsidR="00773F49" w:rsidRPr="00BF0169" w14:paraId="307EAD43"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37269A28" w14:textId="2DED2F88" w:rsidR="00773F49" w:rsidRPr="00BF0169" w:rsidRDefault="00773F49" w:rsidP="00A27EF6">
            <w:pPr>
              <w:spacing w:after="0"/>
              <w:jc w:val="left"/>
              <w:rPr>
                <w:rFonts w:ascii="Calibri" w:hAnsi="Calibri" w:cs="Calibri"/>
                <w:b/>
                <w:noProof/>
                <w:lang w:val="it-IT"/>
              </w:rPr>
            </w:pPr>
            <w:r w:rsidRPr="00BF0169">
              <w:rPr>
                <w:rFonts w:ascii="Calibri" w:hAnsi="Calibri"/>
                <w:b/>
                <w:noProof/>
                <w:lang w:val="it-IT"/>
              </w:rPr>
              <w:t>Fondi strutturali e d</w:t>
            </w:r>
            <w:r w:rsidR="00BF0169" w:rsidRPr="00BF0169">
              <w:rPr>
                <w:rFonts w:ascii="Calibri" w:hAnsi="Calibri"/>
                <w:b/>
                <w:noProof/>
                <w:lang w:val="it-IT"/>
              </w:rPr>
              <w:t>'</w:t>
            </w:r>
            <w:r w:rsidRPr="00BF0169">
              <w:rPr>
                <w:rFonts w:ascii="Calibri" w:hAnsi="Calibri"/>
                <w:b/>
                <w:noProof/>
                <w:lang w:val="it-IT"/>
              </w:rPr>
              <w:t>investimento europei</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5EF4BE75" w14:textId="77777777" w:rsidR="00773F49" w:rsidRPr="00BF0169" w:rsidRDefault="00EE0854" w:rsidP="00A27EF6">
            <w:pPr>
              <w:spacing w:after="0"/>
              <w:jc w:val="right"/>
              <w:rPr>
                <w:rFonts w:ascii="Calibri" w:hAnsi="Calibri" w:cs="Calibri"/>
                <w:b/>
                <w:noProof/>
                <w:lang w:val="it-IT"/>
              </w:rPr>
            </w:pPr>
            <w:r w:rsidRPr="00BF0169">
              <w:rPr>
                <w:rFonts w:ascii="Calibri" w:hAnsi="Calibri"/>
                <w:b/>
                <w:noProof/>
                <w:lang w:val="it-IT"/>
              </w:rPr>
              <w:t>215</w:t>
            </w:r>
          </w:p>
        </w:tc>
        <w:tc>
          <w:tcPr>
            <w:tcW w:w="1154" w:type="dxa"/>
            <w:tcBorders>
              <w:top w:val="single" w:sz="4" w:space="0" w:color="9BC2E6"/>
              <w:left w:val="nil"/>
              <w:bottom w:val="single" w:sz="4" w:space="0" w:color="9BC2E6"/>
            </w:tcBorders>
            <w:shd w:val="clear" w:color="auto" w:fill="auto"/>
            <w:noWrap/>
            <w:vAlign w:val="bottom"/>
          </w:tcPr>
          <w:p w14:paraId="6E3B64BE" w14:textId="77777777" w:rsidR="00773F49" w:rsidRPr="00BF0169" w:rsidRDefault="00EE0854" w:rsidP="00A27EF6">
            <w:pPr>
              <w:spacing w:after="0"/>
              <w:jc w:val="right"/>
              <w:rPr>
                <w:rFonts w:ascii="Calibri" w:hAnsi="Calibri" w:cs="Calibri"/>
                <w:b/>
                <w:noProof/>
                <w:lang w:val="it-IT"/>
              </w:rPr>
            </w:pPr>
            <w:r w:rsidRPr="00BF0169">
              <w:rPr>
                <w:rFonts w:ascii="Calibri" w:hAnsi="Calibri"/>
                <w:b/>
                <w:noProof/>
                <w:lang w:val="it-IT"/>
              </w:rPr>
              <w:t>1 624,0</w:t>
            </w:r>
          </w:p>
        </w:tc>
        <w:tc>
          <w:tcPr>
            <w:tcW w:w="1114" w:type="dxa"/>
            <w:tcBorders>
              <w:top w:val="single" w:sz="4" w:space="0" w:color="9BC2E6"/>
              <w:left w:val="nil"/>
              <w:bottom w:val="single" w:sz="4" w:space="0" w:color="9BC2E6"/>
              <w:right w:val="nil"/>
            </w:tcBorders>
            <w:shd w:val="clear" w:color="auto" w:fill="auto"/>
            <w:noWrap/>
            <w:vAlign w:val="bottom"/>
          </w:tcPr>
          <w:p w14:paraId="7794CFD8" w14:textId="77777777" w:rsidR="00773F49" w:rsidRPr="00BF0169" w:rsidRDefault="00BF4843" w:rsidP="00A27EF6">
            <w:pPr>
              <w:spacing w:after="0"/>
              <w:jc w:val="right"/>
              <w:rPr>
                <w:rFonts w:ascii="Calibri" w:hAnsi="Calibri" w:cs="Calibri"/>
                <w:b/>
                <w:noProof/>
                <w:lang w:val="it-IT"/>
              </w:rPr>
            </w:pPr>
            <w:r w:rsidRPr="00BF0169">
              <w:rPr>
                <w:rFonts w:ascii="Calibri" w:hAnsi="Calibri"/>
                <w:b/>
                <w:noProof/>
                <w:lang w:val="it-IT"/>
              </w:rPr>
              <w:t>2 271</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22F6975E" w14:textId="77777777" w:rsidR="00773F49" w:rsidRPr="00BF0169" w:rsidRDefault="00BF4843" w:rsidP="00A27EF6">
            <w:pPr>
              <w:spacing w:after="0"/>
              <w:jc w:val="right"/>
              <w:rPr>
                <w:rFonts w:ascii="Calibri" w:hAnsi="Calibri" w:cs="Calibri"/>
                <w:b/>
                <w:noProof/>
                <w:lang w:val="it-IT"/>
              </w:rPr>
            </w:pPr>
            <w:r w:rsidRPr="00BF0169">
              <w:rPr>
                <w:rFonts w:ascii="Calibri" w:hAnsi="Calibri"/>
                <w:b/>
                <w:noProof/>
                <w:lang w:val="it-IT"/>
              </w:rPr>
              <w:t>812,9</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6919BB66" w14:textId="77777777" w:rsidR="00773F49" w:rsidRPr="00BF0169" w:rsidRDefault="00992A65" w:rsidP="00A27EF6">
            <w:pPr>
              <w:spacing w:after="0"/>
              <w:jc w:val="right"/>
              <w:rPr>
                <w:rFonts w:ascii="Calibri" w:hAnsi="Calibri" w:cs="Calibri"/>
                <w:b/>
                <w:noProof/>
                <w:lang w:val="it-IT"/>
              </w:rPr>
            </w:pPr>
            <w:r w:rsidRPr="00BF0169">
              <w:rPr>
                <w:rFonts w:ascii="Calibri" w:hAnsi="Calibri"/>
                <w:b/>
                <w:noProof/>
                <w:lang w:val="it-IT"/>
              </w:rPr>
              <w:t>2,57 %</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1B37387C" w14:textId="77777777" w:rsidR="00773F49" w:rsidRPr="00BF0169" w:rsidRDefault="00992A65" w:rsidP="00A27EF6">
            <w:pPr>
              <w:spacing w:after="0"/>
              <w:jc w:val="right"/>
              <w:rPr>
                <w:rFonts w:ascii="Calibri" w:hAnsi="Calibri" w:cs="Calibri"/>
                <w:b/>
                <w:noProof/>
                <w:lang w:val="it-IT"/>
              </w:rPr>
            </w:pPr>
            <w:r w:rsidRPr="00BF0169">
              <w:rPr>
                <w:rFonts w:ascii="Calibri" w:hAnsi="Calibri"/>
                <w:b/>
                <w:noProof/>
                <w:lang w:val="it-IT"/>
              </w:rPr>
              <w:t>1,29 %</w:t>
            </w:r>
          </w:p>
        </w:tc>
      </w:tr>
      <w:tr w:rsidR="00773F49" w:rsidRPr="00BF0169" w14:paraId="5E32DA56"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06C9B05F" w14:textId="77777777" w:rsidR="00773F49" w:rsidRPr="00BF0169" w:rsidRDefault="00773F49" w:rsidP="00A27EF6">
            <w:pPr>
              <w:spacing w:after="0"/>
              <w:jc w:val="right"/>
              <w:rPr>
                <w:rFonts w:ascii="Calibri" w:hAnsi="Calibri" w:cs="Calibri"/>
                <w:i/>
                <w:noProof/>
                <w:sz w:val="18"/>
                <w:lang w:val="it-IT"/>
              </w:rPr>
            </w:pPr>
            <w:r w:rsidRPr="00BF0169">
              <w:rPr>
                <w:rFonts w:ascii="Calibri" w:hAnsi="Calibri"/>
                <w:i/>
                <w:noProof/>
                <w:sz w:val="18"/>
                <w:lang w:val="it-IT"/>
              </w:rPr>
              <w:t>Politica di coesione e politica regionale</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027FD580" w14:textId="77777777" w:rsidR="00773F49" w:rsidRPr="00BF0169" w:rsidRDefault="00EE0854" w:rsidP="00A27EF6">
            <w:pPr>
              <w:spacing w:after="0"/>
              <w:jc w:val="right"/>
              <w:rPr>
                <w:rFonts w:ascii="Calibri" w:hAnsi="Calibri" w:cs="Calibri"/>
                <w:i/>
                <w:noProof/>
                <w:sz w:val="18"/>
                <w:lang w:val="it-IT"/>
              </w:rPr>
            </w:pPr>
            <w:r w:rsidRPr="00BF0169">
              <w:rPr>
                <w:rFonts w:ascii="Calibri" w:hAnsi="Calibri"/>
                <w:i/>
                <w:noProof/>
                <w:sz w:val="18"/>
                <w:lang w:val="it-IT"/>
              </w:rPr>
              <w:t>155</w:t>
            </w:r>
          </w:p>
        </w:tc>
        <w:tc>
          <w:tcPr>
            <w:tcW w:w="1154" w:type="dxa"/>
            <w:tcBorders>
              <w:top w:val="single" w:sz="4" w:space="0" w:color="9BC2E6"/>
              <w:left w:val="nil"/>
              <w:bottom w:val="single" w:sz="4" w:space="0" w:color="9BC2E6"/>
            </w:tcBorders>
            <w:shd w:val="clear" w:color="DDEBF7" w:fill="DDEBF7"/>
            <w:noWrap/>
            <w:vAlign w:val="bottom"/>
          </w:tcPr>
          <w:p w14:paraId="7D2E50AF" w14:textId="77777777" w:rsidR="00773F49" w:rsidRPr="00BF0169" w:rsidRDefault="00EE0854" w:rsidP="00A27EF6">
            <w:pPr>
              <w:spacing w:after="0"/>
              <w:jc w:val="right"/>
              <w:rPr>
                <w:rFonts w:ascii="Calibri" w:hAnsi="Calibri" w:cs="Calibri"/>
                <w:i/>
                <w:noProof/>
                <w:sz w:val="18"/>
                <w:lang w:val="it-IT"/>
              </w:rPr>
            </w:pPr>
            <w:r w:rsidRPr="00BF0169">
              <w:rPr>
                <w:rFonts w:ascii="Calibri" w:hAnsi="Calibri"/>
                <w:i/>
                <w:noProof/>
                <w:sz w:val="18"/>
                <w:lang w:val="it-IT"/>
              </w:rPr>
              <w:t>1 605,5</w:t>
            </w:r>
          </w:p>
        </w:tc>
        <w:tc>
          <w:tcPr>
            <w:tcW w:w="1114" w:type="dxa"/>
            <w:tcBorders>
              <w:top w:val="single" w:sz="4" w:space="0" w:color="9BC2E6"/>
              <w:left w:val="nil"/>
              <w:bottom w:val="single" w:sz="4" w:space="0" w:color="9BC2E6"/>
              <w:right w:val="nil"/>
            </w:tcBorders>
            <w:shd w:val="clear" w:color="DDEBF7" w:fill="DDEBF7"/>
            <w:noWrap/>
            <w:vAlign w:val="bottom"/>
          </w:tcPr>
          <w:p w14:paraId="74DA4AD3" w14:textId="77777777" w:rsidR="00773F49" w:rsidRPr="00BF0169" w:rsidRDefault="00BF4843" w:rsidP="00A27EF6">
            <w:pPr>
              <w:spacing w:after="0"/>
              <w:jc w:val="right"/>
              <w:rPr>
                <w:rFonts w:ascii="Calibri" w:hAnsi="Calibri" w:cs="Calibri"/>
                <w:i/>
                <w:noProof/>
                <w:sz w:val="18"/>
                <w:lang w:val="it-IT"/>
              </w:rPr>
            </w:pPr>
            <w:r w:rsidRPr="00BF0169">
              <w:rPr>
                <w:rFonts w:ascii="Calibri" w:hAnsi="Calibri"/>
                <w:i/>
                <w:noProof/>
                <w:sz w:val="18"/>
                <w:lang w:val="it-IT"/>
              </w:rPr>
              <w:t>1 627</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75757E28" w14:textId="77777777" w:rsidR="00773F49" w:rsidRPr="00BF0169" w:rsidRDefault="00BF4843" w:rsidP="00BF4843">
            <w:pPr>
              <w:spacing w:after="0"/>
              <w:jc w:val="right"/>
              <w:rPr>
                <w:rFonts w:ascii="Calibri" w:hAnsi="Calibri" w:cs="Calibri"/>
                <w:i/>
                <w:noProof/>
                <w:sz w:val="18"/>
                <w:lang w:val="it-IT"/>
              </w:rPr>
            </w:pPr>
            <w:r w:rsidRPr="00BF0169">
              <w:rPr>
                <w:rFonts w:ascii="Calibri" w:hAnsi="Calibri"/>
                <w:i/>
                <w:noProof/>
                <w:sz w:val="18"/>
                <w:lang w:val="it-IT"/>
              </w:rPr>
              <w:t>588,5</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3775A7F6" w14:textId="33BD24A6"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3,42 %</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37B963B5" w14:textId="61791BFE"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1,25 %</w:t>
            </w:r>
          </w:p>
        </w:tc>
      </w:tr>
      <w:tr w:rsidR="00773F49" w:rsidRPr="00BF0169" w14:paraId="53536536"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5FEF0F4C" w14:textId="77777777" w:rsidR="00773F49" w:rsidRPr="00BF0169" w:rsidRDefault="00773F49" w:rsidP="00A27EF6">
            <w:pPr>
              <w:spacing w:after="0"/>
              <w:jc w:val="right"/>
              <w:rPr>
                <w:rFonts w:ascii="Calibri" w:hAnsi="Calibri" w:cs="Calibri"/>
                <w:i/>
                <w:noProof/>
                <w:sz w:val="18"/>
                <w:lang w:val="it-IT"/>
              </w:rPr>
            </w:pPr>
            <w:r w:rsidRPr="00BF0169">
              <w:rPr>
                <w:rFonts w:ascii="Calibri" w:hAnsi="Calibri"/>
                <w:i/>
                <w:noProof/>
                <w:sz w:val="18"/>
                <w:lang w:val="it-IT"/>
              </w:rPr>
              <w:t>Politica sociale</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712AD2B0" w14:textId="77777777" w:rsidR="00773F49" w:rsidRPr="00BF0169" w:rsidRDefault="00EE0854" w:rsidP="00A27EF6">
            <w:pPr>
              <w:spacing w:after="0"/>
              <w:jc w:val="right"/>
              <w:rPr>
                <w:rFonts w:ascii="Calibri" w:hAnsi="Calibri" w:cs="Calibri"/>
                <w:i/>
                <w:noProof/>
                <w:sz w:val="18"/>
                <w:lang w:val="it-IT"/>
              </w:rPr>
            </w:pPr>
            <w:r w:rsidRPr="00BF0169">
              <w:rPr>
                <w:rFonts w:ascii="Calibri" w:hAnsi="Calibri"/>
                <w:i/>
                <w:noProof/>
                <w:sz w:val="18"/>
                <w:lang w:val="it-IT"/>
              </w:rPr>
              <w:t>50</w:t>
            </w:r>
          </w:p>
        </w:tc>
        <w:tc>
          <w:tcPr>
            <w:tcW w:w="1154" w:type="dxa"/>
            <w:tcBorders>
              <w:top w:val="single" w:sz="4" w:space="0" w:color="9BC2E6"/>
              <w:left w:val="nil"/>
              <w:bottom w:val="single" w:sz="4" w:space="0" w:color="9BC2E6"/>
            </w:tcBorders>
            <w:shd w:val="clear" w:color="auto" w:fill="auto"/>
            <w:noWrap/>
            <w:vAlign w:val="bottom"/>
          </w:tcPr>
          <w:p w14:paraId="12E1A25A" w14:textId="77777777" w:rsidR="00773F49" w:rsidRPr="00BF0169" w:rsidRDefault="00EE0854" w:rsidP="00A27EF6">
            <w:pPr>
              <w:spacing w:after="0"/>
              <w:jc w:val="right"/>
              <w:rPr>
                <w:rFonts w:ascii="Calibri" w:hAnsi="Calibri" w:cs="Calibri"/>
                <w:i/>
                <w:noProof/>
                <w:sz w:val="18"/>
                <w:lang w:val="it-IT"/>
              </w:rPr>
            </w:pPr>
            <w:r w:rsidRPr="00BF0169">
              <w:rPr>
                <w:rFonts w:ascii="Calibri" w:hAnsi="Calibri"/>
                <w:i/>
                <w:noProof/>
                <w:sz w:val="18"/>
                <w:lang w:val="it-IT"/>
              </w:rPr>
              <w:t>16,7</w:t>
            </w:r>
          </w:p>
        </w:tc>
        <w:tc>
          <w:tcPr>
            <w:tcW w:w="1114" w:type="dxa"/>
            <w:tcBorders>
              <w:top w:val="single" w:sz="4" w:space="0" w:color="9BC2E6"/>
              <w:left w:val="nil"/>
              <w:bottom w:val="single" w:sz="4" w:space="0" w:color="9BC2E6"/>
              <w:right w:val="nil"/>
            </w:tcBorders>
            <w:shd w:val="clear" w:color="auto" w:fill="auto"/>
            <w:noWrap/>
            <w:vAlign w:val="bottom"/>
          </w:tcPr>
          <w:p w14:paraId="751E0646" w14:textId="77777777" w:rsidR="00773F49" w:rsidRPr="00BF0169" w:rsidRDefault="00BF4843" w:rsidP="00A27EF6">
            <w:pPr>
              <w:spacing w:after="0"/>
              <w:jc w:val="right"/>
              <w:rPr>
                <w:rFonts w:ascii="Calibri" w:hAnsi="Calibri" w:cs="Calibri"/>
                <w:i/>
                <w:noProof/>
                <w:sz w:val="18"/>
                <w:lang w:val="it-IT"/>
              </w:rPr>
            </w:pPr>
            <w:r w:rsidRPr="00BF0169">
              <w:rPr>
                <w:rFonts w:ascii="Calibri" w:hAnsi="Calibri"/>
                <w:i/>
                <w:noProof/>
                <w:sz w:val="18"/>
                <w:lang w:val="it-IT"/>
              </w:rPr>
              <w:t>614</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1BE39262" w14:textId="77777777" w:rsidR="00773F49" w:rsidRPr="00BF0169" w:rsidRDefault="00BF4843" w:rsidP="00BF4843">
            <w:pPr>
              <w:spacing w:after="0"/>
              <w:jc w:val="right"/>
              <w:rPr>
                <w:rFonts w:ascii="Calibri" w:hAnsi="Calibri" w:cs="Calibri"/>
                <w:i/>
                <w:noProof/>
                <w:sz w:val="18"/>
                <w:lang w:val="it-IT"/>
              </w:rPr>
            </w:pPr>
            <w:r w:rsidRPr="00BF0169">
              <w:rPr>
                <w:rFonts w:ascii="Calibri" w:hAnsi="Calibri"/>
                <w:i/>
                <w:noProof/>
                <w:sz w:val="18"/>
                <w:lang w:val="it-IT"/>
              </w:rPr>
              <w:t>217,6</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04738343" w14:textId="3F36FB0D"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0,11 %</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E7F43A8" w14:textId="602793C4"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1,39 %</w:t>
            </w:r>
          </w:p>
        </w:tc>
      </w:tr>
      <w:tr w:rsidR="00773F49" w:rsidRPr="00BF0169" w14:paraId="23C3EDDC"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415EB903" w14:textId="77777777" w:rsidR="00773F49" w:rsidRPr="00BF0169" w:rsidRDefault="00773F49" w:rsidP="00A27EF6">
            <w:pPr>
              <w:spacing w:after="0"/>
              <w:jc w:val="right"/>
              <w:rPr>
                <w:rFonts w:ascii="Calibri" w:hAnsi="Calibri" w:cs="Calibri"/>
                <w:i/>
                <w:noProof/>
                <w:sz w:val="18"/>
                <w:lang w:val="it-IT"/>
              </w:rPr>
            </w:pPr>
            <w:r w:rsidRPr="00BF0169">
              <w:rPr>
                <w:rFonts w:ascii="Calibri" w:hAnsi="Calibri"/>
                <w:i/>
                <w:noProof/>
                <w:sz w:val="18"/>
                <w:lang w:val="it-IT"/>
              </w:rPr>
              <w:t>Pesca</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69EC6D3F" w14:textId="77777777" w:rsidR="00773F49" w:rsidRPr="00BF0169" w:rsidRDefault="00EE0854" w:rsidP="00A27EF6">
            <w:pPr>
              <w:spacing w:after="0"/>
              <w:jc w:val="right"/>
              <w:rPr>
                <w:rFonts w:ascii="Calibri" w:hAnsi="Calibri" w:cs="Calibri"/>
                <w:i/>
                <w:noProof/>
                <w:sz w:val="18"/>
                <w:lang w:val="it-IT"/>
              </w:rPr>
            </w:pPr>
            <w:r w:rsidRPr="00BF0169">
              <w:rPr>
                <w:rFonts w:ascii="Calibri" w:hAnsi="Calibri"/>
                <w:i/>
                <w:noProof/>
                <w:sz w:val="18"/>
                <w:lang w:val="it-IT"/>
              </w:rPr>
              <w:t>10</w:t>
            </w:r>
          </w:p>
        </w:tc>
        <w:tc>
          <w:tcPr>
            <w:tcW w:w="1154" w:type="dxa"/>
            <w:tcBorders>
              <w:top w:val="single" w:sz="4" w:space="0" w:color="9BC2E6"/>
              <w:left w:val="nil"/>
              <w:bottom w:val="single" w:sz="4" w:space="0" w:color="9BC2E6"/>
            </w:tcBorders>
            <w:shd w:val="clear" w:color="DDEBF7" w:fill="DDEBF7"/>
            <w:noWrap/>
            <w:vAlign w:val="bottom"/>
          </w:tcPr>
          <w:p w14:paraId="2E27FCD4" w14:textId="77777777" w:rsidR="00773F49" w:rsidRPr="00BF0169" w:rsidRDefault="00BF4843" w:rsidP="00A27EF6">
            <w:pPr>
              <w:spacing w:after="0"/>
              <w:jc w:val="right"/>
              <w:rPr>
                <w:rFonts w:ascii="Calibri" w:hAnsi="Calibri" w:cs="Calibri"/>
                <w:i/>
                <w:noProof/>
                <w:sz w:val="18"/>
                <w:lang w:val="it-IT"/>
              </w:rPr>
            </w:pPr>
            <w:r w:rsidRPr="00BF0169">
              <w:rPr>
                <w:rFonts w:ascii="Calibri" w:hAnsi="Calibri"/>
                <w:i/>
                <w:noProof/>
                <w:sz w:val="18"/>
                <w:lang w:val="it-IT"/>
              </w:rPr>
              <w:t>1,8</w:t>
            </w:r>
          </w:p>
        </w:tc>
        <w:tc>
          <w:tcPr>
            <w:tcW w:w="1114" w:type="dxa"/>
            <w:tcBorders>
              <w:top w:val="single" w:sz="4" w:space="0" w:color="9BC2E6"/>
              <w:left w:val="nil"/>
              <w:bottom w:val="single" w:sz="4" w:space="0" w:color="9BC2E6"/>
              <w:right w:val="nil"/>
            </w:tcBorders>
            <w:shd w:val="clear" w:color="DDEBF7" w:fill="DDEBF7"/>
            <w:noWrap/>
            <w:vAlign w:val="bottom"/>
          </w:tcPr>
          <w:p w14:paraId="4F1B1CEB" w14:textId="77777777" w:rsidR="00773F49" w:rsidRPr="00BF0169" w:rsidRDefault="00BF4843" w:rsidP="00A27EF6">
            <w:pPr>
              <w:spacing w:after="0"/>
              <w:jc w:val="right"/>
              <w:rPr>
                <w:rFonts w:ascii="Calibri" w:hAnsi="Calibri" w:cs="Calibri"/>
                <w:i/>
                <w:noProof/>
                <w:sz w:val="18"/>
                <w:lang w:val="it-IT"/>
              </w:rPr>
            </w:pPr>
            <w:r w:rsidRPr="00BF0169">
              <w:rPr>
                <w:rFonts w:ascii="Calibri" w:hAnsi="Calibri"/>
                <w:i/>
                <w:noProof/>
                <w:sz w:val="18"/>
                <w:lang w:val="it-IT"/>
              </w:rPr>
              <w:t>70</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5E313D49" w14:textId="77777777" w:rsidR="00773F49" w:rsidRPr="00BF0169" w:rsidRDefault="00BF4843" w:rsidP="00A27EF6">
            <w:pPr>
              <w:spacing w:after="0"/>
              <w:jc w:val="right"/>
              <w:rPr>
                <w:rFonts w:ascii="Calibri" w:hAnsi="Calibri" w:cs="Calibri"/>
                <w:i/>
                <w:noProof/>
                <w:sz w:val="18"/>
                <w:lang w:val="it-IT"/>
              </w:rPr>
            </w:pPr>
            <w:r w:rsidRPr="00BF0169">
              <w:rPr>
                <w:rFonts w:ascii="Calibri" w:hAnsi="Calibri"/>
                <w:i/>
                <w:noProof/>
                <w:sz w:val="18"/>
                <w:lang w:val="it-IT"/>
              </w:rPr>
              <w:t>6,8</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2208F229" w14:textId="065FCF31"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0,35 %</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4C3EE42A" w14:textId="0C0DC7FC"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1,32 %</w:t>
            </w:r>
          </w:p>
        </w:tc>
      </w:tr>
      <w:tr w:rsidR="00A251B1" w:rsidRPr="00BF0169" w14:paraId="447D2F5E" w14:textId="77777777" w:rsidTr="00BF4843">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4B57A09" w14:textId="4D7AE6D7" w:rsidR="00A251B1" w:rsidRPr="00BF0169" w:rsidRDefault="00A251B1" w:rsidP="00A27EF6">
            <w:pPr>
              <w:spacing w:after="0"/>
              <w:jc w:val="left"/>
              <w:rPr>
                <w:rFonts w:ascii="Calibri" w:hAnsi="Calibri" w:cs="Calibri"/>
                <w:b/>
                <w:noProof/>
                <w:lang w:val="it-IT"/>
              </w:rPr>
            </w:pPr>
            <w:r w:rsidRPr="00BF0169">
              <w:rPr>
                <w:rFonts w:ascii="Calibri" w:hAnsi="Calibri"/>
                <w:b/>
                <w:noProof/>
                <w:lang w:val="it-IT"/>
              </w:rPr>
              <w:t>Altri fondi in gestione concorrente</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51179837" w14:textId="3C7B3CB8" w:rsidR="00A251B1" w:rsidRPr="00BF0169" w:rsidRDefault="00973951" w:rsidP="00A27EF6">
            <w:pPr>
              <w:spacing w:after="0"/>
              <w:jc w:val="right"/>
              <w:rPr>
                <w:rFonts w:ascii="Calibri" w:hAnsi="Calibri" w:cs="Calibri"/>
                <w:b/>
                <w:noProof/>
                <w:lang w:val="it-IT"/>
              </w:rPr>
            </w:pPr>
            <w:r w:rsidRPr="00BF0169">
              <w:rPr>
                <w:rFonts w:ascii="Calibri" w:hAnsi="Calibri"/>
                <w:b/>
                <w:noProof/>
                <w:lang w:val="it-IT"/>
              </w:rPr>
              <w:t>0</w:t>
            </w:r>
          </w:p>
        </w:tc>
        <w:tc>
          <w:tcPr>
            <w:tcW w:w="1154" w:type="dxa"/>
            <w:tcBorders>
              <w:top w:val="single" w:sz="4" w:space="0" w:color="9BC2E6"/>
              <w:left w:val="nil"/>
              <w:bottom w:val="single" w:sz="4" w:space="0" w:color="9BC2E6"/>
            </w:tcBorders>
            <w:shd w:val="clear" w:color="auto" w:fill="auto"/>
            <w:noWrap/>
            <w:vAlign w:val="bottom"/>
          </w:tcPr>
          <w:p w14:paraId="113753DE" w14:textId="21F003B7" w:rsidR="00A251B1" w:rsidRPr="00BF0169" w:rsidRDefault="00973951" w:rsidP="00A27EF6">
            <w:pPr>
              <w:spacing w:after="0"/>
              <w:jc w:val="right"/>
              <w:rPr>
                <w:rFonts w:ascii="Calibri" w:hAnsi="Calibri" w:cs="Calibri"/>
                <w:b/>
                <w:noProof/>
                <w:lang w:val="it-IT"/>
              </w:rPr>
            </w:pPr>
            <w:r w:rsidRPr="00BF0169">
              <w:rPr>
                <w:rFonts w:ascii="Calibri" w:hAnsi="Calibri"/>
                <w:b/>
                <w:noProof/>
                <w:lang w:val="it-IT"/>
              </w:rPr>
              <w:t>0</w:t>
            </w:r>
          </w:p>
        </w:tc>
        <w:tc>
          <w:tcPr>
            <w:tcW w:w="1114" w:type="dxa"/>
            <w:tcBorders>
              <w:top w:val="single" w:sz="4" w:space="0" w:color="9BC2E6"/>
              <w:left w:val="nil"/>
              <w:bottom w:val="single" w:sz="4" w:space="0" w:color="9BC2E6"/>
              <w:right w:val="nil"/>
            </w:tcBorders>
            <w:shd w:val="clear" w:color="auto" w:fill="auto"/>
            <w:noWrap/>
            <w:vAlign w:val="bottom"/>
          </w:tcPr>
          <w:p w14:paraId="129935FB" w14:textId="521F5FDC" w:rsidR="00A251B1" w:rsidRPr="00BF0169" w:rsidRDefault="00387ED0" w:rsidP="00A27EF6">
            <w:pPr>
              <w:spacing w:after="0"/>
              <w:jc w:val="right"/>
              <w:rPr>
                <w:rFonts w:ascii="Calibri" w:hAnsi="Calibri" w:cs="Calibri"/>
                <w:b/>
                <w:noProof/>
                <w:lang w:val="it-IT"/>
              </w:rPr>
            </w:pPr>
            <w:r w:rsidRPr="00BF0169">
              <w:rPr>
                <w:rFonts w:ascii="Calibri" w:hAnsi="Calibri"/>
                <w:b/>
                <w:noProof/>
                <w:lang w:val="it-IT"/>
              </w:rPr>
              <w:t>45</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1AB898DB" w14:textId="1F2BC251" w:rsidR="00A251B1" w:rsidRPr="00BF0169" w:rsidRDefault="00387ED0" w:rsidP="00A27EF6">
            <w:pPr>
              <w:spacing w:after="0"/>
              <w:jc w:val="right"/>
              <w:rPr>
                <w:rFonts w:ascii="Calibri" w:hAnsi="Calibri" w:cs="Calibri"/>
                <w:b/>
                <w:noProof/>
                <w:lang w:val="it-IT"/>
              </w:rPr>
            </w:pPr>
            <w:r w:rsidRPr="00BF0169">
              <w:rPr>
                <w:rFonts w:ascii="Calibri" w:hAnsi="Calibri"/>
                <w:b/>
                <w:noProof/>
                <w:lang w:val="it-IT"/>
              </w:rPr>
              <w:t>4,3</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36CCC5A7" w14:textId="36E779DB" w:rsidR="00A251B1" w:rsidRPr="00BF0169" w:rsidRDefault="008D0328" w:rsidP="00A27EF6">
            <w:pPr>
              <w:spacing w:after="0"/>
              <w:jc w:val="right"/>
              <w:rPr>
                <w:rFonts w:ascii="Calibri" w:hAnsi="Calibri" w:cs="Calibri"/>
                <w:b/>
                <w:noProof/>
                <w:lang w:val="it-IT"/>
              </w:rPr>
            </w:pPr>
            <w:r w:rsidRPr="00BF0169">
              <w:rPr>
                <w:rFonts w:ascii="Calibri" w:hAnsi="Calibri"/>
                <w:b/>
                <w:noProof/>
                <w:lang w:val="it-IT"/>
              </w:rPr>
              <w:t>0,00 %</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68C76511" w14:textId="1739F280" w:rsidR="00A251B1" w:rsidRPr="00BF0169" w:rsidRDefault="008D0328" w:rsidP="00A27EF6">
            <w:pPr>
              <w:spacing w:after="0"/>
              <w:jc w:val="right"/>
              <w:rPr>
                <w:rFonts w:ascii="Calibri" w:hAnsi="Calibri" w:cs="Calibri"/>
                <w:b/>
                <w:noProof/>
                <w:lang w:val="it-IT"/>
              </w:rPr>
            </w:pPr>
            <w:r w:rsidRPr="00BF0169">
              <w:rPr>
                <w:rFonts w:ascii="Calibri" w:hAnsi="Calibri"/>
                <w:b/>
                <w:noProof/>
                <w:lang w:val="it-IT"/>
              </w:rPr>
              <w:t>0,22 %</w:t>
            </w:r>
          </w:p>
        </w:tc>
      </w:tr>
      <w:tr w:rsidR="00773F49" w:rsidRPr="00BF0169" w14:paraId="20B9DF7A" w14:textId="77777777" w:rsidTr="00BF4843">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2E88D927" w14:textId="77777777" w:rsidR="00773F49" w:rsidRPr="00BF0169" w:rsidRDefault="00773F49" w:rsidP="00A27EF6">
            <w:pPr>
              <w:spacing w:after="0"/>
              <w:jc w:val="left"/>
              <w:rPr>
                <w:rFonts w:ascii="Calibri" w:hAnsi="Calibri" w:cs="Calibri"/>
                <w:b/>
                <w:noProof/>
                <w:lang w:val="it-IT"/>
              </w:rPr>
            </w:pPr>
            <w:r w:rsidRPr="00BF0169">
              <w:rPr>
                <w:rFonts w:ascii="Calibri" w:hAnsi="Calibri"/>
                <w:b/>
                <w:noProof/>
                <w:lang w:val="it-IT"/>
              </w:rPr>
              <w:t>Preadesione</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52FF8AE7" w14:textId="77777777" w:rsidR="00773F49" w:rsidRPr="00BF0169" w:rsidRDefault="002303B4" w:rsidP="00A27EF6">
            <w:pPr>
              <w:spacing w:after="0"/>
              <w:jc w:val="right"/>
              <w:rPr>
                <w:rFonts w:ascii="Calibri" w:hAnsi="Calibri" w:cs="Calibri"/>
                <w:b/>
                <w:noProof/>
                <w:lang w:val="it-IT"/>
              </w:rPr>
            </w:pPr>
            <w:r w:rsidRPr="00BF0169">
              <w:rPr>
                <w:rFonts w:ascii="Calibri" w:hAnsi="Calibri"/>
                <w:b/>
                <w:noProof/>
                <w:lang w:val="it-IT"/>
              </w:rPr>
              <w:t>29</w:t>
            </w:r>
          </w:p>
        </w:tc>
        <w:tc>
          <w:tcPr>
            <w:tcW w:w="1154" w:type="dxa"/>
            <w:tcBorders>
              <w:top w:val="single" w:sz="4" w:space="0" w:color="9BC2E6"/>
              <w:left w:val="nil"/>
              <w:bottom w:val="single" w:sz="4" w:space="0" w:color="9BC2E6"/>
            </w:tcBorders>
            <w:shd w:val="clear" w:color="auto" w:fill="auto"/>
            <w:noWrap/>
            <w:vAlign w:val="bottom"/>
          </w:tcPr>
          <w:p w14:paraId="3080A2AD" w14:textId="77777777" w:rsidR="00773F49" w:rsidRPr="00BF0169" w:rsidRDefault="002303B4" w:rsidP="00A27EF6">
            <w:pPr>
              <w:spacing w:after="0"/>
              <w:jc w:val="right"/>
              <w:rPr>
                <w:rFonts w:ascii="Calibri" w:hAnsi="Calibri" w:cs="Calibri"/>
                <w:b/>
                <w:noProof/>
                <w:lang w:val="it-IT"/>
              </w:rPr>
            </w:pPr>
            <w:r w:rsidRPr="00BF0169">
              <w:rPr>
                <w:rFonts w:ascii="Calibri" w:hAnsi="Calibri"/>
                <w:b/>
                <w:noProof/>
                <w:lang w:val="it-IT"/>
              </w:rPr>
              <w:t>1,9</w:t>
            </w:r>
          </w:p>
        </w:tc>
        <w:tc>
          <w:tcPr>
            <w:tcW w:w="1114" w:type="dxa"/>
            <w:tcBorders>
              <w:top w:val="single" w:sz="4" w:space="0" w:color="9BC2E6"/>
              <w:left w:val="nil"/>
              <w:bottom w:val="single" w:sz="4" w:space="0" w:color="9BC2E6"/>
              <w:right w:val="nil"/>
            </w:tcBorders>
            <w:shd w:val="clear" w:color="auto" w:fill="auto"/>
            <w:noWrap/>
            <w:vAlign w:val="bottom"/>
          </w:tcPr>
          <w:p w14:paraId="51ED89C2" w14:textId="77777777" w:rsidR="00773F49" w:rsidRPr="00BF0169" w:rsidRDefault="002303B4" w:rsidP="00A27EF6">
            <w:pPr>
              <w:spacing w:after="0"/>
              <w:jc w:val="right"/>
              <w:rPr>
                <w:rFonts w:ascii="Calibri" w:hAnsi="Calibri" w:cs="Calibri"/>
                <w:b/>
                <w:noProof/>
                <w:lang w:val="it-IT"/>
              </w:rPr>
            </w:pPr>
            <w:r w:rsidRPr="00BF0169">
              <w:rPr>
                <w:rFonts w:ascii="Calibri" w:hAnsi="Calibri"/>
                <w:b/>
                <w:noProof/>
                <w:lang w:val="it-IT"/>
              </w:rPr>
              <w:t>86</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20CAB92F" w14:textId="77777777" w:rsidR="00773F49" w:rsidRPr="00BF0169" w:rsidRDefault="002303B4" w:rsidP="00A27EF6">
            <w:pPr>
              <w:spacing w:after="0"/>
              <w:jc w:val="right"/>
              <w:rPr>
                <w:rFonts w:ascii="Calibri" w:hAnsi="Calibri" w:cs="Calibri"/>
                <w:b/>
                <w:noProof/>
                <w:lang w:val="it-IT"/>
              </w:rPr>
            </w:pPr>
            <w:r w:rsidRPr="00BF0169">
              <w:rPr>
                <w:rFonts w:ascii="Calibri" w:hAnsi="Calibri"/>
                <w:b/>
                <w:noProof/>
                <w:lang w:val="it-IT"/>
              </w:rPr>
              <w:t>4,2</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1C2F1485" w14:textId="189864F0" w:rsidR="00773F49" w:rsidRPr="00BF0169" w:rsidRDefault="008D0328" w:rsidP="00A27EF6">
            <w:pPr>
              <w:spacing w:after="0"/>
              <w:jc w:val="right"/>
              <w:rPr>
                <w:rFonts w:ascii="Calibri" w:hAnsi="Calibri" w:cs="Calibri"/>
                <w:b/>
                <w:noProof/>
                <w:lang w:val="it-IT"/>
              </w:rPr>
            </w:pPr>
            <w:r w:rsidRPr="00BF0169">
              <w:rPr>
                <w:rFonts w:ascii="Calibri" w:hAnsi="Calibri"/>
                <w:b/>
                <w:noProof/>
                <w:lang w:val="it-IT"/>
              </w:rPr>
              <w:t>0,10 %</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53300FD" w14:textId="5E9B2CD9" w:rsidR="00773F49" w:rsidRPr="00BF0169" w:rsidRDefault="008D0328" w:rsidP="00A27EF6">
            <w:pPr>
              <w:spacing w:after="0"/>
              <w:jc w:val="right"/>
              <w:rPr>
                <w:rFonts w:ascii="Calibri" w:hAnsi="Calibri" w:cs="Calibri"/>
                <w:b/>
                <w:noProof/>
                <w:lang w:val="it-IT"/>
              </w:rPr>
            </w:pPr>
            <w:r w:rsidRPr="00BF0169">
              <w:rPr>
                <w:rFonts w:ascii="Calibri" w:hAnsi="Calibri"/>
                <w:b/>
                <w:noProof/>
                <w:lang w:val="it-IT"/>
              </w:rPr>
              <w:t>0,22 %</w:t>
            </w:r>
          </w:p>
        </w:tc>
      </w:tr>
      <w:tr w:rsidR="00773F49" w:rsidRPr="00BF0169" w14:paraId="477F1DA8" w14:textId="77777777" w:rsidTr="00BF4843">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DEEAF6" w:themeFill="accent1" w:themeFillTint="33"/>
            <w:noWrap/>
            <w:vAlign w:val="bottom"/>
            <w:hideMark/>
          </w:tcPr>
          <w:p w14:paraId="15BEFE93" w14:textId="4B359500" w:rsidR="00773F49"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Assistenza preadesione</w:t>
            </w:r>
          </w:p>
        </w:tc>
        <w:tc>
          <w:tcPr>
            <w:tcW w:w="1096" w:type="dxa"/>
            <w:tcBorders>
              <w:top w:val="single" w:sz="4" w:space="0" w:color="9BC2E6"/>
              <w:left w:val="single" w:sz="4" w:space="0" w:color="9BC2E6"/>
              <w:bottom w:val="single" w:sz="4" w:space="0" w:color="9BC2E6"/>
              <w:right w:val="nil"/>
            </w:tcBorders>
            <w:shd w:val="clear" w:color="auto" w:fill="DEEAF6" w:themeFill="accent1" w:themeFillTint="33"/>
            <w:noWrap/>
            <w:vAlign w:val="bottom"/>
          </w:tcPr>
          <w:p w14:paraId="5B390A2B" w14:textId="77777777" w:rsidR="00773F49" w:rsidRPr="00BF0169" w:rsidRDefault="00773F49" w:rsidP="00A27EF6">
            <w:pPr>
              <w:spacing w:after="0"/>
              <w:jc w:val="right"/>
              <w:rPr>
                <w:rFonts w:ascii="Calibri" w:hAnsi="Calibri" w:cs="Calibri"/>
                <w:i/>
                <w:noProof/>
                <w:sz w:val="18"/>
                <w:lang w:val="it-IT"/>
              </w:rPr>
            </w:pPr>
          </w:p>
        </w:tc>
        <w:tc>
          <w:tcPr>
            <w:tcW w:w="1154" w:type="dxa"/>
            <w:tcBorders>
              <w:top w:val="single" w:sz="4" w:space="0" w:color="9BC2E6"/>
              <w:left w:val="nil"/>
              <w:bottom w:val="single" w:sz="4" w:space="0" w:color="9BC2E6"/>
            </w:tcBorders>
            <w:shd w:val="clear" w:color="auto" w:fill="DEEAF6" w:themeFill="accent1" w:themeFillTint="33"/>
            <w:noWrap/>
            <w:vAlign w:val="bottom"/>
          </w:tcPr>
          <w:p w14:paraId="3647F960" w14:textId="77777777" w:rsidR="00773F49" w:rsidRPr="00BF0169" w:rsidRDefault="00773F49" w:rsidP="00A27EF6">
            <w:pPr>
              <w:spacing w:after="0"/>
              <w:jc w:val="right"/>
              <w:rPr>
                <w:rFonts w:ascii="Calibri" w:hAnsi="Calibri" w:cs="Calibri"/>
                <w:i/>
                <w:noProof/>
                <w:sz w:val="18"/>
                <w:lang w:val="it-IT"/>
              </w:rPr>
            </w:pPr>
          </w:p>
        </w:tc>
        <w:tc>
          <w:tcPr>
            <w:tcW w:w="1114" w:type="dxa"/>
            <w:tcBorders>
              <w:top w:val="single" w:sz="4" w:space="0" w:color="9BC2E6"/>
              <w:left w:val="nil"/>
              <w:bottom w:val="single" w:sz="4" w:space="0" w:color="9BC2E6"/>
              <w:right w:val="nil"/>
            </w:tcBorders>
            <w:shd w:val="clear" w:color="auto" w:fill="DEEAF6" w:themeFill="accent1" w:themeFillTint="33"/>
            <w:noWrap/>
            <w:vAlign w:val="bottom"/>
          </w:tcPr>
          <w:p w14:paraId="0236A4FB" w14:textId="77777777" w:rsidR="00773F49"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1</w:t>
            </w:r>
          </w:p>
        </w:tc>
        <w:tc>
          <w:tcPr>
            <w:tcW w:w="1169" w:type="dxa"/>
            <w:tcBorders>
              <w:top w:val="single" w:sz="4" w:space="0" w:color="9BC2E6"/>
              <w:left w:val="nil"/>
              <w:bottom w:val="single" w:sz="4" w:space="0" w:color="9BC2E6"/>
              <w:right w:val="single" w:sz="4" w:space="0" w:color="9BC2E6"/>
            </w:tcBorders>
            <w:shd w:val="clear" w:color="auto" w:fill="DEEAF6" w:themeFill="accent1" w:themeFillTint="33"/>
            <w:noWrap/>
            <w:vAlign w:val="bottom"/>
          </w:tcPr>
          <w:p w14:paraId="0563E124" w14:textId="77777777" w:rsidR="00773F49" w:rsidRPr="00BF0169" w:rsidRDefault="0055155F" w:rsidP="0055155F">
            <w:pPr>
              <w:spacing w:after="0"/>
              <w:jc w:val="right"/>
              <w:rPr>
                <w:rFonts w:ascii="Calibri" w:hAnsi="Calibri" w:cs="Calibri"/>
                <w:i/>
                <w:noProof/>
                <w:sz w:val="18"/>
                <w:lang w:val="it-IT"/>
              </w:rPr>
            </w:pPr>
            <w:r w:rsidRPr="00BF0169">
              <w:rPr>
                <w:rFonts w:ascii="Calibri" w:hAnsi="Calibri"/>
                <w:i/>
                <w:noProof/>
                <w:sz w:val="18"/>
                <w:lang w:val="it-IT"/>
              </w:rPr>
              <w:t>0,4</w:t>
            </w:r>
          </w:p>
        </w:tc>
        <w:tc>
          <w:tcPr>
            <w:tcW w:w="957" w:type="dxa"/>
            <w:tcBorders>
              <w:top w:val="single" w:sz="4" w:space="0" w:color="9BC2E6"/>
              <w:left w:val="single" w:sz="4" w:space="0" w:color="9BC2E6"/>
              <w:bottom w:val="single" w:sz="4" w:space="0" w:color="9BC2E6"/>
              <w:right w:val="single" w:sz="4" w:space="0" w:color="9BC2E6"/>
            </w:tcBorders>
            <w:shd w:val="clear" w:color="auto" w:fill="DEEAF6" w:themeFill="accent1" w:themeFillTint="33"/>
            <w:noWrap/>
            <w:vAlign w:val="bottom"/>
          </w:tcPr>
          <w:p w14:paraId="63C0DF25" w14:textId="25D45C2E"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w:t>
            </w:r>
          </w:p>
        </w:tc>
        <w:tc>
          <w:tcPr>
            <w:tcW w:w="992" w:type="dxa"/>
            <w:tcBorders>
              <w:top w:val="single" w:sz="4" w:space="0" w:color="9BC2E6"/>
              <w:left w:val="single" w:sz="4" w:space="0" w:color="9BC2E6"/>
              <w:bottom w:val="single" w:sz="4" w:space="0" w:color="9BC2E6"/>
              <w:right w:val="single" w:sz="4" w:space="0" w:color="9BC2E6"/>
            </w:tcBorders>
            <w:shd w:val="clear" w:color="auto" w:fill="DEEAF6" w:themeFill="accent1" w:themeFillTint="33"/>
            <w:noWrap/>
            <w:vAlign w:val="bottom"/>
          </w:tcPr>
          <w:p w14:paraId="793D80B2" w14:textId="7AFD34A0"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w:t>
            </w:r>
          </w:p>
        </w:tc>
      </w:tr>
      <w:tr w:rsidR="00773F49" w:rsidRPr="00BF0169" w14:paraId="6D3198E5" w14:textId="77777777" w:rsidTr="00BF4843">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FFFFFF" w:themeFill="background1"/>
            <w:noWrap/>
            <w:vAlign w:val="bottom"/>
            <w:hideMark/>
          </w:tcPr>
          <w:p w14:paraId="72A18C92" w14:textId="0D60D6A8" w:rsidR="00773F49"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Strumento di assistenza preadesione I</w:t>
            </w:r>
          </w:p>
        </w:tc>
        <w:tc>
          <w:tcPr>
            <w:tcW w:w="1096" w:type="dxa"/>
            <w:tcBorders>
              <w:top w:val="single" w:sz="4" w:space="0" w:color="9BC2E6"/>
              <w:left w:val="single" w:sz="4" w:space="0" w:color="9BC2E6"/>
              <w:bottom w:val="single" w:sz="4" w:space="0" w:color="9BC2E6"/>
              <w:right w:val="nil"/>
            </w:tcBorders>
            <w:shd w:val="clear" w:color="auto" w:fill="FFFFFF" w:themeFill="background1"/>
            <w:noWrap/>
            <w:vAlign w:val="bottom"/>
          </w:tcPr>
          <w:p w14:paraId="3A9AB560" w14:textId="77777777" w:rsidR="00773F49"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4</w:t>
            </w:r>
          </w:p>
        </w:tc>
        <w:tc>
          <w:tcPr>
            <w:tcW w:w="1154" w:type="dxa"/>
            <w:tcBorders>
              <w:top w:val="single" w:sz="4" w:space="0" w:color="9BC2E6"/>
              <w:left w:val="nil"/>
              <w:bottom w:val="single" w:sz="4" w:space="0" w:color="9BC2E6"/>
            </w:tcBorders>
            <w:shd w:val="clear" w:color="auto" w:fill="FFFFFF" w:themeFill="background1"/>
            <w:noWrap/>
            <w:vAlign w:val="bottom"/>
          </w:tcPr>
          <w:p w14:paraId="5C2CF2EC" w14:textId="77777777" w:rsidR="00773F49"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0,4</w:t>
            </w:r>
          </w:p>
        </w:tc>
        <w:tc>
          <w:tcPr>
            <w:tcW w:w="1114" w:type="dxa"/>
            <w:tcBorders>
              <w:top w:val="single" w:sz="4" w:space="0" w:color="9BC2E6"/>
              <w:left w:val="nil"/>
              <w:bottom w:val="single" w:sz="4" w:space="0" w:color="9BC2E6"/>
              <w:right w:val="nil"/>
            </w:tcBorders>
            <w:shd w:val="clear" w:color="auto" w:fill="FFFFFF" w:themeFill="background1"/>
            <w:noWrap/>
            <w:vAlign w:val="bottom"/>
          </w:tcPr>
          <w:p w14:paraId="437039C6" w14:textId="77777777" w:rsidR="00773F49"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29</w:t>
            </w:r>
          </w:p>
        </w:tc>
        <w:tc>
          <w:tcPr>
            <w:tcW w:w="1169" w:type="dxa"/>
            <w:tcBorders>
              <w:top w:val="single" w:sz="4" w:space="0" w:color="9BC2E6"/>
              <w:left w:val="nil"/>
              <w:bottom w:val="single" w:sz="4" w:space="0" w:color="9BC2E6"/>
              <w:right w:val="single" w:sz="4" w:space="0" w:color="9BC2E6"/>
            </w:tcBorders>
            <w:shd w:val="clear" w:color="auto" w:fill="FFFFFF" w:themeFill="background1"/>
            <w:noWrap/>
            <w:vAlign w:val="bottom"/>
          </w:tcPr>
          <w:p w14:paraId="43654C4D" w14:textId="77777777" w:rsidR="00773F49"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2,3</w:t>
            </w:r>
          </w:p>
        </w:tc>
        <w:tc>
          <w:tcPr>
            <w:tcW w:w="957" w:type="dxa"/>
            <w:tcBorders>
              <w:top w:val="single" w:sz="4" w:space="0" w:color="9BC2E6"/>
              <w:left w:val="single" w:sz="4" w:space="0" w:color="9BC2E6"/>
              <w:bottom w:val="single" w:sz="4" w:space="0" w:color="9BC2E6"/>
              <w:right w:val="single" w:sz="4" w:space="0" w:color="9BC2E6"/>
            </w:tcBorders>
            <w:shd w:val="clear" w:color="auto" w:fill="FFFFFF" w:themeFill="background1"/>
            <w:noWrap/>
            <w:vAlign w:val="bottom"/>
          </w:tcPr>
          <w:p w14:paraId="202D0AFA" w14:textId="2D7F9D3F"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w:t>
            </w:r>
          </w:p>
        </w:tc>
        <w:tc>
          <w:tcPr>
            <w:tcW w:w="992" w:type="dxa"/>
            <w:tcBorders>
              <w:top w:val="single" w:sz="4" w:space="0" w:color="9BC2E6"/>
              <w:left w:val="single" w:sz="4" w:space="0" w:color="9BC2E6"/>
              <w:bottom w:val="single" w:sz="4" w:space="0" w:color="9BC2E6"/>
              <w:right w:val="single" w:sz="4" w:space="0" w:color="9BC2E6"/>
            </w:tcBorders>
            <w:shd w:val="clear" w:color="auto" w:fill="FFFFFF" w:themeFill="background1"/>
            <w:noWrap/>
            <w:vAlign w:val="bottom"/>
          </w:tcPr>
          <w:p w14:paraId="7B0AECF6" w14:textId="13B80331" w:rsidR="00773F49"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w:t>
            </w:r>
          </w:p>
        </w:tc>
      </w:tr>
      <w:tr w:rsidR="0055155F" w:rsidRPr="00BF0169" w14:paraId="3B818F11"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22C36907" w14:textId="26C6D8B5" w:rsidR="0055155F"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Strumento di assistenza preadesione II</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3DA0F14F" w14:textId="77777777" w:rsidR="0055155F"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25</w:t>
            </w:r>
          </w:p>
        </w:tc>
        <w:tc>
          <w:tcPr>
            <w:tcW w:w="1154" w:type="dxa"/>
            <w:tcBorders>
              <w:top w:val="single" w:sz="4" w:space="0" w:color="9BC2E6"/>
              <w:left w:val="nil"/>
              <w:bottom w:val="single" w:sz="4" w:space="0" w:color="9BC2E6"/>
            </w:tcBorders>
            <w:shd w:val="clear" w:color="DDEBF7" w:fill="DDEBF7"/>
            <w:noWrap/>
            <w:vAlign w:val="bottom"/>
          </w:tcPr>
          <w:p w14:paraId="62562D47" w14:textId="77777777" w:rsidR="0055155F"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1,5</w:t>
            </w:r>
          </w:p>
        </w:tc>
        <w:tc>
          <w:tcPr>
            <w:tcW w:w="1114" w:type="dxa"/>
            <w:tcBorders>
              <w:top w:val="single" w:sz="4" w:space="0" w:color="9BC2E6"/>
              <w:left w:val="nil"/>
              <w:bottom w:val="single" w:sz="4" w:space="0" w:color="9BC2E6"/>
              <w:right w:val="nil"/>
            </w:tcBorders>
            <w:shd w:val="clear" w:color="DDEBF7" w:fill="DDEBF7"/>
            <w:noWrap/>
            <w:vAlign w:val="bottom"/>
          </w:tcPr>
          <w:p w14:paraId="1F13E4DF" w14:textId="77777777" w:rsidR="0055155F"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56</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593FFDF3" w14:textId="77777777" w:rsidR="0055155F" w:rsidRPr="00BF0169" w:rsidRDefault="0055155F" w:rsidP="00A27EF6">
            <w:pPr>
              <w:spacing w:after="0"/>
              <w:jc w:val="right"/>
              <w:rPr>
                <w:rFonts w:ascii="Calibri" w:hAnsi="Calibri" w:cs="Calibri"/>
                <w:i/>
                <w:noProof/>
                <w:sz w:val="18"/>
                <w:lang w:val="it-IT"/>
              </w:rPr>
            </w:pPr>
            <w:r w:rsidRPr="00BF0169">
              <w:rPr>
                <w:rFonts w:ascii="Calibri" w:hAnsi="Calibri"/>
                <w:i/>
                <w:noProof/>
                <w:sz w:val="18"/>
                <w:lang w:val="it-IT"/>
              </w:rPr>
              <w:t>1,5</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06FE434D" w14:textId="52EDE920" w:rsidR="0055155F"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6368834A" w14:textId="7B7B4EF9" w:rsidR="0055155F" w:rsidRPr="00BF0169" w:rsidRDefault="008D0328" w:rsidP="00A27EF6">
            <w:pPr>
              <w:spacing w:after="0"/>
              <w:jc w:val="right"/>
              <w:rPr>
                <w:rFonts w:ascii="Calibri" w:hAnsi="Calibri" w:cs="Calibri"/>
                <w:i/>
                <w:noProof/>
                <w:sz w:val="18"/>
                <w:lang w:val="it-IT"/>
              </w:rPr>
            </w:pPr>
            <w:r w:rsidRPr="00BF0169">
              <w:rPr>
                <w:rFonts w:ascii="Calibri" w:hAnsi="Calibri"/>
                <w:i/>
                <w:noProof/>
                <w:sz w:val="18"/>
                <w:lang w:val="it-IT"/>
              </w:rPr>
              <w:t>-</w:t>
            </w:r>
          </w:p>
        </w:tc>
      </w:tr>
      <w:tr w:rsidR="00773F49" w:rsidRPr="00BF0169" w14:paraId="5DEAD303" w14:textId="77777777" w:rsidTr="00773F49">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745A4934" w14:textId="77777777" w:rsidR="00773F49" w:rsidRPr="00BF0169" w:rsidRDefault="00773F49" w:rsidP="00374350">
            <w:pPr>
              <w:spacing w:after="0"/>
              <w:jc w:val="right"/>
              <w:rPr>
                <w:rFonts w:ascii="Calibri" w:hAnsi="Calibri" w:cs="Calibri"/>
                <w:b/>
                <w:noProof/>
                <w:lang w:val="it-IT"/>
              </w:rPr>
            </w:pPr>
            <w:r w:rsidRPr="00BF0169">
              <w:rPr>
                <w:rFonts w:ascii="Calibri" w:hAnsi="Calibri"/>
                <w:b/>
                <w:noProof/>
                <w:lang w:val="it-IT"/>
              </w:rPr>
              <w:t>Spesa diretta</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46B73B6A" w14:textId="77777777" w:rsidR="00773F49" w:rsidRPr="00BF0169" w:rsidRDefault="00374350" w:rsidP="00374350">
            <w:pPr>
              <w:spacing w:after="0"/>
              <w:jc w:val="right"/>
              <w:rPr>
                <w:rFonts w:ascii="Calibri" w:hAnsi="Calibri" w:cs="Calibri"/>
                <w:b/>
                <w:noProof/>
                <w:lang w:val="it-IT"/>
              </w:rPr>
            </w:pPr>
            <w:r w:rsidRPr="00BF0169">
              <w:rPr>
                <w:rFonts w:ascii="Calibri" w:hAnsi="Calibri"/>
                <w:b/>
                <w:noProof/>
                <w:lang w:val="it-IT"/>
              </w:rPr>
              <w:t>54</w:t>
            </w:r>
          </w:p>
        </w:tc>
        <w:tc>
          <w:tcPr>
            <w:tcW w:w="1154" w:type="dxa"/>
            <w:tcBorders>
              <w:top w:val="single" w:sz="4" w:space="0" w:color="9BC2E6"/>
              <w:left w:val="nil"/>
              <w:bottom w:val="single" w:sz="4" w:space="0" w:color="9BC2E6"/>
            </w:tcBorders>
            <w:shd w:val="clear" w:color="auto" w:fill="auto"/>
            <w:noWrap/>
            <w:vAlign w:val="bottom"/>
          </w:tcPr>
          <w:p w14:paraId="7E6F1E28" w14:textId="77777777" w:rsidR="00773F49" w:rsidRPr="00BF0169" w:rsidRDefault="00374350" w:rsidP="00374350">
            <w:pPr>
              <w:spacing w:after="0"/>
              <w:jc w:val="right"/>
              <w:rPr>
                <w:rFonts w:ascii="Calibri" w:hAnsi="Calibri" w:cs="Calibri"/>
                <w:b/>
                <w:noProof/>
                <w:lang w:val="it-IT"/>
              </w:rPr>
            </w:pPr>
            <w:r w:rsidRPr="00BF0169">
              <w:rPr>
                <w:rFonts w:ascii="Calibri" w:hAnsi="Calibri"/>
                <w:b/>
                <w:noProof/>
                <w:lang w:val="it-IT"/>
              </w:rPr>
              <w:t>7,0</w:t>
            </w:r>
          </w:p>
        </w:tc>
        <w:tc>
          <w:tcPr>
            <w:tcW w:w="1114" w:type="dxa"/>
            <w:tcBorders>
              <w:top w:val="single" w:sz="4" w:space="0" w:color="9BC2E6"/>
              <w:left w:val="nil"/>
              <w:bottom w:val="single" w:sz="4" w:space="0" w:color="9BC2E6"/>
              <w:right w:val="nil"/>
            </w:tcBorders>
            <w:shd w:val="clear" w:color="auto" w:fill="auto"/>
            <w:noWrap/>
            <w:vAlign w:val="bottom"/>
          </w:tcPr>
          <w:p w14:paraId="07E4DDC5" w14:textId="77777777" w:rsidR="00773F49" w:rsidRPr="00BF0169" w:rsidRDefault="00374350" w:rsidP="00374350">
            <w:pPr>
              <w:spacing w:after="0"/>
              <w:jc w:val="right"/>
              <w:rPr>
                <w:rFonts w:ascii="Calibri" w:hAnsi="Calibri" w:cs="Calibri"/>
                <w:b/>
                <w:noProof/>
                <w:lang w:val="it-IT"/>
              </w:rPr>
            </w:pPr>
            <w:r w:rsidRPr="00BF0169">
              <w:rPr>
                <w:rFonts w:ascii="Calibri" w:hAnsi="Calibri"/>
                <w:b/>
                <w:noProof/>
                <w:lang w:val="it-IT"/>
              </w:rPr>
              <w:t>825</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721C7E25" w14:textId="77777777" w:rsidR="00773F49" w:rsidRPr="00BF0169" w:rsidRDefault="00442C1B" w:rsidP="00374350">
            <w:pPr>
              <w:spacing w:after="0"/>
              <w:jc w:val="right"/>
              <w:rPr>
                <w:rFonts w:ascii="Calibri" w:hAnsi="Calibri" w:cs="Calibri"/>
                <w:b/>
                <w:noProof/>
                <w:lang w:val="it-IT"/>
              </w:rPr>
            </w:pPr>
            <w:r w:rsidRPr="00BF0169">
              <w:rPr>
                <w:rFonts w:ascii="Calibri" w:hAnsi="Calibri"/>
                <w:b/>
                <w:noProof/>
                <w:lang w:val="it-IT"/>
              </w:rPr>
              <w:t>35,9</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4A203865" w14:textId="77777777" w:rsidR="00773F49" w:rsidRPr="00BF0169" w:rsidRDefault="00374350" w:rsidP="00374350">
            <w:pPr>
              <w:spacing w:after="0"/>
              <w:jc w:val="right"/>
              <w:rPr>
                <w:rFonts w:ascii="Calibri" w:hAnsi="Calibri" w:cs="Calibri"/>
                <w:b/>
                <w:noProof/>
                <w:lang w:val="it-IT"/>
              </w:rPr>
            </w:pPr>
            <w:r w:rsidRPr="00BF0169">
              <w:rPr>
                <w:rFonts w:ascii="Calibri" w:hAnsi="Calibri"/>
                <w:b/>
                <w:noProof/>
                <w:lang w:val="it-IT"/>
              </w:rPr>
              <w:t>0,03 %</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1204458" w14:textId="77777777" w:rsidR="00773F49" w:rsidRPr="00BF0169" w:rsidRDefault="00442C1B" w:rsidP="00374350">
            <w:pPr>
              <w:spacing w:after="0"/>
              <w:jc w:val="right"/>
              <w:rPr>
                <w:rFonts w:ascii="Calibri" w:hAnsi="Calibri" w:cs="Calibri"/>
                <w:b/>
                <w:noProof/>
                <w:lang w:val="it-IT"/>
              </w:rPr>
            </w:pPr>
            <w:r w:rsidRPr="00BF0169">
              <w:rPr>
                <w:rFonts w:ascii="Calibri" w:hAnsi="Calibri"/>
                <w:b/>
                <w:noProof/>
                <w:lang w:val="it-IT"/>
              </w:rPr>
              <w:t>0,16 %</w:t>
            </w:r>
          </w:p>
        </w:tc>
      </w:tr>
      <w:tr w:rsidR="00773F49" w:rsidRPr="00BF0169" w14:paraId="121CABC4"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4ADFB46" w14:textId="77777777" w:rsidR="00773F49" w:rsidRPr="00BF0169" w:rsidRDefault="00773F49" w:rsidP="00A27EF6">
            <w:pPr>
              <w:spacing w:after="0"/>
              <w:jc w:val="left"/>
              <w:rPr>
                <w:rFonts w:ascii="Calibri" w:hAnsi="Calibri" w:cs="Calibri"/>
                <w:b/>
                <w:noProof/>
                <w:lang w:val="it-IT"/>
              </w:rPr>
            </w:pPr>
            <w:r w:rsidRPr="00BF0169">
              <w:rPr>
                <w:rFonts w:ascii="Calibri" w:hAnsi="Calibri"/>
                <w:b/>
                <w:noProof/>
                <w:lang w:val="it-IT"/>
              </w:rPr>
              <w:t>TOTALE</w:t>
            </w:r>
          </w:p>
        </w:tc>
        <w:tc>
          <w:tcPr>
            <w:tcW w:w="1096" w:type="dxa"/>
            <w:tcBorders>
              <w:top w:val="single" w:sz="4" w:space="0" w:color="9BC2E6"/>
              <w:left w:val="single" w:sz="4" w:space="0" w:color="9BC2E6"/>
              <w:bottom w:val="single" w:sz="4" w:space="0" w:color="9BC2E6"/>
              <w:right w:val="nil"/>
            </w:tcBorders>
            <w:shd w:val="clear" w:color="DDEBF7" w:fill="DDEBF7"/>
            <w:noWrap/>
            <w:vAlign w:val="bottom"/>
            <w:hideMark/>
          </w:tcPr>
          <w:p w14:paraId="718D7675" w14:textId="77777777" w:rsidR="00773F49" w:rsidRPr="00BF0169" w:rsidRDefault="00442C1B" w:rsidP="00A27EF6">
            <w:pPr>
              <w:spacing w:after="0"/>
              <w:jc w:val="right"/>
              <w:rPr>
                <w:rFonts w:ascii="Calibri" w:hAnsi="Calibri" w:cs="Calibri"/>
                <w:b/>
                <w:noProof/>
                <w:lang w:val="it-IT"/>
              </w:rPr>
            </w:pPr>
            <w:r w:rsidRPr="00BF0169">
              <w:rPr>
                <w:rFonts w:ascii="Calibri" w:hAnsi="Calibri"/>
                <w:b/>
                <w:noProof/>
                <w:lang w:val="it-IT"/>
              </w:rPr>
              <w:t>548</w:t>
            </w:r>
          </w:p>
        </w:tc>
        <w:tc>
          <w:tcPr>
            <w:tcW w:w="1154" w:type="dxa"/>
            <w:tcBorders>
              <w:top w:val="single" w:sz="4" w:space="0" w:color="9BC2E6"/>
              <w:left w:val="nil"/>
              <w:bottom w:val="single" w:sz="4" w:space="0" w:color="9BC2E6"/>
            </w:tcBorders>
            <w:shd w:val="clear" w:color="DDEBF7" w:fill="DDEBF7"/>
            <w:noWrap/>
            <w:vAlign w:val="bottom"/>
          </w:tcPr>
          <w:p w14:paraId="5B065206" w14:textId="77777777" w:rsidR="00773F49" w:rsidRPr="00BF0169" w:rsidRDefault="00442C1B" w:rsidP="00A27EF6">
            <w:pPr>
              <w:spacing w:after="0"/>
              <w:jc w:val="right"/>
              <w:rPr>
                <w:rFonts w:ascii="Calibri" w:hAnsi="Calibri" w:cs="Calibri"/>
                <w:b/>
                <w:noProof/>
                <w:lang w:val="it-IT"/>
              </w:rPr>
            </w:pPr>
            <w:r w:rsidRPr="00BF0169">
              <w:rPr>
                <w:rFonts w:ascii="Calibri" w:hAnsi="Calibri"/>
                <w:b/>
                <w:noProof/>
                <w:lang w:val="it-IT"/>
              </w:rPr>
              <w:t>1 662,9</w:t>
            </w:r>
          </w:p>
        </w:tc>
        <w:tc>
          <w:tcPr>
            <w:tcW w:w="1114" w:type="dxa"/>
            <w:tcBorders>
              <w:top w:val="single" w:sz="4" w:space="0" w:color="9BC2E6"/>
              <w:left w:val="nil"/>
              <w:bottom w:val="single" w:sz="4" w:space="0" w:color="9BC2E6"/>
              <w:right w:val="nil"/>
            </w:tcBorders>
            <w:shd w:val="clear" w:color="DDEBF7" w:fill="DDEBF7"/>
            <w:noWrap/>
            <w:vAlign w:val="bottom"/>
          </w:tcPr>
          <w:p w14:paraId="1C85A332" w14:textId="5FC5A53E" w:rsidR="00773F49" w:rsidRPr="00BF0169" w:rsidRDefault="00442C1B">
            <w:pPr>
              <w:spacing w:after="0"/>
              <w:jc w:val="right"/>
              <w:rPr>
                <w:rFonts w:ascii="Calibri" w:hAnsi="Calibri" w:cs="Calibri"/>
                <w:b/>
                <w:noProof/>
                <w:lang w:val="it-IT"/>
              </w:rPr>
            </w:pPr>
            <w:r w:rsidRPr="00BF0169">
              <w:rPr>
                <w:rFonts w:ascii="Calibri" w:hAnsi="Calibri"/>
                <w:b/>
                <w:noProof/>
                <w:lang w:val="it-IT"/>
              </w:rPr>
              <w:t>6 682</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4DD28809" w14:textId="73F8FCE5" w:rsidR="00773F49" w:rsidRPr="00BF0169" w:rsidRDefault="00442C1B">
            <w:pPr>
              <w:spacing w:after="0"/>
              <w:jc w:val="right"/>
              <w:rPr>
                <w:rFonts w:ascii="Calibri" w:hAnsi="Calibri" w:cs="Calibri"/>
                <w:b/>
                <w:noProof/>
                <w:lang w:val="it-IT"/>
              </w:rPr>
            </w:pPr>
            <w:r w:rsidRPr="00BF0169">
              <w:rPr>
                <w:rFonts w:ascii="Calibri" w:hAnsi="Calibri"/>
                <w:b/>
                <w:noProof/>
                <w:lang w:val="it-IT"/>
              </w:rPr>
              <w:t>1 061,3</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20B99711" w14:textId="77777777" w:rsidR="00773F49" w:rsidRPr="00BF0169" w:rsidRDefault="00442C1B" w:rsidP="00A27EF6">
            <w:pPr>
              <w:spacing w:after="0"/>
              <w:jc w:val="right"/>
              <w:rPr>
                <w:rFonts w:ascii="Calibri" w:hAnsi="Calibri" w:cs="Calibri"/>
                <w:b/>
                <w:noProof/>
                <w:lang w:val="it-IT"/>
              </w:rPr>
            </w:pPr>
            <w:r w:rsidRPr="00BF0169">
              <w:rPr>
                <w:rFonts w:ascii="Calibri" w:hAnsi="Calibri"/>
                <w:b/>
                <w:noProof/>
                <w:lang w:val="it-IT"/>
              </w:rPr>
              <w:t>1,0 %</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0AE519D5" w14:textId="77777777" w:rsidR="00773F49" w:rsidRPr="00BF0169" w:rsidRDefault="00442C1B" w:rsidP="00A27EF6">
            <w:pPr>
              <w:spacing w:after="0"/>
              <w:jc w:val="right"/>
              <w:rPr>
                <w:rFonts w:ascii="Calibri" w:hAnsi="Calibri" w:cs="Calibri"/>
                <w:b/>
                <w:noProof/>
                <w:lang w:val="it-IT"/>
              </w:rPr>
            </w:pPr>
            <w:r w:rsidRPr="00BF0169">
              <w:rPr>
                <w:rFonts w:ascii="Calibri" w:hAnsi="Calibri"/>
                <w:b/>
                <w:noProof/>
                <w:lang w:val="it-IT"/>
              </w:rPr>
              <w:t>0,63 %</w:t>
            </w:r>
          </w:p>
        </w:tc>
      </w:tr>
    </w:tbl>
    <w:p w14:paraId="70F63832" w14:textId="77777777" w:rsidR="00FB5CF5" w:rsidRPr="00BF0169" w:rsidRDefault="00D10B75" w:rsidP="00CD7B44">
      <w:pPr>
        <w:pStyle w:val="Heading3"/>
        <w:rPr>
          <w:noProof/>
          <w:lang w:val="it-IT"/>
        </w:rPr>
      </w:pPr>
      <w:bookmarkStart w:id="81" w:name="_Toc116319660"/>
      <w:r w:rsidRPr="00BF0169">
        <w:rPr>
          <w:noProof/>
          <w:lang w:val="it-IT"/>
        </w:rPr>
        <w:t>Gestione concorrente</w:t>
      </w:r>
      <w:bookmarkEnd w:id="81"/>
    </w:p>
    <w:p w14:paraId="30D6C6A2" w14:textId="381AE857" w:rsidR="00D10B75" w:rsidRPr="00BF0169" w:rsidRDefault="00490854" w:rsidP="00D10B75">
      <w:pPr>
        <w:rPr>
          <w:noProof/>
          <w:lang w:val="it-IT"/>
        </w:rPr>
      </w:pPr>
      <w:r w:rsidRPr="00BF0169">
        <w:rPr>
          <w:noProof/>
          <w:lang w:val="en-GB" w:eastAsia="en-GB"/>
        </w:rPr>
        <mc:AlternateContent>
          <mc:Choice Requires="wpg">
            <w:drawing>
              <wp:anchor distT="45720" distB="45720" distL="182880" distR="182880" simplePos="0" relativeHeight="251652096" behindDoc="0" locked="0" layoutInCell="1" allowOverlap="0" wp14:anchorId="75AFE460" wp14:editId="3B63FC93">
                <wp:simplePos x="0" y="0"/>
                <wp:positionH relativeFrom="margin">
                  <wp:posOffset>-1270</wp:posOffset>
                </wp:positionH>
                <wp:positionV relativeFrom="paragraph">
                  <wp:posOffset>62230</wp:posOffset>
                </wp:positionV>
                <wp:extent cx="3200400" cy="2057400"/>
                <wp:effectExtent l="0" t="0" r="19050" b="19050"/>
                <wp:wrapSquare wrapText="bothSides"/>
                <wp:docPr id="9" name="Group 9"/>
                <wp:cNvGraphicFramePr/>
                <a:graphic xmlns:a="http://schemas.openxmlformats.org/drawingml/2006/main">
                  <a:graphicData uri="http://schemas.microsoft.com/office/word/2010/wordprocessingGroup">
                    <wpg:wgp>
                      <wpg:cNvGrpSpPr/>
                      <wpg:grpSpPr>
                        <a:xfrm>
                          <a:off x="0" y="0"/>
                          <a:ext cx="3200400" cy="2057400"/>
                          <a:chOff x="0" y="0"/>
                          <a:chExt cx="3567448" cy="996886"/>
                        </a:xfrm>
                      </wpg:grpSpPr>
                      <wps:wsp>
                        <wps:cNvPr id="11" name="Rectangle 9"/>
                        <wps:cNvSpPr/>
                        <wps:spPr>
                          <a:xfrm>
                            <a:off x="0" y="0"/>
                            <a:ext cx="3567448" cy="261529"/>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4D978" w14:textId="77777777" w:rsidR="00FB4C5F" w:rsidRPr="00067593" w:rsidRDefault="00FB4C5F" w:rsidP="00F01009">
                              <w:pPr>
                                <w:jc w:val="center"/>
                                <w:rPr>
                                  <w:rFonts w:eastAsiaTheme="majorEastAsia"/>
                                  <w:b/>
                                  <w:color w:val="FFFFFF" w:themeColor="background1"/>
                                  <w:lang w:val="it-IT"/>
                                </w:rPr>
                              </w:pPr>
                              <w:r w:rsidRPr="00067593">
                                <w:rPr>
                                  <w:b/>
                                  <w:color w:val="FFFFFF" w:themeColor="background1"/>
                                  <w:lang w:val="it-IT"/>
                                </w:rPr>
                                <w:t>Agricoltura: variazione dei dati del 2021 rispetto alla media quinquennale 2017-2021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2" name="Text Box 11"/>
                        <wps:cNvSpPr txBox="1"/>
                        <wps:spPr>
                          <a:xfrm>
                            <a:off x="0" y="261529"/>
                            <a:ext cx="3567448" cy="735357"/>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C337537" w14:textId="77777777" w:rsidR="00FB4C5F" w:rsidRPr="00067593" w:rsidRDefault="00FB4C5F" w:rsidP="00F01009">
                              <w:pPr>
                                <w:spacing w:after="0"/>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w:t>
                              </w:r>
                              <w:r w:rsidRPr="00067593">
                                <w:rPr>
                                  <w:color w:val="000000" w:themeColor="text1"/>
                                  <w:sz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numero di irregolarità fraudolente e non fraudolente</w:t>
                              </w:r>
                            </w:p>
                            <w:p w14:paraId="5D24CC5E" w14:textId="77777777" w:rsidR="00FB4C5F" w:rsidRPr="00067593" w:rsidRDefault="00FB4C5F" w:rsidP="00F01009">
                              <w:pPr>
                                <w:spacing w:after="0"/>
                                <w:jc w:val="left"/>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- 28 %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fraudolente</w:t>
                              </w:r>
                            </w:p>
                            <w:p w14:paraId="67C1290F" w14:textId="77777777" w:rsidR="00FB4C5F" w:rsidRPr="00067593" w:rsidRDefault="00FB4C5F" w:rsidP="00F01009">
                              <w:pPr>
                                <w:spacing w:after="0"/>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non fraudolente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5AFE460" id="Group 9" o:spid="_x0000_s1029" style="position:absolute;left:0;text-align:left;margin-left:-.1pt;margin-top:4.9pt;width:252pt;height:162pt;z-index:251652096;mso-wrap-distance-left:14.4pt;mso-wrap-distance-top:3.6pt;mso-wrap-distance-right:14.4pt;mso-wrap-distance-bottom:3.6pt;mso-position-horizontal-relative:margin;mso-width-relative:margin;mso-height-relative:margin" coordsize="35674,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" o:allowoverlap="f">
                <v:rect id="Rectangle 9" o:spid="_x0000_s1030" style="position:absolute;width:35674;height:2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" fillcolor="#5b9bd5 [3204]" strokecolor="#44546a [3215]" strokeweight="1pt">
                  <v:textbox>
                    <w:txbxContent>
                      <w:p w14:paraId="2AB4D978" w14:textId="77777777" w:rsidR="00FB4C5F" w:rsidRPr="00067593" w:rsidRDefault="00FB4C5F" w:rsidP="00F01009">
                        <w:pPr>
                          <w:jc w:val="center"/>
                          <w:rPr>
                            <w:rFonts w:eastAsiaTheme="majorEastAsia"/>
                            <w:b/>
                            <w:color w:val="FFFFFF" w:themeColor="background1"/>
                            <w:lang w:val="it-IT"/>
                          </w:rPr>
                        </w:pPr>
                        <w:r w:rsidRPr="00067593">
                          <w:rPr>
                            <w:b/>
                            <w:color w:val="FFFFFF" w:themeColor="background1"/>
                            <w:lang w:val="it-IT"/>
                          </w:rPr>
                          <w:t>Agricoltura: variazione dei dati del 2021 rispetto alla media quinquennale 2017-2021</w:t>
                        </w:r>
                      </w:p>
                    </w:txbxContent>
                  </v:textbox>
                </v:rect>
                <v:shape id="Text Box 11" o:spid="_x0000_s1031" type="#_x0000_t202" style="position:absolute;top:2615;width:35674;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" filled="f" strokecolor="#44546a [3215]" strokeweight=".5pt">
                  <v:textbox inset=",7.2pt,,0">
                    <w:txbxContent>
                      <w:p w14:paraId="7C337537" w14:textId="77777777" w:rsidR="00FB4C5F" w:rsidRPr="00067593" w:rsidRDefault="00FB4C5F" w:rsidP="00F01009">
                        <w:pPr>
                          <w:spacing w:after="0"/>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w:t>
                        </w:r>
                        <w:r w:rsidRPr="00067593">
                          <w:rPr>
                            <w:color w:val="000000" w:themeColor="text1"/>
                            <w:sz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numero di irregolarità fraudolente e non fraudolente</w:t>
                        </w:r>
                      </w:p>
                      <w:p w14:paraId="5D24CC5E" w14:textId="77777777" w:rsidR="00FB4C5F" w:rsidRPr="00067593" w:rsidRDefault="00FB4C5F" w:rsidP="00F01009">
                        <w:pPr>
                          <w:spacing w:after="0"/>
                          <w:jc w:val="left"/>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- 28 %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fraudolente</w:t>
                        </w:r>
                      </w:p>
                      <w:p w14:paraId="67C1290F" w14:textId="77777777" w:rsidR="00FB4C5F" w:rsidRPr="00067593" w:rsidRDefault="00FB4C5F" w:rsidP="00F01009">
                        <w:pPr>
                          <w:spacing w:after="0"/>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non fraudolente</w:t>
                        </w:r>
                      </w:p>
                    </w:txbxContent>
                  </v:textbox>
                </v:shape>
                <w10:wrap type="square" anchorx="margin"/>
              </v:group>
            </w:pict>
          </mc:Fallback>
        </mc:AlternateContent>
      </w:r>
      <w:r w:rsidRPr="00BF0169">
        <w:rPr>
          <w:b/>
          <w:noProof/>
          <w:lang w:val="it-IT"/>
        </w:rPr>
        <w:t>Agricoltura</w:t>
      </w:r>
      <w:r w:rsidRPr="00BF0169">
        <w:rPr>
          <w:rStyle w:val="FootnoteReference"/>
          <w:b/>
          <w:noProof/>
          <w:lang w:val="it-IT"/>
        </w:rPr>
        <w:footnoteReference w:id="94"/>
      </w:r>
      <w:r w:rsidRPr="00BF0169">
        <w:rPr>
          <w:b/>
          <w:noProof/>
          <w:lang w:val="it-IT"/>
        </w:rPr>
        <w:t xml:space="preserve"> </w:t>
      </w:r>
      <w:r w:rsidRPr="00BF0169">
        <w:rPr>
          <w:noProof/>
          <w:lang w:val="it-IT"/>
        </w:rPr>
        <w:t>– L</w:t>
      </w:r>
      <w:r w:rsidR="00BF0169" w:rsidRPr="00BF0169">
        <w:rPr>
          <w:noProof/>
          <w:lang w:val="it-IT"/>
        </w:rPr>
        <w:t>'</w:t>
      </w:r>
      <w:r w:rsidRPr="00BF0169">
        <w:rPr>
          <w:noProof/>
          <w:lang w:val="it-IT"/>
        </w:rPr>
        <w:t>analisi del quinquennio (2017-2021) conferma le principali tendenze evidenziate nelle precedenti relazioni PIF</w:t>
      </w:r>
      <w:r w:rsidRPr="00BF0169">
        <w:rPr>
          <w:rStyle w:val="FootnoteReference"/>
          <w:noProof/>
          <w:lang w:val="it-IT"/>
        </w:rPr>
        <w:footnoteReference w:id="95"/>
      </w:r>
      <w:r w:rsidRPr="00BF0169">
        <w:rPr>
          <w:noProof/>
          <w:lang w:val="it-IT"/>
        </w:rPr>
        <w:t>. Anche se in progressivo aumento, le irregolarità fraudolente nello sviluppo rurale relative al periodo di programmazione 2014-2020 sono comunque inferiori a quelle segnalate per il periodo 2007-2013 dopo un periodo di attuazione comparabile. Le segnalazioni di frodi nel contesto del sostegno a favore dell</w:t>
      </w:r>
      <w:r w:rsidR="00BF0169" w:rsidRPr="00BF0169">
        <w:rPr>
          <w:noProof/>
          <w:lang w:val="it-IT"/>
        </w:rPr>
        <w:t>'</w:t>
      </w:r>
      <w:r w:rsidRPr="00BF0169">
        <w:rPr>
          <w:noProof/>
          <w:lang w:val="it-IT"/>
        </w:rPr>
        <w:t>agricoltura (compresi gli aiuti diretti e le misure di mercato) rimangono abbastanza stabili nel tempo, anche se nel 2021</w:t>
      </w:r>
      <w:r w:rsidR="00D1293E" w:rsidRPr="00BF0169">
        <w:rPr>
          <w:noProof/>
          <w:lang w:val="it-IT"/>
        </w:rPr>
        <w:t xml:space="preserve"> è stato registrato un calo del </w:t>
      </w:r>
      <w:r w:rsidRPr="00BF0169">
        <w:rPr>
          <w:noProof/>
          <w:lang w:val="it-IT"/>
        </w:rPr>
        <w:t>17 % rispetto all</w:t>
      </w:r>
      <w:r w:rsidR="00BF0169" w:rsidRPr="00BF0169">
        <w:rPr>
          <w:noProof/>
          <w:lang w:val="it-IT"/>
        </w:rPr>
        <w:t>'</w:t>
      </w:r>
      <w:r w:rsidRPr="00BF0169">
        <w:rPr>
          <w:noProof/>
          <w:lang w:val="it-IT"/>
        </w:rPr>
        <w:t>anno precedente. L</w:t>
      </w:r>
      <w:r w:rsidR="00BF0169" w:rsidRPr="00BF0169">
        <w:rPr>
          <w:noProof/>
          <w:lang w:val="it-IT"/>
        </w:rPr>
        <w:t>'</w:t>
      </w:r>
      <w:r w:rsidRPr="00BF0169">
        <w:rPr>
          <w:noProof/>
          <w:lang w:val="it-IT"/>
        </w:rPr>
        <w:t xml:space="preserve">incidenza delle frodi segnalate rispetto ai pagamenti rimane molto esigua per i pagamenti diretti. Risulta essere la più elevata per le misure di mercato, in particolare nel </w:t>
      </w:r>
      <w:r w:rsidRPr="00BF0169">
        <w:rPr>
          <w:b/>
          <w:noProof/>
          <w:lang w:val="it-IT"/>
        </w:rPr>
        <w:t xml:space="preserve">settore dei prodotti ortofrutticoli </w:t>
      </w:r>
      <w:r w:rsidRPr="00BF0169">
        <w:rPr>
          <w:noProof/>
          <w:lang w:val="it-IT"/>
        </w:rPr>
        <w:t xml:space="preserve">e in relazione ai </w:t>
      </w:r>
      <w:r w:rsidRPr="00BF0169">
        <w:rPr>
          <w:b/>
          <w:noProof/>
          <w:lang w:val="it-IT"/>
        </w:rPr>
        <w:t>programmi nazionali di sostegno nel settore vitivinicolo</w:t>
      </w:r>
      <w:r w:rsidRPr="00BF0169">
        <w:rPr>
          <w:noProof/>
          <w:lang w:val="it-IT"/>
        </w:rPr>
        <w:t xml:space="preserve">. Gli importi finanziari interessati sono stati relativamente elevati anche per la misura di mercato specificamente connessa alla </w:t>
      </w:r>
      <w:r w:rsidRPr="00BF0169">
        <w:rPr>
          <w:b/>
          <w:noProof/>
          <w:lang w:val="it-IT"/>
        </w:rPr>
        <w:t>promozione dei prodotti agricoli</w:t>
      </w:r>
      <w:r w:rsidRPr="00BF0169">
        <w:rPr>
          <w:noProof/>
          <w:lang w:val="it-IT"/>
        </w:rPr>
        <w:t>.</w:t>
      </w:r>
    </w:p>
    <w:p w14:paraId="3A8F010E" w14:textId="032B1192" w:rsidR="00D11191" w:rsidRPr="00BF0169" w:rsidRDefault="00D11191" w:rsidP="00D11191">
      <w:pPr>
        <w:rPr>
          <w:noProof/>
          <w:lang w:val="it-IT"/>
        </w:rPr>
      </w:pPr>
      <w:r w:rsidRPr="00BF0169">
        <w:rPr>
          <w:noProof/>
          <w:lang w:val="it-IT"/>
        </w:rPr>
        <w:t>Per quanto riguarda lo sviluppo rurale e i pagamenti diretti agli agricoltori, l</w:t>
      </w:r>
      <w:r w:rsidR="00BF0169" w:rsidRPr="00BF0169">
        <w:rPr>
          <w:noProof/>
          <w:lang w:val="it-IT"/>
        </w:rPr>
        <w:t>'</w:t>
      </w:r>
      <w:r w:rsidRPr="00BF0169">
        <w:rPr>
          <w:b/>
          <w:noProof/>
          <w:lang w:val="it-IT"/>
        </w:rPr>
        <w:t>analisi dei rischi e le informazioni spontanee fornite dalla società civile</w:t>
      </w:r>
      <w:r w:rsidRPr="00BF0169">
        <w:rPr>
          <w:noProof/>
          <w:lang w:val="it-IT"/>
        </w:rPr>
        <w:t xml:space="preserve">, compresi i media, </w:t>
      </w:r>
      <w:r w:rsidRPr="00BF0169">
        <w:rPr>
          <w:b/>
          <w:noProof/>
          <w:lang w:val="it-IT"/>
        </w:rPr>
        <w:t>contribuiscono marginalmente</w:t>
      </w:r>
      <w:r w:rsidRPr="00BF0169">
        <w:rPr>
          <w:noProof/>
          <w:lang w:val="it-IT"/>
        </w:rPr>
        <w:t xml:space="preserve"> all</w:t>
      </w:r>
      <w:r w:rsidR="00BF0169" w:rsidRPr="00BF0169">
        <w:rPr>
          <w:noProof/>
          <w:lang w:val="it-IT"/>
        </w:rPr>
        <w:t>'</w:t>
      </w:r>
      <w:r w:rsidRPr="00BF0169">
        <w:rPr>
          <w:noProof/>
          <w:lang w:val="it-IT"/>
        </w:rPr>
        <w:t>individuazione di irregolarità fraudolente e non fraudolente. Quanto alle misure di mercato, l</w:t>
      </w:r>
      <w:r w:rsidR="00BF0169" w:rsidRPr="00BF0169">
        <w:rPr>
          <w:noProof/>
          <w:lang w:val="it-IT"/>
        </w:rPr>
        <w:t>'</w:t>
      </w:r>
      <w:r w:rsidRPr="00BF0169">
        <w:rPr>
          <w:noProof/>
          <w:lang w:val="it-IT"/>
        </w:rPr>
        <w:t>analisi dei rischi svolge un ruolo più importante a fini dell</w:t>
      </w:r>
      <w:r w:rsidR="00BF0169" w:rsidRPr="00BF0169">
        <w:rPr>
          <w:noProof/>
          <w:lang w:val="it-IT"/>
        </w:rPr>
        <w:t>'</w:t>
      </w:r>
      <w:r w:rsidRPr="00BF0169">
        <w:rPr>
          <w:noProof/>
          <w:lang w:val="it-IT"/>
        </w:rPr>
        <w:t>individuazione, in ragione</w:t>
      </w:r>
      <w:r w:rsidRPr="00BF0169">
        <w:rPr>
          <w:b/>
          <w:noProof/>
          <w:lang w:val="it-IT"/>
        </w:rPr>
        <w:t xml:space="preserve"> </w:t>
      </w:r>
      <w:r w:rsidRPr="00BF0169">
        <w:rPr>
          <w:noProof/>
          <w:lang w:val="it-IT"/>
        </w:rPr>
        <w:t xml:space="preserve">del controllo basato sul rischio dei documenti commerciali delle entità che ricevono pagamenti. </w:t>
      </w:r>
    </w:p>
    <w:p w14:paraId="1B284583" w14:textId="556C610E" w:rsidR="00D11191" w:rsidRPr="00BF0169" w:rsidRDefault="00D11191" w:rsidP="008D0328">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82" w:name="_Toc105777778"/>
      <w:bookmarkStart w:id="83" w:name="_Toc110444022"/>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w:t>
      </w:r>
      <w:r w:rsidR="00FB4C5F" w:rsidRPr="00BF0169">
        <w:rPr>
          <w:noProof/>
          <w:lang w:val="it-IT"/>
        </w:rPr>
        <w:t>4</w:t>
      </w:r>
      <w:r w:rsidR="00742EC4" w:rsidRPr="00BF0169">
        <w:rPr>
          <w:noProof/>
          <w:lang w:val="it-IT"/>
        </w:rPr>
        <w:fldChar w:fldCharType="end"/>
      </w:r>
      <w:r w:rsidRPr="00BF0169">
        <w:rPr>
          <w:noProof/>
          <w:lang w:val="it-IT"/>
        </w:rPr>
        <w:t xml:space="preserve"> – Lotta contro la frode nella produzione biologica</w:t>
      </w:r>
      <w:bookmarkEnd w:id="82"/>
      <w:bookmarkEnd w:id="83"/>
    </w:p>
    <w:p w14:paraId="72FF7ABE" w14:textId="42ED4098" w:rsidR="00D11191" w:rsidRPr="00BF0169"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Sulla base del piano d</w:t>
      </w:r>
      <w:r w:rsidR="00BF0169" w:rsidRPr="00BF0169">
        <w:rPr>
          <w:noProof/>
          <w:lang w:val="it-IT"/>
        </w:rPr>
        <w:t>'</w:t>
      </w:r>
      <w:r w:rsidRPr="00BF0169">
        <w:rPr>
          <w:noProof/>
          <w:lang w:val="it-IT"/>
        </w:rPr>
        <w:t>azione per lo sviluppo della produzione biologica</w:t>
      </w:r>
      <w:r w:rsidRPr="00BF0169">
        <w:rPr>
          <w:rStyle w:val="FootnoteReference"/>
          <w:noProof/>
          <w:lang w:val="it-IT"/>
        </w:rPr>
        <w:footnoteReference w:id="96"/>
      </w:r>
      <w:r w:rsidRPr="00BF0169">
        <w:rPr>
          <w:noProof/>
          <w:lang w:val="it-IT"/>
        </w:rPr>
        <w:t>, la Commissione ha ulteriormente rafforzato la lotta contro la frode in tale settore. Per quanto concerne la tutela degli interessi finanziari dell</w:t>
      </w:r>
      <w:r w:rsidR="00BF0169" w:rsidRPr="00BF0169">
        <w:rPr>
          <w:noProof/>
          <w:lang w:val="it-IT"/>
        </w:rPr>
        <w:t>'</w:t>
      </w:r>
      <w:r w:rsidRPr="00BF0169">
        <w:rPr>
          <w:noProof/>
          <w:lang w:val="it-IT"/>
        </w:rPr>
        <w:t>UE, la Commissione ha sistematizzato il controllo incrociato delle informazioni presenti nel sistema informativo sull</w:t>
      </w:r>
      <w:r w:rsidR="00BF0169" w:rsidRPr="00BF0169">
        <w:rPr>
          <w:noProof/>
          <w:lang w:val="it-IT"/>
        </w:rPr>
        <w:t>'</w:t>
      </w:r>
      <w:r w:rsidRPr="00BF0169">
        <w:rPr>
          <w:noProof/>
          <w:lang w:val="it-IT"/>
        </w:rPr>
        <w:t>agricoltura biologica (OFIS) in merito a possibili non conformità nella produzione biologica con le informazioni di cui dispone sulla fornitura di sostegno finanziario dell</w:t>
      </w:r>
      <w:r w:rsidR="00BF0169" w:rsidRPr="00BF0169">
        <w:rPr>
          <w:noProof/>
          <w:lang w:val="it-IT"/>
        </w:rPr>
        <w:t>'</w:t>
      </w:r>
      <w:r w:rsidRPr="00BF0169">
        <w:rPr>
          <w:noProof/>
          <w:lang w:val="it-IT"/>
        </w:rPr>
        <w:t>UE a favore della produzione biologica. In questo contesto, l</w:t>
      </w:r>
      <w:r w:rsidR="00BF0169" w:rsidRPr="00BF0169">
        <w:rPr>
          <w:noProof/>
          <w:lang w:val="it-IT"/>
        </w:rPr>
        <w:t>'</w:t>
      </w:r>
      <w:r w:rsidRPr="00BF0169">
        <w:rPr>
          <w:noProof/>
          <w:lang w:val="it-IT"/>
        </w:rPr>
        <w:t>OLAF ha avuto accesso diretto ai dati dell</w:t>
      </w:r>
      <w:r w:rsidR="00BF0169" w:rsidRPr="00BF0169">
        <w:rPr>
          <w:noProof/>
          <w:lang w:val="it-IT"/>
        </w:rPr>
        <w:t>'</w:t>
      </w:r>
      <w:r w:rsidRPr="00BF0169">
        <w:rPr>
          <w:noProof/>
          <w:lang w:val="it-IT"/>
        </w:rPr>
        <w:t>OFIS.</w:t>
      </w:r>
    </w:p>
    <w:p w14:paraId="4E14C827" w14:textId="2C78DFD8" w:rsidR="00D11191" w:rsidRPr="00BF0169"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Si sono svolti colloqui esplorativi con l</w:t>
      </w:r>
      <w:r w:rsidR="00BF0169" w:rsidRPr="00BF0169">
        <w:rPr>
          <w:noProof/>
          <w:lang w:val="it-IT"/>
        </w:rPr>
        <w:t>'</w:t>
      </w:r>
      <w:r w:rsidRPr="00BF0169">
        <w:rPr>
          <w:noProof/>
          <w:lang w:val="it-IT"/>
        </w:rPr>
        <w:t>EPPO in merito alla concessione dell</w:t>
      </w:r>
      <w:r w:rsidR="00BF0169" w:rsidRPr="00BF0169">
        <w:rPr>
          <w:noProof/>
          <w:lang w:val="it-IT"/>
        </w:rPr>
        <w:t>'</w:t>
      </w:r>
      <w:r w:rsidRPr="00BF0169">
        <w:rPr>
          <w:noProof/>
          <w:lang w:val="it-IT"/>
        </w:rPr>
        <w:t>accesso ai dati dell</w:t>
      </w:r>
      <w:r w:rsidR="00BF0169" w:rsidRPr="00BF0169">
        <w:rPr>
          <w:noProof/>
          <w:lang w:val="it-IT"/>
        </w:rPr>
        <w:t>'</w:t>
      </w:r>
      <w:r w:rsidRPr="00BF0169">
        <w:rPr>
          <w:noProof/>
          <w:lang w:val="it-IT"/>
        </w:rPr>
        <w:t>OFIS, mentre tale accesso è già stato concesso per TRACES</w:t>
      </w:r>
      <w:r w:rsidRPr="00BF0169">
        <w:rPr>
          <w:rStyle w:val="FootnoteReference"/>
          <w:noProof/>
          <w:lang w:val="it-IT"/>
        </w:rPr>
        <w:footnoteReference w:id="97"/>
      </w:r>
      <w:r w:rsidRPr="00BF0169">
        <w:rPr>
          <w:noProof/>
          <w:lang w:val="it-IT"/>
        </w:rPr>
        <w:t>.</w:t>
      </w:r>
    </w:p>
    <w:p w14:paraId="0E4F6733" w14:textId="36551A6B" w:rsidR="00D11191" w:rsidRPr="00BF0169" w:rsidRDefault="00221EE2" w:rsidP="00D11191">
      <w:pPr>
        <w:rPr>
          <w:b/>
          <w:i/>
          <w:noProof/>
          <w:lang w:val="it-IT"/>
        </w:rPr>
      </w:pPr>
      <w:r w:rsidRPr="00BF0169">
        <w:rPr>
          <w:noProof/>
          <w:lang w:val="it-IT"/>
        </w:rPr>
        <w:t xml:space="preserve">A circa dieci anni dalla segnalazione iniziale, </w:t>
      </w:r>
      <w:r w:rsidRPr="00BF0169">
        <w:rPr>
          <w:b/>
          <w:noProof/>
          <w:lang w:val="it-IT"/>
        </w:rPr>
        <w:t>la percentuale di casi di frode sospetta che non hanno portato a condanna rimane molto elevata</w:t>
      </w:r>
      <w:r w:rsidRPr="00BF0169">
        <w:rPr>
          <w:noProof/>
          <w:lang w:val="it-IT"/>
        </w:rPr>
        <w:t>, mentre è esigua la quota di casi in cui viene accertata la frode. Ciò potrebbe indicare la necessità di investire di più nelle indagini e nell</w:t>
      </w:r>
      <w:r w:rsidR="00BF0169" w:rsidRPr="00BF0169">
        <w:rPr>
          <w:noProof/>
          <w:lang w:val="it-IT"/>
        </w:rPr>
        <w:t>'</w:t>
      </w:r>
      <w:r w:rsidRPr="00BF0169">
        <w:rPr>
          <w:noProof/>
          <w:lang w:val="it-IT"/>
        </w:rPr>
        <w:t>azione giudiziaria.</w:t>
      </w:r>
      <w:r w:rsidRPr="00BF0169">
        <w:rPr>
          <w:b/>
          <w:i/>
          <w:noProof/>
          <w:lang w:val="it-IT"/>
        </w:rPr>
        <w:t xml:space="preserve"> </w:t>
      </w:r>
    </w:p>
    <w:p w14:paraId="1736B9A4" w14:textId="22BDC310" w:rsidR="00D11191" w:rsidRPr="00BF0169" w:rsidRDefault="00D11191" w:rsidP="00D11191">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84" w:name="_Toc105777779"/>
      <w:bookmarkStart w:id="85" w:name="_Toc110444023"/>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w:t>
      </w:r>
      <w:r w:rsidR="00FB4C5F" w:rsidRPr="00BF0169">
        <w:rPr>
          <w:noProof/>
          <w:lang w:val="it-IT"/>
        </w:rPr>
        <w:t>5</w:t>
      </w:r>
      <w:r w:rsidR="00742EC4" w:rsidRPr="00BF0169">
        <w:rPr>
          <w:noProof/>
          <w:lang w:val="it-IT"/>
        </w:rPr>
        <w:fldChar w:fldCharType="end"/>
      </w:r>
      <w:r w:rsidRPr="00BF0169">
        <w:rPr>
          <w:noProof/>
          <w:lang w:val="it-IT"/>
        </w:rPr>
        <w:t xml:space="preserve"> – Agricoltura: irregolarità individuate più di frequente</w:t>
      </w:r>
      <w:bookmarkEnd w:id="84"/>
      <w:bookmarkEnd w:id="85"/>
    </w:p>
    <w:p w14:paraId="297C7F34" w14:textId="21C83532" w:rsidR="00D11191" w:rsidRPr="00BF0169"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Nel periodo 2017-2021, per </w:t>
      </w:r>
      <w:r w:rsidRPr="00BF0169">
        <w:rPr>
          <w:b/>
          <w:noProof/>
          <w:lang w:val="it-IT"/>
        </w:rPr>
        <w:t xml:space="preserve">gli aiuti diretti versati agli agricoltori, la falsificazione di prove documentali o della richiesta di aiuto </w:t>
      </w:r>
      <w:r w:rsidRPr="00BF0169">
        <w:rPr>
          <w:noProof/>
          <w:lang w:val="it-IT"/>
        </w:rPr>
        <w:t>sono state le irregolarità fraudolente rilevate con maggiore frequenza. È possibile falsificare un</w:t>
      </w:r>
      <w:r w:rsidR="00BF0169" w:rsidRPr="00BF0169">
        <w:rPr>
          <w:noProof/>
          <w:lang w:val="it-IT"/>
        </w:rPr>
        <w:t>'</w:t>
      </w:r>
      <w:r w:rsidRPr="00BF0169">
        <w:rPr>
          <w:noProof/>
          <w:lang w:val="it-IT"/>
        </w:rPr>
        <w:t>ampia serie di documenti e informazioni, come contratti di locazione o documenti di proprietà, e documenti relativi al rispetto dei requisiti di condizionalità.</w:t>
      </w:r>
    </w:p>
    <w:p w14:paraId="2828B154" w14:textId="3E400052" w:rsidR="00D11191" w:rsidRPr="00BF0169"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Per quanto concerne le </w:t>
      </w:r>
      <w:r w:rsidRPr="00BF0169">
        <w:rPr>
          <w:b/>
          <w:noProof/>
          <w:lang w:val="it-IT"/>
        </w:rPr>
        <w:t>misure di mercato</w:t>
      </w:r>
      <w:r w:rsidRPr="00BF0169">
        <w:rPr>
          <w:noProof/>
          <w:lang w:val="it-IT"/>
        </w:rPr>
        <w:t>, le frodi hanno riguardato principalmente l</w:t>
      </w:r>
      <w:r w:rsidR="00BF0169" w:rsidRPr="00BF0169">
        <w:rPr>
          <w:noProof/>
          <w:lang w:val="it-IT"/>
        </w:rPr>
        <w:t>'</w:t>
      </w:r>
      <w:r w:rsidRPr="00BF0169">
        <w:rPr>
          <w:b/>
          <w:noProof/>
          <w:lang w:val="it-IT"/>
        </w:rPr>
        <w:t>attuazione delle azioni</w:t>
      </w:r>
      <w:r w:rsidRPr="00BF0169">
        <w:rPr>
          <w:noProof/>
          <w:lang w:val="it-IT"/>
        </w:rPr>
        <w:t>, spesso in combinazione con altre violazioni. Importi finanziari significativi sono stati registrati in diversi casi oggetto di un</w:t>
      </w:r>
      <w:r w:rsidR="00BF0169" w:rsidRPr="00BF0169">
        <w:rPr>
          <w:noProof/>
          <w:lang w:val="it-IT"/>
        </w:rPr>
        <w:t>'</w:t>
      </w:r>
      <w:r w:rsidRPr="00BF0169">
        <w:rPr>
          <w:noProof/>
          <w:lang w:val="it-IT"/>
        </w:rPr>
        <w:t>indagine dell</w:t>
      </w:r>
      <w:r w:rsidR="00BF0169" w:rsidRPr="00BF0169">
        <w:rPr>
          <w:noProof/>
          <w:lang w:val="it-IT"/>
        </w:rPr>
        <w:t>'</w:t>
      </w:r>
      <w:r w:rsidRPr="00BF0169">
        <w:rPr>
          <w:noProof/>
          <w:lang w:val="it-IT"/>
        </w:rPr>
        <w:t xml:space="preserve">OLAF, nel cui ambito i </w:t>
      </w:r>
      <w:r w:rsidRPr="00BF0169">
        <w:rPr>
          <w:b/>
          <w:noProof/>
          <w:lang w:val="it-IT"/>
        </w:rPr>
        <w:t>conflitti di interesse</w:t>
      </w:r>
      <w:r w:rsidRPr="00BF0169">
        <w:rPr>
          <w:noProof/>
          <w:lang w:val="it-IT"/>
        </w:rPr>
        <w:t xml:space="preserve"> erano associati ad altre irregolarità legate alla </w:t>
      </w:r>
      <w:r w:rsidRPr="00BF0169">
        <w:rPr>
          <w:b/>
          <w:noProof/>
          <w:lang w:val="it-IT"/>
        </w:rPr>
        <w:t xml:space="preserve">misura di mercato </w:t>
      </w:r>
      <w:r w:rsidR="00BF0169" w:rsidRPr="00BF0169">
        <w:rPr>
          <w:b/>
          <w:noProof/>
          <w:lang w:val="it-IT"/>
        </w:rPr>
        <w:t>"</w:t>
      </w:r>
      <w:r w:rsidRPr="00BF0169">
        <w:rPr>
          <w:b/>
          <w:noProof/>
          <w:lang w:val="it-IT"/>
        </w:rPr>
        <w:t>Promozione</w:t>
      </w:r>
      <w:r w:rsidR="00BF0169" w:rsidRPr="00BF0169">
        <w:rPr>
          <w:b/>
          <w:noProof/>
          <w:lang w:val="it-IT"/>
        </w:rPr>
        <w:t>"</w:t>
      </w:r>
      <w:r w:rsidRPr="00BF0169">
        <w:rPr>
          <w:noProof/>
          <w:lang w:val="it-IT"/>
        </w:rPr>
        <w:t xml:space="preserve">. La </w:t>
      </w:r>
      <w:r w:rsidRPr="00BF0169">
        <w:rPr>
          <w:b/>
          <w:noProof/>
          <w:lang w:val="it-IT"/>
        </w:rPr>
        <w:t>creazione di condizioni artificiose</w:t>
      </w:r>
      <w:r w:rsidRPr="00BF0169">
        <w:rPr>
          <w:noProof/>
          <w:lang w:val="it-IT"/>
        </w:rPr>
        <w:t xml:space="preserve"> allo scopo di ricevere un sostegno finanziario costituisce un rischio potenziale. </w:t>
      </w:r>
    </w:p>
    <w:p w14:paraId="3C27A946" w14:textId="31AF0A2E" w:rsidR="00D11191" w:rsidRPr="00BF0169"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Per lo </w:t>
      </w:r>
      <w:r w:rsidRPr="00BF0169">
        <w:rPr>
          <w:b/>
          <w:noProof/>
          <w:lang w:val="it-IT"/>
        </w:rPr>
        <w:t>sviluppo rurale</w:t>
      </w:r>
      <w:r w:rsidRPr="00BF0169">
        <w:rPr>
          <w:noProof/>
          <w:lang w:val="it-IT"/>
        </w:rPr>
        <w:t xml:space="preserve">, i truffatori hanno utilizzato principalmente la pratica della </w:t>
      </w:r>
      <w:r w:rsidRPr="00BF0169">
        <w:rPr>
          <w:b/>
          <w:noProof/>
          <w:lang w:val="it-IT"/>
        </w:rPr>
        <w:t>falsificazione dei documenti</w:t>
      </w:r>
      <w:r w:rsidRPr="00BF0169">
        <w:rPr>
          <w:noProof/>
          <w:lang w:val="it-IT"/>
        </w:rPr>
        <w:t>. Tale pratica può comportare la falsificazione di fatture, la dichiarazione di attrezzature usate come nuove, l</w:t>
      </w:r>
      <w:r w:rsidR="00BF0169" w:rsidRPr="00BF0169">
        <w:rPr>
          <w:noProof/>
          <w:lang w:val="it-IT"/>
        </w:rPr>
        <w:t>'</w:t>
      </w:r>
      <w:r w:rsidRPr="00BF0169">
        <w:rPr>
          <w:noProof/>
          <w:lang w:val="it-IT"/>
        </w:rPr>
        <w:t>attuazione di sotterfugi in merito alle offerte nelle procedure di appalto o la fornitura di informazioni false sul rispetto delle condizioni per la fruizione degli aiuti. Un numero significativo di irregolarità fraudolente riguardava l</w:t>
      </w:r>
      <w:r w:rsidR="00BF0169" w:rsidRPr="00BF0169">
        <w:rPr>
          <w:noProof/>
          <w:lang w:val="it-IT"/>
        </w:rPr>
        <w:t>'</w:t>
      </w:r>
      <w:r w:rsidRPr="00BF0169">
        <w:rPr>
          <w:b/>
          <w:noProof/>
          <w:lang w:val="it-IT"/>
        </w:rPr>
        <w:t>attuazione incompleta di un</w:t>
      </w:r>
      <w:r w:rsidR="00BF0169" w:rsidRPr="00BF0169">
        <w:rPr>
          <w:b/>
          <w:noProof/>
          <w:lang w:val="it-IT"/>
        </w:rPr>
        <w:t>'</w:t>
      </w:r>
      <w:r w:rsidRPr="00BF0169">
        <w:rPr>
          <w:b/>
          <w:noProof/>
          <w:lang w:val="it-IT"/>
        </w:rPr>
        <w:t>azione</w:t>
      </w:r>
      <w:r w:rsidRPr="00BF0169">
        <w:rPr>
          <w:noProof/>
          <w:lang w:val="it-IT"/>
        </w:rPr>
        <w:t xml:space="preserve">. Anche la </w:t>
      </w:r>
      <w:r w:rsidRPr="00BF0169">
        <w:rPr>
          <w:b/>
          <w:noProof/>
          <w:lang w:val="it-IT"/>
        </w:rPr>
        <w:t>creazione di condizioni artificiose</w:t>
      </w:r>
      <w:r w:rsidRPr="00BF0169">
        <w:rPr>
          <w:noProof/>
          <w:lang w:val="it-IT"/>
        </w:rPr>
        <w:t xml:space="preserve"> costituisce un potenziale rischio per il finanziamento dello sviluppo rurale. Ad esempio, i beneficiari possono suddividere artificiosamente le aziende agricole e richiedere aiuti tramite varie società collegate per evitare i massimali fissati per il sostegno.</w:t>
      </w:r>
    </w:p>
    <w:p w14:paraId="5895C063" w14:textId="0A29BC96" w:rsidR="00D10B75" w:rsidRPr="00BF0169" w:rsidRDefault="006F14E7" w:rsidP="00D10B75">
      <w:pPr>
        <w:rPr>
          <w:noProof/>
          <w:lang w:val="it-IT"/>
        </w:rPr>
      </w:pPr>
      <w:r w:rsidRPr="00BF0169">
        <w:rPr>
          <w:noProof/>
          <w:lang w:val="en-GB" w:eastAsia="en-GB"/>
        </w:rPr>
        <mc:AlternateContent>
          <mc:Choice Requires="wpg">
            <w:drawing>
              <wp:anchor distT="45720" distB="45720" distL="182880" distR="182880" simplePos="0" relativeHeight="251659264" behindDoc="0" locked="0" layoutInCell="1" allowOverlap="0" wp14:anchorId="627653C5" wp14:editId="682C462D">
                <wp:simplePos x="0" y="0"/>
                <wp:positionH relativeFrom="margin">
                  <wp:posOffset>-45720</wp:posOffset>
                </wp:positionH>
                <wp:positionV relativeFrom="paragraph">
                  <wp:posOffset>96520</wp:posOffset>
                </wp:positionV>
                <wp:extent cx="3009900" cy="2194560"/>
                <wp:effectExtent l="0" t="0" r="19050" b="15240"/>
                <wp:wrapSquare wrapText="bothSides"/>
                <wp:docPr id="13" name="Group 13"/>
                <wp:cNvGraphicFramePr/>
                <a:graphic xmlns:a="http://schemas.openxmlformats.org/drawingml/2006/main">
                  <a:graphicData uri="http://schemas.microsoft.com/office/word/2010/wordprocessingGroup">
                    <wpg:wgp>
                      <wpg:cNvGrpSpPr/>
                      <wpg:grpSpPr>
                        <a:xfrm>
                          <a:off x="0" y="0"/>
                          <a:ext cx="3009900" cy="2194560"/>
                          <a:chOff x="0" y="0"/>
                          <a:chExt cx="3567448" cy="1296632"/>
                        </a:xfrm>
                      </wpg:grpSpPr>
                      <wps:wsp>
                        <wps:cNvPr id="14" name="Rectangle 13"/>
                        <wps:cNvSpPr/>
                        <wps:spPr>
                          <a:xfrm>
                            <a:off x="0" y="0"/>
                            <a:ext cx="3567448" cy="33766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BC3D18" w14:textId="77777777" w:rsidR="00FB4C5F" w:rsidRPr="00067593" w:rsidRDefault="00FB4C5F" w:rsidP="002369AB">
                              <w:pPr>
                                <w:jc w:val="center"/>
                                <w:rPr>
                                  <w:rFonts w:eastAsiaTheme="majorEastAsia"/>
                                  <w:b/>
                                  <w:color w:val="FFFFFF" w:themeColor="background1"/>
                                  <w:lang w:val="it-IT"/>
                                </w:rPr>
                              </w:pPr>
                              <w:r w:rsidRPr="00067593">
                                <w:rPr>
                                  <w:b/>
                                  <w:color w:val="FFFFFF" w:themeColor="background1"/>
                                  <w:lang w:val="it-IT"/>
                                </w:rPr>
                                <w:t>Politica di coesione: variazione dei dati del 2021 rispetto alla media quinquennale 2017-2021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6" name="Text Box 14"/>
                        <wps:cNvSpPr txBox="1"/>
                        <wps:spPr>
                          <a:xfrm>
                            <a:off x="0" y="326409"/>
                            <a:ext cx="3567448" cy="970223"/>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2AB2E4A" w14:textId="77777777" w:rsidR="00FB4C5F" w:rsidRPr="00067593" w:rsidRDefault="00FB4C5F" w:rsidP="002369AB">
                              <w:pPr>
                                <w:spacing w:after="0"/>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- 11 %</w:t>
                              </w:r>
                              <w:r w:rsidRPr="00067593">
                                <w:rPr>
                                  <w:color w:val="000000" w:themeColor="text1"/>
                                  <w:sz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numero di irregolarità fraudolente e non fraudolente</w:t>
                              </w:r>
                            </w:p>
                            <w:p w14:paraId="3C1BABD1" w14:textId="77777777" w:rsidR="00FB4C5F" w:rsidRPr="00067593" w:rsidRDefault="00FB4C5F" w:rsidP="002369AB">
                              <w:pPr>
                                <w:spacing w:after="0"/>
                                <w:jc w:val="left"/>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+ 186 %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fraudolente</w:t>
                              </w:r>
                            </w:p>
                            <w:p w14:paraId="0C9B5017" w14:textId="77777777" w:rsidR="00FB4C5F" w:rsidRPr="00067593" w:rsidRDefault="00FB4C5F" w:rsidP="002369AB">
                              <w:pPr>
                                <w:spacing w:after="0"/>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non fraudolente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27653C5" id="Group 13" o:spid="_x0000_s1032" style="position:absolute;left:0;text-align:left;margin-left:-3.6pt;margin-top:7.6pt;width:237pt;height:172.8pt;z-index:251659264;mso-wrap-distance-left:14.4pt;mso-wrap-distance-top:3.6pt;mso-wrap-distance-right:14.4pt;mso-wrap-distance-bottom:3.6pt;mso-position-horizontal-relative:margin;mso-width-relative:margin;mso-height-relative:margin" coordsize="35674,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" o:allowoverlap="f">
                <v:rect id="Rectangle 13" o:spid="_x0000_s1033" style="position:absolute;width:35674;height:3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" fillcolor="#5b9bd5 [3204]" strokecolor="#44546a [3215]" strokeweight="1pt">
                  <v:textbox>
                    <w:txbxContent>
                      <w:p w14:paraId="57BC3D18" w14:textId="77777777" w:rsidR="00FB4C5F" w:rsidRPr="00067593" w:rsidRDefault="00FB4C5F" w:rsidP="002369AB">
                        <w:pPr>
                          <w:jc w:val="center"/>
                          <w:rPr>
                            <w:rFonts w:eastAsiaTheme="majorEastAsia"/>
                            <w:b/>
                            <w:color w:val="FFFFFF" w:themeColor="background1"/>
                            <w:lang w:val="it-IT"/>
                          </w:rPr>
                        </w:pPr>
                        <w:r w:rsidRPr="00067593">
                          <w:rPr>
                            <w:b/>
                            <w:color w:val="FFFFFF" w:themeColor="background1"/>
                            <w:lang w:val="it-IT"/>
                          </w:rPr>
                          <w:t>Politica di coesione: variazione dei dati del 2021 rispetto alla media quinquennale 2017-2021</w:t>
                        </w:r>
                      </w:p>
                    </w:txbxContent>
                  </v:textbox>
                </v:rect>
                <v:shape id="Text Box 14" o:spid="_x0000_s1034" type="#_x0000_t202" style="position:absolute;top:3264;width:35674;height:9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" filled="f" strokecolor="#44546a [3215]" strokeweight=".5pt">
                  <v:textbox inset=",7.2pt,,0">
                    <w:txbxContent>
                      <w:p w14:paraId="42AB2E4A" w14:textId="77777777" w:rsidR="00FB4C5F" w:rsidRPr="00067593" w:rsidRDefault="00FB4C5F" w:rsidP="002369AB">
                        <w:pPr>
                          <w:spacing w:after="0"/>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- 11 %</w:t>
                        </w:r>
                        <w:r w:rsidRPr="00067593">
                          <w:rPr>
                            <w:color w:val="000000" w:themeColor="text1"/>
                            <w:sz w:val="18"/>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numero di irregolarità fraudolente e non fraudolente</w:t>
                        </w:r>
                      </w:p>
                      <w:p w14:paraId="3C1BABD1" w14:textId="77777777" w:rsidR="00FB4C5F" w:rsidRPr="00067593" w:rsidRDefault="00FB4C5F" w:rsidP="002369AB">
                        <w:pPr>
                          <w:spacing w:after="0"/>
                          <w:jc w:val="left"/>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+ 186 %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fraudolente</w:t>
                        </w:r>
                      </w:p>
                      <w:p w14:paraId="0C9B5017" w14:textId="77777777" w:rsidR="00FB4C5F" w:rsidRPr="00067593" w:rsidRDefault="00FB4C5F" w:rsidP="002369AB">
                        <w:pPr>
                          <w:spacing w:after="0"/>
                          <w:rPr>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593">
                          <w:rPr>
                            <w:b/>
                            <w:color w:val="44546A" w:themeColor="text2"/>
                            <w:sz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+ 14 % </w:t>
                        </w:r>
                        <w:r w:rsidRPr="00067593">
                          <w:rPr>
                            <w:color w:val="000000" w:themeColor="text1"/>
                            <w:sz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importi finanziari connessi a irregolarità non fraudolente</w:t>
                        </w:r>
                      </w:p>
                    </w:txbxContent>
                  </v:textbox>
                </v:shape>
                <w10:wrap type="square" anchorx="margin"/>
              </v:group>
            </w:pict>
          </mc:Fallback>
        </mc:AlternateContent>
      </w:r>
      <w:r w:rsidRPr="00BF0169">
        <w:rPr>
          <w:b/>
          <w:noProof/>
          <w:lang w:val="it-IT"/>
        </w:rPr>
        <w:t>Fondi strutturali e di investimento europei (fondi SIE)</w:t>
      </w:r>
      <w:r w:rsidRPr="00BF0169">
        <w:rPr>
          <w:rStyle w:val="FootnoteReference"/>
          <w:b/>
          <w:noProof/>
          <w:lang w:val="it-IT"/>
        </w:rPr>
        <w:footnoteReference w:id="98"/>
      </w:r>
      <w:r w:rsidRPr="00BF0169">
        <w:rPr>
          <w:b/>
          <w:noProof/>
          <w:lang w:val="it-IT"/>
        </w:rPr>
        <w:t xml:space="preserve"> </w:t>
      </w:r>
      <w:r w:rsidRPr="00BF0169">
        <w:rPr>
          <w:noProof/>
          <w:lang w:val="it-IT"/>
        </w:rPr>
        <w:t xml:space="preserve">– Tra il 2017 e il 2021 il numero di irregolarità fraudolente e non fraudolente relative al </w:t>
      </w:r>
      <w:r w:rsidRPr="00BF0169">
        <w:rPr>
          <w:b/>
          <w:noProof/>
          <w:lang w:val="it-IT"/>
        </w:rPr>
        <w:t>periodo di programmazione 2007-2013</w:t>
      </w:r>
      <w:r w:rsidRPr="00BF0169">
        <w:rPr>
          <w:noProof/>
          <w:lang w:val="it-IT"/>
        </w:rPr>
        <w:t xml:space="preserve"> è diminuito per quanto concerne i fondi SIE. Il numero delle irregolarità segnalate per il </w:t>
      </w:r>
      <w:r w:rsidRPr="00BF0169">
        <w:rPr>
          <w:b/>
          <w:noProof/>
          <w:lang w:val="it-IT"/>
        </w:rPr>
        <w:t>periodo di programmazione</w:t>
      </w:r>
      <w:r w:rsidRPr="00BF0169">
        <w:rPr>
          <w:noProof/>
          <w:lang w:val="it-IT"/>
        </w:rPr>
        <w:t xml:space="preserve"> </w:t>
      </w:r>
      <w:r w:rsidRPr="00BF0169">
        <w:rPr>
          <w:b/>
          <w:noProof/>
          <w:lang w:val="it-IT"/>
        </w:rPr>
        <w:t xml:space="preserve">2014-2020 </w:t>
      </w:r>
      <w:r w:rsidRPr="00BF0169">
        <w:rPr>
          <w:noProof/>
          <w:lang w:val="it-IT"/>
        </w:rPr>
        <w:t>è aumentato. Tali dinamiche sono in linea con le tendenze e i meccanismi noti nell</w:t>
      </w:r>
      <w:r w:rsidR="00BF0169" w:rsidRPr="00BF0169">
        <w:rPr>
          <w:noProof/>
          <w:lang w:val="it-IT"/>
        </w:rPr>
        <w:t>'</w:t>
      </w:r>
      <w:r w:rsidRPr="00BF0169">
        <w:rPr>
          <w:noProof/>
          <w:lang w:val="it-IT"/>
        </w:rPr>
        <w:t>ambito dell</w:t>
      </w:r>
      <w:r w:rsidR="00BF0169" w:rsidRPr="00BF0169">
        <w:rPr>
          <w:noProof/>
          <w:lang w:val="it-IT"/>
        </w:rPr>
        <w:t>'</w:t>
      </w:r>
      <w:r w:rsidRPr="00BF0169">
        <w:rPr>
          <w:noProof/>
          <w:lang w:val="it-IT"/>
        </w:rPr>
        <w:t>individuazione e della segnalazione di irregolarità e sono legate al ciclo di attuazione dei programmi pluriennali.</w:t>
      </w:r>
    </w:p>
    <w:p w14:paraId="04028DA1" w14:textId="1CE77F60" w:rsidR="00282D64" w:rsidRPr="00BF0169" w:rsidRDefault="00282D64" w:rsidP="00D10B75">
      <w:pPr>
        <w:rPr>
          <w:noProof/>
          <w:lang w:val="it-IT"/>
        </w:rPr>
      </w:pPr>
      <w:r w:rsidRPr="00BF0169">
        <w:rPr>
          <w:noProof/>
          <w:lang w:val="it-IT"/>
        </w:rPr>
        <w:t>Il numero di irregolarità segnalate come fraudolente per il periodo di programmazione 2014-2020 era in linea con quello rilevato per il periodo di programmazione 2007-2013 dopo lo stesso numero di anni dall</w:t>
      </w:r>
      <w:r w:rsidR="00BF0169" w:rsidRPr="00BF0169">
        <w:rPr>
          <w:noProof/>
          <w:lang w:val="it-IT"/>
        </w:rPr>
        <w:t>'</w:t>
      </w:r>
      <w:r w:rsidRPr="00BF0169">
        <w:rPr>
          <w:noProof/>
          <w:lang w:val="it-IT"/>
        </w:rPr>
        <w:t>inizio del periodo; attestandosi a circa l</w:t>
      </w:r>
      <w:r w:rsidR="00BF0169" w:rsidRPr="00BF0169">
        <w:rPr>
          <w:noProof/>
          <w:lang w:val="it-IT"/>
        </w:rPr>
        <w:t>'</w:t>
      </w:r>
      <w:r w:rsidRPr="00BF0169">
        <w:rPr>
          <w:noProof/>
          <w:lang w:val="it-IT"/>
        </w:rPr>
        <w:t>1 %, il FDR è stato superiore a quello registrato per il periodo 2007-2013</w:t>
      </w:r>
      <w:r w:rsidRPr="00BF0169">
        <w:rPr>
          <w:rStyle w:val="FootnoteReference"/>
          <w:noProof/>
          <w:lang w:val="it-IT"/>
        </w:rPr>
        <w:footnoteReference w:id="99"/>
      </w:r>
      <w:r w:rsidRPr="00BF0169">
        <w:rPr>
          <w:noProof/>
          <w:lang w:val="it-IT"/>
        </w:rPr>
        <w:t xml:space="preserve">. Ciò non si verifica per le irregolarità non fraudolente. Riguardo a queste ultime, colpisce </w:t>
      </w:r>
      <w:r w:rsidRPr="00BF0169">
        <w:rPr>
          <w:b/>
          <w:noProof/>
          <w:lang w:val="it-IT"/>
        </w:rPr>
        <w:t>il calo del numero e degli importi finanziari segnalati dopo otto anni</w:t>
      </w:r>
      <w:r w:rsidRPr="00BF0169">
        <w:rPr>
          <w:noProof/>
          <w:lang w:val="it-IT"/>
        </w:rPr>
        <w:t xml:space="preserve"> dall</w:t>
      </w:r>
      <w:r w:rsidR="00BF0169" w:rsidRPr="00BF0169">
        <w:rPr>
          <w:noProof/>
          <w:lang w:val="it-IT"/>
        </w:rPr>
        <w:t>'</w:t>
      </w:r>
      <w:r w:rsidRPr="00BF0169">
        <w:rPr>
          <w:noProof/>
          <w:lang w:val="it-IT"/>
        </w:rPr>
        <w:t xml:space="preserve">inizio del periodo di programmazione (cfr. </w:t>
      </w:r>
      <w:r w:rsidRPr="00BF0169">
        <w:rPr>
          <w:b/>
          <w:noProof/>
          <w:lang w:val="it-IT"/>
        </w:rPr>
        <w:t>istantanea 17</w:t>
      </w:r>
      <w:r w:rsidRPr="00BF0169">
        <w:rPr>
          <w:noProof/>
          <w:lang w:val="it-IT"/>
        </w:rPr>
        <w:t xml:space="preserve"> per un</w:t>
      </w:r>
      <w:r w:rsidR="00BF0169" w:rsidRPr="00BF0169">
        <w:rPr>
          <w:noProof/>
          <w:lang w:val="it-IT"/>
        </w:rPr>
        <w:t>'</w:t>
      </w:r>
      <w:r w:rsidRPr="00BF0169">
        <w:rPr>
          <w:noProof/>
          <w:lang w:val="it-IT"/>
        </w:rPr>
        <w:t>analisi dei motivi alla base di tale diminuzione).</w:t>
      </w:r>
    </w:p>
    <w:p w14:paraId="71001009" w14:textId="1B2DCB6E" w:rsidR="002303B4" w:rsidRPr="00BF0169" w:rsidRDefault="002303B4" w:rsidP="001E18A9">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86" w:name="_Toc105777780"/>
      <w:bookmarkStart w:id="87" w:name="_Toc110444024"/>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w:t>
      </w:r>
      <w:r w:rsidR="00FB4C5F" w:rsidRPr="00BF0169">
        <w:rPr>
          <w:noProof/>
          <w:lang w:val="it-IT"/>
        </w:rPr>
        <w:t>6</w:t>
      </w:r>
      <w:r w:rsidR="00742EC4" w:rsidRPr="00BF0169">
        <w:rPr>
          <w:noProof/>
          <w:lang w:val="it-IT"/>
        </w:rPr>
        <w:fldChar w:fldCharType="end"/>
      </w:r>
      <w:r w:rsidRPr="00BF0169">
        <w:rPr>
          <w:noProof/>
          <w:lang w:val="it-IT"/>
        </w:rPr>
        <w:t xml:space="preserve"> – Ragioni del calo delle irregolarità non fraudolente</w:t>
      </w:r>
      <w:bookmarkEnd w:id="86"/>
      <w:bookmarkEnd w:id="87"/>
      <w:r w:rsidRPr="00BF0169">
        <w:rPr>
          <w:noProof/>
          <w:lang w:val="it-IT"/>
        </w:rPr>
        <w:t xml:space="preserve"> nel quadro della politica di coesione</w:t>
      </w:r>
    </w:p>
    <w:p w14:paraId="2A740C1A" w14:textId="518A2A65" w:rsidR="002303B4" w:rsidRPr="00BF016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Con riferimento generale alle politiche di coesione e in materia di pesca, l</w:t>
      </w:r>
      <w:r w:rsidR="00BF0169" w:rsidRPr="00BF0169">
        <w:rPr>
          <w:noProof/>
          <w:lang w:val="it-IT"/>
        </w:rPr>
        <w:t>'</w:t>
      </w:r>
      <w:r w:rsidRPr="00BF0169">
        <w:rPr>
          <w:b/>
          <w:noProof/>
          <w:lang w:val="it-IT"/>
        </w:rPr>
        <w:t>OLAF ha svolto</w:t>
      </w:r>
      <w:r w:rsidRPr="00BF0169">
        <w:rPr>
          <w:noProof/>
          <w:lang w:val="it-IT"/>
        </w:rPr>
        <w:t xml:space="preserve"> </w:t>
      </w:r>
      <w:r w:rsidRPr="00BF0169">
        <w:rPr>
          <w:b/>
          <w:noProof/>
          <w:lang w:val="it-IT"/>
        </w:rPr>
        <w:t>un</w:t>
      </w:r>
      <w:r w:rsidR="00BF0169" w:rsidRPr="00BF0169">
        <w:rPr>
          <w:b/>
          <w:noProof/>
          <w:lang w:val="it-IT"/>
        </w:rPr>
        <w:t>'</w:t>
      </w:r>
      <w:r w:rsidRPr="00BF0169">
        <w:rPr>
          <w:b/>
          <w:noProof/>
          <w:lang w:val="it-IT"/>
        </w:rPr>
        <w:t>analisi specifica</w:t>
      </w:r>
      <w:r w:rsidRPr="00BF0169">
        <w:rPr>
          <w:noProof/>
          <w:lang w:val="it-IT"/>
        </w:rPr>
        <w:t xml:space="preserve"> basata sulle irregolarità non fraudolente segna</w:t>
      </w:r>
      <w:r w:rsidR="00D1293E" w:rsidRPr="00BF0169">
        <w:rPr>
          <w:noProof/>
          <w:lang w:val="it-IT"/>
        </w:rPr>
        <w:t>late dagli Stati membri fino al </w:t>
      </w:r>
      <w:r w:rsidRPr="00BF0169">
        <w:rPr>
          <w:noProof/>
          <w:lang w:val="it-IT"/>
        </w:rPr>
        <w:t>2020 compreso.</w:t>
      </w:r>
      <w:r w:rsidRPr="00BF0169">
        <w:rPr>
          <w:b/>
          <w:noProof/>
          <w:lang w:val="it-IT"/>
        </w:rPr>
        <w:t xml:space="preserve"> </w:t>
      </w:r>
      <w:r w:rsidRPr="00BF0169">
        <w:rPr>
          <w:noProof/>
          <w:lang w:val="it-IT"/>
        </w:rPr>
        <w:t>Tali analisi</w:t>
      </w:r>
      <w:r w:rsidRPr="00BF0169">
        <w:rPr>
          <w:b/>
          <w:noProof/>
          <w:lang w:val="it-IT"/>
        </w:rPr>
        <w:t xml:space="preserve"> </w:t>
      </w:r>
      <w:r w:rsidRPr="00BF0169">
        <w:rPr>
          <w:noProof/>
          <w:lang w:val="it-IT"/>
        </w:rPr>
        <w:t>ha individuato una serie di potenziali spiegazioni che potrebbero in larga misura giustificare tale notevole diminuzione.</w:t>
      </w:r>
    </w:p>
    <w:p w14:paraId="41010B66" w14:textId="78EE708A" w:rsidR="001E18A9" w:rsidRPr="00BF016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I </w:t>
      </w:r>
      <w:r w:rsidRPr="00BF0169">
        <w:rPr>
          <w:b/>
          <w:noProof/>
          <w:lang w:val="it-IT"/>
        </w:rPr>
        <w:t>ritardi nell</w:t>
      </w:r>
      <w:r w:rsidR="00BF0169" w:rsidRPr="00BF0169">
        <w:rPr>
          <w:b/>
          <w:noProof/>
          <w:lang w:val="it-IT"/>
        </w:rPr>
        <w:t>'</w:t>
      </w:r>
      <w:r w:rsidRPr="00BF0169">
        <w:rPr>
          <w:b/>
          <w:noProof/>
          <w:lang w:val="it-IT"/>
        </w:rPr>
        <w:t>attuazione</w:t>
      </w:r>
      <w:r w:rsidRPr="00BF0169">
        <w:rPr>
          <w:noProof/>
          <w:lang w:val="it-IT"/>
        </w:rPr>
        <w:t xml:space="preserve"> dei pertinenti programmi operativi possono spiegare parte del divario attuale. La diminuzione delle irregolarità non fraudolente può anche essere spiegata in parte da un possibile </w:t>
      </w:r>
      <w:r w:rsidRPr="00BF0169">
        <w:rPr>
          <w:b/>
          <w:noProof/>
          <w:lang w:val="it-IT"/>
        </w:rPr>
        <w:t>cambiamento nelle pratiche di segnalazione</w:t>
      </w:r>
      <w:r w:rsidRPr="00BF0169">
        <w:rPr>
          <w:noProof/>
          <w:lang w:val="it-IT"/>
        </w:rPr>
        <w:t xml:space="preserve"> di alcune autorità per irregolarità concernenti importi inferiori a 10 000 EUR.</w:t>
      </w:r>
    </w:p>
    <w:p w14:paraId="601F2C9B" w14:textId="017A61B8" w:rsidR="001E18A9" w:rsidRPr="00BF016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Per il periodo di programmazione 2014-2020 è stata estesa la </w:t>
      </w:r>
      <w:r w:rsidRPr="00BF0169">
        <w:rPr>
          <w:b/>
          <w:noProof/>
          <w:lang w:val="it-IT"/>
        </w:rPr>
        <w:t>possibilità di utilizzare le opzioni semplificate in materia di costi (SCO)</w:t>
      </w:r>
      <w:r w:rsidRPr="00BF0169">
        <w:rPr>
          <w:noProof/>
          <w:lang w:val="it-IT"/>
        </w:rPr>
        <w:t>. Per il Fondo sociale europeo, l</w:t>
      </w:r>
      <w:r w:rsidR="00BF0169" w:rsidRPr="00BF0169">
        <w:rPr>
          <w:noProof/>
          <w:lang w:val="it-IT"/>
        </w:rPr>
        <w:t>'</w:t>
      </w:r>
      <w:r w:rsidRPr="00BF0169">
        <w:rPr>
          <w:noProof/>
          <w:lang w:val="it-IT"/>
        </w:rPr>
        <w:t>aumento della percentuale di spesa coperta dalle SCO (dal 7 % al 33 %) può costituire un fattore significativo che contribuisce al calo delle irregolarità non fraudolente.</w:t>
      </w:r>
    </w:p>
    <w:p w14:paraId="26FF2D5F" w14:textId="1D2DCF46" w:rsidR="001E18A9" w:rsidRPr="00BF016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Un</w:t>
      </w:r>
      <w:r w:rsidR="00BF0169" w:rsidRPr="00BF0169">
        <w:rPr>
          <w:noProof/>
          <w:lang w:val="it-IT"/>
        </w:rPr>
        <w:t>'</w:t>
      </w:r>
      <w:r w:rsidRPr="00BF0169">
        <w:rPr>
          <w:noProof/>
          <w:lang w:val="it-IT"/>
        </w:rPr>
        <w:t xml:space="preserve">ulteriore giustificazione potrebbe essere costituita da un </w:t>
      </w:r>
      <w:r w:rsidRPr="00BF0169">
        <w:rPr>
          <w:b/>
          <w:noProof/>
          <w:lang w:val="it-IT"/>
        </w:rPr>
        <w:t>ritardo nell</w:t>
      </w:r>
      <w:r w:rsidR="00BF0169" w:rsidRPr="00BF0169">
        <w:rPr>
          <w:b/>
          <w:noProof/>
          <w:lang w:val="it-IT"/>
        </w:rPr>
        <w:t>'</w:t>
      </w:r>
      <w:r w:rsidRPr="00BF0169">
        <w:rPr>
          <w:b/>
          <w:noProof/>
          <w:lang w:val="it-IT"/>
        </w:rPr>
        <w:t>adeguamento alla modifica di una deroga</w:t>
      </w:r>
      <w:r w:rsidRPr="00BF0169">
        <w:rPr>
          <w:noProof/>
          <w:lang w:val="it-IT"/>
        </w:rPr>
        <w:t xml:space="preserve"> alla segnalazione di irregolarità non fraudolente, avvenuta nel 2009 e che ha inciso sulle segnalazioni nel periodo 2007-2013.</w:t>
      </w:r>
    </w:p>
    <w:p w14:paraId="267C610B" w14:textId="1F4686DB" w:rsidR="001E18A9" w:rsidRPr="00BF016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Anche l</w:t>
      </w:r>
      <w:r w:rsidR="00BF0169" w:rsidRPr="00BF0169">
        <w:rPr>
          <w:noProof/>
          <w:lang w:val="it-IT"/>
        </w:rPr>
        <w:t>'</w:t>
      </w:r>
      <w:r w:rsidRPr="00BF0169">
        <w:rPr>
          <w:b/>
          <w:noProof/>
          <w:lang w:val="it-IT"/>
        </w:rPr>
        <w:t>introduzione di conti annuali e l</w:t>
      </w:r>
      <w:r w:rsidR="00BF0169" w:rsidRPr="00BF0169">
        <w:rPr>
          <w:b/>
          <w:noProof/>
          <w:lang w:val="it-IT"/>
        </w:rPr>
        <w:t>'</w:t>
      </w:r>
      <w:r w:rsidRPr="00BF0169">
        <w:rPr>
          <w:b/>
          <w:noProof/>
          <w:lang w:val="it-IT"/>
        </w:rPr>
        <w:t xml:space="preserve">esclusione delle valutazioni in corso </w:t>
      </w:r>
      <w:r w:rsidRPr="00BF0169">
        <w:rPr>
          <w:noProof/>
          <w:lang w:val="it-IT"/>
        </w:rPr>
        <w:t>potrebbero aver contribuito a tale diminuzione. A partire dal periodo di programmazione 2014-2020, gli Stati membri possono escludere dai conti annuali le spese per le quali è in corso una valutazione della legittimità e regolarità. Tale esclusione permette agli Stati membri di evitare una riduzione del contributo di un determinato fondo, anche in presenza di irregolarità. Gli Stati membri si stanno avvalendo di tale possibilità.</w:t>
      </w:r>
    </w:p>
    <w:p w14:paraId="0CA39A12" w14:textId="5D0B088B" w:rsidR="001E18A9" w:rsidRPr="00BF016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A determinate condizioni, dopo sette anni di attuazione (fine 2020), l</w:t>
      </w:r>
      <w:r w:rsidR="00BF0169" w:rsidRPr="00BF0169">
        <w:rPr>
          <w:noProof/>
          <w:lang w:val="it-IT"/>
        </w:rPr>
        <w:t>'</w:t>
      </w:r>
      <w:r w:rsidRPr="00BF0169">
        <w:rPr>
          <w:noProof/>
          <w:lang w:val="it-IT"/>
        </w:rPr>
        <w:t>effetto combinato di tali motivi rappresenterebbe all</w:t>
      </w:r>
      <w:r w:rsidR="00BF0169" w:rsidRPr="00BF0169">
        <w:rPr>
          <w:noProof/>
          <w:lang w:val="it-IT"/>
        </w:rPr>
        <w:t>'</w:t>
      </w:r>
      <w:r w:rsidRPr="00BF0169">
        <w:rPr>
          <w:noProof/>
          <w:lang w:val="it-IT"/>
        </w:rPr>
        <w:t xml:space="preserve">incirca due terzi della diminuzione delle segnalazioni di irregolarità non fraudolente a livello UE. </w:t>
      </w:r>
    </w:p>
    <w:p w14:paraId="7B5A6B6B" w14:textId="7AB12212" w:rsidR="001E18A9" w:rsidRPr="00BF016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b/>
          <w:noProof/>
          <w:lang w:val="it-IT"/>
        </w:rPr>
      </w:pPr>
      <w:r w:rsidRPr="00BF0169">
        <w:rPr>
          <w:b/>
          <w:noProof/>
          <w:lang w:val="it-IT"/>
        </w:rPr>
        <w:t>L</w:t>
      </w:r>
      <w:r w:rsidR="00BF0169" w:rsidRPr="00BF0169">
        <w:rPr>
          <w:b/>
          <w:noProof/>
          <w:lang w:val="it-IT"/>
        </w:rPr>
        <w:t>'</w:t>
      </w:r>
      <w:r w:rsidRPr="00BF0169">
        <w:rPr>
          <w:b/>
          <w:noProof/>
          <w:lang w:val="it-IT"/>
        </w:rPr>
        <w:t xml:space="preserve">effetto di una maggiore capacità amministrativa costituisce un ulteriore aspetto da considerare. </w:t>
      </w:r>
      <w:r w:rsidRPr="00BF0169">
        <w:rPr>
          <w:noProof/>
          <w:lang w:val="it-IT"/>
        </w:rPr>
        <w:t>Non esistono indicatori per valutare l</w:t>
      </w:r>
      <w:r w:rsidR="00BF0169" w:rsidRPr="00BF0169">
        <w:rPr>
          <w:noProof/>
          <w:lang w:val="it-IT"/>
        </w:rPr>
        <w:t>'</w:t>
      </w:r>
      <w:r w:rsidRPr="00BF0169">
        <w:rPr>
          <w:noProof/>
          <w:lang w:val="it-IT"/>
        </w:rPr>
        <w:t>aumento delle capacità degli organismi incaricati dell</w:t>
      </w:r>
      <w:r w:rsidR="00BF0169" w:rsidRPr="00BF0169">
        <w:rPr>
          <w:noProof/>
          <w:lang w:val="it-IT"/>
        </w:rPr>
        <w:t>'</w:t>
      </w:r>
      <w:r w:rsidRPr="00BF0169">
        <w:rPr>
          <w:noProof/>
          <w:lang w:val="it-IT"/>
        </w:rPr>
        <w:t>attuazione e dei beneficiari, né l</w:t>
      </w:r>
      <w:r w:rsidR="00BF0169" w:rsidRPr="00BF0169">
        <w:rPr>
          <w:noProof/>
          <w:lang w:val="it-IT"/>
        </w:rPr>
        <w:t>'</w:t>
      </w:r>
      <w:r w:rsidRPr="00BF0169">
        <w:rPr>
          <w:noProof/>
          <w:lang w:val="it-IT"/>
        </w:rPr>
        <w:t xml:space="preserve">impatto che tale aumento avrebbe potuto avere in termini di diminuzione delle irregolarità non intenzionali. Tuttavia, alcuni fattori contributori suggerirebbero tali sviluppi positivi. Si pensi ad esempio: a) a </w:t>
      </w:r>
      <w:r w:rsidRPr="00BF0169">
        <w:rPr>
          <w:b/>
          <w:noProof/>
          <w:lang w:val="it-IT"/>
        </w:rPr>
        <w:t>misure antifrode efficaci e proporzionate</w:t>
      </w:r>
      <w:r w:rsidRPr="00BF0169">
        <w:rPr>
          <w:noProof/>
          <w:lang w:val="it-IT"/>
        </w:rPr>
        <w:t xml:space="preserve"> adottate a livello di programma operativo, che potrebbero aver consentito un</w:t>
      </w:r>
      <w:r w:rsidR="00BF0169" w:rsidRPr="00BF0169">
        <w:rPr>
          <w:noProof/>
          <w:lang w:val="it-IT"/>
        </w:rPr>
        <w:t>'</w:t>
      </w:r>
      <w:r w:rsidRPr="00BF0169">
        <w:rPr>
          <w:noProof/>
          <w:lang w:val="it-IT"/>
        </w:rPr>
        <w:t xml:space="preserve">individuazione precoce e la prevenzione delle irregolarità (fraudolente e non fraudolente); b) al </w:t>
      </w:r>
      <w:r w:rsidRPr="00BF0169">
        <w:rPr>
          <w:b/>
          <w:noProof/>
          <w:lang w:val="it-IT"/>
        </w:rPr>
        <w:t>miglioramento della qualità e dell</w:t>
      </w:r>
      <w:r w:rsidR="00BF0169" w:rsidRPr="00BF0169">
        <w:rPr>
          <w:b/>
          <w:noProof/>
          <w:lang w:val="it-IT"/>
        </w:rPr>
        <w:t>'</w:t>
      </w:r>
      <w:r w:rsidRPr="00BF0169">
        <w:rPr>
          <w:b/>
          <w:noProof/>
          <w:lang w:val="it-IT"/>
        </w:rPr>
        <w:t xml:space="preserve">esperienza delle autorità competenti </w:t>
      </w:r>
      <w:r w:rsidRPr="00BF0169">
        <w:rPr>
          <w:noProof/>
          <w:lang w:val="it-IT"/>
        </w:rPr>
        <w:t xml:space="preserve">(in particolare in alcuni Stati membri), </w:t>
      </w:r>
      <w:r w:rsidRPr="00BF0169">
        <w:rPr>
          <w:b/>
          <w:noProof/>
          <w:lang w:val="it-IT"/>
        </w:rPr>
        <w:t>anche tra i beneficiari</w:t>
      </w:r>
      <w:r w:rsidRPr="00BF0169">
        <w:rPr>
          <w:noProof/>
          <w:lang w:val="it-IT"/>
        </w:rPr>
        <w:t xml:space="preserve"> e c) a un </w:t>
      </w:r>
      <w:r w:rsidRPr="00BF0169">
        <w:rPr>
          <w:b/>
          <w:noProof/>
          <w:lang w:val="it-IT"/>
        </w:rPr>
        <w:t>maggiore coinvolgimento della società civile attraverso i patti d</w:t>
      </w:r>
      <w:r w:rsidR="00BF0169" w:rsidRPr="00BF0169">
        <w:rPr>
          <w:b/>
          <w:noProof/>
          <w:lang w:val="it-IT"/>
        </w:rPr>
        <w:t>'</w:t>
      </w:r>
      <w:r w:rsidRPr="00BF0169">
        <w:rPr>
          <w:b/>
          <w:noProof/>
          <w:lang w:val="it-IT"/>
        </w:rPr>
        <w:t xml:space="preserve">integrità </w:t>
      </w:r>
      <w:r w:rsidRPr="00BF0169">
        <w:rPr>
          <w:noProof/>
          <w:lang w:val="it-IT"/>
        </w:rPr>
        <w:t xml:space="preserve">(cfr. </w:t>
      </w:r>
      <w:r w:rsidRPr="00BF0169">
        <w:rPr>
          <w:b/>
          <w:noProof/>
          <w:lang w:val="it-IT"/>
        </w:rPr>
        <w:t>istantanea 18</w:t>
      </w:r>
      <w:r w:rsidRPr="00BF0169">
        <w:rPr>
          <w:noProof/>
          <w:lang w:val="it-IT"/>
        </w:rPr>
        <w:t>)</w:t>
      </w:r>
      <w:r w:rsidRPr="00BF0169">
        <w:rPr>
          <w:b/>
          <w:noProof/>
          <w:lang w:val="it-IT"/>
        </w:rPr>
        <w:t>.</w:t>
      </w:r>
    </w:p>
    <w:p w14:paraId="56D7E1A1" w14:textId="3E9EB986" w:rsidR="00E23197" w:rsidRPr="00BF0169" w:rsidRDefault="00E23197"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 xml:space="preserve">In negativo, </w:t>
      </w:r>
      <w:r w:rsidRPr="00BF0169">
        <w:rPr>
          <w:b/>
          <w:noProof/>
          <w:lang w:val="it-IT"/>
        </w:rPr>
        <w:t>la pandemia di COVID-19 potrebbe aver messo a dura prova la capacità amministrativa di coloro che sono coinvolti nei sistemi di gestione e controllo</w:t>
      </w:r>
      <w:r w:rsidRPr="00BF0169">
        <w:rPr>
          <w:noProof/>
          <w:lang w:val="it-IT"/>
        </w:rPr>
        <w:t>. Ciò potrebbe contribuire all</w:t>
      </w:r>
      <w:r w:rsidR="00BF0169" w:rsidRPr="00BF0169">
        <w:rPr>
          <w:noProof/>
          <w:lang w:val="it-IT"/>
        </w:rPr>
        <w:t>'</w:t>
      </w:r>
      <w:r w:rsidRPr="00BF0169">
        <w:rPr>
          <w:noProof/>
          <w:lang w:val="it-IT"/>
        </w:rPr>
        <w:t>individuazione di ulteriori irregolarità nei prossimi anni.</w:t>
      </w:r>
    </w:p>
    <w:p w14:paraId="32F7BDC6" w14:textId="3EFF84D4" w:rsidR="00822DA8" w:rsidRPr="00BF0169" w:rsidRDefault="00822DA8" w:rsidP="00822DA8">
      <w:pPr>
        <w:rPr>
          <w:noProof/>
          <w:lang w:val="it-IT"/>
        </w:rPr>
      </w:pPr>
      <w:r w:rsidRPr="00BF0169">
        <w:rPr>
          <w:noProof/>
          <w:lang w:val="it-IT"/>
        </w:rPr>
        <w:t xml:space="preserve">I </w:t>
      </w:r>
      <w:r w:rsidRPr="00BF0169">
        <w:rPr>
          <w:b/>
          <w:noProof/>
          <w:lang w:val="it-IT"/>
        </w:rPr>
        <w:t>rischi</w:t>
      </w:r>
      <w:r w:rsidRPr="00BF0169">
        <w:rPr>
          <w:noProof/>
          <w:lang w:val="it-IT"/>
        </w:rPr>
        <w:t xml:space="preserve"> di irregolarità sembrano essere maggiori nei settori della politica di coesione concernenti i </w:t>
      </w:r>
      <w:r w:rsidRPr="00BF0169">
        <w:rPr>
          <w:b/>
          <w:noProof/>
          <w:lang w:val="it-IT"/>
        </w:rPr>
        <w:t>trasporti</w:t>
      </w:r>
      <w:r w:rsidRPr="00BF0169">
        <w:rPr>
          <w:noProof/>
          <w:lang w:val="it-IT"/>
        </w:rPr>
        <w:t xml:space="preserve">, la </w:t>
      </w:r>
      <w:r w:rsidRPr="00BF0169">
        <w:rPr>
          <w:b/>
          <w:noProof/>
          <w:lang w:val="it-IT"/>
        </w:rPr>
        <w:t>protezione dell</w:t>
      </w:r>
      <w:r w:rsidR="00BF0169" w:rsidRPr="00BF0169">
        <w:rPr>
          <w:b/>
          <w:noProof/>
          <w:lang w:val="it-IT"/>
        </w:rPr>
        <w:t>'</w:t>
      </w:r>
      <w:r w:rsidRPr="00BF0169">
        <w:rPr>
          <w:b/>
          <w:noProof/>
          <w:lang w:val="it-IT"/>
        </w:rPr>
        <w:t>ambiente</w:t>
      </w:r>
      <w:r w:rsidRPr="00BF0169">
        <w:rPr>
          <w:noProof/>
          <w:lang w:val="it-IT"/>
        </w:rPr>
        <w:t>, la ricerca, lo sviluppo tecnologico e l</w:t>
      </w:r>
      <w:r w:rsidR="00BF0169" w:rsidRPr="00BF0169">
        <w:rPr>
          <w:noProof/>
          <w:lang w:val="it-IT"/>
        </w:rPr>
        <w:t>'</w:t>
      </w:r>
      <w:r w:rsidRPr="00BF0169">
        <w:rPr>
          <w:noProof/>
          <w:lang w:val="it-IT"/>
        </w:rPr>
        <w:t>innovazione (</w:t>
      </w:r>
      <w:r w:rsidRPr="00BF0169">
        <w:rPr>
          <w:b/>
          <w:noProof/>
          <w:lang w:val="it-IT"/>
        </w:rPr>
        <w:t>RST&amp;I</w:t>
      </w:r>
      <w:r w:rsidRPr="00BF0169">
        <w:rPr>
          <w:noProof/>
          <w:lang w:val="it-IT"/>
        </w:rPr>
        <w:t>), l</w:t>
      </w:r>
      <w:r w:rsidR="00BF0169" w:rsidRPr="00BF0169">
        <w:rPr>
          <w:noProof/>
          <w:lang w:val="it-IT"/>
        </w:rPr>
        <w:t>'</w:t>
      </w:r>
      <w:r w:rsidRPr="00BF0169">
        <w:rPr>
          <w:b/>
          <w:noProof/>
          <w:lang w:val="it-IT"/>
        </w:rPr>
        <w:t>inclusione sociale</w:t>
      </w:r>
      <w:r w:rsidRPr="00BF0169">
        <w:rPr>
          <w:noProof/>
          <w:lang w:val="it-IT"/>
        </w:rPr>
        <w:t xml:space="preserve"> e la promozione dell</w:t>
      </w:r>
      <w:r w:rsidR="00BF0169" w:rsidRPr="00BF0169">
        <w:rPr>
          <w:noProof/>
          <w:lang w:val="it-IT"/>
        </w:rPr>
        <w:t>'</w:t>
      </w:r>
      <w:r w:rsidRPr="00BF0169">
        <w:rPr>
          <w:b/>
          <w:noProof/>
          <w:lang w:val="it-IT"/>
        </w:rPr>
        <w:t>occupazione</w:t>
      </w:r>
      <w:r w:rsidRPr="00BF0169">
        <w:rPr>
          <w:noProof/>
          <w:lang w:val="it-IT"/>
        </w:rPr>
        <w:t xml:space="preserve"> e della </w:t>
      </w:r>
      <w:r w:rsidRPr="00BF0169">
        <w:rPr>
          <w:b/>
          <w:noProof/>
          <w:lang w:val="it-IT"/>
        </w:rPr>
        <w:t>mobilità del lavoro</w:t>
      </w:r>
      <w:r w:rsidRPr="00BF0169">
        <w:rPr>
          <w:noProof/>
          <w:lang w:val="it-IT"/>
        </w:rPr>
        <w:t>.</w:t>
      </w:r>
    </w:p>
    <w:p w14:paraId="65381810" w14:textId="0D0ECBA0" w:rsidR="00822DA8" w:rsidRPr="00BF0169" w:rsidRDefault="00822DA8" w:rsidP="00671AE7">
      <w:pPr>
        <w:rPr>
          <w:noProof/>
          <w:lang w:val="it-IT"/>
        </w:rPr>
      </w:pPr>
      <w:r w:rsidRPr="00BF0169">
        <w:rPr>
          <w:noProof/>
          <w:lang w:val="it-IT"/>
        </w:rPr>
        <w:t>L</w:t>
      </w:r>
      <w:r w:rsidR="00BF0169" w:rsidRPr="00BF0169">
        <w:rPr>
          <w:noProof/>
          <w:lang w:val="it-IT"/>
        </w:rPr>
        <w:t>'</w:t>
      </w:r>
      <w:r w:rsidRPr="00BF0169">
        <w:rPr>
          <w:noProof/>
          <w:lang w:val="it-IT"/>
        </w:rPr>
        <w:t xml:space="preserve">analisi mette in evidenza i rischi legati alla </w:t>
      </w:r>
      <w:r w:rsidRPr="00BF0169">
        <w:rPr>
          <w:b/>
          <w:noProof/>
          <w:lang w:val="it-IT"/>
        </w:rPr>
        <w:t>transizione verde</w:t>
      </w:r>
      <w:r w:rsidRPr="00BF0169">
        <w:rPr>
          <w:noProof/>
          <w:lang w:val="it-IT"/>
        </w:rPr>
        <w:t>, anche per gli investimenti nell</w:t>
      </w:r>
      <w:r w:rsidR="00BF0169" w:rsidRPr="00BF0169">
        <w:rPr>
          <w:noProof/>
          <w:lang w:val="it-IT"/>
        </w:rPr>
        <w:t>'</w:t>
      </w:r>
      <w:r w:rsidRPr="00BF0169">
        <w:rPr>
          <w:noProof/>
          <w:lang w:val="it-IT"/>
        </w:rPr>
        <w:t>efficienza energetica, la fornitura di acqua potabile, la gestione dei rifiuti, l</w:t>
      </w:r>
      <w:r w:rsidR="00BF0169" w:rsidRPr="00BF0169">
        <w:rPr>
          <w:noProof/>
          <w:lang w:val="it-IT"/>
        </w:rPr>
        <w:t>'</w:t>
      </w:r>
      <w:r w:rsidRPr="00BF0169">
        <w:rPr>
          <w:noProof/>
          <w:lang w:val="it-IT"/>
        </w:rPr>
        <w:t xml:space="preserve">energia rinnovabile (solare) e la prevenzione dei rischi. I rischi legati alla </w:t>
      </w:r>
      <w:r w:rsidRPr="00BF0169">
        <w:rPr>
          <w:b/>
          <w:noProof/>
          <w:lang w:val="it-IT"/>
        </w:rPr>
        <w:t>transizione digitale</w:t>
      </w:r>
      <w:r w:rsidRPr="00BF0169">
        <w:rPr>
          <w:noProof/>
          <w:lang w:val="it-IT"/>
        </w:rPr>
        <w:t xml:space="preserve"> sembrano essere più evidenti nel settore dei servizi e nelle applicazioni per le piccole e medie imprese (PMI), in termini di numero di irregolarità, e nel settore dei servizi e nelle applicazioni per la pubblica amministrazione elettronica (e-government), in termini di importi finanziari interessati. Sono state segnalate irregolarità anche in relazione agli investimenti a favore di infrastrutture per la transizione digitale.</w:t>
      </w:r>
    </w:p>
    <w:p w14:paraId="3400146D" w14:textId="4A0B9A6C" w:rsidR="00822DA8" w:rsidRPr="00BF0169" w:rsidRDefault="00E16B96" w:rsidP="00822DA8">
      <w:pPr>
        <w:pStyle w:val="Text1"/>
        <w:spacing w:after="120"/>
        <w:ind w:left="0"/>
        <w:rPr>
          <w:noProof/>
          <w:sz w:val="22"/>
          <w:lang w:val="it-IT"/>
        </w:rPr>
      </w:pPr>
      <w:r w:rsidRPr="00BF0169">
        <w:rPr>
          <w:noProof/>
          <w:sz w:val="22"/>
          <w:lang w:val="it-IT"/>
        </w:rPr>
        <w:t xml:space="preserve">Per quanto concerne </w:t>
      </w:r>
      <w:r w:rsidRPr="00BF0169">
        <w:rPr>
          <w:b/>
          <w:noProof/>
          <w:sz w:val="22"/>
          <w:lang w:val="it-IT"/>
        </w:rPr>
        <w:t>ricerca, sviluppo tecnologico e innovazione</w:t>
      </w:r>
      <w:r w:rsidRPr="00BF0169">
        <w:rPr>
          <w:noProof/>
          <w:sz w:val="22"/>
          <w:lang w:val="it-IT"/>
        </w:rPr>
        <w:t>, l</w:t>
      </w:r>
      <w:r w:rsidR="00BF0169" w:rsidRPr="00BF0169">
        <w:rPr>
          <w:noProof/>
          <w:sz w:val="22"/>
          <w:lang w:val="it-IT"/>
        </w:rPr>
        <w:t>'</w:t>
      </w:r>
      <w:r w:rsidRPr="00BF0169">
        <w:rPr>
          <w:noProof/>
          <w:sz w:val="22"/>
          <w:lang w:val="it-IT"/>
        </w:rPr>
        <w:t>analisi suggerisce rischi maggiori per gli investimenti volti a fornire assistenza per tali attività nelle imprese. Le misure per stimolare la ricerca, l</w:t>
      </w:r>
      <w:r w:rsidR="00BF0169" w:rsidRPr="00BF0169">
        <w:rPr>
          <w:noProof/>
          <w:sz w:val="22"/>
          <w:lang w:val="it-IT"/>
        </w:rPr>
        <w:t>'</w:t>
      </w:r>
      <w:r w:rsidRPr="00BF0169">
        <w:rPr>
          <w:noProof/>
          <w:sz w:val="22"/>
          <w:lang w:val="it-IT"/>
        </w:rPr>
        <w:t>innovazione e l</w:t>
      </w:r>
      <w:r w:rsidR="00BF0169" w:rsidRPr="00BF0169">
        <w:rPr>
          <w:noProof/>
          <w:sz w:val="22"/>
          <w:lang w:val="it-IT"/>
        </w:rPr>
        <w:t>'</w:t>
      </w:r>
      <w:r w:rsidRPr="00BF0169">
        <w:rPr>
          <w:noProof/>
          <w:sz w:val="22"/>
          <w:lang w:val="it-IT"/>
        </w:rPr>
        <w:t xml:space="preserve">imprenditorialità nelle PMI sono state particolarmente colpite. </w:t>
      </w:r>
    </w:p>
    <w:p w14:paraId="021C61AF" w14:textId="7EA5CE3F" w:rsidR="00E23197" w:rsidRPr="00BF0169" w:rsidRDefault="00822DA8" w:rsidP="00D10B75">
      <w:pPr>
        <w:rPr>
          <w:noProof/>
          <w:lang w:val="it-IT"/>
        </w:rPr>
      </w:pPr>
      <w:r w:rsidRPr="00BF0169">
        <w:rPr>
          <w:noProof/>
          <w:lang w:val="it-IT"/>
        </w:rPr>
        <w:t xml:space="preserve">Sussistono rischi elevati per quanto riguarda gli investimenti nelle </w:t>
      </w:r>
      <w:r w:rsidRPr="00BF0169">
        <w:rPr>
          <w:b/>
          <w:noProof/>
          <w:lang w:val="it-IT"/>
        </w:rPr>
        <w:t>infrastrutture di trasporto</w:t>
      </w:r>
      <w:r w:rsidRPr="00BF0169">
        <w:rPr>
          <w:noProof/>
          <w:lang w:val="it-IT"/>
        </w:rPr>
        <w:t>, in ragione della frequenza delle irregolarità nei progetti stradali generici, che interessano i livelli regionali e locali, nonché degli elevati importi finanziari interessati dalle irregolarità riguardanti le ferrovie e le reti stradali della rete transeuropea (TEN). Anche gli investimenti nelle infrastrutture multimodali TEN e nelle reti elettriche sembrano essere soggetti a rischio.</w:t>
      </w:r>
    </w:p>
    <w:p w14:paraId="15DC2003" w14:textId="4EEB195D" w:rsidR="00822DA8" w:rsidRPr="00BF0169" w:rsidRDefault="00822DA8" w:rsidP="00D10B75">
      <w:pPr>
        <w:rPr>
          <w:noProof/>
          <w:lang w:val="it-IT"/>
        </w:rPr>
      </w:pPr>
      <w:r w:rsidRPr="00BF0169">
        <w:rPr>
          <w:noProof/>
          <w:lang w:val="it-IT"/>
        </w:rPr>
        <w:t>I rischi legati all</w:t>
      </w:r>
      <w:r w:rsidR="00BF0169" w:rsidRPr="00BF0169">
        <w:rPr>
          <w:noProof/>
          <w:lang w:val="it-IT"/>
        </w:rPr>
        <w:t>'</w:t>
      </w:r>
      <w:r w:rsidRPr="00BF0169">
        <w:rPr>
          <w:b/>
          <w:noProof/>
          <w:lang w:val="it-IT"/>
        </w:rPr>
        <w:t>inclusione sociale</w:t>
      </w:r>
      <w:r w:rsidRPr="00BF0169">
        <w:rPr>
          <w:noProof/>
          <w:lang w:val="it-IT"/>
        </w:rPr>
        <w:t>, alla povertà e alla discriminazione sembrano essere maggiori per gli investimenti a favore di: i) inclusione attiva; ii) infrastrutture per la sanità; iii) migliore accesso all</w:t>
      </w:r>
      <w:r w:rsidR="00BF0169" w:rsidRPr="00BF0169">
        <w:rPr>
          <w:noProof/>
          <w:lang w:val="it-IT"/>
        </w:rPr>
        <w:t>'</w:t>
      </w:r>
      <w:r w:rsidRPr="00BF0169">
        <w:rPr>
          <w:noProof/>
          <w:lang w:val="it-IT"/>
        </w:rPr>
        <w:t>assistenza sanitaria e ai servizi sociali; iv) infrastrutture sociali e rigenerazione delle zone rurali e urbane; v) investimenti a favore delle comunità emarginate e vi) infrastrutture per l</w:t>
      </w:r>
      <w:r w:rsidR="00BF0169" w:rsidRPr="00BF0169">
        <w:rPr>
          <w:noProof/>
          <w:lang w:val="it-IT"/>
        </w:rPr>
        <w:t>'</w:t>
      </w:r>
      <w:r w:rsidRPr="00BF0169">
        <w:rPr>
          <w:noProof/>
          <w:lang w:val="it-IT"/>
        </w:rPr>
        <w:t>infanzia.</w:t>
      </w:r>
    </w:p>
    <w:p w14:paraId="38C4D7BA" w14:textId="234ABF7E" w:rsidR="00822DA8" w:rsidRPr="00BF0169" w:rsidRDefault="00822DA8" w:rsidP="00D10B75">
      <w:pPr>
        <w:rPr>
          <w:noProof/>
          <w:lang w:val="it-IT"/>
        </w:rPr>
      </w:pPr>
      <w:r w:rsidRPr="00BF0169">
        <w:rPr>
          <w:noProof/>
          <w:lang w:val="it-IT"/>
        </w:rPr>
        <w:t>Per quanto riguarda la promozione dell</w:t>
      </w:r>
      <w:r w:rsidR="00BF0169" w:rsidRPr="00BF0169">
        <w:rPr>
          <w:noProof/>
          <w:lang w:val="it-IT"/>
        </w:rPr>
        <w:t>'</w:t>
      </w:r>
      <w:r w:rsidRPr="00BF0169">
        <w:rPr>
          <w:b/>
          <w:noProof/>
          <w:lang w:val="it-IT"/>
        </w:rPr>
        <w:t>occupazione</w:t>
      </w:r>
      <w:r w:rsidRPr="00BF0169">
        <w:rPr>
          <w:noProof/>
          <w:lang w:val="it-IT"/>
        </w:rPr>
        <w:t xml:space="preserve"> e della mobilità del lavoro, i rischi sembrano essere maggiori per gli investimenti a favore: i) dell</w:t>
      </w:r>
      <w:r w:rsidR="00BF0169" w:rsidRPr="00BF0169">
        <w:rPr>
          <w:noProof/>
          <w:lang w:val="it-IT"/>
        </w:rPr>
        <w:t>'</w:t>
      </w:r>
      <w:r w:rsidRPr="00BF0169">
        <w:rPr>
          <w:noProof/>
          <w:lang w:val="it-IT"/>
        </w:rPr>
        <w:t>adattamento al cambiamento dei lavoratori e delle imprese, in particolare in relazione alle operazioni di progettazione e diffusione di modalità di lavoro innovative e più produttive; ii) dell</w:t>
      </w:r>
      <w:r w:rsidR="00BF0169" w:rsidRPr="00BF0169">
        <w:rPr>
          <w:noProof/>
          <w:lang w:val="it-IT"/>
        </w:rPr>
        <w:t>'</w:t>
      </w:r>
      <w:r w:rsidRPr="00BF0169">
        <w:rPr>
          <w:noProof/>
          <w:lang w:val="it-IT"/>
        </w:rPr>
        <w:t>accesso al lavoro, in particolare le operazioni per le persone in cerca di occupazione e le persone inattive, compresi i disoccupati di lunga durata e le persone lontane dal mercato del lavoro e iii) del sostegno al lavoro autonomo e all</w:t>
      </w:r>
      <w:r w:rsidR="00BF0169" w:rsidRPr="00BF0169">
        <w:rPr>
          <w:noProof/>
          <w:lang w:val="it-IT"/>
        </w:rPr>
        <w:t>'</w:t>
      </w:r>
      <w:r w:rsidRPr="00BF0169">
        <w:rPr>
          <w:noProof/>
          <w:lang w:val="it-IT"/>
        </w:rPr>
        <w:t>avvio di imprese.</w:t>
      </w:r>
    </w:p>
    <w:p w14:paraId="7294D3BB" w14:textId="6792FCD4" w:rsidR="00C77AE2" w:rsidRPr="00BF0169" w:rsidRDefault="00C77AE2"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88" w:name="_Toc110444025"/>
      <w:bookmarkStart w:id="89" w:name="_Toc105777781"/>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w:t>
      </w:r>
      <w:r w:rsidR="00FB4C5F" w:rsidRPr="00BF0169">
        <w:rPr>
          <w:noProof/>
          <w:lang w:val="it-IT"/>
        </w:rPr>
        <w:t>7</w:t>
      </w:r>
      <w:r w:rsidR="00742EC4" w:rsidRPr="00BF0169">
        <w:rPr>
          <w:noProof/>
          <w:lang w:val="it-IT"/>
        </w:rPr>
        <w:fldChar w:fldCharType="end"/>
      </w:r>
      <w:r w:rsidRPr="00BF0169">
        <w:rPr>
          <w:noProof/>
          <w:lang w:val="it-IT"/>
        </w:rPr>
        <w:t xml:space="preserve"> – Fondi SIE: tipi di irregolarità rilevate</w:t>
      </w:r>
      <w:bookmarkEnd w:id="88"/>
      <w:r w:rsidRPr="00BF0169">
        <w:rPr>
          <w:noProof/>
          <w:lang w:val="it-IT"/>
        </w:rPr>
        <w:t xml:space="preserve"> </w:t>
      </w:r>
      <w:bookmarkEnd w:id="89"/>
    </w:p>
    <w:p w14:paraId="528BB2FB" w14:textId="56451064" w:rsidR="00C77AE2" w:rsidRPr="00BF0169" w:rsidRDefault="00C77AE2" w:rsidP="00C77AE2">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Le irregolarità fraudolente più frequenti sono consistite nell</w:t>
      </w:r>
      <w:r w:rsidR="00BF0169" w:rsidRPr="00BF0169">
        <w:rPr>
          <w:noProof/>
          <w:lang w:val="it-IT"/>
        </w:rPr>
        <w:t>'</w:t>
      </w:r>
      <w:r w:rsidRPr="00BF0169">
        <w:rPr>
          <w:noProof/>
          <w:lang w:val="it-IT"/>
        </w:rPr>
        <w:t xml:space="preserve">utilizzo di </w:t>
      </w:r>
      <w:r w:rsidRPr="00BF0169">
        <w:rPr>
          <w:b/>
          <w:noProof/>
          <w:lang w:val="it-IT"/>
        </w:rPr>
        <w:t>documenti falsi o falsificati</w:t>
      </w:r>
      <w:r w:rsidRPr="00BF0169">
        <w:rPr>
          <w:noProof/>
          <w:lang w:val="it-IT"/>
        </w:rPr>
        <w:t>. Sono stati interessati importi finanziari elevati in caso di violazioni fraudolente di disposizioni/norme contrattuali. Questo tipo di frode è consistita spesso in un</w:t>
      </w:r>
      <w:r w:rsidR="00BF0169" w:rsidRPr="00BF0169">
        <w:rPr>
          <w:noProof/>
          <w:lang w:val="it-IT"/>
        </w:rPr>
        <w:t>'</w:t>
      </w:r>
      <w:r w:rsidRPr="00BF0169">
        <w:rPr>
          <w:b/>
          <w:noProof/>
          <w:lang w:val="it-IT"/>
        </w:rPr>
        <w:t>attuazione incompleta o mancata dell</w:t>
      </w:r>
      <w:r w:rsidR="00BF0169" w:rsidRPr="00BF0169">
        <w:rPr>
          <w:b/>
          <w:noProof/>
          <w:lang w:val="it-IT"/>
        </w:rPr>
        <w:t>'</w:t>
      </w:r>
      <w:r w:rsidRPr="00BF0169">
        <w:rPr>
          <w:b/>
          <w:noProof/>
          <w:lang w:val="it-IT"/>
        </w:rPr>
        <w:t>azione finanziata</w:t>
      </w:r>
      <w:r w:rsidRPr="00BF0169">
        <w:rPr>
          <w:noProof/>
          <w:lang w:val="it-IT"/>
        </w:rPr>
        <w:t xml:space="preserve">. La maggior parte delle irregolarità fraudolente in materia di etica e integrità ha riguardato </w:t>
      </w:r>
      <w:r w:rsidRPr="00BF0169">
        <w:rPr>
          <w:b/>
          <w:noProof/>
          <w:lang w:val="it-IT"/>
        </w:rPr>
        <w:t>conflitti di interessi</w:t>
      </w:r>
      <w:r w:rsidRPr="00BF0169">
        <w:rPr>
          <w:noProof/>
          <w:lang w:val="it-IT"/>
        </w:rPr>
        <w:t xml:space="preserve">. Le violazioni delle norme sugli </w:t>
      </w:r>
      <w:r w:rsidRPr="00BF0169">
        <w:rPr>
          <w:b/>
          <w:noProof/>
          <w:lang w:val="it-IT"/>
        </w:rPr>
        <w:t xml:space="preserve">appalti pubblici </w:t>
      </w:r>
      <w:r w:rsidRPr="00BF0169">
        <w:rPr>
          <w:noProof/>
          <w:lang w:val="it-IT"/>
        </w:rPr>
        <w:t>sono state le irregolarità non fraudolente magg</w:t>
      </w:r>
      <w:r w:rsidR="00D1293E" w:rsidRPr="00BF0169">
        <w:rPr>
          <w:noProof/>
          <w:lang w:val="it-IT"/>
        </w:rPr>
        <w:t>iormente segnalate, ma solo nel </w:t>
      </w:r>
      <w:r w:rsidRPr="00BF0169">
        <w:rPr>
          <w:noProof/>
          <w:lang w:val="it-IT"/>
        </w:rPr>
        <w:t>4 % di tali casi è stata rilevata una frode.</w:t>
      </w:r>
    </w:p>
    <w:p w14:paraId="545E1F60" w14:textId="3445431E" w:rsidR="00C77AE2" w:rsidRPr="00BF0169" w:rsidRDefault="00C77AE2" w:rsidP="00C77AE2">
      <w:pPr>
        <w:rPr>
          <w:noProof/>
          <w:lang w:val="it-IT"/>
        </w:rPr>
      </w:pPr>
      <w:r w:rsidRPr="00BF0169">
        <w:rPr>
          <w:noProof/>
          <w:lang w:val="it-IT"/>
        </w:rPr>
        <w:t>L</w:t>
      </w:r>
      <w:r w:rsidR="00BF0169" w:rsidRPr="00BF0169">
        <w:rPr>
          <w:noProof/>
          <w:lang w:val="it-IT"/>
        </w:rPr>
        <w:t>'</w:t>
      </w:r>
      <w:r w:rsidRPr="00BF0169">
        <w:rPr>
          <w:b/>
          <w:noProof/>
          <w:lang w:val="it-IT"/>
        </w:rPr>
        <w:t>analisi dei rischi</w:t>
      </w:r>
      <w:r w:rsidRPr="00BF0169">
        <w:rPr>
          <w:noProof/>
          <w:lang w:val="it-IT"/>
        </w:rPr>
        <w:t xml:space="preserve"> continua a contribuire marginalmente all</w:t>
      </w:r>
      <w:r w:rsidR="00BF0169" w:rsidRPr="00BF0169">
        <w:rPr>
          <w:noProof/>
          <w:lang w:val="it-IT"/>
        </w:rPr>
        <w:t>'</w:t>
      </w:r>
      <w:r w:rsidRPr="00BF0169">
        <w:rPr>
          <w:noProof/>
          <w:lang w:val="it-IT"/>
        </w:rPr>
        <w:t xml:space="preserve">individuazione delle frodi, mentre le </w:t>
      </w:r>
      <w:r w:rsidRPr="00BF0169">
        <w:rPr>
          <w:b/>
          <w:noProof/>
          <w:lang w:val="it-IT"/>
        </w:rPr>
        <w:t>informazioni provenienti dalla società civile</w:t>
      </w:r>
      <w:r w:rsidRPr="00BF0169">
        <w:rPr>
          <w:noProof/>
          <w:lang w:val="it-IT"/>
        </w:rPr>
        <w:t xml:space="preserve"> (comprese le informazioni pubblicate sui media) svolgono un ruolo significativo e crescente. Ciò non avviene per le irregolarità non fraudolente. L</w:t>
      </w:r>
      <w:r w:rsidR="00BF0169" w:rsidRPr="00BF0169">
        <w:rPr>
          <w:noProof/>
          <w:lang w:val="it-IT"/>
        </w:rPr>
        <w:t>'</w:t>
      </w:r>
      <w:r w:rsidRPr="00BF0169">
        <w:rPr>
          <w:noProof/>
          <w:lang w:val="it-IT"/>
        </w:rPr>
        <w:t>individuazione di frodi e irregolarità potrebbe migliorare grazie a progetti di analisi dei rischi tematici ex post incentrati su gruppi di operazioni</w:t>
      </w:r>
      <w:r w:rsidR="00BF0169">
        <w:rPr>
          <w:noProof/>
          <w:lang w:val="it-IT"/>
        </w:rPr>
        <w:t xml:space="preserve"> </w:t>
      </w:r>
      <w:r w:rsidRPr="00BF0169">
        <w:rPr>
          <w:noProof/>
          <w:lang w:val="it-IT"/>
        </w:rPr>
        <w:t>passate.</w:t>
      </w:r>
    </w:p>
    <w:p w14:paraId="39E677B3" w14:textId="13031217" w:rsidR="00C77AE2" w:rsidRPr="00BF0169" w:rsidRDefault="00C77AE2" w:rsidP="001623A1">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90" w:name="_Toc105777782"/>
      <w:bookmarkStart w:id="91" w:name="_Toc110444026"/>
      <w:r w:rsidRPr="00BF0169">
        <w:rPr>
          <w:noProof/>
          <w:lang w:val="it-IT"/>
        </w:rPr>
        <w:t xml:space="preserve">Istantanea </w:t>
      </w:r>
      <w:r w:rsidR="00742EC4" w:rsidRPr="00BF0169">
        <w:rPr>
          <w:noProof/>
          <w:lang w:val="it-IT"/>
        </w:rPr>
        <w:fldChar w:fldCharType="begin"/>
      </w:r>
      <w:r w:rsidR="00742EC4" w:rsidRPr="00BF0169">
        <w:rPr>
          <w:noProof/>
          <w:lang w:val="it-IT"/>
        </w:rPr>
        <w:instrText xml:space="preserve"> SEQ Snapshot \* ARABIC </w:instrText>
      </w:r>
      <w:r w:rsidR="00742EC4" w:rsidRPr="00BF0169">
        <w:rPr>
          <w:noProof/>
          <w:lang w:val="it-IT"/>
        </w:rPr>
        <w:fldChar w:fldCharType="separate"/>
      </w:r>
      <w:r w:rsidRPr="00BF0169">
        <w:rPr>
          <w:noProof/>
          <w:lang w:val="it-IT"/>
        </w:rPr>
        <w:t>1</w:t>
      </w:r>
      <w:r w:rsidR="00FB4C5F" w:rsidRPr="00BF0169">
        <w:rPr>
          <w:noProof/>
          <w:lang w:val="it-IT"/>
        </w:rPr>
        <w:t>8</w:t>
      </w:r>
      <w:r w:rsidR="00742EC4" w:rsidRPr="00BF0169">
        <w:rPr>
          <w:noProof/>
          <w:lang w:val="it-IT"/>
        </w:rPr>
        <w:fldChar w:fldCharType="end"/>
      </w:r>
      <w:r w:rsidRPr="00BF0169">
        <w:rPr>
          <w:noProof/>
          <w:lang w:val="it-IT"/>
        </w:rPr>
        <w:t xml:space="preserve"> – Patti d</w:t>
      </w:r>
      <w:r w:rsidR="00BF0169" w:rsidRPr="00BF0169">
        <w:rPr>
          <w:noProof/>
          <w:lang w:val="it-IT"/>
        </w:rPr>
        <w:t>'</w:t>
      </w:r>
      <w:r w:rsidRPr="00BF0169">
        <w:rPr>
          <w:noProof/>
          <w:lang w:val="it-IT"/>
        </w:rPr>
        <w:t>integrità e cooperazione con la società civile</w:t>
      </w:r>
      <w:bookmarkEnd w:id="90"/>
      <w:bookmarkEnd w:id="91"/>
    </w:p>
    <w:p w14:paraId="598ACEFD" w14:textId="62E39B02" w:rsidR="00C77AE2" w:rsidRPr="00BF0169" w:rsidRDefault="00C77AE2" w:rsidP="00C77AE2">
      <w:pPr>
        <w:pBdr>
          <w:top w:val="single" w:sz="4" w:space="1" w:color="auto"/>
          <w:left w:val="single" w:sz="4" w:space="4" w:color="auto"/>
          <w:bottom w:val="single" w:sz="4" w:space="1" w:color="auto"/>
          <w:right w:val="single" w:sz="4" w:space="4" w:color="auto"/>
        </w:pBdr>
        <w:shd w:val="clear" w:color="auto" w:fill="D9E2F3" w:themeFill="accent5" w:themeFillTint="33"/>
        <w:rPr>
          <w:noProof/>
          <w:sz w:val="24"/>
          <w:lang w:val="it-IT"/>
        </w:rPr>
      </w:pPr>
      <w:r w:rsidRPr="00BF0169">
        <w:rPr>
          <w:noProof/>
          <w:lang w:val="it-IT"/>
        </w:rPr>
        <w:t>I patti d</w:t>
      </w:r>
      <w:r w:rsidR="00BF0169" w:rsidRPr="00BF0169">
        <w:rPr>
          <w:noProof/>
          <w:lang w:val="it-IT"/>
        </w:rPr>
        <w:t>'</w:t>
      </w:r>
      <w:r w:rsidRPr="00BF0169">
        <w:rPr>
          <w:noProof/>
          <w:lang w:val="it-IT"/>
        </w:rPr>
        <w:t>integrità, uno strumento di monitoraggio sostenuto dalla società civile volto ad aumentare la trasparenza, la rendicontabilità e il buon governo negli appalti pubblici, sono promossi nei programmi per il periodo 2021-2027 in fase di progettazione e valutazione. Con la conclusione dei 18 progetti pilota (in 11 Stati membri dal 2016 al 2021), la Commissione incoraggia gli Stati membri a continuare ad attuare i patti d</w:t>
      </w:r>
      <w:r w:rsidR="00BF0169" w:rsidRPr="00BF0169">
        <w:rPr>
          <w:noProof/>
          <w:lang w:val="it-IT"/>
        </w:rPr>
        <w:t>'</w:t>
      </w:r>
      <w:r w:rsidRPr="00BF0169">
        <w:rPr>
          <w:noProof/>
          <w:lang w:val="it-IT"/>
        </w:rPr>
        <w:t>integrità nei progetti mirati finanziati dai fondi dell</w:t>
      </w:r>
      <w:r w:rsidR="00BF0169" w:rsidRPr="00BF0169">
        <w:rPr>
          <w:noProof/>
          <w:lang w:val="it-IT"/>
        </w:rPr>
        <w:t>'</w:t>
      </w:r>
      <w:r w:rsidRPr="00BF0169">
        <w:rPr>
          <w:noProof/>
          <w:lang w:val="it-IT"/>
        </w:rPr>
        <w:t>UE integrandoli gradualmente nei loro programmi e fornisce sostegno agli Stati membri a tale riguardo, tramite il pacchetto di strumenti pubblicato di recente</w:t>
      </w:r>
      <w:r w:rsidRPr="00BF0169">
        <w:rPr>
          <w:rStyle w:val="FootnoteReference"/>
          <w:noProof/>
          <w:sz w:val="20"/>
          <w:lang w:val="it-IT"/>
        </w:rPr>
        <w:footnoteReference w:id="100"/>
      </w:r>
      <w:r w:rsidRPr="00BF0169">
        <w:rPr>
          <w:noProof/>
          <w:lang w:val="it-IT"/>
        </w:rPr>
        <w:t xml:space="preserve">. </w:t>
      </w:r>
    </w:p>
    <w:p w14:paraId="02642C7C" w14:textId="37C4D56C" w:rsidR="00C77AE2" w:rsidRPr="00BF0169" w:rsidRDefault="000128E2" w:rsidP="00C77AE2">
      <w:pPr>
        <w:rPr>
          <w:noProof/>
          <w:lang w:val="it-IT"/>
        </w:rPr>
      </w:pPr>
      <w:r w:rsidRPr="00BF0169">
        <w:rPr>
          <w:noProof/>
          <w:lang w:val="it-IT"/>
        </w:rPr>
        <w:t>A circa dieci anni dalla segnalazione iniziale, la percentuale di casi di frode sospetta che non hanno portato a condanna rimane molto elevata, mentre è esigua la percentuale di casi in cui viene accertata la frode. Ciò potrebbe segnalare la necessità di investire di più nelle indagini e nell</w:t>
      </w:r>
      <w:r w:rsidR="00BF0169" w:rsidRPr="00BF0169">
        <w:rPr>
          <w:noProof/>
          <w:lang w:val="it-IT"/>
        </w:rPr>
        <w:t>'</w:t>
      </w:r>
      <w:r w:rsidRPr="00BF0169">
        <w:rPr>
          <w:noProof/>
          <w:lang w:val="it-IT"/>
        </w:rPr>
        <w:t>azione giudiziaria.</w:t>
      </w:r>
    </w:p>
    <w:p w14:paraId="580B2F9E" w14:textId="0779A1F0" w:rsidR="00D10B75" w:rsidRPr="00BF0169" w:rsidRDefault="00D10B75" w:rsidP="00D10B75">
      <w:pPr>
        <w:rPr>
          <w:noProof/>
          <w:lang w:val="it-IT"/>
        </w:rPr>
      </w:pPr>
      <w:r w:rsidRPr="00BF0169">
        <w:rPr>
          <w:b/>
          <w:noProof/>
          <w:lang w:val="it-IT"/>
        </w:rPr>
        <w:t>Altri fondi a gestione concorrente</w:t>
      </w:r>
      <w:r w:rsidRPr="00BF0169">
        <w:rPr>
          <w:rStyle w:val="FootnoteReference"/>
          <w:b/>
          <w:noProof/>
          <w:lang w:val="it-IT"/>
        </w:rPr>
        <w:footnoteReference w:id="101"/>
      </w:r>
      <w:r w:rsidRPr="00BF0169">
        <w:rPr>
          <w:b/>
          <w:noProof/>
          <w:lang w:val="it-IT"/>
        </w:rPr>
        <w:t xml:space="preserve"> </w:t>
      </w:r>
      <w:r w:rsidRPr="00BF0169">
        <w:rPr>
          <w:noProof/>
          <w:lang w:val="it-IT"/>
        </w:rPr>
        <w:t>– Per quanto riguarda i fondi soggetti a gestione concorrente destinati ad altre politiche interne, il Fondo di aiuti europei agli indigenti (FEAD) è stato quello maggiormente colpito dalle frodi. Oltre il 90 % delle irregolarità non fraudolente individuate riguardava i seguenti fondi: Fondo Asilo, migrazione e integrazione (AMIF), il FEAD e l</w:t>
      </w:r>
      <w:r w:rsidR="00BF0169" w:rsidRPr="00BF0169">
        <w:rPr>
          <w:noProof/>
          <w:lang w:val="it-IT"/>
        </w:rPr>
        <w:t>'</w:t>
      </w:r>
      <w:r w:rsidRPr="00BF0169">
        <w:rPr>
          <w:noProof/>
          <w:lang w:val="it-IT"/>
        </w:rPr>
        <w:t>iniziativa a favore dell</w:t>
      </w:r>
      <w:r w:rsidR="00BF0169" w:rsidRPr="00BF0169">
        <w:rPr>
          <w:noProof/>
          <w:lang w:val="it-IT"/>
        </w:rPr>
        <w:t>'</w:t>
      </w:r>
      <w:r w:rsidRPr="00BF0169">
        <w:rPr>
          <w:noProof/>
          <w:lang w:val="it-IT"/>
        </w:rPr>
        <w:t>occupazione giovanile (IOG).</w:t>
      </w:r>
    </w:p>
    <w:p w14:paraId="402E9E70" w14:textId="77777777" w:rsidR="00FB5CF5" w:rsidRPr="00BF0169" w:rsidRDefault="00D10B75" w:rsidP="00CD7B44">
      <w:pPr>
        <w:pStyle w:val="Heading3"/>
        <w:rPr>
          <w:noProof/>
          <w:lang w:val="it-IT"/>
        </w:rPr>
      </w:pPr>
      <w:bookmarkStart w:id="92" w:name="_Toc116319661"/>
      <w:r w:rsidRPr="00BF0169">
        <w:rPr>
          <w:noProof/>
          <w:lang w:val="it-IT"/>
        </w:rPr>
        <w:t>Gestione indiretta</w:t>
      </w:r>
      <w:bookmarkEnd w:id="92"/>
    </w:p>
    <w:p w14:paraId="5780F797" w14:textId="43F957DC" w:rsidR="00D10B75" w:rsidRPr="00BF0169" w:rsidRDefault="00D10B75" w:rsidP="00D10B75">
      <w:pPr>
        <w:rPr>
          <w:noProof/>
          <w:lang w:val="it-IT"/>
        </w:rPr>
      </w:pPr>
      <w:r w:rsidRPr="00BF0169">
        <w:rPr>
          <w:b/>
          <w:noProof/>
          <w:lang w:val="it-IT"/>
        </w:rPr>
        <w:t>Preadesione</w:t>
      </w:r>
      <w:r w:rsidRPr="00BF0169">
        <w:rPr>
          <w:rStyle w:val="FootnoteReference"/>
          <w:b/>
          <w:noProof/>
          <w:lang w:val="it-IT"/>
        </w:rPr>
        <w:footnoteReference w:id="102"/>
      </w:r>
      <w:r w:rsidRPr="00BF0169">
        <w:rPr>
          <w:b/>
          <w:noProof/>
          <w:lang w:val="it-IT"/>
        </w:rPr>
        <w:t xml:space="preserve"> </w:t>
      </w:r>
      <w:r w:rsidRPr="00BF0169">
        <w:rPr>
          <w:noProof/>
          <w:lang w:val="it-IT"/>
        </w:rPr>
        <w:t>– Le irregolarità segnalate in questo settore nel 2021 sono in calo rispetto alla media quinquennale (- 23 % in numero e - 48 % in termini di importi finanziari irregolari). Nello stesso periodo, il maggior numero di irregolarità individuate ha riguardato lo strumento di assistenza preadesione per lo sviluppo rurale (IPARD) e la cooperazione transfrontaliera.</w:t>
      </w:r>
    </w:p>
    <w:p w14:paraId="09A751F2" w14:textId="77777777" w:rsidR="00D10B75" w:rsidRPr="00BF0169" w:rsidRDefault="00D10B75" w:rsidP="00CD7B44">
      <w:pPr>
        <w:pStyle w:val="Heading3"/>
        <w:rPr>
          <w:noProof/>
          <w:lang w:val="it-IT"/>
        </w:rPr>
      </w:pPr>
      <w:bookmarkStart w:id="93" w:name="_Toc116319662"/>
      <w:r w:rsidRPr="00BF0169">
        <w:rPr>
          <w:noProof/>
          <w:lang w:val="it-IT"/>
        </w:rPr>
        <w:t>Gestione diretta</w:t>
      </w:r>
      <w:bookmarkEnd w:id="93"/>
    </w:p>
    <w:p w14:paraId="72FF6E94" w14:textId="7FAB8812" w:rsidR="00822DA8" w:rsidRPr="00BF0169" w:rsidRDefault="001C50AD" w:rsidP="00822DA8">
      <w:pPr>
        <w:rPr>
          <w:noProof/>
          <w:lang w:val="it-IT"/>
        </w:rPr>
      </w:pPr>
      <w:r w:rsidRPr="00BF0169">
        <w:rPr>
          <w:noProof/>
          <w:lang w:val="it-IT"/>
        </w:rPr>
        <w:t>Le irregolarità fraudolente individuate in relazione alle spese dirette della Commissione sono diminuite dal 2016 e sono rimaste stabili nel corso degli ultimi quattro anni, nonostante un aumento marginale nel 2021. Le irregolarità non fraudolente ha</w:t>
      </w:r>
      <w:r w:rsidR="00D1293E" w:rsidRPr="00BF0169">
        <w:rPr>
          <w:noProof/>
          <w:lang w:val="it-IT"/>
        </w:rPr>
        <w:t>nno continuato a diminuire e il </w:t>
      </w:r>
      <w:r w:rsidRPr="00BF0169">
        <w:rPr>
          <w:noProof/>
          <w:lang w:val="it-IT"/>
        </w:rPr>
        <w:t>2021 è stato l</w:t>
      </w:r>
      <w:r w:rsidR="00BF0169" w:rsidRPr="00BF0169">
        <w:rPr>
          <w:noProof/>
          <w:lang w:val="it-IT"/>
        </w:rPr>
        <w:t>'</w:t>
      </w:r>
      <w:r w:rsidRPr="00BF0169">
        <w:rPr>
          <w:noProof/>
          <w:lang w:val="it-IT"/>
        </w:rPr>
        <w:t>anno che ha registrato il dato più basso sia per il numero di casi sia per gli importi interessati</w:t>
      </w:r>
      <w:r w:rsidRPr="00BF0169">
        <w:rPr>
          <w:rStyle w:val="FootnoteReference"/>
          <w:noProof/>
          <w:lang w:val="it-IT"/>
        </w:rPr>
        <w:footnoteReference w:id="103"/>
      </w:r>
      <w:r w:rsidRPr="00BF0169">
        <w:rPr>
          <w:noProof/>
          <w:lang w:val="it-IT"/>
        </w:rPr>
        <w:t>.</w:t>
      </w:r>
    </w:p>
    <w:p w14:paraId="4C421069" w14:textId="62219A05" w:rsidR="00E23197" w:rsidRPr="00BF0169" w:rsidRDefault="001C50AD"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bookmarkStart w:id="94" w:name="_Toc110444027"/>
      <w:r w:rsidRPr="00BF0169">
        <w:rPr>
          <w:noProof/>
          <w:lang w:val="it-IT"/>
        </w:rPr>
        <w:t xml:space="preserve">Istantanea </w:t>
      </w:r>
      <w:r w:rsidR="001D014D" w:rsidRPr="00BF0169">
        <w:rPr>
          <w:noProof/>
          <w:lang w:val="it-IT"/>
        </w:rPr>
        <w:t>19</w:t>
      </w:r>
      <w:r w:rsidRPr="00BF0169">
        <w:rPr>
          <w:noProof/>
          <w:lang w:val="it-IT"/>
        </w:rPr>
        <w:t xml:space="preserve"> – Spese dirette: irregolarità individuate più di frequente e settori strategici interessati</w:t>
      </w:r>
      <w:bookmarkEnd w:id="94"/>
    </w:p>
    <w:p w14:paraId="1D7C74AC" w14:textId="1DBD986E" w:rsidR="001C50AD" w:rsidRPr="00BF0169" w:rsidRDefault="001C50AD"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I tipi di irregolarità più frequenti riguardano l</w:t>
      </w:r>
      <w:r w:rsidR="00BF0169" w:rsidRPr="00BF0169">
        <w:rPr>
          <w:noProof/>
          <w:lang w:val="it-IT"/>
        </w:rPr>
        <w:t>'</w:t>
      </w:r>
      <w:r w:rsidRPr="00BF0169">
        <w:rPr>
          <w:noProof/>
          <w:lang w:val="it-IT"/>
        </w:rPr>
        <w:t>ammissibilità delle spese e la prestazione insufficiente/la mancata prestazione.</w:t>
      </w:r>
    </w:p>
    <w:p w14:paraId="4A94ACDF" w14:textId="075567E0" w:rsidR="001C50AD" w:rsidRPr="00BF0169" w:rsidRDefault="001C50AD"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it-IT"/>
        </w:rPr>
      </w:pPr>
      <w:r w:rsidRPr="00BF0169">
        <w:rPr>
          <w:noProof/>
          <w:lang w:val="it-IT"/>
        </w:rPr>
        <w:t>Nel 2021 i settori strategici maggiormente colpiti dalle irregolarità sono stati la ricerca e l</w:t>
      </w:r>
      <w:r w:rsidR="00BF0169" w:rsidRPr="00BF0169">
        <w:rPr>
          <w:noProof/>
          <w:lang w:val="it-IT"/>
        </w:rPr>
        <w:t>'</w:t>
      </w:r>
      <w:r w:rsidRPr="00BF0169">
        <w:rPr>
          <w:noProof/>
          <w:lang w:val="it-IT"/>
        </w:rPr>
        <w:t>innovazione, il mercato unico, la sicurezza, la difesa e la gestione delle frontiere, gli investimenti strategici europei e le azioni esterne.</w:t>
      </w:r>
    </w:p>
    <w:p w14:paraId="44B8BE4E" w14:textId="77777777" w:rsidR="00FB5CF5" w:rsidRPr="00BF0169" w:rsidRDefault="00FB5CF5" w:rsidP="00FB5CF5">
      <w:pPr>
        <w:pStyle w:val="Heading1"/>
        <w:rPr>
          <w:noProof/>
          <w:lang w:val="it-IT"/>
        </w:rPr>
      </w:pPr>
      <w:bookmarkStart w:id="95" w:name="_Toc116319663"/>
      <w:r w:rsidRPr="00BF0169">
        <w:rPr>
          <w:noProof/>
          <w:lang w:val="it-IT"/>
        </w:rPr>
        <w:t>Prospettive per il 2022, conclusioni e raccomandazioni</w:t>
      </w:r>
      <w:bookmarkEnd w:id="95"/>
    </w:p>
    <w:p w14:paraId="7E698143" w14:textId="156FBC85" w:rsidR="00775F49" w:rsidRPr="00BF0169" w:rsidRDefault="00B01601" w:rsidP="00775F49">
      <w:pPr>
        <w:rPr>
          <w:noProof/>
          <w:lang w:val="it-IT"/>
        </w:rPr>
      </w:pPr>
      <w:r w:rsidRPr="00BF0169">
        <w:rPr>
          <w:noProof/>
          <w:lang w:val="it-IT"/>
        </w:rPr>
        <w:t>La pandemia di COVID-19 ha comportato nuove sfide alle quali l</w:t>
      </w:r>
      <w:r w:rsidR="00BF0169" w:rsidRPr="00BF0169">
        <w:rPr>
          <w:noProof/>
          <w:lang w:val="it-IT"/>
        </w:rPr>
        <w:t>'</w:t>
      </w:r>
      <w:r w:rsidRPr="00BF0169">
        <w:rPr>
          <w:noProof/>
          <w:lang w:val="it-IT"/>
        </w:rPr>
        <w:t>UE ha reagito rapidamente, in modo flessibile e impiegando strumenti e risorse nuovi. Le sfide e le conseguenze di tale crisi non sono ancora superate, ma l</w:t>
      </w:r>
      <w:r w:rsidR="00BF0169" w:rsidRPr="00BF0169">
        <w:rPr>
          <w:noProof/>
          <w:lang w:val="it-IT"/>
        </w:rPr>
        <w:t>'</w:t>
      </w:r>
      <w:r w:rsidRPr="00BF0169">
        <w:rPr>
          <w:noProof/>
          <w:lang w:val="it-IT"/>
        </w:rPr>
        <w:t>invasione dell</w:t>
      </w:r>
      <w:r w:rsidR="00BF0169" w:rsidRPr="00BF0169">
        <w:rPr>
          <w:noProof/>
          <w:lang w:val="it-IT"/>
        </w:rPr>
        <w:t>'</w:t>
      </w:r>
      <w:r w:rsidRPr="00BF0169">
        <w:rPr>
          <w:noProof/>
          <w:lang w:val="it-IT"/>
        </w:rPr>
        <w:t>Ucraina da parte della Russia ha scatenato nuove importanti dinamiche, con profonde implicazioni per l</w:t>
      </w:r>
      <w:r w:rsidR="00BF0169" w:rsidRPr="00BF0169">
        <w:rPr>
          <w:noProof/>
          <w:lang w:val="it-IT"/>
        </w:rPr>
        <w:t>'</w:t>
      </w:r>
      <w:r w:rsidRPr="00BF0169">
        <w:rPr>
          <w:noProof/>
          <w:lang w:val="it-IT"/>
        </w:rPr>
        <w:t>UE, la sua economia e la sua società.</w:t>
      </w:r>
    </w:p>
    <w:p w14:paraId="3090D9C2" w14:textId="5DCA9567" w:rsidR="00B01601" w:rsidRPr="00BF0169" w:rsidRDefault="00B01601" w:rsidP="00775F49">
      <w:pPr>
        <w:rPr>
          <w:noProof/>
          <w:lang w:val="it-IT"/>
        </w:rPr>
      </w:pPr>
      <w:r w:rsidRPr="00BF0169">
        <w:rPr>
          <w:noProof/>
          <w:lang w:val="it-IT"/>
        </w:rPr>
        <w:t>Il 18 maggio 2022 la Commissione ha presentato un pacchetto di misure per affrontare le questioni emerse in seguito all</w:t>
      </w:r>
      <w:r w:rsidR="00BF0169" w:rsidRPr="00BF0169">
        <w:rPr>
          <w:noProof/>
          <w:lang w:val="it-IT"/>
        </w:rPr>
        <w:t>'</w:t>
      </w:r>
      <w:r w:rsidRPr="00BF0169">
        <w:rPr>
          <w:noProof/>
          <w:lang w:val="it-IT"/>
        </w:rPr>
        <w:t>invasione dell</w:t>
      </w:r>
      <w:r w:rsidR="00BF0169" w:rsidRPr="00BF0169">
        <w:rPr>
          <w:noProof/>
          <w:lang w:val="it-IT"/>
        </w:rPr>
        <w:t>'</w:t>
      </w:r>
      <w:r w:rsidRPr="00BF0169">
        <w:rPr>
          <w:noProof/>
          <w:lang w:val="it-IT"/>
        </w:rPr>
        <w:t>Ucraina, che spaziano dalla sicurezza dell</w:t>
      </w:r>
      <w:r w:rsidR="00BF0169" w:rsidRPr="00BF0169">
        <w:rPr>
          <w:noProof/>
          <w:lang w:val="it-IT"/>
        </w:rPr>
        <w:t>'</w:t>
      </w:r>
      <w:r w:rsidRPr="00BF0169">
        <w:rPr>
          <w:noProof/>
          <w:lang w:val="it-IT"/>
        </w:rPr>
        <w:t>approvvigionamento energetico alle carenze in termini di investimenti dell</w:t>
      </w:r>
      <w:r w:rsidR="00BF0169" w:rsidRPr="00BF0169">
        <w:rPr>
          <w:noProof/>
          <w:lang w:val="it-IT"/>
        </w:rPr>
        <w:t>'</w:t>
      </w:r>
      <w:r w:rsidRPr="00BF0169">
        <w:rPr>
          <w:noProof/>
          <w:lang w:val="it-IT"/>
        </w:rPr>
        <w:t>UE nel settore della difesa, alla ricostruzione a lungo termine dell</w:t>
      </w:r>
      <w:r w:rsidR="00BF0169" w:rsidRPr="00BF0169">
        <w:rPr>
          <w:noProof/>
          <w:lang w:val="it-IT"/>
        </w:rPr>
        <w:t>'</w:t>
      </w:r>
      <w:r w:rsidRPr="00BF0169">
        <w:rPr>
          <w:noProof/>
          <w:lang w:val="it-IT"/>
        </w:rPr>
        <w:t>Ucraina. Tutte queste questioni hanno implicazioni per il bilancio dell</w:t>
      </w:r>
      <w:r w:rsidR="00BF0169" w:rsidRPr="00BF0169">
        <w:rPr>
          <w:noProof/>
          <w:lang w:val="it-IT"/>
        </w:rPr>
        <w:t>'</w:t>
      </w:r>
      <w:r w:rsidRPr="00BF0169">
        <w:rPr>
          <w:noProof/>
          <w:lang w:val="it-IT"/>
        </w:rPr>
        <w:t>UE.</w:t>
      </w:r>
    </w:p>
    <w:p w14:paraId="3FFEA90A" w14:textId="2D2C2705" w:rsidR="000810E6" w:rsidRPr="00BF0169" w:rsidRDefault="000810E6" w:rsidP="000810E6">
      <w:pPr>
        <w:rPr>
          <w:noProof/>
          <w:lang w:val="it-IT"/>
        </w:rPr>
      </w:pPr>
      <w:r w:rsidRPr="00BF0169">
        <w:rPr>
          <w:noProof/>
          <w:shd w:val="clear" w:color="auto" w:fill="FEFFFF"/>
          <w:lang w:val="it-IT"/>
        </w:rPr>
        <w:t>Il bilancio dell</w:t>
      </w:r>
      <w:r w:rsidR="00BF0169" w:rsidRPr="00BF0169">
        <w:rPr>
          <w:noProof/>
          <w:shd w:val="clear" w:color="auto" w:fill="FEFFFF"/>
          <w:lang w:val="it-IT"/>
        </w:rPr>
        <w:t>'</w:t>
      </w:r>
      <w:r w:rsidRPr="00BF0169">
        <w:rPr>
          <w:noProof/>
          <w:shd w:val="clear" w:color="auto" w:fill="FEFFFF"/>
          <w:lang w:val="it-IT"/>
        </w:rPr>
        <w:t xml:space="preserve">UE è già sotto pressione, dato che vengono introdotte </w:t>
      </w:r>
      <w:r w:rsidRPr="00BF0169">
        <w:rPr>
          <w:noProof/>
          <w:lang w:val="it-IT"/>
        </w:rPr>
        <w:t xml:space="preserve">nuove misure per far fronte alle ripercussioni degli eventi recenti (ad esempio </w:t>
      </w:r>
      <w:r w:rsidRPr="00BF0169">
        <w:rPr>
          <w:b/>
          <w:noProof/>
          <w:lang w:val="it-IT"/>
        </w:rPr>
        <w:t>REPowerEU</w:t>
      </w:r>
      <w:r w:rsidRPr="00BF0169">
        <w:rPr>
          <w:noProof/>
          <w:lang w:val="it-IT"/>
        </w:rPr>
        <w:t>), le priorità stanno cambiando (migrazione) e il più ampio pacchetto di sanzioni mai concordato contro un paese (in generale, ma anche in relazione a persone fisiche interessate) deve essere applicato, con ripercussioni sulle entrate (importazione ed esportazione di merci) e sulle spese dell</w:t>
      </w:r>
      <w:r w:rsidR="00BF0169" w:rsidRPr="00BF0169">
        <w:rPr>
          <w:noProof/>
          <w:lang w:val="it-IT"/>
        </w:rPr>
        <w:t>'</w:t>
      </w:r>
      <w:r w:rsidRPr="00BF0169">
        <w:rPr>
          <w:noProof/>
          <w:lang w:val="it-IT"/>
        </w:rPr>
        <w:t>UE (esclusione da procedure di appalto pubblico e sovvenzioni).</w:t>
      </w:r>
    </w:p>
    <w:p w14:paraId="27A7BC00" w14:textId="090581A6" w:rsidR="00A309B8" w:rsidRPr="00BF0169" w:rsidRDefault="00A309B8" w:rsidP="000810E6">
      <w:pPr>
        <w:rPr>
          <w:noProof/>
          <w:lang w:val="it-IT"/>
        </w:rPr>
      </w:pPr>
      <w:r w:rsidRPr="00BF0169">
        <w:rPr>
          <w:noProof/>
          <w:lang w:val="it-IT"/>
        </w:rPr>
        <w:t>Già con l</w:t>
      </w:r>
      <w:r w:rsidR="00BF0169" w:rsidRPr="00BF0169">
        <w:rPr>
          <w:noProof/>
          <w:lang w:val="it-IT"/>
        </w:rPr>
        <w:t>'</w:t>
      </w:r>
      <w:r w:rsidRPr="00BF0169">
        <w:rPr>
          <w:noProof/>
          <w:lang w:val="it-IT"/>
        </w:rPr>
        <w:t>introduzione del dispositivo per la ripresa e la resilienza e l</w:t>
      </w:r>
      <w:r w:rsidR="00BF0169" w:rsidRPr="00BF0169">
        <w:rPr>
          <w:noProof/>
          <w:lang w:val="it-IT"/>
        </w:rPr>
        <w:t>'</w:t>
      </w:r>
      <w:r w:rsidRPr="00BF0169">
        <w:rPr>
          <w:noProof/>
          <w:lang w:val="it-IT"/>
        </w:rPr>
        <w:t xml:space="preserve">attuazione dei piani nazionali per la ripresa e la resilienza </w:t>
      </w:r>
      <w:r w:rsidRPr="00BF0169">
        <w:rPr>
          <w:b/>
          <w:noProof/>
          <w:lang w:val="it-IT"/>
        </w:rPr>
        <w:t>il ruolo delle autorità nazionali</w:t>
      </w:r>
      <w:r w:rsidRPr="00BF0169">
        <w:rPr>
          <w:noProof/>
          <w:lang w:val="it-IT"/>
        </w:rPr>
        <w:t xml:space="preserve"> nel garantire un livello adeguato di tutela degli interessi finanziari dell</w:t>
      </w:r>
      <w:r w:rsidR="00BF0169" w:rsidRPr="00BF0169">
        <w:rPr>
          <w:noProof/>
          <w:lang w:val="it-IT"/>
        </w:rPr>
        <w:t>'</w:t>
      </w:r>
      <w:r w:rsidRPr="00BF0169">
        <w:rPr>
          <w:noProof/>
          <w:lang w:val="it-IT"/>
        </w:rPr>
        <w:t xml:space="preserve">UE </w:t>
      </w:r>
      <w:r w:rsidRPr="00BF0169">
        <w:rPr>
          <w:b/>
          <w:noProof/>
          <w:lang w:val="it-IT"/>
        </w:rPr>
        <w:t>è notevolmente aumentato</w:t>
      </w:r>
      <w:r w:rsidRPr="00BF0169">
        <w:rPr>
          <w:noProof/>
          <w:lang w:val="it-IT"/>
        </w:rPr>
        <w:t>. La pressione sulle amministrazioni nazionali rimarrà elevata nel corso del 2022 e successivamente, poiché esse dovranno altresì dare esecuzione alla spesa del ciclo di programmazione 2021-2027 e dimostrare competenza e padronanza delle diverse modalità di gestione legate all</w:t>
      </w:r>
      <w:r w:rsidR="00BF0169" w:rsidRPr="00BF0169">
        <w:rPr>
          <w:noProof/>
          <w:lang w:val="it-IT"/>
        </w:rPr>
        <w:t>'</w:t>
      </w:r>
      <w:r w:rsidRPr="00BF0169">
        <w:rPr>
          <w:noProof/>
          <w:lang w:val="it-IT"/>
        </w:rPr>
        <w:t>attuazione dei vari fondi.</w:t>
      </w:r>
    </w:p>
    <w:p w14:paraId="68E41DE5" w14:textId="706917DE" w:rsidR="00225A0C" w:rsidRPr="00BF0169" w:rsidRDefault="00CB2780" w:rsidP="00225A0C">
      <w:pPr>
        <w:pStyle w:val="Heading2"/>
        <w:rPr>
          <w:noProof/>
          <w:lang w:val="it-IT"/>
        </w:rPr>
      </w:pPr>
      <w:bookmarkStart w:id="96" w:name="_Toc116319664"/>
      <w:r w:rsidRPr="00BF0169">
        <w:rPr>
          <w:noProof/>
          <w:lang w:val="it-IT"/>
        </w:rPr>
        <w:t>Il settore antifrode dell</w:t>
      </w:r>
      <w:r w:rsidR="00BF0169" w:rsidRPr="00BF0169">
        <w:rPr>
          <w:noProof/>
          <w:lang w:val="it-IT"/>
        </w:rPr>
        <w:t>'</w:t>
      </w:r>
      <w:r w:rsidRPr="00BF0169">
        <w:rPr>
          <w:noProof/>
          <w:lang w:val="it-IT"/>
        </w:rPr>
        <w:t>UE</w:t>
      </w:r>
      <w:bookmarkEnd w:id="96"/>
    </w:p>
    <w:p w14:paraId="125BC87D" w14:textId="38E64109" w:rsidR="00A309B8" w:rsidRPr="00BF0169" w:rsidRDefault="00876F62" w:rsidP="000810E6">
      <w:pPr>
        <w:rPr>
          <w:noProof/>
          <w:lang w:val="it-IT"/>
        </w:rPr>
      </w:pPr>
      <w:r w:rsidRPr="00BF0169">
        <w:rPr>
          <w:noProof/>
          <w:lang w:val="it-IT"/>
        </w:rPr>
        <w:t>Dai risultati conseguiti dall</w:t>
      </w:r>
      <w:r w:rsidR="00BF0169" w:rsidRPr="00BF0169">
        <w:rPr>
          <w:noProof/>
          <w:lang w:val="it-IT"/>
        </w:rPr>
        <w:t>'</w:t>
      </w:r>
      <w:r w:rsidRPr="00BF0169">
        <w:rPr>
          <w:noProof/>
          <w:lang w:val="it-IT"/>
        </w:rPr>
        <w:t>OLAF e dell</w:t>
      </w:r>
      <w:r w:rsidR="00BF0169" w:rsidRPr="00BF0169">
        <w:rPr>
          <w:noProof/>
          <w:lang w:val="it-IT"/>
        </w:rPr>
        <w:t>'</w:t>
      </w:r>
      <w:r w:rsidRPr="00BF0169">
        <w:rPr>
          <w:noProof/>
          <w:lang w:val="it-IT"/>
        </w:rPr>
        <w:t>EPPO nel 2021</w:t>
      </w:r>
      <w:r w:rsidRPr="00BF0169">
        <w:rPr>
          <w:rStyle w:val="FootnoteReference"/>
          <w:noProof/>
          <w:lang w:val="it-IT"/>
        </w:rPr>
        <w:footnoteReference w:id="104"/>
      </w:r>
      <w:r w:rsidRPr="00BF0169">
        <w:rPr>
          <w:noProof/>
          <w:lang w:val="it-IT"/>
        </w:rPr>
        <w:t xml:space="preserve"> emerge il </w:t>
      </w:r>
      <w:r w:rsidRPr="00BF0169">
        <w:rPr>
          <w:b/>
          <w:noProof/>
          <w:lang w:val="it-IT"/>
        </w:rPr>
        <w:t>valore aggiunto che la dimensione europea può apportare alla tutela degli interessi finanziari dell</w:t>
      </w:r>
      <w:r w:rsidR="00BF0169" w:rsidRPr="00BF0169">
        <w:rPr>
          <w:b/>
          <w:noProof/>
          <w:lang w:val="it-IT"/>
        </w:rPr>
        <w:t>'</w:t>
      </w:r>
      <w:r w:rsidRPr="00BF0169">
        <w:rPr>
          <w:b/>
          <w:noProof/>
          <w:lang w:val="it-IT"/>
        </w:rPr>
        <w:t>UE</w:t>
      </w:r>
      <w:r w:rsidRPr="00BF0169">
        <w:rPr>
          <w:noProof/>
          <w:lang w:val="it-IT"/>
        </w:rPr>
        <w:t xml:space="preserve"> e alla lotta contro la frode, superando i limiti intrinseci dei sistemi nazionali, in particolare per quanto riguarda la lotta contro la criminalità transfrontaliera.</w:t>
      </w:r>
    </w:p>
    <w:p w14:paraId="66272545" w14:textId="7EABCA60" w:rsidR="00876F62" w:rsidRPr="00BF0169" w:rsidRDefault="00876F62" w:rsidP="000810E6">
      <w:pPr>
        <w:rPr>
          <w:noProof/>
          <w:lang w:val="it-IT"/>
        </w:rPr>
      </w:pPr>
      <w:r w:rsidRPr="00BF0169">
        <w:rPr>
          <w:noProof/>
          <w:lang w:val="it-IT"/>
        </w:rPr>
        <w:t xml:space="preserve">Un aspetto ancora più importante consiste nel fatto che tali risultati mostrano anche la necessità di continuare ad adoperarsi a sostegno di un </w:t>
      </w:r>
      <w:r w:rsidRPr="00BF0169">
        <w:rPr>
          <w:b/>
          <w:noProof/>
          <w:lang w:val="it-IT"/>
        </w:rPr>
        <w:t>settore antifrode</w:t>
      </w:r>
      <w:r w:rsidRPr="00BF0169">
        <w:rPr>
          <w:noProof/>
          <w:lang w:val="it-IT"/>
        </w:rPr>
        <w:t xml:space="preserve"> dell</w:t>
      </w:r>
      <w:r w:rsidR="00BF0169" w:rsidRPr="00BF0169">
        <w:rPr>
          <w:noProof/>
          <w:lang w:val="it-IT"/>
        </w:rPr>
        <w:t>'</w:t>
      </w:r>
      <w:r w:rsidRPr="00BF0169">
        <w:rPr>
          <w:noProof/>
          <w:lang w:val="it-IT"/>
        </w:rPr>
        <w:t>UE sempre più armonizzato, che richiede, in particolare, che la legislazione nazionale sia conforme al diritto dell</w:t>
      </w:r>
      <w:r w:rsidR="00BF0169" w:rsidRPr="00BF0169">
        <w:rPr>
          <w:noProof/>
          <w:lang w:val="it-IT"/>
        </w:rPr>
        <w:t>'</w:t>
      </w:r>
      <w:r w:rsidRPr="00BF0169">
        <w:rPr>
          <w:noProof/>
          <w:lang w:val="it-IT"/>
        </w:rPr>
        <w:t>Unione e ai suoi principi.</w:t>
      </w:r>
    </w:p>
    <w:p w14:paraId="06CDBB4F" w14:textId="3774D564" w:rsidR="00225A0C" w:rsidRPr="00BF0169" w:rsidRDefault="00225A0C" w:rsidP="00225A0C">
      <w:pPr>
        <w:rPr>
          <w:noProof/>
          <w:lang w:val="it-IT"/>
        </w:rPr>
      </w:pPr>
      <w:r w:rsidRPr="00BF0169">
        <w:rPr>
          <w:noProof/>
          <w:lang w:val="it-IT"/>
        </w:rPr>
        <w:t>Il regolamento (UE, Euratom) 2020/2092 relativo a un regime generale di condizionalità per la protezione del bilancio dell</w:t>
      </w:r>
      <w:r w:rsidR="00BF0169" w:rsidRPr="00BF0169">
        <w:rPr>
          <w:noProof/>
          <w:lang w:val="it-IT"/>
        </w:rPr>
        <w:t>'</w:t>
      </w:r>
      <w:r w:rsidRPr="00BF0169">
        <w:rPr>
          <w:noProof/>
          <w:lang w:val="it-IT"/>
        </w:rPr>
        <w:t>Unione (</w:t>
      </w:r>
      <w:r w:rsidRPr="00BF0169">
        <w:rPr>
          <w:b/>
          <w:noProof/>
          <w:lang w:val="it-IT"/>
        </w:rPr>
        <w:t>regolamento sulla condizionalità</w:t>
      </w:r>
      <w:r w:rsidRPr="00BF0169">
        <w:rPr>
          <w:noProof/>
          <w:lang w:val="it-IT"/>
        </w:rPr>
        <w:t>) è applicabile dal 1° gennaio 2021 ed è esecutivo da tale data. Tale atto contempla tutte le violazioni dei principi dello Stato di diritto in uno Stato membro che incidono o rischiano di incidere gravemente sulla sana gestione finanziaria del bilancio dell</w:t>
      </w:r>
      <w:r w:rsidR="00BF0169" w:rsidRPr="00BF0169">
        <w:rPr>
          <w:noProof/>
          <w:lang w:val="it-IT"/>
        </w:rPr>
        <w:t>'</w:t>
      </w:r>
      <w:r w:rsidRPr="00BF0169">
        <w:rPr>
          <w:noProof/>
          <w:lang w:val="it-IT"/>
        </w:rPr>
        <w:t>UE e sugli interessi finanziari dell</w:t>
      </w:r>
      <w:r w:rsidR="00BF0169" w:rsidRPr="00BF0169">
        <w:rPr>
          <w:noProof/>
          <w:lang w:val="it-IT"/>
        </w:rPr>
        <w:t>'</w:t>
      </w:r>
      <w:r w:rsidRPr="00BF0169">
        <w:rPr>
          <w:noProof/>
          <w:lang w:val="it-IT"/>
        </w:rPr>
        <w:t>Unione in un modo sufficientemente diretto dopo tale data.</w:t>
      </w:r>
    </w:p>
    <w:p w14:paraId="1D97871D" w14:textId="4C21479B" w:rsidR="00225A0C" w:rsidRPr="00BF0169" w:rsidRDefault="00225A0C" w:rsidP="00225A0C">
      <w:pPr>
        <w:rPr>
          <w:noProof/>
          <w:lang w:val="it-IT"/>
        </w:rPr>
      </w:pPr>
      <w:r w:rsidRPr="00BF0169">
        <w:rPr>
          <w:noProof/>
          <w:lang w:val="it-IT"/>
        </w:rPr>
        <w:t>Il regolamento sulla condizionalità consente all</w:t>
      </w:r>
      <w:r w:rsidR="00BF0169" w:rsidRPr="00BF0169">
        <w:rPr>
          <w:noProof/>
          <w:lang w:val="it-IT"/>
        </w:rPr>
        <w:t>'</w:t>
      </w:r>
      <w:r w:rsidRPr="00BF0169">
        <w:rPr>
          <w:noProof/>
          <w:lang w:val="it-IT"/>
        </w:rPr>
        <w:t>UE di adottare misure (ad esempio la sospensione dei pagamenti o le rettifiche finanziarie) volte a proteggere il suo bilancio, garantendo nel contempo che i beneficiari finali dei fondi UE continuino a ricevere i propri pagamenti direttamente dagli Stati membri interessati. Il comportamento delle pubbliche autorità in materia di frode rientra tra le situazioni che, se interessate da violazioni dei principi dello Stato di diritto, possono essere rilevanti nel contesto della procedura prevista dal regolamento sulla condizionalità.</w:t>
      </w:r>
    </w:p>
    <w:p w14:paraId="59272CF7" w14:textId="60414A71" w:rsidR="00225A0C" w:rsidRPr="00BF0169" w:rsidRDefault="00225A0C" w:rsidP="00225A0C">
      <w:pPr>
        <w:rPr>
          <w:noProof/>
          <w:lang w:val="it-IT"/>
        </w:rPr>
      </w:pPr>
      <w:r w:rsidRPr="00BF0169">
        <w:rPr>
          <w:noProof/>
          <w:lang w:val="it-IT"/>
        </w:rPr>
        <w:t>Il 16 febbraio 2022 la Corte di giustizia dell</w:t>
      </w:r>
      <w:r w:rsidR="00BF0169" w:rsidRPr="00BF0169">
        <w:rPr>
          <w:noProof/>
          <w:lang w:val="it-IT"/>
        </w:rPr>
        <w:t>'</w:t>
      </w:r>
      <w:r w:rsidRPr="00BF0169">
        <w:rPr>
          <w:noProof/>
          <w:lang w:val="it-IT"/>
        </w:rPr>
        <w:t>Unione europea ha respinto le azioni proposte da due Stati membri (C-156/21</w:t>
      </w:r>
      <w:r w:rsidRPr="00BF0169">
        <w:rPr>
          <w:rStyle w:val="FootnoteReference"/>
          <w:noProof/>
          <w:lang w:val="it-IT"/>
        </w:rPr>
        <w:footnoteReference w:id="105"/>
      </w:r>
      <w:r w:rsidRPr="00BF0169">
        <w:rPr>
          <w:noProof/>
          <w:lang w:val="it-IT"/>
        </w:rPr>
        <w:t xml:space="preserve"> e C-157/21</w:t>
      </w:r>
      <w:r w:rsidRPr="00BF0169">
        <w:rPr>
          <w:rStyle w:val="FootnoteReference"/>
          <w:noProof/>
          <w:lang w:val="it-IT"/>
        </w:rPr>
        <w:footnoteReference w:id="106"/>
      </w:r>
      <w:r w:rsidRPr="00BF0169">
        <w:rPr>
          <w:noProof/>
          <w:lang w:val="it-IT"/>
        </w:rPr>
        <w:t>) stabilendo che il regolamento rientra nel potere conferito dai trattati di stabilire regole finanziarie per l</w:t>
      </w:r>
      <w:r w:rsidR="00BF0169" w:rsidRPr="00BF0169">
        <w:rPr>
          <w:noProof/>
          <w:lang w:val="it-IT"/>
        </w:rPr>
        <w:t>'</w:t>
      </w:r>
      <w:r w:rsidRPr="00BF0169">
        <w:rPr>
          <w:noProof/>
          <w:lang w:val="it-IT"/>
        </w:rPr>
        <w:t>attuazione del bilancio dell</w:t>
      </w:r>
      <w:r w:rsidR="00BF0169" w:rsidRPr="00BF0169">
        <w:rPr>
          <w:noProof/>
          <w:lang w:val="it-IT"/>
        </w:rPr>
        <w:t>'</w:t>
      </w:r>
      <w:r w:rsidRPr="00BF0169">
        <w:rPr>
          <w:noProof/>
          <w:lang w:val="it-IT"/>
        </w:rPr>
        <w:t>UE. Il 2 marzo 2022 la Commissione ha pubblicato le linee guida per l</w:t>
      </w:r>
      <w:r w:rsidR="00BF0169" w:rsidRPr="00BF0169">
        <w:rPr>
          <w:noProof/>
          <w:lang w:val="it-IT"/>
        </w:rPr>
        <w:t>'</w:t>
      </w:r>
      <w:r w:rsidRPr="00BF0169">
        <w:rPr>
          <w:noProof/>
          <w:lang w:val="it-IT"/>
        </w:rPr>
        <w:t>applicazione del regolamento, tenendo conto della sentenza della Corte.</w:t>
      </w:r>
    </w:p>
    <w:p w14:paraId="22570732" w14:textId="463C41ED" w:rsidR="00876F62" w:rsidRPr="00BF0169" w:rsidRDefault="00876F62" w:rsidP="00D1293E">
      <w:pPr>
        <w:pStyle w:val="Caption"/>
        <w:keepNext/>
        <w:keepLines/>
        <w:pBdr>
          <w:top w:val="single" w:sz="4" w:space="1" w:color="auto"/>
          <w:left w:val="single" w:sz="4" w:space="4" w:color="auto"/>
          <w:bottom w:val="single" w:sz="4" w:space="1" w:color="auto"/>
          <w:right w:val="single" w:sz="4" w:space="4" w:color="auto"/>
        </w:pBdr>
        <w:shd w:val="clear" w:color="auto" w:fill="FBE4D5" w:themeFill="accent2" w:themeFillTint="33"/>
        <w:rPr>
          <w:noProof/>
          <w:lang w:val="it-IT"/>
        </w:rPr>
      </w:pPr>
      <w:r w:rsidRPr="00BF0169">
        <w:rPr>
          <w:noProof/>
          <w:lang w:val="it-IT"/>
        </w:rPr>
        <w:t xml:space="preserve">Raccomandazione </w:t>
      </w:r>
      <w:r w:rsidR="00742EC4" w:rsidRPr="00BF0169">
        <w:rPr>
          <w:noProof/>
          <w:lang w:val="it-IT"/>
        </w:rPr>
        <w:fldChar w:fldCharType="begin"/>
      </w:r>
      <w:r w:rsidR="00742EC4" w:rsidRPr="00BF0169">
        <w:rPr>
          <w:noProof/>
          <w:lang w:val="it-IT"/>
        </w:rPr>
        <w:instrText xml:space="preserve"> SEQ Recommendation \* ARABIC </w:instrText>
      </w:r>
      <w:r w:rsidR="00742EC4" w:rsidRPr="00BF0169">
        <w:rPr>
          <w:noProof/>
          <w:lang w:val="it-IT"/>
        </w:rPr>
        <w:fldChar w:fldCharType="separate"/>
      </w:r>
      <w:r w:rsidRPr="00BF0169">
        <w:rPr>
          <w:noProof/>
          <w:lang w:val="it-IT"/>
        </w:rPr>
        <w:t>1</w:t>
      </w:r>
      <w:r w:rsidR="00742EC4" w:rsidRPr="00BF0169">
        <w:rPr>
          <w:noProof/>
          <w:lang w:val="it-IT"/>
        </w:rPr>
        <w:fldChar w:fldCharType="end"/>
      </w:r>
      <w:r w:rsidRPr="00BF0169">
        <w:rPr>
          <w:noProof/>
          <w:lang w:val="it-IT"/>
        </w:rPr>
        <w:t xml:space="preserve"> – Corretto recepimento della direttiva PIF</w:t>
      </w:r>
    </w:p>
    <w:p w14:paraId="7FBBD211" w14:textId="77777777" w:rsidR="00876F62" w:rsidRPr="00BF0169" w:rsidRDefault="00876F62" w:rsidP="00876F62">
      <w:pPr>
        <w:pBdr>
          <w:top w:val="single" w:sz="4" w:space="1" w:color="auto"/>
          <w:left w:val="single" w:sz="4" w:space="4" w:color="auto"/>
          <w:bottom w:val="single" w:sz="4" w:space="1" w:color="auto"/>
          <w:right w:val="single" w:sz="4" w:space="4" w:color="auto"/>
        </w:pBdr>
        <w:shd w:val="clear" w:color="auto" w:fill="FBE4D5" w:themeFill="accent2" w:themeFillTint="33"/>
        <w:rPr>
          <w:noProof/>
          <w:lang w:val="it-IT"/>
        </w:rPr>
      </w:pPr>
      <w:r w:rsidRPr="00BF0169">
        <w:rPr>
          <w:noProof/>
          <w:lang w:val="it-IT"/>
        </w:rPr>
        <w:t>Gli Stati membri contro i quali la Commissione ha avviato procedure di infrazione dovrebbero adottare rapidamente misure correttive e modificare la legislazione nazionale per recepire correttamente la direttiva PIF.</w:t>
      </w:r>
    </w:p>
    <w:p w14:paraId="6376CC43" w14:textId="1311EACB" w:rsidR="00876F62" w:rsidRPr="00BF0169" w:rsidRDefault="006B06A1" w:rsidP="00775F49">
      <w:pPr>
        <w:rPr>
          <w:noProof/>
          <w:shd w:val="clear" w:color="auto" w:fill="FEFFFF"/>
          <w:lang w:val="it-IT"/>
        </w:rPr>
      </w:pPr>
      <w:r w:rsidRPr="00BF0169">
        <w:rPr>
          <w:noProof/>
          <w:shd w:val="clear" w:color="auto" w:fill="FEFFFF"/>
          <w:lang w:val="it-IT"/>
        </w:rPr>
        <w:t>Un settore antifrode dell</w:t>
      </w:r>
      <w:r w:rsidR="00BF0169" w:rsidRPr="00BF0169">
        <w:rPr>
          <w:noProof/>
          <w:shd w:val="clear" w:color="auto" w:fill="FEFFFF"/>
          <w:lang w:val="it-IT"/>
        </w:rPr>
        <w:t>'</w:t>
      </w:r>
      <w:r w:rsidRPr="00BF0169">
        <w:rPr>
          <w:noProof/>
          <w:shd w:val="clear" w:color="auto" w:fill="FEFFFF"/>
          <w:lang w:val="it-IT"/>
        </w:rPr>
        <w:t>UE coerente e sempre più armonizzato contribuisce anche ad eliminare le possibili scappatoie nell</w:t>
      </w:r>
      <w:r w:rsidR="00BF0169" w:rsidRPr="00BF0169">
        <w:rPr>
          <w:noProof/>
          <w:shd w:val="clear" w:color="auto" w:fill="FEFFFF"/>
          <w:lang w:val="it-IT"/>
        </w:rPr>
        <w:t>'</w:t>
      </w:r>
      <w:r w:rsidRPr="00BF0169">
        <w:rPr>
          <w:noProof/>
          <w:shd w:val="clear" w:color="auto" w:fill="FEFFFF"/>
          <w:lang w:val="it-IT"/>
        </w:rPr>
        <w:t xml:space="preserve">architettura generale di controllo che possono essere sfruttate dai truffatori. </w:t>
      </w:r>
    </w:p>
    <w:p w14:paraId="5F870A5E" w14:textId="2BAA7CAC" w:rsidR="006B06A1" w:rsidRPr="00BF0169" w:rsidRDefault="006B06A1" w:rsidP="003116B9">
      <w:pPr>
        <w:pStyle w:val="Caption"/>
        <w:keepNext/>
        <w:pBdr>
          <w:top w:val="single" w:sz="4" w:space="1" w:color="auto"/>
          <w:left w:val="single" w:sz="4" w:space="4" w:color="auto"/>
          <w:bottom w:val="single" w:sz="4" w:space="1" w:color="auto"/>
          <w:right w:val="single" w:sz="4" w:space="4" w:color="auto"/>
        </w:pBdr>
        <w:shd w:val="clear" w:color="auto" w:fill="FBE4D5" w:themeFill="accent2" w:themeFillTint="33"/>
        <w:rPr>
          <w:noProof/>
          <w:lang w:val="it-IT"/>
        </w:rPr>
      </w:pPr>
      <w:r w:rsidRPr="00BF0169">
        <w:rPr>
          <w:noProof/>
          <w:lang w:val="it-IT"/>
        </w:rPr>
        <w:t xml:space="preserve">Raccomandazione </w:t>
      </w:r>
      <w:r w:rsidR="00742EC4" w:rsidRPr="00BF0169">
        <w:rPr>
          <w:noProof/>
          <w:lang w:val="it-IT"/>
        </w:rPr>
        <w:fldChar w:fldCharType="begin"/>
      </w:r>
      <w:r w:rsidR="00742EC4" w:rsidRPr="00BF0169">
        <w:rPr>
          <w:noProof/>
          <w:lang w:val="it-IT"/>
        </w:rPr>
        <w:instrText xml:space="preserve"> SEQ Recommendation \* ARABIC </w:instrText>
      </w:r>
      <w:r w:rsidR="00742EC4" w:rsidRPr="00BF0169">
        <w:rPr>
          <w:noProof/>
          <w:lang w:val="it-IT"/>
        </w:rPr>
        <w:fldChar w:fldCharType="separate"/>
      </w:r>
      <w:r w:rsidRPr="00BF0169">
        <w:rPr>
          <w:noProof/>
          <w:lang w:val="it-IT"/>
        </w:rPr>
        <w:t>2</w:t>
      </w:r>
      <w:r w:rsidR="00742EC4" w:rsidRPr="00BF0169">
        <w:rPr>
          <w:noProof/>
          <w:lang w:val="it-IT"/>
        </w:rPr>
        <w:fldChar w:fldCharType="end"/>
      </w:r>
      <w:r w:rsidRPr="00BF0169">
        <w:rPr>
          <w:noProof/>
          <w:lang w:val="it-IT"/>
        </w:rPr>
        <w:t xml:space="preserve"> – Partecipazione all</w:t>
      </w:r>
      <w:r w:rsidR="00BF0169" w:rsidRPr="00BF0169">
        <w:rPr>
          <w:noProof/>
          <w:lang w:val="it-IT"/>
        </w:rPr>
        <w:t>'</w:t>
      </w:r>
      <w:r w:rsidRPr="00BF0169">
        <w:rPr>
          <w:noProof/>
          <w:lang w:val="it-IT"/>
        </w:rPr>
        <w:t>EPPO</w:t>
      </w:r>
    </w:p>
    <w:p w14:paraId="5AA5A4CB" w14:textId="2DE87303" w:rsidR="006B06A1" w:rsidRPr="00BF0169" w:rsidRDefault="006B06A1" w:rsidP="006B06A1">
      <w:pPr>
        <w:pBdr>
          <w:top w:val="single" w:sz="4" w:space="1" w:color="auto"/>
          <w:left w:val="single" w:sz="4" w:space="4" w:color="auto"/>
          <w:bottom w:val="single" w:sz="4" w:space="1" w:color="auto"/>
          <w:right w:val="single" w:sz="4" w:space="4" w:color="auto"/>
        </w:pBdr>
        <w:shd w:val="clear" w:color="auto" w:fill="FBE4D5" w:themeFill="accent2" w:themeFillTint="33"/>
        <w:rPr>
          <w:noProof/>
          <w:lang w:val="it-IT"/>
        </w:rPr>
      </w:pPr>
      <w:r w:rsidRPr="00BF0169">
        <w:rPr>
          <w:noProof/>
          <w:lang w:val="it-IT"/>
        </w:rPr>
        <w:t>La Commissione ribadisce il proprio invito affinché gli Stati membri che non hanno ancora aderito all</w:t>
      </w:r>
      <w:r w:rsidR="00BF0169" w:rsidRPr="00BF0169">
        <w:rPr>
          <w:noProof/>
          <w:lang w:val="it-IT"/>
        </w:rPr>
        <w:t>'</w:t>
      </w:r>
      <w:r w:rsidRPr="00BF0169">
        <w:rPr>
          <w:noProof/>
          <w:lang w:val="it-IT"/>
        </w:rPr>
        <w:t>EPPO vi aderiscano. Gli Stati membri che partecipano all</w:t>
      </w:r>
      <w:r w:rsidR="00BF0169" w:rsidRPr="00BF0169">
        <w:rPr>
          <w:noProof/>
          <w:lang w:val="it-IT"/>
        </w:rPr>
        <w:t>'</w:t>
      </w:r>
      <w:r w:rsidRPr="00BF0169">
        <w:rPr>
          <w:noProof/>
          <w:lang w:val="it-IT"/>
        </w:rPr>
        <w:t>EPPO dovrebbero garantire che quest</w:t>
      </w:r>
      <w:r w:rsidR="00BF0169" w:rsidRPr="00BF0169">
        <w:rPr>
          <w:noProof/>
          <w:lang w:val="it-IT"/>
        </w:rPr>
        <w:t>'</w:t>
      </w:r>
      <w:r w:rsidRPr="00BF0169">
        <w:rPr>
          <w:noProof/>
          <w:lang w:val="it-IT"/>
        </w:rPr>
        <w:t>ultima sia in grado di esercitare tutti i poteri ad essa conferiti dal regolamento istitutivo.</w:t>
      </w:r>
    </w:p>
    <w:p w14:paraId="1FAFE820" w14:textId="77777777" w:rsidR="006B06A1" w:rsidRPr="00BF0169" w:rsidRDefault="002436C2" w:rsidP="00225A0C">
      <w:pPr>
        <w:pStyle w:val="Heading2"/>
        <w:rPr>
          <w:noProof/>
          <w:shd w:val="clear" w:color="auto" w:fill="FEFFFF"/>
          <w:lang w:val="it-IT"/>
        </w:rPr>
      </w:pPr>
      <w:bookmarkStart w:id="97" w:name="_Toc116319665"/>
      <w:r w:rsidRPr="00BF0169">
        <w:rPr>
          <w:noProof/>
          <w:shd w:val="clear" w:color="auto" w:fill="FEFFFF"/>
          <w:lang w:val="it-IT"/>
        </w:rPr>
        <w:t>Trasparenza, gestione del rischio di frode e digitalizzazione della lotta contro la frode</w:t>
      </w:r>
      <w:bookmarkEnd w:id="97"/>
    </w:p>
    <w:p w14:paraId="3A68C813" w14:textId="36D65006" w:rsidR="00225A0C" w:rsidRPr="00BF0169" w:rsidRDefault="00225A0C" w:rsidP="00225A0C">
      <w:pPr>
        <w:rPr>
          <w:noProof/>
          <w:lang w:val="it-IT"/>
        </w:rPr>
      </w:pPr>
      <w:r w:rsidRPr="00BF0169">
        <w:rPr>
          <w:noProof/>
          <w:lang w:val="it-IT"/>
        </w:rPr>
        <w:t xml:space="preserve">Per il QFP 2021-2027 e NextGenerationEU la Commissione ha presentato proposte volte a </w:t>
      </w:r>
      <w:r w:rsidRPr="00BF0169">
        <w:rPr>
          <w:b/>
          <w:noProof/>
          <w:lang w:val="it-IT"/>
        </w:rPr>
        <w:t>migliorare la qualità dei dati e l</w:t>
      </w:r>
      <w:r w:rsidR="00BF0169" w:rsidRPr="00BF0169">
        <w:rPr>
          <w:b/>
          <w:noProof/>
          <w:lang w:val="it-IT"/>
        </w:rPr>
        <w:t>'</w:t>
      </w:r>
      <w:r w:rsidRPr="00BF0169">
        <w:rPr>
          <w:b/>
          <w:noProof/>
          <w:lang w:val="it-IT"/>
        </w:rPr>
        <w:t>interoperabilità dei sistemi informatici</w:t>
      </w:r>
      <w:r w:rsidRPr="00BF0169">
        <w:rPr>
          <w:noProof/>
          <w:lang w:val="it-IT"/>
        </w:rPr>
        <w:t xml:space="preserve"> concernenti i destinatari dei finanziamenti dell</w:t>
      </w:r>
      <w:r w:rsidR="00BF0169" w:rsidRPr="00BF0169">
        <w:rPr>
          <w:noProof/>
          <w:lang w:val="it-IT"/>
        </w:rPr>
        <w:t>'</w:t>
      </w:r>
      <w:r w:rsidRPr="00BF0169">
        <w:rPr>
          <w:noProof/>
          <w:lang w:val="it-IT"/>
        </w:rPr>
        <w:t>UE nei casi in cui il bilancio è eseguito in regime di gestione concorrente e nel contesto del dispositivo per la ripresa e la resilienza.</w:t>
      </w:r>
    </w:p>
    <w:p w14:paraId="60D0606F" w14:textId="6F8DF0BF" w:rsidR="00225A0C" w:rsidRPr="00BF0169" w:rsidRDefault="00225A0C" w:rsidP="00225A0C">
      <w:pPr>
        <w:rPr>
          <w:noProof/>
          <w:lang w:val="it-IT"/>
        </w:rPr>
      </w:pPr>
      <w:r w:rsidRPr="00BF0169">
        <w:rPr>
          <w:noProof/>
          <w:lang w:val="it-IT"/>
        </w:rPr>
        <w:t xml:space="preserve">Una delle proposte della Commissione accolte dai colegislatori per il dispositivo per la ripresa e la resilienza e la politica di coesione impone agli Stati membri di registrare e archiviare i </w:t>
      </w:r>
      <w:r w:rsidRPr="00BF0169">
        <w:rPr>
          <w:b/>
          <w:noProof/>
          <w:lang w:val="it-IT"/>
        </w:rPr>
        <w:t>dati sui destinatari dei finanziamenti dell</w:t>
      </w:r>
      <w:r w:rsidR="00BF0169" w:rsidRPr="00BF0169">
        <w:rPr>
          <w:b/>
          <w:noProof/>
          <w:lang w:val="it-IT"/>
        </w:rPr>
        <w:t>'</w:t>
      </w:r>
      <w:r w:rsidRPr="00BF0169">
        <w:rPr>
          <w:b/>
          <w:noProof/>
          <w:lang w:val="it-IT"/>
        </w:rPr>
        <w:t>UE e sui loro titolari effettivi</w:t>
      </w:r>
      <w:r w:rsidRPr="00BF0169">
        <w:rPr>
          <w:noProof/>
          <w:lang w:val="it-IT"/>
        </w:rPr>
        <w:t xml:space="preserve">. Per la politica agricola comune, gli Stati membri raccoglieranno dati sui gruppi a cui partecipano i beneficiari, laddove applicabile. </w:t>
      </w:r>
    </w:p>
    <w:p w14:paraId="351072DE" w14:textId="3F849FD0" w:rsidR="00225A0C" w:rsidRPr="00BF0169" w:rsidRDefault="00225A0C" w:rsidP="00225A0C">
      <w:pPr>
        <w:rPr>
          <w:noProof/>
          <w:lang w:val="it-IT"/>
        </w:rPr>
      </w:pPr>
      <w:r w:rsidRPr="00BF0169">
        <w:rPr>
          <w:noProof/>
          <w:lang w:val="it-IT"/>
        </w:rPr>
        <w:t>Con la modifica mirata del regolamento finanziario</w:t>
      </w:r>
      <w:r w:rsidRPr="00BF0169">
        <w:rPr>
          <w:rStyle w:val="FootnoteReference"/>
          <w:noProof/>
          <w:lang w:val="it-IT"/>
        </w:rPr>
        <w:footnoteReference w:id="107"/>
      </w:r>
      <w:r w:rsidRPr="00BF0169">
        <w:rPr>
          <w:noProof/>
          <w:lang w:val="it-IT"/>
        </w:rPr>
        <w:t>, la Commissione intende migliorare ulteriormente il modo in cui le informazioni sull</w:t>
      </w:r>
      <w:r w:rsidR="00BF0169" w:rsidRPr="00BF0169">
        <w:rPr>
          <w:noProof/>
          <w:lang w:val="it-IT"/>
        </w:rPr>
        <w:t>'</w:t>
      </w:r>
      <w:r w:rsidRPr="00BF0169">
        <w:rPr>
          <w:noProof/>
          <w:lang w:val="it-IT"/>
        </w:rPr>
        <w:t>uso del bilancio dell</w:t>
      </w:r>
      <w:r w:rsidR="00BF0169" w:rsidRPr="00BF0169">
        <w:rPr>
          <w:noProof/>
          <w:lang w:val="it-IT"/>
        </w:rPr>
        <w:t>'</w:t>
      </w:r>
      <w:r w:rsidRPr="00BF0169">
        <w:rPr>
          <w:noProof/>
          <w:lang w:val="it-IT"/>
        </w:rPr>
        <w:t>UE e sui destinatari dei finanziamenti dell</w:t>
      </w:r>
      <w:r w:rsidR="00BF0169" w:rsidRPr="00BF0169">
        <w:rPr>
          <w:noProof/>
          <w:lang w:val="it-IT"/>
        </w:rPr>
        <w:t>'</w:t>
      </w:r>
      <w:r w:rsidRPr="00BF0169">
        <w:rPr>
          <w:noProof/>
          <w:lang w:val="it-IT"/>
        </w:rPr>
        <w:t>UE vengono comunicate al pubblico. La Commissione ha proposto di imporre agli Stati membri e ad altri organismi che eseguono il bilancio dell</w:t>
      </w:r>
      <w:r w:rsidR="00BF0169" w:rsidRPr="00BF0169">
        <w:rPr>
          <w:noProof/>
          <w:lang w:val="it-IT"/>
        </w:rPr>
        <w:t>'</w:t>
      </w:r>
      <w:r w:rsidRPr="00BF0169">
        <w:rPr>
          <w:noProof/>
          <w:lang w:val="it-IT"/>
        </w:rPr>
        <w:t>UE, a prescindere dalla modalità di gestione, di fornirle una volta l</w:t>
      </w:r>
      <w:r w:rsidR="00BF0169" w:rsidRPr="00BF0169">
        <w:rPr>
          <w:noProof/>
          <w:lang w:val="it-IT"/>
        </w:rPr>
        <w:t>'</w:t>
      </w:r>
      <w:r w:rsidRPr="00BF0169">
        <w:rPr>
          <w:noProof/>
          <w:lang w:val="it-IT"/>
        </w:rPr>
        <w:t>anno informazioni sui destinatari dei finanziamenti dell</w:t>
      </w:r>
      <w:r w:rsidR="00BF0169" w:rsidRPr="00BF0169">
        <w:rPr>
          <w:noProof/>
          <w:lang w:val="it-IT"/>
        </w:rPr>
        <w:t>'</w:t>
      </w:r>
      <w:r w:rsidRPr="00BF0169">
        <w:rPr>
          <w:noProof/>
          <w:lang w:val="it-IT"/>
        </w:rPr>
        <w:t>UE, compresi identificatori univoci qualora i destinatari siano persone giuridiche. Occorre tutelare i diritti dei beneficiari al rispetto della vita privata e dei dati personali</w:t>
      </w:r>
      <w:r w:rsidRPr="00BF0169">
        <w:rPr>
          <w:rStyle w:val="FootnoteReference"/>
          <w:noProof/>
          <w:lang w:val="it-IT"/>
        </w:rPr>
        <w:footnoteReference w:id="108"/>
      </w:r>
      <w:r w:rsidRPr="00BF0169">
        <w:rPr>
          <w:noProof/>
          <w:lang w:val="it-IT"/>
        </w:rPr>
        <w:t xml:space="preserve">. La Commissione integrerebbe tali informazioni con i dati di cui dispone sulla gestione diretta e sarebbe responsabile del consolidamento, della centralizzazione e della pubblicazione delle informazioni in una banca dati su un unico sito web che copra tutte le modalità di gestione. Il sito web unico che ne risulterebbe sarebbe una versione migliorata del </w:t>
      </w:r>
      <w:r w:rsidRPr="00BF0169">
        <w:rPr>
          <w:b/>
          <w:noProof/>
          <w:lang w:val="it-IT"/>
        </w:rPr>
        <w:t>sistema di trasparenza finanziaria</w:t>
      </w:r>
      <w:r w:rsidRPr="00BF0169">
        <w:rPr>
          <w:noProof/>
          <w:lang w:val="it-IT"/>
        </w:rPr>
        <w:t xml:space="preserve"> attualmente in uso per la gestione diretta.</w:t>
      </w:r>
    </w:p>
    <w:p w14:paraId="531381BE" w14:textId="101C9C1B" w:rsidR="00225A0C" w:rsidRPr="00BF0169" w:rsidRDefault="00225A0C" w:rsidP="00225A0C">
      <w:pPr>
        <w:rPr>
          <w:noProof/>
          <w:lang w:val="it-IT"/>
        </w:rPr>
      </w:pPr>
      <w:r w:rsidRPr="00BF0169">
        <w:rPr>
          <w:noProof/>
          <w:lang w:val="it-IT"/>
        </w:rPr>
        <w:t>La modifica mirata del regolamento finanziario offre un</w:t>
      </w:r>
      <w:r w:rsidR="00BF0169" w:rsidRPr="00BF0169">
        <w:rPr>
          <w:noProof/>
          <w:lang w:val="it-IT"/>
        </w:rPr>
        <w:t>'</w:t>
      </w:r>
      <w:r w:rsidRPr="00BF0169">
        <w:rPr>
          <w:noProof/>
          <w:lang w:val="it-IT"/>
        </w:rPr>
        <w:t>altra opportunità per migliorare ulteriormente la tutela del bilancio dell</w:t>
      </w:r>
      <w:r w:rsidR="00BF0169" w:rsidRPr="00BF0169">
        <w:rPr>
          <w:noProof/>
          <w:lang w:val="it-IT"/>
        </w:rPr>
        <w:t>'</w:t>
      </w:r>
      <w:r w:rsidRPr="00BF0169">
        <w:rPr>
          <w:noProof/>
          <w:lang w:val="it-IT"/>
        </w:rPr>
        <w:t xml:space="preserve">UE contro irregolarità, frode, corruzione e conflitti di interesse. </w:t>
      </w:r>
    </w:p>
    <w:p w14:paraId="2E6540B9" w14:textId="23AFE696" w:rsidR="002436C2" w:rsidRPr="00BF0169" w:rsidRDefault="002436C2" w:rsidP="0083796A">
      <w:pPr>
        <w:keepNext/>
        <w:keepLines/>
        <w:rPr>
          <w:noProof/>
          <w:lang w:val="it-IT"/>
        </w:rPr>
      </w:pPr>
      <w:r w:rsidRPr="00BF0169">
        <w:rPr>
          <w:noProof/>
          <w:lang w:val="it-IT"/>
        </w:rPr>
        <w:t xml:space="preserve">In primo luogo, la Commissione ha proposto di rendere </w:t>
      </w:r>
      <w:r w:rsidRPr="00BF0169">
        <w:rPr>
          <w:b/>
          <w:noProof/>
          <w:lang w:val="it-IT"/>
        </w:rPr>
        <w:t>obbligatorio</w:t>
      </w:r>
      <w:r w:rsidRPr="00BF0169">
        <w:rPr>
          <w:noProof/>
          <w:lang w:val="it-IT"/>
        </w:rPr>
        <w:t xml:space="preserve"> </w:t>
      </w:r>
      <w:r w:rsidRPr="00BF0169">
        <w:rPr>
          <w:b/>
          <w:noProof/>
          <w:lang w:val="it-IT"/>
        </w:rPr>
        <w:t>l</w:t>
      </w:r>
      <w:r w:rsidR="00BF0169" w:rsidRPr="00BF0169">
        <w:rPr>
          <w:b/>
          <w:noProof/>
          <w:lang w:val="it-IT"/>
        </w:rPr>
        <w:t>'</w:t>
      </w:r>
      <w:r w:rsidRPr="00BF0169">
        <w:rPr>
          <w:b/>
          <w:noProof/>
          <w:lang w:val="it-IT"/>
        </w:rPr>
        <w:t>uso di un unico sistema informatico integrato</w:t>
      </w:r>
      <w:r w:rsidRPr="00BF0169">
        <w:rPr>
          <w:noProof/>
          <w:lang w:val="it-IT"/>
        </w:rPr>
        <w:t xml:space="preserve"> per l</w:t>
      </w:r>
      <w:r w:rsidR="00BF0169" w:rsidRPr="00BF0169">
        <w:rPr>
          <w:noProof/>
          <w:lang w:val="it-IT"/>
        </w:rPr>
        <w:t>'</w:t>
      </w:r>
      <w:r w:rsidRPr="00BF0169">
        <w:rPr>
          <w:noProof/>
          <w:lang w:val="it-IT"/>
        </w:rPr>
        <w:t>estrazione di dati e la valutazione del rischio. L</w:t>
      </w:r>
      <w:r w:rsidR="00BF0169" w:rsidRPr="00BF0169">
        <w:rPr>
          <w:noProof/>
          <w:lang w:val="it-IT"/>
        </w:rPr>
        <w:t>'</w:t>
      </w:r>
      <w:r w:rsidRPr="00BF0169">
        <w:rPr>
          <w:noProof/>
          <w:lang w:val="it-IT"/>
        </w:rPr>
        <w:t>uso del sistema esistente, Arachne, è volontario e, sebbene esso sia già ampiamente utilizzato nel quadro della politica di coesione e venga attualmente introdotto per la spesa agricola, renderlo obbligatorio sarebbe un importante passo avanti.</w:t>
      </w:r>
    </w:p>
    <w:p w14:paraId="7D70C5DB" w14:textId="40A36226" w:rsidR="00225A0C" w:rsidRPr="00BF0169" w:rsidRDefault="00225A0C" w:rsidP="00225A0C">
      <w:pPr>
        <w:rPr>
          <w:noProof/>
          <w:lang w:val="it-IT"/>
        </w:rPr>
      </w:pPr>
      <w:r w:rsidRPr="00BF0169">
        <w:rPr>
          <w:noProof/>
          <w:lang w:val="it-IT"/>
        </w:rPr>
        <w:t xml:space="preserve">In secondo luogo, la Commissione propone anche di </w:t>
      </w:r>
      <w:r w:rsidRPr="00BF0169">
        <w:rPr>
          <w:b/>
          <w:noProof/>
          <w:lang w:val="it-IT"/>
        </w:rPr>
        <w:t>estendere l</w:t>
      </w:r>
      <w:r w:rsidR="00BF0169" w:rsidRPr="00BF0169">
        <w:rPr>
          <w:b/>
          <w:noProof/>
          <w:lang w:val="it-IT"/>
        </w:rPr>
        <w:t>'</w:t>
      </w:r>
      <w:r w:rsidRPr="00BF0169">
        <w:rPr>
          <w:b/>
          <w:noProof/>
          <w:lang w:val="it-IT"/>
        </w:rPr>
        <w:t>ambito di applicazione e di accrescere l</w:t>
      </w:r>
      <w:r w:rsidR="00BF0169" w:rsidRPr="00BF0169">
        <w:rPr>
          <w:b/>
          <w:noProof/>
          <w:lang w:val="it-IT"/>
        </w:rPr>
        <w:t>'</w:t>
      </w:r>
      <w:r w:rsidRPr="00BF0169">
        <w:rPr>
          <w:b/>
          <w:noProof/>
          <w:lang w:val="it-IT"/>
        </w:rPr>
        <w:t>efficacia del sistema di individuazione precoce e di esclusione</w:t>
      </w:r>
      <w:r w:rsidRPr="00BF0169">
        <w:rPr>
          <w:noProof/>
          <w:lang w:val="it-IT"/>
        </w:rPr>
        <w:t xml:space="preserve"> (EDES). Tale sistema consiste in un insieme di misure nei confronti di operatori economici inaffidabili. In particolare, consente l</w:t>
      </w:r>
      <w:r w:rsidR="00BF0169" w:rsidRPr="00BF0169">
        <w:rPr>
          <w:noProof/>
          <w:lang w:val="it-IT"/>
        </w:rPr>
        <w:t>'</w:t>
      </w:r>
      <w:r w:rsidRPr="00BF0169">
        <w:rPr>
          <w:noProof/>
          <w:lang w:val="it-IT"/>
        </w:rPr>
        <w:t>individuazione precoce di operatori economici fraudolenti o inaffidabili e la loro eventuale esclusione dai finanziamenti dell</w:t>
      </w:r>
      <w:r w:rsidR="00BF0169" w:rsidRPr="00BF0169">
        <w:rPr>
          <w:noProof/>
          <w:lang w:val="it-IT"/>
        </w:rPr>
        <w:t>'</w:t>
      </w:r>
      <w:r w:rsidRPr="00BF0169">
        <w:rPr>
          <w:noProof/>
          <w:lang w:val="it-IT"/>
        </w:rPr>
        <w:t>UE. Le pratiche vietate comprendono un ampio ventaglio di condotte che inficiano l</w:t>
      </w:r>
      <w:r w:rsidR="00BF0169" w:rsidRPr="00BF0169">
        <w:rPr>
          <w:noProof/>
          <w:lang w:val="it-IT"/>
        </w:rPr>
        <w:t>'</w:t>
      </w:r>
      <w:r w:rsidRPr="00BF0169">
        <w:rPr>
          <w:noProof/>
          <w:lang w:val="it-IT"/>
        </w:rPr>
        <w:t>integrità professionale (ad esempio frode, corruzione e grave illecito professionale) e di circostanze di mancato rispetto delle prestazioni contrattuali (ad esempio gravi carenze nell</w:t>
      </w:r>
      <w:r w:rsidR="00BF0169" w:rsidRPr="00BF0169">
        <w:rPr>
          <w:noProof/>
          <w:lang w:val="it-IT"/>
        </w:rPr>
        <w:t>'</w:t>
      </w:r>
      <w:r w:rsidRPr="00BF0169">
        <w:rPr>
          <w:noProof/>
          <w:lang w:val="it-IT"/>
        </w:rPr>
        <w:t>attuazione dei contratti finanziati dall</w:t>
      </w:r>
      <w:r w:rsidR="00BF0169" w:rsidRPr="00BF0169">
        <w:rPr>
          <w:noProof/>
          <w:lang w:val="it-IT"/>
        </w:rPr>
        <w:t>'</w:t>
      </w:r>
      <w:r w:rsidRPr="00BF0169">
        <w:rPr>
          <w:noProof/>
          <w:lang w:val="it-IT"/>
        </w:rPr>
        <w:t>UE)</w:t>
      </w:r>
      <w:r w:rsidRPr="00BF0169">
        <w:rPr>
          <w:rStyle w:val="FootnoteReference"/>
          <w:noProof/>
          <w:lang w:val="it-IT"/>
        </w:rPr>
        <w:footnoteReference w:id="109"/>
      </w:r>
      <w:r w:rsidRPr="00BF0169">
        <w:rPr>
          <w:noProof/>
          <w:lang w:val="it-IT"/>
        </w:rPr>
        <w:t>. A questo proposito, la Commissione ha altresì proposto di estendere il sistema ai beneficiari nel contesto del regime di gestione concorrente adottando un approccio proporzionato e mirato. L</w:t>
      </w:r>
      <w:r w:rsidR="00BF0169" w:rsidRPr="00BF0169">
        <w:rPr>
          <w:noProof/>
          <w:lang w:val="it-IT"/>
        </w:rPr>
        <w:t>'</w:t>
      </w:r>
      <w:r w:rsidRPr="00BF0169">
        <w:rPr>
          <w:noProof/>
          <w:lang w:val="it-IT"/>
        </w:rPr>
        <w:t>obiettivo è garantire che le decisioni di esclusione adottate a livello dell</w:t>
      </w:r>
      <w:r w:rsidR="00BF0169" w:rsidRPr="00BF0169">
        <w:rPr>
          <w:noProof/>
          <w:lang w:val="it-IT"/>
        </w:rPr>
        <w:t>'</w:t>
      </w:r>
      <w:r w:rsidRPr="00BF0169">
        <w:rPr>
          <w:noProof/>
          <w:lang w:val="it-IT"/>
        </w:rPr>
        <w:t>UE siano applicate dalle autorità degli Stati membri nel quadro del regime di gestione concorrente. La Commissione propone altresì di consentire l</w:t>
      </w:r>
      <w:r w:rsidR="00BF0169" w:rsidRPr="00BF0169">
        <w:rPr>
          <w:noProof/>
          <w:lang w:val="it-IT"/>
        </w:rPr>
        <w:t>'</w:t>
      </w:r>
      <w:r w:rsidRPr="00BF0169">
        <w:rPr>
          <w:noProof/>
          <w:lang w:val="it-IT"/>
        </w:rPr>
        <w:t>esclusione delle entità affiliate e/o dei titolari effettivi di un</w:t>
      </w:r>
      <w:r w:rsidR="00BF0169" w:rsidRPr="00BF0169">
        <w:rPr>
          <w:noProof/>
          <w:lang w:val="it-IT"/>
        </w:rPr>
        <w:t>'</w:t>
      </w:r>
      <w:r w:rsidRPr="00BF0169">
        <w:rPr>
          <w:noProof/>
          <w:lang w:val="it-IT"/>
        </w:rPr>
        <w:t>entità primaria esclusa dalla partecipazione agli appalti pubblici e, in definitiva, dall</w:t>
      </w:r>
      <w:r w:rsidR="00BF0169" w:rsidRPr="00BF0169">
        <w:rPr>
          <w:noProof/>
          <w:lang w:val="it-IT"/>
        </w:rPr>
        <w:t>'</w:t>
      </w:r>
      <w:r w:rsidRPr="00BF0169">
        <w:rPr>
          <w:noProof/>
          <w:lang w:val="it-IT"/>
        </w:rPr>
        <w:t xml:space="preserve">ottenimento di fondi UE. </w:t>
      </w:r>
    </w:p>
    <w:p w14:paraId="6A635BCA" w14:textId="675E4E7B" w:rsidR="00225A0C" w:rsidRPr="00BF0169" w:rsidRDefault="00225A0C" w:rsidP="00225A0C">
      <w:pPr>
        <w:rPr>
          <w:noProof/>
          <w:lang w:val="it-IT"/>
        </w:rPr>
      </w:pPr>
      <w:r w:rsidRPr="00BF0169">
        <w:rPr>
          <w:noProof/>
          <w:lang w:val="it-IT"/>
        </w:rPr>
        <w:t xml:space="preserve">In terzo luogo, gli adeguamenti proposti del regolamento finanziario, se approvati dai colegislatori, </w:t>
      </w:r>
      <w:r w:rsidRPr="00BF0169">
        <w:rPr>
          <w:b/>
          <w:noProof/>
          <w:lang w:val="it-IT"/>
        </w:rPr>
        <w:t>aumenteranno l</w:t>
      </w:r>
      <w:r w:rsidR="00BF0169" w:rsidRPr="00BF0169">
        <w:rPr>
          <w:b/>
          <w:noProof/>
          <w:lang w:val="it-IT"/>
        </w:rPr>
        <w:t>'</w:t>
      </w:r>
      <w:r w:rsidRPr="00BF0169">
        <w:rPr>
          <w:b/>
          <w:noProof/>
          <w:lang w:val="it-IT"/>
        </w:rPr>
        <w:t>efficienza e la qualità dei controlli e degli audit anche grazie alla digitalizzazione e alle tecnologie emergenti</w:t>
      </w:r>
      <w:r w:rsidRPr="00BF0169">
        <w:rPr>
          <w:noProof/>
          <w:lang w:val="it-IT"/>
        </w:rPr>
        <w:t xml:space="preserve"> quali l</w:t>
      </w:r>
      <w:r w:rsidR="00BF0169" w:rsidRPr="00BF0169">
        <w:rPr>
          <w:noProof/>
          <w:lang w:val="it-IT"/>
        </w:rPr>
        <w:t>'</w:t>
      </w:r>
      <w:r w:rsidRPr="00BF0169">
        <w:rPr>
          <w:noProof/>
          <w:lang w:val="it-IT"/>
        </w:rPr>
        <w:t>apprendimento automatico, l</w:t>
      </w:r>
      <w:r w:rsidR="00BF0169" w:rsidRPr="00BF0169">
        <w:rPr>
          <w:noProof/>
          <w:lang w:val="it-IT"/>
        </w:rPr>
        <w:t>'</w:t>
      </w:r>
      <w:r w:rsidRPr="00BF0169">
        <w:rPr>
          <w:noProof/>
          <w:lang w:val="it-IT"/>
        </w:rPr>
        <w:t>automazione dei processi robotici e l</w:t>
      </w:r>
      <w:r w:rsidR="00BF0169" w:rsidRPr="00BF0169">
        <w:rPr>
          <w:noProof/>
          <w:lang w:val="it-IT"/>
        </w:rPr>
        <w:t>'</w:t>
      </w:r>
      <w:r w:rsidRPr="00BF0169">
        <w:rPr>
          <w:noProof/>
          <w:lang w:val="it-IT"/>
        </w:rPr>
        <w:t>intelligenza artificiale. A questi aspetti viene data maggiore visibilità nel regolamento finanziario per garantire un uso più ampio e coerente degli audit e dei controlli digitali, riducendo allo stesso tempo il costo dei controlli e degli audit. La digitalizzazione della lotta contro la frode sarà altresì un tema per la revisione del piano d</w:t>
      </w:r>
      <w:r w:rsidR="00BF0169" w:rsidRPr="00BF0169">
        <w:rPr>
          <w:noProof/>
          <w:lang w:val="it-IT"/>
        </w:rPr>
        <w:t>'</w:t>
      </w:r>
      <w:r w:rsidRPr="00BF0169">
        <w:rPr>
          <w:noProof/>
          <w:lang w:val="it-IT"/>
        </w:rPr>
        <w:t>azione che accompagna la strategia antifrode della Commissione, prevista per il 2023.</w:t>
      </w:r>
    </w:p>
    <w:p w14:paraId="00C550B1" w14:textId="441A49BA" w:rsidR="002436C2" w:rsidRPr="00BF0169" w:rsidRDefault="002436C2" w:rsidP="00AA7228">
      <w:pPr>
        <w:pStyle w:val="Caption"/>
        <w:pBdr>
          <w:top w:val="single" w:sz="4" w:space="1" w:color="auto"/>
          <w:left w:val="single" w:sz="4" w:space="4" w:color="auto"/>
          <w:bottom w:val="single" w:sz="4" w:space="1" w:color="auto"/>
          <w:right w:val="single" w:sz="4" w:space="4" w:color="auto"/>
        </w:pBdr>
        <w:shd w:val="clear" w:color="auto" w:fill="FBE4D5" w:themeFill="accent2" w:themeFillTint="33"/>
        <w:rPr>
          <w:noProof/>
          <w:lang w:val="it-IT"/>
        </w:rPr>
      </w:pPr>
      <w:r w:rsidRPr="00BF0169">
        <w:rPr>
          <w:noProof/>
          <w:lang w:val="it-IT"/>
        </w:rPr>
        <w:t xml:space="preserve">Raccomandazione </w:t>
      </w:r>
      <w:r w:rsidR="00742EC4" w:rsidRPr="00BF0169">
        <w:rPr>
          <w:noProof/>
          <w:lang w:val="it-IT"/>
        </w:rPr>
        <w:fldChar w:fldCharType="begin"/>
      </w:r>
      <w:r w:rsidR="00742EC4" w:rsidRPr="00BF0169">
        <w:rPr>
          <w:noProof/>
          <w:lang w:val="it-IT"/>
        </w:rPr>
        <w:instrText xml:space="preserve"> SEQ Recommendation \* ARABIC </w:instrText>
      </w:r>
      <w:r w:rsidR="00742EC4" w:rsidRPr="00BF0169">
        <w:rPr>
          <w:noProof/>
          <w:lang w:val="it-IT"/>
        </w:rPr>
        <w:fldChar w:fldCharType="separate"/>
      </w:r>
      <w:r w:rsidRPr="00BF0169">
        <w:rPr>
          <w:noProof/>
          <w:lang w:val="it-IT"/>
        </w:rPr>
        <w:t>3</w:t>
      </w:r>
      <w:r w:rsidR="00742EC4" w:rsidRPr="00BF0169">
        <w:rPr>
          <w:noProof/>
          <w:lang w:val="it-IT"/>
        </w:rPr>
        <w:fldChar w:fldCharType="end"/>
      </w:r>
      <w:r w:rsidRPr="00BF0169">
        <w:rPr>
          <w:noProof/>
          <w:lang w:val="it-IT"/>
        </w:rPr>
        <w:t xml:space="preserve"> – Digitalizzazione della lotta contro la frode</w:t>
      </w:r>
    </w:p>
    <w:p w14:paraId="2CB556E4" w14:textId="6E003028" w:rsidR="002436C2" w:rsidRPr="00BF0169" w:rsidRDefault="002436C2" w:rsidP="00AA7228">
      <w:pPr>
        <w:pBdr>
          <w:top w:val="single" w:sz="4" w:space="1" w:color="auto"/>
          <w:left w:val="single" w:sz="4" w:space="4" w:color="auto"/>
          <w:bottom w:val="single" w:sz="4" w:space="1" w:color="auto"/>
          <w:right w:val="single" w:sz="4" w:space="4" w:color="auto"/>
        </w:pBdr>
        <w:shd w:val="clear" w:color="auto" w:fill="FBE4D5" w:themeFill="accent2" w:themeFillTint="33"/>
        <w:rPr>
          <w:noProof/>
          <w:lang w:val="it-IT"/>
        </w:rPr>
      </w:pPr>
      <w:r w:rsidRPr="00BF0169">
        <w:rPr>
          <w:noProof/>
          <w:lang w:val="it-IT"/>
        </w:rPr>
        <w:t>Finché la revisione del regolamento finanziario è ancora in corso, la Commissione invita gli Stati membri a fare pieno uso degli strumenti a loro disposizione (Arachne, EDES, IMS) e incoraggia lo sviluppo di soluzioni interoperabili con i sistemi nazionali al fine di realizzare pienamente il loro potenziale.</w:t>
      </w:r>
    </w:p>
    <w:p w14:paraId="43D33256" w14:textId="290EFB40" w:rsidR="00AA7228" w:rsidRPr="00BF0169" w:rsidRDefault="000424C7" w:rsidP="00775F49">
      <w:pPr>
        <w:rPr>
          <w:i/>
          <w:noProof/>
          <w:shd w:val="clear" w:color="auto" w:fill="FEFFFF"/>
          <w:lang w:val="it-IT"/>
        </w:rPr>
      </w:pPr>
      <w:r w:rsidRPr="00BF0169">
        <w:rPr>
          <w:noProof/>
          <w:shd w:val="clear" w:color="auto" w:fill="FEFFFF"/>
          <w:lang w:val="it-IT"/>
        </w:rPr>
        <w:t>Un approccio tempestivo e proattivo alla valutazione e al monitoraggio dei rischi è indispensabile per la tutela efficace degli interessi finanziari dell</w:t>
      </w:r>
      <w:r w:rsidR="00BF0169" w:rsidRPr="00BF0169">
        <w:rPr>
          <w:noProof/>
          <w:shd w:val="clear" w:color="auto" w:fill="FEFFFF"/>
          <w:lang w:val="it-IT"/>
        </w:rPr>
        <w:t>'</w:t>
      </w:r>
      <w:r w:rsidRPr="00BF0169">
        <w:rPr>
          <w:noProof/>
          <w:shd w:val="clear" w:color="auto" w:fill="FEFFFF"/>
          <w:lang w:val="it-IT"/>
        </w:rPr>
        <w:t>UE. Rientrano in tale contesto l</w:t>
      </w:r>
      <w:r w:rsidR="00BF0169" w:rsidRPr="00BF0169">
        <w:rPr>
          <w:noProof/>
          <w:shd w:val="clear" w:color="auto" w:fill="FEFFFF"/>
          <w:lang w:val="it-IT"/>
        </w:rPr>
        <w:t>'</w:t>
      </w:r>
      <w:r w:rsidRPr="00BF0169">
        <w:rPr>
          <w:noProof/>
          <w:shd w:val="clear" w:color="auto" w:fill="FEFFFF"/>
          <w:lang w:val="it-IT"/>
        </w:rPr>
        <w:t>utilizzo di tutte le fonti di informazione disponibili, lo scambio di informazioni tra i servizi coinvolti e la fornitura di un riscontro tempestivo sulle azioni intraprese. La valutazione permanente, lo scambio di informazioni, il monitoraggio dei rischi e delle tendenze in materia di frodi e il riscontro di cui sopra sono necessari per mettere a punto le misure da adottare per tutelare meglio gli interessi finanziari dell</w:t>
      </w:r>
      <w:r w:rsidR="00BF0169" w:rsidRPr="00BF0169">
        <w:rPr>
          <w:noProof/>
          <w:shd w:val="clear" w:color="auto" w:fill="FEFFFF"/>
          <w:lang w:val="it-IT"/>
        </w:rPr>
        <w:t>'</w:t>
      </w:r>
      <w:r w:rsidRPr="00BF0169">
        <w:rPr>
          <w:noProof/>
          <w:shd w:val="clear" w:color="auto" w:fill="FEFFFF"/>
          <w:lang w:val="it-IT"/>
        </w:rPr>
        <w:t>UE.</w:t>
      </w:r>
    </w:p>
    <w:p w14:paraId="183ED37D" w14:textId="56D33241" w:rsidR="00B01601" w:rsidRPr="00BF0169" w:rsidRDefault="002C508D" w:rsidP="0083796A">
      <w:pPr>
        <w:pStyle w:val="Caption"/>
        <w:keepNext/>
        <w:keepLines/>
        <w:pBdr>
          <w:top w:val="single" w:sz="4" w:space="1" w:color="auto"/>
          <w:left w:val="single" w:sz="4" w:space="4" w:color="auto"/>
          <w:bottom w:val="single" w:sz="4" w:space="1" w:color="auto"/>
          <w:right w:val="single" w:sz="4" w:space="4" w:color="auto"/>
        </w:pBdr>
        <w:shd w:val="clear" w:color="auto" w:fill="FBE4D5" w:themeFill="accent2" w:themeFillTint="33"/>
        <w:rPr>
          <w:noProof/>
          <w:lang w:val="it-IT"/>
        </w:rPr>
      </w:pPr>
      <w:r w:rsidRPr="00BF0169">
        <w:rPr>
          <w:noProof/>
          <w:lang w:val="it-IT"/>
        </w:rPr>
        <w:t xml:space="preserve">Raccomandazione </w:t>
      </w:r>
      <w:r w:rsidR="00742EC4" w:rsidRPr="00BF0169">
        <w:rPr>
          <w:noProof/>
          <w:lang w:val="it-IT"/>
        </w:rPr>
        <w:fldChar w:fldCharType="begin"/>
      </w:r>
      <w:r w:rsidR="00742EC4" w:rsidRPr="00BF0169">
        <w:rPr>
          <w:noProof/>
          <w:lang w:val="it-IT"/>
        </w:rPr>
        <w:instrText xml:space="preserve"> SEQ Recommendation \* ARABIC </w:instrText>
      </w:r>
      <w:r w:rsidR="00742EC4" w:rsidRPr="00BF0169">
        <w:rPr>
          <w:noProof/>
          <w:lang w:val="it-IT"/>
        </w:rPr>
        <w:fldChar w:fldCharType="separate"/>
      </w:r>
      <w:r w:rsidRPr="00BF0169">
        <w:rPr>
          <w:noProof/>
          <w:lang w:val="it-IT"/>
        </w:rPr>
        <w:t>4</w:t>
      </w:r>
      <w:r w:rsidR="00742EC4" w:rsidRPr="00BF0169">
        <w:rPr>
          <w:noProof/>
          <w:lang w:val="it-IT"/>
        </w:rPr>
        <w:fldChar w:fldCharType="end"/>
      </w:r>
      <w:r w:rsidRPr="00BF0169">
        <w:rPr>
          <w:noProof/>
          <w:lang w:val="it-IT"/>
        </w:rPr>
        <w:t xml:space="preserve"> – Rafforzare l</w:t>
      </w:r>
      <w:r w:rsidR="00BF0169" w:rsidRPr="00BF0169">
        <w:rPr>
          <w:noProof/>
          <w:lang w:val="it-IT"/>
        </w:rPr>
        <w:t>'</w:t>
      </w:r>
      <w:r w:rsidRPr="00BF0169">
        <w:rPr>
          <w:noProof/>
          <w:lang w:val="it-IT"/>
        </w:rPr>
        <w:t>analisi del rischio di frode</w:t>
      </w:r>
    </w:p>
    <w:p w14:paraId="3D443415" w14:textId="3159DDBF" w:rsidR="002C508D" w:rsidRPr="00BF0169" w:rsidRDefault="002C508D" w:rsidP="0083796A">
      <w:pPr>
        <w:keepNext/>
        <w:keepLines/>
        <w:pBdr>
          <w:top w:val="single" w:sz="4" w:space="1" w:color="auto"/>
          <w:left w:val="single" w:sz="4" w:space="4" w:color="auto"/>
          <w:bottom w:val="single" w:sz="4" w:space="1" w:color="auto"/>
          <w:right w:val="single" w:sz="4" w:space="4" w:color="auto"/>
        </w:pBdr>
        <w:shd w:val="clear" w:color="auto" w:fill="FBE4D5" w:themeFill="accent2" w:themeFillTint="33"/>
        <w:rPr>
          <w:noProof/>
          <w:lang w:val="it-IT"/>
        </w:rPr>
      </w:pPr>
      <w:r w:rsidRPr="00BF0169">
        <w:rPr>
          <w:noProof/>
          <w:lang w:val="it-IT"/>
        </w:rPr>
        <w:t>Gli Stati membri dovrebbero adottare un approccio proattivo alla tutela degli interessi finanziari dell</w:t>
      </w:r>
      <w:r w:rsidR="00BF0169" w:rsidRPr="00BF0169">
        <w:rPr>
          <w:noProof/>
          <w:lang w:val="it-IT"/>
        </w:rPr>
        <w:t>'</w:t>
      </w:r>
      <w:r w:rsidRPr="00BF0169">
        <w:rPr>
          <w:noProof/>
          <w:lang w:val="it-IT"/>
        </w:rPr>
        <w:t>UE. Ciò significa utilizzare i dati provenienti da tutte le fonti disponibili, analizzare i dati e scambiare informazioni, anche con le autorità di contrasto e la Commissione, al fine di individuare e affrontare tempestivamente i rischi emergenti e le tendenze in materia di frodi.</w:t>
      </w:r>
    </w:p>
    <w:p w14:paraId="7C8EE304" w14:textId="7DC6B9CF" w:rsidR="00640FAD" w:rsidRPr="00BF0169" w:rsidRDefault="00640FAD" w:rsidP="00E85864">
      <w:pPr>
        <w:pBdr>
          <w:top w:val="single" w:sz="4" w:space="1" w:color="auto"/>
          <w:left w:val="single" w:sz="4" w:space="4" w:color="auto"/>
          <w:bottom w:val="single" w:sz="4" w:space="1" w:color="auto"/>
          <w:right w:val="single" w:sz="4" w:space="4" w:color="auto"/>
        </w:pBdr>
        <w:shd w:val="clear" w:color="auto" w:fill="FBE4D5" w:themeFill="accent2" w:themeFillTint="33"/>
        <w:rPr>
          <w:noProof/>
          <w:lang w:val="it-IT"/>
        </w:rPr>
      </w:pPr>
      <w:r w:rsidRPr="00BF0169">
        <w:rPr>
          <w:noProof/>
          <w:lang w:val="it-IT"/>
        </w:rPr>
        <w:t>Gli Stati membri dovrebbero inoltre agire in base alle informazioni fornite dalla Commissione nella presente relazione e in altre analisi strategiche e in relazioni mirate e fornire un riscontro tempestivo sulle azioni intraprese al fine di contribuire a monitorare i rischi e le tendenze in materia di frodi.</w:t>
      </w:r>
    </w:p>
    <w:sectPr w:rsidR="00640FAD" w:rsidRPr="00BF0169" w:rsidSect="002D74D4">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5086" w14:textId="77777777" w:rsidR="00FB4C5F" w:rsidRDefault="00FB4C5F">
      <w:pPr>
        <w:spacing w:after="0" w:line="240" w:lineRule="auto"/>
      </w:pPr>
      <w:r>
        <w:separator/>
      </w:r>
    </w:p>
  </w:endnote>
  <w:endnote w:type="continuationSeparator" w:id="0">
    <w:p w14:paraId="7A07E701" w14:textId="77777777" w:rsidR="00FB4C5F" w:rsidRDefault="00FB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8B82" w14:textId="77777777" w:rsidR="00A96452" w:rsidRPr="00A96452" w:rsidRDefault="00A96452" w:rsidP="00A96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08527" w14:textId="1CA7B242" w:rsidR="00FB4C5F" w:rsidRPr="00A96452" w:rsidRDefault="00A96452" w:rsidP="00A96452">
    <w:pPr>
      <w:pStyle w:val="FooterCoverPage"/>
      <w:rPr>
        <w:rFonts w:ascii="Arial" w:hAnsi="Arial" w:cs="Arial"/>
        <w:b/>
        <w:sz w:val="48"/>
      </w:rPr>
    </w:pPr>
    <w:r w:rsidRPr="00A96452">
      <w:rPr>
        <w:rFonts w:ascii="Arial" w:hAnsi="Arial" w:cs="Arial"/>
        <w:b/>
        <w:sz w:val="48"/>
      </w:rPr>
      <w:t>IT</w:t>
    </w:r>
    <w:r w:rsidRPr="00A96452">
      <w:rPr>
        <w:rFonts w:ascii="Arial" w:hAnsi="Arial" w:cs="Arial"/>
        <w:b/>
        <w:sz w:val="48"/>
      </w:rPr>
      <w:tab/>
    </w:r>
    <w:r w:rsidRPr="00A96452">
      <w:rPr>
        <w:rFonts w:ascii="Arial" w:hAnsi="Arial" w:cs="Arial"/>
        <w:b/>
        <w:sz w:val="48"/>
      </w:rPr>
      <w:tab/>
    </w:r>
    <w:r w:rsidRPr="00A96452">
      <w:tab/>
    </w:r>
    <w:r w:rsidRPr="00A96452">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5150" w14:textId="77777777" w:rsidR="00A96452" w:rsidRPr="00A96452" w:rsidRDefault="00A96452" w:rsidP="00A9645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7B2F" w14:textId="6FA4E105" w:rsidR="00FB4C5F" w:rsidRDefault="00A96452">
    <w:pPr>
      <w:pStyle w:val="FooterLine"/>
    </w:pPr>
    <w:sdt>
      <w:sdtPr>
        <w:id w:val="-528648053"/>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FB4C5F">
          <w:t>33rd Annual Report on the protection of the EU financial interests and the fight against fraud</w:t>
        </w:r>
      </w:sdtContent>
    </w:sdt>
    <w:r w:rsidR="00FB4C5F">
      <w:t xml:space="preserve"> - </w:t>
    </w:r>
    <w:sdt>
      <w:sdtPr>
        <w:id w:val="-689454819"/>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B4C5F">
          <w:t>2021</w:t>
        </w:r>
      </w:sdtContent>
    </w:sdt>
    <w:r w:rsidR="00FB4C5F">
      <w:tab/>
      <w:t xml:space="preserve">Pagina </w:t>
    </w:r>
    <w:r w:rsidR="00FB4C5F">
      <w:fldChar w:fldCharType="begin"/>
    </w:r>
    <w:r w:rsidR="00FB4C5F">
      <w:instrText>PAGE</w:instrText>
    </w:r>
    <w:r w:rsidR="00FB4C5F">
      <w:fldChar w:fldCharType="separate"/>
    </w:r>
    <w:r w:rsidR="00FB4C5F">
      <w:t>3</w:t>
    </w:r>
    <w:r w:rsidR="00FB4C5F">
      <w:fldChar w:fldCharType="end"/>
    </w:r>
    <w:r w:rsidR="00FB4C5F">
      <w:t>/</w:t>
    </w:r>
    <w:r w:rsidR="00FB4C5F">
      <w:fldChar w:fldCharType="begin"/>
    </w:r>
    <w:r w:rsidR="00FB4C5F">
      <w:instrText>NUMPAGES</w:instrText>
    </w:r>
    <w:r w:rsidR="00FB4C5F">
      <w:fldChar w:fldCharType="separate"/>
    </w:r>
    <w:r w:rsidR="00FB4C5F">
      <w:t>43</w:t>
    </w:r>
    <w:r w:rsidR="00FB4C5F">
      <w:fldChar w:fldCharType="end"/>
    </w:r>
  </w:p>
  <w:p w14:paraId="4BBF67B5" w14:textId="77777777" w:rsidR="00FB4C5F" w:rsidRDefault="00A96452">
    <w:pPr>
      <w:pStyle w:val="Footer"/>
    </w:pPr>
    <w:sdt>
      <w:sdtPr>
        <w:id w:val="-431048948"/>
        <w:dataBinding w:xpath="/Texts/TechFooterVersion" w:storeItemID="{4EF90DE6-88B6-4264-9629-4D8DFDFE87D2}"/>
        <w:text w:multiLine="1"/>
      </w:sdtPr>
      <w:sdtEndPr/>
      <w:sdtContent>
        <w:r w:rsidR="00FB4C5F">
          <w:t>Versione documento</w:t>
        </w:r>
      </w:sdtContent>
    </w:sdt>
    <w:r w:rsidR="00FB4C5F">
      <w:t xml:space="preserve"> </w:t>
    </w:r>
    <w:sdt>
      <w:sdtPr>
        <w:alias w:val="Versione"/>
        <w:id w:val="-1221436014"/>
        <w:dataBinding w:xpath="/EurolookProperties/DocumentVersion" w:storeItemID="{D3EA5527-7367-4268-9D83-5125C98D0ED2}"/>
        <w:text w:multiLine="1"/>
      </w:sdtPr>
      <w:sdtEndPr/>
      <w:sdtContent>
        <w:r w:rsidR="00FB4C5F">
          <w:t>1.1</w:t>
        </w:r>
      </w:sdtContent>
    </w:sdt>
    <w:r w:rsidR="00FB4C5F">
      <w:t xml:space="preserve"> </w:t>
    </w:r>
    <w:sdt>
      <w:sdtPr>
        <w:id w:val="65012159"/>
        <w:dataBinding w:xpath="/Texts/TechFooterDated" w:storeItemID="{4EF90DE6-88B6-4264-9629-4D8DFDFE87D2}"/>
        <w:text w:multiLine="1"/>
      </w:sdtPr>
      <w:sdtEndPr/>
      <w:sdtContent>
        <w:r w:rsidR="00FB4C5F">
          <w:t>datata</w:t>
        </w:r>
      </w:sdtContent>
    </w:sdt>
    <w:r w:rsidR="00FB4C5F">
      <w:t xml:space="preserve"> </w:t>
    </w:r>
    <w:sdt>
      <w:sdtPr>
        <w:alias w:val=""/>
        <w:id w:val="1319300535"/>
        <w:dataBinding w:xpath="/EurolookProperties/DocumentDate" w:storeItemID="{D3EA5527-7367-4268-9D83-5125C98D0ED2}"/>
        <w:date w:fullDate="2022-06-20T00:00:00Z">
          <w:dateFormat w:val="dd/MM/yyyy"/>
          <w:lid w:val="it-IT"/>
          <w:storeMappedDataAs w:val="dateTime"/>
          <w:calendar w:val="gregorian"/>
        </w:date>
      </w:sdtPr>
      <w:sdtEndPr/>
      <w:sdtContent>
        <w:r w:rsidR="00FB4C5F">
          <w:t>20/06/2022</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661D" w14:textId="316DEF14" w:rsidR="00FB4C5F" w:rsidRDefault="00FB4C5F">
    <w:pPr>
      <w:pStyle w:val="FooterLine"/>
    </w:pPr>
    <w:r>
      <w:tab/>
      <w:t xml:space="preserve">Pagina </w:t>
    </w:r>
    <w:r>
      <w:fldChar w:fldCharType="begin"/>
    </w:r>
    <w:r>
      <w:instrText>PAGE</w:instrText>
    </w:r>
    <w:r>
      <w:fldChar w:fldCharType="separate"/>
    </w:r>
    <w:r w:rsidR="00A96452">
      <w:rPr>
        <w:noProof/>
      </w:rPr>
      <w:t>19</w:t>
    </w:r>
    <w:r>
      <w:fldChar w:fldCharType="end"/>
    </w:r>
    <w:r>
      <w:t>/</w:t>
    </w:r>
    <w:r>
      <w:fldChar w:fldCharType="begin"/>
    </w:r>
    <w:r>
      <w:instrText>NUMPAGES</w:instrText>
    </w:r>
    <w:r>
      <w:fldChar w:fldCharType="separate"/>
    </w:r>
    <w:r w:rsidR="00A96452">
      <w:rPr>
        <w:noProof/>
      </w:rPr>
      <w:t>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BEF7" w14:textId="77777777" w:rsidR="00FB4C5F" w:rsidRPr="00727AB1" w:rsidRDefault="00FB4C5F" w:rsidP="0072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376F4" w14:textId="77777777" w:rsidR="00FB4C5F" w:rsidRDefault="00FB4C5F">
      <w:pPr>
        <w:spacing w:after="0" w:line="240" w:lineRule="auto"/>
      </w:pPr>
      <w:r>
        <w:separator/>
      </w:r>
    </w:p>
  </w:footnote>
  <w:footnote w:type="continuationSeparator" w:id="0">
    <w:p w14:paraId="378743FA" w14:textId="77777777" w:rsidR="00FB4C5F" w:rsidRDefault="00FB4C5F">
      <w:pPr>
        <w:spacing w:after="0" w:line="240" w:lineRule="auto"/>
      </w:pPr>
      <w:r>
        <w:continuationSeparator/>
      </w:r>
    </w:p>
  </w:footnote>
  <w:footnote w:id="1">
    <w:p w14:paraId="0C6E18E0" w14:textId="1A4D0E55" w:rsidR="00FB4C5F" w:rsidRPr="00067593" w:rsidRDefault="00FB4C5F" w:rsidP="00167262">
      <w:pPr>
        <w:pStyle w:val="FootnoteText"/>
        <w:rPr>
          <w:lang w:val="it-IT"/>
        </w:rPr>
      </w:pPr>
      <w:r>
        <w:rPr>
          <w:rStyle w:val="FootnoteReference"/>
        </w:rPr>
        <w:footnoteRef/>
      </w:r>
      <w:r w:rsidRPr="00067593">
        <w:rPr>
          <w:lang w:val="it-IT"/>
        </w:rPr>
        <w:tab/>
        <w:t>Denominata anche relazione PIF, dall</w:t>
      </w:r>
      <w:r w:rsidR="00BF0169">
        <w:rPr>
          <w:lang w:val="it-IT"/>
        </w:rPr>
        <w:t>'</w:t>
      </w:r>
      <w:r w:rsidRPr="00067593">
        <w:rPr>
          <w:lang w:val="it-IT"/>
        </w:rPr>
        <w:t xml:space="preserve">acronimo francese di </w:t>
      </w:r>
      <w:r w:rsidRPr="00067593">
        <w:rPr>
          <w:i/>
          <w:lang w:val="it-IT"/>
        </w:rPr>
        <w:t xml:space="preserve">Protection des Intérêts Financiers, </w:t>
      </w:r>
      <w:r w:rsidRPr="00067593">
        <w:rPr>
          <w:lang w:val="it-IT"/>
        </w:rPr>
        <w:t>la presente relazione è accompagnata da sei documenti di lavoro dei servizi della Commissione riguardanti:</w:t>
      </w:r>
    </w:p>
    <w:p w14:paraId="76BCF821" w14:textId="393DBB28" w:rsidR="00FB4C5F" w:rsidRPr="00067593" w:rsidRDefault="00FB4C5F" w:rsidP="00167262">
      <w:pPr>
        <w:pStyle w:val="FootnoteText"/>
        <w:numPr>
          <w:ilvl w:val="0"/>
          <w:numId w:val="17"/>
        </w:numPr>
        <w:spacing w:line="240" w:lineRule="auto"/>
        <w:rPr>
          <w:lang w:val="it-IT"/>
        </w:rPr>
      </w:pPr>
      <w:r w:rsidRPr="00067593">
        <w:rPr>
          <w:lang w:val="it-IT"/>
        </w:rPr>
        <w:t>la valutazione statistica delle irregolarità segnalate per le risorse proprie, le risorse naturali, la politica di coesione e l</w:t>
      </w:r>
      <w:r w:rsidR="00BF0169">
        <w:rPr>
          <w:lang w:val="it-IT"/>
        </w:rPr>
        <w:t>'</w:t>
      </w:r>
      <w:r w:rsidRPr="00067593">
        <w:rPr>
          <w:lang w:val="it-IT"/>
        </w:rPr>
        <w:t>assistenza preadesione e le spese dirette nel 2020;</w:t>
      </w:r>
    </w:p>
    <w:p w14:paraId="4A87F104" w14:textId="4736D16D" w:rsidR="00FB4C5F" w:rsidRPr="00067593" w:rsidRDefault="00FB4C5F" w:rsidP="00167262">
      <w:pPr>
        <w:pStyle w:val="FootnoteText"/>
        <w:numPr>
          <w:ilvl w:val="0"/>
          <w:numId w:val="17"/>
        </w:numPr>
        <w:spacing w:line="240" w:lineRule="auto"/>
        <w:rPr>
          <w:lang w:val="it-IT"/>
        </w:rPr>
      </w:pPr>
      <w:r w:rsidRPr="00067593">
        <w:rPr>
          <w:lang w:val="it-IT"/>
        </w:rPr>
        <w:t>le misure adottate dagli Stati membri per tutelare gli interessi finanziari dell</w:t>
      </w:r>
      <w:r w:rsidR="00BF0169">
        <w:rPr>
          <w:lang w:val="it-IT"/>
        </w:rPr>
        <w:t>'</w:t>
      </w:r>
      <w:r w:rsidRPr="00067593">
        <w:rPr>
          <w:lang w:val="it-IT"/>
        </w:rPr>
        <w:t>UE nel 2021;</w:t>
      </w:r>
    </w:p>
    <w:p w14:paraId="5C35F700" w14:textId="186824A0" w:rsidR="00FB4C5F" w:rsidRPr="00067593" w:rsidRDefault="00FB4C5F" w:rsidP="00167262">
      <w:pPr>
        <w:pStyle w:val="FootnoteText"/>
        <w:numPr>
          <w:ilvl w:val="0"/>
          <w:numId w:val="17"/>
        </w:numPr>
        <w:spacing w:line="240" w:lineRule="auto"/>
        <w:rPr>
          <w:lang w:val="it-IT"/>
        </w:rPr>
      </w:pPr>
      <w:r w:rsidRPr="00067593">
        <w:rPr>
          <w:lang w:val="it-IT"/>
        </w:rPr>
        <w:t>il seguito dato alle raccomandazioni contenute nella relazione della Commissione sulla tutela degli interessi finanziari dell</w:t>
      </w:r>
      <w:r w:rsidR="00BF0169">
        <w:rPr>
          <w:lang w:val="it-IT"/>
        </w:rPr>
        <w:t>'</w:t>
      </w:r>
      <w:r w:rsidRPr="00067593">
        <w:rPr>
          <w:lang w:val="it-IT"/>
        </w:rPr>
        <w:t>Unione europea e sulla lotta contro la frode (2020);</w:t>
      </w:r>
    </w:p>
    <w:p w14:paraId="1D519EF5" w14:textId="7A0E2053" w:rsidR="00FB4C5F" w:rsidRPr="00067593" w:rsidRDefault="00FB4C5F" w:rsidP="00167262">
      <w:pPr>
        <w:pStyle w:val="FootnoteText"/>
        <w:numPr>
          <w:ilvl w:val="0"/>
          <w:numId w:val="17"/>
        </w:numPr>
        <w:spacing w:line="240" w:lineRule="auto"/>
        <w:rPr>
          <w:lang w:val="it-IT"/>
        </w:rPr>
      </w:pPr>
      <w:r w:rsidRPr="00067593">
        <w:rPr>
          <w:lang w:val="it-IT"/>
        </w:rPr>
        <w:t>l</w:t>
      </w:r>
      <w:r w:rsidR="00BF0169">
        <w:rPr>
          <w:lang w:val="it-IT"/>
        </w:rPr>
        <w:t>'</w:t>
      </w:r>
      <w:r w:rsidRPr="00067593">
        <w:rPr>
          <w:lang w:val="it-IT"/>
        </w:rPr>
        <w:t>attuazione del programma antifrode dell</w:t>
      </w:r>
      <w:r w:rsidR="00BF0169">
        <w:rPr>
          <w:lang w:val="it-IT"/>
        </w:rPr>
        <w:t>'</w:t>
      </w:r>
      <w:r w:rsidRPr="00067593">
        <w:rPr>
          <w:lang w:val="it-IT"/>
        </w:rPr>
        <w:t>Unione nel 2021;</w:t>
      </w:r>
    </w:p>
    <w:p w14:paraId="5F4BDC51" w14:textId="5A0EA311" w:rsidR="00FB4C5F" w:rsidRPr="00067593" w:rsidRDefault="00FB4C5F" w:rsidP="00167262">
      <w:pPr>
        <w:pStyle w:val="FootnoteText"/>
        <w:numPr>
          <w:ilvl w:val="0"/>
          <w:numId w:val="17"/>
        </w:numPr>
        <w:spacing w:line="240" w:lineRule="auto"/>
        <w:rPr>
          <w:lang w:val="it-IT"/>
        </w:rPr>
      </w:pPr>
      <w:r w:rsidRPr="00067593">
        <w:rPr>
          <w:lang w:val="it-IT"/>
        </w:rPr>
        <w:t>il sistema di individuazione precoce e di esclusione (EDES) — Istanza di cui all</w:t>
      </w:r>
      <w:r w:rsidR="00BF0169">
        <w:rPr>
          <w:lang w:val="it-IT"/>
        </w:rPr>
        <w:t>'</w:t>
      </w:r>
      <w:r w:rsidRPr="00067593">
        <w:rPr>
          <w:lang w:val="it-IT"/>
        </w:rPr>
        <w:t>articolo 143 del regolamento finanziario;</w:t>
      </w:r>
    </w:p>
    <w:p w14:paraId="7C4FFBEB" w14:textId="5B61BFD2" w:rsidR="00FB4C5F" w:rsidRPr="00067593" w:rsidRDefault="00FB4C5F" w:rsidP="00FB11CB">
      <w:pPr>
        <w:pStyle w:val="FootnoteText"/>
        <w:numPr>
          <w:ilvl w:val="0"/>
          <w:numId w:val="17"/>
        </w:numPr>
        <w:rPr>
          <w:lang w:val="it-IT"/>
        </w:rPr>
      </w:pPr>
      <w:r w:rsidRPr="00067593">
        <w:rPr>
          <w:lang w:val="it-IT"/>
        </w:rPr>
        <w:t>lo stato di avanzamento del piano d</w:t>
      </w:r>
      <w:r w:rsidR="00BF0169">
        <w:rPr>
          <w:lang w:val="it-IT"/>
        </w:rPr>
        <w:t>'</w:t>
      </w:r>
      <w:r w:rsidRPr="00067593">
        <w:rPr>
          <w:lang w:val="it-IT"/>
        </w:rPr>
        <w:t>azione della strategia antifro</w:t>
      </w:r>
      <w:r w:rsidR="00996F5B">
        <w:rPr>
          <w:lang w:val="it-IT"/>
        </w:rPr>
        <w:t>de della Commissione nel giugno </w:t>
      </w:r>
      <w:r w:rsidRPr="00067593">
        <w:rPr>
          <w:lang w:val="it-IT"/>
        </w:rPr>
        <w:t>2022.</w:t>
      </w:r>
    </w:p>
  </w:footnote>
  <w:footnote w:id="2">
    <w:p w14:paraId="6580E821" w14:textId="63032EBD" w:rsidR="00FB4C5F" w:rsidRPr="00067593" w:rsidRDefault="00FB4C5F">
      <w:pPr>
        <w:pStyle w:val="FootnoteText"/>
        <w:rPr>
          <w:lang w:val="it-IT"/>
        </w:rPr>
      </w:pPr>
      <w:r>
        <w:rPr>
          <w:rStyle w:val="FootnoteReference"/>
        </w:rPr>
        <w:footnoteRef/>
      </w:r>
      <w:r w:rsidRPr="00067593">
        <w:rPr>
          <w:lang w:val="it-IT"/>
        </w:rPr>
        <w:tab/>
        <w:t xml:space="preserve">Articolo 1, paragrafo 2, del regolamento (CE, Euratom) </w:t>
      </w:r>
      <w:r w:rsidR="00AE539E">
        <w:rPr>
          <w:lang w:val="it-IT"/>
        </w:rPr>
        <w:t>n. </w:t>
      </w:r>
      <w:r w:rsidRPr="00067593">
        <w:rPr>
          <w:lang w:val="it-IT"/>
        </w:rPr>
        <w:t>2988/95 del Consiglio, del 18 dicembre 1995 (</w:t>
      </w:r>
      <w:r w:rsidR="00AE539E">
        <w:rPr>
          <w:lang w:val="it-IT"/>
        </w:rPr>
        <w:t>GU L </w:t>
      </w:r>
      <w:r w:rsidRPr="00067593">
        <w:rPr>
          <w:lang w:val="it-IT"/>
        </w:rPr>
        <w:t xml:space="preserve">312 del 23.12.1995 pag. 1) e articolo 2, punto 35, del regolamento (UE) </w:t>
      </w:r>
      <w:r w:rsidR="00AE539E">
        <w:rPr>
          <w:lang w:val="it-IT"/>
        </w:rPr>
        <w:t>n. </w:t>
      </w:r>
      <w:r w:rsidRPr="00067593">
        <w:rPr>
          <w:lang w:val="it-IT"/>
        </w:rPr>
        <w:t>1303/2013 del Parlamento europeo e del Consiglio, del 17 dicembre 2013 (</w:t>
      </w:r>
      <w:r w:rsidR="00AE539E">
        <w:rPr>
          <w:lang w:val="it-IT"/>
        </w:rPr>
        <w:t>GU L </w:t>
      </w:r>
      <w:r w:rsidRPr="00067593">
        <w:rPr>
          <w:lang w:val="it-IT"/>
        </w:rPr>
        <w:t>347 del 20.12.2013, pag. 320).</w:t>
      </w:r>
    </w:p>
  </w:footnote>
  <w:footnote w:id="3">
    <w:p w14:paraId="1D5614CE" w14:textId="5D219A4C" w:rsidR="00FB4C5F" w:rsidRPr="00067593" w:rsidRDefault="00FB4C5F" w:rsidP="00B7631B">
      <w:pPr>
        <w:pStyle w:val="FootnoteText"/>
        <w:rPr>
          <w:lang w:val="it-IT"/>
        </w:rPr>
      </w:pPr>
      <w:r>
        <w:rPr>
          <w:rStyle w:val="FootnoteReference"/>
        </w:rPr>
        <w:footnoteRef/>
      </w:r>
      <w:r w:rsidRPr="00067593">
        <w:rPr>
          <w:lang w:val="it-IT"/>
        </w:rPr>
        <w:tab/>
        <w:t>Cfr. ad esempio l</w:t>
      </w:r>
      <w:r w:rsidR="00BF0169">
        <w:rPr>
          <w:lang w:val="it-IT"/>
        </w:rPr>
        <w:t>'</w:t>
      </w:r>
      <w:r w:rsidRPr="00067593">
        <w:rPr>
          <w:lang w:val="it-IT"/>
        </w:rPr>
        <w:t>articolo 2, lettera a), del regolamento delegato (UE) 2015/1970 della Commissione, dell</w:t>
      </w:r>
      <w:r w:rsidR="00BF0169">
        <w:rPr>
          <w:lang w:val="it-IT"/>
        </w:rPr>
        <w:t>'</w:t>
      </w:r>
      <w:r w:rsidRPr="00067593">
        <w:rPr>
          <w:lang w:val="it-IT"/>
        </w:rPr>
        <w:t>8 luglio 2015 (</w:t>
      </w:r>
      <w:r w:rsidR="00AE539E">
        <w:rPr>
          <w:lang w:val="it-IT"/>
        </w:rPr>
        <w:t>GU L </w:t>
      </w:r>
      <w:r w:rsidRPr="00067593">
        <w:rPr>
          <w:lang w:val="it-IT"/>
        </w:rPr>
        <w:t>293 del 10.11.2015, pag. 1).</w:t>
      </w:r>
    </w:p>
  </w:footnote>
  <w:footnote w:id="4">
    <w:p w14:paraId="0A68DC03" w14:textId="2BC9DC5B" w:rsidR="00FB4C5F" w:rsidRPr="00067593" w:rsidRDefault="00FB4C5F">
      <w:pPr>
        <w:pStyle w:val="FootnoteText"/>
        <w:rPr>
          <w:lang w:val="it-IT"/>
        </w:rPr>
      </w:pPr>
      <w:r>
        <w:rPr>
          <w:rStyle w:val="FootnoteReference"/>
        </w:rPr>
        <w:footnoteRef/>
      </w:r>
      <w:r w:rsidRPr="00067593">
        <w:rPr>
          <w:lang w:val="it-IT"/>
        </w:rPr>
        <w:tab/>
        <w:t>Articolo 2, paragrafo 1, lettera a), della direttiva (UE) 2017/1371 del Parlamento europeo e del Consiglio, del 5 luglio 2017 (</w:t>
      </w:r>
      <w:r w:rsidR="00AE539E">
        <w:rPr>
          <w:lang w:val="it-IT"/>
        </w:rPr>
        <w:t>GU L </w:t>
      </w:r>
      <w:r w:rsidRPr="00067593">
        <w:rPr>
          <w:lang w:val="it-IT"/>
        </w:rPr>
        <w:t>198 del 28.7.2017, pag. 29).</w:t>
      </w:r>
    </w:p>
  </w:footnote>
  <w:footnote w:id="5">
    <w:p w14:paraId="52192855" w14:textId="5FB7E454" w:rsidR="00FB4C5F" w:rsidRPr="00067593" w:rsidRDefault="00FB4C5F">
      <w:pPr>
        <w:pStyle w:val="FootnoteText"/>
        <w:rPr>
          <w:lang w:val="it-IT"/>
        </w:rPr>
      </w:pPr>
      <w:r>
        <w:rPr>
          <w:rStyle w:val="FootnoteReference"/>
        </w:rPr>
        <w:footnoteRef/>
      </w:r>
      <w:r w:rsidRPr="00067593">
        <w:rPr>
          <w:lang w:val="it-IT"/>
        </w:rPr>
        <w:tab/>
        <w:t xml:space="preserve">Le RPT sono costituite principalmente da dazi doganali previa detrazione </w:t>
      </w:r>
      <w:r w:rsidR="00996F5B">
        <w:rPr>
          <w:lang w:val="it-IT"/>
        </w:rPr>
        <w:t>dell</w:t>
      </w:r>
      <w:r w:rsidR="00BF0169">
        <w:rPr>
          <w:lang w:val="it-IT"/>
        </w:rPr>
        <w:t>'</w:t>
      </w:r>
      <w:r w:rsidR="00996F5B">
        <w:rPr>
          <w:lang w:val="it-IT"/>
        </w:rPr>
        <w:t>aliquota di trattenuta del </w:t>
      </w:r>
      <w:r w:rsidRPr="00067593">
        <w:rPr>
          <w:lang w:val="it-IT"/>
        </w:rPr>
        <w:t>25 %.</w:t>
      </w:r>
    </w:p>
  </w:footnote>
  <w:footnote w:id="6">
    <w:p w14:paraId="73CD02E7" w14:textId="41E49AC3" w:rsidR="00FB4C5F" w:rsidRPr="00067593" w:rsidRDefault="00FB4C5F" w:rsidP="00662EE8">
      <w:pPr>
        <w:pStyle w:val="FootnoteText"/>
        <w:rPr>
          <w:lang w:val="it-IT"/>
        </w:rPr>
      </w:pPr>
      <w:r>
        <w:rPr>
          <w:rStyle w:val="FootnoteReference"/>
        </w:rPr>
        <w:footnoteRef/>
      </w:r>
      <w:r w:rsidRPr="00067593">
        <w:rPr>
          <w:lang w:val="it-IT"/>
        </w:rPr>
        <w:tab/>
        <w:t>Per la procedura di adozione annuale del bilancio dell</w:t>
      </w:r>
      <w:r w:rsidR="00BF0169">
        <w:rPr>
          <w:lang w:val="it-IT"/>
        </w:rPr>
        <w:t>'</w:t>
      </w:r>
      <w:r w:rsidRPr="00067593">
        <w:rPr>
          <w:lang w:val="it-IT"/>
        </w:rPr>
        <w:t>UE, cfr.:</w:t>
      </w:r>
      <w:r w:rsidR="000459A6">
        <w:rPr>
          <w:lang w:val="it-IT"/>
        </w:rPr>
        <w:tab/>
      </w:r>
      <w:r w:rsidRPr="00067593">
        <w:rPr>
          <w:lang w:val="it-IT"/>
        </w:rPr>
        <w:t xml:space="preserve"> </w:t>
      </w:r>
      <w:hyperlink r:id="rId1" w:history="1">
        <w:r w:rsidRPr="00067593">
          <w:rPr>
            <w:rStyle w:val="Hyperlink"/>
            <w:lang w:val="it-IT"/>
          </w:rPr>
          <w:t>https://ec.europa.eu/info/sites/default/files/about_the_european_commission/eu_budget/budgetary-procedure.pdf</w:t>
        </w:r>
      </w:hyperlink>
      <w:r w:rsidRPr="00067593">
        <w:rPr>
          <w:lang w:val="it-IT"/>
        </w:rPr>
        <w:t xml:space="preserve">. </w:t>
      </w:r>
    </w:p>
  </w:footnote>
  <w:footnote w:id="7">
    <w:p w14:paraId="1AF55161" w14:textId="6EF4F32A" w:rsidR="00FB4C5F" w:rsidRPr="00067593" w:rsidRDefault="00FB4C5F" w:rsidP="00A83949">
      <w:pPr>
        <w:pStyle w:val="FootnoteText"/>
        <w:rPr>
          <w:lang w:val="it-IT"/>
        </w:rPr>
      </w:pPr>
      <w:r>
        <w:rPr>
          <w:rStyle w:val="FootnoteReference"/>
        </w:rPr>
        <w:footnoteRef/>
      </w:r>
      <w:r w:rsidRPr="00067593">
        <w:rPr>
          <w:lang w:val="it-IT"/>
        </w:rPr>
        <w:tab/>
      </w:r>
      <w:r w:rsidR="00AE539E">
        <w:rPr>
          <w:lang w:val="it-IT"/>
        </w:rPr>
        <w:t>GU L </w:t>
      </w:r>
      <w:r w:rsidRPr="00067593">
        <w:rPr>
          <w:lang w:val="it-IT"/>
        </w:rPr>
        <w:t xml:space="preserve">57 del 18.2.2021, pag. 17. </w:t>
      </w:r>
    </w:p>
  </w:footnote>
  <w:footnote w:id="8">
    <w:p w14:paraId="503FBAA6" w14:textId="19ED1A6E" w:rsidR="00FB4C5F" w:rsidRPr="00067593" w:rsidRDefault="00FB4C5F" w:rsidP="00A83949">
      <w:pPr>
        <w:pStyle w:val="FootnoteText"/>
        <w:rPr>
          <w:lang w:val="it-IT"/>
        </w:rPr>
      </w:pPr>
      <w:r>
        <w:rPr>
          <w:rStyle w:val="FootnoteReference"/>
        </w:rPr>
        <w:footnoteRef/>
      </w:r>
      <w:r w:rsidRPr="00067593">
        <w:rPr>
          <w:lang w:val="it-IT"/>
        </w:rPr>
        <w:tab/>
        <w:t>La sezione 5.2 contiene ulteriori informazioni sulla sua attuazione.</w:t>
      </w:r>
    </w:p>
  </w:footnote>
  <w:footnote w:id="9">
    <w:p w14:paraId="08CDB024" w14:textId="0EB22500" w:rsidR="00FB4C5F" w:rsidRPr="00067593" w:rsidRDefault="00FB4C5F">
      <w:pPr>
        <w:pStyle w:val="FootnoteText"/>
        <w:rPr>
          <w:lang w:val="it-IT"/>
        </w:rPr>
      </w:pPr>
      <w:r>
        <w:rPr>
          <w:rStyle w:val="FootnoteReference"/>
        </w:rPr>
        <w:footnoteRef/>
      </w:r>
      <w:r w:rsidRPr="00067593">
        <w:rPr>
          <w:lang w:val="it-IT"/>
        </w:rPr>
        <w:tab/>
      </w:r>
      <w:r w:rsidR="00AE539E">
        <w:rPr>
          <w:lang w:val="it-IT"/>
        </w:rPr>
        <w:t>GU L </w:t>
      </w:r>
      <w:r w:rsidRPr="00067593">
        <w:rPr>
          <w:lang w:val="it-IT"/>
        </w:rPr>
        <w:t>231 del 30.6.2021, pag. 159.</w:t>
      </w:r>
    </w:p>
  </w:footnote>
  <w:footnote w:id="10">
    <w:p w14:paraId="03365201" w14:textId="7BF9C86E" w:rsidR="00FB4C5F" w:rsidRPr="00067593" w:rsidRDefault="00FB4C5F">
      <w:pPr>
        <w:pStyle w:val="FootnoteText"/>
        <w:rPr>
          <w:lang w:val="it-IT"/>
        </w:rPr>
      </w:pPr>
      <w:r>
        <w:rPr>
          <w:rStyle w:val="FootnoteReference"/>
        </w:rPr>
        <w:footnoteRef/>
      </w:r>
      <w:r w:rsidRPr="00067593">
        <w:rPr>
          <w:lang w:val="it-IT"/>
        </w:rPr>
        <w:tab/>
      </w:r>
      <w:r w:rsidR="00AE539E">
        <w:rPr>
          <w:lang w:val="it-IT"/>
        </w:rPr>
        <w:t>GU L </w:t>
      </w:r>
      <w:r w:rsidRPr="00067593">
        <w:rPr>
          <w:lang w:val="it-IT"/>
        </w:rPr>
        <w:t>172 del 17.5.2021, pag. 110.</w:t>
      </w:r>
    </w:p>
  </w:footnote>
  <w:footnote w:id="11">
    <w:p w14:paraId="55F49F7E" w14:textId="1AEFAA9D" w:rsidR="00FB4C5F" w:rsidRPr="00067593" w:rsidRDefault="00FB4C5F">
      <w:pPr>
        <w:pStyle w:val="FootnoteText"/>
        <w:rPr>
          <w:lang w:val="it-IT"/>
        </w:rPr>
      </w:pPr>
      <w:r>
        <w:rPr>
          <w:rStyle w:val="FootnoteReference"/>
        </w:rPr>
        <w:footnoteRef/>
      </w:r>
      <w:r w:rsidRPr="00067593">
        <w:rPr>
          <w:lang w:val="it-IT"/>
        </w:rPr>
        <w:tab/>
        <w:t>Per ulteriori informazioni, cfr. sezione 4.2.2.</w:t>
      </w:r>
    </w:p>
  </w:footnote>
  <w:footnote w:id="12">
    <w:p w14:paraId="24978848" w14:textId="77777777" w:rsidR="00FB4C5F" w:rsidRPr="00067593" w:rsidRDefault="00FB4C5F" w:rsidP="002F71B1">
      <w:pPr>
        <w:pStyle w:val="FootnoteText"/>
        <w:rPr>
          <w:lang w:val="it-IT"/>
        </w:rPr>
      </w:pPr>
      <w:r>
        <w:rPr>
          <w:rStyle w:val="FootnoteReference"/>
        </w:rPr>
        <w:footnoteRef/>
      </w:r>
      <w:r w:rsidRPr="00067593">
        <w:rPr>
          <w:lang w:val="it-IT"/>
        </w:rPr>
        <w:tab/>
        <w:t>Sentenza del 30 settembre 2021, ECLI:EU:C:2021:782.</w:t>
      </w:r>
    </w:p>
  </w:footnote>
  <w:footnote w:id="13">
    <w:p w14:paraId="64540506" w14:textId="77777777" w:rsidR="00FB4C5F" w:rsidRPr="00067593" w:rsidRDefault="00FB4C5F" w:rsidP="002F71B1">
      <w:pPr>
        <w:pStyle w:val="FootnoteText"/>
        <w:rPr>
          <w:lang w:val="it-IT"/>
        </w:rPr>
      </w:pPr>
      <w:r>
        <w:rPr>
          <w:rStyle w:val="FootnoteReference"/>
        </w:rPr>
        <w:footnoteRef/>
      </w:r>
      <w:r w:rsidRPr="00067593">
        <w:rPr>
          <w:lang w:val="it-IT"/>
        </w:rPr>
        <w:tab/>
        <w:t>Sentenza del 14 ottobre 2021, ECLI:EU:C:2021:856.</w:t>
      </w:r>
    </w:p>
  </w:footnote>
  <w:footnote w:id="14">
    <w:p w14:paraId="0651B357" w14:textId="5C9F4B25" w:rsidR="00FB4C5F" w:rsidRPr="00067593" w:rsidRDefault="00FB4C5F">
      <w:pPr>
        <w:pStyle w:val="FootnoteText"/>
        <w:rPr>
          <w:lang w:val="it-IT"/>
        </w:rPr>
      </w:pPr>
      <w:r>
        <w:rPr>
          <w:rStyle w:val="FootnoteReference"/>
        </w:rPr>
        <w:footnoteRef/>
      </w:r>
      <w:r w:rsidRPr="00067593">
        <w:rPr>
          <w:lang w:val="it-IT"/>
        </w:rPr>
        <w:tab/>
        <w:t>Convenzione elaborata in base all</w:t>
      </w:r>
      <w:r w:rsidR="00BF0169">
        <w:rPr>
          <w:lang w:val="it-IT"/>
        </w:rPr>
        <w:t>'</w:t>
      </w:r>
      <w:r w:rsidRPr="00067593">
        <w:rPr>
          <w:lang w:val="it-IT"/>
        </w:rPr>
        <w:t>articolo K.3 del trattato sull</w:t>
      </w:r>
      <w:r w:rsidR="00BF0169">
        <w:rPr>
          <w:lang w:val="it-IT"/>
        </w:rPr>
        <w:t>'</w:t>
      </w:r>
      <w:r w:rsidRPr="00067593">
        <w:rPr>
          <w:lang w:val="it-IT"/>
        </w:rPr>
        <w:t>Unione europea relativa alla tutela degli interessi finanziari delle Comunità europee (</w:t>
      </w:r>
      <w:r w:rsidR="00AE539E">
        <w:rPr>
          <w:lang w:val="it-IT"/>
        </w:rPr>
        <w:t>GU C </w:t>
      </w:r>
      <w:r w:rsidRPr="00067593">
        <w:rPr>
          <w:lang w:val="it-IT"/>
        </w:rPr>
        <w:t>316 del 27.11.1995, pag. 49).</w:t>
      </w:r>
    </w:p>
  </w:footnote>
  <w:footnote w:id="15">
    <w:p w14:paraId="0759C343" w14:textId="77777777" w:rsidR="00FB4C5F" w:rsidRPr="00067593" w:rsidRDefault="00FB4C5F" w:rsidP="002F71B1">
      <w:pPr>
        <w:pStyle w:val="FootnoteText"/>
        <w:rPr>
          <w:lang w:val="it-IT"/>
        </w:rPr>
      </w:pPr>
      <w:r>
        <w:rPr>
          <w:rStyle w:val="FootnoteReference"/>
        </w:rPr>
        <w:footnoteRef/>
      </w:r>
      <w:r w:rsidRPr="00067593">
        <w:rPr>
          <w:lang w:val="it-IT"/>
        </w:rPr>
        <w:tab/>
        <w:t>Sentenza del 21 ottobre 2021, ECLI:EU:C:2021:1034.</w:t>
      </w:r>
    </w:p>
  </w:footnote>
  <w:footnote w:id="16">
    <w:p w14:paraId="19A48CBA" w14:textId="31BD5BBF" w:rsidR="00FB4C5F" w:rsidRPr="00067593" w:rsidRDefault="00FB4C5F" w:rsidP="004D2B33">
      <w:pPr>
        <w:pStyle w:val="FootnoteText"/>
        <w:rPr>
          <w:lang w:val="it-IT"/>
        </w:rPr>
      </w:pPr>
      <w:r>
        <w:rPr>
          <w:rStyle w:val="FootnoteReference"/>
        </w:rPr>
        <w:footnoteRef/>
      </w:r>
      <w:r w:rsidRPr="00067593">
        <w:rPr>
          <w:lang w:val="it-IT"/>
        </w:rPr>
        <w:tab/>
        <w:t>Per lo sviluppo della legislazione a tutela degli interessi finanziari dell</w:t>
      </w:r>
      <w:r w:rsidR="00BF0169">
        <w:rPr>
          <w:lang w:val="it-IT"/>
        </w:rPr>
        <w:t>'</w:t>
      </w:r>
      <w:r w:rsidR="00AE539E">
        <w:rPr>
          <w:lang w:val="it-IT"/>
        </w:rPr>
        <w:t>UE nei primi tre decenni (1989</w:t>
      </w:r>
      <w:r w:rsidR="00AE539E">
        <w:rPr>
          <w:lang w:val="it-IT"/>
        </w:rPr>
        <w:noBreakHyphen/>
      </w:r>
      <w:r w:rsidRPr="00067593">
        <w:rPr>
          <w:lang w:val="it-IT"/>
        </w:rPr>
        <w:t>2018) per quanto concerne l</w:t>
      </w:r>
      <w:r w:rsidR="00BF0169">
        <w:rPr>
          <w:lang w:val="it-IT"/>
        </w:rPr>
        <w:t>'</w:t>
      </w:r>
      <w:r w:rsidRPr="00067593">
        <w:rPr>
          <w:lang w:val="it-IT"/>
        </w:rPr>
        <w:t>aspetto della tutela degli interessi finanziari nel contesto dell</w:t>
      </w:r>
      <w:r w:rsidR="00BF0169">
        <w:rPr>
          <w:lang w:val="it-IT"/>
        </w:rPr>
        <w:t>'</w:t>
      </w:r>
      <w:r w:rsidRPr="00067593">
        <w:rPr>
          <w:lang w:val="it-IT"/>
        </w:rPr>
        <w:t>attività dell</w:t>
      </w:r>
      <w:r w:rsidR="00BF0169">
        <w:rPr>
          <w:lang w:val="it-IT"/>
        </w:rPr>
        <w:t>'</w:t>
      </w:r>
      <w:r w:rsidRPr="00067593">
        <w:rPr>
          <w:lang w:val="it-IT"/>
        </w:rPr>
        <w:t xml:space="preserve">UE, cfr. Commissione europea, </w:t>
      </w:r>
      <w:r w:rsidRPr="00067593">
        <w:rPr>
          <w:i/>
          <w:lang w:val="it-IT"/>
        </w:rPr>
        <w:t>Trentesima relazione annuale sulla tutela degli interessi finanziari dell</w:t>
      </w:r>
      <w:r w:rsidR="00BF0169">
        <w:rPr>
          <w:i/>
          <w:lang w:val="it-IT"/>
        </w:rPr>
        <w:t>'</w:t>
      </w:r>
      <w:r w:rsidRPr="00067593">
        <w:rPr>
          <w:i/>
          <w:lang w:val="it-IT"/>
        </w:rPr>
        <w:t>Unione europea e sulla lotta contro la frode (2018)</w:t>
      </w:r>
      <w:r w:rsidRPr="00067593">
        <w:rPr>
          <w:lang w:val="it-IT"/>
        </w:rPr>
        <w:t xml:space="preserve"> (COM(2019) 444 final dell</w:t>
      </w:r>
      <w:r w:rsidR="00BF0169">
        <w:rPr>
          <w:lang w:val="it-IT"/>
        </w:rPr>
        <w:t>'</w:t>
      </w:r>
      <w:r w:rsidRPr="00067593">
        <w:rPr>
          <w:lang w:val="it-IT"/>
        </w:rPr>
        <w:t xml:space="preserve">11.10.2019). Per gli ultimi due anni (2019-2020) cfr., rispettivamente, Commissione europea, </w:t>
      </w:r>
      <w:r w:rsidRPr="00067593">
        <w:rPr>
          <w:i/>
          <w:lang w:val="it-IT"/>
        </w:rPr>
        <w:t>Trentunesima relazione annuale sulla tutela degli interessi finanziari dell</w:t>
      </w:r>
      <w:r w:rsidR="00BF0169">
        <w:rPr>
          <w:i/>
          <w:lang w:val="it-IT"/>
        </w:rPr>
        <w:t>'</w:t>
      </w:r>
      <w:r w:rsidRPr="00067593">
        <w:rPr>
          <w:i/>
          <w:lang w:val="it-IT"/>
        </w:rPr>
        <w:t>Unione europea e sulla lotta contro la frode (2019)</w:t>
      </w:r>
      <w:r w:rsidRPr="00067593">
        <w:rPr>
          <w:lang w:val="it-IT"/>
        </w:rPr>
        <w:t xml:space="preserve"> (COM(2020) 363 final del 3.9.2020) e </w:t>
      </w:r>
      <w:r w:rsidRPr="00067593">
        <w:rPr>
          <w:i/>
          <w:lang w:val="it-IT"/>
        </w:rPr>
        <w:t>Trentaduesima relazione annuale sulla tutela degli interessi finanziari dell</w:t>
      </w:r>
      <w:r w:rsidR="00BF0169">
        <w:rPr>
          <w:i/>
          <w:lang w:val="it-IT"/>
        </w:rPr>
        <w:t>'</w:t>
      </w:r>
      <w:r w:rsidRPr="00067593">
        <w:rPr>
          <w:i/>
          <w:lang w:val="it-IT"/>
        </w:rPr>
        <w:t>Unione europea e sulla lotta contro la frode (2020)</w:t>
      </w:r>
      <w:r w:rsidR="00AE539E">
        <w:rPr>
          <w:lang w:val="it-IT"/>
        </w:rPr>
        <w:t xml:space="preserve"> (COM(2021) 578 final del </w:t>
      </w:r>
      <w:r w:rsidRPr="00067593">
        <w:rPr>
          <w:lang w:val="it-IT"/>
        </w:rPr>
        <w:t>20.9.2021).</w:t>
      </w:r>
    </w:p>
  </w:footnote>
  <w:footnote w:id="17">
    <w:p w14:paraId="58B77590" w14:textId="29E7E010" w:rsidR="00FB4C5F" w:rsidRPr="00067593" w:rsidRDefault="00FB4C5F">
      <w:pPr>
        <w:pStyle w:val="FootnoteText"/>
        <w:rPr>
          <w:lang w:val="it-IT"/>
        </w:rPr>
      </w:pPr>
      <w:r>
        <w:rPr>
          <w:rStyle w:val="FootnoteReference"/>
        </w:rPr>
        <w:footnoteRef/>
      </w:r>
      <w:r w:rsidRPr="00067593">
        <w:rPr>
          <w:lang w:val="it-IT"/>
        </w:rPr>
        <w:tab/>
        <w:t>L</w:t>
      </w:r>
      <w:r w:rsidR="00BF0169">
        <w:rPr>
          <w:lang w:val="it-IT"/>
        </w:rPr>
        <w:t>'</w:t>
      </w:r>
      <w:r w:rsidRPr="00067593">
        <w:rPr>
          <w:lang w:val="it-IT"/>
        </w:rPr>
        <w:t>architettura antifrode dell</w:t>
      </w:r>
      <w:r w:rsidR="00BF0169">
        <w:rPr>
          <w:lang w:val="it-IT"/>
        </w:rPr>
        <w:t>'</w:t>
      </w:r>
      <w:r w:rsidRPr="00067593">
        <w:rPr>
          <w:lang w:val="it-IT"/>
        </w:rPr>
        <w:t xml:space="preserve">UE e i principali attori coinvolti sono stati presentati nel documento COM(2021) 444 final, </w:t>
      </w:r>
      <w:r w:rsidRPr="00067593">
        <w:rPr>
          <w:i/>
          <w:lang w:val="it-IT"/>
        </w:rPr>
        <w:t>cit.</w:t>
      </w:r>
      <w:r w:rsidRPr="00067593">
        <w:rPr>
          <w:lang w:val="it-IT"/>
        </w:rPr>
        <w:t>, sezione 3, pagg. 11-19.</w:t>
      </w:r>
    </w:p>
  </w:footnote>
  <w:footnote w:id="18">
    <w:p w14:paraId="112605C8" w14:textId="77258AAA" w:rsidR="00FB4C5F" w:rsidRPr="00067593" w:rsidRDefault="00FB4C5F">
      <w:pPr>
        <w:pStyle w:val="FootnoteText"/>
        <w:rPr>
          <w:lang w:val="it-IT"/>
        </w:rPr>
      </w:pPr>
      <w:r>
        <w:rPr>
          <w:rStyle w:val="FootnoteReference"/>
        </w:rPr>
        <w:footnoteRef/>
      </w:r>
      <w:r w:rsidRPr="00067593">
        <w:rPr>
          <w:lang w:val="it-IT"/>
        </w:rPr>
        <w:tab/>
        <w:t>2020/2140(DEC) del 28.4.2021.</w:t>
      </w:r>
    </w:p>
  </w:footnote>
  <w:footnote w:id="19">
    <w:p w14:paraId="7AB895C8" w14:textId="76459E34" w:rsidR="00FB4C5F" w:rsidRPr="00067593" w:rsidRDefault="00FB4C5F">
      <w:pPr>
        <w:pStyle w:val="FootnoteText"/>
        <w:rPr>
          <w:lang w:val="it-IT"/>
        </w:rPr>
      </w:pPr>
      <w:r>
        <w:rPr>
          <w:rStyle w:val="FootnoteReference"/>
        </w:rPr>
        <w:footnoteRef/>
      </w:r>
      <w:r w:rsidRPr="00067593">
        <w:rPr>
          <w:lang w:val="it-IT"/>
        </w:rPr>
        <w:tab/>
        <w:t>2021/2106(DEC). Il Parlamento europeo ha adottato la risoluzione sul discarico nel maggio del 2021. Ha approvato la risoluzione sul discarico riguardante la Commissione che accompagna la decisione sul discarico, con 451 voti favorevoli, 175 contrari e 17 astensioni.</w:t>
      </w:r>
    </w:p>
  </w:footnote>
  <w:footnote w:id="20">
    <w:p w14:paraId="1657087A" w14:textId="66BE4646" w:rsidR="00FB4C5F" w:rsidRPr="00067593" w:rsidRDefault="00FB4C5F">
      <w:pPr>
        <w:pStyle w:val="FootnoteText"/>
        <w:rPr>
          <w:lang w:val="it-IT"/>
        </w:rPr>
      </w:pPr>
      <w:r>
        <w:rPr>
          <w:rStyle w:val="FootnoteReference"/>
        </w:rPr>
        <w:footnoteRef/>
      </w:r>
      <w:r w:rsidRPr="00067593">
        <w:rPr>
          <w:lang w:val="it-IT"/>
        </w:rPr>
        <w:tab/>
        <w:t>Fascicolo di procedura 2020/2246(INI), Tutela degli interessi finanziari dell</w:t>
      </w:r>
      <w:r w:rsidR="00BF0169">
        <w:rPr>
          <w:lang w:val="it-IT"/>
        </w:rPr>
        <w:t>'</w:t>
      </w:r>
      <w:r w:rsidRPr="00067593">
        <w:rPr>
          <w:lang w:val="it-IT"/>
        </w:rPr>
        <w:t>UE - lotta contro la frode - relazione annuale 2019.</w:t>
      </w:r>
    </w:p>
  </w:footnote>
  <w:footnote w:id="21">
    <w:p w14:paraId="310425F2" w14:textId="60D48CA2" w:rsidR="00FB4C5F" w:rsidRPr="00067593" w:rsidRDefault="00FB4C5F">
      <w:pPr>
        <w:pStyle w:val="FootnoteText"/>
        <w:rPr>
          <w:lang w:val="it-IT"/>
        </w:rPr>
      </w:pPr>
      <w:r>
        <w:rPr>
          <w:rStyle w:val="FootnoteReference"/>
        </w:rPr>
        <w:footnoteRef/>
      </w:r>
      <w:r w:rsidRPr="00067593">
        <w:rPr>
          <w:lang w:val="it-IT"/>
        </w:rPr>
        <w:tab/>
        <w:t>Per lo stato di avanzamento dell</w:t>
      </w:r>
      <w:r w:rsidR="00BF0169">
        <w:rPr>
          <w:lang w:val="it-IT"/>
        </w:rPr>
        <w:t>'</w:t>
      </w:r>
      <w:r w:rsidRPr="00067593">
        <w:rPr>
          <w:lang w:val="it-IT"/>
        </w:rPr>
        <w:t>attuazione del piano d</w:t>
      </w:r>
      <w:r w:rsidR="00BF0169">
        <w:rPr>
          <w:lang w:val="it-IT"/>
        </w:rPr>
        <w:t>'</w:t>
      </w:r>
      <w:r w:rsidRPr="00067593">
        <w:rPr>
          <w:lang w:val="it-IT"/>
        </w:rPr>
        <w:t xml:space="preserve">azione della CAFS, cfr. il documento </w:t>
      </w:r>
      <w:r w:rsidR="00BF0169">
        <w:rPr>
          <w:lang w:val="it-IT"/>
        </w:rPr>
        <w:t>"</w:t>
      </w:r>
      <w:r w:rsidRPr="00067593">
        <w:rPr>
          <w:lang w:val="it-IT"/>
        </w:rPr>
        <w:t>Piano d</w:t>
      </w:r>
      <w:r w:rsidR="00BF0169">
        <w:rPr>
          <w:lang w:val="it-IT"/>
        </w:rPr>
        <w:t>'</w:t>
      </w:r>
      <w:r w:rsidRPr="00067593">
        <w:rPr>
          <w:lang w:val="it-IT"/>
        </w:rPr>
        <w:t>azione CAFS - Stato di avanzamento nel giugno 2022</w:t>
      </w:r>
      <w:r w:rsidR="00BF0169">
        <w:rPr>
          <w:lang w:val="it-IT"/>
        </w:rPr>
        <w:t>"</w:t>
      </w:r>
      <w:r w:rsidRPr="00067593">
        <w:rPr>
          <w:lang w:val="it-IT"/>
        </w:rPr>
        <w:t xml:space="preserve"> che accompagna la presente relazione.</w:t>
      </w:r>
    </w:p>
  </w:footnote>
  <w:footnote w:id="22">
    <w:p w14:paraId="5B43D9CD" w14:textId="05C1AE41" w:rsidR="00FB4C5F" w:rsidRPr="00067593" w:rsidRDefault="00FB4C5F">
      <w:pPr>
        <w:pStyle w:val="FootnoteText"/>
        <w:rPr>
          <w:lang w:val="it-IT"/>
        </w:rPr>
      </w:pPr>
      <w:r>
        <w:rPr>
          <w:rStyle w:val="FootnoteReference"/>
        </w:rPr>
        <w:footnoteRef/>
      </w:r>
      <w:r w:rsidRPr="00067593">
        <w:rPr>
          <w:lang w:val="it-IT"/>
        </w:rPr>
        <w:tab/>
        <w:t xml:space="preserve">La sottovalutazione rilevata nel Regno Unito è già stata segnalata nella relazione PIF del 2020, </w:t>
      </w:r>
      <w:r w:rsidRPr="00067593">
        <w:rPr>
          <w:i/>
          <w:lang w:val="it-IT"/>
        </w:rPr>
        <w:t xml:space="preserve">cit., </w:t>
      </w:r>
      <w:r w:rsidRPr="00067593">
        <w:rPr>
          <w:lang w:val="it-IT"/>
        </w:rPr>
        <w:t>istantanea 1, pag. 13.</w:t>
      </w:r>
    </w:p>
  </w:footnote>
  <w:footnote w:id="23">
    <w:p w14:paraId="4F382DAE" w14:textId="6E4D6627" w:rsidR="00FB4C5F" w:rsidRPr="00067593" w:rsidRDefault="00FB4C5F">
      <w:pPr>
        <w:pStyle w:val="FootnoteText"/>
        <w:rPr>
          <w:lang w:val="it-IT"/>
        </w:rPr>
      </w:pPr>
      <w:r>
        <w:rPr>
          <w:rStyle w:val="FootnoteReference"/>
        </w:rPr>
        <w:footnoteRef/>
      </w:r>
      <w:r w:rsidRPr="00067593">
        <w:rPr>
          <w:lang w:val="it-IT"/>
        </w:rPr>
        <w:tab/>
        <w:t>Il quadro giuridico che disciplina la relazione tra l</w:t>
      </w:r>
      <w:r w:rsidR="00BF0169">
        <w:rPr>
          <w:lang w:val="it-IT"/>
        </w:rPr>
        <w:t>'</w:t>
      </w:r>
      <w:r w:rsidRPr="00067593">
        <w:rPr>
          <w:lang w:val="it-IT"/>
        </w:rPr>
        <w:t>EPPO e l</w:t>
      </w:r>
      <w:r w:rsidR="00BF0169">
        <w:rPr>
          <w:lang w:val="it-IT"/>
        </w:rPr>
        <w:t>'</w:t>
      </w:r>
      <w:r w:rsidRPr="00067593">
        <w:rPr>
          <w:lang w:val="it-IT"/>
        </w:rPr>
        <w:t>OLAF prevede che fra i due organismi siano conclusi accordi di lavoro che definiscono gli aspetti pratici dei loro rapporti. Tali accordi sono stati firmati il 5 luglio 2021.</w:t>
      </w:r>
    </w:p>
  </w:footnote>
  <w:footnote w:id="24">
    <w:p w14:paraId="23ECFCAD" w14:textId="1336BD5E" w:rsidR="00FB4C5F" w:rsidRPr="00067593" w:rsidRDefault="00FB4C5F">
      <w:pPr>
        <w:pStyle w:val="FootnoteText"/>
        <w:rPr>
          <w:lang w:val="it-IT"/>
        </w:rPr>
      </w:pPr>
      <w:r>
        <w:rPr>
          <w:rStyle w:val="FootnoteReference"/>
        </w:rPr>
        <w:footnoteRef/>
      </w:r>
      <w:r w:rsidRPr="00067593">
        <w:rPr>
          <w:lang w:val="it-IT"/>
        </w:rPr>
        <w:tab/>
        <w:t xml:space="preserve">Ufficio europeo per la lotta antifrode (OLAF), </w:t>
      </w:r>
      <w:hyperlink r:id="rId2" w:history="1">
        <w:r w:rsidRPr="00067593">
          <w:rPr>
            <w:rStyle w:val="Hyperlink"/>
            <w:i/>
            <w:lang w:val="it-IT"/>
          </w:rPr>
          <w:t>La relazione dell</w:t>
        </w:r>
        <w:r w:rsidR="00BF0169">
          <w:rPr>
            <w:rStyle w:val="Hyperlink"/>
            <w:i/>
            <w:lang w:val="it-IT"/>
          </w:rPr>
          <w:t>'</w:t>
        </w:r>
        <w:r w:rsidRPr="00067593">
          <w:rPr>
            <w:rStyle w:val="Hyperlink"/>
            <w:i/>
            <w:lang w:val="it-IT"/>
          </w:rPr>
          <w:t>OLAF 2021</w:t>
        </w:r>
      </w:hyperlink>
      <w:r w:rsidRPr="00067593">
        <w:rPr>
          <w:lang w:val="it-IT"/>
        </w:rPr>
        <w:t>, pag. 38.</w:t>
      </w:r>
    </w:p>
  </w:footnote>
  <w:footnote w:id="25">
    <w:p w14:paraId="55A62FD8" w14:textId="3B12EE46" w:rsidR="00FB4C5F" w:rsidRPr="00067593" w:rsidRDefault="00FB4C5F">
      <w:pPr>
        <w:pStyle w:val="FootnoteText"/>
        <w:rPr>
          <w:lang w:val="it-IT"/>
        </w:rPr>
      </w:pPr>
      <w:r>
        <w:rPr>
          <w:rStyle w:val="FootnoteReference"/>
        </w:rPr>
        <w:footnoteRef/>
      </w:r>
      <w:r w:rsidRPr="00067593">
        <w:rPr>
          <w:lang w:val="it-IT"/>
        </w:rPr>
        <w:tab/>
        <w:t>Danimarca, Irlanda, Ungheria, Polonia e Svezia non partecipano all</w:t>
      </w:r>
      <w:r w:rsidR="00BF0169">
        <w:rPr>
          <w:lang w:val="it-IT"/>
        </w:rPr>
        <w:t>'</w:t>
      </w:r>
      <w:r w:rsidRPr="00067593">
        <w:rPr>
          <w:lang w:val="it-IT"/>
        </w:rPr>
        <w:t>EPPO. Si prevede che la Svezia partecipi all</w:t>
      </w:r>
      <w:r w:rsidR="00BF0169">
        <w:rPr>
          <w:lang w:val="it-IT"/>
        </w:rPr>
        <w:t>'</w:t>
      </w:r>
      <w:r w:rsidRPr="00067593">
        <w:rPr>
          <w:lang w:val="it-IT"/>
        </w:rPr>
        <w:t>EPPO nel 2023.</w:t>
      </w:r>
    </w:p>
  </w:footnote>
  <w:footnote w:id="26">
    <w:p w14:paraId="638657BE" w14:textId="07D2A82A" w:rsidR="00FB4C5F" w:rsidRPr="00067593" w:rsidRDefault="00FB4C5F">
      <w:pPr>
        <w:pStyle w:val="FootnoteText"/>
        <w:rPr>
          <w:lang w:val="it-IT"/>
        </w:rPr>
      </w:pPr>
      <w:r>
        <w:rPr>
          <w:rStyle w:val="FootnoteReference"/>
        </w:rPr>
        <w:footnoteRef/>
      </w:r>
      <w:r w:rsidRPr="00067593">
        <w:rPr>
          <w:lang w:val="it-IT"/>
        </w:rPr>
        <w:tab/>
        <w:t xml:space="preserve">Per statistiche più dettagliate, in particolare per Stato membro partecipante, cfr. Procura europea, </w:t>
      </w:r>
      <w:hyperlink r:id="rId3" w:history="1">
        <w:r w:rsidRPr="00067593">
          <w:rPr>
            <w:rStyle w:val="Hyperlink"/>
            <w:i/>
            <w:lang w:val="it-IT"/>
          </w:rPr>
          <w:t>Relazione annuale 2021</w:t>
        </w:r>
      </w:hyperlink>
      <w:r w:rsidRPr="00067593">
        <w:rPr>
          <w:lang w:val="it-IT"/>
        </w:rPr>
        <w:t>.</w:t>
      </w:r>
    </w:p>
  </w:footnote>
  <w:footnote w:id="27">
    <w:p w14:paraId="781F0211" w14:textId="6E2343DD" w:rsidR="00FB4C5F" w:rsidRPr="00067593" w:rsidRDefault="00FB4C5F">
      <w:pPr>
        <w:pStyle w:val="FootnoteText"/>
        <w:rPr>
          <w:lang w:val="it-IT"/>
        </w:rPr>
      </w:pPr>
      <w:r>
        <w:rPr>
          <w:rStyle w:val="FootnoteReference"/>
        </w:rPr>
        <w:footnoteRef/>
      </w:r>
      <w:r w:rsidRPr="00067593">
        <w:rPr>
          <w:lang w:val="it-IT"/>
        </w:rPr>
        <w:tab/>
        <w:t xml:space="preserve">Corte dei conti europea, </w:t>
      </w:r>
      <w:hyperlink r:id="rId4" w:history="1">
        <w:r w:rsidRPr="00067593">
          <w:rPr>
            <w:rStyle w:val="Hyperlink"/>
            <w:i/>
            <w:lang w:val="it-IT"/>
          </w:rPr>
          <w:t>Relazione annuale sull</w:t>
        </w:r>
        <w:r w:rsidR="00BF0169">
          <w:rPr>
            <w:rStyle w:val="Hyperlink"/>
            <w:i/>
            <w:lang w:val="it-IT"/>
          </w:rPr>
          <w:t>'</w:t>
        </w:r>
        <w:r w:rsidRPr="00067593">
          <w:rPr>
            <w:rStyle w:val="Hyperlink"/>
            <w:i/>
            <w:lang w:val="it-IT"/>
          </w:rPr>
          <w:t>esecuzione del bilancio dell</w:t>
        </w:r>
        <w:r w:rsidR="00BF0169">
          <w:rPr>
            <w:rStyle w:val="Hyperlink"/>
            <w:i/>
            <w:lang w:val="it-IT"/>
          </w:rPr>
          <w:t>'</w:t>
        </w:r>
        <w:r w:rsidRPr="00067593">
          <w:rPr>
            <w:rStyle w:val="Hyperlink"/>
            <w:i/>
            <w:lang w:val="it-IT"/>
          </w:rPr>
          <w:t>UE per l</w:t>
        </w:r>
        <w:r w:rsidR="00BF0169">
          <w:rPr>
            <w:rStyle w:val="Hyperlink"/>
            <w:i/>
            <w:lang w:val="it-IT"/>
          </w:rPr>
          <w:t>'</w:t>
        </w:r>
        <w:r w:rsidRPr="00067593">
          <w:rPr>
            <w:rStyle w:val="Hyperlink"/>
            <w:i/>
            <w:lang w:val="it-IT"/>
          </w:rPr>
          <w:t>esercizio finanziario 2020</w:t>
        </w:r>
      </w:hyperlink>
      <w:r w:rsidRPr="00067593">
        <w:rPr>
          <w:lang w:val="it-IT"/>
        </w:rPr>
        <w:t>, 26.10.2021.</w:t>
      </w:r>
    </w:p>
  </w:footnote>
  <w:footnote w:id="28">
    <w:p w14:paraId="33E111E7" w14:textId="09C1FA66" w:rsidR="00FB4C5F" w:rsidRPr="00067593" w:rsidRDefault="00FB4C5F">
      <w:pPr>
        <w:pStyle w:val="FootnoteText"/>
        <w:rPr>
          <w:lang w:val="it-IT"/>
        </w:rPr>
      </w:pPr>
      <w:r>
        <w:rPr>
          <w:rStyle w:val="FootnoteReference"/>
        </w:rPr>
        <w:footnoteRef/>
      </w:r>
      <w:r w:rsidRPr="00067593">
        <w:rPr>
          <w:lang w:val="it-IT"/>
        </w:rPr>
        <w:tab/>
        <w:t>Conformemente all</w:t>
      </w:r>
      <w:r w:rsidR="00BF0169">
        <w:rPr>
          <w:lang w:val="it-IT"/>
        </w:rPr>
        <w:t>'</w:t>
      </w:r>
      <w:r w:rsidRPr="00067593">
        <w:rPr>
          <w:lang w:val="it-IT"/>
        </w:rPr>
        <w:t xml:space="preserve">articolo 12 bis del regolamento (UE, Euratom) </w:t>
      </w:r>
      <w:r w:rsidR="00AE539E">
        <w:rPr>
          <w:lang w:val="it-IT"/>
        </w:rPr>
        <w:t>n. </w:t>
      </w:r>
      <w:r w:rsidRPr="00067593">
        <w:rPr>
          <w:lang w:val="it-IT"/>
        </w:rPr>
        <w:t>883/2013 del Parlamento europeo e del Consiglio, dell</w:t>
      </w:r>
      <w:r w:rsidR="00BF0169">
        <w:rPr>
          <w:lang w:val="it-IT"/>
        </w:rPr>
        <w:t>'</w:t>
      </w:r>
      <w:r w:rsidRPr="00067593">
        <w:rPr>
          <w:lang w:val="it-IT"/>
        </w:rPr>
        <w:t>11 settembre 2013, relativo alle indagini svolte dall</w:t>
      </w:r>
      <w:r w:rsidR="00BF0169">
        <w:rPr>
          <w:lang w:val="it-IT"/>
        </w:rPr>
        <w:t>'</w:t>
      </w:r>
      <w:r w:rsidRPr="00067593">
        <w:rPr>
          <w:lang w:val="it-IT"/>
        </w:rPr>
        <w:t xml:space="preserve">Ufficio europeo per la lotta antifrode (OLAF) e che abroga il regolamento (CE) </w:t>
      </w:r>
      <w:r w:rsidR="00AE539E">
        <w:rPr>
          <w:lang w:val="it-IT"/>
        </w:rPr>
        <w:t>n. </w:t>
      </w:r>
      <w:r w:rsidRPr="00067593">
        <w:rPr>
          <w:lang w:val="it-IT"/>
        </w:rPr>
        <w:t xml:space="preserve">1073/1999 del Parlamento europeo e del Consiglio e il regolamento (Euratom) </w:t>
      </w:r>
      <w:r w:rsidR="00AE539E">
        <w:rPr>
          <w:lang w:val="it-IT"/>
        </w:rPr>
        <w:t>n. </w:t>
      </w:r>
      <w:r w:rsidRPr="00067593">
        <w:rPr>
          <w:lang w:val="it-IT"/>
        </w:rPr>
        <w:t>1074/1999 del Consiglio (</w:t>
      </w:r>
      <w:r w:rsidR="00AE539E">
        <w:rPr>
          <w:lang w:val="it-IT"/>
        </w:rPr>
        <w:t>GU L </w:t>
      </w:r>
      <w:r w:rsidRPr="00067593">
        <w:rPr>
          <w:lang w:val="it-IT"/>
        </w:rPr>
        <w:t>248 del 18.9.2013, pag. 1), come modificato dal regolamento (UE, Euratom) 2016/2030 del Parlamento europeo e del Consiglio, del 26 ottobre 2016 (</w:t>
      </w:r>
      <w:r w:rsidR="00AE539E">
        <w:rPr>
          <w:lang w:val="it-IT"/>
        </w:rPr>
        <w:t>GU L </w:t>
      </w:r>
      <w:r w:rsidRPr="00067593">
        <w:rPr>
          <w:lang w:val="it-IT"/>
        </w:rPr>
        <w:t>317 del 23.11.2016, pag. 1) e dal regolamento (UE, Euratom) 2020/2223 del Parlamento europeo e del Consiglio, del 23 dicembre 2020 (</w:t>
      </w:r>
      <w:r w:rsidR="00AE539E">
        <w:rPr>
          <w:lang w:val="it-IT"/>
        </w:rPr>
        <w:t>GU L </w:t>
      </w:r>
      <w:r w:rsidRPr="00067593">
        <w:rPr>
          <w:lang w:val="it-IT"/>
        </w:rPr>
        <w:t>437 del 28.12.2020, pag. 49).</w:t>
      </w:r>
    </w:p>
  </w:footnote>
  <w:footnote w:id="29">
    <w:p w14:paraId="646BB227" w14:textId="19A511EC" w:rsidR="00FB4C5F" w:rsidRPr="00067593" w:rsidRDefault="00FB4C5F">
      <w:pPr>
        <w:pStyle w:val="FootnoteText"/>
        <w:rPr>
          <w:lang w:val="it-IT"/>
        </w:rPr>
      </w:pPr>
      <w:r>
        <w:rPr>
          <w:rStyle w:val="FootnoteReference"/>
        </w:rPr>
        <w:footnoteRef/>
      </w:r>
      <w:r w:rsidRPr="00067593">
        <w:rPr>
          <w:lang w:val="it-IT"/>
        </w:rPr>
        <w:tab/>
        <w:t>Per ulteriori informazioni sulle iniziative nazionali volte a rafforzare la tutela degli interessi finanziari dell</w:t>
      </w:r>
      <w:r w:rsidR="00BF0169">
        <w:rPr>
          <w:lang w:val="it-IT"/>
        </w:rPr>
        <w:t>'</w:t>
      </w:r>
      <w:r w:rsidRPr="00067593">
        <w:rPr>
          <w:lang w:val="it-IT"/>
        </w:rPr>
        <w:t xml:space="preserve">UE, cfr. il documento </w:t>
      </w:r>
      <w:r w:rsidR="00BF0169">
        <w:rPr>
          <w:lang w:val="it-IT"/>
        </w:rPr>
        <w:t>"</w:t>
      </w:r>
      <w:r w:rsidRPr="00067593">
        <w:rPr>
          <w:lang w:val="it-IT"/>
        </w:rPr>
        <w:t>Misure adottate dagli Stati membri per tutelare gli interessi finanziari dell</w:t>
      </w:r>
      <w:r w:rsidR="00BF0169">
        <w:rPr>
          <w:lang w:val="it-IT"/>
        </w:rPr>
        <w:t>'</w:t>
      </w:r>
      <w:r w:rsidRPr="00067593">
        <w:rPr>
          <w:lang w:val="it-IT"/>
        </w:rPr>
        <w:t>UE nel 2021 – Attuazione dell</w:t>
      </w:r>
      <w:r w:rsidR="00BF0169">
        <w:rPr>
          <w:lang w:val="it-IT"/>
        </w:rPr>
        <w:t>'</w:t>
      </w:r>
      <w:r w:rsidRPr="00067593">
        <w:rPr>
          <w:lang w:val="it-IT"/>
        </w:rPr>
        <w:t>articolo 325 TFUE</w:t>
      </w:r>
      <w:r w:rsidR="00BF0169">
        <w:rPr>
          <w:lang w:val="it-IT"/>
        </w:rPr>
        <w:t>"</w:t>
      </w:r>
      <w:r w:rsidRPr="00067593">
        <w:rPr>
          <w:lang w:val="it-IT"/>
        </w:rPr>
        <w:t xml:space="preserve"> che accompagna la presente relazione.</w:t>
      </w:r>
    </w:p>
  </w:footnote>
  <w:footnote w:id="30">
    <w:p w14:paraId="5C78AAC0" w14:textId="61B7AA75" w:rsidR="00FB4C5F" w:rsidRPr="00067593" w:rsidRDefault="00FB4C5F" w:rsidP="00B844C4">
      <w:pPr>
        <w:pStyle w:val="FootnoteText"/>
        <w:rPr>
          <w:lang w:val="it-IT"/>
        </w:rPr>
      </w:pPr>
      <w:r>
        <w:rPr>
          <w:rStyle w:val="FootnoteReference"/>
        </w:rPr>
        <w:footnoteRef/>
      </w:r>
      <w:r w:rsidRPr="00067593">
        <w:rPr>
          <w:lang w:val="it-IT"/>
        </w:rPr>
        <w:tab/>
        <w:t>Belgio, Cechia, Danimarca, Germania, Estonia, Grecia, Francia, Croazia, Italia, Lettonia, Lituania, Ungheria, Malta, Austria, Portogallo, Slovacchia e Svezia. Di questi, Germania e Portogallo non avevano ancora trasmesso i documenti necessari all</w:t>
      </w:r>
      <w:r w:rsidR="00BF0169">
        <w:rPr>
          <w:lang w:val="it-IT"/>
        </w:rPr>
        <w:t>'</w:t>
      </w:r>
      <w:r w:rsidRPr="00067593">
        <w:rPr>
          <w:lang w:val="it-IT"/>
        </w:rPr>
        <w:t>OLAF. L</w:t>
      </w:r>
      <w:r w:rsidR="00BF0169">
        <w:rPr>
          <w:lang w:val="it-IT"/>
        </w:rPr>
        <w:t>'</w:t>
      </w:r>
      <w:r w:rsidRPr="00067593">
        <w:rPr>
          <w:lang w:val="it-IT"/>
        </w:rPr>
        <w:t>Austria aveva riferito nel 2020 di disporre di una strategia sino alla fine dell</w:t>
      </w:r>
      <w:r w:rsidR="00BF0169">
        <w:rPr>
          <w:lang w:val="it-IT"/>
        </w:rPr>
        <w:t>'</w:t>
      </w:r>
      <w:r w:rsidRPr="00067593">
        <w:rPr>
          <w:lang w:val="it-IT"/>
        </w:rPr>
        <w:t>anno, ma non ha trasmesso ulteri</w:t>
      </w:r>
      <w:r w:rsidR="005922A1">
        <w:rPr>
          <w:lang w:val="it-IT"/>
        </w:rPr>
        <w:t>ori aggiornamenti per il 2021.</w:t>
      </w:r>
    </w:p>
  </w:footnote>
  <w:footnote w:id="31">
    <w:p w14:paraId="1C3B6DCE" w14:textId="53D7954E" w:rsidR="00FB4C5F" w:rsidRPr="00067593" w:rsidRDefault="00FB4C5F" w:rsidP="00B844C4">
      <w:pPr>
        <w:pStyle w:val="FootnoteText"/>
        <w:rPr>
          <w:lang w:val="it-IT"/>
        </w:rPr>
      </w:pPr>
      <w:r>
        <w:rPr>
          <w:rStyle w:val="FootnoteReference"/>
        </w:rPr>
        <w:footnoteRef/>
      </w:r>
      <w:r w:rsidRPr="00067593">
        <w:rPr>
          <w:lang w:val="it-IT"/>
        </w:rPr>
        <w:tab/>
        <w:t>Belgio, Irlanda, Spagna, Cipro, Lussemburgo, Paesi Bassi, Polonia, Romania, Slovenia, Finlandia.</w:t>
      </w:r>
    </w:p>
  </w:footnote>
  <w:footnote w:id="32">
    <w:p w14:paraId="2EF03A73" w14:textId="77777777" w:rsidR="00FB4C5F" w:rsidRPr="00067593" w:rsidRDefault="00FB4C5F" w:rsidP="00B844C4">
      <w:pPr>
        <w:pStyle w:val="FootnoteText"/>
        <w:rPr>
          <w:lang w:val="it-IT"/>
        </w:rPr>
      </w:pPr>
      <w:r>
        <w:rPr>
          <w:rStyle w:val="FootnoteReference"/>
        </w:rPr>
        <w:footnoteRef/>
      </w:r>
      <w:r w:rsidRPr="00067593">
        <w:rPr>
          <w:lang w:val="it-IT"/>
        </w:rPr>
        <w:tab/>
        <w:t>Belgio, Spagna, Lussemburgo, Romania.</w:t>
      </w:r>
    </w:p>
  </w:footnote>
  <w:footnote w:id="33">
    <w:p w14:paraId="50FF139C" w14:textId="77777777" w:rsidR="00FB4C5F" w:rsidRPr="00067593" w:rsidRDefault="00FB4C5F">
      <w:pPr>
        <w:pStyle w:val="FootnoteText"/>
        <w:rPr>
          <w:lang w:val="it-IT"/>
        </w:rPr>
      </w:pPr>
      <w:r>
        <w:rPr>
          <w:rStyle w:val="FootnoteReference"/>
        </w:rPr>
        <w:footnoteRef/>
      </w:r>
      <w:r w:rsidRPr="00067593">
        <w:rPr>
          <w:lang w:val="it-IT"/>
        </w:rPr>
        <w:tab/>
        <w:t>Cfr. anche sezione 5.6.</w:t>
      </w:r>
    </w:p>
  </w:footnote>
  <w:footnote w:id="34">
    <w:p w14:paraId="64A02C99" w14:textId="548C4755" w:rsidR="00FB4C5F" w:rsidRPr="00067593" w:rsidRDefault="00FB4C5F" w:rsidP="00B844C4">
      <w:pPr>
        <w:pStyle w:val="FootnoteText"/>
        <w:rPr>
          <w:lang w:val="it-IT"/>
        </w:rPr>
      </w:pPr>
      <w:r>
        <w:rPr>
          <w:rStyle w:val="FootnoteReference"/>
        </w:rPr>
        <w:footnoteRef/>
      </w:r>
      <w:r w:rsidRPr="00067593">
        <w:rPr>
          <w:lang w:val="it-IT"/>
        </w:rPr>
        <w:tab/>
        <w:t>Bulgaria, Grecia, Francia, Italia, Ungheria.</w:t>
      </w:r>
    </w:p>
  </w:footnote>
  <w:footnote w:id="35">
    <w:p w14:paraId="6FDBDD1E" w14:textId="6D670156" w:rsidR="00FB4C5F" w:rsidRPr="00067593" w:rsidRDefault="00FB4C5F">
      <w:pPr>
        <w:pStyle w:val="FootnoteText"/>
        <w:rPr>
          <w:lang w:val="it-IT"/>
        </w:rPr>
      </w:pPr>
      <w:r>
        <w:rPr>
          <w:rStyle w:val="FootnoteReference"/>
        </w:rPr>
        <w:footnoteRef/>
      </w:r>
      <w:r w:rsidRPr="00067593">
        <w:rPr>
          <w:lang w:val="it-IT"/>
        </w:rPr>
        <w:tab/>
        <w:t xml:space="preserve">Per una panoramica completa del seguito dato dagli Stati membri, cfr. il documento </w:t>
      </w:r>
      <w:r w:rsidR="00BF0169">
        <w:rPr>
          <w:lang w:val="it-IT"/>
        </w:rPr>
        <w:t>"</w:t>
      </w:r>
      <w:r w:rsidRPr="00067593">
        <w:rPr>
          <w:lang w:val="it-IT"/>
        </w:rPr>
        <w:t>Attuazione delle raccomandazioni del 2020 da parte degli Stati membri</w:t>
      </w:r>
      <w:r w:rsidR="00BF0169">
        <w:rPr>
          <w:lang w:val="it-IT"/>
        </w:rPr>
        <w:t>"</w:t>
      </w:r>
      <w:r w:rsidRPr="00067593">
        <w:rPr>
          <w:lang w:val="it-IT"/>
        </w:rPr>
        <w:t xml:space="preserve"> che accompagna la presente relazione.</w:t>
      </w:r>
    </w:p>
  </w:footnote>
  <w:footnote w:id="36">
    <w:p w14:paraId="5D9A4B79" w14:textId="69754913" w:rsidR="00FB4C5F" w:rsidRPr="00067593" w:rsidRDefault="00FB4C5F">
      <w:pPr>
        <w:pStyle w:val="FootnoteText"/>
        <w:rPr>
          <w:lang w:val="it-IT"/>
        </w:rPr>
      </w:pPr>
      <w:r>
        <w:rPr>
          <w:rStyle w:val="FootnoteReference"/>
        </w:rPr>
        <w:footnoteRef/>
      </w:r>
      <w:r w:rsidRPr="00067593">
        <w:rPr>
          <w:lang w:val="it-IT"/>
        </w:rPr>
        <w:tab/>
        <w:t>A Danimarca e Irlanda si applica una clausola di non partecipazione allo spazio di libertà, sicurezza e giustizia.</w:t>
      </w:r>
    </w:p>
  </w:footnote>
  <w:footnote w:id="37">
    <w:p w14:paraId="60BECB8C" w14:textId="24997D85" w:rsidR="00FB4C5F" w:rsidRPr="00067593" w:rsidRDefault="00FB4C5F" w:rsidP="00B844C4">
      <w:pPr>
        <w:pStyle w:val="FootnoteText"/>
        <w:rPr>
          <w:lang w:val="it-IT"/>
        </w:rPr>
      </w:pPr>
      <w:r>
        <w:rPr>
          <w:rStyle w:val="FootnoteReference"/>
        </w:rPr>
        <w:footnoteRef/>
      </w:r>
      <w:r w:rsidRPr="00067593">
        <w:rPr>
          <w:lang w:val="it-IT"/>
        </w:rPr>
        <w:t xml:space="preserve"> </w:t>
      </w:r>
      <w:r w:rsidRPr="00067593">
        <w:rPr>
          <w:lang w:val="it-IT"/>
        </w:rPr>
        <w:tab/>
        <w:t>Bulgaria, Cechia, Estonia, Irlanda, Grecia, Italia, Cipro, Lettonia, Lituania, Lussemburgo, Ungheria, Polonia, Portogallo, Romania, Slovenia, Svezia.</w:t>
      </w:r>
    </w:p>
  </w:footnote>
  <w:footnote w:id="38">
    <w:p w14:paraId="1293993F" w14:textId="569D2970" w:rsidR="00FB4C5F" w:rsidRPr="00067593" w:rsidRDefault="00FB4C5F" w:rsidP="00DC1244">
      <w:pPr>
        <w:pStyle w:val="FootnoteText"/>
        <w:rPr>
          <w:lang w:val="it-IT"/>
        </w:rPr>
      </w:pPr>
      <w:r>
        <w:rPr>
          <w:rStyle w:val="FootnoteReference"/>
        </w:rPr>
        <w:footnoteRef/>
      </w:r>
      <w:r w:rsidRPr="00067593">
        <w:rPr>
          <w:lang w:val="it-IT"/>
        </w:rPr>
        <w:t xml:space="preserve"> </w:t>
      </w:r>
      <w:r w:rsidRPr="00067593">
        <w:rPr>
          <w:lang w:val="it-IT"/>
        </w:rPr>
        <w:tab/>
        <w:t>Belgio, Germania, Spagna, Francia.</w:t>
      </w:r>
    </w:p>
  </w:footnote>
  <w:footnote w:id="39">
    <w:p w14:paraId="436AC221" w14:textId="1646C3AB" w:rsidR="00FB4C5F" w:rsidRPr="00067593" w:rsidRDefault="00FB4C5F" w:rsidP="00B844C4">
      <w:pPr>
        <w:pStyle w:val="FootnoteText"/>
        <w:rPr>
          <w:lang w:val="it-IT"/>
        </w:rPr>
      </w:pPr>
      <w:r>
        <w:rPr>
          <w:rStyle w:val="FootnoteReference"/>
        </w:rPr>
        <w:footnoteRef/>
      </w:r>
      <w:r w:rsidRPr="00067593">
        <w:rPr>
          <w:lang w:val="it-IT"/>
        </w:rPr>
        <w:t xml:space="preserve"> </w:t>
      </w:r>
      <w:r w:rsidRPr="00067593">
        <w:rPr>
          <w:lang w:val="it-IT"/>
        </w:rPr>
        <w:tab/>
        <w:t>Danimarca, Croazia, Malta, Paesi Bassi, Slovacchia, Finlandia.</w:t>
      </w:r>
    </w:p>
  </w:footnote>
  <w:footnote w:id="40">
    <w:p w14:paraId="71A64753" w14:textId="2F711189" w:rsidR="00FB4C5F" w:rsidRPr="00067593" w:rsidRDefault="00FB4C5F" w:rsidP="00DC1244">
      <w:pPr>
        <w:pStyle w:val="FootnoteText"/>
        <w:rPr>
          <w:lang w:val="it-IT"/>
        </w:rPr>
      </w:pPr>
      <w:r>
        <w:rPr>
          <w:rStyle w:val="FootnoteReference"/>
        </w:rPr>
        <w:footnoteRef/>
      </w:r>
      <w:r w:rsidRPr="00067593">
        <w:rPr>
          <w:lang w:val="it-IT"/>
        </w:rPr>
        <w:t xml:space="preserve"> </w:t>
      </w:r>
      <w:r w:rsidRPr="00067593">
        <w:rPr>
          <w:lang w:val="it-IT"/>
        </w:rPr>
        <w:tab/>
        <w:t>Cechia, Estonia, Irlanda, Grecia, Spagna, Italia, Cipro, Lettonia, Lituania, Lussemburgo, Ungheria, Polonia, Portogallo, Romania, Slovenia e Svezia.</w:t>
      </w:r>
    </w:p>
  </w:footnote>
  <w:footnote w:id="41">
    <w:p w14:paraId="130B251B" w14:textId="333638DC" w:rsidR="00FB4C5F" w:rsidRPr="00067593" w:rsidRDefault="00FB4C5F" w:rsidP="00B844C4">
      <w:pPr>
        <w:pStyle w:val="FootnoteText"/>
        <w:rPr>
          <w:lang w:val="it-IT"/>
        </w:rPr>
      </w:pPr>
      <w:r>
        <w:rPr>
          <w:rStyle w:val="FootnoteReference"/>
        </w:rPr>
        <w:footnoteRef/>
      </w:r>
      <w:r w:rsidRPr="00067593">
        <w:rPr>
          <w:lang w:val="it-IT"/>
        </w:rPr>
        <w:t xml:space="preserve"> </w:t>
      </w:r>
      <w:r w:rsidRPr="00067593">
        <w:rPr>
          <w:lang w:val="it-IT"/>
        </w:rPr>
        <w:tab/>
        <w:t>Belgio, Bulgaria, Francia.</w:t>
      </w:r>
    </w:p>
  </w:footnote>
  <w:footnote w:id="42">
    <w:p w14:paraId="2D9B2A4B" w14:textId="186A7CA4" w:rsidR="00FB4C5F" w:rsidRPr="00067593" w:rsidRDefault="00FB4C5F" w:rsidP="00B844C4">
      <w:pPr>
        <w:pStyle w:val="FootnoteText"/>
        <w:rPr>
          <w:lang w:val="it-IT"/>
        </w:rPr>
      </w:pPr>
      <w:r>
        <w:rPr>
          <w:rStyle w:val="FootnoteReference"/>
        </w:rPr>
        <w:footnoteRef/>
      </w:r>
      <w:r w:rsidRPr="00067593">
        <w:rPr>
          <w:lang w:val="it-IT"/>
        </w:rPr>
        <w:t xml:space="preserve"> </w:t>
      </w:r>
      <w:r w:rsidRPr="00067593">
        <w:rPr>
          <w:lang w:val="it-IT"/>
        </w:rPr>
        <w:tab/>
        <w:t>Danimarca, Germania, Croazia, Malta, Paesi Bassi, Slovacchia, Finlandia.</w:t>
      </w:r>
    </w:p>
  </w:footnote>
  <w:footnote w:id="43">
    <w:p w14:paraId="34B23C8A" w14:textId="53E77DBF" w:rsidR="00FB4C5F" w:rsidRPr="00067593" w:rsidRDefault="00FB4C5F" w:rsidP="00DC1244">
      <w:pPr>
        <w:pStyle w:val="FootnoteText"/>
        <w:rPr>
          <w:lang w:val="it-IT"/>
        </w:rPr>
      </w:pPr>
      <w:r>
        <w:rPr>
          <w:rStyle w:val="FootnoteReference"/>
        </w:rPr>
        <w:footnoteRef/>
      </w:r>
      <w:r w:rsidRPr="00067593">
        <w:rPr>
          <w:lang w:val="it-IT"/>
        </w:rPr>
        <w:t xml:space="preserve"> </w:t>
      </w:r>
      <w:r w:rsidRPr="00067593">
        <w:rPr>
          <w:lang w:val="it-IT"/>
        </w:rPr>
        <w:tab/>
        <w:t>Danimarca, Estonia, Grecia, Italia, Cipro, Lettonia, Lussemburgo, Malta, Polonia, Portogallo, Svezia.</w:t>
      </w:r>
    </w:p>
  </w:footnote>
  <w:footnote w:id="44">
    <w:p w14:paraId="34C943F0" w14:textId="1FBA93C8" w:rsidR="00FB4C5F" w:rsidRPr="00067593" w:rsidRDefault="00FB4C5F" w:rsidP="00DC1244">
      <w:pPr>
        <w:pStyle w:val="FootnoteText"/>
        <w:rPr>
          <w:lang w:val="it-IT"/>
        </w:rPr>
      </w:pPr>
      <w:r>
        <w:rPr>
          <w:rStyle w:val="FootnoteReference"/>
        </w:rPr>
        <w:footnoteRef/>
      </w:r>
      <w:r w:rsidRPr="00067593">
        <w:rPr>
          <w:lang w:val="it-IT"/>
        </w:rPr>
        <w:t xml:space="preserve"> </w:t>
      </w:r>
      <w:r w:rsidRPr="00067593">
        <w:rPr>
          <w:lang w:val="it-IT"/>
        </w:rPr>
        <w:tab/>
        <w:t>Belgio, Bulgaria, Cechia, Spagna, Francia, Croazia, Ungheria, Paesi Bassi, Romania, Slovacchia, Finlandia.</w:t>
      </w:r>
    </w:p>
  </w:footnote>
  <w:footnote w:id="45">
    <w:p w14:paraId="284024CE" w14:textId="5C09355B" w:rsidR="00FB4C5F" w:rsidRPr="00067593" w:rsidRDefault="00FB4C5F" w:rsidP="00B844C4">
      <w:pPr>
        <w:pStyle w:val="FootnoteText"/>
        <w:rPr>
          <w:lang w:val="it-IT"/>
        </w:rPr>
      </w:pPr>
      <w:r>
        <w:rPr>
          <w:rStyle w:val="FootnoteReference"/>
        </w:rPr>
        <w:footnoteRef/>
      </w:r>
      <w:r w:rsidRPr="00067593">
        <w:rPr>
          <w:lang w:val="it-IT"/>
        </w:rPr>
        <w:t xml:space="preserve"> </w:t>
      </w:r>
      <w:r w:rsidRPr="00067593">
        <w:rPr>
          <w:lang w:val="it-IT"/>
        </w:rPr>
        <w:tab/>
        <w:t>Germania, Irlanda, Lituania, Slovenia.</w:t>
      </w:r>
    </w:p>
  </w:footnote>
  <w:footnote w:id="46">
    <w:p w14:paraId="3FD0CBC7" w14:textId="17A97143" w:rsidR="00FB4C5F" w:rsidRPr="00067593" w:rsidRDefault="00FB4C5F" w:rsidP="00DC1244">
      <w:pPr>
        <w:pStyle w:val="FootnoteText"/>
        <w:rPr>
          <w:lang w:val="it-IT"/>
        </w:rPr>
      </w:pPr>
      <w:r>
        <w:rPr>
          <w:rStyle w:val="FootnoteReference"/>
        </w:rPr>
        <w:footnoteRef/>
      </w:r>
      <w:r w:rsidRPr="00067593">
        <w:rPr>
          <w:lang w:val="it-IT"/>
        </w:rPr>
        <w:t xml:space="preserve"> </w:t>
      </w:r>
      <w:r w:rsidRPr="00067593">
        <w:rPr>
          <w:lang w:val="it-IT"/>
        </w:rPr>
        <w:tab/>
        <w:t>Bulgaria, Grecia, Croazia, Italia Cipro, Lettonia, Lussemburgo, Ungheria, Malta, Paesi Bassi, Polonia, Portogallo, Slovacchia, Svezia.</w:t>
      </w:r>
    </w:p>
  </w:footnote>
  <w:footnote w:id="47">
    <w:p w14:paraId="48265C12" w14:textId="53C41F6B" w:rsidR="00FB4C5F" w:rsidRPr="00067593" w:rsidRDefault="00FB4C5F" w:rsidP="00DC1244">
      <w:pPr>
        <w:pStyle w:val="FootnoteText"/>
        <w:rPr>
          <w:lang w:val="it-IT"/>
        </w:rPr>
      </w:pPr>
      <w:r>
        <w:rPr>
          <w:rStyle w:val="FootnoteReference"/>
        </w:rPr>
        <w:footnoteRef/>
      </w:r>
      <w:r w:rsidRPr="00067593">
        <w:rPr>
          <w:lang w:val="it-IT"/>
        </w:rPr>
        <w:t xml:space="preserve"> </w:t>
      </w:r>
      <w:r w:rsidRPr="00067593">
        <w:rPr>
          <w:lang w:val="it-IT"/>
        </w:rPr>
        <w:tab/>
        <w:t>Belgio, Cechia, Danimarca, Spagna, Francia, Romania, Finlandia.</w:t>
      </w:r>
    </w:p>
  </w:footnote>
  <w:footnote w:id="48">
    <w:p w14:paraId="02A70306" w14:textId="306C3068" w:rsidR="00FB4C5F" w:rsidRPr="00067593" w:rsidRDefault="00FB4C5F" w:rsidP="00B844C4">
      <w:pPr>
        <w:pStyle w:val="FootnoteText"/>
        <w:rPr>
          <w:lang w:val="it-IT"/>
        </w:rPr>
      </w:pPr>
      <w:r>
        <w:rPr>
          <w:rStyle w:val="FootnoteReference"/>
        </w:rPr>
        <w:footnoteRef/>
      </w:r>
      <w:r w:rsidRPr="00067593">
        <w:rPr>
          <w:lang w:val="it-IT"/>
        </w:rPr>
        <w:t xml:space="preserve"> </w:t>
      </w:r>
      <w:r w:rsidRPr="00067593">
        <w:rPr>
          <w:lang w:val="it-IT"/>
        </w:rPr>
        <w:tab/>
        <w:t>Germania, Estonia, Irlanda, Lituania, Slovenia.</w:t>
      </w:r>
    </w:p>
  </w:footnote>
  <w:footnote w:id="49">
    <w:p w14:paraId="1DCA364B" w14:textId="4FB0FA47" w:rsidR="00FB4C5F" w:rsidRPr="00067593" w:rsidRDefault="00FB4C5F" w:rsidP="0088672E">
      <w:pPr>
        <w:pStyle w:val="FootnoteText"/>
        <w:rPr>
          <w:lang w:val="it-IT"/>
        </w:rPr>
      </w:pPr>
      <w:r>
        <w:rPr>
          <w:rStyle w:val="FootnoteReference"/>
        </w:rPr>
        <w:footnoteRef/>
      </w:r>
      <w:r w:rsidRPr="00067593">
        <w:rPr>
          <w:lang w:val="it-IT"/>
        </w:rPr>
        <w:tab/>
        <w:t>Arachne è un sistema informatico unico integrato per l</w:t>
      </w:r>
      <w:r w:rsidR="00BF0169">
        <w:rPr>
          <w:lang w:val="it-IT"/>
        </w:rPr>
        <w:t>'</w:t>
      </w:r>
      <w:r w:rsidRPr="00067593">
        <w:rPr>
          <w:lang w:val="it-IT"/>
        </w:rPr>
        <w:t>estrazione di dati e la valutazione del rischio che la Commissione ha sviluppato e messo a disposizione degli Stati membri nei settori della coesione, dell</w:t>
      </w:r>
      <w:r w:rsidR="00BF0169">
        <w:rPr>
          <w:lang w:val="it-IT"/>
        </w:rPr>
        <w:t>'</w:t>
      </w:r>
      <w:r w:rsidRPr="00067593">
        <w:rPr>
          <w:lang w:val="it-IT"/>
        </w:rPr>
        <w:t>agricoltura e del dispositivo per la ripresa e la resilienza.</w:t>
      </w:r>
    </w:p>
  </w:footnote>
  <w:footnote w:id="50">
    <w:p w14:paraId="0F5181F9" w14:textId="4526F9D2" w:rsidR="00FB4C5F" w:rsidRPr="00067593" w:rsidRDefault="00FB4C5F">
      <w:pPr>
        <w:pStyle w:val="FootnoteText"/>
        <w:rPr>
          <w:lang w:val="it-IT"/>
        </w:rPr>
      </w:pPr>
      <w:r>
        <w:rPr>
          <w:rStyle w:val="FootnoteReference"/>
        </w:rPr>
        <w:footnoteRef/>
      </w:r>
      <w:r w:rsidRPr="00067593">
        <w:rPr>
          <w:lang w:val="it-IT"/>
        </w:rPr>
        <w:tab/>
        <w:t>Per una descrizione del sistema, cfr. sezione 7.2.</w:t>
      </w:r>
    </w:p>
  </w:footnote>
  <w:footnote w:id="51">
    <w:p w14:paraId="5C2BA08B" w14:textId="02F33B0D" w:rsidR="00FB4C5F" w:rsidRPr="00067593" w:rsidRDefault="00FB4C5F" w:rsidP="00B844C4">
      <w:pPr>
        <w:pStyle w:val="FootnoteText"/>
        <w:rPr>
          <w:lang w:val="it-IT"/>
        </w:rPr>
      </w:pPr>
      <w:r>
        <w:rPr>
          <w:rStyle w:val="FootnoteReference"/>
        </w:rPr>
        <w:footnoteRef/>
      </w:r>
      <w:r w:rsidRPr="00067593">
        <w:rPr>
          <w:lang w:val="it-IT"/>
        </w:rPr>
        <w:t xml:space="preserve"> </w:t>
      </w:r>
      <w:r w:rsidRPr="00067593">
        <w:rPr>
          <w:lang w:val="it-IT"/>
        </w:rPr>
        <w:tab/>
        <w:t>Bulgaria, Belgio, Cechia, Danimarca, Irlanda, Grecia, Spagna, Francia, Italia, Cipro, Lettonia, Lussemburgo, Ungheria, Malta, Paesi Bassi, Polonia, Portogallo, Slovenia, Slovacchia.</w:t>
      </w:r>
    </w:p>
  </w:footnote>
  <w:footnote w:id="52">
    <w:p w14:paraId="10BAEA84" w14:textId="4503BF62" w:rsidR="00FB4C5F" w:rsidRPr="00067593" w:rsidRDefault="00FB4C5F" w:rsidP="00B844C4">
      <w:pPr>
        <w:pStyle w:val="FootnoteText"/>
        <w:rPr>
          <w:lang w:val="it-IT"/>
        </w:rPr>
      </w:pPr>
      <w:r>
        <w:rPr>
          <w:rStyle w:val="FootnoteReference"/>
        </w:rPr>
        <w:footnoteRef/>
      </w:r>
      <w:r w:rsidRPr="00067593">
        <w:rPr>
          <w:lang w:val="it-IT"/>
        </w:rPr>
        <w:t xml:space="preserve"> </w:t>
      </w:r>
      <w:r w:rsidRPr="00067593">
        <w:rPr>
          <w:lang w:val="it-IT"/>
        </w:rPr>
        <w:tab/>
        <w:t>Croazia, Lituania, Romania, Finlandia.</w:t>
      </w:r>
    </w:p>
  </w:footnote>
  <w:footnote w:id="53">
    <w:p w14:paraId="6DC3714A" w14:textId="346F73BF" w:rsidR="00FB4C5F" w:rsidRPr="00067593" w:rsidRDefault="00FB4C5F" w:rsidP="00B844C4">
      <w:pPr>
        <w:pStyle w:val="FootnoteText"/>
        <w:rPr>
          <w:lang w:val="it-IT"/>
        </w:rPr>
      </w:pPr>
      <w:r>
        <w:rPr>
          <w:rStyle w:val="FootnoteReference"/>
        </w:rPr>
        <w:footnoteRef/>
      </w:r>
      <w:r w:rsidRPr="00067593">
        <w:rPr>
          <w:lang w:val="it-IT"/>
        </w:rPr>
        <w:t xml:space="preserve"> </w:t>
      </w:r>
      <w:r w:rsidRPr="00067593">
        <w:rPr>
          <w:lang w:val="it-IT"/>
        </w:rPr>
        <w:tab/>
        <w:t>Germania, Estonia, Svezia.</w:t>
      </w:r>
    </w:p>
  </w:footnote>
  <w:footnote w:id="54">
    <w:p w14:paraId="43E03BB1" w14:textId="69DFE7C6" w:rsidR="00FB4C5F" w:rsidRPr="00067593" w:rsidRDefault="00FB4C5F">
      <w:pPr>
        <w:pStyle w:val="FootnoteText"/>
        <w:rPr>
          <w:lang w:val="it-IT"/>
        </w:rPr>
      </w:pPr>
      <w:r>
        <w:rPr>
          <w:rStyle w:val="FootnoteReference"/>
        </w:rPr>
        <w:footnoteRef/>
      </w:r>
      <w:r w:rsidRPr="00067593">
        <w:rPr>
          <w:lang w:val="it-IT"/>
        </w:rPr>
        <w:tab/>
        <w:t>Comore, Madagascar, Maurizio, Seychelles e Zimbabwe.</w:t>
      </w:r>
    </w:p>
  </w:footnote>
  <w:footnote w:id="55">
    <w:p w14:paraId="4279BC34" w14:textId="30460593" w:rsidR="00FB4C5F" w:rsidRPr="00067593" w:rsidRDefault="00FB4C5F">
      <w:pPr>
        <w:pStyle w:val="FootnoteText"/>
        <w:rPr>
          <w:lang w:val="it-IT"/>
        </w:rPr>
      </w:pPr>
      <w:r>
        <w:rPr>
          <w:rStyle w:val="FootnoteReference"/>
        </w:rPr>
        <w:footnoteRef/>
      </w:r>
      <w:r w:rsidRPr="00067593">
        <w:rPr>
          <w:lang w:val="it-IT"/>
        </w:rPr>
        <w:tab/>
        <w:t>Con lettera del commissario Johansson indirizzata al direttore esecutivo dell</w:t>
      </w:r>
      <w:r w:rsidR="00BF0169">
        <w:rPr>
          <w:lang w:val="it-IT"/>
        </w:rPr>
        <w:t>'</w:t>
      </w:r>
      <w:r w:rsidRPr="00067593">
        <w:rPr>
          <w:lang w:val="it-IT"/>
        </w:rPr>
        <w:t>UNODC.</w:t>
      </w:r>
    </w:p>
  </w:footnote>
  <w:footnote w:id="56">
    <w:p w14:paraId="7DDE0B95" w14:textId="16E69A19" w:rsidR="00FB4C5F" w:rsidRPr="00067593" w:rsidRDefault="00FB4C5F" w:rsidP="00AB46D0">
      <w:pPr>
        <w:pStyle w:val="FootnoteText"/>
        <w:rPr>
          <w:lang w:val="it-IT"/>
        </w:rPr>
      </w:pPr>
      <w:r>
        <w:rPr>
          <w:rStyle w:val="FootnoteReference"/>
        </w:rPr>
        <w:footnoteRef/>
      </w:r>
      <w:r w:rsidRPr="00067593">
        <w:rPr>
          <w:lang w:val="it-IT"/>
        </w:rPr>
        <w:t xml:space="preserve"> </w:t>
      </w:r>
      <w:r w:rsidRPr="00067593">
        <w:rPr>
          <w:lang w:val="it-IT"/>
        </w:rPr>
        <w:tab/>
        <w:t xml:space="preserve">Relazione finale sulla nona conferenza degli Stati parte (CoSP9). </w:t>
      </w:r>
    </w:p>
  </w:footnote>
  <w:footnote w:id="57">
    <w:p w14:paraId="1ADA9D3F" w14:textId="7817C317" w:rsidR="00FB4C5F" w:rsidRPr="00067593" w:rsidRDefault="00FB4C5F">
      <w:pPr>
        <w:pStyle w:val="FootnoteText"/>
        <w:rPr>
          <w:lang w:val="it-IT"/>
        </w:rPr>
      </w:pPr>
      <w:r>
        <w:rPr>
          <w:rStyle w:val="FootnoteReference"/>
        </w:rPr>
        <w:footnoteRef/>
      </w:r>
      <w:r w:rsidRPr="00067593">
        <w:rPr>
          <w:lang w:val="it-IT"/>
        </w:rPr>
        <w:tab/>
        <w:t xml:space="preserve">Per ulteriori informazioni, cfr. il documento </w:t>
      </w:r>
      <w:r w:rsidR="00BF0169">
        <w:rPr>
          <w:lang w:val="it-IT"/>
        </w:rPr>
        <w:t>"</w:t>
      </w:r>
      <w:r w:rsidRPr="00067593">
        <w:rPr>
          <w:lang w:val="it-IT"/>
        </w:rPr>
        <w:t>Riepilogo annuale con informazioni sui risultati del programma antifrode dell</w:t>
      </w:r>
      <w:r w:rsidR="00BF0169">
        <w:rPr>
          <w:lang w:val="it-IT"/>
        </w:rPr>
        <w:t>'</w:t>
      </w:r>
      <w:r w:rsidRPr="00067593">
        <w:rPr>
          <w:lang w:val="it-IT"/>
        </w:rPr>
        <w:t>Unione nel 2021</w:t>
      </w:r>
      <w:r w:rsidR="00BF0169">
        <w:rPr>
          <w:lang w:val="it-IT"/>
        </w:rPr>
        <w:t>"</w:t>
      </w:r>
      <w:r w:rsidRPr="00067593">
        <w:rPr>
          <w:lang w:val="it-IT"/>
        </w:rPr>
        <w:t xml:space="preserve"> che accompagna la presente relazione.</w:t>
      </w:r>
    </w:p>
  </w:footnote>
  <w:footnote w:id="58">
    <w:p w14:paraId="4A6F3BF4" w14:textId="4F50D2B7" w:rsidR="00FB4C5F" w:rsidRPr="00067593" w:rsidRDefault="00FB4C5F" w:rsidP="00A86074">
      <w:pPr>
        <w:pStyle w:val="FootnoteText"/>
        <w:rPr>
          <w:lang w:val="it-IT"/>
        </w:rPr>
      </w:pPr>
      <w:r>
        <w:rPr>
          <w:rStyle w:val="FootnoteReference"/>
        </w:rPr>
        <w:footnoteRef/>
      </w:r>
      <w:r w:rsidRPr="00067593">
        <w:rPr>
          <w:lang w:val="it-IT"/>
        </w:rPr>
        <w:tab/>
        <w:t xml:space="preserve">Regolamento (CE) </w:t>
      </w:r>
      <w:r w:rsidR="00AE539E">
        <w:rPr>
          <w:lang w:val="it-IT"/>
        </w:rPr>
        <w:t>n. </w:t>
      </w:r>
      <w:r w:rsidRPr="00067593">
        <w:rPr>
          <w:lang w:val="it-IT"/>
        </w:rPr>
        <w:t>515/97 del Consiglio del 13 marzo 1997 relativo alla mutua assistenza tra le autorità amministrative degli Stati membri e alla collaborazione tra queste e la Commissione per assicurare la corretta applicazione delle normative doganale e agricola (</w:t>
      </w:r>
      <w:r w:rsidR="00AE539E">
        <w:rPr>
          <w:lang w:val="it-IT"/>
        </w:rPr>
        <w:t>GU L </w:t>
      </w:r>
      <w:r w:rsidRPr="00067593">
        <w:rPr>
          <w:lang w:val="it-IT"/>
        </w:rPr>
        <w:t>82 del 22.3.1997, pag. 1).</w:t>
      </w:r>
    </w:p>
  </w:footnote>
  <w:footnote w:id="59">
    <w:p w14:paraId="1D5C4ADB" w14:textId="64DC9D78" w:rsidR="00FB4C5F" w:rsidRPr="00067593" w:rsidRDefault="00FB4C5F">
      <w:pPr>
        <w:pStyle w:val="FootnoteText"/>
        <w:rPr>
          <w:lang w:val="it-IT"/>
        </w:rPr>
      </w:pPr>
      <w:r>
        <w:rPr>
          <w:rStyle w:val="FootnoteReference"/>
        </w:rPr>
        <w:footnoteRef/>
      </w:r>
      <w:r w:rsidRPr="00067593">
        <w:rPr>
          <w:lang w:val="it-IT"/>
        </w:rPr>
        <w:tab/>
        <w:t>Per una descrizione del sistema cfr. sezione 7.2.</w:t>
      </w:r>
    </w:p>
  </w:footnote>
  <w:footnote w:id="60">
    <w:p w14:paraId="364F8F20" w14:textId="1B1082F7" w:rsidR="00FB4C5F" w:rsidRPr="00067593" w:rsidRDefault="00FB4C5F">
      <w:pPr>
        <w:pStyle w:val="FootnoteText"/>
        <w:rPr>
          <w:lang w:val="it-IT"/>
        </w:rPr>
      </w:pPr>
      <w:r>
        <w:rPr>
          <w:rStyle w:val="FootnoteReference"/>
        </w:rPr>
        <w:footnoteRef/>
      </w:r>
      <w:r w:rsidRPr="00067593">
        <w:rPr>
          <w:lang w:val="it-IT"/>
        </w:rPr>
        <w:tab/>
        <w:t>Croazia, Finlandia, Grecia, Lettonia, Lussemburgo, Portogallo, Romania e Spagna.</w:t>
      </w:r>
    </w:p>
  </w:footnote>
  <w:footnote w:id="61">
    <w:p w14:paraId="6C3A4787" w14:textId="2556A527" w:rsidR="00FB4C5F" w:rsidRPr="00067593" w:rsidRDefault="00FB4C5F">
      <w:pPr>
        <w:pStyle w:val="FootnoteText"/>
        <w:rPr>
          <w:lang w:val="it-IT"/>
        </w:rPr>
      </w:pPr>
      <w:r>
        <w:rPr>
          <w:rStyle w:val="FootnoteReference"/>
        </w:rPr>
        <w:footnoteRef/>
      </w:r>
      <w:r w:rsidRPr="00067593">
        <w:rPr>
          <w:lang w:val="it-IT"/>
        </w:rPr>
        <w:tab/>
        <w:t>Belgio, Cipro, Slovacchia, Slovenia e Svezia.</w:t>
      </w:r>
    </w:p>
  </w:footnote>
  <w:footnote w:id="62">
    <w:p w14:paraId="2997A5C9" w14:textId="1196FD01" w:rsidR="00FB4C5F" w:rsidRPr="00067593" w:rsidRDefault="00FB4C5F">
      <w:pPr>
        <w:pStyle w:val="FootnoteText"/>
        <w:rPr>
          <w:lang w:val="it-IT"/>
        </w:rPr>
      </w:pPr>
      <w:r>
        <w:rPr>
          <w:rStyle w:val="FootnoteReference"/>
        </w:rPr>
        <w:footnoteRef/>
      </w:r>
      <w:r w:rsidRPr="00067593">
        <w:rPr>
          <w:lang w:val="it-IT"/>
        </w:rPr>
        <w:tab/>
        <w:t>Estonia, Ungheria, Malta e Paesi Bassi.</w:t>
      </w:r>
    </w:p>
  </w:footnote>
  <w:footnote w:id="63">
    <w:p w14:paraId="285BDDFA" w14:textId="3042ABC1" w:rsidR="00FB4C5F" w:rsidRPr="00067593" w:rsidRDefault="00FB4C5F">
      <w:pPr>
        <w:pStyle w:val="FootnoteText"/>
        <w:rPr>
          <w:lang w:val="it-IT"/>
        </w:rPr>
      </w:pPr>
      <w:r>
        <w:rPr>
          <w:rStyle w:val="FootnoteReference"/>
        </w:rPr>
        <w:footnoteRef/>
      </w:r>
      <w:r w:rsidRPr="00067593">
        <w:rPr>
          <w:lang w:val="it-IT"/>
        </w:rPr>
        <w:tab/>
        <w:t>Direttiva (UE) 2018/843 del Parlamento europeo e del Consiglio, del 30 maggio 2018, che modifica la direttiva (UE) 2015/849 relativa alla prevenzione dell</w:t>
      </w:r>
      <w:r w:rsidR="00BF0169">
        <w:rPr>
          <w:lang w:val="it-IT"/>
        </w:rPr>
        <w:t>'</w:t>
      </w:r>
      <w:r w:rsidRPr="00067593">
        <w:rPr>
          <w:lang w:val="it-IT"/>
        </w:rPr>
        <w:t>uso del sistema finanziario a fini di riciclaggio o finanziamento del terrorismo e che modifica le direttive 2009/138/CE e 2013/36/UE (</w:t>
      </w:r>
      <w:r w:rsidR="00AE539E">
        <w:rPr>
          <w:lang w:val="it-IT"/>
        </w:rPr>
        <w:t>GU L </w:t>
      </w:r>
      <w:r w:rsidR="005922A1">
        <w:rPr>
          <w:lang w:val="it-IT"/>
        </w:rPr>
        <w:t>156 del </w:t>
      </w:r>
      <w:r w:rsidRPr="00067593">
        <w:rPr>
          <w:lang w:val="it-IT"/>
        </w:rPr>
        <w:t>19.6.2018, pag. 43).</w:t>
      </w:r>
    </w:p>
  </w:footnote>
  <w:footnote w:id="64">
    <w:p w14:paraId="675F8D98" w14:textId="77777777" w:rsidR="00FB4C5F" w:rsidRPr="00067593" w:rsidRDefault="00FB4C5F">
      <w:pPr>
        <w:pStyle w:val="FootnoteText"/>
        <w:rPr>
          <w:lang w:val="it-IT"/>
        </w:rPr>
      </w:pPr>
      <w:r>
        <w:rPr>
          <w:rStyle w:val="FootnoteReference"/>
        </w:rPr>
        <w:footnoteRef/>
      </w:r>
      <w:r w:rsidRPr="00067593">
        <w:rPr>
          <w:lang w:val="it-IT"/>
        </w:rPr>
        <w:tab/>
      </w:r>
      <w:hyperlink r:id="rId5" w:anchor="ue" w:history="1">
        <w:r w:rsidRPr="00067593">
          <w:rPr>
            <w:rStyle w:val="Hyperlink"/>
            <w:lang w:val="it-IT"/>
          </w:rPr>
          <w:t>https://ec.europa.eu/info/business-economy-euro/banking-and-finance/financial-supervision-and-risk-management/anti-money-laundering-and-counter-terrorist-financing_en#eu</w:t>
        </w:r>
      </w:hyperlink>
      <w:r w:rsidRPr="00067593">
        <w:rPr>
          <w:lang w:val="it-IT"/>
        </w:rPr>
        <w:t xml:space="preserve">. </w:t>
      </w:r>
    </w:p>
  </w:footnote>
  <w:footnote w:id="65">
    <w:p w14:paraId="57C7EEE3" w14:textId="77777777" w:rsidR="00FB4C5F" w:rsidRPr="00067593" w:rsidRDefault="00FB4C5F">
      <w:pPr>
        <w:pStyle w:val="FootnoteText"/>
        <w:rPr>
          <w:lang w:val="it-IT"/>
        </w:rPr>
      </w:pPr>
      <w:r>
        <w:rPr>
          <w:rStyle w:val="FootnoteReference"/>
        </w:rPr>
        <w:footnoteRef/>
      </w:r>
      <w:r w:rsidRPr="00067593">
        <w:rPr>
          <w:lang w:val="it-IT"/>
        </w:rPr>
        <w:tab/>
      </w:r>
      <w:hyperlink r:id="rId6" w:history="1">
        <w:r w:rsidRPr="00067593">
          <w:rPr>
            <w:rStyle w:val="Hyperlink"/>
            <w:lang w:val="it-IT"/>
          </w:rPr>
          <w:t>https://ec.europa.eu/info/business-economy-euro/economic-and-fiscal-policy-coordination/eu-economic-governance-monitoring-prevention-correction/european-semester_it</w:t>
        </w:r>
      </w:hyperlink>
      <w:r w:rsidRPr="00067593">
        <w:rPr>
          <w:lang w:val="it-IT"/>
        </w:rPr>
        <w:t xml:space="preserve">. </w:t>
      </w:r>
    </w:p>
  </w:footnote>
  <w:footnote w:id="66">
    <w:p w14:paraId="2C245F2C" w14:textId="77777777" w:rsidR="00FB4C5F" w:rsidRPr="00067593" w:rsidRDefault="00FB4C5F">
      <w:pPr>
        <w:pStyle w:val="FootnoteText"/>
        <w:rPr>
          <w:lang w:val="it-IT"/>
        </w:rPr>
      </w:pPr>
      <w:r>
        <w:rPr>
          <w:rStyle w:val="FootnoteReference"/>
        </w:rPr>
        <w:footnoteRef/>
      </w:r>
      <w:r w:rsidRPr="00067593">
        <w:rPr>
          <w:lang w:val="it-IT"/>
        </w:rPr>
        <w:tab/>
      </w:r>
      <w:hyperlink r:id="rId7" w:history="1">
        <w:r w:rsidRPr="00067593">
          <w:rPr>
            <w:rStyle w:val="Hyperlink"/>
            <w:lang w:val="it-IT"/>
          </w:rPr>
          <w:t>https://ec.europa.eu/info/business-economy-euro/economic-and-fiscal-policy-coordination/eu-economic-governance-monitoring-prevention-correction/european-semester/european-semester-timeline/spring-package_it</w:t>
        </w:r>
      </w:hyperlink>
      <w:r w:rsidRPr="00067593">
        <w:rPr>
          <w:lang w:val="it-IT"/>
        </w:rPr>
        <w:t xml:space="preserve">. </w:t>
      </w:r>
    </w:p>
  </w:footnote>
  <w:footnote w:id="67">
    <w:p w14:paraId="0A63D342" w14:textId="5BF7300C" w:rsidR="00FB4C5F" w:rsidRPr="00067593" w:rsidRDefault="00FB4C5F" w:rsidP="00EC369B">
      <w:pPr>
        <w:pStyle w:val="FootnoteText"/>
        <w:rPr>
          <w:lang w:val="it-IT"/>
        </w:rPr>
      </w:pPr>
      <w:r>
        <w:rPr>
          <w:rStyle w:val="FootnoteReference"/>
        </w:rPr>
        <w:footnoteRef/>
      </w:r>
      <w:r w:rsidRPr="00067593">
        <w:rPr>
          <w:lang w:val="it-IT"/>
        </w:rPr>
        <w:tab/>
        <w:t>Nessuna misura inclusa nel dispositivo per la ripresa e la resilienza dovrebbe arrecare un danno significativo agli obiettivi quali definiti dall</w:t>
      </w:r>
      <w:r w:rsidR="00BF0169">
        <w:rPr>
          <w:lang w:val="it-IT"/>
        </w:rPr>
        <w:t>'</w:t>
      </w:r>
      <w:r w:rsidRPr="00067593">
        <w:rPr>
          <w:lang w:val="it-IT"/>
        </w:rPr>
        <w:t>articolo 17 del regolamento (UE) 2020/852 sulla tassonomia.</w:t>
      </w:r>
    </w:p>
  </w:footnote>
  <w:footnote w:id="68">
    <w:p w14:paraId="32AC4E43" w14:textId="493E9877" w:rsidR="00FB4C5F" w:rsidRPr="00067593" w:rsidRDefault="00FB4C5F" w:rsidP="00A86074">
      <w:pPr>
        <w:pStyle w:val="FootnoteText"/>
        <w:rPr>
          <w:lang w:val="it-IT"/>
        </w:rPr>
      </w:pPr>
      <w:r>
        <w:rPr>
          <w:rStyle w:val="FootnoteReference"/>
        </w:rPr>
        <w:footnoteRef/>
      </w:r>
      <w:r w:rsidRPr="00067593">
        <w:rPr>
          <w:lang w:val="it-IT"/>
        </w:rPr>
        <w:tab/>
        <w:t>Articolo 22, del regolamento (UE) 2021/241 del Parlamento europeo e del Consiglio, del 12 febbraio 2021, che istituisce il dispositivo per la ripresa e la resilienza (</w:t>
      </w:r>
      <w:r w:rsidR="00AE539E">
        <w:rPr>
          <w:lang w:val="it-IT"/>
        </w:rPr>
        <w:t>GU L </w:t>
      </w:r>
      <w:r w:rsidRPr="00067593">
        <w:rPr>
          <w:lang w:val="it-IT"/>
        </w:rPr>
        <w:t>57 del 18.2.2021, pag. 17).</w:t>
      </w:r>
    </w:p>
  </w:footnote>
  <w:footnote w:id="69">
    <w:p w14:paraId="17433E87" w14:textId="4B6493F8" w:rsidR="00FB4C5F" w:rsidRPr="00067593" w:rsidRDefault="00FB4C5F">
      <w:pPr>
        <w:pStyle w:val="FootnoteText"/>
        <w:rPr>
          <w:lang w:val="it-IT"/>
        </w:rPr>
      </w:pPr>
      <w:r>
        <w:rPr>
          <w:rStyle w:val="FootnoteReference"/>
        </w:rPr>
        <w:footnoteRef/>
      </w:r>
      <w:r w:rsidRPr="00067593">
        <w:rPr>
          <w:lang w:val="it-IT"/>
        </w:rPr>
        <w:t xml:space="preserve"> </w:t>
      </w:r>
      <w:r w:rsidRPr="00067593">
        <w:rPr>
          <w:lang w:val="it-IT"/>
        </w:rPr>
        <w:tab/>
        <w:t>Ungheria e Paesi Bassi non li hanno ancora adottati.</w:t>
      </w:r>
    </w:p>
  </w:footnote>
  <w:footnote w:id="70">
    <w:p w14:paraId="09C280E3" w14:textId="77777777" w:rsidR="00FB4C5F" w:rsidRPr="00067593" w:rsidRDefault="00FB4C5F">
      <w:pPr>
        <w:pStyle w:val="FootnoteText"/>
        <w:rPr>
          <w:lang w:val="it-IT"/>
        </w:rPr>
      </w:pPr>
      <w:r>
        <w:rPr>
          <w:rStyle w:val="FootnoteReference"/>
        </w:rPr>
        <w:footnoteRef/>
      </w:r>
      <w:r w:rsidRPr="00067593">
        <w:rPr>
          <w:lang w:val="it-IT"/>
        </w:rPr>
        <w:tab/>
        <w:t>Danimarca, Lituania, Malta, Portogallo e Svezia.</w:t>
      </w:r>
    </w:p>
  </w:footnote>
  <w:footnote w:id="71">
    <w:p w14:paraId="05D72EA7" w14:textId="77777777" w:rsidR="00FB4C5F" w:rsidRPr="00067593" w:rsidRDefault="00FB4C5F">
      <w:pPr>
        <w:pStyle w:val="FootnoteText"/>
        <w:rPr>
          <w:lang w:val="it-IT"/>
        </w:rPr>
      </w:pPr>
      <w:r>
        <w:rPr>
          <w:rStyle w:val="FootnoteReference"/>
        </w:rPr>
        <w:footnoteRef/>
      </w:r>
      <w:r w:rsidRPr="00067593">
        <w:rPr>
          <w:lang w:val="it-IT"/>
        </w:rPr>
        <w:tab/>
        <w:t>Croazia, Cipro, Francia e Lettonia.</w:t>
      </w:r>
    </w:p>
  </w:footnote>
  <w:footnote w:id="72">
    <w:p w14:paraId="2B257A43" w14:textId="77777777" w:rsidR="00FB4C5F" w:rsidRPr="00067593" w:rsidRDefault="00FB4C5F">
      <w:pPr>
        <w:pStyle w:val="FootnoteText"/>
        <w:rPr>
          <w:lang w:val="it-IT"/>
        </w:rPr>
      </w:pPr>
      <w:r>
        <w:rPr>
          <w:rStyle w:val="FootnoteReference"/>
        </w:rPr>
        <w:footnoteRef/>
      </w:r>
      <w:r w:rsidRPr="00067593">
        <w:rPr>
          <w:lang w:val="it-IT"/>
        </w:rPr>
        <w:tab/>
        <w:t>Ungheria.</w:t>
      </w:r>
    </w:p>
  </w:footnote>
  <w:footnote w:id="73">
    <w:p w14:paraId="57D01BA7" w14:textId="77777777" w:rsidR="00FB4C5F" w:rsidRPr="00067593" w:rsidRDefault="00FB4C5F">
      <w:pPr>
        <w:pStyle w:val="FootnoteText"/>
        <w:rPr>
          <w:lang w:val="it-IT"/>
        </w:rPr>
      </w:pPr>
      <w:r>
        <w:rPr>
          <w:rStyle w:val="FootnoteReference"/>
        </w:rPr>
        <w:footnoteRef/>
      </w:r>
      <w:r w:rsidRPr="00067593">
        <w:rPr>
          <w:lang w:val="it-IT"/>
        </w:rPr>
        <w:tab/>
        <w:t xml:space="preserve">Danimarca, Francia e Lettonia. </w:t>
      </w:r>
    </w:p>
  </w:footnote>
  <w:footnote w:id="74">
    <w:p w14:paraId="65C1C22A" w14:textId="77777777" w:rsidR="00FB4C5F" w:rsidRPr="00813F4C" w:rsidRDefault="00FB4C5F">
      <w:pPr>
        <w:pStyle w:val="FootnoteText"/>
      </w:pPr>
      <w:r>
        <w:rPr>
          <w:rStyle w:val="FootnoteReference"/>
        </w:rPr>
        <w:footnoteRef/>
      </w:r>
      <w:r>
        <w:tab/>
        <w:t>COM(2021) 700 final del 20.7.2021.</w:t>
      </w:r>
    </w:p>
  </w:footnote>
  <w:footnote w:id="75">
    <w:p w14:paraId="55429FB2" w14:textId="77777777" w:rsidR="00FB4C5F" w:rsidRPr="00E878ED" w:rsidRDefault="00FB4C5F" w:rsidP="006D5369">
      <w:pPr>
        <w:pStyle w:val="FootnoteText"/>
      </w:pPr>
      <w:r>
        <w:rPr>
          <w:rStyle w:val="FootnoteReference"/>
        </w:rPr>
        <w:footnoteRef/>
      </w:r>
      <w:r>
        <w:t xml:space="preserve"> </w:t>
      </w:r>
      <w:r>
        <w:tab/>
        <w:t>COM(2022) 500 final del 13.7.2022.</w:t>
      </w:r>
    </w:p>
  </w:footnote>
  <w:footnote w:id="76">
    <w:p w14:paraId="77F552B7" w14:textId="77777777" w:rsidR="00FB4C5F" w:rsidRPr="00067593" w:rsidRDefault="00FB4C5F">
      <w:pPr>
        <w:pStyle w:val="FootnoteText"/>
        <w:rPr>
          <w:lang w:val="it-IT"/>
        </w:rPr>
      </w:pPr>
      <w:r>
        <w:rPr>
          <w:rStyle w:val="FootnoteReference"/>
        </w:rPr>
        <w:footnoteRef/>
      </w:r>
      <w:r w:rsidRPr="00067593">
        <w:rPr>
          <w:lang w:val="it-IT"/>
        </w:rPr>
        <w:tab/>
        <w:t>COM(2022) 1382 final del 2.3.2022.</w:t>
      </w:r>
    </w:p>
  </w:footnote>
  <w:footnote w:id="77">
    <w:p w14:paraId="19733BA1" w14:textId="21A8FC04" w:rsidR="00FB4C5F" w:rsidRPr="00067593" w:rsidRDefault="00FB4C5F">
      <w:pPr>
        <w:pStyle w:val="FootnoteText"/>
        <w:rPr>
          <w:lang w:val="it-IT"/>
        </w:rPr>
      </w:pPr>
      <w:r>
        <w:rPr>
          <w:rStyle w:val="FootnoteReference"/>
        </w:rPr>
        <w:footnoteRef/>
      </w:r>
      <w:r w:rsidRPr="00067593">
        <w:rPr>
          <w:lang w:val="it-IT"/>
        </w:rPr>
        <w:tab/>
        <w:t>Si tratta del lasso di tempo calcolato per le irregolarità segnalate nell</w:t>
      </w:r>
      <w:r w:rsidR="00BF0169">
        <w:rPr>
          <w:lang w:val="it-IT"/>
        </w:rPr>
        <w:t>'</w:t>
      </w:r>
      <w:r w:rsidRPr="00067593">
        <w:rPr>
          <w:lang w:val="it-IT"/>
        </w:rPr>
        <w:t xml:space="preserve">ambito della politica di coesione. Cfr. il documento </w:t>
      </w:r>
      <w:r w:rsidR="00BF0169">
        <w:rPr>
          <w:lang w:val="it-IT"/>
        </w:rPr>
        <w:t>"</w:t>
      </w:r>
      <w:r w:rsidRPr="00067593">
        <w:rPr>
          <w:lang w:val="it-IT"/>
        </w:rPr>
        <w:t>Valutazione statistica delle irregolarità segnalate nel 2021</w:t>
      </w:r>
      <w:r w:rsidR="00BF0169">
        <w:rPr>
          <w:lang w:val="it-IT"/>
        </w:rPr>
        <w:t>"</w:t>
      </w:r>
      <w:r w:rsidRPr="00067593">
        <w:rPr>
          <w:lang w:val="it-IT"/>
        </w:rPr>
        <w:t xml:space="preserve"> che accompagna la presente relazione, sezione 4.5.1.</w:t>
      </w:r>
    </w:p>
  </w:footnote>
  <w:footnote w:id="78">
    <w:p w14:paraId="3FA3C078" w14:textId="15356D97" w:rsidR="00FB4C5F" w:rsidRPr="00067593" w:rsidRDefault="00FB4C5F">
      <w:pPr>
        <w:pStyle w:val="FootnoteText"/>
        <w:rPr>
          <w:lang w:val="it-IT"/>
        </w:rPr>
      </w:pPr>
      <w:r>
        <w:rPr>
          <w:rStyle w:val="FootnoteReference"/>
        </w:rPr>
        <w:footnoteRef/>
      </w:r>
      <w:r w:rsidRPr="00067593">
        <w:rPr>
          <w:lang w:val="it-IT"/>
        </w:rPr>
        <w:tab/>
        <w:t xml:space="preserve">Il regolamento (UE, Euratom) 2022/615 del Consiglio che modifica il regolamento (UE, Euratom) </w:t>
      </w:r>
      <w:r w:rsidR="00AE539E">
        <w:rPr>
          <w:lang w:val="it-IT"/>
        </w:rPr>
        <w:t>n. </w:t>
      </w:r>
      <w:r w:rsidRPr="00067593">
        <w:rPr>
          <w:lang w:val="it-IT"/>
        </w:rPr>
        <w:t>609/2014 è stato adottato il 5 aprile 2022.</w:t>
      </w:r>
    </w:p>
  </w:footnote>
  <w:footnote w:id="79">
    <w:p w14:paraId="0664DBEF" w14:textId="4543CC89" w:rsidR="00FB4C5F" w:rsidRPr="00067593" w:rsidRDefault="00FB4C5F">
      <w:pPr>
        <w:pStyle w:val="FootnoteText"/>
        <w:rPr>
          <w:i/>
          <w:lang w:val="it-IT"/>
        </w:rPr>
      </w:pPr>
      <w:r>
        <w:rPr>
          <w:rStyle w:val="FootnoteReference"/>
        </w:rPr>
        <w:footnoteRef/>
      </w:r>
      <w:r w:rsidRPr="00067593">
        <w:rPr>
          <w:lang w:val="it-IT"/>
        </w:rPr>
        <w:tab/>
        <w:t>Procura europea, Relazione annuale 2021, pag. 10</w:t>
      </w:r>
      <w:r w:rsidRPr="00067593">
        <w:rPr>
          <w:i/>
          <w:lang w:val="it-IT"/>
        </w:rPr>
        <w:t>.</w:t>
      </w:r>
    </w:p>
  </w:footnote>
  <w:footnote w:id="80">
    <w:p w14:paraId="66561C4A" w14:textId="21341884" w:rsidR="00FB4C5F" w:rsidRPr="00067593" w:rsidRDefault="00FB4C5F" w:rsidP="006C7D78">
      <w:pPr>
        <w:pStyle w:val="FootnoteText"/>
        <w:rPr>
          <w:lang w:val="it-IT"/>
        </w:rPr>
      </w:pPr>
      <w:r>
        <w:rPr>
          <w:rStyle w:val="FootnoteReference"/>
        </w:rPr>
        <w:footnoteRef/>
      </w:r>
      <w:r w:rsidRPr="00067593">
        <w:rPr>
          <w:lang w:val="it-IT"/>
        </w:rPr>
        <w:tab/>
        <w:t>FDR – Tasso di individuazione delle frodi: rapporto tra gli importi finanziari relativi a irregolarità fraudolente e l</w:t>
      </w:r>
      <w:r w:rsidR="00BF0169">
        <w:rPr>
          <w:lang w:val="it-IT"/>
        </w:rPr>
        <w:t>'</w:t>
      </w:r>
      <w:r w:rsidRPr="00067593">
        <w:rPr>
          <w:lang w:val="it-IT"/>
        </w:rPr>
        <w:t>importo totale constatato e stimato di risorse proprie.</w:t>
      </w:r>
    </w:p>
  </w:footnote>
  <w:footnote w:id="81">
    <w:p w14:paraId="10883321" w14:textId="3A7CB598" w:rsidR="00FB4C5F" w:rsidRPr="00067593" w:rsidRDefault="00FB4C5F" w:rsidP="006C7D78">
      <w:pPr>
        <w:pStyle w:val="FootnoteText"/>
        <w:rPr>
          <w:lang w:val="it-IT"/>
        </w:rPr>
      </w:pPr>
      <w:r>
        <w:rPr>
          <w:rStyle w:val="FootnoteReference"/>
        </w:rPr>
        <w:footnoteRef/>
      </w:r>
      <w:r w:rsidRPr="00067593">
        <w:rPr>
          <w:lang w:val="it-IT"/>
        </w:rPr>
        <w:tab/>
        <w:t>IDR – tasso di individuazione di irregolarità: rapporto tra gli importi finanziari relativi a irregolarità non fraudolente e l</w:t>
      </w:r>
      <w:r w:rsidR="00BF0169">
        <w:rPr>
          <w:lang w:val="it-IT"/>
        </w:rPr>
        <w:t>'</w:t>
      </w:r>
      <w:r w:rsidRPr="00067593">
        <w:rPr>
          <w:lang w:val="it-IT"/>
        </w:rPr>
        <w:t xml:space="preserve">importo totale constatato e stimato di risorse proprie. </w:t>
      </w:r>
    </w:p>
  </w:footnote>
  <w:footnote w:id="82">
    <w:p w14:paraId="3B2E4F9B" w14:textId="4AA25D6A" w:rsidR="00FB4C5F" w:rsidRPr="00067593" w:rsidRDefault="00FB4C5F">
      <w:pPr>
        <w:pStyle w:val="FootnoteText"/>
        <w:rPr>
          <w:lang w:val="it-IT"/>
        </w:rPr>
      </w:pPr>
      <w:r>
        <w:rPr>
          <w:rStyle w:val="FootnoteReference"/>
        </w:rPr>
        <w:footnoteRef/>
      </w:r>
      <w:r w:rsidRPr="00067593">
        <w:rPr>
          <w:lang w:val="it-IT"/>
        </w:rPr>
        <w:tab/>
        <w:t>Per un</w:t>
      </w:r>
      <w:r w:rsidR="00BF0169">
        <w:rPr>
          <w:lang w:val="it-IT"/>
        </w:rPr>
        <w:t>'</w:t>
      </w:r>
      <w:r w:rsidRPr="00067593">
        <w:rPr>
          <w:lang w:val="it-IT"/>
        </w:rPr>
        <w:t xml:space="preserve">analisi completa delle irregolarità segnalate nelle RPT, cfr. il documento </w:t>
      </w:r>
      <w:r w:rsidR="00BF0169">
        <w:rPr>
          <w:lang w:val="it-IT"/>
        </w:rPr>
        <w:t>"</w:t>
      </w:r>
      <w:r w:rsidRPr="00067593">
        <w:rPr>
          <w:lang w:val="it-IT"/>
        </w:rPr>
        <w:t>Valutazione statistica delle irregolarità segnalate per il 2021</w:t>
      </w:r>
      <w:r w:rsidR="00BF0169">
        <w:rPr>
          <w:lang w:val="it-IT"/>
        </w:rPr>
        <w:t>"</w:t>
      </w:r>
      <w:r w:rsidRPr="00067593">
        <w:rPr>
          <w:lang w:val="it-IT"/>
        </w:rPr>
        <w:t xml:space="preserve"> che accompagna la presente relazione, sezione 2.</w:t>
      </w:r>
    </w:p>
  </w:footnote>
  <w:footnote w:id="83">
    <w:p w14:paraId="6672DED2" w14:textId="114C1364" w:rsidR="00FB4C5F" w:rsidRPr="00067593" w:rsidRDefault="00FB4C5F" w:rsidP="00747F11">
      <w:pPr>
        <w:pStyle w:val="FootnoteText"/>
        <w:rPr>
          <w:lang w:val="it-IT"/>
        </w:rPr>
      </w:pPr>
      <w:r>
        <w:rPr>
          <w:rStyle w:val="FootnoteReference"/>
        </w:rPr>
        <w:footnoteRef/>
      </w:r>
      <w:r w:rsidRPr="00067593">
        <w:rPr>
          <w:lang w:val="it-IT"/>
        </w:rPr>
        <w:tab/>
        <w:t xml:space="preserve">Commissione europea, </w:t>
      </w:r>
      <w:r w:rsidRPr="00067593">
        <w:rPr>
          <w:i/>
          <w:lang w:val="it-IT"/>
        </w:rPr>
        <w:t>Trentaduesima relazione annuale sulla tutela degli interessi finanziari dell</w:t>
      </w:r>
      <w:r w:rsidR="00BF0169">
        <w:rPr>
          <w:i/>
          <w:lang w:val="it-IT"/>
        </w:rPr>
        <w:t>'</w:t>
      </w:r>
      <w:r w:rsidRPr="00067593">
        <w:rPr>
          <w:i/>
          <w:lang w:val="it-IT"/>
        </w:rPr>
        <w:t>Unione europea e sulla lotta contro la frode (2020)</w:t>
      </w:r>
      <w:r w:rsidRPr="00067593">
        <w:rPr>
          <w:lang w:val="it-IT"/>
        </w:rPr>
        <w:t>, istantanea 1, pag. 13.</w:t>
      </w:r>
    </w:p>
  </w:footnote>
  <w:footnote w:id="84">
    <w:p w14:paraId="5FDB06F6" w14:textId="7B6674F9" w:rsidR="00FB4C5F" w:rsidRPr="00067593" w:rsidRDefault="00FB4C5F" w:rsidP="00747F11">
      <w:pPr>
        <w:pStyle w:val="FootnoteText"/>
        <w:rPr>
          <w:lang w:val="it-IT"/>
        </w:rPr>
      </w:pPr>
      <w:r>
        <w:rPr>
          <w:rStyle w:val="FootnoteReference"/>
        </w:rPr>
        <w:footnoteRef/>
      </w:r>
      <w:r w:rsidRPr="00067593">
        <w:rPr>
          <w:lang w:val="it-IT"/>
        </w:rPr>
        <w:tab/>
        <w:t>Sentenza dell</w:t>
      </w:r>
      <w:r w:rsidR="00BF0169">
        <w:rPr>
          <w:lang w:val="it-IT"/>
        </w:rPr>
        <w:t>'</w:t>
      </w:r>
      <w:r w:rsidRPr="00067593">
        <w:rPr>
          <w:lang w:val="it-IT"/>
        </w:rPr>
        <w:t>8 marzo 2022. ECLI:EU:C:2022:167.</w:t>
      </w:r>
    </w:p>
  </w:footnote>
  <w:footnote w:id="85">
    <w:p w14:paraId="541E3036" w14:textId="31C317A6" w:rsidR="00FB4C5F" w:rsidRPr="00067593" w:rsidRDefault="00FB4C5F" w:rsidP="00B850E7">
      <w:pPr>
        <w:pStyle w:val="FootnoteText"/>
        <w:ind w:left="284" w:hanging="284"/>
        <w:rPr>
          <w:lang w:val="it-IT"/>
        </w:rPr>
      </w:pPr>
      <w:r>
        <w:rPr>
          <w:rStyle w:val="FootnoteReference"/>
        </w:rPr>
        <w:footnoteRef/>
      </w:r>
      <w:r w:rsidRPr="00067593">
        <w:rPr>
          <w:lang w:val="it-IT"/>
        </w:rPr>
        <w:t xml:space="preserve"> </w:t>
      </w:r>
      <w:r w:rsidRPr="00067593">
        <w:rPr>
          <w:lang w:val="it-IT"/>
        </w:rPr>
        <w:tab/>
        <w:t>Ai sensi dell</w:t>
      </w:r>
      <w:r w:rsidR="00BF0169">
        <w:rPr>
          <w:lang w:val="it-IT"/>
        </w:rPr>
        <w:t>'</w:t>
      </w:r>
      <w:r w:rsidRPr="00067593">
        <w:rPr>
          <w:lang w:val="it-IT"/>
        </w:rPr>
        <w:t>articolo 13 del regolamento antidumping di base, l</w:t>
      </w:r>
      <w:r w:rsidR="00BF0169">
        <w:rPr>
          <w:lang w:val="it-IT"/>
        </w:rPr>
        <w:t>'</w:t>
      </w:r>
      <w:r w:rsidRPr="00067593">
        <w:rPr>
          <w:lang w:val="it-IT"/>
        </w:rPr>
        <w:t>elusione si verifica quando i produttori esportatori di paesi terzi adottano pratiche quali la spedizione del prodotto attraverso un paese non soggetto a dazi (trasbordo), modificando leggermente il prodotto in modo che non rientri nell</w:t>
      </w:r>
      <w:r w:rsidR="00BF0169">
        <w:rPr>
          <w:lang w:val="it-IT"/>
        </w:rPr>
        <w:t>'</w:t>
      </w:r>
      <w:r w:rsidRPr="00067593">
        <w:rPr>
          <w:lang w:val="it-IT"/>
        </w:rPr>
        <w:t>assoggettamento ai dazi, oppure quali l</w:t>
      </w:r>
      <w:r w:rsidR="00BF0169">
        <w:rPr>
          <w:lang w:val="it-IT"/>
        </w:rPr>
        <w:t>'</w:t>
      </w:r>
      <w:r w:rsidRPr="00067593">
        <w:rPr>
          <w:lang w:val="it-IT"/>
        </w:rPr>
        <w:t>esportazione tramite un produttore esportatore soggetto ad aliquote individuali inferiori per i dazi antidumping o compensativi (canalizzazione aziendale).</w:t>
      </w:r>
    </w:p>
  </w:footnote>
  <w:footnote w:id="86">
    <w:p w14:paraId="252C5C70" w14:textId="46DED538" w:rsidR="00FB4C5F" w:rsidRPr="00067593" w:rsidRDefault="00FB4C5F" w:rsidP="00B850E7">
      <w:pPr>
        <w:ind w:left="284" w:hanging="284"/>
        <w:rPr>
          <w:sz w:val="20"/>
          <w:lang w:val="it-IT"/>
        </w:rPr>
      </w:pPr>
      <w:r>
        <w:rPr>
          <w:rStyle w:val="FootnoteReference"/>
        </w:rPr>
        <w:footnoteRef/>
      </w:r>
      <w:r w:rsidRPr="00067593">
        <w:rPr>
          <w:sz w:val="20"/>
          <w:lang w:val="it-IT"/>
        </w:rPr>
        <w:t xml:space="preserve"> </w:t>
      </w:r>
      <w:r w:rsidRPr="00067593">
        <w:rPr>
          <w:lang w:val="it-IT"/>
        </w:rPr>
        <w:tab/>
      </w:r>
      <w:r w:rsidRPr="00067593">
        <w:rPr>
          <w:sz w:val="20"/>
          <w:lang w:val="it-IT"/>
        </w:rPr>
        <w:t>Un</w:t>
      </w:r>
      <w:r w:rsidR="00BF0169">
        <w:rPr>
          <w:sz w:val="20"/>
          <w:lang w:val="it-IT"/>
        </w:rPr>
        <w:t>'</w:t>
      </w:r>
      <w:r w:rsidRPr="00067593">
        <w:rPr>
          <w:sz w:val="20"/>
          <w:lang w:val="it-IT"/>
        </w:rPr>
        <w:t>altra pratica è l</w:t>
      </w:r>
      <w:r w:rsidR="00BF0169">
        <w:rPr>
          <w:sz w:val="20"/>
          <w:lang w:val="it-IT"/>
        </w:rPr>
        <w:t>'</w:t>
      </w:r>
      <w:r w:rsidRPr="00067593">
        <w:rPr>
          <w:sz w:val="20"/>
          <w:lang w:val="it-IT"/>
        </w:rPr>
        <w:t>assorbimento del dazio che si verifica quando gli esportatori, nonostante le misure imposte, riducono i prezzi per superare i dazi oppure gli importatori non tengono conto del dazio corrisposto quando rivendono il prodotto nell</w:t>
      </w:r>
      <w:r w:rsidR="00BF0169">
        <w:rPr>
          <w:sz w:val="20"/>
          <w:lang w:val="it-IT"/>
        </w:rPr>
        <w:t>'</w:t>
      </w:r>
      <w:r w:rsidRPr="00067593">
        <w:rPr>
          <w:sz w:val="20"/>
          <w:lang w:val="it-IT"/>
        </w:rPr>
        <w:t>Unione.</w:t>
      </w:r>
    </w:p>
  </w:footnote>
  <w:footnote w:id="87">
    <w:p w14:paraId="31E2FFD7" w14:textId="77777777" w:rsidR="00FB4C5F" w:rsidRPr="00067593" w:rsidRDefault="00FB4C5F" w:rsidP="00B850E7">
      <w:pPr>
        <w:pStyle w:val="FootnoteText"/>
        <w:ind w:left="284" w:hanging="284"/>
        <w:rPr>
          <w:lang w:val="it-IT"/>
        </w:rPr>
      </w:pPr>
      <w:r>
        <w:rPr>
          <w:rStyle w:val="FootnoteReference"/>
        </w:rPr>
        <w:footnoteRef/>
      </w:r>
      <w:r w:rsidRPr="00067593">
        <w:rPr>
          <w:lang w:val="it-IT"/>
        </w:rPr>
        <w:t xml:space="preserve"> </w:t>
      </w:r>
      <w:r w:rsidRPr="00067593">
        <w:rPr>
          <w:lang w:val="it-IT"/>
        </w:rPr>
        <w:tab/>
        <w:t xml:space="preserve">I prodotti in fibra di vetro sono utilizzati, ad esempio, per la produzione di pale per turbine eoliche, nella produzione di imbarcazioni, autocarri e attrezzature sportive, nonché nei sistemi di risanamento di tubature. </w:t>
      </w:r>
    </w:p>
  </w:footnote>
  <w:footnote w:id="88">
    <w:p w14:paraId="79CD9491" w14:textId="25693234" w:rsidR="00FB4C5F" w:rsidRPr="00067593" w:rsidRDefault="00FB4C5F">
      <w:pPr>
        <w:pStyle w:val="FootnoteText"/>
        <w:rPr>
          <w:lang w:val="it-IT"/>
        </w:rPr>
      </w:pPr>
      <w:r>
        <w:rPr>
          <w:rStyle w:val="FootnoteReference"/>
        </w:rPr>
        <w:footnoteRef/>
      </w:r>
      <w:r w:rsidRPr="00067593">
        <w:rPr>
          <w:lang w:val="it-IT"/>
        </w:rPr>
        <w:tab/>
        <w:t xml:space="preserve">Cfr. Trentaduesima relazione PIF, </w:t>
      </w:r>
      <w:r w:rsidRPr="00067593">
        <w:rPr>
          <w:i/>
          <w:lang w:val="it-IT"/>
        </w:rPr>
        <w:t>cit.</w:t>
      </w:r>
      <w:r w:rsidRPr="00067593">
        <w:rPr>
          <w:lang w:val="it-IT"/>
        </w:rPr>
        <w:t>, sezione 6.2, pp. 38-42.</w:t>
      </w:r>
    </w:p>
  </w:footnote>
  <w:footnote w:id="89">
    <w:p w14:paraId="5EC97775" w14:textId="2ED9215B" w:rsidR="00FB4C5F" w:rsidRPr="00067593" w:rsidRDefault="00FB4C5F">
      <w:pPr>
        <w:pStyle w:val="FootnoteText"/>
        <w:rPr>
          <w:lang w:val="it-IT"/>
        </w:rPr>
      </w:pPr>
      <w:r>
        <w:rPr>
          <w:rStyle w:val="FootnoteReference"/>
        </w:rPr>
        <w:footnoteRef/>
      </w:r>
      <w:r w:rsidRPr="00067593">
        <w:rPr>
          <w:lang w:val="it-IT"/>
        </w:rPr>
        <w:tab/>
        <w:t xml:space="preserve">Commissione europea, </w:t>
      </w:r>
      <w:r w:rsidRPr="00067593">
        <w:rPr>
          <w:i/>
          <w:lang w:val="it-IT"/>
        </w:rPr>
        <w:t>Relazione della Commissione al Parlamento europeo e al Consiglio sul seguito dato al discarico per l</w:t>
      </w:r>
      <w:r w:rsidR="00BF0169">
        <w:rPr>
          <w:i/>
          <w:lang w:val="it-IT"/>
        </w:rPr>
        <w:t>'</w:t>
      </w:r>
      <w:r w:rsidRPr="00067593">
        <w:rPr>
          <w:i/>
          <w:lang w:val="it-IT"/>
        </w:rPr>
        <w:t>esercizio finanziario 2020</w:t>
      </w:r>
      <w:r w:rsidRPr="00067593">
        <w:rPr>
          <w:lang w:val="it-IT"/>
        </w:rPr>
        <w:t>, COM(2022) 331 final, 30.6.2022, pag. 2.</w:t>
      </w:r>
    </w:p>
  </w:footnote>
  <w:footnote w:id="90">
    <w:p w14:paraId="71F8BC36" w14:textId="77777777" w:rsidR="00FB4C5F" w:rsidRPr="00067593" w:rsidRDefault="00FB4C5F">
      <w:pPr>
        <w:pStyle w:val="FootnoteText"/>
        <w:rPr>
          <w:i/>
          <w:lang w:val="it-IT"/>
        </w:rPr>
      </w:pPr>
      <w:r>
        <w:rPr>
          <w:rStyle w:val="FootnoteReference"/>
        </w:rPr>
        <w:footnoteRef/>
      </w:r>
      <w:r w:rsidRPr="00067593">
        <w:rPr>
          <w:lang w:val="it-IT"/>
        </w:rPr>
        <w:tab/>
        <w:t>Ibidem.</w:t>
      </w:r>
    </w:p>
  </w:footnote>
  <w:footnote w:id="91">
    <w:p w14:paraId="6E59555B" w14:textId="77777777" w:rsidR="00FB4C5F" w:rsidRPr="00067593" w:rsidRDefault="00FB4C5F" w:rsidP="00773F49">
      <w:pPr>
        <w:pStyle w:val="FootnoteText"/>
        <w:rPr>
          <w:lang w:val="it-IT"/>
        </w:rPr>
      </w:pPr>
      <w:r>
        <w:rPr>
          <w:rStyle w:val="FootnoteReference"/>
        </w:rPr>
        <w:footnoteRef/>
      </w:r>
      <w:r w:rsidRPr="00067593">
        <w:rPr>
          <w:lang w:val="it-IT"/>
        </w:rPr>
        <w:tab/>
        <w:t>I settori di spesa connessi ai periodi di programmazione riguardano le politiche per lo sviluppo rurale, la coesione, la pesca e le politiche interne.</w:t>
      </w:r>
    </w:p>
  </w:footnote>
  <w:footnote w:id="92">
    <w:p w14:paraId="742C7A11" w14:textId="77777777" w:rsidR="00FB4C5F" w:rsidRPr="00067593" w:rsidRDefault="00FB4C5F" w:rsidP="00773F49">
      <w:pPr>
        <w:pStyle w:val="FootnoteText"/>
        <w:rPr>
          <w:lang w:val="it-IT"/>
        </w:rPr>
      </w:pPr>
      <w:r>
        <w:rPr>
          <w:rStyle w:val="FootnoteReference"/>
        </w:rPr>
        <w:footnoteRef/>
      </w:r>
      <w:r w:rsidRPr="00067593">
        <w:rPr>
          <w:lang w:val="it-IT"/>
        </w:rPr>
        <w:tab/>
        <w:t>FDR – Tasso di individuazione delle frodi: rapporto tra gli importi finanziari relativi a irregolarità fraudolente e i pagamenti totali effettuati.</w:t>
      </w:r>
    </w:p>
  </w:footnote>
  <w:footnote w:id="93">
    <w:p w14:paraId="6953E1AC" w14:textId="77777777" w:rsidR="00FB4C5F" w:rsidRPr="00067593" w:rsidRDefault="00FB4C5F" w:rsidP="00773F49">
      <w:pPr>
        <w:pStyle w:val="FootnoteText"/>
        <w:rPr>
          <w:lang w:val="it-IT"/>
        </w:rPr>
      </w:pPr>
      <w:r>
        <w:rPr>
          <w:rStyle w:val="FootnoteReference"/>
        </w:rPr>
        <w:footnoteRef/>
      </w:r>
      <w:r w:rsidRPr="00067593">
        <w:rPr>
          <w:lang w:val="it-IT"/>
        </w:rPr>
        <w:tab/>
        <w:t>IDR – tasso di individuazione di irregolarità: rapporto tra gli importi finanziari relativi a irregolarità non fraudolente e i pagamenti totali effettuati.</w:t>
      </w:r>
    </w:p>
  </w:footnote>
  <w:footnote w:id="94">
    <w:p w14:paraId="2228B183" w14:textId="57A192BB" w:rsidR="00FB4C5F" w:rsidRPr="00067593" w:rsidRDefault="00FB4C5F">
      <w:pPr>
        <w:pStyle w:val="FootnoteText"/>
        <w:rPr>
          <w:lang w:val="it-IT"/>
        </w:rPr>
      </w:pPr>
      <w:r>
        <w:rPr>
          <w:rStyle w:val="FootnoteReference"/>
        </w:rPr>
        <w:footnoteRef/>
      </w:r>
      <w:r w:rsidRPr="00067593">
        <w:rPr>
          <w:lang w:val="it-IT"/>
        </w:rPr>
        <w:tab/>
        <w:t>Per un</w:t>
      </w:r>
      <w:r w:rsidR="00BF0169">
        <w:rPr>
          <w:lang w:val="it-IT"/>
        </w:rPr>
        <w:t>'</w:t>
      </w:r>
      <w:r w:rsidRPr="00067593">
        <w:rPr>
          <w:lang w:val="it-IT"/>
        </w:rPr>
        <w:t>analisi completa delle irregolarità segnalate nel settore dell</w:t>
      </w:r>
      <w:r w:rsidR="00BF0169">
        <w:rPr>
          <w:lang w:val="it-IT"/>
        </w:rPr>
        <w:t>'</w:t>
      </w:r>
      <w:r w:rsidRPr="00067593">
        <w:rPr>
          <w:lang w:val="it-IT"/>
        </w:rPr>
        <w:t xml:space="preserve">agricoltura, cfr. il documento </w:t>
      </w:r>
      <w:r w:rsidR="00BF0169">
        <w:rPr>
          <w:lang w:val="it-IT"/>
        </w:rPr>
        <w:t>"</w:t>
      </w:r>
      <w:r w:rsidRPr="00067593">
        <w:rPr>
          <w:lang w:val="it-IT"/>
        </w:rPr>
        <w:t>Valutazione statistica delle irregolarità segnalate per il 2021</w:t>
      </w:r>
      <w:r w:rsidR="00BF0169">
        <w:rPr>
          <w:lang w:val="it-IT"/>
        </w:rPr>
        <w:t>"</w:t>
      </w:r>
      <w:r w:rsidRPr="00067593">
        <w:rPr>
          <w:lang w:val="it-IT"/>
        </w:rPr>
        <w:t xml:space="preserve"> che accompagna la presente relazione, sezione 3.</w:t>
      </w:r>
    </w:p>
  </w:footnote>
  <w:footnote w:id="95">
    <w:p w14:paraId="52057B4B" w14:textId="3C0F192C" w:rsidR="00FB4C5F" w:rsidRPr="00067593" w:rsidRDefault="00FB4C5F">
      <w:pPr>
        <w:pStyle w:val="FootnoteText"/>
        <w:rPr>
          <w:lang w:val="it-IT"/>
        </w:rPr>
      </w:pPr>
      <w:r>
        <w:rPr>
          <w:rStyle w:val="FootnoteReference"/>
        </w:rPr>
        <w:footnoteRef/>
      </w:r>
      <w:r w:rsidRPr="00067593">
        <w:rPr>
          <w:lang w:val="it-IT"/>
        </w:rPr>
        <w:tab/>
        <w:t xml:space="preserve">Cfr. trentaduesima relazione PIF 2020, </w:t>
      </w:r>
      <w:r w:rsidRPr="00067593">
        <w:rPr>
          <w:i/>
          <w:lang w:val="it-IT"/>
        </w:rPr>
        <w:t>cit.</w:t>
      </w:r>
      <w:r w:rsidRPr="00067593">
        <w:rPr>
          <w:lang w:val="it-IT"/>
        </w:rPr>
        <w:t>, pag. 37.</w:t>
      </w:r>
    </w:p>
  </w:footnote>
  <w:footnote w:id="96">
    <w:p w14:paraId="3757D718" w14:textId="77777777" w:rsidR="00FB4C5F" w:rsidRPr="00067593" w:rsidRDefault="00FB4C5F" w:rsidP="00D11191">
      <w:pPr>
        <w:pStyle w:val="FootnoteText"/>
        <w:rPr>
          <w:lang w:val="it-IT"/>
        </w:rPr>
      </w:pPr>
      <w:r>
        <w:rPr>
          <w:rStyle w:val="FootnoteReference"/>
        </w:rPr>
        <w:footnoteRef/>
      </w:r>
      <w:r w:rsidRPr="00067593">
        <w:rPr>
          <w:lang w:val="it-IT"/>
        </w:rPr>
        <w:tab/>
        <w:t>COM(2021) 141 final.</w:t>
      </w:r>
    </w:p>
  </w:footnote>
  <w:footnote w:id="97">
    <w:p w14:paraId="4E40FF34" w14:textId="0E175746" w:rsidR="00FB4C5F" w:rsidRPr="00067593" w:rsidRDefault="00FB4C5F">
      <w:pPr>
        <w:pStyle w:val="FootnoteText"/>
        <w:rPr>
          <w:lang w:val="it-IT"/>
        </w:rPr>
      </w:pPr>
      <w:r>
        <w:rPr>
          <w:rStyle w:val="FootnoteReference"/>
        </w:rPr>
        <w:footnoteRef/>
      </w:r>
      <w:r w:rsidRPr="00067593">
        <w:rPr>
          <w:lang w:val="it-IT"/>
        </w:rPr>
        <w:tab/>
        <w:t>TRACES è la piattaforma online della Commissione europea per la certificazione sanitaria e fitosanitaria richiesta per l</w:t>
      </w:r>
      <w:r w:rsidR="00BF0169">
        <w:rPr>
          <w:lang w:val="it-IT"/>
        </w:rPr>
        <w:t>'</w:t>
      </w:r>
      <w:r w:rsidRPr="00067593">
        <w:rPr>
          <w:lang w:val="it-IT"/>
        </w:rPr>
        <w:t>importazione di animali, prodotti animali, alimenti e mangimi di origine non animale e piante nell</w:t>
      </w:r>
      <w:r w:rsidR="00BF0169">
        <w:rPr>
          <w:lang w:val="it-IT"/>
        </w:rPr>
        <w:t>'</w:t>
      </w:r>
      <w:r w:rsidRPr="00067593">
        <w:rPr>
          <w:lang w:val="it-IT"/>
        </w:rPr>
        <w:t>Unione europea, nonché per il commercio intra-UE e le esportazioni UE di animali e determinati prodotti animali.</w:t>
      </w:r>
    </w:p>
  </w:footnote>
  <w:footnote w:id="98">
    <w:p w14:paraId="77D7A7AB" w14:textId="185B942E" w:rsidR="00FB4C5F" w:rsidRPr="00067593" w:rsidRDefault="00FB4C5F">
      <w:pPr>
        <w:pStyle w:val="FootnoteText"/>
        <w:rPr>
          <w:lang w:val="it-IT"/>
        </w:rPr>
      </w:pPr>
      <w:r>
        <w:rPr>
          <w:rStyle w:val="FootnoteReference"/>
        </w:rPr>
        <w:footnoteRef/>
      </w:r>
      <w:r w:rsidRPr="00067593">
        <w:rPr>
          <w:lang w:val="it-IT"/>
        </w:rPr>
        <w:tab/>
        <w:t>Per un</w:t>
      </w:r>
      <w:r w:rsidR="00BF0169">
        <w:rPr>
          <w:lang w:val="it-IT"/>
        </w:rPr>
        <w:t>'</w:t>
      </w:r>
      <w:r w:rsidRPr="00067593">
        <w:rPr>
          <w:lang w:val="it-IT"/>
        </w:rPr>
        <w:t xml:space="preserve">analisi completa delle irregolarità segnalate per i fondi SIE, cfr. il documento </w:t>
      </w:r>
      <w:r w:rsidR="00BF0169">
        <w:rPr>
          <w:lang w:val="it-IT"/>
        </w:rPr>
        <w:t>"</w:t>
      </w:r>
      <w:r w:rsidRPr="00067593">
        <w:rPr>
          <w:lang w:val="it-IT"/>
        </w:rPr>
        <w:t>Valutazione statistica delle irregolarità segnalate per il 2021</w:t>
      </w:r>
      <w:r w:rsidR="00BF0169">
        <w:rPr>
          <w:lang w:val="it-IT"/>
        </w:rPr>
        <w:t>"</w:t>
      </w:r>
      <w:r w:rsidRPr="00067593">
        <w:rPr>
          <w:lang w:val="it-IT"/>
        </w:rPr>
        <w:t xml:space="preserve"> che accompagna la presente relazione, sezione 4.</w:t>
      </w:r>
    </w:p>
  </w:footnote>
  <w:footnote w:id="99">
    <w:p w14:paraId="3FE38E4F" w14:textId="5BCBAC39" w:rsidR="00FB4C5F" w:rsidRPr="00067593" w:rsidRDefault="00FB4C5F">
      <w:pPr>
        <w:pStyle w:val="FootnoteText"/>
        <w:rPr>
          <w:lang w:val="it-IT"/>
        </w:rPr>
      </w:pPr>
      <w:r>
        <w:rPr>
          <w:rStyle w:val="FootnoteReference"/>
        </w:rPr>
        <w:footnoteRef/>
      </w:r>
      <w:r w:rsidRPr="00067593">
        <w:rPr>
          <w:lang w:val="it-IT"/>
        </w:rPr>
        <w:tab/>
        <w:t>Per quanto concerne il periodo di programmazione 2014-2020, il FDR è fortemente influenzato da individuazioni significative effettuate in Romania e Slovacchia; tuttavia tali individuazioni riguardano singole irregolarità che hanno interessato ingenti importi finanziari. Tali irregolarità hanno inciso altresì in modo significativo sul FDR dell</w:t>
      </w:r>
      <w:r w:rsidR="00BF0169">
        <w:rPr>
          <w:lang w:val="it-IT"/>
        </w:rPr>
        <w:t>'</w:t>
      </w:r>
      <w:r w:rsidRPr="00067593">
        <w:rPr>
          <w:lang w:val="it-IT"/>
        </w:rPr>
        <w:t>UE-27. Il confronto tra i due periodi di programmazione è importante in quanto consente di comprendere che l</w:t>
      </w:r>
      <w:r w:rsidR="00BF0169">
        <w:rPr>
          <w:lang w:val="it-IT"/>
        </w:rPr>
        <w:t>'</w:t>
      </w:r>
      <w:r w:rsidRPr="00067593">
        <w:rPr>
          <w:lang w:val="it-IT"/>
        </w:rPr>
        <w:t>aumento del 186 % nel 2021 rispetto alla media quinquennale è legato a situazioni eccezionali.</w:t>
      </w:r>
    </w:p>
  </w:footnote>
  <w:footnote w:id="100">
    <w:p w14:paraId="17D73755" w14:textId="77777777" w:rsidR="00FB4C5F" w:rsidRPr="00067593" w:rsidRDefault="00FB4C5F">
      <w:pPr>
        <w:pStyle w:val="FootnoteText"/>
        <w:rPr>
          <w:lang w:val="it-IT"/>
        </w:rPr>
      </w:pPr>
      <w:r>
        <w:rPr>
          <w:rStyle w:val="FootnoteReference"/>
        </w:rPr>
        <w:footnoteRef/>
      </w:r>
      <w:r w:rsidRPr="00067593">
        <w:rPr>
          <w:lang w:val="it-IT"/>
        </w:rPr>
        <w:tab/>
      </w:r>
      <w:hyperlink r:id="rId8" w:history="1">
        <w:r w:rsidRPr="00067593">
          <w:rPr>
            <w:rStyle w:val="Hyperlink"/>
            <w:lang w:val="it-IT"/>
          </w:rPr>
          <w:t>https://ec.europa.eu/regional_policy/en/policy/how/improving-investment/integrity-pacts/</w:t>
        </w:r>
      </w:hyperlink>
      <w:r w:rsidRPr="00067593">
        <w:rPr>
          <w:lang w:val="it-IT"/>
        </w:rPr>
        <w:t xml:space="preserve">. </w:t>
      </w:r>
    </w:p>
  </w:footnote>
  <w:footnote w:id="101">
    <w:p w14:paraId="02DAA84E" w14:textId="66628CF9" w:rsidR="00FB4C5F" w:rsidRPr="00067593" w:rsidRDefault="00FB4C5F">
      <w:pPr>
        <w:pStyle w:val="FootnoteText"/>
        <w:rPr>
          <w:lang w:val="it-IT"/>
        </w:rPr>
      </w:pPr>
      <w:r>
        <w:rPr>
          <w:rStyle w:val="FootnoteReference"/>
        </w:rPr>
        <w:footnoteRef/>
      </w:r>
      <w:r w:rsidRPr="00067593">
        <w:rPr>
          <w:lang w:val="it-IT"/>
        </w:rPr>
        <w:tab/>
        <w:t>Per un</w:t>
      </w:r>
      <w:r w:rsidR="00BF0169">
        <w:rPr>
          <w:lang w:val="it-IT"/>
        </w:rPr>
        <w:t>'</w:t>
      </w:r>
      <w:r w:rsidRPr="00067593">
        <w:rPr>
          <w:lang w:val="it-IT"/>
        </w:rPr>
        <w:t xml:space="preserve">analisi delle irregolarità segnalate riguardo a tali fondi, cfr. il documento </w:t>
      </w:r>
      <w:r w:rsidR="00BF0169">
        <w:rPr>
          <w:lang w:val="it-IT"/>
        </w:rPr>
        <w:t>"</w:t>
      </w:r>
      <w:r w:rsidRPr="00067593">
        <w:rPr>
          <w:lang w:val="it-IT"/>
        </w:rPr>
        <w:t>Valutazione statistica delle irregolarità segnalate per il 2021</w:t>
      </w:r>
      <w:r w:rsidR="00BF0169">
        <w:rPr>
          <w:lang w:val="it-IT"/>
        </w:rPr>
        <w:t>"</w:t>
      </w:r>
      <w:r w:rsidRPr="00067593">
        <w:rPr>
          <w:lang w:val="it-IT"/>
        </w:rPr>
        <w:t xml:space="preserve"> che accompagna la presente relazione, sezione 4.6.</w:t>
      </w:r>
    </w:p>
  </w:footnote>
  <w:footnote w:id="102">
    <w:p w14:paraId="4FAC67F7" w14:textId="0BC16FD0" w:rsidR="00FB4C5F" w:rsidRPr="00067593" w:rsidRDefault="00FB4C5F">
      <w:pPr>
        <w:pStyle w:val="FootnoteText"/>
        <w:rPr>
          <w:lang w:val="it-IT"/>
        </w:rPr>
      </w:pPr>
      <w:r>
        <w:rPr>
          <w:rStyle w:val="FootnoteReference"/>
        </w:rPr>
        <w:footnoteRef/>
      </w:r>
      <w:r w:rsidRPr="00067593">
        <w:rPr>
          <w:lang w:val="it-IT"/>
        </w:rPr>
        <w:tab/>
        <w:t>Per un</w:t>
      </w:r>
      <w:r w:rsidR="00BF0169">
        <w:rPr>
          <w:lang w:val="it-IT"/>
        </w:rPr>
        <w:t>'</w:t>
      </w:r>
      <w:r w:rsidRPr="00067593">
        <w:rPr>
          <w:lang w:val="it-IT"/>
        </w:rPr>
        <w:t xml:space="preserve">analisi delle irregolarità segnalate nel settore della preadesione, cfr. il documento </w:t>
      </w:r>
      <w:r w:rsidR="00BF0169">
        <w:rPr>
          <w:lang w:val="it-IT"/>
        </w:rPr>
        <w:t>"</w:t>
      </w:r>
      <w:r w:rsidRPr="00067593">
        <w:rPr>
          <w:lang w:val="it-IT"/>
        </w:rPr>
        <w:t>Valutazione statistica delle irregolarità segnalate per il 2021</w:t>
      </w:r>
      <w:r w:rsidR="00BF0169">
        <w:rPr>
          <w:lang w:val="it-IT"/>
        </w:rPr>
        <w:t>"</w:t>
      </w:r>
      <w:r w:rsidRPr="00067593">
        <w:rPr>
          <w:lang w:val="it-IT"/>
        </w:rPr>
        <w:t xml:space="preserve"> che accompagna la presente relazione, sezione 5.</w:t>
      </w:r>
    </w:p>
  </w:footnote>
  <w:footnote w:id="103">
    <w:p w14:paraId="72FB47D4" w14:textId="59446BC9" w:rsidR="00FB4C5F" w:rsidRPr="00067593" w:rsidRDefault="00FB4C5F">
      <w:pPr>
        <w:pStyle w:val="FootnoteText"/>
        <w:rPr>
          <w:lang w:val="it-IT"/>
        </w:rPr>
      </w:pPr>
      <w:r>
        <w:rPr>
          <w:rStyle w:val="FootnoteReference"/>
        </w:rPr>
        <w:footnoteRef/>
      </w:r>
      <w:r w:rsidRPr="00067593">
        <w:rPr>
          <w:lang w:val="it-IT"/>
        </w:rPr>
        <w:tab/>
        <w:t>Per un</w:t>
      </w:r>
      <w:r w:rsidR="00BF0169">
        <w:rPr>
          <w:lang w:val="it-IT"/>
        </w:rPr>
        <w:t>'</w:t>
      </w:r>
      <w:r w:rsidRPr="00067593">
        <w:rPr>
          <w:lang w:val="it-IT"/>
        </w:rPr>
        <w:t xml:space="preserve">analisi delle irregolarità rilevate nel contesto della gestione diretta, cfr. il documento </w:t>
      </w:r>
      <w:r w:rsidR="00BF0169">
        <w:rPr>
          <w:lang w:val="it-IT"/>
        </w:rPr>
        <w:t>"</w:t>
      </w:r>
      <w:r w:rsidRPr="00067593">
        <w:rPr>
          <w:lang w:val="it-IT"/>
        </w:rPr>
        <w:t>Valutazione statistica delle irregolarità segnalate per il 2021</w:t>
      </w:r>
      <w:r w:rsidR="00BF0169">
        <w:rPr>
          <w:lang w:val="it-IT"/>
        </w:rPr>
        <w:t>"</w:t>
      </w:r>
      <w:r w:rsidRPr="00067593">
        <w:rPr>
          <w:lang w:val="it-IT"/>
        </w:rPr>
        <w:t xml:space="preserve"> che accompagna la presente relazione, sezione 6.</w:t>
      </w:r>
    </w:p>
  </w:footnote>
  <w:footnote w:id="104">
    <w:p w14:paraId="3672680F" w14:textId="77777777" w:rsidR="00FB4C5F" w:rsidRPr="00067593" w:rsidRDefault="00FB4C5F">
      <w:pPr>
        <w:pStyle w:val="FootnoteText"/>
        <w:rPr>
          <w:lang w:val="it-IT"/>
        </w:rPr>
      </w:pPr>
      <w:r>
        <w:rPr>
          <w:rStyle w:val="FootnoteReference"/>
        </w:rPr>
        <w:footnoteRef/>
      </w:r>
      <w:r w:rsidRPr="00067593">
        <w:rPr>
          <w:lang w:val="it-IT"/>
        </w:rPr>
        <w:tab/>
        <w:t>Cfr. istantanee 3 e 4.</w:t>
      </w:r>
    </w:p>
  </w:footnote>
  <w:footnote w:id="105">
    <w:p w14:paraId="5E0ED96B" w14:textId="77777777" w:rsidR="00FB4C5F" w:rsidRPr="00067593" w:rsidRDefault="00FB4C5F" w:rsidP="00225A0C">
      <w:pPr>
        <w:pStyle w:val="FootnoteText"/>
        <w:rPr>
          <w:lang w:val="it-IT"/>
        </w:rPr>
      </w:pPr>
      <w:r>
        <w:rPr>
          <w:rStyle w:val="FootnoteReference"/>
        </w:rPr>
        <w:footnoteRef/>
      </w:r>
      <w:r w:rsidRPr="00067593">
        <w:rPr>
          <w:lang w:val="it-IT"/>
        </w:rPr>
        <w:tab/>
        <w:t>Sentenza del 16 febbraio 2022. ECLI:EU:C:2022:97.</w:t>
      </w:r>
    </w:p>
  </w:footnote>
  <w:footnote w:id="106">
    <w:p w14:paraId="7AB7D321" w14:textId="77777777" w:rsidR="00FB4C5F" w:rsidRPr="00067593" w:rsidRDefault="00FB4C5F" w:rsidP="00225A0C">
      <w:pPr>
        <w:pStyle w:val="FootnoteText"/>
        <w:rPr>
          <w:lang w:val="it-IT"/>
        </w:rPr>
      </w:pPr>
      <w:r>
        <w:rPr>
          <w:rStyle w:val="FootnoteReference"/>
        </w:rPr>
        <w:footnoteRef/>
      </w:r>
      <w:r w:rsidRPr="00067593">
        <w:rPr>
          <w:lang w:val="it-IT"/>
        </w:rPr>
        <w:tab/>
        <w:t>Sentenza del 16 febbraio 2022. ECLI:EU:C:2022:98.</w:t>
      </w:r>
    </w:p>
  </w:footnote>
  <w:footnote w:id="107">
    <w:p w14:paraId="792BA374" w14:textId="77777777" w:rsidR="00FB4C5F" w:rsidRPr="00067593" w:rsidRDefault="00FB4C5F">
      <w:pPr>
        <w:pStyle w:val="FootnoteText"/>
        <w:rPr>
          <w:lang w:val="it-IT"/>
        </w:rPr>
      </w:pPr>
      <w:r>
        <w:rPr>
          <w:rStyle w:val="FootnoteReference"/>
        </w:rPr>
        <w:footnoteRef/>
      </w:r>
      <w:r w:rsidRPr="00067593">
        <w:rPr>
          <w:lang w:val="it-IT"/>
        </w:rPr>
        <w:tab/>
        <w:t>COM(2022) 184 final del 22.4.2022.</w:t>
      </w:r>
    </w:p>
  </w:footnote>
  <w:footnote w:id="108">
    <w:p w14:paraId="1A2A8CC2" w14:textId="77777777" w:rsidR="00FB4C5F" w:rsidRPr="00067593" w:rsidRDefault="00FB4C5F">
      <w:pPr>
        <w:pStyle w:val="FootnoteText"/>
        <w:rPr>
          <w:lang w:val="it-IT"/>
        </w:rPr>
      </w:pPr>
      <w:r>
        <w:rPr>
          <w:rStyle w:val="FootnoteReference"/>
        </w:rPr>
        <w:footnoteRef/>
      </w:r>
      <w:r w:rsidRPr="00067593">
        <w:rPr>
          <w:lang w:val="it-IT"/>
        </w:rPr>
        <w:tab/>
        <w:t>Conformemente al regolamento (UE) 2016/679 (regolamento generale sulla protezione dei dati) e al regolamento (UE) 2018/1725.</w:t>
      </w:r>
    </w:p>
  </w:footnote>
  <w:footnote w:id="109">
    <w:p w14:paraId="54E84B64" w14:textId="4A93FD09" w:rsidR="00FB4C5F" w:rsidRPr="00067593" w:rsidRDefault="00FB4C5F">
      <w:pPr>
        <w:pStyle w:val="FootnoteText"/>
        <w:rPr>
          <w:lang w:val="it-IT"/>
        </w:rPr>
      </w:pPr>
      <w:r>
        <w:rPr>
          <w:rStyle w:val="FootnoteReference"/>
        </w:rPr>
        <w:footnoteRef/>
      </w:r>
      <w:r w:rsidRPr="00067593">
        <w:rPr>
          <w:lang w:val="it-IT"/>
        </w:rPr>
        <w:tab/>
        <w:t>Per una panoramica dettagliata delle decisioni adottate dall</w:t>
      </w:r>
      <w:r w:rsidR="00BF0169">
        <w:rPr>
          <w:lang w:val="it-IT"/>
        </w:rPr>
        <w:t>'</w:t>
      </w:r>
      <w:r w:rsidRPr="00067593">
        <w:rPr>
          <w:lang w:val="it-IT"/>
        </w:rPr>
        <w:t xml:space="preserve">istanza nel 2021 cfr. il documento </w:t>
      </w:r>
      <w:r w:rsidR="00BF0169">
        <w:rPr>
          <w:lang w:val="it-IT"/>
        </w:rPr>
        <w:t>"</w:t>
      </w:r>
      <w:r w:rsidRPr="00067593">
        <w:rPr>
          <w:lang w:val="it-IT"/>
        </w:rPr>
        <w:t>Sistema di individuazione precoce e di esclusione (EDES) — Istanza di cui all</w:t>
      </w:r>
      <w:r w:rsidR="00BF0169">
        <w:rPr>
          <w:lang w:val="it-IT"/>
        </w:rPr>
        <w:t>'</w:t>
      </w:r>
      <w:r w:rsidRPr="00067593">
        <w:rPr>
          <w:lang w:val="it-IT"/>
        </w:rPr>
        <w:t>articolo 143 del regolamento finanziario</w:t>
      </w:r>
      <w:r w:rsidR="00BF0169">
        <w:rPr>
          <w:lang w:val="it-IT"/>
        </w:rPr>
        <w:t>"</w:t>
      </w:r>
      <w:r w:rsidRPr="00067593">
        <w:rPr>
          <w:lang w:val="it-IT"/>
        </w:rPr>
        <w:t xml:space="preserve"> che accompagna la presente relazione.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2AD6" w14:textId="77777777" w:rsidR="00A96452" w:rsidRPr="00A96452" w:rsidRDefault="00A96452" w:rsidP="00A96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BADE" w14:textId="77777777" w:rsidR="00A96452" w:rsidRPr="00A96452" w:rsidRDefault="00A96452" w:rsidP="00A9645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DD40" w14:textId="77777777" w:rsidR="00A96452" w:rsidRPr="00A96452" w:rsidRDefault="00A96452" w:rsidP="00A9645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3082" w14:textId="77777777" w:rsidR="00FB4C5F" w:rsidRDefault="00FB4C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E28D7" w14:textId="77777777" w:rsidR="00FB4C5F" w:rsidRDefault="00FB4C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DB08" w14:textId="77777777" w:rsidR="00FB4C5F" w:rsidRDefault="00FB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FEC1A4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82E70A8"/>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B53C769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01602E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BFCCA0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276E86"/>
    <w:multiLevelType w:val="multilevel"/>
    <w:tmpl w:val="8E18D24C"/>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7201"/>
    <w:multiLevelType w:val="multilevel"/>
    <w:tmpl w:val="95541ED8"/>
    <w:name w:val="ListNumberNumbering"/>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8345"/>
    <w:multiLevelType w:val="multilevel"/>
    <w:tmpl w:val="05B2BA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DD4CD3"/>
    <w:multiLevelType w:val="hybridMultilevel"/>
    <w:tmpl w:val="F3D012E6"/>
    <w:lvl w:ilvl="0" w:tplc="08090001">
      <w:start w:val="1"/>
      <w:numFmt w:val="bullet"/>
      <w:lvlText w:val=""/>
      <w:lvlJc w:val="left"/>
      <w:pPr>
        <w:ind w:left="360" w:hanging="360"/>
      </w:pPr>
      <w:rPr>
        <w:rFonts w:ascii="Symbol" w:hAnsi="Symbol" w:hint="default"/>
      </w:rPr>
    </w:lvl>
    <w:lvl w:ilvl="1" w:tplc="58CC190C">
      <w:numFmt w:val="bullet"/>
      <w:lvlText w:val="-"/>
      <w:lvlJc w:val="left"/>
      <w:pPr>
        <w:ind w:left="1440" w:hanging="72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037D98"/>
    <w:multiLevelType w:val="multilevel"/>
    <w:tmpl w:val="95541ED8"/>
    <w:name w:val="ListNumberNumbering2"/>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6C19EE"/>
    <w:multiLevelType w:val="hybridMultilevel"/>
    <w:tmpl w:val="78E2E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93CE3"/>
    <w:multiLevelType w:val="multilevel"/>
    <w:tmpl w:val="F8BA989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2" w15:restartNumberingAfterBreak="0">
    <w:nsid w:val="2D293CF4"/>
    <w:multiLevelType w:val="multilevel"/>
    <w:tmpl w:val="B5DC329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3" w15:restartNumberingAfterBreak="0">
    <w:nsid w:val="4E1A63DF"/>
    <w:multiLevelType w:val="multilevel"/>
    <w:tmpl w:val="99640B2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E1A982C"/>
    <w:multiLevelType w:val="multilevel"/>
    <w:tmpl w:val="8E18D24C"/>
    <w:name w:val="ListBulletNumbering"/>
    <w:lvl w:ilvl="0">
      <w:start w:val="1"/>
      <w:numFmt w:val="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5072619B"/>
    <w:multiLevelType w:val="multilevel"/>
    <w:tmpl w:val="8548BA90"/>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0729B52"/>
    <w:multiLevelType w:val="multilevel"/>
    <w:tmpl w:val="A74482D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58B0DFE"/>
    <w:multiLevelType w:val="hybridMultilevel"/>
    <w:tmpl w:val="B3E4C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46636F"/>
    <w:multiLevelType w:val="hybridMultilevel"/>
    <w:tmpl w:val="A85E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5145E"/>
    <w:multiLevelType w:val="multilevel"/>
    <w:tmpl w:val="434AEF58"/>
    <w:name w:val="EurolookHead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2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0"/>
  </w:num>
  <w:num w:numId="2">
    <w:abstractNumId w:val="12"/>
  </w:num>
  <w:num w:numId="3">
    <w:abstractNumId w:val="11"/>
  </w:num>
  <w:num w:numId="4">
    <w:abstractNumId w:val="7"/>
  </w:num>
  <w:num w:numId="5">
    <w:abstractNumId w:val="16"/>
  </w:num>
  <w:num w:numId="6">
    <w:abstractNumId w:val="13"/>
  </w:num>
  <w:num w:numId="7">
    <w:abstractNumId w:val="15"/>
  </w:num>
  <w:num w:numId="8">
    <w:abstractNumId w:val="6"/>
  </w:num>
  <w:num w:numId="9">
    <w:abstractNumId w:val="14"/>
  </w:num>
  <w:num w:numId="10">
    <w:abstractNumId w:val="19"/>
  </w:num>
  <w:num w:numId="11">
    <w:abstractNumId w:val="0"/>
  </w:num>
  <w:num w:numId="12">
    <w:abstractNumId w:val="1"/>
  </w:num>
  <w:num w:numId="13">
    <w:abstractNumId w:val="2"/>
  </w:num>
  <w:num w:numId="14">
    <w:abstractNumId w:val="3"/>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10"/>
  </w:num>
  <w:num w:numId="18">
    <w:abstractNumId w:val="17"/>
  </w:num>
  <w:num w:numId="19">
    <w:abstractNumId w:val="9"/>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3"/>
    <w:docVar w:name="LW_CORRIGENDUM" w:val="&lt;UNUSED&gt;"/>
    <w:docVar w:name="LW_COVERPAGE_EXISTS" w:val="True"/>
    <w:docVar w:name="LW_COVERPAGE_GUID" w:val="02288C46-867D-42C5-ADD8-9CFBF87538D0"/>
    <w:docVar w:name="LW_COVERPAGE_TYPE" w:val="1"/>
    <w:docVar w:name="LW_CROSSREFERENCE" w:val="{SWD(2022) 302 final} - {SWD(2022) 303 final} - {SWD(2022) 304 final} - {SWD(2022) 305 final} - {SWD(2022) 306 final} - {SWD(2022) 307 final}"/>
    <w:docVar w:name="LW_DocType" w:val="EUROLOOK"/>
    <w:docVar w:name="LW_EMISSION" w:val="23.9.2022"/>
    <w:docVar w:name="LW_EMISSION_ISODATE" w:val="2022-09-23"/>
    <w:docVar w:name="LW_EMISSION_LOCATION" w:val="BRX"/>
    <w:docVar w:name="LW_EMISSION_PREFIX" w:val="Bruxelles, "/>
    <w:docVar w:name="LW_EMISSION_SUFFIX" w:val=" "/>
    <w:docVar w:name="LW_ID_DOCTYPE_NONLW" w:val="CP-005"/>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2)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Trentatreesima relazione annuale sulla tutela degli interessi finanziari dell'Unione europea e sulla lotta contro la frode (2021)&lt;/FMT&gt;"/>
    <w:docVar w:name="LW_TYPE.DOC.CP" w:val="RELAZIONE DELLA COMMISSIONE AL CONSIGLIO E AL PARLAMENTO EUROPEO"/>
    <w:docVar w:name="LwApiVersions" w:val="LW4CoDe 1.23.2.0; LW 8.0, Build 20211117"/>
  </w:docVars>
  <w:rsids>
    <w:rsidRoot w:val="0048430C"/>
    <w:rsid w:val="000005EB"/>
    <w:rsid w:val="00000C60"/>
    <w:rsid w:val="00002D17"/>
    <w:rsid w:val="000114A4"/>
    <w:rsid w:val="00011890"/>
    <w:rsid w:val="000128E2"/>
    <w:rsid w:val="00014908"/>
    <w:rsid w:val="000267F6"/>
    <w:rsid w:val="00026DA3"/>
    <w:rsid w:val="00030F3C"/>
    <w:rsid w:val="00034841"/>
    <w:rsid w:val="000424C7"/>
    <w:rsid w:val="000459A6"/>
    <w:rsid w:val="00053CB1"/>
    <w:rsid w:val="000579D4"/>
    <w:rsid w:val="00064AA5"/>
    <w:rsid w:val="00067593"/>
    <w:rsid w:val="00071FAB"/>
    <w:rsid w:val="000810E6"/>
    <w:rsid w:val="000842E0"/>
    <w:rsid w:val="000A022B"/>
    <w:rsid w:val="000A2CB4"/>
    <w:rsid w:val="000A2ED7"/>
    <w:rsid w:val="000B4633"/>
    <w:rsid w:val="000B59B8"/>
    <w:rsid w:val="000D0271"/>
    <w:rsid w:val="000F48CB"/>
    <w:rsid w:val="00101327"/>
    <w:rsid w:val="0010271E"/>
    <w:rsid w:val="0010609B"/>
    <w:rsid w:val="001072F3"/>
    <w:rsid w:val="00110F22"/>
    <w:rsid w:val="001149B4"/>
    <w:rsid w:val="001157CA"/>
    <w:rsid w:val="00117EDE"/>
    <w:rsid w:val="00130904"/>
    <w:rsid w:val="00131B72"/>
    <w:rsid w:val="00153135"/>
    <w:rsid w:val="00156C10"/>
    <w:rsid w:val="001576E8"/>
    <w:rsid w:val="001623A1"/>
    <w:rsid w:val="00167262"/>
    <w:rsid w:val="00190177"/>
    <w:rsid w:val="001950F8"/>
    <w:rsid w:val="001A2746"/>
    <w:rsid w:val="001A3BBE"/>
    <w:rsid w:val="001A7AA9"/>
    <w:rsid w:val="001B0643"/>
    <w:rsid w:val="001B1DBF"/>
    <w:rsid w:val="001C50AD"/>
    <w:rsid w:val="001C7027"/>
    <w:rsid w:val="001D014D"/>
    <w:rsid w:val="001D4F29"/>
    <w:rsid w:val="001E18A9"/>
    <w:rsid w:val="001E21E5"/>
    <w:rsid w:val="001E5FDE"/>
    <w:rsid w:val="00200417"/>
    <w:rsid w:val="002118BA"/>
    <w:rsid w:val="00211E8B"/>
    <w:rsid w:val="002166CE"/>
    <w:rsid w:val="00221EE2"/>
    <w:rsid w:val="00225A0C"/>
    <w:rsid w:val="002303B4"/>
    <w:rsid w:val="00233792"/>
    <w:rsid w:val="002369AB"/>
    <w:rsid w:val="00242925"/>
    <w:rsid w:val="002436C2"/>
    <w:rsid w:val="002571D1"/>
    <w:rsid w:val="00257B88"/>
    <w:rsid w:val="00261CD5"/>
    <w:rsid w:val="00262A80"/>
    <w:rsid w:val="002654B3"/>
    <w:rsid w:val="00282D64"/>
    <w:rsid w:val="00283EE7"/>
    <w:rsid w:val="002871C5"/>
    <w:rsid w:val="002923C2"/>
    <w:rsid w:val="00292801"/>
    <w:rsid w:val="00295D72"/>
    <w:rsid w:val="00296A29"/>
    <w:rsid w:val="002A173F"/>
    <w:rsid w:val="002A4350"/>
    <w:rsid w:val="002B1B19"/>
    <w:rsid w:val="002C508D"/>
    <w:rsid w:val="002D6EFC"/>
    <w:rsid w:val="002D74D4"/>
    <w:rsid w:val="002F0397"/>
    <w:rsid w:val="002F3A1F"/>
    <w:rsid w:val="002F71B1"/>
    <w:rsid w:val="00305360"/>
    <w:rsid w:val="00307B43"/>
    <w:rsid w:val="003116B9"/>
    <w:rsid w:val="0032188D"/>
    <w:rsid w:val="00322192"/>
    <w:rsid w:val="00324AAC"/>
    <w:rsid w:val="003430DC"/>
    <w:rsid w:val="00343467"/>
    <w:rsid w:val="003442C1"/>
    <w:rsid w:val="003462B0"/>
    <w:rsid w:val="003556F9"/>
    <w:rsid w:val="00362AF6"/>
    <w:rsid w:val="00363877"/>
    <w:rsid w:val="00373899"/>
    <w:rsid w:val="00374350"/>
    <w:rsid w:val="0037452E"/>
    <w:rsid w:val="003820D0"/>
    <w:rsid w:val="003849B5"/>
    <w:rsid w:val="00387ED0"/>
    <w:rsid w:val="00396C5E"/>
    <w:rsid w:val="003C58C0"/>
    <w:rsid w:val="00400194"/>
    <w:rsid w:val="00401F3D"/>
    <w:rsid w:val="004108DD"/>
    <w:rsid w:val="00427B23"/>
    <w:rsid w:val="0043307E"/>
    <w:rsid w:val="00440F24"/>
    <w:rsid w:val="00442C1B"/>
    <w:rsid w:val="0045480B"/>
    <w:rsid w:val="004635F1"/>
    <w:rsid w:val="00467ABB"/>
    <w:rsid w:val="00471E85"/>
    <w:rsid w:val="00477239"/>
    <w:rsid w:val="0048430C"/>
    <w:rsid w:val="00490854"/>
    <w:rsid w:val="004A502D"/>
    <w:rsid w:val="004A5098"/>
    <w:rsid w:val="004C0757"/>
    <w:rsid w:val="004D2B33"/>
    <w:rsid w:val="004E724E"/>
    <w:rsid w:val="004F5047"/>
    <w:rsid w:val="004F60DF"/>
    <w:rsid w:val="004F6F3F"/>
    <w:rsid w:val="00500C58"/>
    <w:rsid w:val="0050564E"/>
    <w:rsid w:val="00505DEA"/>
    <w:rsid w:val="00513355"/>
    <w:rsid w:val="005367A9"/>
    <w:rsid w:val="00542122"/>
    <w:rsid w:val="005440DB"/>
    <w:rsid w:val="005467AC"/>
    <w:rsid w:val="0055155F"/>
    <w:rsid w:val="00555EE5"/>
    <w:rsid w:val="005613B3"/>
    <w:rsid w:val="00586B86"/>
    <w:rsid w:val="005922A1"/>
    <w:rsid w:val="00595022"/>
    <w:rsid w:val="005B40CF"/>
    <w:rsid w:val="005C35A2"/>
    <w:rsid w:val="005D180A"/>
    <w:rsid w:val="005D2D3A"/>
    <w:rsid w:val="005D340A"/>
    <w:rsid w:val="005E2704"/>
    <w:rsid w:val="005E5525"/>
    <w:rsid w:val="005E717E"/>
    <w:rsid w:val="00602423"/>
    <w:rsid w:val="00607967"/>
    <w:rsid w:val="00612B29"/>
    <w:rsid w:val="00623B82"/>
    <w:rsid w:val="00640FAD"/>
    <w:rsid w:val="006418BA"/>
    <w:rsid w:val="006462D4"/>
    <w:rsid w:val="00652F34"/>
    <w:rsid w:val="00662EE8"/>
    <w:rsid w:val="00666E75"/>
    <w:rsid w:val="00671AE7"/>
    <w:rsid w:val="00677134"/>
    <w:rsid w:val="00683714"/>
    <w:rsid w:val="0069243F"/>
    <w:rsid w:val="006A4819"/>
    <w:rsid w:val="006A79C7"/>
    <w:rsid w:val="006B06A1"/>
    <w:rsid w:val="006B16B5"/>
    <w:rsid w:val="006C1E6D"/>
    <w:rsid w:val="006C31D8"/>
    <w:rsid w:val="006C6F00"/>
    <w:rsid w:val="006C7D78"/>
    <w:rsid w:val="006D5369"/>
    <w:rsid w:val="006D7177"/>
    <w:rsid w:val="006D769D"/>
    <w:rsid w:val="006E5F92"/>
    <w:rsid w:val="006E70CF"/>
    <w:rsid w:val="006F14E7"/>
    <w:rsid w:val="006F6111"/>
    <w:rsid w:val="007004DA"/>
    <w:rsid w:val="0070289A"/>
    <w:rsid w:val="00710A4D"/>
    <w:rsid w:val="00712A79"/>
    <w:rsid w:val="0071484D"/>
    <w:rsid w:val="00715764"/>
    <w:rsid w:val="0072054A"/>
    <w:rsid w:val="0072454B"/>
    <w:rsid w:val="00727AB1"/>
    <w:rsid w:val="00734422"/>
    <w:rsid w:val="00741626"/>
    <w:rsid w:val="00742EC4"/>
    <w:rsid w:val="00743C19"/>
    <w:rsid w:val="00747F11"/>
    <w:rsid w:val="007540E3"/>
    <w:rsid w:val="00756FF8"/>
    <w:rsid w:val="00773F49"/>
    <w:rsid w:val="00775F49"/>
    <w:rsid w:val="00783105"/>
    <w:rsid w:val="00785DA9"/>
    <w:rsid w:val="00786978"/>
    <w:rsid w:val="007937C0"/>
    <w:rsid w:val="00797CA2"/>
    <w:rsid w:val="007A15FF"/>
    <w:rsid w:val="007A1C2C"/>
    <w:rsid w:val="007A27D9"/>
    <w:rsid w:val="007B0BE2"/>
    <w:rsid w:val="007B11C0"/>
    <w:rsid w:val="007B7F1F"/>
    <w:rsid w:val="007C19BE"/>
    <w:rsid w:val="007C6A8D"/>
    <w:rsid w:val="007C727A"/>
    <w:rsid w:val="007D267E"/>
    <w:rsid w:val="007E2A90"/>
    <w:rsid w:val="00807C3A"/>
    <w:rsid w:val="00813F4C"/>
    <w:rsid w:val="00815D66"/>
    <w:rsid w:val="008167CF"/>
    <w:rsid w:val="00822DA8"/>
    <w:rsid w:val="00825E4C"/>
    <w:rsid w:val="008324C8"/>
    <w:rsid w:val="0083796A"/>
    <w:rsid w:val="008436D4"/>
    <w:rsid w:val="00844B93"/>
    <w:rsid w:val="00844F69"/>
    <w:rsid w:val="0085062D"/>
    <w:rsid w:val="00854B4F"/>
    <w:rsid w:val="00854D29"/>
    <w:rsid w:val="008625F2"/>
    <w:rsid w:val="00865694"/>
    <w:rsid w:val="0087182C"/>
    <w:rsid w:val="008721E6"/>
    <w:rsid w:val="00873938"/>
    <w:rsid w:val="00876F62"/>
    <w:rsid w:val="00880232"/>
    <w:rsid w:val="00880E62"/>
    <w:rsid w:val="00883216"/>
    <w:rsid w:val="0088672E"/>
    <w:rsid w:val="00887942"/>
    <w:rsid w:val="00893B95"/>
    <w:rsid w:val="00896E7D"/>
    <w:rsid w:val="008A17E3"/>
    <w:rsid w:val="008A4E1B"/>
    <w:rsid w:val="008A5C8D"/>
    <w:rsid w:val="008A6DCE"/>
    <w:rsid w:val="008B0A53"/>
    <w:rsid w:val="008B454B"/>
    <w:rsid w:val="008B4804"/>
    <w:rsid w:val="008B676E"/>
    <w:rsid w:val="008B6BB5"/>
    <w:rsid w:val="008B7A0B"/>
    <w:rsid w:val="008D0328"/>
    <w:rsid w:val="008D394A"/>
    <w:rsid w:val="00902694"/>
    <w:rsid w:val="00906EC5"/>
    <w:rsid w:val="0091197D"/>
    <w:rsid w:val="00916AE2"/>
    <w:rsid w:val="00924DFB"/>
    <w:rsid w:val="009366F8"/>
    <w:rsid w:val="00941F7C"/>
    <w:rsid w:val="0094226F"/>
    <w:rsid w:val="009542F2"/>
    <w:rsid w:val="00954A53"/>
    <w:rsid w:val="009670EA"/>
    <w:rsid w:val="009701A5"/>
    <w:rsid w:val="009706BC"/>
    <w:rsid w:val="00973951"/>
    <w:rsid w:val="009741DA"/>
    <w:rsid w:val="00992A65"/>
    <w:rsid w:val="00993B00"/>
    <w:rsid w:val="00995DDF"/>
    <w:rsid w:val="00996AB3"/>
    <w:rsid w:val="00996F5B"/>
    <w:rsid w:val="00997D73"/>
    <w:rsid w:val="009A107F"/>
    <w:rsid w:val="009A3B80"/>
    <w:rsid w:val="009A3D43"/>
    <w:rsid w:val="009B39CA"/>
    <w:rsid w:val="009C7C07"/>
    <w:rsid w:val="009D39B1"/>
    <w:rsid w:val="009E16FA"/>
    <w:rsid w:val="009E728A"/>
    <w:rsid w:val="009F3E02"/>
    <w:rsid w:val="009F547E"/>
    <w:rsid w:val="00A10036"/>
    <w:rsid w:val="00A12D45"/>
    <w:rsid w:val="00A169C9"/>
    <w:rsid w:val="00A23E50"/>
    <w:rsid w:val="00A251B1"/>
    <w:rsid w:val="00A25416"/>
    <w:rsid w:val="00A27EF6"/>
    <w:rsid w:val="00A309B8"/>
    <w:rsid w:val="00A3121D"/>
    <w:rsid w:val="00A35823"/>
    <w:rsid w:val="00A43CDB"/>
    <w:rsid w:val="00A45298"/>
    <w:rsid w:val="00A50740"/>
    <w:rsid w:val="00A52EC9"/>
    <w:rsid w:val="00A828A1"/>
    <w:rsid w:val="00A83949"/>
    <w:rsid w:val="00A86074"/>
    <w:rsid w:val="00A863FB"/>
    <w:rsid w:val="00A954DF"/>
    <w:rsid w:val="00A96452"/>
    <w:rsid w:val="00AA7228"/>
    <w:rsid w:val="00AB08C0"/>
    <w:rsid w:val="00AB46D0"/>
    <w:rsid w:val="00AC5DD3"/>
    <w:rsid w:val="00AD2DE2"/>
    <w:rsid w:val="00AD49F0"/>
    <w:rsid w:val="00AD5A9B"/>
    <w:rsid w:val="00AE2579"/>
    <w:rsid w:val="00AE539E"/>
    <w:rsid w:val="00AE62DF"/>
    <w:rsid w:val="00B01601"/>
    <w:rsid w:val="00B03E7E"/>
    <w:rsid w:val="00B06C44"/>
    <w:rsid w:val="00B173C8"/>
    <w:rsid w:val="00B36D06"/>
    <w:rsid w:val="00B53222"/>
    <w:rsid w:val="00B61B75"/>
    <w:rsid w:val="00B61CAD"/>
    <w:rsid w:val="00B6242E"/>
    <w:rsid w:val="00B6593B"/>
    <w:rsid w:val="00B74C05"/>
    <w:rsid w:val="00B7631B"/>
    <w:rsid w:val="00B83E3A"/>
    <w:rsid w:val="00B844C4"/>
    <w:rsid w:val="00B850E7"/>
    <w:rsid w:val="00BB428C"/>
    <w:rsid w:val="00BB5311"/>
    <w:rsid w:val="00BB743B"/>
    <w:rsid w:val="00BD4717"/>
    <w:rsid w:val="00BD5B69"/>
    <w:rsid w:val="00BE4D60"/>
    <w:rsid w:val="00BE6084"/>
    <w:rsid w:val="00BF0169"/>
    <w:rsid w:val="00BF4843"/>
    <w:rsid w:val="00C11507"/>
    <w:rsid w:val="00C24252"/>
    <w:rsid w:val="00C24CBE"/>
    <w:rsid w:val="00C24DE6"/>
    <w:rsid w:val="00C27139"/>
    <w:rsid w:val="00C36A92"/>
    <w:rsid w:val="00C425E8"/>
    <w:rsid w:val="00C458DD"/>
    <w:rsid w:val="00C526DB"/>
    <w:rsid w:val="00C621C4"/>
    <w:rsid w:val="00C6311E"/>
    <w:rsid w:val="00C77AE2"/>
    <w:rsid w:val="00C829C4"/>
    <w:rsid w:val="00C87DB6"/>
    <w:rsid w:val="00C93715"/>
    <w:rsid w:val="00C94D3A"/>
    <w:rsid w:val="00CA08E5"/>
    <w:rsid w:val="00CA3326"/>
    <w:rsid w:val="00CA6A5F"/>
    <w:rsid w:val="00CA7457"/>
    <w:rsid w:val="00CB0BD5"/>
    <w:rsid w:val="00CB2780"/>
    <w:rsid w:val="00CB4EF4"/>
    <w:rsid w:val="00CC21E3"/>
    <w:rsid w:val="00CC711E"/>
    <w:rsid w:val="00CD1D94"/>
    <w:rsid w:val="00CD2883"/>
    <w:rsid w:val="00CD7B44"/>
    <w:rsid w:val="00CE6D22"/>
    <w:rsid w:val="00CF1D95"/>
    <w:rsid w:val="00CF5F78"/>
    <w:rsid w:val="00CF7811"/>
    <w:rsid w:val="00D00937"/>
    <w:rsid w:val="00D10B75"/>
    <w:rsid w:val="00D11191"/>
    <w:rsid w:val="00D124F9"/>
    <w:rsid w:val="00D1293E"/>
    <w:rsid w:val="00D14D2C"/>
    <w:rsid w:val="00D15E5F"/>
    <w:rsid w:val="00D161B4"/>
    <w:rsid w:val="00D20E4F"/>
    <w:rsid w:val="00D27BD8"/>
    <w:rsid w:val="00D367D9"/>
    <w:rsid w:val="00D72A23"/>
    <w:rsid w:val="00D73511"/>
    <w:rsid w:val="00D74D00"/>
    <w:rsid w:val="00D839DE"/>
    <w:rsid w:val="00D83BC8"/>
    <w:rsid w:val="00D933F0"/>
    <w:rsid w:val="00DA41DB"/>
    <w:rsid w:val="00DA534E"/>
    <w:rsid w:val="00DA7E9C"/>
    <w:rsid w:val="00DB5336"/>
    <w:rsid w:val="00DB750F"/>
    <w:rsid w:val="00DC1244"/>
    <w:rsid w:val="00DC489A"/>
    <w:rsid w:val="00DC7AB1"/>
    <w:rsid w:val="00DE0175"/>
    <w:rsid w:val="00DF2B13"/>
    <w:rsid w:val="00DF4C2B"/>
    <w:rsid w:val="00DF51DB"/>
    <w:rsid w:val="00E006E7"/>
    <w:rsid w:val="00E033F3"/>
    <w:rsid w:val="00E12048"/>
    <w:rsid w:val="00E1288C"/>
    <w:rsid w:val="00E16B96"/>
    <w:rsid w:val="00E23197"/>
    <w:rsid w:val="00E37566"/>
    <w:rsid w:val="00E42FFF"/>
    <w:rsid w:val="00E640CA"/>
    <w:rsid w:val="00E73053"/>
    <w:rsid w:val="00E76D2F"/>
    <w:rsid w:val="00E85864"/>
    <w:rsid w:val="00E85CD3"/>
    <w:rsid w:val="00E85E90"/>
    <w:rsid w:val="00EA2ADA"/>
    <w:rsid w:val="00EB636F"/>
    <w:rsid w:val="00EC369B"/>
    <w:rsid w:val="00EC462F"/>
    <w:rsid w:val="00EC70C3"/>
    <w:rsid w:val="00ED2A33"/>
    <w:rsid w:val="00EE0854"/>
    <w:rsid w:val="00EE1BDD"/>
    <w:rsid w:val="00EE2ED6"/>
    <w:rsid w:val="00EF397F"/>
    <w:rsid w:val="00F01009"/>
    <w:rsid w:val="00F2117F"/>
    <w:rsid w:val="00F23382"/>
    <w:rsid w:val="00F379FF"/>
    <w:rsid w:val="00F47B64"/>
    <w:rsid w:val="00F5142E"/>
    <w:rsid w:val="00F567A0"/>
    <w:rsid w:val="00F61141"/>
    <w:rsid w:val="00F6567C"/>
    <w:rsid w:val="00F6664B"/>
    <w:rsid w:val="00F7378C"/>
    <w:rsid w:val="00F83AD7"/>
    <w:rsid w:val="00F845B0"/>
    <w:rsid w:val="00F85F37"/>
    <w:rsid w:val="00F90561"/>
    <w:rsid w:val="00FA7F41"/>
    <w:rsid w:val="00FB11CB"/>
    <w:rsid w:val="00FB48BC"/>
    <w:rsid w:val="00FB4C5F"/>
    <w:rsid w:val="00FB5CF5"/>
    <w:rsid w:val="00FD4ACD"/>
    <w:rsid w:val="00FE3518"/>
    <w:rsid w:val="00FE789E"/>
    <w:rsid w:val="00FF1D58"/>
    <w:rsid w:val="00FF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EE2DA5"/>
  <w15:docId w15:val="{3CC93EAC-B64A-422A-9467-3718FA34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lsdException w:name="header" w:uiPriority="2"/>
    <w:lsdException w:name="footer" w:uiPriority="2"/>
    <w:lsdException w:name="index heading" w:semiHidden="1"/>
    <w:lsdException w:name="caption" w:uiPriority="2"/>
    <w:lsdException w:name="table of figures" w:semiHidden="1" w:uiPriority="99"/>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rsid w:val="00865694"/>
    <w:pPr>
      <w:spacing w:after="120" w:line="264" w:lineRule="auto"/>
      <w:jc w:val="both"/>
    </w:pPr>
    <w:rPr>
      <w:sz w:val="22"/>
    </w:rPr>
  </w:style>
  <w:style w:type="paragraph" w:styleId="Heading1">
    <w:name w:val="heading 1"/>
    <w:basedOn w:val="Normal"/>
    <w:next w:val="Normal"/>
    <w:autoRedefine/>
    <w:uiPriority w:val="1"/>
    <w:qFormat/>
    <w:pPr>
      <w:keepNext/>
      <w:numPr>
        <w:numId w:val="10"/>
      </w:numPr>
      <w:tabs>
        <w:tab w:val="left" w:pos="510"/>
      </w:tabs>
      <w:spacing w:before="480"/>
      <w:outlineLvl w:val="0"/>
    </w:pPr>
    <w:rPr>
      <w:b/>
      <w:smallCaps/>
      <w:sz w:val="26"/>
    </w:rPr>
  </w:style>
  <w:style w:type="paragraph" w:styleId="Heading2">
    <w:name w:val="heading 2"/>
    <w:basedOn w:val="Normal"/>
    <w:next w:val="Normal"/>
    <w:autoRedefine/>
    <w:uiPriority w:val="1"/>
    <w:qFormat/>
    <w:pPr>
      <w:keepNext/>
      <w:numPr>
        <w:ilvl w:val="1"/>
        <w:numId w:val="10"/>
      </w:numPr>
      <w:tabs>
        <w:tab w:val="left" w:pos="737"/>
      </w:tabs>
      <w:spacing w:before="420"/>
      <w:outlineLvl w:val="1"/>
    </w:pPr>
    <w:rPr>
      <w:b/>
      <w:sz w:val="26"/>
    </w:rPr>
  </w:style>
  <w:style w:type="paragraph" w:styleId="Heading3">
    <w:name w:val="heading 3"/>
    <w:basedOn w:val="Normal"/>
    <w:next w:val="Normal"/>
    <w:autoRedefine/>
    <w:uiPriority w:val="1"/>
    <w:qFormat/>
    <w:rsid w:val="00CD7B44"/>
    <w:pPr>
      <w:keepNext/>
      <w:numPr>
        <w:ilvl w:val="2"/>
        <w:numId w:val="10"/>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10"/>
      </w:numPr>
      <w:tabs>
        <w:tab w:val="left" w:pos="1049"/>
      </w:tabs>
      <w:spacing w:before="360"/>
      <w:outlineLvl w:val="3"/>
    </w:pPr>
    <w:rPr>
      <w:b/>
    </w:rPr>
  </w:style>
  <w:style w:type="paragraph" w:styleId="Heading5">
    <w:name w:val="heading 5"/>
    <w:basedOn w:val="Normal"/>
    <w:next w:val="Normal"/>
    <w:semiHidden/>
    <w:pPr>
      <w:keepNext/>
      <w:numPr>
        <w:ilvl w:val="4"/>
        <w:numId w:val="10"/>
      </w:numPr>
      <w:outlineLvl w:val="4"/>
    </w:pPr>
  </w:style>
  <w:style w:type="paragraph" w:styleId="Heading6">
    <w:name w:val="heading 6"/>
    <w:basedOn w:val="Normal"/>
    <w:next w:val="Normal"/>
    <w:semiHidden/>
    <w:pPr>
      <w:keepNext/>
      <w:numPr>
        <w:ilvl w:val="5"/>
        <w:numId w:val="10"/>
      </w:numPr>
      <w:outlineLvl w:val="5"/>
    </w:pPr>
  </w:style>
  <w:style w:type="paragraph" w:styleId="Heading7">
    <w:name w:val="heading 7"/>
    <w:basedOn w:val="Normal"/>
    <w:next w:val="Normal"/>
    <w:semiHidden/>
    <w:pPr>
      <w:keepNext/>
      <w:numPr>
        <w:ilvl w:val="6"/>
        <w:numId w:val="10"/>
      </w:numPr>
      <w:outlineLvl w:val="6"/>
    </w:pPr>
  </w:style>
  <w:style w:type="paragraph" w:styleId="Heading8">
    <w:name w:val="heading 8"/>
    <w:basedOn w:val="Normal"/>
    <w:next w:val="Normal"/>
    <w:semiHidden/>
    <w:pPr>
      <w:keepNext/>
      <w:numPr>
        <w:ilvl w:val="7"/>
        <w:numId w:val="10"/>
      </w:numPr>
      <w:outlineLvl w:val="7"/>
    </w:pPr>
  </w:style>
  <w:style w:type="paragraph" w:styleId="Heading9">
    <w:name w:val="heading 9"/>
    <w:basedOn w:val="Normal"/>
    <w:next w:val="Normal"/>
    <w:semiHidden/>
    <w:pPr>
      <w:keepNext/>
      <w:numPr>
        <w:ilvl w:val="8"/>
        <w:numId w:val="1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styleId="Caption">
    <w:name w:val="caption"/>
    <w:basedOn w:val="Normal"/>
    <w:next w:val="Normal"/>
    <w:uiPriority w:val="2"/>
    <w:pPr>
      <w:spacing w:before="120"/>
    </w:pPr>
    <w:rPr>
      <w:b/>
      <w:i/>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Contact">
    <w:name w:val="Contact"/>
    <w:basedOn w:val="Normal"/>
    <w:uiPriority w:val="2"/>
    <w:pPr>
      <w:spacing w:before="480" w:after="240"/>
      <w:ind w:left="567" w:hanging="567"/>
      <w:jc w:val="left"/>
    </w:pPr>
  </w:style>
  <w:style w:type="paragraph" w:customStyle="1" w:styleId="ContNum">
    <w:name w:val="ContNum"/>
    <w:basedOn w:val="Normal"/>
    <w:uiPriority w:val="1"/>
    <w:qFormat/>
    <w:pPr>
      <w:numPr>
        <w:numId w:val="2"/>
      </w:numPr>
    </w:pPr>
  </w:style>
  <w:style w:type="paragraph" w:customStyle="1" w:styleId="ContNumLevel2">
    <w:name w:val="ContNum (Level 2)"/>
    <w:basedOn w:val="Normal"/>
    <w:uiPriority w:val="1"/>
    <w:pPr>
      <w:numPr>
        <w:ilvl w:val="1"/>
        <w:numId w:val="2"/>
      </w:numPr>
    </w:pPr>
  </w:style>
  <w:style w:type="paragraph" w:customStyle="1" w:styleId="ContNumLevel3">
    <w:name w:val="ContNum (Level 3)"/>
    <w:basedOn w:val="Normal"/>
    <w:uiPriority w:val="1"/>
    <w:pPr>
      <w:numPr>
        <w:ilvl w:val="2"/>
        <w:numId w:val="2"/>
      </w:numPr>
    </w:pPr>
  </w:style>
  <w:style w:type="paragraph" w:styleId="Date">
    <w:name w:val="Date"/>
    <w:basedOn w:val="Normal"/>
    <w:next w:val="References"/>
    <w:uiPriority w:val="1"/>
    <w:pPr>
      <w:spacing w:after="0"/>
      <w:ind w:left="5102" w:right="-567"/>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line="240" w:lineRule="auto"/>
    </w:pPr>
  </w:style>
  <w:style w:type="paragraph" w:customStyle="1" w:styleId="FigureSource">
    <w:name w:val="Figure Source"/>
    <w:basedOn w:val="Normal"/>
    <w:next w:val="Normal"/>
    <w:uiPriority w:val="2"/>
    <w:pPr>
      <w:spacing w:after="240" w:line="240" w:lineRule="auto"/>
    </w:pPr>
    <w:rPr>
      <w:sz w:val="18"/>
    </w:rPr>
  </w:style>
  <w:style w:type="paragraph" w:customStyle="1" w:styleId="FigureTitle">
    <w:name w:val="Figure Title"/>
    <w:basedOn w:val="Normal"/>
    <w:next w:val="FigureBody"/>
    <w:uiPriority w:val="2"/>
    <w:pPr>
      <w:keepNext/>
      <w:spacing w:before="120"/>
    </w:pPr>
    <w:rPr>
      <w:b/>
      <w:i/>
    </w:rPr>
  </w:style>
  <w:style w:type="paragraph" w:customStyle="1" w:styleId="FITTable">
    <w:name w:val="FIT Table"/>
    <w:basedOn w:val="Normal"/>
    <w:uiPriority w:val="2"/>
    <w:pPr>
      <w:spacing w:before="60" w:after="60"/>
    </w:p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FootnoteText">
    <w:name w:val="footnote text"/>
    <w:basedOn w:val="Normal"/>
    <w:link w:val="FootnoteTextChar"/>
    <w:uiPriority w:val="99"/>
    <w:unhideWhenUsed/>
    <w:qFormat/>
    <w:pPr>
      <w:ind w:left="357" w:hanging="357"/>
    </w:pPr>
    <w:rPr>
      <w:sz w:val="20"/>
    </w:rPr>
  </w:style>
  <w:style w:type="paragraph" w:customStyle="1" w:styleId="Glossary">
    <w:name w:val="Glossary"/>
    <w:basedOn w:val="Normal"/>
    <w:uiPriority w:val="2"/>
    <w:pPr>
      <w:tabs>
        <w:tab w:val="left" w:pos="2835"/>
      </w:tabs>
      <w:ind w:left="2835" w:hanging="2835"/>
      <w:jc w:val="left"/>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LegalNumPar">
    <w:name w:val="LegalNumPar"/>
    <w:basedOn w:val="Normal"/>
    <w:uiPriority w:val="1"/>
    <w:qFormat/>
    <w:pPr>
      <w:numPr>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3">
    <w:name w:val="LegalNumPar3"/>
    <w:basedOn w:val="Normal"/>
    <w:uiPriority w:val="1"/>
    <w:pPr>
      <w:numPr>
        <w:ilvl w:val="2"/>
        <w:numId w:val="3"/>
      </w:numPr>
      <w:spacing w:line="360" w:lineRule="auto"/>
    </w:pPr>
    <w:rPr>
      <w:sz w:val="24"/>
    </w:rPr>
  </w:style>
  <w:style w:type="paragraph" w:styleId="ListBullet">
    <w:name w:val="List Bullet"/>
    <w:basedOn w:val="Normal"/>
    <w:uiPriority w:val="1"/>
    <w:pPr>
      <w:numPr>
        <w:numId w:val="20"/>
      </w:numPr>
      <w:contextualSpacing/>
    </w:pPr>
  </w:style>
  <w:style w:type="paragraph" w:customStyle="1" w:styleId="ListBulletLevel2">
    <w:name w:val="List Bullet (Level 2)"/>
    <w:basedOn w:val="Normal"/>
    <w:uiPriority w:val="1"/>
    <w:pPr>
      <w:numPr>
        <w:ilvl w:val="1"/>
        <w:numId w:val="20"/>
      </w:numPr>
      <w:contextualSpacing/>
    </w:pPr>
  </w:style>
  <w:style w:type="paragraph" w:customStyle="1" w:styleId="ListBulletLevel3">
    <w:name w:val="List Bullet (Level 3)"/>
    <w:basedOn w:val="Normal"/>
    <w:uiPriority w:val="1"/>
    <w:semiHidden/>
    <w:unhideWhenUsed/>
    <w:pPr>
      <w:numPr>
        <w:ilvl w:val="2"/>
        <w:numId w:val="20"/>
      </w:numPr>
      <w:contextualSpacing/>
    </w:pPr>
  </w:style>
  <w:style w:type="paragraph" w:customStyle="1" w:styleId="ListBulletLevel4">
    <w:name w:val="List Bullet (Level 4)"/>
    <w:basedOn w:val="Normal"/>
    <w:uiPriority w:val="1"/>
    <w:semiHidden/>
    <w:unhideWhenUsed/>
    <w:pPr>
      <w:numPr>
        <w:ilvl w:val="3"/>
        <w:numId w:val="20"/>
      </w:numPr>
      <w:contextualSpacing/>
    </w:pPr>
  </w:style>
  <w:style w:type="paragraph" w:customStyle="1" w:styleId="ListDash">
    <w:name w:val="List Dash"/>
    <w:basedOn w:val="Normal"/>
    <w:uiPriority w:val="1"/>
    <w:pPr>
      <w:numPr>
        <w:numId w:val="7"/>
      </w:numPr>
      <w:contextualSpacing/>
    </w:pPr>
  </w:style>
  <w:style w:type="paragraph" w:customStyle="1" w:styleId="ListDashLevel2">
    <w:name w:val="List Dash (Level 2)"/>
    <w:basedOn w:val="Normal"/>
    <w:uiPriority w:val="1"/>
    <w:pPr>
      <w:numPr>
        <w:ilvl w:val="1"/>
        <w:numId w:val="7"/>
      </w:numPr>
      <w:contextualSpacing/>
    </w:pPr>
  </w:style>
  <w:style w:type="paragraph" w:customStyle="1" w:styleId="ListDashLevel3">
    <w:name w:val="List Dash (Level 3)"/>
    <w:basedOn w:val="Normal"/>
    <w:uiPriority w:val="1"/>
    <w:semiHidden/>
    <w:unhideWhenUsed/>
    <w:pPr>
      <w:numPr>
        <w:ilvl w:val="2"/>
        <w:numId w:val="7"/>
      </w:numPr>
      <w:contextualSpacing/>
    </w:pPr>
  </w:style>
  <w:style w:type="paragraph" w:customStyle="1" w:styleId="ListDashLevel4">
    <w:name w:val="List Dash (Level 4)"/>
    <w:basedOn w:val="Normal"/>
    <w:uiPriority w:val="1"/>
    <w:semiHidden/>
    <w:unhideWhenUsed/>
    <w:pPr>
      <w:numPr>
        <w:ilvl w:val="3"/>
        <w:numId w:val="7"/>
      </w:numPr>
      <w:contextualSpacing/>
    </w:pPr>
  </w:style>
  <w:style w:type="paragraph" w:styleId="ListNumber">
    <w:name w:val="List Number"/>
    <w:basedOn w:val="Normal"/>
    <w:pPr>
      <w:numPr>
        <w:numId w:val="19"/>
      </w:numPr>
      <w:contextualSpacing/>
    </w:pPr>
  </w:style>
  <w:style w:type="paragraph" w:customStyle="1" w:styleId="ListNumberLevel2">
    <w:name w:val="List Number (Level 2)"/>
    <w:basedOn w:val="Normal"/>
    <w:pPr>
      <w:numPr>
        <w:ilvl w:val="1"/>
        <w:numId w:val="19"/>
      </w:numPr>
      <w:contextualSpacing/>
    </w:pPr>
  </w:style>
  <w:style w:type="paragraph" w:customStyle="1" w:styleId="ListNumberLevel3">
    <w:name w:val="List Number (Level 3)"/>
    <w:basedOn w:val="Normal"/>
    <w:unhideWhenUsed/>
    <w:pPr>
      <w:numPr>
        <w:ilvl w:val="2"/>
        <w:numId w:val="19"/>
      </w:numPr>
      <w:contextualSpacing/>
    </w:pPr>
  </w:style>
  <w:style w:type="paragraph" w:customStyle="1" w:styleId="ListNumberLevel4">
    <w:name w:val="List Number (Level 4)"/>
    <w:basedOn w:val="Normal"/>
    <w:unhideWhenUsed/>
    <w:pPr>
      <w:numPr>
        <w:ilvl w:val="3"/>
        <w:numId w:val="19"/>
      </w:numPr>
      <w:contextualSpacing/>
    </w:p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References">
    <w:name w:val="References"/>
    <w:uiPriority w:val="2"/>
    <w:pPr>
      <w:tabs>
        <w:tab w:val="num" w:pos="397"/>
        <w:tab w:val="num" w:pos="709"/>
      </w:tabs>
      <w:ind w:left="709" w:hanging="709"/>
    </w:p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SubTitle1">
    <w:name w:val="SubTitle 1"/>
    <w:basedOn w:val="Normal"/>
    <w:next w:val="Normal"/>
    <w:uiPriority w:val="1"/>
    <w:qFormat/>
    <w:pPr>
      <w:spacing w:before="360" w:after="2000"/>
      <w:jc w:val="center"/>
    </w:pPr>
    <w:rPr>
      <w:b/>
      <w:sz w:val="40"/>
    </w:rPr>
  </w:style>
  <w:style w:type="paragraph" w:customStyle="1" w:styleId="SubTitle2">
    <w:name w:val="SubTitle 2"/>
    <w:basedOn w:val="Normal"/>
    <w:uiPriority w:val="1"/>
    <w:qFormat/>
    <w:pPr>
      <w:spacing w:after="280"/>
      <w:jc w:val="center"/>
    </w:pPr>
    <w:rPr>
      <w:b/>
      <w:sz w:val="32"/>
    </w:rPr>
  </w:style>
  <w:style w:type="paragraph" w:customStyle="1" w:styleId="TableListBullet">
    <w:name w:val="Table List Bullet"/>
    <w:basedOn w:val="TableText"/>
    <w:uiPriority w:val="1"/>
    <w:pPr>
      <w:numPr>
        <w:numId w:val="6"/>
      </w:numPr>
    </w:pPr>
  </w:style>
  <w:style w:type="paragraph" w:customStyle="1" w:styleId="TableListBulletLevel2">
    <w:name w:val="Table List Bullet (Level 2)"/>
    <w:basedOn w:val="TableText"/>
    <w:uiPriority w:val="1"/>
    <w:pPr>
      <w:numPr>
        <w:ilvl w:val="1"/>
        <w:numId w:val="6"/>
      </w:numPr>
    </w:pPr>
  </w:style>
  <w:style w:type="paragraph" w:customStyle="1" w:styleId="TableListBulletLevel3">
    <w:name w:val="Table List Bullet (Level 3)"/>
    <w:basedOn w:val="TableText"/>
    <w:uiPriority w:val="1"/>
    <w:semiHidden/>
    <w:unhideWhenUsed/>
    <w:pPr>
      <w:numPr>
        <w:ilvl w:val="2"/>
        <w:numId w:val="6"/>
      </w:numPr>
    </w:pPr>
  </w:style>
  <w:style w:type="paragraph" w:customStyle="1" w:styleId="TableListBulletLevel4">
    <w:name w:val="Table List Bullet (Level 4)"/>
    <w:basedOn w:val="TableText"/>
    <w:uiPriority w:val="1"/>
    <w:semiHidden/>
    <w:unhideWhenUsed/>
    <w:pPr>
      <w:numPr>
        <w:ilvl w:val="3"/>
        <w:numId w:val="6"/>
      </w:numPr>
    </w:pPr>
  </w:style>
  <w:style w:type="paragraph" w:customStyle="1" w:styleId="TableListDash">
    <w:name w:val="Table List Dash"/>
    <w:basedOn w:val="TableText"/>
    <w:uiPriority w:val="1"/>
    <w:pPr>
      <w:numPr>
        <w:numId w:val="5"/>
      </w:numPr>
    </w:pPr>
  </w:style>
  <w:style w:type="paragraph" w:customStyle="1" w:styleId="TableListDashLevel2">
    <w:name w:val="Table List Dash (Level 2)"/>
    <w:basedOn w:val="TableText"/>
    <w:uiPriority w:val="1"/>
    <w:pPr>
      <w:numPr>
        <w:ilvl w:val="1"/>
        <w:numId w:val="5"/>
      </w:numPr>
    </w:pPr>
  </w:style>
  <w:style w:type="paragraph" w:customStyle="1" w:styleId="TableListDashLevel3">
    <w:name w:val="Table List Dash (Level 3)"/>
    <w:basedOn w:val="TableText"/>
    <w:uiPriority w:val="1"/>
    <w:semiHidden/>
    <w:unhideWhenUsed/>
    <w:pPr>
      <w:numPr>
        <w:ilvl w:val="2"/>
        <w:numId w:val="5"/>
      </w:numPr>
    </w:pPr>
  </w:style>
  <w:style w:type="paragraph" w:customStyle="1" w:styleId="TableListDashLevel4">
    <w:name w:val="Table List Dash (Level 4)"/>
    <w:basedOn w:val="TableText"/>
    <w:uiPriority w:val="1"/>
    <w:semiHidden/>
    <w:unhideWhenUsed/>
    <w:pPr>
      <w:numPr>
        <w:ilvl w:val="3"/>
        <w:numId w:val="5"/>
      </w:numPr>
    </w:pPr>
  </w:style>
  <w:style w:type="paragraph" w:customStyle="1" w:styleId="TableListNumber">
    <w:name w:val="Table List Number"/>
    <w:basedOn w:val="TableText"/>
    <w:uiPriority w:val="1"/>
    <w:pPr>
      <w:numPr>
        <w:numId w:val="4"/>
      </w:numPr>
    </w:pPr>
  </w:style>
  <w:style w:type="paragraph" w:customStyle="1" w:styleId="TableListNumberLevel2">
    <w:name w:val="Table List Number (Level 2)"/>
    <w:basedOn w:val="TableText"/>
    <w:uiPriority w:val="1"/>
    <w:pPr>
      <w:numPr>
        <w:ilvl w:val="1"/>
        <w:numId w:val="4"/>
      </w:numPr>
    </w:pPr>
  </w:style>
  <w:style w:type="paragraph" w:customStyle="1" w:styleId="TableListNumberLevel3">
    <w:name w:val="Table List Number (Level 3)"/>
    <w:basedOn w:val="TableText"/>
    <w:uiPriority w:val="1"/>
    <w:semiHidden/>
    <w:unhideWhenUsed/>
    <w:pPr>
      <w:numPr>
        <w:ilvl w:val="2"/>
        <w:numId w:val="4"/>
      </w:numPr>
    </w:pPr>
  </w:style>
  <w:style w:type="paragraph" w:customStyle="1" w:styleId="TableListNumberLevel4">
    <w:name w:val="Table List Number (Level 4)"/>
    <w:basedOn w:val="TableText"/>
    <w:uiPriority w:val="1"/>
    <w:semiHidden/>
    <w:unhideWhenUsed/>
    <w:pPr>
      <w:numPr>
        <w:ilvl w:val="3"/>
        <w:numId w:val="4"/>
      </w:numPr>
    </w:pPr>
  </w:style>
  <w:style w:type="paragraph" w:customStyle="1" w:styleId="TableSource">
    <w:name w:val="Table Source"/>
    <w:basedOn w:val="Normal"/>
    <w:next w:val="Normal"/>
    <w:semiHidden/>
    <w:unhideWhenUsed/>
    <w:pPr>
      <w:spacing w:after="240"/>
    </w:pPr>
    <w:rPr>
      <w:sz w:val="18"/>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before="120"/>
    </w:pPr>
    <w:rPr>
      <w:b/>
      <w:i/>
    </w:rPr>
  </w:style>
  <w:style w:type="paragraph" w:styleId="Title">
    <w:name w:val="Title"/>
    <w:basedOn w:val="Normal"/>
    <w:next w:val="SubTitle1"/>
    <w:uiPriority w:val="1"/>
    <w:qFormat/>
    <w:pPr>
      <w:spacing w:before="3200" w:after="480"/>
      <w:jc w:val="center"/>
    </w:pPr>
    <w:rPr>
      <w:b/>
      <w:kern w:val="28"/>
      <w:sz w:val="48"/>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ZCom">
    <w:name w:val="Z_Com"/>
    <w:basedOn w:val="Normal"/>
    <w:next w:val="Normal"/>
    <w:uiPriority w:val="2"/>
    <w:pPr>
      <w:widowControl w:val="0"/>
      <w:spacing w:before="90" w:after="0" w:line="240" w:lineRule="auto"/>
      <w:ind w:right="85"/>
      <w:jc w:val="left"/>
    </w:pPr>
    <w:rPr>
      <w:sz w:val="24"/>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Flag">
    <w:name w:val="Z_Flag"/>
    <w:basedOn w:val="Normal"/>
    <w:next w:val="Normal"/>
    <w:link w:val="ZFlagChar"/>
    <w:uiPriority w:val="2"/>
    <w:pPr>
      <w:widowControl w:val="0"/>
      <w:spacing w:after="0"/>
      <w:ind w:right="85"/>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PropertiesTable">
    <w:name w:val="Properties Table"/>
    <w:basedOn w:val="TableNormal"/>
    <w:semiHidden/>
    <w:pPr>
      <w:spacing w:after="120" w:line="264" w:lineRule="auto"/>
    </w:pPr>
    <w:tblPr>
      <w:tblInd w:w="1984" w:type="dxa"/>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FE789E"/>
    <w:rPr>
      <w:color w:val="0563C1" w:themeColor="hyperlink"/>
      <w:u w:val="single"/>
    </w:rPr>
  </w:style>
  <w:style w:type="character" w:customStyle="1" w:styleId="Marker">
    <w:name w:val="Marker"/>
    <w:basedOn w:val="DefaultParagraphFont"/>
    <w:rsid w:val="00DC489A"/>
    <w:rPr>
      <w:color w:val="0000FF"/>
      <w:shd w:val="clear" w:color="auto" w:fill="auto"/>
    </w:rPr>
  </w:style>
  <w:style w:type="paragraph" w:customStyle="1" w:styleId="Pagedecouverture">
    <w:name w:val="Page de couverture"/>
    <w:basedOn w:val="Normal"/>
    <w:next w:val="Normal"/>
    <w:rsid w:val="00DC489A"/>
    <w:pPr>
      <w:spacing w:after="0" w:line="240" w:lineRule="auto"/>
    </w:pPr>
    <w:rPr>
      <w:rFonts w:eastAsiaTheme="minorHAnsi"/>
      <w:sz w:val="24"/>
    </w:rPr>
  </w:style>
  <w:style w:type="paragraph" w:customStyle="1" w:styleId="FooterCoverPage">
    <w:name w:val="Footer Cover Page"/>
    <w:basedOn w:val="Normal"/>
    <w:link w:val="FooterCoverPageChar"/>
    <w:rsid w:val="00DC489A"/>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2"/>
    <w:rsid w:val="00DC489A"/>
    <w:rPr>
      <w:sz w:val="22"/>
    </w:rPr>
  </w:style>
  <w:style w:type="character" w:customStyle="1" w:styleId="FooterCoverPageChar">
    <w:name w:val="Footer Cover Page Char"/>
    <w:basedOn w:val="ZFlagChar"/>
    <w:link w:val="FooterCoverPage"/>
    <w:rsid w:val="00DC489A"/>
    <w:rPr>
      <w:sz w:val="22"/>
    </w:rPr>
  </w:style>
  <w:style w:type="paragraph" w:customStyle="1" w:styleId="FooterSensitivity">
    <w:name w:val="Footer Sensitivity"/>
    <w:basedOn w:val="Normal"/>
    <w:link w:val="FooterSensitivityChar"/>
    <w:rsid w:val="00DC489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sid w:val="00DC489A"/>
    <w:rPr>
      <w:b/>
      <w:sz w:val="32"/>
    </w:rPr>
  </w:style>
  <w:style w:type="paragraph" w:customStyle="1" w:styleId="HeaderCoverPage">
    <w:name w:val="Header Cover Page"/>
    <w:basedOn w:val="Normal"/>
    <w:link w:val="HeaderCoverPageChar"/>
    <w:rsid w:val="00DC489A"/>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sid w:val="00DC489A"/>
    <w:rPr>
      <w:sz w:val="22"/>
    </w:rPr>
  </w:style>
  <w:style w:type="paragraph" w:customStyle="1" w:styleId="HeaderSensitivity">
    <w:name w:val="Header Sensitivity"/>
    <w:basedOn w:val="Normal"/>
    <w:link w:val="HeaderSensitivityChar"/>
    <w:rsid w:val="00DC489A"/>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sid w:val="00DC489A"/>
    <w:rPr>
      <w:b/>
      <w:sz w:val="32"/>
    </w:rPr>
  </w:style>
  <w:style w:type="paragraph" w:customStyle="1" w:styleId="HeaderSensitivityRight">
    <w:name w:val="Header Sensitivity Right"/>
    <w:basedOn w:val="Normal"/>
    <w:link w:val="HeaderSensitivityRightChar"/>
    <w:rsid w:val="00DC489A"/>
    <w:pPr>
      <w:spacing w:line="240" w:lineRule="auto"/>
      <w:jc w:val="right"/>
    </w:pPr>
    <w:rPr>
      <w:sz w:val="28"/>
    </w:rPr>
  </w:style>
  <w:style w:type="character" w:customStyle="1" w:styleId="HeaderSensitivityRightChar">
    <w:name w:val="Header Sensitivity Right Char"/>
    <w:basedOn w:val="ZFlagChar"/>
    <w:link w:val="HeaderSensitivityRight"/>
    <w:rsid w:val="00DC489A"/>
    <w:rPr>
      <w:sz w:val="28"/>
    </w:rPr>
  </w:style>
  <w:style w:type="paragraph" w:styleId="ListNumber3">
    <w:name w:val="List Number 3"/>
    <w:basedOn w:val="Normal"/>
    <w:semiHidden/>
    <w:locked/>
    <w:rsid w:val="00623B82"/>
    <w:pPr>
      <w:numPr>
        <w:numId w:val="11"/>
      </w:numPr>
      <w:contextualSpacing/>
    </w:pPr>
  </w:style>
  <w:style w:type="paragraph" w:styleId="ListNumber2">
    <w:name w:val="List Number 2"/>
    <w:basedOn w:val="Normal"/>
    <w:semiHidden/>
    <w:locked/>
    <w:rsid w:val="00623B82"/>
    <w:pPr>
      <w:numPr>
        <w:numId w:val="12"/>
      </w:numPr>
      <w:contextualSpacing/>
    </w:pPr>
  </w:style>
  <w:style w:type="paragraph" w:styleId="ListBullet3">
    <w:name w:val="List Bullet 3"/>
    <w:basedOn w:val="Normal"/>
    <w:semiHidden/>
    <w:locked/>
    <w:rsid w:val="004F6F3F"/>
    <w:pPr>
      <w:numPr>
        <w:numId w:val="13"/>
      </w:numPr>
      <w:contextualSpacing/>
    </w:pPr>
  </w:style>
  <w:style w:type="paragraph" w:styleId="ListBullet2">
    <w:name w:val="List Bullet 2"/>
    <w:basedOn w:val="Normal"/>
    <w:semiHidden/>
    <w:locked/>
    <w:rsid w:val="004F6F3F"/>
    <w:pPr>
      <w:numPr>
        <w:numId w:val="14"/>
      </w:numPr>
      <w:contextualSpacing/>
    </w:pPr>
  </w:style>
  <w:style w:type="character" w:styleId="FootnoteReference">
    <w:name w:val="footnote reference"/>
    <w:basedOn w:val="DefaultParagraphFont"/>
    <w:uiPriority w:val="99"/>
    <w:qFormat/>
    <w:locked/>
    <w:rsid w:val="00AC5DD3"/>
    <w:rPr>
      <w:vertAlign w:val="superscript"/>
    </w:rPr>
  </w:style>
  <w:style w:type="paragraph" w:styleId="ListParagraph">
    <w:name w:val="List Paragraph"/>
    <w:basedOn w:val="Normal"/>
    <w:uiPriority w:val="34"/>
    <w:qFormat/>
    <w:locked/>
    <w:rsid w:val="00101327"/>
    <w:pPr>
      <w:spacing w:after="0" w:line="240" w:lineRule="auto"/>
      <w:ind w:left="720"/>
      <w:jc w:val="left"/>
    </w:pPr>
    <w:rPr>
      <w:rFonts w:ascii="Calibri" w:hAnsi="Calibri"/>
    </w:rPr>
  </w:style>
  <w:style w:type="table" w:styleId="GridTable4-Accent1">
    <w:name w:val="Grid Table 4 Accent 1"/>
    <w:basedOn w:val="TableNormal"/>
    <w:locked/>
    <w:rsid w:val="002F71B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otnoteTextChar">
    <w:name w:val="Footnote Text Char"/>
    <w:basedOn w:val="DefaultParagraphFont"/>
    <w:link w:val="FootnoteText"/>
    <w:uiPriority w:val="99"/>
    <w:rsid w:val="006C7D78"/>
    <w:rPr>
      <w:sz w:val="20"/>
    </w:rPr>
  </w:style>
  <w:style w:type="paragraph" w:styleId="TableofFigures">
    <w:name w:val="table of figures"/>
    <w:basedOn w:val="Normal"/>
    <w:next w:val="Normal"/>
    <w:uiPriority w:val="99"/>
    <w:locked/>
    <w:rsid w:val="00440F24"/>
    <w:pPr>
      <w:spacing w:after="0"/>
    </w:pPr>
  </w:style>
  <w:style w:type="paragraph" w:styleId="NormalWeb">
    <w:name w:val="Normal (Web)"/>
    <w:basedOn w:val="Normal"/>
    <w:uiPriority w:val="99"/>
    <w:semiHidden/>
    <w:unhideWhenUsed/>
    <w:locked/>
    <w:rsid w:val="00B844C4"/>
    <w:pPr>
      <w:spacing w:before="100" w:beforeAutospacing="1" w:after="100" w:afterAutospacing="1" w:line="240" w:lineRule="auto"/>
      <w:jc w:val="left"/>
    </w:pPr>
    <w:rPr>
      <w:sz w:val="24"/>
    </w:rPr>
  </w:style>
  <w:style w:type="paragraph" w:customStyle="1" w:styleId="Text1">
    <w:name w:val="Text 1"/>
    <w:basedOn w:val="Normal"/>
    <w:qFormat/>
    <w:rsid w:val="00D11191"/>
    <w:pPr>
      <w:spacing w:after="240" w:line="240" w:lineRule="auto"/>
      <w:ind w:left="482"/>
    </w:pPr>
    <w:rPr>
      <w:sz w:val="24"/>
    </w:rPr>
  </w:style>
  <w:style w:type="paragraph" w:customStyle="1" w:styleId="Default">
    <w:name w:val="Default"/>
    <w:rsid w:val="00C77AE2"/>
    <w:pPr>
      <w:autoSpaceDE w:val="0"/>
      <w:autoSpaceDN w:val="0"/>
      <w:adjustRightInd w:val="0"/>
    </w:pPr>
  </w:style>
  <w:style w:type="character" w:styleId="CommentReference">
    <w:name w:val="annotation reference"/>
    <w:basedOn w:val="DefaultParagraphFont"/>
    <w:semiHidden/>
    <w:locked/>
    <w:rsid w:val="00602423"/>
    <w:rPr>
      <w:sz w:val="16"/>
    </w:rPr>
  </w:style>
  <w:style w:type="paragraph" w:styleId="CommentText">
    <w:name w:val="annotation text"/>
    <w:basedOn w:val="Normal"/>
    <w:link w:val="CommentTextChar"/>
    <w:semiHidden/>
    <w:locked/>
    <w:rsid w:val="00602423"/>
    <w:pPr>
      <w:spacing w:line="240" w:lineRule="auto"/>
    </w:pPr>
    <w:rPr>
      <w:sz w:val="20"/>
    </w:rPr>
  </w:style>
  <w:style w:type="character" w:customStyle="1" w:styleId="CommentTextChar">
    <w:name w:val="Comment Text Char"/>
    <w:basedOn w:val="DefaultParagraphFont"/>
    <w:link w:val="CommentText"/>
    <w:semiHidden/>
    <w:rsid w:val="00602423"/>
    <w:rPr>
      <w:sz w:val="20"/>
    </w:rPr>
  </w:style>
  <w:style w:type="paragraph" w:styleId="CommentSubject">
    <w:name w:val="annotation subject"/>
    <w:basedOn w:val="CommentText"/>
    <w:next w:val="CommentText"/>
    <w:link w:val="CommentSubjectChar"/>
    <w:semiHidden/>
    <w:locked/>
    <w:rsid w:val="00602423"/>
    <w:rPr>
      <w:b/>
    </w:rPr>
  </w:style>
  <w:style w:type="character" w:customStyle="1" w:styleId="CommentSubjectChar">
    <w:name w:val="Comment Subject Char"/>
    <w:basedOn w:val="CommentTextChar"/>
    <w:link w:val="CommentSubject"/>
    <w:semiHidden/>
    <w:rsid w:val="00602423"/>
    <w:rPr>
      <w:b/>
      <w:sz w:val="20"/>
    </w:rPr>
  </w:style>
  <w:style w:type="paragraph" w:styleId="BalloonText">
    <w:name w:val="Balloon Text"/>
    <w:basedOn w:val="Normal"/>
    <w:link w:val="BalloonTextChar"/>
    <w:semiHidden/>
    <w:locked/>
    <w:rsid w:val="00602423"/>
    <w:pPr>
      <w:spacing w:after="0" w:line="240" w:lineRule="auto"/>
    </w:pPr>
    <w:rPr>
      <w:rFonts w:ascii="Segoe UI" w:hAnsi="Segoe UI" w:cs="Segoe UI"/>
      <w:sz w:val="18"/>
    </w:rPr>
  </w:style>
  <w:style w:type="character" w:customStyle="1" w:styleId="BalloonTextChar">
    <w:name w:val="Balloon Text Char"/>
    <w:basedOn w:val="DefaultParagraphFont"/>
    <w:link w:val="BalloonText"/>
    <w:semiHidden/>
    <w:rsid w:val="00602423"/>
    <w:rPr>
      <w:rFonts w:ascii="Segoe UI" w:hAnsi="Segoe UI" w:cs="Segoe UI"/>
      <w:sz w:val="18"/>
    </w:rPr>
  </w:style>
  <w:style w:type="table" w:styleId="GridTable4-Accent5">
    <w:name w:val="Grid Table 4 Accent 5"/>
    <w:basedOn w:val="TableNormal"/>
    <w:locked/>
    <w:rsid w:val="00A839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rsid w:val="008A4E1B"/>
  </w:style>
  <w:style w:type="character" w:styleId="Emphasis">
    <w:name w:val="Emphasis"/>
    <w:basedOn w:val="DefaultParagraphFont"/>
    <w:uiPriority w:val="20"/>
    <w:qFormat/>
    <w:locked/>
    <w:rsid w:val="00BB428C"/>
    <w:rPr>
      <w:i/>
    </w:rPr>
  </w:style>
  <w:style w:type="character" w:styleId="FollowedHyperlink">
    <w:name w:val="FollowedHyperlink"/>
    <w:basedOn w:val="DefaultParagraphFont"/>
    <w:semiHidden/>
    <w:locked/>
    <w:rsid w:val="00CA6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7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diagramDrawing" Target="diagrams/drawing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diagramColors" Target="diagrams/colors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gional_policy/en/policy/how/improving-investment/integrity-pacts/" TargetMode="External"/><Relationship Id="rId3" Type="http://schemas.openxmlformats.org/officeDocument/2006/relationships/hyperlink" Target="https://www.eppo.europa.eu/sites/default/files/2022-07/_EPPO-Annual-Report-2021-IT.pdf" TargetMode="External"/><Relationship Id="rId7" Type="http://schemas.openxmlformats.org/officeDocument/2006/relationships/hyperlink" Target="https://ec.europa.eu/info/business-economy-euro/economic-and-fiscal-policy-coordination/eu-economic-governance-monitoring-prevention-correction/european-semester/european-semester-timeline/spring-package_it" TargetMode="External"/><Relationship Id="rId2" Type="http://schemas.openxmlformats.org/officeDocument/2006/relationships/hyperlink" Target="https://anti-fraud.ec.europa.eu/system/files/2022-07/olaf-report-2021_en.pdf" TargetMode="External"/><Relationship Id="rId1" Type="http://schemas.openxmlformats.org/officeDocument/2006/relationships/hyperlink" Target="https://ec.europa.eu/info/sites/default/files/about_the_european_commission/eu_budget/budgetary-procedure.pdf" TargetMode="External"/><Relationship Id="rId6" Type="http://schemas.openxmlformats.org/officeDocument/2006/relationships/hyperlink" Target="https://ec.europa.eu/info/business-economy-euro/economic-and-fiscal-policy-coordination/eu-economic-governance-monitoring-prevention-correction/european-semester_it" TargetMode="External"/><Relationship Id="rId5" Type="http://schemas.openxmlformats.org/officeDocument/2006/relationships/hyperlink" Target="https://finance.ec.europa.eu/financial-crime/eu-context-anti-money-laundering-and-countering-financing-terrorism_it" TargetMode="External"/><Relationship Id="rId4" Type="http://schemas.openxmlformats.org/officeDocument/2006/relationships/hyperlink" Target="https://www.eca.europa.eu/Lists/ECADocuments/annualreports-2020/annualreports-2020_IT.pdf"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5D37C4-5DBB-4EF2-84BC-72D8F157BF6E}" type="doc">
      <dgm:prSet loTypeId="urn:microsoft.com/office/officeart/2005/8/layout/chevron1" loCatId="process" qsTypeId="urn:microsoft.com/office/officeart/2005/8/quickstyle/simple1" qsCatId="simple" csTypeId="urn:microsoft.com/office/officeart/2005/8/colors/accent1_3" csCatId="accent1" phldr="1"/>
      <dgm:spPr/>
    </dgm:pt>
    <dgm:pt modelId="{48BEDD7A-42A3-4EFB-8637-56E8A52BBB21}">
      <dgm:prSet phldrT="[Text]"/>
      <dgm:spPr/>
      <dgm:t>
        <a:bodyPr/>
        <a:lstStyle/>
        <a:p>
          <a:r>
            <a:rPr lang="it-IT"/>
            <a:t>STATO MEMBRO</a:t>
          </a:r>
        </a:p>
      </dgm:t>
    </dgm:pt>
    <dgm:pt modelId="{F37C9437-BE39-4FC0-911F-D51A22280E13}" type="parTrans" cxnId="{05CAC821-0649-435F-96A4-BD9B33CF4FE7}">
      <dgm:prSet/>
      <dgm:spPr/>
      <dgm:t>
        <a:bodyPr/>
        <a:lstStyle/>
        <a:p>
          <a:endParaRPr lang="en-US"/>
        </a:p>
      </dgm:t>
    </dgm:pt>
    <dgm:pt modelId="{DE506E46-1FD0-4A4D-B74B-A599FF45D698}" type="sibTrans" cxnId="{05CAC821-0649-435F-96A4-BD9B33CF4FE7}">
      <dgm:prSet/>
      <dgm:spPr/>
      <dgm:t>
        <a:bodyPr/>
        <a:lstStyle/>
        <a:p>
          <a:endParaRPr lang="en-US"/>
        </a:p>
      </dgm:t>
    </dgm:pt>
    <dgm:pt modelId="{F3EFE610-D80E-4E79-8CA8-C94FF8C5F192}">
      <dgm:prSet phldrT="[Text]"/>
      <dgm:spPr/>
      <dgm:t>
        <a:bodyPr/>
        <a:lstStyle/>
        <a:p>
          <a:r>
            <a:rPr lang="it-IT"/>
            <a:t>COMMISSIONE</a:t>
          </a:r>
        </a:p>
      </dgm:t>
    </dgm:pt>
    <dgm:pt modelId="{3FDC3A84-5A50-427B-8D65-9EEA82848285}" type="parTrans" cxnId="{82AFF46D-4493-4DAE-9674-64C63572A5E9}">
      <dgm:prSet/>
      <dgm:spPr/>
      <dgm:t>
        <a:bodyPr/>
        <a:lstStyle/>
        <a:p>
          <a:endParaRPr lang="en-US"/>
        </a:p>
      </dgm:t>
    </dgm:pt>
    <dgm:pt modelId="{CFD96C64-4156-4811-800E-52A1F8F04402}" type="sibTrans" cxnId="{82AFF46D-4493-4DAE-9674-64C63572A5E9}">
      <dgm:prSet/>
      <dgm:spPr/>
      <dgm:t>
        <a:bodyPr/>
        <a:lstStyle/>
        <a:p>
          <a:endParaRPr lang="en-US"/>
        </a:p>
      </dgm:t>
    </dgm:pt>
    <dgm:pt modelId="{25F8BCF9-6873-42B3-949C-7FE9121AEE05}">
      <dgm:prSet phldrT="[Text]"/>
      <dgm:spPr/>
      <dgm:t>
        <a:bodyPr/>
        <a:lstStyle/>
        <a:p>
          <a:r>
            <a:rPr lang="it-IT"/>
            <a:t>CONSIGLIO</a:t>
          </a:r>
        </a:p>
      </dgm:t>
    </dgm:pt>
    <dgm:pt modelId="{6588D41E-E58B-40D8-9BF4-40C0DBC91C19}" type="parTrans" cxnId="{616EA3B2-CE73-41F0-AE94-CAEFEE0FB10B}">
      <dgm:prSet/>
      <dgm:spPr/>
      <dgm:t>
        <a:bodyPr/>
        <a:lstStyle/>
        <a:p>
          <a:endParaRPr lang="en-US"/>
        </a:p>
      </dgm:t>
    </dgm:pt>
    <dgm:pt modelId="{418E92B6-70C9-4B27-9C5E-430C47139919}" type="sibTrans" cxnId="{616EA3B2-CE73-41F0-AE94-CAEFEE0FB10B}">
      <dgm:prSet/>
      <dgm:spPr/>
      <dgm:t>
        <a:bodyPr/>
        <a:lstStyle/>
        <a:p>
          <a:endParaRPr lang="en-US"/>
        </a:p>
      </dgm:t>
    </dgm:pt>
    <dgm:pt modelId="{F1C0E952-55E8-447C-AB6B-BFFCFD382DD8}">
      <dgm:prSet phldrT="[Text]"/>
      <dgm:spPr/>
      <dgm:t>
        <a:bodyPr/>
        <a:lstStyle/>
        <a:p>
          <a:r>
            <a:rPr lang="it-IT"/>
            <a:t>I paesi presentano i piani nazionali di investimenti e riforme, con traguardi e obiettivi chiari</a:t>
          </a:r>
        </a:p>
      </dgm:t>
    </dgm:pt>
    <dgm:pt modelId="{2373B5DB-1F3A-48B4-8580-AA5C3B20CED9}" type="parTrans" cxnId="{1404F33D-4622-46A8-99A8-8A62030FEFA1}">
      <dgm:prSet/>
      <dgm:spPr/>
      <dgm:t>
        <a:bodyPr/>
        <a:lstStyle/>
        <a:p>
          <a:endParaRPr lang="en-US"/>
        </a:p>
      </dgm:t>
    </dgm:pt>
    <dgm:pt modelId="{210F1DED-8405-4A01-A060-36AAA15EB32C}" type="sibTrans" cxnId="{1404F33D-4622-46A8-99A8-8A62030FEFA1}">
      <dgm:prSet/>
      <dgm:spPr/>
      <dgm:t>
        <a:bodyPr/>
        <a:lstStyle/>
        <a:p>
          <a:endParaRPr lang="en-US"/>
        </a:p>
      </dgm:t>
    </dgm:pt>
    <dgm:pt modelId="{3902F3B4-E9E6-4F42-9E0B-FEAA78F8DAEF}">
      <dgm:prSet phldrT="[Text]"/>
      <dgm:spPr/>
      <dgm:t>
        <a:bodyPr/>
        <a:lstStyle/>
        <a:p>
          <a:r>
            <a:rPr lang="it-IT"/>
            <a:t>La Commissione valuta tali piani per la ripresa e la resilienza</a:t>
          </a:r>
        </a:p>
      </dgm:t>
    </dgm:pt>
    <dgm:pt modelId="{A5438503-B79E-447B-BBB8-B683F1AA81A1}" type="parTrans" cxnId="{DA736629-F901-4DEE-9EF5-2A208DA8B53F}">
      <dgm:prSet/>
      <dgm:spPr/>
      <dgm:t>
        <a:bodyPr/>
        <a:lstStyle/>
        <a:p>
          <a:endParaRPr lang="en-US"/>
        </a:p>
      </dgm:t>
    </dgm:pt>
    <dgm:pt modelId="{3837F287-79E4-4010-ADD8-EE626E2045F8}" type="sibTrans" cxnId="{DA736629-F901-4DEE-9EF5-2A208DA8B53F}">
      <dgm:prSet/>
      <dgm:spPr/>
      <dgm:t>
        <a:bodyPr/>
        <a:lstStyle/>
        <a:p>
          <a:endParaRPr lang="en-US"/>
        </a:p>
      </dgm:t>
    </dgm:pt>
    <dgm:pt modelId="{45CD5FC5-1261-4488-94E7-0BB9A1E663CF}">
      <dgm:prSet phldrT="[Text]"/>
      <dgm:spPr/>
      <dgm:t>
        <a:bodyPr/>
        <a:lstStyle/>
        <a:p>
          <a:r>
            <a:rPr lang="it-IT"/>
            <a:t>COMMISSIONE</a:t>
          </a:r>
        </a:p>
      </dgm:t>
    </dgm:pt>
    <dgm:pt modelId="{AA55665D-9EF8-4DD8-B222-29C69365F010}" type="parTrans" cxnId="{A5C60C31-7BC1-4152-8903-832A79F00883}">
      <dgm:prSet/>
      <dgm:spPr/>
      <dgm:t>
        <a:bodyPr/>
        <a:lstStyle/>
        <a:p>
          <a:endParaRPr lang="en-US"/>
        </a:p>
      </dgm:t>
    </dgm:pt>
    <dgm:pt modelId="{68496D18-1808-4402-BF74-A1F4CB8C2A4C}" type="sibTrans" cxnId="{A5C60C31-7BC1-4152-8903-832A79F00883}">
      <dgm:prSet/>
      <dgm:spPr/>
      <dgm:t>
        <a:bodyPr/>
        <a:lstStyle/>
        <a:p>
          <a:endParaRPr lang="en-US"/>
        </a:p>
      </dgm:t>
    </dgm:pt>
    <dgm:pt modelId="{568C2D70-3ACB-4B84-9027-3CA1386F5A65}">
      <dgm:prSet phldrT="[Text]"/>
      <dgm:spPr/>
      <dgm:t>
        <a:bodyPr/>
        <a:lstStyle/>
        <a:p>
          <a:r>
            <a:rPr lang="it-IT"/>
            <a:t>Il Consiglio approva i piani nazionali caso per caso</a:t>
          </a:r>
        </a:p>
      </dgm:t>
    </dgm:pt>
    <dgm:pt modelId="{87F092E5-C9EA-4CAA-9985-65D345777B02}" type="parTrans" cxnId="{4D99E5E4-2E92-4B39-9FEE-B945AC2F1A09}">
      <dgm:prSet/>
      <dgm:spPr/>
      <dgm:t>
        <a:bodyPr/>
        <a:lstStyle/>
        <a:p>
          <a:endParaRPr lang="en-US"/>
        </a:p>
      </dgm:t>
    </dgm:pt>
    <dgm:pt modelId="{41C16986-FE3A-440D-AEBD-DEAE83370B05}" type="sibTrans" cxnId="{4D99E5E4-2E92-4B39-9FEE-B945AC2F1A09}">
      <dgm:prSet/>
      <dgm:spPr/>
      <dgm:t>
        <a:bodyPr/>
        <a:lstStyle/>
        <a:p>
          <a:endParaRPr lang="en-US"/>
        </a:p>
      </dgm:t>
    </dgm:pt>
    <dgm:pt modelId="{3ABF51E7-8869-40B5-9EFA-5EE7BE97250F}">
      <dgm:prSet phldrT="[Text]"/>
      <dgm:spPr/>
      <dgm:t>
        <a:bodyPr/>
        <a:lstStyle/>
        <a:p>
          <a:r>
            <a:rPr lang="it-IT"/>
            <a:t>L'UE versa in anticipo fino al 13 % del sostegno totale al fine di avviare la ripresa</a:t>
          </a:r>
        </a:p>
      </dgm:t>
    </dgm:pt>
    <dgm:pt modelId="{FB234A72-718B-4207-8DF2-8DA60604899F}" type="parTrans" cxnId="{8CFC52BD-8D50-4D17-8AC9-C490DA054408}">
      <dgm:prSet/>
      <dgm:spPr/>
      <dgm:t>
        <a:bodyPr/>
        <a:lstStyle/>
        <a:p>
          <a:endParaRPr lang="en-US"/>
        </a:p>
      </dgm:t>
    </dgm:pt>
    <dgm:pt modelId="{8A2ED4DD-A68E-4765-BE8E-C6EEB82C93D4}" type="sibTrans" cxnId="{8CFC52BD-8D50-4D17-8AC9-C490DA054408}">
      <dgm:prSet/>
      <dgm:spPr/>
      <dgm:t>
        <a:bodyPr/>
        <a:lstStyle/>
        <a:p>
          <a:endParaRPr lang="en-US"/>
        </a:p>
      </dgm:t>
    </dgm:pt>
    <dgm:pt modelId="{5DE7D7FD-48E8-401A-8F5E-1504FF0F66BF}" type="pres">
      <dgm:prSet presAssocID="{8B5D37C4-5DBB-4EF2-84BC-72D8F157BF6E}" presName="Name0" presStyleCnt="0">
        <dgm:presLayoutVars>
          <dgm:dir/>
          <dgm:animLvl val="lvl"/>
          <dgm:resizeHandles val="exact"/>
        </dgm:presLayoutVars>
      </dgm:prSet>
      <dgm:spPr/>
    </dgm:pt>
    <dgm:pt modelId="{EF1CB368-182D-4072-84AE-DDFDC2817AE7}" type="pres">
      <dgm:prSet presAssocID="{48BEDD7A-42A3-4EFB-8637-56E8A52BBB21}" presName="composite" presStyleCnt="0"/>
      <dgm:spPr/>
    </dgm:pt>
    <dgm:pt modelId="{267AF405-9E97-428C-905E-1F74022C06F6}" type="pres">
      <dgm:prSet presAssocID="{48BEDD7A-42A3-4EFB-8637-56E8A52BBB21}" presName="parTx" presStyleLbl="node1" presStyleIdx="0" presStyleCnt="4">
        <dgm:presLayoutVars>
          <dgm:chMax val="0"/>
          <dgm:chPref val="0"/>
          <dgm:bulletEnabled val="1"/>
        </dgm:presLayoutVars>
      </dgm:prSet>
      <dgm:spPr/>
      <dgm:t>
        <a:bodyPr/>
        <a:lstStyle/>
        <a:p>
          <a:endParaRPr lang="en-US"/>
        </a:p>
      </dgm:t>
    </dgm:pt>
    <dgm:pt modelId="{780B0FAD-90FE-4D4E-AF59-21B82C29E09C}" type="pres">
      <dgm:prSet presAssocID="{48BEDD7A-42A3-4EFB-8637-56E8A52BBB21}" presName="desTx" presStyleLbl="revTx" presStyleIdx="0" presStyleCnt="4" custLinFactNeighborX="6232">
        <dgm:presLayoutVars>
          <dgm:bulletEnabled val="1"/>
        </dgm:presLayoutVars>
      </dgm:prSet>
      <dgm:spPr/>
      <dgm:t>
        <a:bodyPr/>
        <a:lstStyle/>
        <a:p>
          <a:endParaRPr lang="en-US"/>
        </a:p>
      </dgm:t>
    </dgm:pt>
    <dgm:pt modelId="{E5F03E0C-584A-476E-8B96-FBA55EB59EC7}" type="pres">
      <dgm:prSet presAssocID="{DE506E46-1FD0-4A4D-B74B-A599FF45D698}" presName="space" presStyleCnt="0"/>
      <dgm:spPr/>
    </dgm:pt>
    <dgm:pt modelId="{804AB6CD-A1E9-4CAE-B3E3-B8D3031C4604}" type="pres">
      <dgm:prSet presAssocID="{F3EFE610-D80E-4E79-8CA8-C94FF8C5F192}" presName="composite" presStyleCnt="0"/>
      <dgm:spPr/>
    </dgm:pt>
    <dgm:pt modelId="{E5394752-12A8-46A0-8763-96819D791968}" type="pres">
      <dgm:prSet presAssocID="{F3EFE610-D80E-4E79-8CA8-C94FF8C5F192}" presName="parTx" presStyleLbl="node1" presStyleIdx="1" presStyleCnt="4">
        <dgm:presLayoutVars>
          <dgm:chMax val="0"/>
          <dgm:chPref val="0"/>
          <dgm:bulletEnabled val="1"/>
        </dgm:presLayoutVars>
      </dgm:prSet>
      <dgm:spPr/>
      <dgm:t>
        <a:bodyPr/>
        <a:lstStyle/>
        <a:p>
          <a:endParaRPr lang="en-US"/>
        </a:p>
      </dgm:t>
    </dgm:pt>
    <dgm:pt modelId="{9E1B18CF-870C-45A8-A4AF-51BA3DEC88C6}" type="pres">
      <dgm:prSet presAssocID="{F3EFE610-D80E-4E79-8CA8-C94FF8C5F192}" presName="desTx" presStyleLbl="revTx" presStyleIdx="1" presStyleCnt="4" custLinFactNeighborX="7790">
        <dgm:presLayoutVars>
          <dgm:bulletEnabled val="1"/>
        </dgm:presLayoutVars>
      </dgm:prSet>
      <dgm:spPr/>
      <dgm:t>
        <a:bodyPr/>
        <a:lstStyle/>
        <a:p>
          <a:endParaRPr lang="en-US"/>
        </a:p>
      </dgm:t>
    </dgm:pt>
    <dgm:pt modelId="{826C95CB-B116-438B-A1F9-A1644FB365FB}" type="pres">
      <dgm:prSet presAssocID="{CFD96C64-4156-4811-800E-52A1F8F04402}" presName="space" presStyleCnt="0"/>
      <dgm:spPr/>
    </dgm:pt>
    <dgm:pt modelId="{E1598C82-1208-4F38-B81C-CDFB4445D1E4}" type="pres">
      <dgm:prSet presAssocID="{25F8BCF9-6873-42B3-949C-7FE9121AEE05}" presName="composite" presStyleCnt="0"/>
      <dgm:spPr/>
    </dgm:pt>
    <dgm:pt modelId="{C2524FC4-1DF1-484B-B78F-A49A337BD766}" type="pres">
      <dgm:prSet presAssocID="{25F8BCF9-6873-42B3-949C-7FE9121AEE05}" presName="parTx" presStyleLbl="node1" presStyleIdx="2" presStyleCnt="4">
        <dgm:presLayoutVars>
          <dgm:chMax val="0"/>
          <dgm:chPref val="0"/>
          <dgm:bulletEnabled val="1"/>
        </dgm:presLayoutVars>
      </dgm:prSet>
      <dgm:spPr/>
      <dgm:t>
        <a:bodyPr/>
        <a:lstStyle/>
        <a:p>
          <a:endParaRPr lang="en-US"/>
        </a:p>
      </dgm:t>
    </dgm:pt>
    <dgm:pt modelId="{CD821299-D4A8-4CC6-8DDC-6945C14BA15B}" type="pres">
      <dgm:prSet presAssocID="{25F8BCF9-6873-42B3-949C-7FE9121AEE05}" presName="desTx" presStyleLbl="revTx" presStyleIdx="2" presStyleCnt="4" custLinFactNeighborX="7011">
        <dgm:presLayoutVars>
          <dgm:bulletEnabled val="1"/>
        </dgm:presLayoutVars>
      </dgm:prSet>
      <dgm:spPr/>
      <dgm:t>
        <a:bodyPr/>
        <a:lstStyle/>
        <a:p>
          <a:endParaRPr lang="en-US"/>
        </a:p>
      </dgm:t>
    </dgm:pt>
    <dgm:pt modelId="{F840BC74-FA10-48CC-960A-BB559DCBA093}" type="pres">
      <dgm:prSet presAssocID="{418E92B6-70C9-4B27-9C5E-430C47139919}" presName="space" presStyleCnt="0"/>
      <dgm:spPr/>
    </dgm:pt>
    <dgm:pt modelId="{D98BC16A-B6D5-48D3-8352-061072974A5F}" type="pres">
      <dgm:prSet presAssocID="{45CD5FC5-1261-4488-94E7-0BB9A1E663CF}" presName="composite" presStyleCnt="0"/>
      <dgm:spPr/>
    </dgm:pt>
    <dgm:pt modelId="{D2319209-A1BC-4FBC-AE21-18F7ACCD4033}" type="pres">
      <dgm:prSet presAssocID="{45CD5FC5-1261-4488-94E7-0BB9A1E663CF}" presName="parTx" presStyleLbl="node1" presStyleIdx="3" presStyleCnt="4">
        <dgm:presLayoutVars>
          <dgm:chMax val="0"/>
          <dgm:chPref val="0"/>
          <dgm:bulletEnabled val="1"/>
        </dgm:presLayoutVars>
      </dgm:prSet>
      <dgm:spPr/>
      <dgm:t>
        <a:bodyPr/>
        <a:lstStyle/>
        <a:p>
          <a:endParaRPr lang="en-US"/>
        </a:p>
      </dgm:t>
    </dgm:pt>
    <dgm:pt modelId="{1B087B33-B178-4E65-9965-A94EA0CE8213}" type="pres">
      <dgm:prSet presAssocID="{45CD5FC5-1261-4488-94E7-0BB9A1E663CF}" presName="desTx" presStyleLbl="revTx" presStyleIdx="3" presStyleCnt="4" custLinFactNeighborX="7790" custLinFactNeighborY="-2026">
        <dgm:presLayoutVars>
          <dgm:bulletEnabled val="1"/>
        </dgm:presLayoutVars>
      </dgm:prSet>
      <dgm:spPr/>
      <dgm:t>
        <a:bodyPr/>
        <a:lstStyle/>
        <a:p>
          <a:endParaRPr lang="en-US"/>
        </a:p>
      </dgm:t>
    </dgm:pt>
  </dgm:ptLst>
  <dgm:cxnLst>
    <dgm:cxn modelId="{7832F70E-2E69-42EA-906D-C4574290E4E9}" type="presOf" srcId="{3902F3B4-E9E6-4F42-9E0B-FEAA78F8DAEF}" destId="{9E1B18CF-870C-45A8-A4AF-51BA3DEC88C6}" srcOrd="0" destOrd="0" presId="urn:microsoft.com/office/officeart/2005/8/layout/chevron1"/>
    <dgm:cxn modelId="{82AFF46D-4493-4DAE-9674-64C63572A5E9}" srcId="{8B5D37C4-5DBB-4EF2-84BC-72D8F157BF6E}" destId="{F3EFE610-D80E-4E79-8CA8-C94FF8C5F192}" srcOrd="1" destOrd="0" parTransId="{3FDC3A84-5A50-427B-8D65-9EEA82848285}" sibTransId="{CFD96C64-4156-4811-800E-52A1F8F04402}"/>
    <dgm:cxn modelId="{A5C60C31-7BC1-4152-8903-832A79F00883}" srcId="{8B5D37C4-5DBB-4EF2-84BC-72D8F157BF6E}" destId="{45CD5FC5-1261-4488-94E7-0BB9A1E663CF}" srcOrd="3" destOrd="0" parTransId="{AA55665D-9EF8-4DD8-B222-29C69365F010}" sibTransId="{68496D18-1808-4402-BF74-A1F4CB8C2A4C}"/>
    <dgm:cxn modelId="{20C71041-5379-4C8A-9472-FD89A82B6C50}" type="presOf" srcId="{48BEDD7A-42A3-4EFB-8637-56E8A52BBB21}" destId="{267AF405-9E97-428C-905E-1F74022C06F6}" srcOrd="0" destOrd="0" presId="urn:microsoft.com/office/officeart/2005/8/layout/chevron1"/>
    <dgm:cxn modelId="{05CAC821-0649-435F-96A4-BD9B33CF4FE7}" srcId="{8B5D37C4-5DBB-4EF2-84BC-72D8F157BF6E}" destId="{48BEDD7A-42A3-4EFB-8637-56E8A52BBB21}" srcOrd="0" destOrd="0" parTransId="{F37C9437-BE39-4FC0-911F-D51A22280E13}" sibTransId="{DE506E46-1FD0-4A4D-B74B-A599FF45D698}"/>
    <dgm:cxn modelId="{DA736629-F901-4DEE-9EF5-2A208DA8B53F}" srcId="{F3EFE610-D80E-4E79-8CA8-C94FF8C5F192}" destId="{3902F3B4-E9E6-4F42-9E0B-FEAA78F8DAEF}" srcOrd="0" destOrd="0" parTransId="{A5438503-B79E-447B-BBB8-B683F1AA81A1}" sibTransId="{3837F287-79E4-4010-ADD8-EE626E2045F8}"/>
    <dgm:cxn modelId="{60EA7F3B-ADEF-4974-A4B1-0D06167972EE}" type="presOf" srcId="{45CD5FC5-1261-4488-94E7-0BB9A1E663CF}" destId="{D2319209-A1BC-4FBC-AE21-18F7ACCD4033}" srcOrd="0" destOrd="0" presId="urn:microsoft.com/office/officeart/2005/8/layout/chevron1"/>
    <dgm:cxn modelId="{6012ED1F-9C31-4C8E-ADAB-22AC84CE3F38}" type="presOf" srcId="{568C2D70-3ACB-4B84-9027-3CA1386F5A65}" destId="{CD821299-D4A8-4CC6-8DDC-6945C14BA15B}" srcOrd="0" destOrd="0" presId="urn:microsoft.com/office/officeart/2005/8/layout/chevron1"/>
    <dgm:cxn modelId="{C2C5C1E3-F8E9-4F75-92DF-45528FFA1315}" type="presOf" srcId="{25F8BCF9-6873-42B3-949C-7FE9121AEE05}" destId="{C2524FC4-1DF1-484B-B78F-A49A337BD766}" srcOrd="0" destOrd="0" presId="urn:microsoft.com/office/officeart/2005/8/layout/chevron1"/>
    <dgm:cxn modelId="{4D99E5E4-2E92-4B39-9FEE-B945AC2F1A09}" srcId="{25F8BCF9-6873-42B3-949C-7FE9121AEE05}" destId="{568C2D70-3ACB-4B84-9027-3CA1386F5A65}" srcOrd="0" destOrd="0" parTransId="{87F092E5-C9EA-4CAA-9985-65D345777B02}" sibTransId="{41C16986-FE3A-440D-AEBD-DEAE83370B05}"/>
    <dgm:cxn modelId="{AAC5CA61-56FF-469B-AB78-1B489FAE56A3}" type="presOf" srcId="{3ABF51E7-8869-40B5-9EFA-5EE7BE97250F}" destId="{1B087B33-B178-4E65-9965-A94EA0CE8213}" srcOrd="0" destOrd="0" presId="urn:microsoft.com/office/officeart/2005/8/layout/chevron1"/>
    <dgm:cxn modelId="{EB77E0F4-5AFD-46E4-9C39-B27C79DED889}" type="presOf" srcId="{8B5D37C4-5DBB-4EF2-84BC-72D8F157BF6E}" destId="{5DE7D7FD-48E8-401A-8F5E-1504FF0F66BF}" srcOrd="0" destOrd="0" presId="urn:microsoft.com/office/officeart/2005/8/layout/chevron1"/>
    <dgm:cxn modelId="{7EF5EDB8-5838-4438-9D96-CDA05EEF4612}" type="presOf" srcId="{F3EFE610-D80E-4E79-8CA8-C94FF8C5F192}" destId="{E5394752-12A8-46A0-8763-96819D791968}" srcOrd="0" destOrd="0" presId="urn:microsoft.com/office/officeart/2005/8/layout/chevron1"/>
    <dgm:cxn modelId="{DFB0A008-DFBB-446B-B43C-D4AEE92E6AD6}" type="presOf" srcId="{F1C0E952-55E8-447C-AB6B-BFFCFD382DD8}" destId="{780B0FAD-90FE-4D4E-AF59-21B82C29E09C}" srcOrd="0" destOrd="0" presId="urn:microsoft.com/office/officeart/2005/8/layout/chevron1"/>
    <dgm:cxn modelId="{616EA3B2-CE73-41F0-AE94-CAEFEE0FB10B}" srcId="{8B5D37C4-5DBB-4EF2-84BC-72D8F157BF6E}" destId="{25F8BCF9-6873-42B3-949C-7FE9121AEE05}" srcOrd="2" destOrd="0" parTransId="{6588D41E-E58B-40D8-9BF4-40C0DBC91C19}" sibTransId="{418E92B6-70C9-4B27-9C5E-430C47139919}"/>
    <dgm:cxn modelId="{1404F33D-4622-46A8-99A8-8A62030FEFA1}" srcId="{48BEDD7A-42A3-4EFB-8637-56E8A52BBB21}" destId="{F1C0E952-55E8-447C-AB6B-BFFCFD382DD8}" srcOrd="0" destOrd="0" parTransId="{2373B5DB-1F3A-48B4-8580-AA5C3B20CED9}" sibTransId="{210F1DED-8405-4A01-A060-36AAA15EB32C}"/>
    <dgm:cxn modelId="{8CFC52BD-8D50-4D17-8AC9-C490DA054408}" srcId="{45CD5FC5-1261-4488-94E7-0BB9A1E663CF}" destId="{3ABF51E7-8869-40B5-9EFA-5EE7BE97250F}" srcOrd="0" destOrd="0" parTransId="{FB234A72-718B-4207-8DF2-8DA60604899F}" sibTransId="{8A2ED4DD-A68E-4765-BE8E-C6EEB82C93D4}"/>
    <dgm:cxn modelId="{B5DE4A90-F456-4E34-9AA5-7DFAEA1CD26B}" type="presParOf" srcId="{5DE7D7FD-48E8-401A-8F5E-1504FF0F66BF}" destId="{EF1CB368-182D-4072-84AE-DDFDC2817AE7}" srcOrd="0" destOrd="0" presId="urn:microsoft.com/office/officeart/2005/8/layout/chevron1"/>
    <dgm:cxn modelId="{148560E6-17E1-4FAF-AAE6-30EA78A86534}" type="presParOf" srcId="{EF1CB368-182D-4072-84AE-DDFDC2817AE7}" destId="{267AF405-9E97-428C-905E-1F74022C06F6}" srcOrd="0" destOrd="0" presId="urn:microsoft.com/office/officeart/2005/8/layout/chevron1"/>
    <dgm:cxn modelId="{7E785FCA-DF4D-48DE-B318-8DEAE228A69E}" type="presParOf" srcId="{EF1CB368-182D-4072-84AE-DDFDC2817AE7}" destId="{780B0FAD-90FE-4D4E-AF59-21B82C29E09C}" srcOrd="1" destOrd="0" presId="urn:microsoft.com/office/officeart/2005/8/layout/chevron1"/>
    <dgm:cxn modelId="{51AF5E68-B375-4EBB-AE81-BB7328E8AAB8}" type="presParOf" srcId="{5DE7D7FD-48E8-401A-8F5E-1504FF0F66BF}" destId="{E5F03E0C-584A-476E-8B96-FBA55EB59EC7}" srcOrd="1" destOrd="0" presId="urn:microsoft.com/office/officeart/2005/8/layout/chevron1"/>
    <dgm:cxn modelId="{60F225A5-F82A-4B96-8B33-D219187992F8}" type="presParOf" srcId="{5DE7D7FD-48E8-401A-8F5E-1504FF0F66BF}" destId="{804AB6CD-A1E9-4CAE-B3E3-B8D3031C4604}" srcOrd="2" destOrd="0" presId="urn:microsoft.com/office/officeart/2005/8/layout/chevron1"/>
    <dgm:cxn modelId="{9250C96E-3529-4CC4-AFA7-81ACD2D7D4BE}" type="presParOf" srcId="{804AB6CD-A1E9-4CAE-B3E3-B8D3031C4604}" destId="{E5394752-12A8-46A0-8763-96819D791968}" srcOrd="0" destOrd="0" presId="urn:microsoft.com/office/officeart/2005/8/layout/chevron1"/>
    <dgm:cxn modelId="{AF0BE996-7762-4C15-8FFF-41734CC83F84}" type="presParOf" srcId="{804AB6CD-A1E9-4CAE-B3E3-B8D3031C4604}" destId="{9E1B18CF-870C-45A8-A4AF-51BA3DEC88C6}" srcOrd="1" destOrd="0" presId="urn:microsoft.com/office/officeart/2005/8/layout/chevron1"/>
    <dgm:cxn modelId="{48289986-4C4E-42C4-B7AE-3CCC2B35AB48}" type="presParOf" srcId="{5DE7D7FD-48E8-401A-8F5E-1504FF0F66BF}" destId="{826C95CB-B116-438B-A1F9-A1644FB365FB}" srcOrd="3" destOrd="0" presId="urn:microsoft.com/office/officeart/2005/8/layout/chevron1"/>
    <dgm:cxn modelId="{A3C3240C-92CD-4A20-A8DF-5EBE6B74BEFE}" type="presParOf" srcId="{5DE7D7FD-48E8-401A-8F5E-1504FF0F66BF}" destId="{E1598C82-1208-4F38-B81C-CDFB4445D1E4}" srcOrd="4" destOrd="0" presId="urn:microsoft.com/office/officeart/2005/8/layout/chevron1"/>
    <dgm:cxn modelId="{CF6BBA12-6426-45D3-B0FB-BCFA2F3BF2AB}" type="presParOf" srcId="{E1598C82-1208-4F38-B81C-CDFB4445D1E4}" destId="{C2524FC4-1DF1-484B-B78F-A49A337BD766}" srcOrd="0" destOrd="0" presId="urn:microsoft.com/office/officeart/2005/8/layout/chevron1"/>
    <dgm:cxn modelId="{A2973E53-E50F-47C2-A7C3-24C02BCA8691}" type="presParOf" srcId="{E1598C82-1208-4F38-B81C-CDFB4445D1E4}" destId="{CD821299-D4A8-4CC6-8DDC-6945C14BA15B}" srcOrd="1" destOrd="0" presId="urn:microsoft.com/office/officeart/2005/8/layout/chevron1"/>
    <dgm:cxn modelId="{099AA4C3-475D-483C-95D7-A82C0D77DABF}" type="presParOf" srcId="{5DE7D7FD-48E8-401A-8F5E-1504FF0F66BF}" destId="{F840BC74-FA10-48CC-960A-BB559DCBA093}" srcOrd="5" destOrd="0" presId="urn:microsoft.com/office/officeart/2005/8/layout/chevron1"/>
    <dgm:cxn modelId="{E81EE15E-4897-47C5-80A9-F24876068407}" type="presParOf" srcId="{5DE7D7FD-48E8-401A-8F5E-1504FF0F66BF}" destId="{D98BC16A-B6D5-48D3-8352-061072974A5F}" srcOrd="6" destOrd="0" presId="urn:microsoft.com/office/officeart/2005/8/layout/chevron1"/>
    <dgm:cxn modelId="{9B07DEE2-7E0E-4B07-B631-4ACA512A2331}" type="presParOf" srcId="{D98BC16A-B6D5-48D3-8352-061072974A5F}" destId="{D2319209-A1BC-4FBC-AE21-18F7ACCD4033}" srcOrd="0" destOrd="0" presId="urn:microsoft.com/office/officeart/2005/8/layout/chevron1"/>
    <dgm:cxn modelId="{AC74DEFD-0448-46CA-ADDB-4BEA8B0FEB53}" type="presParOf" srcId="{D98BC16A-B6D5-48D3-8352-061072974A5F}" destId="{1B087B33-B178-4E65-9965-A94EA0CE8213}" srcOrd="1"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AF405-9E97-428C-905E-1F74022C06F6}">
      <dsp:nvSpPr>
        <dsp:cNvPr id="0" name=""/>
        <dsp:cNvSpPr/>
      </dsp:nvSpPr>
      <dsp:spPr>
        <a:xfrm>
          <a:off x="3349" y="548175"/>
          <a:ext cx="1528432" cy="594000"/>
        </a:xfrm>
        <a:prstGeom prst="chevron">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it-IT" sz="1100" kern="1200"/>
            <a:t>STATO MEMBRO</a:t>
          </a:r>
        </a:p>
      </dsp:txBody>
      <dsp:txXfrm>
        <a:off x="300349" y="548175"/>
        <a:ext cx="934432" cy="594000"/>
      </dsp:txXfrm>
    </dsp:sp>
    <dsp:sp modelId="{780B0FAD-90FE-4D4E-AF59-21B82C29E09C}">
      <dsp:nvSpPr>
        <dsp:cNvPr id="0" name=""/>
        <dsp:cNvSpPr/>
      </dsp:nvSpPr>
      <dsp:spPr>
        <a:xfrm>
          <a:off x="79551" y="1216425"/>
          <a:ext cx="1222746" cy="94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it-IT" sz="1100" kern="1200"/>
            <a:t>I paesi presentano i piani nazionali di investimenti e riforme, con traguardi e obiettivi chiari</a:t>
          </a:r>
        </a:p>
      </dsp:txBody>
      <dsp:txXfrm>
        <a:off x="79551" y="1216425"/>
        <a:ext cx="1222746" cy="940500"/>
      </dsp:txXfrm>
    </dsp:sp>
    <dsp:sp modelId="{E5394752-12A8-46A0-8763-96819D791968}">
      <dsp:nvSpPr>
        <dsp:cNvPr id="0" name=""/>
        <dsp:cNvSpPr/>
      </dsp:nvSpPr>
      <dsp:spPr>
        <a:xfrm>
          <a:off x="1315782" y="548175"/>
          <a:ext cx="1528432" cy="594000"/>
        </a:xfrm>
        <a:prstGeom prst="chevron">
          <a:avLst/>
        </a:prstGeom>
        <a:solidFill>
          <a:schemeClr val="accent1">
            <a:shade val="80000"/>
            <a:hueOff val="90421"/>
            <a:satOff val="1725"/>
            <a:lumOff val="7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it-IT" sz="1100" kern="1200"/>
            <a:t>COMMISSIONE</a:t>
          </a:r>
        </a:p>
      </dsp:txBody>
      <dsp:txXfrm>
        <a:off x="1612782" y="548175"/>
        <a:ext cx="934432" cy="594000"/>
      </dsp:txXfrm>
    </dsp:sp>
    <dsp:sp modelId="{9E1B18CF-870C-45A8-A4AF-51BA3DEC88C6}">
      <dsp:nvSpPr>
        <dsp:cNvPr id="0" name=""/>
        <dsp:cNvSpPr/>
      </dsp:nvSpPr>
      <dsp:spPr>
        <a:xfrm>
          <a:off x="1411034" y="1216425"/>
          <a:ext cx="1222746" cy="94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it-IT" sz="1100" kern="1200"/>
            <a:t>La Commissione valuta tali piani per la ripresa e la resilienza</a:t>
          </a:r>
        </a:p>
      </dsp:txBody>
      <dsp:txXfrm>
        <a:off x="1411034" y="1216425"/>
        <a:ext cx="1222746" cy="940500"/>
      </dsp:txXfrm>
    </dsp:sp>
    <dsp:sp modelId="{C2524FC4-1DF1-484B-B78F-A49A337BD766}">
      <dsp:nvSpPr>
        <dsp:cNvPr id="0" name=""/>
        <dsp:cNvSpPr/>
      </dsp:nvSpPr>
      <dsp:spPr>
        <a:xfrm>
          <a:off x="2628215" y="548175"/>
          <a:ext cx="1528432" cy="594000"/>
        </a:xfrm>
        <a:prstGeom prst="chevron">
          <a:avLst/>
        </a:prstGeom>
        <a:solidFill>
          <a:schemeClr val="accent1">
            <a:shade val="80000"/>
            <a:hueOff val="180842"/>
            <a:satOff val="3450"/>
            <a:lumOff val="152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it-IT" sz="1100" kern="1200"/>
            <a:t>CONSIGLIO</a:t>
          </a:r>
        </a:p>
      </dsp:txBody>
      <dsp:txXfrm>
        <a:off x="2925215" y="548175"/>
        <a:ext cx="934432" cy="594000"/>
      </dsp:txXfrm>
    </dsp:sp>
    <dsp:sp modelId="{CD821299-D4A8-4CC6-8DDC-6945C14BA15B}">
      <dsp:nvSpPr>
        <dsp:cNvPr id="0" name=""/>
        <dsp:cNvSpPr/>
      </dsp:nvSpPr>
      <dsp:spPr>
        <a:xfrm>
          <a:off x="2713941" y="1216425"/>
          <a:ext cx="1222746" cy="94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it-IT" sz="1100" kern="1200"/>
            <a:t>Il Consiglio approva i piani nazionali caso per caso</a:t>
          </a:r>
        </a:p>
      </dsp:txBody>
      <dsp:txXfrm>
        <a:off x="2713941" y="1216425"/>
        <a:ext cx="1222746" cy="940500"/>
      </dsp:txXfrm>
    </dsp:sp>
    <dsp:sp modelId="{D2319209-A1BC-4FBC-AE21-18F7ACCD4033}">
      <dsp:nvSpPr>
        <dsp:cNvPr id="0" name=""/>
        <dsp:cNvSpPr/>
      </dsp:nvSpPr>
      <dsp:spPr>
        <a:xfrm>
          <a:off x="3940647" y="548175"/>
          <a:ext cx="1528432" cy="594000"/>
        </a:xfrm>
        <a:prstGeom prst="chevron">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it-IT" sz="1100" kern="1200"/>
            <a:t>COMMISSIONE</a:t>
          </a:r>
        </a:p>
      </dsp:txBody>
      <dsp:txXfrm>
        <a:off x="4237647" y="548175"/>
        <a:ext cx="934432" cy="594000"/>
      </dsp:txXfrm>
    </dsp:sp>
    <dsp:sp modelId="{1B087B33-B178-4E65-9965-A94EA0CE8213}">
      <dsp:nvSpPr>
        <dsp:cNvPr id="0" name=""/>
        <dsp:cNvSpPr/>
      </dsp:nvSpPr>
      <dsp:spPr>
        <a:xfrm>
          <a:off x="4035899" y="1197370"/>
          <a:ext cx="1222746" cy="94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it-IT" sz="1100" kern="1200"/>
            <a:t>L'UE versa in anticipo fino al 13 % del sostegno totale al fine di avviare la ripresa</a:t>
          </a:r>
        </a:p>
      </dsp:txBody>
      <dsp:txXfrm>
        <a:off x="4035899" y="1197370"/>
        <a:ext cx="1222746" cy="9405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TOCHeading>Indice</TOCHeading>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Versione documento</TechFooterVersion>
  <TechFooterDated>datata</TechFooterDated>
  <LabelPictureSeq>Figure {SEQ Figure \* ARABIC }: </LabelPictureSeq>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LabelFormattedFigureSeqEC>Figure {field: SEQ Figure \* ARABIC }: </LabelFormattedFigureSeqEC>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10.0.43105.0</Version>
    <Date>2022-05-20T17:29:16</Date>
    <Language>EN</Language>
    <Note/>
  </Created>
  <Edited>
    <Version/>
    <Date/>
  </Edited>
  <DocumentModel>
    <Id>34954475-997f-4cb0-a95b-7f65298f3d8c</Id>
    <Name>Report (long)</Name>
  </DocumentModel>
  <DocumentDate>2022-06-20T00:00:00</DocumentDate>
  <DocumentVersion>1.1</DocumentVersion>
  <CompatibilityMode>Eurolook10</CompatibilityMode>
  <DocumentMetadata>
    <EC_SecurityDateMarkingDate MetadataSerializationType="SimpleValue"/>
    <EC_SecurityReleasability MetadataSerializationType="SimpleValue"/>
    <EC_SecurityDistributionWorkingGroup MetadataSerializationType="SimpleValue"/>
    <EC_SecurityDistributionDG MetadataSerializationType="SimpleValue"/>
    <EC_SecurityDistributionSensitive MetadataSerializationType="SimpleValue"/>
    <EC_SecurityDistributionSpecialHandling MetadataSerializationType="SimpleValue"/>
    <EC_SecurityMarking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ebab0b06-132a-4722-b111-58c14cc28097</Id>
  <Names>
    <Latin>
      <FirstName>Andrea</FirstName>
      <LastName>BORDONI</LastName>
    </Latin>
    <Greek>
      <FirstName/>
      <LastName/>
    </Greek>
    <Cyrillic>
      <FirstName/>
      <LastName/>
    </Cyrillic>
    <DocumentScript>
      <FirstName>Andrea</FirstName>
      <LastName>BORDONI</LastName>
      <FullName>Andrea BORDONI, Madeleine PUMBERGER</FullName>
    </DocumentScript>
  </Names>
  <Initials>AB</Initials>
  <Gender>m</Gender>
  <Email>Andrea.BORDONI@ec.europa.eu</Email>
  <Service>OLAF.C.1</Service>
  <Function ADCode="40" ShowInSignature="true" ShowInHeader="false" HeaderText="">Deputy Head of Unit</Function>
  <WebAddress/>
  <FunctionalMailbox/>
  <InheritedWebAddress>WebAddress</InheritedWebAddress>
  <OrgaEntity1>
    <Id>4860eea2-955d-4a36-8fc6-a21b0a853276</Id>
    <LogicalLevel>1</LogicalLevel>
    <Name>OLAF</Name>
    <HeadLine1>EUROPEAN ANTI-FRAUD OFFICE</HeadLine1>
    <HeadLine2/>
    <PrimaryAddressId>f03b5801-04c9-4931-aa17-c6d6c70bc579</PrimaryAddressId>
    <SecondaryAddressId/>
    <WebAddress>WebAddress</WebAddress>
    <InheritedWebAddress>WebAddress</InheritedWebAddress>
    <ShowInHeader>true</ShowInHeader>
  </OrgaEntity1>
  <OrgaEntity2>
    <Id>b15a73a9-fed8-4740-99a9-40ed6e43144e</Id>
    <LogicalLevel>2</LogicalLevel>
    <Name>OLAF.C</Name>
    <HeadLine1>Anti-Fraud Knowledge Centre</HeadLine1>
    <HeadLine2/>
    <PrimaryAddressId>f03b5801-04c9-4931-aa17-c6d6c70bc579</PrimaryAddressId>
    <SecondaryAddressId/>
    <WebAddress/>
    <InheritedWebAddress>WebAddress</InheritedWebAddress>
    <ShowInHeader>true</ShowInHeader>
  </OrgaEntity2>
  <OrgaEntity3>
    <Id>36abc2e7-3dfe-401c-a1bb-9b0677bbf6b8</Id>
    <LogicalLevel>3</LogicalLevel>
    <Name>OLAF.C.1</Name>
    <HeadLine1>Anti-Corruption, Anti-Fraud Strategy and Analysis</HeadLine1>
    <HeadLine2/>
    <PrimaryAddressId>f03b5801-04c9-4931-aa17-c6d6c70bc579</PrimaryAddressId>
    <SecondaryAddressId/>
    <WebAddress/>
    <InheritedWebAddress>WebAddress</InheritedWebAddress>
    <ShowInHeader>true</ShowInHeader>
  </OrgaEntity3>
  <Hierarchy>
    <OrgaEntity>
      <Id>4860eea2-955d-4a36-8fc6-a21b0a853276</Id>
      <LogicalLevel>1</LogicalLevel>
      <Name>OLAF</Name>
      <HeadLine1>EUROPEAN ANTI-FRAUD OFFICE</HeadLine1>
      <HeadLine2/>
      <PrimaryAddressId>f03b5801-04c9-4931-aa17-c6d6c70bc579</PrimaryAddressId>
      <SecondaryAddressId/>
      <WebAddress>WebAddress</WebAddress>
      <InheritedWebAddress>WebAddress</InheritedWebAddress>
      <ShowInHeader>true</ShowInHeader>
    </OrgaEntity>
    <OrgaEntity>
      <Id>b15a73a9-fed8-4740-99a9-40ed6e43144e</Id>
      <LogicalLevel>2</LogicalLevel>
      <Name>OLAF.C</Name>
      <HeadLine1>Anti-Fraud Knowledge Centre</HeadLine1>
      <HeadLine2/>
      <PrimaryAddressId>f03b5801-04c9-4931-aa17-c6d6c70bc579</PrimaryAddressId>
      <SecondaryAddressId/>
      <WebAddress/>
      <InheritedWebAddress>WebAddress</InheritedWebAddress>
      <ShowInHeader>true</ShowInHeader>
    </OrgaEntity>
    <OrgaEntity>
      <Id>36abc2e7-3dfe-401c-a1bb-9b0677bbf6b8</Id>
      <LogicalLevel>3</LogicalLevel>
      <Name>OLAF.C.1</Name>
      <HeadLine1>Anti-Corruption, Anti-Fraud Strategy and Analysis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+32 229-67737</Phone>
    <Office>J-30 06/015</Office>
  </MainWorkplace>
  <Workplaces>
    <Workplace IsMain="true">
      <AddressId>f03b5801-04c9-4931-aa17-c6d6c70bc579</AddressId>
      <Fax/>
      <Phone>+32 229-67737</Phone>
      <Office>J-30 06/015</Office>
    </Workplace>
    <Workplace IsMain="false">
      <AddressId>1264fb81-f6bb-475e-9f9d-a937d3be6ee2</AddressId>
      <Fax/>
      <Phone/>
      <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7816110-6CF9-4EFA-B2F9-8353C7D2C589}">
  <ds:schemaRefs/>
</ds:datastoreItem>
</file>

<file path=customXml/itemProps4.xml><?xml version="1.0" encoding="utf-8"?>
<ds:datastoreItem xmlns:ds="http://schemas.openxmlformats.org/officeDocument/2006/customXml" ds:itemID="{57F46831-4897-49B5-A08E-668FEAD4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20</Pages>
  <Words>19184</Words>
  <Characters>112228</Characters>
  <Application>Microsoft Office Word</Application>
  <DocSecurity>0</DocSecurity>
  <PresentationFormat>Microsoft Word 14.0</PresentationFormat>
  <Lines>1902</Lines>
  <Paragraphs>777</Paragraphs>
  <ScaleCrop>true</ScaleCrop>
  <HeadingPairs>
    <vt:vector size="2" baseType="variant">
      <vt:variant>
        <vt:lpstr>Title</vt:lpstr>
      </vt:variant>
      <vt:variant>
        <vt:i4>1</vt:i4>
      </vt:variant>
    </vt:vector>
  </HeadingPairs>
  <TitlesOfParts>
    <vt:vector size="1" baseType="lpstr">
      <vt:lpstr>33rd Annual Report on the protection of the EU financial interests and the fight against fraud</vt:lpstr>
    </vt:vector>
  </TitlesOfParts>
  <Manager/>
  <Company/>
  <LinksUpToDate>false</LinksUpToDate>
  <CharactersWithSpaces>130635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33rd Annual Report on the protection of the EU financial interests and the fight against fraud</dc:title>
  <dc:subject>2021</dc:subject>
  <dc:creator/>
  <cp:keywords/>
  <dc:description/>
  <cp:lastModifiedBy>EC CoDe</cp:lastModifiedBy>
  <cp:revision>46</cp:revision>
  <dcterms:created xsi:type="dcterms:W3CDTF">2022-08-08T08:15:00Z</dcterms:created>
  <dcterms:modified xsi:type="dcterms:W3CDTF">2022-10-11T08:15:00Z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8.1, Build 20220902</vt:lpwstr>
  </property>
  <property fmtid="{D5CDD505-2E9C-101B-9397-08002B2CF9AE}" pid="8" name="Created using">
    <vt:lpwstr>LW 7.0, Build 20190717</vt:lpwstr>
  </property>
  <property fmtid="{D5CDD505-2E9C-101B-9397-08002B2CF9AE}" pid="9" name="_LW_INVALIDATED__LW_INVALIDATED__LW_INVALIDATED__LW_INVALIDATED__LW_INVALIDATED_EurolookVersion">
    <vt:lpwstr>10.0</vt:lpwstr>
  </property>
  <property fmtid="{D5CDD505-2E9C-101B-9397-08002B2CF9AE}" pid="10" name="_LW_INVALIDATED__LW_INVALIDATED__LW_INVALIDATED__LW_INVALIDATED__LW_INVALIDATED_ELDocType">
    <vt:lpwstr>tech.dot</vt:lpwstr>
  </property>
</Properties>
</file>